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8769E" w14:textId="0BDB3075" w:rsidR="00754C9A" w:rsidRDefault="00BE0219" w:rsidP="00441B6F">
      <w:pPr>
        <w:pStyle w:val="Title"/>
        <w:spacing w:after="0"/>
        <w:jc w:val="both"/>
        <w:rPr>
          <w:rFonts w:ascii="Arial" w:hAnsi="Arial" w:cs="Arial"/>
        </w:rPr>
      </w:pPr>
      <w:r w:rsidRPr="00BE0219">
        <w:rPr>
          <w:rFonts w:ascii="Arial" w:hAnsi="Arial" w:cs="Arial"/>
        </w:rPr>
        <w:t>Original Research Article</w:t>
      </w:r>
    </w:p>
    <w:p w14:paraId="6202F524" w14:textId="77777777" w:rsidR="00BE0219" w:rsidRDefault="00BE0219" w:rsidP="00441B6F">
      <w:pPr>
        <w:pStyle w:val="Title"/>
        <w:spacing w:after="0"/>
        <w:jc w:val="both"/>
        <w:rPr>
          <w:rFonts w:ascii="Arial" w:hAnsi="Arial" w:cs="Arial"/>
        </w:rPr>
      </w:pPr>
    </w:p>
    <w:p w14:paraId="103B6996" w14:textId="77777777" w:rsidR="00163BC4" w:rsidRPr="00163BC4" w:rsidRDefault="00D0497D" w:rsidP="00441B6F">
      <w:pPr>
        <w:pStyle w:val="Author"/>
        <w:spacing w:line="240" w:lineRule="auto"/>
        <w:rPr>
          <w:rFonts w:ascii="Arial" w:hAnsi="Arial" w:cs="Arial"/>
          <w:bCs/>
          <w:iCs/>
          <w:kern w:val="28"/>
          <w:sz w:val="36"/>
        </w:rPr>
      </w:pPr>
      <w:r w:rsidRPr="00D0497D">
        <w:rPr>
          <w:rFonts w:ascii="Arial" w:hAnsi="Arial" w:cs="Arial"/>
          <w:bCs/>
          <w:iCs/>
          <w:kern w:val="28"/>
          <w:sz w:val="36"/>
        </w:rPr>
        <w:t>Total Phenolic Content and Antioxidant Activity of Ethanolic Extract from Cotton Fruit Peel (</w:t>
      </w:r>
      <w:r w:rsidRPr="00D0497D">
        <w:rPr>
          <w:rFonts w:ascii="Arial" w:hAnsi="Arial" w:cs="Arial"/>
          <w:bCs/>
          <w:i/>
          <w:iCs/>
          <w:kern w:val="28"/>
          <w:sz w:val="36"/>
        </w:rPr>
        <w:t>Gossypium hirsutum</w:t>
      </w:r>
      <w:r w:rsidRPr="00D0497D">
        <w:rPr>
          <w:rFonts w:ascii="Arial" w:hAnsi="Arial" w:cs="Arial"/>
          <w:bCs/>
          <w:iCs/>
          <w:kern w:val="28"/>
          <w:sz w:val="36"/>
        </w:rPr>
        <w:t xml:space="preserve"> L.)</w:t>
      </w:r>
      <w:r w:rsidR="00231920">
        <w:rPr>
          <w:rFonts w:ascii="Arial" w:hAnsi="Arial" w:cs="Arial"/>
          <w:bCs/>
          <w:iCs/>
          <w:kern w:val="28"/>
          <w:sz w:val="36"/>
        </w:rPr>
        <w:t xml:space="preserve"> </w:t>
      </w:r>
    </w:p>
    <w:p w14:paraId="524E5F55" w14:textId="77777777" w:rsidR="00A258C3" w:rsidRPr="00790ADA" w:rsidRDefault="00A258C3" w:rsidP="00441B6F">
      <w:pPr>
        <w:pStyle w:val="Author"/>
        <w:spacing w:line="240" w:lineRule="auto"/>
        <w:jc w:val="both"/>
        <w:rPr>
          <w:rFonts w:ascii="Arial" w:hAnsi="Arial" w:cs="Arial"/>
          <w:sz w:val="36"/>
        </w:rPr>
      </w:pPr>
    </w:p>
    <w:p w14:paraId="681A7BF3" w14:textId="77777777" w:rsidR="002C57D2" w:rsidRPr="00FB3A86" w:rsidRDefault="002C57D2" w:rsidP="00441B6F">
      <w:pPr>
        <w:pStyle w:val="Affiliation"/>
        <w:spacing w:after="0" w:line="240" w:lineRule="auto"/>
        <w:jc w:val="both"/>
        <w:rPr>
          <w:rFonts w:ascii="Arial" w:hAnsi="Arial" w:cs="Arial"/>
        </w:rPr>
      </w:pPr>
    </w:p>
    <w:p w14:paraId="5B11F80F" w14:textId="77777777" w:rsidR="00B01FCD" w:rsidRPr="00FB3A86" w:rsidRDefault="00694D9B" w:rsidP="00441B6F">
      <w:pPr>
        <w:pStyle w:val="Copyright"/>
        <w:spacing w:after="0" w:line="240" w:lineRule="auto"/>
        <w:jc w:val="both"/>
        <w:rPr>
          <w:rFonts w:ascii="Arial" w:hAnsi="Arial" w:cs="Arial"/>
        </w:rPr>
        <w:sectPr w:rsidR="00B01FCD" w:rsidRPr="00FB3A86" w:rsidSect="0060074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E3D06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B664F09"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EF2E2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47D1784" w14:textId="77777777" w:rsidTr="001E44FE">
        <w:tc>
          <w:tcPr>
            <w:tcW w:w="9576" w:type="dxa"/>
            <w:shd w:val="clear" w:color="auto" w:fill="F2F2F2"/>
          </w:tcPr>
          <w:p w14:paraId="46DD1892" w14:textId="77777777" w:rsidR="00D0497D" w:rsidRDefault="00D0497D" w:rsidP="00D0497D">
            <w:pPr>
              <w:pStyle w:val="Body"/>
              <w:rPr>
                <w:rFonts w:ascii="Arial" w:eastAsia="Calibri" w:hAnsi="Arial" w:cs="Arial"/>
                <w:szCs w:val="22"/>
              </w:rPr>
            </w:pPr>
            <w:r w:rsidRPr="00D0497D">
              <w:rPr>
                <w:rFonts w:ascii="Arial" w:eastAsia="Calibri" w:hAnsi="Arial" w:cs="Arial"/>
                <w:b/>
                <w:szCs w:val="22"/>
              </w:rPr>
              <w:t xml:space="preserve">Aims: </w:t>
            </w:r>
            <w:r w:rsidRPr="00D0497D">
              <w:rPr>
                <w:rFonts w:ascii="Arial" w:eastAsia="Calibri" w:hAnsi="Arial" w:cs="Arial"/>
                <w:szCs w:val="22"/>
              </w:rPr>
              <w:t>This study aims to determine the total phenolic content and antioxidant activity of the ethanolic extract of cotton fruit peel (Gossypium hirsutum L.) using a UV–Vis spectrophotometric method.</w:t>
            </w:r>
          </w:p>
          <w:p w14:paraId="2B0462B2" w14:textId="77777777" w:rsidR="00D0497D" w:rsidRPr="00D0497D" w:rsidRDefault="00D0497D" w:rsidP="00D0497D">
            <w:pPr>
              <w:pStyle w:val="Body"/>
              <w:rPr>
                <w:rFonts w:ascii="Arial" w:eastAsia="Calibri" w:hAnsi="Arial" w:cs="Arial"/>
                <w:szCs w:val="22"/>
              </w:rPr>
            </w:pPr>
            <w:r w:rsidRPr="00D0497D">
              <w:rPr>
                <w:rFonts w:ascii="Arial" w:eastAsia="Calibri" w:hAnsi="Arial" w:cs="Arial"/>
                <w:b/>
                <w:szCs w:val="22"/>
              </w:rPr>
              <w:t>Study design:</w:t>
            </w:r>
            <w:r w:rsidRPr="00D0497D">
              <w:rPr>
                <w:rFonts w:ascii="Arial" w:eastAsia="Calibri" w:hAnsi="Arial" w:cs="Arial"/>
                <w:szCs w:val="22"/>
              </w:rPr>
              <w:t xml:space="preserve"> An experimental laboratory study involving maceration extraction, quantitative phenolic analysis, and antioxidant activity evaluation using the DPPH assay.</w:t>
            </w:r>
          </w:p>
          <w:p w14:paraId="624B0F58" w14:textId="77777777" w:rsidR="00D0497D" w:rsidRPr="00D0497D" w:rsidRDefault="00D0497D" w:rsidP="00D0497D">
            <w:pPr>
              <w:pStyle w:val="Body"/>
              <w:rPr>
                <w:rFonts w:ascii="Arial" w:eastAsia="Calibri" w:hAnsi="Arial" w:cs="Arial"/>
                <w:szCs w:val="22"/>
              </w:rPr>
            </w:pPr>
            <w:r w:rsidRPr="00D0497D">
              <w:rPr>
                <w:rFonts w:ascii="Arial" w:eastAsia="Calibri" w:hAnsi="Arial" w:cs="Arial"/>
                <w:b/>
                <w:szCs w:val="22"/>
              </w:rPr>
              <w:t>Place and Duration of Study:</w:t>
            </w:r>
            <w:r w:rsidRPr="00D0497D">
              <w:rPr>
                <w:rFonts w:ascii="Arial" w:eastAsia="Calibri" w:hAnsi="Arial" w:cs="Arial"/>
                <w:szCs w:val="22"/>
              </w:rPr>
              <w:t xml:space="preserve"> Department of Pharmacy, Faculty of Pharmacy, </w:t>
            </w:r>
            <w:proofErr w:type="spellStart"/>
            <w:r w:rsidRPr="00D0497D">
              <w:rPr>
                <w:rFonts w:ascii="Arial" w:eastAsia="Calibri" w:hAnsi="Arial" w:cs="Arial"/>
                <w:szCs w:val="22"/>
              </w:rPr>
              <w:t>Universitas</w:t>
            </w:r>
            <w:proofErr w:type="spellEnd"/>
            <w:r w:rsidRPr="00D0497D">
              <w:rPr>
                <w:rFonts w:ascii="Arial" w:eastAsia="Calibri" w:hAnsi="Arial" w:cs="Arial"/>
                <w:szCs w:val="22"/>
              </w:rPr>
              <w:t xml:space="preserve"> </w:t>
            </w:r>
            <w:proofErr w:type="spellStart"/>
            <w:r w:rsidRPr="00D0497D">
              <w:rPr>
                <w:rFonts w:ascii="Arial" w:eastAsia="Calibri" w:hAnsi="Arial" w:cs="Arial"/>
                <w:szCs w:val="22"/>
              </w:rPr>
              <w:t>Perintis</w:t>
            </w:r>
            <w:proofErr w:type="spellEnd"/>
            <w:r w:rsidRPr="00D0497D">
              <w:rPr>
                <w:rFonts w:ascii="Arial" w:eastAsia="Calibri" w:hAnsi="Arial" w:cs="Arial"/>
                <w:szCs w:val="22"/>
              </w:rPr>
              <w:t xml:space="preserve"> Indonesia, Padang, West Sumatera, Indonesia January-June 2025.</w:t>
            </w:r>
          </w:p>
          <w:p w14:paraId="74988426" w14:textId="77777777" w:rsidR="00D0497D" w:rsidRPr="00D0497D" w:rsidRDefault="00D0497D" w:rsidP="00D0497D">
            <w:pPr>
              <w:pStyle w:val="Body"/>
              <w:rPr>
                <w:rFonts w:ascii="Arial" w:eastAsia="Calibri" w:hAnsi="Arial" w:cs="Arial"/>
                <w:szCs w:val="22"/>
              </w:rPr>
            </w:pPr>
            <w:r w:rsidRPr="00D0497D">
              <w:rPr>
                <w:rFonts w:ascii="Arial" w:eastAsia="Calibri" w:hAnsi="Arial" w:cs="Arial"/>
                <w:b/>
                <w:bCs/>
                <w:szCs w:val="22"/>
              </w:rPr>
              <w:t>Methodology:</w:t>
            </w:r>
            <w:r w:rsidRPr="00D0497D">
              <w:rPr>
                <w:rFonts w:ascii="Arial" w:eastAsia="Calibri" w:hAnsi="Arial" w:cs="Arial"/>
                <w:szCs w:val="22"/>
              </w:rPr>
              <w:t xml:space="preserve"> Extraction was carried out by maceration using 70% and 96% ethanol as solvents. Total phenolic content was determined using the </w:t>
            </w:r>
            <w:proofErr w:type="spellStart"/>
            <w:r w:rsidRPr="00D0497D">
              <w:rPr>
                <w:rFonts w:ascii="Arial" w:eastAsia="Calibri" w:hAnsi="Arial" w:cs="Arial"/>
                <w:szCs w:val="22"/>
              </w:rPr>
              <w:t>Folin</w:t>
            </w:r>
            <w:proofErr w:type="spellEnd"/>
            <w:r w:rsidRPr="00D0497D">
              <w:rPr>
                <w:rFonts w:ascii="Arial" w:eastAsia="Calibri" w:hAnsi="Arial" w:cs="Arial"/>
                <w:szCs w:val="22"/>
              </w:rPr>
              <w:t>–</w:t>
            </w:r>
            <w:proofErr w:type="spellStart"/>
            <w:r w:rsidRPr="00D0497D">
              <w:rPr>
                <w:rFonts w:ascii="Arial" w:eastAsia="Calibri" w:hAnsi="Arial" w:cs="Arial"/>
                <w:szCs w:val="22"/>
              </w:rPr>
              <w:t>Ciocalteu</w:t>
            </w:r>
            <w:proofErr w:type="spellEnd"/>
            <w:r w:rsidRPr="00D0497D">
              <w:rPr>
                <w:rFonts w:ascii="Arial" w:eastAsia="Calibri" w:hAnsi="Arial" w:cs="Arial"/>
                <w:szCs w:val="22"/>
              </w:rPr>
              <w:t xml:space="preserve"> method, with absorbance measured at the maximum wavelength of 765 nm using a UV–Vis spectrophotometer. Antioxidant activity was evaluated using the DPPH radical scavenging method, with absorbance measured at 520 nm.</w:t>
            </w:r>
          </w:p>
          <w:p w14:paraId="1A129633" w14:textId="77777777" w:rsidR="00D0497D" w:rsidRPr="00D0497D" w:rsidRDefault="00D0497D" w:rsidP="00D0497D">
            <w:pPr>
              <w:pStyle w:val="Body"/>
              <w:rPr>
                <w:rFonts w:ascii="Arial" w:eastAsia="Calibri" w:hAnsi="Arial" w:cs="Arial"/>
                <w:b/>
                <w:bCs/>
                <w:szCs w:val="22"/>
              </w:rPr>
            </w:pPr>
            <w:r w:rsidRPr="00D0497D">
              <w:rPr>
                <w:rFonts w:ascii="Arial" w:eastAsia="Calibri" w:hAnsi="Arial" w:cs="Arial"/>
                <w:b/>
                <w:bCs/>
                <w:szCs w:val="22"/>
              </w:rPr>
              <w:t>Results:</w:t>
            </w:r>
            <w:r w:rsidRPr="00D0497D">
              <w:rPr>
                <w:rFonts w:ascii="Arial" w:eastAsia="Calibri" w:hAnsi="Arial" w:cs="Arial"/>
                <w:szCs w:val="22"/>
              </w:rPr>
              <w:t xml:space="preserve"> The total phenolic content of the ethanolic extract of cotton fruit peel was found to be 9.699% w/w ± 0.0509. Antioxidant activity testing showed an IC</w:t>
            </w:r>
            <w:r w:rsidRPr="00D0497D">
              <w:rPr>
                <w:rFonts w:ascii="Cambria Math" w:eastAsia="Calibri" w:hAnsi="Cambria Math" w:cs="Cambria Math"/>
                <w:szCs w:val="22"/>
              </w:rPr>
              <w:t>₅₀</w:t>
            </w:r>
            <w:r w:rsidRPr="00D0497D">
              <w:rPr>
                <w:rFonts w:ascii="Arial" w:eastAsia="Calibri" w:hAnsi="Arial" w:cs="Arial"/>
                <w:szCs w:val="22"/>
              </w:rPr>
              <w:t xml:space="preserve"> value of 10.40 µg/mL, corresponding to a gallic acid equivalent (GAE) value of 3.502.</w:t>
            </w:r>
          </w:p>
          <w:p w14:paraId="5618E7AF" w14:textId="77777777" w:rsidR="00505F06" w:rsidRPr="00BA1B01" w:rsidRDefault="00D0497D" w:rsidP="00D0497D">
            <w:pPr>
              <w:pStyle w:val="Body"/>
              <w:spacing w:after="0"/>
              <w:rPr>
                <w:rFonts w:ascii="Arial" w:eastAsia="Calibri" w:hAnsi="Arial" w:cs="Arial"/>
                <w:szCs w:val="22"/>
              </w:rPr>
            </w:pPr>
            <w:proofErr w:type="spellStart"/>
            <w:r w:rsidRPr="00D0497D">
              <w:rPr>
                <w:rFonts w:ascii="Arial" w:eastAsia="Calibri" w:hAnsi="Arial" w:cs="Arial"/>
                <w:b/>
                <w:bCs/>
                <w:szCs w:val="22"/>
              </w:rPr>
              <w:t>Conclusion:</w:t>
            </w:r>
            <w:r w:rsidRPr="00D0497D">
              <w:rPr>
                <w:rFonts w:ascii="Arial" w:eastAsia="Calibri" w:hAnsi="Arial" w:cs="Arial"/>
                <w:szCs w:val="22"/>
              </w:rPr>
              <w:t>The</w:t>
            </w:r>
            <w:proofErr w:type="spellEnd"/>
            <w:r w:rsidRPr="00D0497D">
              <w:rPr>
                <w:rFonts w:ascii="Arial" w:eastAsia="Calibri" w:hAnsi="Arial" w:cs="Arial"/>
                <w:szCs w:val="22"/>
              </w:rPr>
              <w:t xml:space="preserve"> ethanolic extract of cotton fruit peel exhibits very strong antioxidant activity, as indicated by an IC</w:t>
            </w:r>
            <w:r w:rsidRPr="00D0497D">
              <w:rPr>
                <w:rFonts w:ascii="Cambria Math" w:eastAsia="Calibri" w:hAnsi="Cambria Math" w:cs="Cambria Math"/>
                <w:szCs w:val="22"/>
              </w:rPr>
              <w:t>₅₀</w:t>
            </w:r>
            <w:r w:rsidRPr="00D0497D">
              <w:rPr>
                <w:rFonts w:ascii="Arial" w:eastAsia="Calibri" w:hAnsi="Arial" w:cs="Arial"/>
                <w:szCs w:val="22"/>
              </w:rPr>
              <w:t xml:space="preserve"> value of less than 50 µg/</w:t>
            </w:r>
            <w:proofErr w:type="spellStart"/>
            <w:r w:rsidRPr="00D0497D">
              <w:rPr>
                <w:rFonts w:ascii="Arial" w:eastAsia="Calibri" w:hAnsi="Arial" w:cs="Arial"/>
                <w:szCs w:val="22"/>
              </w:rPr>
              <w:t>mL.</w:t>
            </w:r>
            <w:proofErr w:type="spellEnd"/>
          </w:p>
        </w:tc>
      </w:tr>
    </w:tbl>
    <w:p w14:paraId="1DFBEEDC" w14:textId="77777777" w:rsidR="00636EB2" w:rsidRDefault="00636EB2" w:rsidP="00441B6F">
      <w:pPr>
        <w:pStyle w:val="Body"/>
        <w:spacing w:after="0"/>
        <w:rPr>
          <w:rFonts w:ascii="Arial" w:hAnsi="Arial" w:cs="Arial"/>
          <w:i/>
        </w:rPr>
      </w:pPr>
    </w:p>
    <w:p w14:paraId="65072178" w14:textId="77777777" w:rsidR="0024282C" w:rsidRPr="00D0497D" w:rsidRDefault="00D0497D" w:rsidP="00441B6F">
      <w:pPr>
        <w:pStyle w:val="Body"/>
        <w:spacing w:after="0"/>
        <w:rPr>
          <w:rFonts w:ascii="Arial" w:hAnsi="Arial" w:cs="Arial"/>
          <w:i/>
        </w:rPr>
      </w:pPr>
      <w:r>
        <w:rPr>
          <w:rFonts w:ascii="Arial" w:hAnsi="Arial" w:cs="Arial"/>
          <w:i/>
        </w:rPr>
        <w:t xml:space="preserve">Keywords: Keywords: </w:t>
      </w:r>
      <w:r>
        <w:rPr>
          <w:rFonts w:ascii="Arial" w:hAnsi="Arial"/>
          <w:i/>
          <w:iCs/>
        </w:rPr>
        <w:t>Total phenolic content, Antioxidant activity, Gossypium hirsutum L., Cotton fruit peel, DPPH assay</w:t>
      </w:r>
    </w:p>
    <w:p w14:paraId="5D9BF799" w14:textId="77777777" w:rsidR="00505F06" w:rsidRPr="00A24E7E" w:rsidRDefault="00505F06" w:rsidP="00441B6F">
      <w:pPr>
        <w:pStyle w:val="Body"/>
        <w:spacing w:after="0"/>
        <w:rPr>
          <w:rFonts w:ascii="Arial" w:hAnsi="Arial" w:cs="Arial"/>
          <w:i/>
        </w:rPr>
      </w:pPr>
    </w:p>
    <w:p w14:paraId="43767DD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3C6E2CC" w14:textId="77777777" w:rsidR="00790ADA" w:rsidRPr="002F3988" w:rsidRDefault="00790ADA" w:rsidP="00441B6F">
      <w:pPr>
        <w:pStyle w:val="AbstHead"/>
        <w:spacing w:after="0"/>
        <w:jc w:val="both"/>
        <w:rPr>
          <w:rFonts w:ascii="Arial" w:hAnsi="Arial" w:cs="Arial"/>
        </w:rPr>
      </w:pPr>
    </w:p>
    <w:p w14:paraId="6FF77456" w14:textId="77777777" w:rsidR="002F3988" w:rsidRPr="002F3988" w:rsidRDefault="002F3988" w:rsidP="002F3988">
      <w:pPr>
        <w:widowControl w:val="0"/>
        <w:tabs>
          <w:tab w:val="left" w:pos="1260"/>
        </w:tabs>
        <w:autoSpaceDE w:val="0"/>
        <w:autoSpaceDN w:val="0"/>
        <w:jc w:val="both"/>
        <w:rPr>
          <w:rFonts w:ascii="Arial" w:hAnsi="Arial"/>
        </w:rPr>
      </w:pPr>
      <w:r w:rsidRPr="002F3988">
        <w:rPr>
          <w:rFonts w:ascii="Arial" w:hAnsi="Arial"/>
        </w:rPr>
        <w:t xml:space="preserve">Free radicals are highly reactive compounds that can cause oxidative damage in the body when present in excessive amounts </w:t>
      </w:r>
      <w:r w:rsidRPr="002F3988">
        <w:rPr>
          <w:rFonts w:ascii="Arial" w:hAnsi="Arial"/>
        </w:rPr>
        <w:fldChar w:fldCharType="begin" w:fldLock="1"/>
      </w:r>
      <w:r w:rsidR="00FF2266">
        <w:rPr>
          <w:rFonts w:ascii="Arial" w:hAnsi="Arial"/>
        </w:rPr>
        <w:instrText>ADDIN CSL_CITATION {"citationItems":[{"id":"ITEM-1","itemData":{"DOI":"10.1038/s41420-024-02278-8","ISSN":"2058-7716","abstract":"Free radicals, characterized by the presence of unpaired electrons, are highly reactive species that play a significant role in human health. These molecules can be generated through various endogenous processes, such as mitochondrial respiration and immune cell activation, as well as exogenous sources, including radiation, pollution, and smoking. While free radicals are essential for certain physiological processes, such as cell signaling and immune defense, their overproduction can disrupt the delicate balance between oxidants and antioxidants, leading to oxidative stress. Oxidative stress results in the damage of critical biomolecules like DNA, proteins, and lipids, contributing to the pathogenesis of various diseases. Chronic conditions such as cancer, cardiovascular diseases, neurodegenerative disorders, and inflammatory diseases have been strongly associated with the harmful effects of free radicals. This review provides a comprehensive overview of the characteristics and types of free radicals, their mechanisms of formation, and biological impacts. Additionally, we explore natural compounds and extracts studied for their antioxidant properties, offering potential therapeutic avenues for managing free radical-induced damage. Future research directions are also discussed to advance our understanding and treatment of free radical-associated diseases.","author":[{"dropping-particle":"","family":"Chandimali","given":"Nisansala","non-dropping-particle":"","parse-names":false,"suffix":""},{"dropping-particle":"","family":"Bak","given":"Seon Gyeong","non-dropping-particle":"","parse-names":false,"suffix":""},{"dropping-particle":"","family":"Park","given":"Eun Hyun","non-dropping-particle":"","parse-names":false,"suffix":""},{"dropping-particle":"","family":"Lim","given":"Hyung-Jin","non-dropping-particle":"","parse-names":false,"suffix":""},{"dropping-particle":"","family":"Won","given":"Yeong-Seon","non-dropping-particle":"","parse-names":false,"suffix":""},{"dropping-particle":"","family":"Kim","given":"Eun-Kyung","non-dropping-particle":"","parse-names":false,"suffix":""},{"dropping-particle":"","family":"Park","given":"Sang-Ik","non-dropping-particle":"","parse-names":false,"suffix":""},{"dropping-particle":"","family":"Lee","given":"Seung Jae","non-dropping-particle":"","parse-names":false,"suffix":""}],"container-title":"Cell Death Discovery","id":"ITEM-1","issue":"1","issued":{"date-parts":[["2025","1","24"]]},"page":"19","publisher":"Springer US","title":"Free radicals and their impact on health and antioxidant defenses: a review","type":"article-journal","volume":"11"},"uris":["http://www.mendeley.com/documents/?uuid=224d80ee-86d6-405c-b3ca-1535f8a06990"]}],"mendeley":{"formattedCitation":"(Chandimali et al., 2025)","plainTextFormattedCitation":"(Chandimali et al., 2025)","previouslyFormattedCitation":"(Chandimali et al., 2025)"},"properties":{"noteIndex":0},"schema":"https://github.com/citation-style-language/schema/raw/master/csl-citation.json"}</w:instrText>
      </w:r>
      <w:r w:rsidRPr="002F3988">
        <w:rPr>
          <w:rFonts w:ascii="Arial" w:hAnsi="Arial"/>
        </w:rPr>
        <w:fldChar w:fldCharType="separate"/>
      </w:r>
      <w:r w:rsidR="00FF2266" w:rsidRPr="00FF2266">
        <w:rPr>
          <w:rFonts w:ascii="Arial" w:hAnsi="Arial"/>
          <w:noProof/>
        </w:rPr>
        <w:t>(Chandimali et al., 2025)</w:t>
      </w:r>
      <w:r w:rsidRPr="002F3988">
        <w:rPr>
          <w:rFonts w:ascii="Arial" w:hAnsi="Arial"/>
        </w:rPr>
        <w:fldChar w:fldCharType="end"/>
      </w:r>
      <w:r w:rsidRPr="002F3988">
        <w:rPr>
          <w:rFonts w:ascii="Arial" w:hAnsi="Arial"/>
        </w:rPr>
        <w:t xml:space="preserve">. They originate from both endogenous metabolic processes and exogenous sources such as environmental pollutants, radiation, toxic chemicals, and the consumption of processed or fried foods. Excessive free radical accumulation can disrupt cellular homeostasis and contribute to the development of various degenerative diseases. Therefore, the inhibition of free radical formation and activity through antioxidant compounds is essential </w:t>
      </w:r>
      <w:r w:rsidRPr="002F3988">
        <w:rPr>
          <w:rFonts w:ascii="Arial" w:hAnsi="Arial"/>
        </w:rPr>
        <w:fldChar w:fldCharType="begin" w:fldLock="1"/>
      </w:r>
      <w:r w:rsidR="00FF2266">
        <w:rPr>
          <w:rFonts w:ascii="Arial" w:hAnsi="Arial"/>
        </w:rPr>
        <w:instrText>ADDIN CSL_CITATION {"citationItems":[{"id":"ITEM-1","itemData":{"DOI":"10.3390/oxygen2020006","ISSN":"2673-9801","abstract":"Free radicals have acquired growing importance in the fields of biology and medicine. They are produced during many different endogenous and exogenous processes. Mitochondria are the main source of endogenous reactive oxygen species (ROS) produced at cell level. The overproduction of free radicals can damage macromolecules such as nucleic acids, proteins and lipids. This leads to tissue damage in various chronic and degenerative diseases. Antioxidants play a crucial role in the body’s defense against free radicals. This review concerns the main properties of free radicals, their sources and deleterious effects. It highlights the potential role of the dietary supplementation of antioxidants and discusses unsolved problems regarding antioxidant supplements in the prevention and therapy of diseases.","author":[{"dropping-particle":"","family":"Martemucci","given":"Giovanni","non-dropping-particle":"","parse-names":false,"suffix":""},{"dropping-particle":"","family":"Costagliola","given":"Ciro","non-dropping-particle":"","parse-names":false,"suffix":""},{"dropping-particle":"","family":"Mariano","given":"Michele","non-dropping-particle":"","parse-names":false,"suffix":""},{"dropping-particle":"","family":"D’andrea","given":"Luca","non-dropping-particle":"","parse-names":false,"suffix":""},{"dropping-particle":"","family":"Napolitano","given":"Pasquale","non-dropping-particle":"","parse-names":false,"suffix":""},{"dropping-particle":"","family":"D’Alessandro","given":"Angela Gabriella","non-dropping-particle":"","parse-names":false,"suffix":""}],"container-title":"Oxygen","id":"ITEM-1","issue":"2","issued":{"date-parts":[["2022","4","12"]]},"page":"48-78","title":"Free Radical Properties, Source and Targets, Antioxidant Consumption and Health","type":"article-journal","volume":"2"},"uris":["http://www.mendeley.com/documents/?uuid=b27d61c5-4fd6-47f1-b306-0dfdde4f490f"]}],"mendeley":{"formattedCitation":"(Martemucci et al., 2022)","plainTextFormattedCitation":"(Martemucci et al., 2022)","previouslyFormattedCitation":"(Martemucci et al., 2022)"},"properties":{"noteIndex":0},"schema":"https://github.com/citation-style-language/schema/raw/master/csl-citation.json"}</w:instrText>
      </w:r>
      <w:r w:rsidRPr="002F3988">
        <w:rPr>
          <w:rFonts w:ascii="Arial" w:hAnsi="Arial"/>
        </w:rPr>
        <w:fldChar w:fldCharType="separate"/>
      </w:r>
      <w:r w:rsidR="00FF2266" w:rsidRPr="00FF2266">
        <w:rPr>
          <w:rFonts w:ascii="Arial" w:hAnsi="Arial"/>
          <w:noProof/>
        </w:rPr>
        <w:t>(Martemucci et al., 2022)</w:t>
      </w:r>
      <w:r w:rsidRPr="002F3988">
        <w:rPr>
          <w:rFonts w:ascii="Arial" w:hAnsi="Arial"/>
        </w:rPr>
        <w:fldChar w:fldCharType="end"/>
      </w:r>
      <w:r w:rsidRPr="002F3988">
        <w:rPr>
          <w:rFonts w:ascii="Arial" w:hAnsi="Arial"/>
        </w:rPr>
        <w:t>.</w:t>
      </w:r>
    </w:p>
    <w:p w14:paraId="03370B58" w14:textId="77777777" w:rsidR="002F3988" w:rsidRPr="002F3988" w:rsidRDefault="002F3988" w:rsidP="002F3988">
      <w:pPr>
        <w:widowControl w:val="0"/>
        <w:tabs>
          <w:tab w:val="left" w:pos="1260"/>
        </w:tabs>
        <w:autoSpaceDE w:val="0"/>
        <w:autoSpaceDN w:val="0"/>
        <w:jc w:val="both"/>
        <w:rPr>
          <w:rFonts w:ascii="Arial" w:hAnsi="Arial"/>
        </w:rPr>
      </w:pPr>
    </w:p>
    <w:p w14:paraId="71BAEB6F" w14:textId="77777777" w:rsidR="002F3988" w:rsidRPr="002F3988" w:rsidRDefault="002F3988" w:rsidP="002F3988">
      <w:pPr>
        <w:widowControl w:val="0"/>
        <w:tabs>
          <w:tab w:val="left" w:pos="1260"/>
        </w:tabs>
        <w:autoSpaceDE w:val="0"/>
        <w:autoSpaceDN w:val="0"/>
        <w:jc w:val="both"/>
        <w:rPr>
          <w:rFonts w:ascii="Arial" w:hAnsi="Arial"/>
        </w:rPr>
      </w:pPr>
      <w:r w:rsidRPr="002F3988">
        <w:rPr>
          <w:rFonts w:ascii="Arial" w:hAnsi="Arial"/>
        </w:rPr>
        <w:t xml:space="preserve">Antioxidants are substances capable of neutralizing free radicals by donating electrons or hydrogen atoms, thereby stabilizing reactive species and preventing oxidative chain </w:t>
      </w:r>
      <w:r w:rsidRPr="002F3988">
        <w:rPr>
          <w:rFonts w:ascii="Arial" w:hAnsi="Arial"/>
        </w:rPr>
        <w:lastRenderedPageBreak/>
        <w:t xml:space="preserve">reactions. Although the human body possesses endogenous antioxidant defense systems, these mechanisms are often insufficient under conditions of increased oxidative stress. As a result, additional antioxidants from external sources are required to protect cells, tissues, and organs from oxidative damage </w:t>
      </w:r>
      <w:r w:rsidRPr="002F3988">
        <w:rPr>
          <w:rFonts w:ascii="Arial" w:hAnsi="Arial"/>
        </w:rPr>
        <w:fldChar w:fldCharType="begin" w:fldLock="1"/>
      </w:r>
      <w:r w:rsidR="00FF2266">
        <w:rPr>
          <w:rFonts w:ascii="Arial" w:hAnsi="Arial"/>
        </w:rPr>
        <w:instrText>ADDIN CSL_CITATION {"citationItems":[{"id":"ITEM-1","itemData":{"DOI":"10.3390/antiox12040860","ISSN":"2076-3921","abstract":"It is more effective to maintain good health than to regain it after losing it. This work focuses on the biochemical defense mechanisms against free radicals and their role in building and maintaining antioxidant shields, aiming to show how to balance, as much as possible, the situations in which we are exposed to free radicals. To achieve this aim, foods, fruits, and marine algae with a high antioxidant content should constitute the basis of nutritional elements, since natural products are known to have significantly greater assimilation efficiency. This review also gives the perspective in which the use of antioxidants can extend the life of food products, by protecting them from damage caused by oxidation as well as their use as food additives.","author":[{"dropping-particle":"","family":"Pruteanu","given":"Lavinia Lorena","non-dropping-particle":"","parse-names":false,"suffix":""},{"dropping-particle":"","family":"Bailey","given":"David Stanley","non-dropping-particle":"","parse-names":false,"suffix":""},{"dropping-particle":"","family":"Grădinaru","given":"Andrei Cristian","non-dropping-particle":"","parse-names":false,"suffix":""},{"dropping-particle":"","family":"Jäntschi","given":"Lorentz","non-dropping-particle":"","parse-names":false,"suffix":""}],"container-title":"Antioxidants","id":"ITEM-1","issue":"4","issued":{"date-parts":[["2023","4","2"]]},"page":"860","title":"The Biochemistry and Effectiveness of Antioxidants in Food, Fruits, and Marine Algae","type":"article-journal","volume":"12"},"uris":["http://www.mendeley.com/documents/?uuid=a19f4358-521e-4d1e-b1b3-341587407c93"]}],"mendeley":{"formattedCitation":"(Pruteanu, Bailey, Grădinaru, &amp; Jäntschi, 2023)","plainTextFormattedCitation":"(Pruteanu, Bailey, Grădinaru, &amp; Jäntschi, 2023)","previouslyFormattedCitation":"(Pruteanu, Bailey, Grădinaru, &amp; Jäntschi, 2023)"},"properties":{"noteIndex":0},"schema":"https://github.com/citation-style-language/schema/raw/master/csl-citation.json"}</w:instrText>
      </w:r>
      <w:r w:rsidRPr="002F3988">
        <w:rPr>
          <w:rFonts w:ascii="Arial" w:hAnsi="Arial"/>
        </w:rPr>
        <w:fldChar w:fldCharType="separate"/>
      </w:r>
      <w:r w:rsidR="00FF2266" w:rsidRPr="00FF2266">
        <w:rPr>
          <w:rFonts w:ascii="Arial" w:hAnsi="Arial"/>
          <w:noProof/>
        </w:rPr>
        <w:t>(Pruteanu, Bailey, Grădinaru, &amp; Jäntschi, 2023)</w:t>
      </w:r>
      <w:r w:rsidRPr="002F3988">
        <w:rPr>
          <w:rFonts w:ascii="Arial" w:hAnsi="Arial"/>
        </w:rPr>
        <w:fldChar w:fldCharType="end"/>
      </w:r>
      <w:r w:rsidRPr="002F3988">
        <w:rPr>
          <w:rFonts w:ascii="Arial" w:hAnsi="Arial"/>
        </w:rPr>
        <w:t>.</w:t>
      </w:r>
    </w:p>
    <w:p w14:paraId="2AE6F192" w14:textId="77777777" w:rsidR="002F3988" w:rsidRPr="002F3988" w:rsidRDefault="002F3988" w:rsidP="002F3988">
      <w:pPr>
        <w:widowControl w:val="0"/>
        <w:tabs>
          <w:tab w:val="left" w:pos="1260"/>
        </w:tabs>
        <w:autoSpaceDE w:val="0"/>
        <w:autoSpaceDN w:val="0"/>
        <w:jc w:val="both"/>
        <w:rPr>
          <w:rFonts w:ascii="Arial" w:hAnsi="Arial"/>
        </w:rPr>
      </w:pPr>
    </w:p>
    <w:p w14:paraId="78CE3C56" w14:textId="77777777" w:rsidR="002F3988" w:rsidRPr="002F3988" w:rsidRDefault="002F3988" w:rsidP="002F3988">
      <w:pPr>
        <w:widowControl w:val="0"/>
        <w:tabs>
          <w:tab w:val="left" w:pos="1260"/>
        </w:tabs>
        <w:autoSpaceDE w:val="0"/>
        <w:autoSpaceDN w:val="0"/>
        <w:jc w:val="both"/>
        <w:rPr>
          <w:rFonts w:ascii="Arial" w:hAnsi="Arial"/>
        </w:rPr>
      </w:pPr>
      <w:r w:rsidRPr="002F3988">
        <w:rPr>
          <w:rFonts w:ascii="Arial" w:hAnsi="Arial"/>
        </w:rPr>
        <w:t xml:space="preserve">Antioxidants are generally classified into synthetic and natural antioxidants. Natural antioxidants, particularly those derived from plants, are of increasing interest due to their safety and biological efficacy. Among these, phenolic compounds are recognized as major contributors to antioxidant activity because of their ability to scavenge free radicals and reactive oxygen species </w:t>
      </w:r>
      <w:r w:rsidRPr="002F3988">
        <w:rPr>
          <w:rFonts w:ascii="Arial" w:hAnsi="Arial"/>
        </w:rPr>
        <w:fldChar w:fldCharType="begin" w:fldLock="1"/>
      </w:r>
      <w:r w:rsidR="00FF2266">
        <w:rPr>
          <w:rFonts w:ascii="Arial" w:hAnsi="Arial"/>
        </w:rPr>
        <w:instrText>ADDIN CSL_CITATION {"citationItems":[{"id":"ITEM-1","itemData":{"DOI":"10.3390/molecules24224132","ISSN":"1420-3049","PMID":"31731614","abstract":"In recent years, great interest has been focused on using natural antioxidants in food products, due to studies indicating possible adverse effects that may be related to the consumption of synthetic antioxidants. A variety of plant materials are known to be natural sources of antioxidants, such as herbs, spices, seeds, fruits and vegetables. The interest in these natural components is not only due to their biological value, but also to their economic impact, as most of them may be extracted from food by-products and under-exploited plant species. This article provides an overview of current knowledge on natural antioxidants: their sources, extraction methods and stabilization processes. In addition, recent studies on their applications in the food industry are also addressed; namely, as preservatives in different food products and in active films for packaging purposes and edible coatings.","author":[{"dropping-particle":"","family":"Lourenço","given":"Sofia C.","non-dropping-particle":"","parse-names":false,"suffix":""},{"dropping-particle":"","family":"Moldão-Martins","given":"Margarida","non-dropping-particle":"","parse-names":false,"suffix":""},{"dropping-particle":"","family":"Alves","given":"Vítor D.","non-dropping-particle":"","parse-names":false,"suffix":""}],"container-title":"Molecules","id":"ITEM-1","issue":"22","issued":{"date-parts":[["2019","11","15"]]},"page":"4132","title":"Antioxidants of Natural Plant Origins: From Sources to Food Industry Applications","type":"article-journal","volume":"24"},"uris":["http://www.mendeley.com/documents/?uuid=fa5379ea-2027-4f91-91c9-e9de4ab047ca"]}],"mendeley":{"formattedCitation":"(Lourenço, Moldão-Martins, &amp; Alves, 2019)","plainTextFormattedCitation":"(Lourenço, Moldão-Martins, &amp; Alves, 2019)","previouslyFormattedCitation":"(Lourenço, Moldão-Martins, &amp; Alves, 2019)"},"properties":{"noteIndex":0},"schema":"https://github.com/citation-style-language/schema/raw/master/csl-citation.json"}</w:instrText>
      </w:r>
      <w:r w:rsidRPr="002F3988">
        <w:rPr>
          <w:rFonts w:ascii="Arial" w:hAnsi="Arial"/>
        </w:rPr>
        <w:fldChar w:fldCharType="separate"/>
      </w:r>
      <w:r w:rsidR="00FF2266" w:rsidRPr="00FF2266">
        <w:rPr>
          <w:rFonts w:ascii="Arial" w:hAnsi="Arial"/>
          <w:noProof/>
        </w:rPr>
        <w:t>(Lourenço, Moldão-Martins, &amp; Alves, 2019)</w:t>
      </w:r>
      <w:r w:rsidRPr="002F3988">
        <w:rPr>
          <w:rFonts w:ascii="Arial" w:hAnsi="Arial"/>
        </w:rPr>
        <w:fldChar w:fldCharType="end"/>
      </w:r>
      <w:r w:rsidRPr="002F3988">
        <w:rPr>
          <w:rFonts w:ascii="Arial" w:hAnsi="Arial"/>
        </w:rPr>
        <w:t xml:space="preserve">. The antioxidant capacity of plant extracts is closely associated with their total phenolic content, with higher phenolic levels typically corresponding to stronger antioxidant activity </w:t>
      </w:r>
      <w:r w:rsidRPr="002F3988">
        <w:rPr>
          <w:rFonts w:ascii="Arial" w:hAnsi="Arial"/>
        </w:rPr>
        <w:fldChar w:fldCharType="begin" w:fldLock="1"/>
      </w:r>
      <w:r w:rsidR="00FF2266">
        <w:rPr>
          <w:rFonts w:ascii="Arial" w:hAnsi="Arial"/>
        </w:rPr>
        <w:instrText>ADDIN CSL_CITATION {"citationItems":[{"id":"ITEM-1","itemData":{"DOI":"10.3390/antiox10101530","ISSN":"2076-3921","abstract":"The antioxidant activity (AA), total phenolic content (TPC), and total flavonoid content (TFC) of selected Indonesian Zingiberaceae herbs were determined. An optimization extraction procedure was conducted by using Taguchi L16 orthogonal array. Four chemical assays were applied, including 2,2-diphenyl-2-picrylhydrazyl (DPPH) radical scavenging activity assay, H2O2 scavenging activity assay, Folin–Ciocalteau (F–C) assay, and NaNO2-AlCl3-NaOH assay, which revealed remarkable differences in AA, TPC, and TFC. The result indicated the diversity of AA composition among the herbs, and C. longa exhibited the highest AA. HPLC-PAD analysis revealed that curcumin was present in five high antioxidant herbs, and the highest amount was in C. longa. Pearson correlation analysis indicated that the identified TPC and TFC were significant contributors to AA, and curcumin was likely the main contributing antioxidant compound. Our approach concluded that C. longa is the greatest source of natural antioxidants among 12 Indonesian indigenous Zingiberaceae herbs. The use of a mixed-method approach to augment the findings of solitary methods might facilitate future researchers to uncover deeper and hidden meanings.","author":[{"dropping-particle":"","family":"Muflihah","given":"Yeni Maulidah","non-dropping-particle":"","parse-names":false,"suffix":""},{"dropping-particle":"","family":"Gollavelli","given":"Ganesh","non-dropping-particle":"","parse-names":false,"suffix":""},{"dropping-particle":"","family":"Ling","given":"Yong-Chien","non-dropping-particle":"","parse-names":false,"suffix":""}],"container-title":"Antioxidants","id":"ITEM-1","issue":"10","issued":{"date-parts":[["2021","9","27"]]},"page":"1530","title":"Correlation Study of Antioxidant Activity with Phenolic and Flavonoid Compounds in 12 Indonesian Indigenous Herbs","type":"article-journal","volume":"10"},"uris":["http://www.mendeley.com/documents/?uuid=05673983-042d-41a9-870a-383360a77c6b"]}],"mendeley":{"formattedCitation":"(Muflihah, Gollavelli, &amp; Ling, 2021)","plainTextFormattedCitation":"(Muflihah, Gollavelli, &amp; Ling, 2021)","previouslyFormattedCitation":"(Muflihah, Gollavelli, &amp; Ling, 2021)"},"properties":{"noteIndex":0},"schema":"https://github.com/citation-style-language/schema/raw/master/csl-citation.json"}</w:instrText>
      </w:r>
      <w:r w:rsidRPr="002F3988">
        <w:rPr>
          <w:rFonts w:ascii="Arial" w:hAnsi="Arial"/>
        </w:rPr>
        <w:fldChar w:fldCharType="separate"/>
      </w:r>
      <w:r w:rsidR="00FF2266" w:rsidRPr="00FF2266">
        <w:rPr>
          <w:rFonts w:ascii="Arial" w:hAnsi="Arial"/>
          <w:noProof/>
        </w:rPr>
        <w:t>(Muflihah, Gollavelli, &amp; Ling, 2021)</w:t>
      </w:r>
      <w:r w:rsidRPr="002F3988">
        <w:rPr>
          <w:rFonts w:ascii="Arial" w:hAnsi="Arial"/>
        </w:rPr>
        <w:fldChar w:fldCharType="end"/>
      </w:r>
      <w:r w:rsidRPr="002F3988">
        <w:rPr>
          <w:rFonts w:ascii="Arial" w:hAnsi="Arial"/>
        </w:rPr>
        <w:t>.</w:t>
      </w:r>
    </w:p>
    <w:p w14:paraId="1AEDA854" w14:textId="77777777" w:rsidR="002F3988" w:rsidRPr="002F3988" w:rsidRDefault="002F3988" w:rsidP="002F3988">
      <w:pPr>
        <w:widowControl w:val="0"/>
        <w:tabs>
          <w:tab w:val="left" w:pos="1260"/>
        </w:tabs>
        <w:autoSpaceDE w:val="0"/>
        <w:autoSpaceDN w:val="0"/>
        <w:jc w:val="both"/>
        <w:rPr>
          <w:rFonts w:ascii="Arial" w:hAnsi="Arial"/>
        </w:rPr>
      </w:pPr>
    </w:p>
    <w:p w14:paraId="2A5F6660" w14:textId="77777777" w:rsidR="002F3988" w:rsidRPr="002F3988" w:rsidRDefault="002F3988" w:rsidP="002F3988">
      <w:pPr>
        <w:widowControl w:val="0"/>
        <w:tabs>
          <w:tab w:val="left" w:pos="1260"/>
        </w:tabs>
        <w:autoSpaceDE w:val="0"/>
        <w:autoSpaceDN w:val="0"/>
        <w:jc w:val="both"/>
        <w:rPr>
          <w:rFonts w:ascii="Arial" w:hAnsi="Arial"/>
        </w:rPr>
      </w:pPr>
      <w:r w:rsidRPr="002F3988">
        <w:rPr>
          <w:rFonts w:ascii="Arial" w:hAnsi="Arial"/>
        </w:rPr>
        <w:t xml:space="preserve">Cotton (Gossypium hirsutum L.), a member of the </w:t>
      </w:r>
      <w:proofErr w:type="spellStart"/>
      <w:r w:rsidRPr="002F3988">
        <w:rPr>
          <w:rFonts w:ascii="Arial" w:hAnsi="Arial"/>
        </w:rPr>
        <w:t>Malvaceae</w:t>
      </w:r>
      <w:proofErr w:type="spellEnd"/>
      <w:r w:rsidRPr="002F3988">
        <w:rPr>
          <w:rFonts w:ascii="Arial" w:hAnsi="Arial"/>
        </w:rPr>
        <w:t xml:space="preserve"> family, is known to contain various secondary metabolites, including flavonoids, tannins, saponins, and steroids, which exhibit antioxidant properties </w:t>
      </w:r>
      <w:r w:rsidRPr="002F3988">
        <w:rPr>
          <w:rFonts w:ascii="Arial" w:hAnsi="Arial"/>
        </w:rPr>
        <w:fldChar w:fldCharType="begin" w:fldLock="1"/>
      </w:r>
      <w:r w:rsidR="00FF2266">
        <w:rPr>
          <w:rFonts w:ascii="Arial" w:hAnsi="Arial"/>
        </w:rPr>
        <w:instrText>ADDIN CSL_CITATION {"citationItems":[{"id":"ITEM-1","itemData":{"DOI":"10.54117/iijbs.v3i1.16","abstract":"The leaves of Gossypium hirsutum were analyzed for phytochemical, proximate, mineral compositions, and antioxidant activity. The free radical scavenging activity using DPPH procedure was used to determine the antioxidant activity of Gossypium hirsutum. The quantitative phytochemical screening revealed that G. hirsutum contained 34.00±1.10 mg/g alkaloids, cardiac glycosides 0.986±0.65 mg/g, 23.47±0.02 mg/g tannins, 50.82±0.02 mg/g total phenol, 38.73±0.01 mg/g saponins, and 182.51±0.10 mg/g flavonoids. Proximate analysis revealed that carbohydrate had the highest percentage in G. hirsutum 47.97± 0.00%. Crude fat had the lowest percentages of 7.11 ± 0.01%. Mineral analysis revealed that potassium had the highest concentration of 740.28±0.02 ppm while the least concentration of minerals in G. hirsutum was iron (39.08±0.02 ppm). The presence of carbohydrates, proteins and fat justifies that Gossypium hirsutum can be used as a good source of basic nutritional daily requirements. The high radical scavenging effect observed in the plant showed that it is a good source of natural antioxidant. The high amount of flavonoids, total phenol, saponins, alkaloids and tannins may be an indication of its high medicinal potential in treatment of certain diseases.","author":[{"dropping-particle":"","family":"Suleiman","given":"Mohammed Salisu","non-dropping-particle":"","parse-names":false,"suffix":""},{"dropping-particle":"","family":"Omale","given":"Jamila Audu","non-dropping-particle":"","parse-names":false,"suffix":""},{"dropping-particle":"","family":"Ayeni","given":"Gideon","non-dropping-particle":"","parse-names":false,"suffix":""},{"dropping-particle":"","family":"Ali","given":"Bashir Alabi","non-dropping-particle":"","parse-names":false,"suffix":""},{"dropping-particle":"","family":"Ojogbane","given":"Eleojo","non-dropping-particle":"","parse-names":false,"suffix":""},{"dropping-particle":"","family":"Sule","given":"Fatima Ajuma","non-dropping-particle":"","parse-names":false,"suffix":""},{"dropping-particle":"","family":"Jegede","given":"Raphael Eneji","non-dropping-particle":"","parse-names":false,"suffix":""},{"dropping-particle":"","family":"Mohammed","given":"Lukeman Sanusi","non-dropping-particle":"","parse-names":false,"suffix":""}],"container-title":"IPS Interdisciplinary Journal of Biological Sciences","id":"ITEM-1","issue":"1","issued":{"date-parts":[["2024","4","15"]]},"page":"45-50","title":"Phytochemical, Proximate, Mineral Analysis and Antioxidant Activity of the leaves of Gossypium hirsutum","type":"article-journal","volume":"3"},"uris":["http://www.mendeley.com/documents/?uuid=fd17bfc2-34c4-462e-8d84-35b149181fde"]}],"mendeley":{"formattedCitation":"(Suleiman et al., 2024)","plainTextFormattedCitation":"(Suleiman et al., 2024)","previouslyFormattedCitation":"(Suleiman et al., 2024)"},"properties":{"noteIndex":0},"schema":"https://github.com/citation-style-language/schema/raw/master/csl-citation.json"}</w:instrText>
      </w:r>
      <w:r w:rsidRPr="002F3988">
        <w:rPr>
          <w:rFonts w:ascii="Arial" w:hAnsi="Arial"/>
        </w:rPr>
        <w:fldChar w:fldCharType="separate"/>
      </w:r>
      <w:r w:rsidR="00FF2266" w:rsidRPr="00FF2266">
        <w:rPr>
          <w:rFonts w:ascii="Arial" w:hAnsi="Arial"/>
          <w:noProof/>
        </w:rPr>
        <w:t>(Suleiman et al., 2024)</w:t>
      </w:r>
      <w:r w:rsidRPr="002F3988">
        <w:rPr>
          <w:rFonts w:ascii="Arial" w:hAnsi="Arial"/>
        </w:rPr>
        <w:fldChar w:fldCharType="end"/>
      </w:r>
      <w:r w:rsidRPr="002F3988">
        <w:rPr>
          <w:rFonts w:ascii="Arial" w:hAnsi="Arial"/>
        </w:rPr>
        <w:t>. While previous studies have predominantly focused on the antioxidant activity of cotton leaves, limited information is available regarding the antioxidant potential of cotton fruit peel. This plant part may represent an underutilized source of natural antioxidants.</w:t>
      </w:r>
    </w:p>
    <w:p w14:paraId="28E72BC5" w14:textId="77777777" w:rsidR="002F3988" w:rsidRPr="002F3988" w:rsidRDefault="002F3988" w:rsidP="002F3988">
      <w:pPr>
        <w:widowControl w:val="0"/>
        <w:tabs>
          <w:tab w:val="left" w:pos="1260"/>
        </w:tabs>
        <w:autoSpaceDE w:val="0"/>
        <w:autoSpaceDN w:val="0"/>
        <w:jc w:val="both"/>
        <w:rPr>
          <w:rFonts w:ascii="Arial" w:hAnsi="Arial"/>
        </w:rPr>
      </w:pPr>
    </w:p>
    <w:p w14:paraId="4786F590" w14:textId="77777777" w:rsidR="00790ADA" w:rsidRDefault="002F3988" w:rsidP="002F3988">
      <w:pPr>
        <w:pStyle w:val="Body"/>
        <w:spacing w:after="0"/>
        <w:rPr>
          <w:rFonts w:ascii="Arial" w:hAnsi="Arial" w:cs="Arial"/>
        </w:rPr>
      </w:pPr>
      <w:r w:rsidRPr="002F3988">
        <w:rPr>
          <w:rFonts w:ascii="Arial" w:hAnsi="Arial"/>
        </w:rPr>
        <w:t xml:space="preserve">Therefore, this study aims to evaluate the total phenolic content and antioxidant activity of the ethanolic extract of cotton fruit peel (Gossypium hirsutum L.). Total phenolic content was determined using the </w:t>
      </w:r>
      <w:proofErr w:type="spellStart"/>
      <w:r w:rsidRPr="002F3988">
        <w:rPr>
          <w:rFonts w:ascii="Arial" w:hAnsi="Arial"/>
        </w:rPr>
        <w:t>Folin</w:t>
      </w:r>
      <w:proofErr w:type="spellEnd"/>
      <w:r w:rsidRPr="002F3988">
        <w:rPr>
          <w:rFonts w:ascii="Arial" w:hAnsi="Arial"/>
        </w:rPr>
        <w:t>–</w:t>
      </w:r>
      <w:proofErr w:type="spellStart"/>
      <w:r w:rsidRPr="002F3988">
        <w:rPr>
          <w:rFonts w:ascii="Arial" w:hAnsi="Arial"/>
        </w:rPr>
        <w:t>Ciocalteu</w:t>
      </w:r>
      <w:proofErr w:type="spellEnd"/>
      <w:r w:rsidRPr="002F3988">
        <w:rPr>
          <w:rFonts w:ascii="Arial" w:hAnsi="Arial"/>
        </w:rPr>
        <w:t xml:space="preserve"> method, while antioxidant activity was assessed using the DPPH assay with UV–Vis spectrophotometric analysis.</w:t>
      </w:r>
    </w:p>
    <w:p w14:paraId="1F877CB7" w14:textId="77777777" w:rsidR="00D0497D" w:rsidRPr="002F3988" w:rsidRDefault="00D0497D" w:rsidP="00D0497D">
      <w:pPr>
        <w:pStyle w:val="Body"/>
        <w:spacing w:after="0"/>
        <w:rPr>
          <w:rFonts w:ascii="Arial" w:hAnsi="Arial" w:cs="Arial"/>
          <w:sz w:val="22"/>
        </w:rPr>
      </w:pPr>
    </w:p>
    <w:p w14:paraId="2BC8456F" w14:textId="77777777" w:rsidR="007F7B32" w:rsidRDefault="00902823" w:rsidP="00441B6F">
      <w:pPr>
        <w:pStyle w:val="AbstHead"/>
        <w:spacing w:after="0"/>
        <w:jc w:val="both"/>
        <w:rPr>
          <w:rFonts w:ascii="Arial" w:hAnsi="Arial" w:cs="Arial"/>
        </w:rPr>
      </w:pPr>
      <w:r>
        <w:rPr>
          <w:rFonts w:ascii="Arial" w:hAnsi="Arial" w:cs="Arial"/>
        </w:rPr>
        <w:t>2. material and method</w:t>
      </w:r>
      <w:r w:rsidR="002F3988">
        <w:rPr>
          <w:rFonts w:ascii="Arial" w:hAnsi="Arial" w:cs="Arial"/>
        </w:rPr>
        <w:t>s</w:t>
      </w:r>
    </w:p>
    <w:p w14:paraId="3D1C7BB5" w14:textId="77777777" w:rsidR="00790ADA" w:rsidRPr="00FB3A86" w:rsidRDefault="00790ADA" w:rsidP="00441B6F">
      <w:pPr>
        <w:pStyle w:val="AbstHead"/>
        <w:spacing w:after="0"/>
        <w:jc w:val="both"/>
        <w:rPr>
          <w:rFonts w:ascii="Arial" w:hAnsi="Arial" w:cs="Arial"/>
        </w:rPr>
      </w:pPr>
    </w:p>
    <w:p w14:paraId="08C29411" w14:textId="77777777" w:rsidR="002F3988" w:rsidRPr="002F3988" w:rsidRDefault="002F3988" w:rsidP="002F3988">
      <w:pPr>
        <w:widowControl w:val="0"/>
        <w:autoSpaceDE w:val="0"/>
        <w:autoSpaceDN w:val="0"/>
        <w:jc w:val="both"/>
        <w:rPr>
          <w:rFonts w:ascii="Arial" w:hAnsi="Arial"/>
          <w:b/>
        </w:rPr>
      </w:pPr>
      <w:r w:rsidRPr="002F3988">
        <w:rPr>
          <w:rFonts w:ascii="Arial" w:hAnsi="Arial"/>
          <w:b/>
        </w:rPr>
        <w:t>Sample Collection</w:t>
      </w:r>
    </w:p>
    <w:p w14:paraId="2BB70454" w14:textId="77777777" w:rsidR="002F3988" w:rsidRPr="002F3988" w:rsidRDefault="002F3988" w:rsidP="002F3988">
      <w:pPr>
        <w:widowControl w:val="0"/>
        <w:autoSpaceDE w:val="0"/>
        <w:autoSpaceDN w:val="0"/>
        <w:jc w:val="both"/>
        <w:rPr>
          <w:rFonts w:ascii="Arial" w:hAnsi="Arial"/>
          <w:bCs/>
        </w:rPr>
      </w:pPr>
      <w:r w:rsidRPr="002F3988">
        <w:rPr>
          <w:rFonts w:ascii="Arial" w:hAnsi="Arial"/>
          <w:bCs/>
        </w:rPr>
        <w:t xml:space="preserve">The sample used in this study was cotton fruit peel (Gossypium hirsutum L.). Approximately 2 kg of fresh cotton fruit peel was collected from </w:t>
      </w:r>
      <w:proofErr w:type="spellStart"/>
      <w:r w:rsidRPr="002F3988">
        <w:rPr>
          <w:rFonts w:ascii="Arial" w:hAnsi="Arial"/>
          <w:bCs/>
        </w:rPr>
        <w:t>Siulak</w:t>
      </w:r>
      <w:proofErr w:type="spellEnd"/>
      <w:r w:rsidRPr="002F3988">
        <w:rPr>
          <w:rFonts w:ascii="Arial" w:hAnsi="Arial"/>
          <w:bCs/>
        </w:rPr>
        <w:t xml:space="preserve"> Mukai, </w:t>
      </w:r>
      <w:proofErr w:type="spellStart"/>
      <w:r w:rsidRPr="002F3988">
        <w:rPr>
          <w:rFonts w:ascii="Arial" w:hAnsi="Arial"/>
          <w:bCs/>
        </w:rPr>
        <w:t>Kerinci</w:t>
      </w:r>
      <w:proofErr w:type="spellEnd"/>
      <w:r w:rsidRPr="002F3988">
        <w:rPr>
          <w:rFonts w:ascii="Arial" w:hAnsi="Arial"/>
          <w:bCs/>
        </w:rPr>
        <w:t xml:space="preserve"> Regency, Jambi Province, Indonesia.</w:t>
      </w:r>
    </w:p>
    <w:p w14:paraId="272DCE2D" w14:textId="77777777" w:rsidR="002F3988" w:rsidRPr="002F3988" w:rsidRDefault="002F3988" w:rsidP="002F3988">
      <w:pPr>
        <w:widowControl w:val="0"/>
        <w:autoSpaceDE w:val="0"/>
        <w:autoSpaceDN w:val="0"/>
        <w:jc w:val="both"/>
        <w:rPr>
          <w:rFonts w:ascii="Arial" w:hAnsi="Arial"/>
          <w:bCs/>
        </w:rPr>
      </w:pPr>
    </w:p>
    <w:p w14:paraId="234B6F03" w14:textId="77777777" w:rsidR="002F3988" w:rsidRPr="002F3988" w:rsidRDefault="002F3988" w:rsidP="002F3988">
      <w:pPr>
        <w:widowControl w:val="0"/>
        <w:autoSpaceDE w:val="0"/>
        <w:autoSpaceDN w:val="0"/>
        <w:jc w:val="both"/>
        <w:rPr>
          <w:rFonts w:ascii="Arial" w:hAnsi="Arial"/>
          <w:b/>
        </w:rPr>
      </w:pPr>
      <w:r w:rsidRPr="002F3988">
        <w:rPr>
          <w:rFonts w:ascii="Arial" w:hAnsi="Arial"/>
          <w:b/>
        </w:rPr>
        <w:t xml:space="preserve">Preparation of Cotton Fruit Peel </w:t>
      </w:r>
      <w:proofErr w:type="spellStart"/>
      <w:r w:rsidRPr="002F3988">
        <w:rPr>
          <w:rFonts w:ascii="Arial" w:hAnsi="Arial"/>
          <w:b/>
        </w:rPr>
        <w:t>Simplicia</w:t>
      </w:r>
      <w:proofErr w:type="spellEnd"/>
    </w:p>
    <w:p w14:paraId="1FEE97B0" w14:textId="77777777" w:rsidR="002F3988" w:rsidRPr="002F3988" w:rsidRDefault="002F3988" w:rsidP="002F3988">
      <w:pPr>
        <w:widowControl w:val="0"/>
        <w:autoSpaceDE w:val="0"/>
        <w:autoSpaceDN w:val="0"/>
        <w:jc w:val="both"/>
        <w:rPr>
          <w:rFonts w:ascii="Arial" w:hAnsi="Arial"/>
          <w:bCs/>
        </w:rPr>
      </w:pPr>
      <w:r w:rsidRPr="002F3988">
        <w:rPr>
          <w:rFonts w:ascii="Arial" w:hAnsi="Arial"/>
          <w:bCs/>
        </w:rPr>
        <w:t xml:space="preserve">Fresh cotton fruit peel was subjected to wet sorting, washed under running water, and air-dried at room temperature without direct sunlight for five days. The dried material was cut into small pieces and pulverized using a blender to obtain powdered </w:t>
      </w:r>
      <w:proofErr w:type="spellStart"/>
      <w:r w:rsidRPr="002F3988">
        <w:rPr>
          <w:rFonts w:ascii="Arial" w:hAnsi="Arial"/>
          <w:bCs/>
        </w:rPr>
        <w:t>simplicia</w:t>
      </w:r>
      <w:proofErr w:type="spellEnd"/>
      <w:r w:rsidRPr="002F3988">
        <w:rPr>
          <w:rFonts w:ascii="Arial" w:hAnsi="Arial"/>
          <w:bCs/>
        </w:rPr>
        <w:t xml:space="preserve">. A total of 500 g of dried </w:t>
      </w:r>
      <w:proofErr w:type="spellStart"/>
      <w:r w:rsidRPr="002F3988">
        <w:rPr>
          <w:rFonts w:ascii="Arial" w:hAnsi="Arial"/>
          <w:bCs/>
        </w:rPr>
        <w:t>simplicia</w:t>
      </w:r>
      <w:proofErr w:type="spellEnd"/>
      <w:r w:rsidRPr="002F3988">
        <w:rPr>
          <w:rFonts w:ascii="Arial" w:hAnsi="Arial"/>
          <w:bCs/>
        </w:rPr>
        <w:t xml:space="preserve"> powder was obtained.</w:t>
      </w:r>
    </w:p>
    <w:p w14:paraId="1F3E0D5C" w14:textId="77777777" w:rsidR="002F3988" w:rsidRPr="002F3988" w:rsidRDefault="002F3988" w:rsidP="002F3988">
      <w:pPr>
        <w:widowControl w:val="0"/>
        <w:autoSpaceDE w:val="0"/>
        <w:autoSpaceDN w:val="0"/>
        <w:jc w:val="both"/>
        <w:rPr>
          <w:rFonts w:ascii="Arial" w:hAnsi="Arial"/>
          <w:bCs/>
        </w:rPr>
      </w:pPr>
    </w:p>
    <w:p w14:paraId="2A9354C5" w14:textId="77777777" w:rsidR="002F3988" w:rsidRPr="002F3988" w:rsidRDefault="002F3988" w:rsidP="002F3988">
      <w:pPr>
        <w:widowControl w:val="0"/>
        <w:autoSpaceDE w:val="0"/>
        <w:autoSpaceDN w:val="0"/>
        <w:jc w:val="both"/>
        <w:rPr>
          <w:rFonts w:ascii="Arial" w:hAnsi="Arial"/>
          <w:b/>
        </w:rPr>
      </w:pPr>
      <w:r w:rsidRPr="002F3988">
        <w:rPr>
          <w:rFonts w:ascii="Arial" w:hAnsi="Arial"/>
          <w:b/>
        </w:rPr>
        <w:t>Preparation of Ethanolic Extract</w:t>
      </w:r>
    </w:p>
    <w:p w14:paraId="7127D4F1" w14:textId="77777777" w:rsidR="002F3988" w:rsidRPr="002F3988" w:rsidRDefault="002F3988" w:rsidP="002F3988">
      <w:pPr>
        <w:widowControl w:val="0"/>
        <w:autoSpaceDE w:val="0"/>
        <w:autoSpaceDN w:val="0"/>
        <w:jc w:val="both"/>
        <w:rPr>
          <w:rFonts w:ascii="Arial" w:hAnsi="Arial"/>
          <w:bCs/>
        </w:rPr>
      </w:pPr>
      <w:r w:rsidRPr="002F3988">
        <w:rPr>
          <w:rFonts w:ascii="Arial" w:hAnsi="Arial"/>
          <w:bCs/>
        </w:rPr>
        <w:t xml:space="preserve">The powdered </w:t>
      </w:r>
      <w:proofErr w:type="spellStart"/>
      <w:r w:rsidRPr="002F3988">
        <w:rPr>
          <w:rFonts w:ascii="Arial" w:hAnsi="Arial"/>
          <w:bCs/>
        </w:rPr>
        <w:t>simplicia</w:t>
      </w:r>
      <w:proofErr w:type="spellEnd"/>
      <w:r w:rsidRPr="002F3988">
        <w:rPr>
          <w:rFonts w:ascii="Arial" w:hAnsi="Arial"/>
          <w:bCs/>
        </w:rPr>
        <w:t xml:space="preserve"> was placed in a dark maceration container and immersed in 70% ethanol until completely submerged. Maceration was carried out for 48 h with occasional stirring every 6 h. The mixture was then filtered to obtain the filtrate. The residue was </w:t>
      </w:r>
      <w:proofErr w:type="spellStart"/>
      <w:r w:rsidRPr="002F3988">
        <w:rPr>
          <w:rFonts w:ascii="Arial" w:hAnsi="Arial"/>
          <w:bCs/>
        </w:rPr>
        <w:t>remacerated</w:t>
      </w:r>
      <w:proofErr w:type="spellEnd"/>
      <w:r w:rsidRPr="002F3988">
        <w:rPr>
          <w:rFonts w:ascii="Arial" w:hAnsi="Arial"/>
          <w:bCs/>
        </w:rPr>
        <w:t xml:space="preserve"> using 96% ethanol, and the extraction process was repeated until a clear filtrate was obtained. All filtrates were combined and concentrated under reduced pressure using a rotary evaporator at 30–40 °C to yield a viscous ethanolic extract </w:t>
      </w:r>
      <w:r w:rsidRPr="002F3988">
        <w:rPr>
          <w:rFonts w:ascii="Arial" w:hAnsi="Arial"/>
          <w:bCs/>
        </w:rPr>
        <w:fldChar w:fldCharType="begin" w:fldLock="1"/>
      </w:r>
      <w:r w:rsidR="00FF2266">
        <w:rPr>
          <w:rFonts w:ascii="Arial" w:hAnsi="Arial"/>
          <w:bCs/>
        </w:rPr>
        <w:instrText>ADDIN CSL_CITATION {"citationItems":[{"id":"ITEM-1","itemData":{"DOI":"10.5530/pj.2022.14.143","ISSN":"09753575","abstract":"Piper betle var. nigra has potency as an herbal medication. Thus it can be used as a source of medicinal raw materials. Piper betle var. nigra simplicia and extracts must be controlled to obtain unswerving quality and ensure their pharmacological effects by standardizing them through several specific and non-specific parameters. Specific parameters were analyzed organoleptically in the ethanol extract, namely having a thick consistency, brownish-green or blackish-green color, a mild peculiar odor, a bitter, cherish taste, and a slightly spicy flavor. The microscopic simplicia powder profile is as follows: the lower epidermis with idioblasts in oil cells contour and upper epidermis, sclerenchyma, covering hairs, and transport bundles ladder-type thickening, and idioblasts in oil cells contour. Extract content analysis of simplicia and black betle leaves ethanol extract showed water-soluble extract content of 2.77% and 12.45% and ethanol-soluble extract content of 1.38% and 19.1%. Secondary metabolites in the ethanol extract are flavonoids, polyphenols, tannins, saponins, alkaloids, and steroids. The non-specific parameters of the simplicia and extract are as follows; total ash content of 12.1% and 7.43%; acid insoluble ash content of 4.45% and 1.57%; drying shrinkage of 14.5% and 15.85%; total lead (Pb) contamination 47.5 ppm and 1.2 ppm; and the total cadmium (Cd) contamination &lt;0.2 ppm. The total bacterial contamination in the extract was 4.3x105 colonies/g. The total yeast contamination was 8.3x105 colonies/g and volumetric mass density of the water-soluble extract of 0.96 g/mL and the volumetric mass density of the ethanol-soluble extract of 1.01 g/mL.","author":[{"dropping-particle":"","family":"Herman H","given":"Herman","non-dropping-particle":"","parse-names":false,"suffix":""},{"dropping-particle":"","family":"Prasetya","given":"Fajar","non-dropping-particle":"","parse-names":false,"suffix":""},{"dropping-particle":"","family":"Salam","given":"Supriatno","non-dropping-particle":"","parse-names":false,"suffix":""},{"dropping-particle":"","family":"Rijai","given":"Hifdzur Rashif","non-dropping-particle":"","parse-names":false,"suffix":""},{"dropping-particle":"","family":"Kuncoro","given":"Hadi","non-dropping-particle":"","parse-names":false,"suffix":""},{"dropping-particle":"","family":"Rusli","given":"Rolan","non-dropping-particle":"","parse-names":false,"suffix":""},{"dropping-particle":"","family":"Rahmadani","given":"Agung","non-dropping-particle":"","parse-names":false,"suffix":""},{"dropping-particle":"","family":"Tamhid","given":"Hady Anshory","non-dropping-particle":"","parse-names":false,"suffix":""},{"dropping-particle":"","family":"Harjunowibowo","given":"Dewanto","non-dropping-particle":"","parse-names":false,"suffix":""},{"dropping-particle":"","family":"Ahmad","given":"Islamudin","non-dropping-particle":"","parse-names":false,"suffix":""},{"dropping-particle":"","family":"Rijai","given":"Laode","non-dropping-particle":"","parse-names":false,"suffix":""}],"container-title":"Pharmacognosy Journal","id":"ITEM-1","issue":"5","issued":{"date-parts":[["2022","11","1"]]},"page":"610-618","title":"Pharmacognostic Profile of Simplicia and Ethanolic Leaves Extract from Indonesian Piper betle var. nigra","type":"article-journal","volume":"14"},"uris":["http://www.mendeley.com/documents/?uuid=941e2f91-9851-40bf-9919-9e1af1025177"]}],"mendeley":{"formattedCitation":"(Herman H et al., 2022)","plainTextFormattedCitation":"(Herman H et al., 2022)","previouslyFormattedCitation":"(Herman H et al., 2022)"},"properties":{"noteIndex":0},"schema":"https://github.com/citation-style-language/schema/raw/master/csl-citation.json"}</w:instrText>
      </w:r>
      <w:r w:rsidRPr="002F3988">
        <w:rPr>
          <w:rFonts w:ascii="Arial" w:hAnsi="Arial"/>
          <w:bCs/>
        </w:rPr>
        <w:fldChar w:fldCharType="separate"/>
      </w:r>
      <w:r w:rsidR="00FF2266" w:rsidRPr="00FF2266">
        <w:rPr>
          <w:rFonts w:ascii="Arial" w:hAnsi="Arial"/>
          <w:bCs/>
          <w:noProof/>
        </w:rPr>
        <w:t>(Herman H et al., 2022)</w:t>
      </w:r>
      <w:r w:rsidRPr="002F3988">
        <w:rPr>
          <w:rFonts w:ascii="Arial" w:hAnsi="Arial"/>
          <w:bCs/>
        </w:rPr>
        <w:fldChar w:fldCharType="end"/>
      </w:r>
      <w:r w:rsidRPr="002F3988">
        <w:rPr>
          <w:rFonts w:ascii="Arial" w:hAnsi="Arial"/>
          <w:bCs/>
        </w:rPr>
        <w:t>.</w:t>
      </w:r>
    </w:p>
    <w:p w14:paraId="2021176A" w14:textId="77777777" w:rsidR="002F3988" w:rsidRPr="002F3988" w:rsidRDefault="002F3988" w:rsidP="002F3988">
      <w:pPr>
        <w:widowControl w:val="0"/>
        <w:autoSpaceDE w:val="0"/>
        <w:autoSpaceDN w:val="0"/>
        <w:jc w:val="both"/>
        <w:rPr>
          <w:rFonts w:ascii="Arial" w:hAnsi="Arial"/>
          <w:bCs/>
        </w:rPr>
      </w:pPr>
    </w:p>
    <w:p w14:paraId="308C0CB5" w14:textId="77777777" w:rsidR="002F3988" w:rsidRPr="002F3988" w:rsidRDefault="002F3988" w:rsidP="002F3988">
      <w:pPr>
        <w:widowControl w:val="0"/>
        <w:autoSpaceDE w:val="0"/>
        <w:autoSpaceDN w:val="0"/>
        <w:jc w:val="both"/>
        <w:rPr>
          <w:rFonts w:ascii="Arial" w:hAnsi="Arial"/>
          <w:b/>
        </w:rPr>
      </w:pPr>
      <w:r w:rsidRPr="002F3988">
        <w:rPr>
          <w:rFonts w:ascii="Arial" w:hAnsi="Arial"/>
          <w:b/>
        </w:rPr>
        <w:t>Preparation of Gallic Acid Calibration Curve</w:t>
      </w:r>
    </w:p>
    <w:p w14:paraId="07D0555F" w14:textId="77777777" w:rsidR="002F3988" w:rsidRPr="002F3988" w:rsidRDefault="002F3988" w:rsidP="002F3988">
      <w:pPr>
        <w:widowControl w:val="0"/>
        <w:autoSpaceDE w:val="0"/>
        <w:autoSpaceDN w:val="0"/>
        <w:jc w:val="both"/>
        <w:rPr>
          <w:rFonts w:ascii="Arial" w:hAnsi="Arial"/>
          <w:bCs/>
        </w:rPr>
      </w:pPr>
      <w:r w:rsidRPr="002F3988">
        <w:rPr>
          <w:rFonts w:ascii="Arial" w:hAnsi="Arial"/>
          <w:bCs/>
        </w:rPr>
        <w:t xml:space="preserve">A gallic acid stock solution (500 ppm) was diluted to obtain standard solutions with concentrations of 40, 60, 80, 100, and 120 µg/mL using a methanol–distilled water mixture (1:1). Aliquots of 0.5 mL from each standard solution were mixed with 5 mL of diluted </w:t>
      </w:r>
      <w:proofErr w:type="spellStart"/>
      <w:r w:rsidRPr="002F3988">
        <w:rPr>
          <w:rFonts w:ascii="Arial" w:hAnsi="Arial"/>
          <w:bCs/>
        </w:rPr>
        <w:t>Folin</w:t>
      </w:r>
      <w:proofErr w:type="spellEnd"/>
      <w:r w:rsidRPr="002F3988">
        <w:rPr>
          <w:rFonts w:ascii="Arial" w:hAnsi="Arial"/>
          <w:bCs/>
        </w:rPr>
        <w:t>–</w:t>
      </w:r>
      <w:proofErr w:type="spellStart"/>
      <w:r w:rsidRPr="002F3988">
        <w:rPr>
          <w:rFonts w:ascii="Arial" w:hAnsi="Arial"/>
          <w:bCs/>
        </w:rPr>
        <w:t>Ciocalteu</w:t>
      </w:r>
      <w:proofErr w:type="spellEnd"/>
      <w:r w:rsidRPr="002F3988">
        <w:rPr>
          <w:rFonts w:ascii="Arial" w:hAnsi="Arial"/>
          <w:bCs/>
        </w:rPr>
        <w:t xml:space="preserve"> reagent (1:10, v/v) and 4 mL of 1 M sodium carbonate solution. The mixture was </w:t>
      </w:r>
      <w:r w:rsidRPr="002F3988">
        <w:rPr>
          <w:rFonts w:ascii="Arial" w:hAnsi="Arial"/>
          <w:bCs/>
        </w:rPr>
        <w:lastRenderedPageBreak/>
        <w:t xml:space="preserve">allowed to stand for 15 min before absorbance measurement </w:t>
      </w:r>
      <w:r w:rsidRPr="002F3988">
        <w:rPr>
          <w:rFonts w:ascii="Arial" w:hAnsi="Arial"/>
          <w:bCs/>
        </w:rPr>
        <w:fldChar w:fldCharType="begin" w:fldLock="1"/>
      </w:r>
      <w:r w:rsidR="00FF2266">
        <w:rPr>
          <w:rFonts w:ascii="Arial" w:hAnsi="Arial"/>
          <w:bCs/>
        </w:rPr>
        <w:instrText>ADDIN CSL_CITATION {"citationItems":[{"id":"ITEM-1","itemData":{"DOI":"10.3390/molecules27041345","ISSN":"1420-3049","PMID":"35209133","abstract":"Over the past decade, there has been growing interest in polyphenols’ research since these compounds, as antioxidants, have several health benefits, such as preventing neurodegenerative diseases, inflammation, cancer, cardiovascular diseases, and type 2 diabetes. This study implements an analytical method to assess the total phenolic content (TPC) in essential oils using Folin–Ciocalteu’s phenol reagent and quantifies the individual phenolic compounds by liquid chromatography. Thus, the research design and methodology included: (1) extraction of essential oil from dried thyme leaves by hydrodistillation; (2) spectrophotometric measurement of TPC by Folin–Ciocalteu method; and (3) identification and quantification of individual phenolic compounds by high-performance liquid chromatography-diode array detection/electrospray ionization mass spectrometry (HPLC-DAD-ESI-MS). Results revealed a TPC of 22.62 ± 0.482 mg GAE/100 µL and a polyphenolic profile characterized by phenolic acids (52.1%), flavonoids (16.1%), and other polyphenols (31.8%). Thymol, salvianolic acid A, and rosmarinic acid were the major compounds of thyme essential oil. The proposed analytical procedure has an acceptable level of repeatability, reproducibility, linearity, LOD (limit of detection), and LOQ (limit of quantification).","author":[{"dropping-particle":"","family":"Michiu","given":"Delia","non-dropping-particle":"","parse-names":false,"suffix":""},{"dropping-particle":"","family":"Socaciu","given":"Maria-Ioana","non-dropping-particle":"","parse-names":false,"suffix":""},{"dropping-particle":"","family":"Fogarasi","given":"Melinda","non-dropping-particle":"","parse-names":false,"suffix":""},{"dropping-particle":"","family":"Jimborean","given":"Anamaria Mirela","non-dropping-particle":"","parse-names":false,"suffix":""},{"dropping-particle":"","family":"Ranga","given":"Floricuţa","non-dropping-particle":"","parse-names":false,"suffix":""},{"dropping-particle":"","family":"Mureşan","given":"Vlad","non-dropping-particle":"","parse-names":false,"suffix":""},{"dropping-particle":"","family":"Semeniuc","given":"Cristina Anamaria","non-dropping-particle":"","parse-names":false,"suffix":""}],"container-title":"Molecules","id":"ITEM-1","issue":"4","issued":{"date-parts":[["2022","2","16"]]},"page":"1345","title":"Implementation of an Analytical Method for Spectrophotometric Evaluation of Total Phenolic Content in Essential Oils","type":"article-journal","volume":"27"},"uris":["http://www.mendeley.com/documents/?uuid=9178c138-1d78-4665-b532-22449344f44c"]}],"mendeley":{"formattedCitation":"(Michiu et al., 2022)","plainTextFormattedCitation":"(Michiu et al., 2022)","previouslyFormattedCitation":"(Michiu et al., 2022)"},"properties":{"noteIndex":0},"schema":"https://github.com/citation-style-language/schema/raw/master/csl-citation.json"}</w:instrText>
      </w:r>
      <w:r w:rsidRPr="002F3988">
        <w:rPr>
          <w:rFonts w:ascii="Arial" w:hAnsi="Arial"/>
          <w:bCs/>
        </w:rPr>
        <w:fldChar w:fldCharType="separate"/>
      </w:r>
      <w:r w:rsidR="00FF2266" w:rsidRPr="00FF2266">
        <w:rPr>
          <w:rFonts w:ascii="Arial" w:hAnsi="Arial"/>
          <w:bCs/>
          <w:noProof/>
        </w:rPr>
        <w:t>(Michiu et al., 2022)</w:t>
      </w:r>
      <w:r w:rsidRPr="002F3988">
        <w:rPr>
          <w:rFonts w:ascii="Arial" w:hAnsi="Arial"/>
          <w:bCs/>
        </w:rPr>
        <w:fldChar w:fldCharType="end"/>
      </w:r>
      <w:r w:rsidRPr="002F3988">
        <w:rPr>
          <w:rFonts w:ascii="Arial" w:hAnsi="Arial"/>
          <w:bCs/>
        </w:rPr>
        <w:t>.</w:t>
      </w:r>
    </w:p>
    <w:p w14:paraId="5E67DA47" w14:textId="77777777" w:rsidR="002F3988" w:rsidRPr="002F3988" w:rsidRDefault="002F3988" w:rsidP="002F3988">
      <w:pPr>
        <w:widowControl w:val="0"/>
        <w:autoSpaceDE w:val="0"/>
        <w:autoSpaceDN w:val="0"/>
        <w:jc w:val="both"/>
        <w:rPr>
          <w:rFonts w:ascii="Arial" w:hAnsi="Arial"/>
          <w:bCs/>
        </w:rPr>
      </w:pPr>
    </w:p>
    <w:p w14:paraId="512DBB8B" w14:textId="77777777" w:rsidR="002F3988" w:rsidRPr="002F3988" w:rsidRDefault="002F3988" w:rsidP="002F3988">
      <w:pPr>
        <w:widowControl w:val="0"/>
        <w:autoSpaceDE w:val="0"/>
        <w:autoSpaceDN w:val="0"/>
        <w:jc w:val="both"/>
        <w:rPr>
          <w:rFonts w:ascii="Arial" w:hAnsi="Arial"/>
          <w:b/>
        </w:rPr>
      </w:pPr>
      <w:r w:rsidRPr="002F3988">
        <w:rPr>
          <w:rFonts w:ascii="Arial" w:hAnsi="Arial"/>
          <w:b/>
        </w:rPr>
        <w:t>Determination of Maximum Wavelength of Gallic Acid</w:t>
      </w:r>
    </w:p>
    <w:p w14:paraId="6280B6F5" w14:textId="77777777" w:rsidR="002F3988" w:rsidRPr="002F3988" w:rsidRDefault="002F3988" w:rsidP="002F3988">
      <w:pPr>
        <w:widowControl w:val="0"/>
        <w:autoSpaceDE w:val="0"/>
        <w:autoSpaceDN w:val="0"/>
        <w:jc w:val="both"/>
        <w:rPr>
          <w:rFonts w:ascii="Arial" w:hAnsi="Arial"/>
          <w:bCs/>
        </w:rPr>
      </w:pPr>
      <w:r w:rsidRPr="002F3988">
        <w:rPr>
          <w:rFonts w:ascii="Arial" w:hAnsi="Arial"/>
          <w:bCs/>
        </w:rPr>
        <w:t>The absorbance of a 120 µg/mL gallic acid solution was scanned over the wavelength range of 400–800 nm using a UV–Vis spectrophotometer to determine the maximum absorption wavelength.</w:t>
      </w:r>
    </w:p>
    <w:p w14:paraId="7EF7D1AE" w14:textId="77777777" w:rsidR="002F3988" w:rsidRPr="002F3988" w:rsidRDefault="002F3988" w:rsidP="002F3988">
      <w:pPr>
        <w:widowControl w:val="0"/>
        <w:autoSpaceDE w:val="0"/>
        <w:autoSpaceDN w:val="0"/>
        <w:jc w:val="both"/>
        <w:rPr>
          <w:rFonts w:ascii="Arial" w:hAnsi="Arial"/>
          <w:bCs/>
        </w:rPr>
      </w:pPr>
    </w:p>
    <w:p w14:paraId="04340A02" w14:textId="77777777" w:rsidR="002F3988" w:rsidRPr="002F3988" w:rsidRDefault="002F3988" w:rsidP="002F3988">
      <w:pPr>
        <w:widowControl w:val="0"/>
        <w:autoSpaceDE w:val="0"/>
        <w:autoSpaceDN w:val="0"/>
        <w:jc w:val="both"/>
        <w:rPr>
          <w:rFonts w:ascii="Arial" w:hAnsi="Arial"/>
          <w:b/>
        </w:rPr>
      </w:pPr>
      <w:r w:rsidRPr="002F3988">
        <w:rPr>
          <w:rFonts w:ascii="Arial" w:hAnsi="Arial"/>
          <w:b/>
        </w:rPr>
        <w:t>Determination of Total Phenolic Content</w:t>
      </w:r>
    </w:p>
    <w:p w14:paraId="5B70A3B3" w14:textId="77777777" w:rsidR="002F3988" w:rsidRPr="002F3988" w:rsidRDefault="002F3988" w:rsidP="002F3988">
      <w:pPr>
        <w:widowControl w:val="0"/>
        <w:autoSpaceDE w:val="0"/>
        <w:autoSpaceDN w:val="0"/>
        <w:jc w:val="both"/>
        <w:rPr>
          <w:rFonts w:ascii="Arial" w:hAnsi="Arial"/>
          <w:bCs/>
        </w:rPr>
      </w:pPr>
      <w:r w:rsidRPr="002F3988">
        <w:rPr>
          <w:rFonts w:ascii="Arial" w:hAnsi="Arial"/>
          <w:bCs/>
        </w:rPr>
        <w:t xml:space="preserve">Total phenolic content was determined using the </w:t>
      </w:r>
      <w:proofErr w:type="spellStart"/>
      <w:r w:rsidRPr="002F3988">
        <w:rPr>
          <w:rFonts w:ascii="Arial" w:hAnsi="Arial"/>
          <w:bCs/>
        </w:rPr>
        <w:t>Folin</w:t>
      </w:r>
      <w:proofErr w:type="spellEnd"/>
      <w:r w:rsidRPr="002F3988">
        <w:rPr>
          <w:rFonts w:ascii="Arial" w:hAnsi="Arial"/>
          <w:bCs/>
        </w:rPr>
        <w:t>–</w:t>
      </w:r>
      <w:proofErr w:type="spellStart"/>
      <w:r w:rsidRPr="002F3988">
        <w:rPr>
          <w:rFonts w:ascii="Arial" w:hAnsi="Arial"/>
          <w:bCs/>
        </w:rPr>
        <w:t>Ciocalteu</w:t>
      </w:r>
      <w:proofErr w:type="spellEnd"/>
      <w:r w:rsidRPr="002F3988">
        <w:rPr>
          <w:rFonts w:ascii="Arial" w:hAnsi="Arial"/>
          <w:bCs/>
        </w:rPr>
        <w:t xml:space="preserve"> method. An aliquot of 0.5 mL of sample solution (1000 ppm) was mixed with 5 mL of diluted </w:t>
      </w:r>
      <w:proofErr w:type="spellStart"/>
      <w:r w:rsidRPr="002F3988">
        <w:rPr>
          <w:rFonts w:ascii="Arial" w:hAnsi="Arial"/>
          <w:bCs/>
        </w:rPr>
        <w:t>Folin</w:t>
      </w:r>
      <w:proofErr w:type="spellEnd"/>
      <w:r w:rsidRPr="002F3988">
        <w:rPr>
          <w:rFonts w:ascii="Arial" w:hAnsi="Arial"/>
          <w:bCs/>
        </w:rPr>
        <w:t>–</w:t>
      </w:r>
      <w:proofErr w:type="spellStart"/>
      <w:r w:rsidRPr="002F3988">
        <w:rPr>
          <w:rFonts w:ascii="Arial" w:hAnsi="Arial"/>
          <w:bCs/>
        </w:rPr>
        <w:t>Ciocalteu</w:t>
      </w:r>
      <w:proofErr w:type="spellEnd"/>
      <w:r w:rsidRPr="002F3988">
        <w:rPr>
          <w:rFonts w:ascii="Arial" w:hAnsi="Arial"/>
          <w:bCs/>
        </w:rPr>
        <w:t xml:space="preserve"> reagent (1:10, v/v) and 4 mL of 1 M sodium carbonate solution. After incubation for 15 min, absorbance was measured at the maximum wavelength of 765 nm. Total phenolic content was expressed as gallic acid equivalents.</w:t>
      </w:r>
    </w:p>
    <w:p w14:paraId="0B44F3FB" w14:textId="77777777" w:rsidR="002F3988" w:rsidRPr="002F3988" w:rsidRDefault="002F3988" w:rsidP="002F3988">
      <w:pPr>
        <w:widowControl w:val="0"/>
        <w:autoSpaceDE w:val="0"/>
        <w:autoSpaceDN w:val="0"/>
        <w:jc w:val="both"/>
        <w:rPr>
          <w:rFonts w:ascii="Arial" w:hAnsi="Arial"/>
          <w:bCs/>
        </w:rPr>
      </w:pPr>
    </w:p>
    <w:p w14:paraId="6F509183" w14:textId="77777777" w:rsidR="002F3988" w:rsidRPr="002F3988" w:rsidRDefault="002F3988" w:rsidP="002F3988">
      <w:pPr>
        <w:widowControl w:val="0"/>
        <w:autoSpaceDE w:val="0"/>
        <w:autoSpaceDN w:val="0"/>
        <w:jc w:val="both"/>
        <w:rPr>
          <w:rFonts w:ascii="Arial" w:hAnsi="Arial"/>
          <w:b/>
        </w:rPr>
      </w:pPr>
      <w:r w:rsidRPr="002F3988">
        <w:rPr>
          <w:rFonts w:ascii="Arial" w:hAnsi="Arial"/>
          <w:b/>
        </w:rPr>
        <w:t>Determination of Maximum Absorption Wavelength of DPPH</w:t>
      </w:r>
    </w:p>
    <w:p w14:paraId="00EB4AAD" w14:textId="77777777" w:rsidR="002F3988" w:rsidRPr="002F3988" w:rsidRDefault="002F3988" w:rsidP="002F3988">
      <w:pPr>
        <w:widowControl w:val="0"/>
        <w:autoSpaceDE w:val="0"/>
        <w:autoSpaceDN w:val="0"/>
        <w:jc w:val="both"/>
        <w:rPr>
          <w:rFonts w:ascii="Arial" w:hAnsi="Arial"/>
          <w:bCs/>
        </w:rPr>
      </w:pPr>
      <w:r w:rsidRPr="002F3988">
        <w:rPr>
          <w:rFonts w:ascii="Arial" w:hAnsi="Arial"/>
          <w:bCs/>
        </w:rPr>
        <w:t xml:space="preserve">A total of 4 mL of DPPH solution (35 ppm) was mixed with 2 mL of methanol–distilled water (1:1) and incubated in the dark for 30 min. The absorbance spectrum was scanned from 400 to 800 nm to determine the maximum absorption wavelength </w:t>
      </w:r>
      <w:r w:rsidRPr="002F3988">
        <w:rPr>
          <w:rFonts w:ascii="Arial" w:hAnsi="Arial"/>
          <w:bCs/>
        </w:rPr>
        <w:fldChar w:fldCharType="begin" w:fldLock="1"/>
      </w:r>
      <w:r w:rsidR="00FF2266">
        <w:rPr>
          <w:rFonts w:ascii="Arial" w:hAnsi="Arial"/>
          <w:bCs/>
        </w:rPr>
        <w:instrText>ADDIN CSL_CITATION {"citationItems":[{"id":"ITEM-1","itemData":{"DOI":"10.3390/molecules27041326","ISSN":"1420-3049","PMID":"35209118","abstract":"The use of F. religiosa might be beneficial in inflammatory illnesses and can be used for a variety of health conditions. In this article, we studied the identification of antioxidants using (DPPH) 2,2-Diphenyl-1-picrylhydrazylradical scavenging activity in Ficus religiosa, as F. religiosa is an important herbal plant, and every part of it has various medicinal properties such as antibacterial properties that can be used by the researchers in the development and design of various new drugs. The 2,2-Diphenyl-1-picrylhydrazyl (DPPH) is a popular, quick, easy, and affordable approach for the measurement of antioxidant properties that includes the use of the free radicals used for assessing the potential of substances to serve as hydrogen providers or free-radical scavengers (FRS). The technique of DPPH testing is associated with the elimination of DPPH, which would be a stabilized free radical. The free-radical DPPH interacts with an odd electron to yield a strong absorbance at 517 nm, i.e., a purple hue. An FRS antioxidant, for example, reacts to DPPH to form DPPHH, which has a lower absorbance than DPPH because of the lower amount of hydrogen. It is radical in comparison to the DPPH-H form, because it causes decolorization, or a yellow hue, as the number of electrons absorbed increases. Decolorization affects the lowering capacity significantly. As soon as the DPPH solutions are combined with the hydrogen atom source, the lower state of diphenylpicrylhydrazine is formed, shedding its violet color. To explain the processes behind the DPPH tests, as well as their applicability to Ficus religiosa (F. religiosa) in the manufacture of metal oxide nanoparticles, in particular MgO, and their influence on antioxidants, a specimen from the test was chosen for further study. According to our findings, F. religiosa has antioxidant qualities and may be useful in the treatment of disorders caused by free radicals.","author":[{"dropping-particle":"","family":"Baliyan","given":"Siddartha","non-dropping-particle":"","parse-names":false,"suffix":""},{"dropping-particle":"","family":"Mukherjee","given":"Riya","non-dropping-particle":"","parse-names":false,"suffix":""},{"dropping-particle":"","family":"Priyadarshini","given":"Anjali","non-dropping-particle":"","parse-names":false,"suffix":""},{"dropping-particle":"","family":"Vibhuti","given":"Arpana","non-dropping-particle":"","parse-names":false,"suffix":""},{"dropping-particle":"","family":"Gupta","given":"Archana","non-dropping-particle":"","parse-names":false,"suffix":""},{"dropping-particle":"","family":"Pandey","given":"Ramendra Pati","non-dropping-particle":"","parse-names":false,"suffix":""},{"dropping-particle":"","family":"Chang","given":"Chung-Ming","non-dropping-particle":"","parse-names":false,"suffix":""}],"container-title":"Molecules","id":"ITEM-1","issue":"4","issued":{"date-parts":[["2022","2","16"]]},"page":"1326","title":"Determination of Antioxidants by DPPH Radical Scavenging Activity and Quantitative Phytochemical Analysis of Ficus religiosa","type":"article-journal","volume":"27"},"uris":["http://www.mendeley.com/documents/?uuid=d78ada7e-0e3b-48d0-bdd5-e79b26851246"]}],"mendeley":{"formattedCitation":"(Baliyan et al., 2022)","plainTextFormattedCitation":"(Baliyan et al., 2022)","previouslyFormattedCitation":"(Baliyan et al., 2022)"},"properties":{"noteIndex":0},"schema":"https://github.com/citation-style-language/schema/raw/master/csl-citation.json"}</w:instrText>
      </w:r>
      <w:r w:rsidRPr="002F3988">
        <w:rPr>
          <w:rFonts w:ascii="Arial" w:hAnsi="Arial"/>
          <w:bCs/>
        </w:rPr>
        <w:fldChar w:fldCharType="separate"/>
      </w:r>
      <w:r w:rsidR="00FF2266" w:rsidRPr="00FF2266">
        <w:rPr>
          <w:rFonts w:ascii="Arial" w:hAnsi="Arial"/>
          <w:bCs/>
          <w:noProof/>
        </w:rPr>
        <w:t>(Baliyan et al., 2022)</w:t>
      </w:r>
      <w:r w:rsidRPr="002F3988">
        <w:rPr>
          <w:rFonts w:ascii="Arial" w:hAnsi="Arial"/>
          <w:bCs/>
        </w:rPr>
        <w:fldChar w:fldCharType="end"/>
      </w:r>
      <w:r w:rsidRPr="002F3988">
        <w:rPr>
          <w:rFonts w:ascii="Arial" w:hAnsi="Arial"/>
          <w:bCs/>
        </w:rPr>
        <w:t>.</w:t>
      </w:r>
    </w:p>
    <w:p w14:paraId="5D9C7A88" w14:textId="77777777" w:rsidR="002F3988" w:rsidRPr="002F3988" w:rsidRDefault="002F3988" w:rsidP="002F3988">
      <w:pPr>
        <w:widowControl w:val="0"/>
        <w:autoSpaceDE w:val="0"/>
        <w:autoSpaceDN w:val="0"/>
        <w:jc w:val="both"/>
        <w:rPr>
          <w:rFonts w:ascii="Arial" w:hAnsi="Arial"/>
          <w:bCs/>
        </w:rPr>
      </w:pPr>
    </w:p>
    <w:p w14:paraId="57158946" w14:textId="77777777" w:rsidR="002F3988" w:rsidRPr="002F3988" w:rsidRDefault="002F3988" w:rsidP="002F3988">
      <w:pPr>
        <w:widowControl w:val="0"/>
        <w:autoSpaceDE w:val="0"/>
        <w:autoSpaceDN w:val="0"/>
        <w:jc w:val="both"/>
        <w:rPr>
          <w:rFonts w:ascii="Arial" w:hAnsi="Arial"/>
          <w:b/>
        </w:rPr>
      </w:pPr>
      <w:r w:rsidRPr="002F3988">
        <w:rPr>
          <w:rFonts w:ascii="Arial" w:hAnsi="Arial"/>
          <w:b/>
        </w:rPr>
        <w:t>Antioxidant Activity Assay of Gallic Acid Standard</w:t>
      </w:r>
    </w:p>
    <w:p w14:paraId="70402DE0" w14:textId="77777777" w:rsidR="002F3988" w:rsidRPr="002F3988" w:rsidRDefault="002F3988" w:rsidP="002F3988">
      <w:pPr>
        <w:widowControl w:val="0"/>
        <w:autoSpaceDE w:val="0"/>
        <w:autoSpaceDN w:val="0"/>
        <w:jc w:val="both"/>
        <w:rPr>
          <w:rFonts w:ascii="Arial" w:hAnsi="Arial"/>
          <w:bCs/>
        </w:rPr>
      </w:pPr>
      <w:r w:rsidRPr="002F3988">
        <w:rPr>
          <w:rFonts w:ascii="Arial" w:hAnsi="Arial"/>
          <w:bCs/>
        </w:rPr>
        <w:t>A gallic acid solution (50 µg/mL) was prepared and diluted to obtain concentrations of 1, 2, 3, 4, and 5 µg/</w:t>
      </w:r>
      <w:proofErr w:type="spellStart"/>
      <w:r w:rsidRPr="002F3988">
        <w:rPr>
          <w:rFonts w:ascii="Arial" w:hAnsi="Arial"/>
          <w:bCs/>
        </w:rPr>
        <w:t>mL.</w:t>
      </w:r>
      <w:proofErr w:type="spellEnd"/>
      <w:r w:rsidRPr="002F3988">
        <w:rPr>
          <w:rFonts w:ascii="Arial" w:hAnsi="Arial"/>
          <w:bCs/>
        </w:rPr>
        <w:t xml:space="preserve"> Each solution (2 mL) was mixed with 4 mL of DPPH solution (35 µg/mL) and incubated in the dark for 30 min. Absorbance was measured at 520 nm. The percentage of inhibition was calculated to generate a linear regression equation and determine the IC</w:t>
      </w:r>
      <w:r w:rsidRPr="002F3988">
        <w:rPr>
          <w:rFonts w:ascii="Cambria Math" w:hAnsi="Cambria Math" w:cs="Cambria Math"/>
          <w:bCs/>
        </w:rPr>
        <w:t>₅₀</w:t>
      </w:r>
      <w:r w:rsidRPr="002F3988">
        <w:rPr>
          <w:rFonts w:ascii="Arial" w:hAnsi="Arial"/>
          <w:bCs/>
        </w:rPr>
        <w:t xml:space="preserve"> value.</w:t>
      </w:r>
    </w:p>
    <w:p w14:paraId="692CD658" w14:textId="77777777" w:rsidR="002F3988" w:rsidRPr="002F3988" w:rsidRDefault="002F3988" w:rsidP="002F3988">
      <w:pPr>
        <w:widowControl w:val="0"/>
        <w:autoSpaceDE w:val="0"/>
        <w:autoSpaceDN w:val="0"/>
        <w:jc w:val="both"/>
        <w:rPr>
          <w:rFonts w:ascii="Arial" w:hAnsi="Arial"/>
          <w:bCs/>
        </w:rPr>
      </w:pPr>
    </w:p>
    <w:p w14:paraId="7827E46D" w14:textId="77777777" w:rsidR="002F3988" w:rsidRPr="002F3988" w:rsidRDefault="002F3988" w:rsidP="002F3988">
      <w:pPr>
        <w:widowControl w:val="0"/>
        <w:autoSpaceDE w:val="0"/>
        <w:autoSpaceDN w:val="0"/>
        <w:jc w:val="both"/>
        <w:rPr>
          <w:rFonts w:ascii="Arial" w:hAnsi="Arial"/>
          <w:b/>
        </w:rPr>
      </w:pPr>
      <w:r w:rsidRPr="002F3988">
        <w:rPr>
          <w:rFonts w:ascii="Arial" w:hAnsi="Arial"/>
          <w:b/>
        </w:rPr>
        <w:t>Antioxidant Activity Assay of Cotton Fruit Peel Extract</w:t>
      </w:r>
    </w:p>
    <w:p w14:paraId="2D733078" w14:textId="77777777" w:rsidR="002F3988" w:rsidRPr="002F3988" w:rsidRDefault="002F3988" w:rsidP="002F3988">
      <w:pPr>
        <w:widowControl w:val="0"/>
        <w:autoSpaceDE w:val="0"/>
        <w:autoSpaceDN w:val="0"/>
        <w:jc w:val="both"/>
        <w:rPr>
          <w:rFonts w:ascii="Arial" w:hAnsi="Arial"/>
          <w:bCs/>
        </w:rPr>
      </w:pPr>
      <w:r w:rsidRPr="002F3988">
        <w:rPr>
          <w:rFonts w:ascii="Arial" w:hAnsi="Arial"/>
          <w:bCs/>
        </w:rPr>
        <w:t>The extract (25 mg) was dissolved in methanol to obtain a stock solution of 250 µg/</w:t>
      </w:r>
      <w:proofErr w:type="spellStart"/>
      <w:r w:rsidRPr="002F3988">
        <w:rPr>
          <w:rFonts w:ascii="Arial" w:hAnsi="Arial"/>
          <w:bCs/>
        </w:rPr>
        <w:t>mL.</w:t>
      </w:r>
      <w:proofErr w:type="spellEnd"/>
      <w:r w:rsidRPr="002F3988">
        <w:rPr>
          <w:rFonts w:ascii="Arial" w:hAnsi="Arial"/>
          <w:bCs/>
        </w:rPr>
        <w:t xml:space="preserve"> This solution was diluted to final concentrations of 5, 10, 15, 20, and 25 µg/</w:t>
      </w:r>
      <w:proofErr w:type="spellStart"/>
      <w:r w:rsidRPr="002F3988">
        <w:rPr>
          <w:rFonts w:ascii="Arial" w:hAnsi="Arial"/>
          <w:bCs/>
        </w:rPr>
        <w:t>mL.</w:t>
      </w:r>
      <w:proofErr w:type="spellEnd"/>
      <w:r w:rsidRPr="002F3988">
        <w:rPr>
          <w:rFonts w:ascii="Arial" w:hAnsi="Arial"/>
          <w:bCs/>
        </w:rPr>
        <w:t xml:space="preserve"> Each dilution (2 mL) was mixed with 4 mL of DPPH solution (35 µg/mL) and incubated in the dark for 30 min. Absorbance was measured at 520 nm. Antioxidant activity was expressed as percentage inhibition and IC</w:t>
      </w:r>
      <w:r w:rsidRPr="002F3988">
        <w:rPr>
          <w:rFonts w:ascii="Arial" w:hAnsi="Arial"/>
          <w:bCs/>
          <w:vertAlign w:val="subscript"/>
        </w:rPr>
        <w:t xml:space="preserve">50 </w:t>
      </w:r>
      <w:r w:rsidRPr="002F3988">
        <w:rPr>
          <w:rFonts w:ascii="Arial" w:hAnsi="Arial"/>
          <w:bCs/>
        </w:rPr>
        <w:t>value.</w:t>
      </w:r>
    </w:p>
    <w:p w14:paraId="371743A3" w14:textId="77777777" w:rsidR="002F3988" w:rsidRPr="002F3988" w:rsidRDefault="002F3988" w:rsidP="002F3988">
      <w:pPr>
        <w:widowControl w:val="0"/>
        <w:autoSpaceDE w:val="0"/>
        <w:autoSpaceDN w:val="0"/>
        <w:jc w:val="both"/>
        <w:rPr>
          <w:rFonts w:ascii="Arial" w:hAnsi="Arial"/>
          <w:bCs/>
        </w:rPr>
      </w:pPr>
    </w:p>
    <w:p w14:paraId="128A881A" w14:textId="77777777" w:rsidR="002F3988" w:rsidRPr="002F3988" w:rsidRDefault="002F3988" w:rsidP="002F3988">
      <w:pPr>
        <w:widowControl w:val="0"/>
        <w:autoSpaceDE w:val="0"/>
        <w:autoSpaceDN w:val="0"/>
        <w:jc w:val="both"/>
        <w:rPr>
          <w:rFonts w:ascii="Arial" w:hAnsi="Arial"/>
          <w:b/>
        </w:rPr>
      </w:pPr>
      <w:r w:rsidRPr="002F3988">
        <w:rPr>
          <w:rFonts w:ascii="Arial" w:hAnsi="Arial"/>
          <w:b/>
        </w:rPr>
        <w:t>Data Analysis</w:t>
      </w:r>
    </w:p>
    <w:p w14:paraId="679416A6" w14:textId="77777777" w:rsidR="002F3988" w:rsidRPr="002F3988" w:rsidRDefault="002F3988" w:rsidP="002F3988">
      <w:pPr>
        <w:widowControl w:val="0"/>
        <w:autoSpaceDE w:val="0"/>
        <w:autoSpaceDN w:val="0"/>
        <w:jc w:val="both"/>
        <w:rPr>
          <w:rFonts w:ascii="Arial" w:hAnsi="Arial"/>
          <w:bCs/>
        </w:rPr>
      </w:pPr>
      <w:r w:rsidRPr="002F3988">
        <w:rPr>
          <w:rFonts w:ascii="Arial" w:hAnsi="Arial"/>
          <w:bCs/>
        </w:rPr>
        <w:t>Total phenolic content was calculated using a linear regression equation derived from the gallic acid calibration curve. Antioxidant activity was determined based on the percentage of DPPH radical scavenging, calculated as:</w:t>
      </w:r>
    </w:p>
    <w:p w14:paraId="3735C9E7" w14:textId="77777777" w:rsidR="002F3988" w:rsidRPr="002F3988" w:rsidRDefault="002F3988" w:rsidP="002F3988">
      <w:pPr>
        <w:widowControl w:val="0"/>
        <w:autoSpaceDE w:val="0"/>
        <w:autoSpaceDN w:val="0"/>
        <w:jc w:val="both"/>
        <w:rPr>
          <w:rFonts w:ascii="Arial" w:hAnsi="Arial"/>
          <w:bCs/>
        </w:rPr>
      </w:pPr>
      <m:oMathPara>
        <m:oMath>
          <m:r>
            <m:rPr>
              <m:sty m:val="p"/>
            </m:rPr>
            <w:rPr>
              <w:rFonts w:ascii="Cambria Math" w:hAnsi="Cambria Math" w:cs="Arial"/>
              <w:sz w:val="22"/>
              <w:szCs w:val="22"/>
            </w:rPr>
            <m:t xml:space="preserve">% Inhibition = </m:t>
          </m:r>
          <m:f>
            <m:fPr>
              <m:ctrlPr>
                <w:rPr>
                  <w:rFonts w:ascii="Cambria Math" w:hAnsi="Cambria Math" w:cs="Arial"/>
                  <w:sz w:val="22"/>
                  <w:szCs w:val="22"/>
                </w:rPr>
              </m:ctrlPr>
            </m:fPr>
            <m:num>
              <m:r>
                <m:rPr>
                  <m:sty m:val="p"/>
                </m:rPr>
                <w:rPr>
                  <w:rFonts w:ascii="Cambria Math" w:hAnsi="Cambria Math" w:cs="Arial"/>
                  <w:sz w:val="22"/>
                  <w:szCs w:val="22"/>
                </w:rPr>
                <m:t>A0-As</m:t>
              </m:r>
            </m:num>
            <m:den>
              <m:r>
                <m:rPr>
                  <m:sty m:val="p"/>
                </m:rPr>
                <w:rPr>
                  <w:rFonts w:ascii="Cambria Math" w:hAnsi="Cambria Math" w:cs="Arial"/>
                  <w:sz w:val="22"/>
                  <w:szCs w:val="22"/>
                </w:rPr>
                <m:t>A0</m:t>
              </m:r>
            </m:den>
          </m:f>
        </m:oMath>
      </m:oMathPara>
    </w:p>
    <w:p w14:paraId="258F7677" w14:textId="77777777" w:rsidR="002F3988" w:rsidRPr="002F3988" w:rsidRDefault="002F3988" w:rsidP="002F3988">
      <w:pPr>
        <w:widowControl w:val="0"/>
        <w:autoSpaceDE w:val="0"/>
        <w:autoSpaceDN w:val="0"/>
        <w:rPr>
          <w:rFonts w:ascii="Arial" w:hAnsi="Arial" w:cs="Arial"/>
          <w:b/>
          <w:bCs/>
          <w:sz w:val="24"/>
          <w:szCs w:val="24"/>
        </w:rPr>
      </w:pPr>
    </w:p>
    <w:p w14:paraId="0BC07B04" w14:textId="77777777" w:rsidR="00A03B96" w:rsidRDefault="002F3988" w:rsidP="002F3988">
      <w:pPr>
        <w:pStyle w:val="Body"/>
        <w:spacing w:after="0"/>
        <w:rPr>
          <w:rFonts w:ascii="Arial" w:hAnsi="Arial" w:cs="Arial"/>
        </w:rPr>
      </w:pPr>
      <w:r w:rsidRPr="002F3988">
        <w:rPr>
          <w:rFonts w:ascii="Arial" w:hAnsi="Arial"/>
        </w:rPr>
        <w:t xml:space="preserve">The </w:t>
      </w:r>
      <w:r w:rsidRPr="002F3988">
        <w:rPr>
          <w:rFonts w:ascii="Arial" w:hAnsi="Arial"/>
          <w:bCs/>
        </w:rPr>
        <w:t>IC</w:t>
      </w:r>
      <w:r w:rsidRPr="002F3988">
        <w:rPr>
          <w:rFonts w:ascii="Arial" w:hAnsi="Arial"/>
          <w:bCs/>
          <w:vertAlign w:val="subscript"/>
        </w:rPr>
        <w:t xml:space="preserve">50 </w:t>
      </w:r>
      <w:r w:rsidRPr="002F3988">
        <w:rPr>
          <w:rFonts w:ascii="Arial" w:hAnsi="Arial"/>
        </w:rPr>
        <w:t xml:space="preserve">value was defined as the concentration of extract required to inhibit 50% of DPPH radicals and was obtained from the regression equation of percentage inhibition versus sample concentration. Lower </w:t>
      </w:r>
      <w:r w:rsidRPr="002F3988">
        <w:rPr>
          <w:rFonts w:ascii="Arial" w:hAnsi="Arial"/>
          <w:bCs/>
        </w:rPr>
        <w:t>IC</w:t>
      </w:r>
      <w:r w:rsidRPr="002F3988">
        <w:rPr>
          <w:rFonts w:ascii="Arial" w:hAnsi="Arial"/>
          <w:bCs/>
          <w:vertAlign w:val="subscript"/>
        </w:rPr>
        <w:t xml:space="preserve">50 </w:t>
      </w:r>
      <w:r w:rsidRPr="002F3988">
        <w:rPr>
          <w:rFonts w:ascii="Arial" w:hAnsi="Arial"/>
        </w:rPr>
        <w:t>values indicate stronger antioxidant activity.</w:t>
      </w:r>
    </w:p>
    <w:p w14:paraId="723BFC60" w14:textId="77777777" w:rsidR="00790ADA" w:rsidRPr="00FB3A86" w:rsidRDefault="00790ADA" w:rsidP="00441B6F">
      <w:pPr>
        <w:pStyle w:val="Body"/>
        <w:spacing w:after="0"/>
        <w:rPr>
          <w:rFonts w:ascii="Arial" w:hAnsi="Arial" w:cs="Arial"/>
        </w:rPr>
      </w:pPr>
    </w:p>
    <w:p w14:paraId="024DEA5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248C17" w14:textId="77777777" w:rsidR="00790ADA" w:rsidRPr="00FB3A86" w:rsidRDefault="00790ADA" w:rsidP="00441B6F">
      <w:pPr>
        <w:pStyle w:val="Head1"/>
        <w:spacing w:after="0"/>
        <w:jc w:val="both"/>
        <w:rPr>
          <w:rFonts w:ascii="Arial" w:hAnsi="Arial" w:cs="Arial"/>
        </w:rPr>
      </w:pPr>
    </w:p>
    <w:p w14:paraId="4F1EF878" w14:textId="77777777" w:rsidR="002F3988" w:rsidRPr="00FF2266" w:rsidRDefault="002F3988" w:rsidP="00FF2266">
      <w:pPr>
        <w:jc w:val="both"/>
        <w:rPr>
          <w:rFonts w:ascii="Arial" w:hAnsi="Arial" w:cs="Arial"/>
        </w:rPr>
      </w:pPr>
      <w:r w:rsidRPr="00FF2266">
        <w:rPr>
          <w:rFonts w:ascii="Arial" w:hAnsi="Arial" w:cs="Arial"/>
        </w:rPr>
        <w:t xml:space="preserve">From 500 g of dried cotton fruit peel </w:t>
      </w:r>
      <w:proofErr w:type="spellStart"/>
      <w:r w:rsidRPr="00FF2266">
        <w:rPr>
          <w:rFonts w:ascii="Arial" w:hAnsi="Arial" w:cs="Arial"/>
        </w:rPr>
        <w:t>simplicia</w:t>
      </w:r>
      <w:proofErr w:type="spellEnd"/>
      <w:r w:rsidRPr="00FF2266">
        <w:rPr>
          <w:rFonts w:ascii="Arial" w:hAnsi="Arial" w:cs="Arial"/>
        </w:rPr>
        <w:t xml:space="preserve">, 62.65 g of viscous ethanolic extract was obtained, corresponding to an extraction yield of 12.53%. The relatively high yield indicates effective solvent penetration and extraction efficiency using sequential maceration with 70% and 96% ethanol </w:t>
      </w:r>
      <w:r w:rsidRPr="00FF2266">
        <w:rPr>
          <w:rFonts w:ascii="Arial" w:hAnsi="Arial" w:cs="Arial"/>
        </w:rPr>
        <w:fldChar w:fldCharType="begin" w:fldLock="1"/>
      </w:r>
      <w:r w:rsidR="00FF2266">
        <w:rPr>
          <w:rFonts w:ascii="Arial" w:hAnsi="Arial" w:cs="Arial"/>
        </w:rPr>
        <w:instrText>ADDIN CSL_CITATION {"citationItems":[{"id":"ITEM-1","itemData":{"DOI":"10.1016/j.foodchem.2021.131918","ISSN":"03088146","PMID":"35085901","abstract":"Agro-foodindustries generate colossal amounts of non-edible waste and by-products, easily accessible as raw materials for up-cycling active phytochemicals. Phenolic compounds are particularly relevant in this field given their abundance in plant residues and the market interest of their functionalities (e.g. natural antioxidant activity) as part of nutraceutical, cosmetological and biomedical formulations. In “bench-to-bedside” achievements, sample extraction is essential because valorization benefits from matrix desorption and solubilization of targeted phytocompounds. Specifically, the composition and polarity of the extractant, the optimal sample particle size and sample:solvent ratio, as well as pH, pressure and temperature are strategic for the release and stability of mobilized species. On the other hand, current green chemistry environmental rules require extraction approaches that eliminate polluting consumables and reduce energy needs. Thus, the following pages provide an update on advanced technologies for the sustainable and efficient recovery of phenolics from plant matrices.","author":[{"dropping-particle":"","family":"Gil-Martín","given":"Emilio","non-dropping-particle":"","parse-names":false,"suffix":""},{"dropping-particle":"","family":"Forbes-Hernández","given":"Tamara","non-dropping-particle":"","parse-names":false,"suffix":""},{"dropping-particle":"","family":"Romero","given":"Alejandro","non-dropping-particle":"","parse-names":false,"suffix":""},{"dropping-particle":"","family":"Cianciosi","given":"Danila","non-dropping-particle":"","parse-names":false,"suffix":""},{"dropping-particle":"","family":"Giampieri","given":"Francesca","non-dropping-particle":"","parse-names":false,"suffix":""},{"dropping-particle":"","family":"Battino","given":"Maurizio","non-dropping-particle":"","parse-names":false,"suffix":""}],"container-title":"Food Chemistry","id":"ITEM-1","issued":{"date-parts":[["2022","6"]]},"page":"131918","title":"Influence of the extraction method on the recovery of bioactive phenolic compounds from food industry by-products","type":"article-journal","volume":"378"},"uris":["http://www.mendeley.com/documents/?uuid=cd7627a7-08cb-4c6e-a585-bbdb0fb562e9"]}],"mendeley":{"formattedCitation":"(Gil-Martín et al., 2022)","plainTextFormattedCitation":"(Gil-Martín et al., 2022)","previouslyFormattedCitation":"(Gil-Martín et al., 2022)"},"properties":{"noteIndex":0},"schema":"https://github.com/citation-style-language/schema/raw/master/csl-citation.json"}</w:instrText>
      </w:r>
      <w:r w:rsidRPr="00FF2266">
        <w:rPr>
          <w:rFonts w:ascii="Arial" w:hAnsi="Arial" w:cs="Arial"/>
        </w:rPr>
        <w:fldChar w:fldCharType="separate"/>
      </w:r>
      <w:r w:rsidR="00FF2266" w:rsidRPr="00FF2266">
        <w:rPr>
          <w:rFonts w:ascii="Arial" w:hAnsi="Arial" w:cs="Arial"/>
          <w:noProof/>
        </w:rPr>
        <w:t>(Gil-Martín et al., 2022)</w:t>
      </w:r>
      <w:r w:rsidRPr="00FF2266">
        <w:rPr>
          <w:rFonts w:ascii="Arial" w:hAnsi="Arial" w:cs="Arial"/>
        </w:rPr>
        <w:fldChar w:fldCharType="end"/>
      </w:r>
      <w:r w:rsidRPr="00FF2266">
        <w:rPr>
          <w:rFonts w:ascii="Arial" w:hAnsi="Arial" w:cs="Arial"/>
        </w:rPr>
        <w:t xml:space="preserve">. Organoleptic evaluation showed that the extract was dark brown in color, viscous in texture, and possessed a characteristic odor. Preliminary phytochemical screening revealed the presence of several secondary metabolites, </w:t>
      </w:r>
      <w:r w:rsidRPr="00FF2266">
        <w:rPr>
          <w:rFonts w:ascii="Arial" w:hAnsi="Arial" w:cs="Arial"/>
        </w:rPr>
        <w:lastRenderedPageBreak/>
        <w:t>particularly phenolic-related compounds, which are known to contribute to antioxidant activity.</w:t>
      </w:r>
    </w:p>
    <w:p w14:paraId="722EE136" w14:textId="77777777" w:rsidR="002F3988" w:rsidRPr="00FF2266" w:rsidRDefault="002F3988" w:rsidP="00FF2266">
      <w:pPr>
        <w:rPr>
          <w:rFonts w:ascii="Arial" w:hAnsi="Arial" w:cs="Arial"/>
        </w:rPr>
      </w:pPr>
    </w:p>
    <w:p w14:paraId="0B82D413" w14:textId="77777777" w:rsidR="002F3988" w:rsidRPr="00FF2266" w:rsidRDefault="002F3988" w:rsidP="00FF2266">
      <w:pPr>
        <w:rPr>
          <w:rFonts w:ascii="Arial" w:hAnsi="Arial" w:cs="Arial"/>
          <w:b/>
        </w:rPr>
      </w:pPr>
      <w:r w:rsidRPr="00FF2266">
        <w:rPr>
          <w:rFonts w:ascii="Arial" w:hAnsi="Arial" w:cs="Arial"/>
          <w:b/>
        </w:rPr>
        <w:t>Table 1. Extraction Yield and Physical Characteristics of Cotton Fruit Peel Extract</w:t>
      </w:r>
    </w:p>
    <w:tbl>
      <w:tblPr>
        <w:tblStyle w:val="TableGrid"/>
        <w:tblW w:w="4857" w:type="pct"/>
        <w:tblInd w:w="1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4453"/>
      </w:tblGrid>
      <w:tr w:rsidR="002F3988" w:rsidRPr="002F3988" w14:paraId="5460BB90" w14:textId="77777777" w:rsidTr="00700982">
        <w:trPr>
          <w:trHeight w:val="254"/>
        </w:trPr>
        <w:tc>
          <w:tcPr>
            <w:tcW w:w="2279" w:type="pct"/>
            <w:tcBorders>
              <w:top w:val="single" w:sz="4" w:space="0" w:color="auto"/>
              <w:bottom w:val="single" w:sz="4" w:space="0" w:color="auto"/>
            </w:tcBorders>
          </w:tcPr>
          <w:p w14:paraId="350E8F55" w14:textId="77777777" w:rsidR="002F3988" w:rsidRPr="002F3988" w:rsidRDefault="002F3988" w:rsidP="002F3988">
            <w:pPr>
              <w:widowControl w:val="0"/>
              <w:autoSpaceDE w:val="0"/>
              <w:autoSpaceDN w:val="0"/>
              <w:rPr>
                <w:rFonts w:ascii="Arial" w:hAnsi="Arial" w:cs="Arial"/>
                <w:b/>
                <w:sz w:val="20"/>
                <w:szCs w:val="20"/>
              </w:rPr>
            </w:pPr>
            <w:r w:rsidRPr="002F3988">
              <w:rPr>
                <w:rFonts w:ascii="Arial" w:hAnsi="Arial" w:cs="Arial"/>
                <w:b/>
                <w:sz w:val="20"/>
                <w:szCs w:val="20"/>
              </w:rPr>
              <w:t>Parameter</w:t>
            </w:r>
          </w:p>
        </w:tc>
        <w:tc>
          <w:tcPr>
            <w:tcW w:w="2720" w:type="pct"/>
            <w:tcBorders>
              <w:top w:val="single" w:sz="4" w:space="0" w:color="auto"/>
              <w:bottom w:val="single" w:sz="4" w:space="0" w:color="auto"/>
            </w:tcBorders>
          </w:tcPr>
          <w:p w14:paraId="0A9D6CB9" w14:textId="77777777" w:rsidR="002F3988" w:rsidRPr="002F3988" w:rsidRDefault="002F3988" w:rsidP="002F3988">
            <w:pPr>
              <w:widowControl w:val="0"/>
              <w:autoSpaceDE w:val="0"/>
              <w:autoSpaceDN w:val="0"/>
              <w:rPr>
                <w:rFonts w:ascii="Arial" w:hAnsi="Arial" w:cs="Arial"/>
                <w:b/>
                <w:sz w:val="20"/>
                <w:szCs w:val="20"/>
              </w:rPr>
            </w:pPr>
            <w:r w:rsidRPr="002F3988">
              <w:rPr>
                <w:rFonts w:ascii="Arial" w:hAnsi="Arial" w:cs="Arial"/>
                <w:b/>
                <w:bCs/>
                <w:sz w:val="20"/>
                <w:szCs w:val="20"/>
                <w:lang w:eastAsia="zh-CN"/>
              </w:rPr>
              <w:t>Result</w:t>
            </w:r>
          </w:p>
        </w:tc>
      </w:tr>
      <w:tr w:rsidR="002F3988" w:rsidRPr="002F3988" w14:paraId="7B35321D" w14:textId="77777777" w:rsidTr="00700982">
        <w:trPr>
          <w:trHeight w:val="232"/>
        </w:trPr>
        <w:tc>
          <w:tcPr>
            <w:tcW w:w="2279" w:type="pct"/>
            <w:tcBorders>
              <w:top w:val="single" w:sz="4" w:space="0" w:color="auto"/>
            </w:tcBorders>
            <w:vAlign w:val="center"/>
          </w:tcPr>
          <w:p w14:paraId="1E0872A9"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Fresh sample weight</w:t>
            </w:r>
          </w:p>
        </w:tc>
        <w:tc>
          <w:tcPr>
            <w:tcW w:w="2720" w:type="pct"/>
            <w:tcBorders>
              <w:top w:val="single" w:sz="4" w:space="0" w:color="auto"/>
            </w:tcBorders>
            <w:vAlign w:val="center"/>
          </w:tcPr>
          <w:p w14:paraId="45236DB9"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2 kg</w:t>
            </w:r>
          </w:p>
        </w:tc>
      </w:tr>
      <w:tr w:rsidR="002F3988" w:rsidRPr="002F3988" w14:paraId="31ACB821" w14:textId="77777777" w:rsidTr="00700982">
        <w:trPr>
          <w:trHeight w:val="222"/>
        </w:trPr>
        <w:tc>
          <w:tcPr>
            <w:tcW w:w="2279" w:type="pct"/>
            <w:vAlign w:val="center"/>
          </w:tcPr>
          <w:p w14:paraId="42D06F8E"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 xml:space="preserve">Dried </w:t>
            </w:r>
            <w:proofErr w:type="spellStart"/>
            <w:r w:rsidRPr="002F3988">
              <w:rPr>
                <w:rFonts w:ascii="Arial" w:hAnsi="Arial" w:cs="Arial"/>
                <w:sz w:val="20"/>
                <w:szCs w:val="20"/>
                <w:lang w:eastAsia="zh-CN"/>
              </w:rPr>
              <w:t>simplicia</w:t>
            </w:r>
            <w:proofErr w:type="spellEnd"/>
            <w:r w:rsidRPr="002F3988">
              <w:rPr>
                <w:rFonts w:ascii="Arial" w:hAnsi="Arial" w:cs="Arial"/>
                <w:sz w:val="20"/>
                <w:szCs w:val="20"/>
                <w:lang w:eastAsia="zh-CN"/>
              </w:rPr>
              <w:t xml:space="preserve"> weight</w:t>
            </w:r>
          </w:p>
        </w:tc>
        <w:tc>
          <w:tcPr>
            <w:tcW w:w="2720" w:type="pct"/>
            <w:vAlign w:val="center"/>
          </w:tcPr>
          <w:p w14:paraId="51547F83"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500 g</w:t>
            </w:r>
          </w:p>
        </w:tc>
      </w:tr>
      <w:tr w:rsidR="002F3988" w:rsidRPr="002F3988" w14:paraId="523BB94C" w14:textId="77777777" w:rsidTr="00700982">
        <w:trPr>
          <w:trHeight w:val="222"/>
        </w:trPr>
        <w:tc>
          <w:tcPr>
            <w:tcW w:w="2279" w:type="pct"/>
            <w:vAlign w:val="center"/>
          </w:tcPr>
          <w:p w14:paraId="4A20A746"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Extract weight</w:t>
            </w:r>
          </w:p>
        </w:tc>
        <w:tc>
          <w:tcPr>
            <w:tcW w:w="2720" w:type="pct"/>
            <w:vAlign w:val="center"/>
          </w:tcPr>
          <w:p w14:paraId="61BE07BD"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62.65 g</w:t>
            </w:r>
          </w:p>
        </w:tc>
      </w:tr>
      <w:tr w:rsidR="002F3988" w:rsidRPr="002F3988" w14:paraId="265B55F8" w14:textId="77777777" w:rsidTr="00700982">
        <w:trPr>
          <w:trHeight w:val="222"/>
        </w:trPr>
        <w:tc>
          <w:tcPr>
            <w:tcW w:w="2279" w:type="pct"/>
            <w:vAlign w:val="center"/>
          </w:tcPr>
          <w:p w14:paraId="58407811"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Extraction yield</w:t>
            </w:r>
          </w:p>
        </w:tc>
        <w:tc>
          <w:tcPr>
            <w:tcW w:w="2720" w:type="pct"/>
            <w:vAlign w:val="center"/>
          </w:tcPr>
          <w:p w14:paraId="3C4B0DC0"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12.53%</w:t>
            </w:r>
          </w:p>
        </w:tc>
      </w:tr>
      <w:tr w:rsidR="002F3988" w:rsidRPr="002F3988" w14:paraId="1831F775" w14:textId="77777777" w:rsidTr="00700982">
        <w:trPr>
          <w:trHeight w:val="222"/>
        </w:trPr>
        <w:tc>
          <w:tcPr>
            <w:tcW w:w="2279" w:type="pct"/>
            <w:vAlign w:val="center"/>
          </w:tcPr>
          <w:p w14:paraId="18FDCF0E"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Color</w:t>
            </w:r>
          </w:p>
        </w:tc>
        <w:tc>
          <w:tcPr>
            <w:tcW w:w="2720" w:type="pct"/>
            <w:vAlign w:val="center"/>
          </w:tcPr>
          <w:p w14:paraId="5BFD1C42"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Dark brown</w:t>
            </w:r>
          </w:p>
        </w:tc>
      </w:tr>
      <w:tr w:rsidR="002F3988" w:rsidRPr="002F3988" w14:paraId="29561996" w14:textId="77777777" w:rsidTr="00700982">
        <w:trPr>
          <w:trHeight w:val="222"/>
        </w:trPr>
        <w:tc>
          <w:tcPr>
            <w:tcW w:w="2279" w:type="pct"/>
            <w:vAlign w:val="center"/>
          </w:tcPr>
          <w:p w14:paraId="4FEEF10F"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Consistency</w:t>
            </w:r>
          </w:p>
        </w:tc>
        <w:tc>
          <w:tcPr>
            <w:tcW w:w="2720" w:type="pct"/>
            <w:vAlign w:val="center"/>
          </w:tcPr>
          <w:p w14:paraId="1CA2B713"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Viscous</w:t>
            </w:r>
          </w:p>
        </w:tc>
      </w:tr>
      <w:tr w:rsidR="002F3988" w:rsidRPr="002F3988" w14:paraId="1D0249C5" w14:textId="77777777" w:rsidTr="00700982">
        <w:trPr>
          <w:trHeight w:val="232"/>
        </w:trPr>
        <w:tc>
          <w:tcPr>
            <w:tcW w:w="2279" w:type="pct"/>
            <w:vAlign w:val="center"/>
          </w:tcPr>
          <w:p w14:paraId="6720667B"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Odor</w:t>
            </w:r>
          </w:p>
        </w:tc>
        <w:tc>
          <w:tcPr>
            <w:tcW w:w="2720" w:type="pct"/>
            <w:vAlign w:val="center"/>
          </w:tcPr>
          <w:p w14:paraId="61087877"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Characteristic</w:t>
            </w:r>
          </w:p>
        </w:tc>
      </w:tr>
    </w:tbl>
    <w:p w14:paraId="7BD4CA8D" w14:textId="77777777" w:rsidR="002F3988" w:rsidRPr="00FF2266" w:rsidRDefault="002F3988" w:rsidP="00FF2266">
      <w:pPr>
        <w:rPr>
          <w:rFonts w:ascii="Arial" w:hAnsi="Arial" w:cs="Arial"/>
        </w:rPr>
      </w:pPr>
    </w:p>
    <w:p w14:paraId="2D6B8812" w14:textId="77777777" w:rsidR="002F3988" w:rsidRPr="00FF2266" w:rsidRDefault="002F3988" w:rsidP="00FF2266">
      <w:pPr>
        <w:jc w:val="both"/>
        <w:rPr>
          <w:rFonts w:ascii="Arial" w:hAnsi="Arial" w:cs="Arial"/>
        </w:rPr>
      </w:pPr>
      <w:r w:rsidRPr="00FF2266">
        <w:rPr>
          <w:rFonts w:ascii="Arial" w:hAnsi="Arial" w:cs="Arial"/>
        </w:rPr>
        <w:t xml:space="preserve">Total phenolic content was determined using the </w:t>
      </w:r>
      <w:proofErr w:type="spellStart"/>
      <w:r w:rsidRPr="00FF2266">
        <w:rPr>
          <w:rFonts w:ascii="Arial" w:hAnsi="Arial" w:cs="Arial"/>
        </w:rPr>
        <w:t>Folin</w:t>
      </w:r>
      <w:proofErr w:type="spellEnd"/>
      <w:r w:rsidRPr="00FF2266">
        <w:rPr>
          <w:rFonts w:ascii="Arial" w:hAnsi="Arial" w:cs="Arial"/>
        </w:rPr>
        <w:t>–</w:t>
      </w:r>
      <w:proofErr w:type="spellStart"/>
      <w:r w:rsidRPr="00FF2266">
        <w:rPr>
          <w:rFonts w:ascii="Arial" w:hAnsi="Arial" w:cs="Arial"/>
        </w:rPr>
        <w:t>Ciocalteu</w:t>
      </w:r>
      <w:proofErr w:type="spellEnd"/>
      <w:r w:rsidRPr="00FF2266">
        <w:rPr>
          <w:rFonts w:ascii="Arial" w:hAnsi="Arial" w:cs="Arial"/>
        </w:rPr>
        <w:t xml:space="preserve"> method with gallic acid as the reference standard. The calibration curve of gallic acid showed excellent linearity (r = 0.9999), indicating the reliability of the analytical method. Based on the regression equation, the total phenolic content of the ethanolic extract of cotton fruit peel was found to be 9.699% w/w. This result confirms that cotton fruit peel contains a considerable amount of phenolic compounds, which play a major role in antioxidant mechanisms through electron or hydrogen atom donation.</w:t>
      </w:r>
    </w:p>
    <w:p w14:paraId="114FF654" w14:textId="77777777" w:rsidR="002F3988" w:rsidRPr="00FF2266" w:rsidRDefault="002F3988" w:rsidP="00FF2266">
      <w:pPr>
        <w:rPr>
          <w:rFonts w:ascii="Arial" w:hAnsi="Arial" w:cs="Arial"/>
        </w:rPr>
      </w:pPr>
    </w:p>
    <w:p w14:paraId="43A9BB8C" w14:textId="77777777" w:rsidR="002F3988" w:rsidRPr="00FF2266" w:rsidRDefault="002F3988" w:rsidP="00FF2266">
      <w:pPr>
        <w:rPr>
          <w:rFonts w:ascii="Arial" w:hAnsi="Arial" w:cs="Arial"/>
          <w:b/>
        </w:rPr>
      </w:pPr>
      <w:r w:rsidRPr="00FF2266">
        <w:rPr>
          <w:rFonts w:ascii="Arial" w:hAnsi="Arial" w:cs="Arial"/>
          <w:b/>
        </w:rPr>
        <w:t>Table 2. Validation Parameters and Total Phenolic Content</w:t>
      </w:r>
    </w:p>
    <w:tbl>
      <w:tblPr>
        <w:tblStyle w:val="TableGrid"/>
        <w:tblW w:w="4781" w:type="pct"/>
        <w:tblInd w:w="14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4384"/>
      </w:tblGrid>
      <w:tr w:rsidR="002F3988" w:rsidRPr="002F3988" w14:paraId="6EE3B87B" w14:textId="77777777" w:rsidTr="00700982">
        <w:trPr>
          <w:trHeight w:val="252"/>
        </w:trPr>
        <w:tc>
          <w:tcPr>
            <w:tcW w:w="2279" w:type="pct"/>
            <w:tcBorders>
              <w:top w:val="single" w:sz="4" w:space="0" w:color="auto"/>
              <w:bottom w:val="single" w:sz="4" w:space="0" w:color="auto"/>
            </w:tcBorders>
          </w:tcPr>
          <w:p w14:paraId="618CCB31" w14:textId="77777777" w:rsidR="002F3988" w:rsidRPr="002F3988" w:rsidRDefault="002F3988" w:rsidP="002F3988">
            <w:pPr>
              <w:widowControl w:val="0"/>
              <w:autoSpaceDE w:val="0"/>
              <w:autoSpaceDN w:val="0"/>
              <w:rPr>
                <w:rFonts w:ascii="Arial" w:hAnsi="Arial" w:cs="Arial"/>
                <w:b/>
                <w:sz w:val="20"/>
                <w:szCs w:val="20"/>
              </w:rPr>
            </w:pPr>
            <w:r w:rsidRPr="002F3988">
              <w:rPr>
                <w:rFonts w:ascii="Arial" w:hAnsi="Arial" w:cs="Arial"/>
                <w:b/>
                <w:sz w:val="20"/>
                <w:szCs w:val="20"/>
              </w:rPr>
              <w:t>Parameter</w:t>
            </w:r>
          </w:p>
        </w:tc>
        <w:tc>
          <w:tcPr>
            <w:tcW w:w="2720" w:type="pct"/>
            <w:tcBorders>
              <w:top w:val="single" w:sz="4" w:space="0" w:color="auto"/>
              <w:bottom w:val="single" w:sz="4" w:space="0" w:color="auto"/>
            </w:tcBorders>
          </w:tcPr>
          <w:p w14:paraId="715BEEC4" w14:textId="77777777" w:rsidR="002F3988" w:rsidRPr="002F3988" w:rsidRDefault="002F3988" w:rsidP="002F3988">
            <w:pPr>
              <w:widowControl w:val="0"/>
              <w:autoSpaceDE w:val="0"/>
              <w:autoSpaceDN w:val="0"/>
              <w:rPr>
                <w:rFonts w:ascii="Arial" w:hAnsi="Arial" w:cs="Arial"/>
                <w:b/>
                <w:sz w:val="20"/>
                <w:szCs w:val="20"/>
              </w:rPr>
            </w:pPr>
            <w:r w:rsidRPr="002F3988">
              <w:rPr>
                <w:rFonts w:ascii="Arial" w:hAnsi="Arial" w:cs="Arial"/>
                <w:b/>
                <w:bCs/>
                <w:sz w:val="20"/>
                <w:szCs w:val="20"/>
                <w:lang w:eastAsia="zh-CN"/>
              </w:rPr>
              <w:t>Value</w:t>
            </w:r>
          </w:p>
        </w:tc>
      </w:tr>
      <w:tr w:rsidR="002F3988" w:rsidRPr="002F3988" w14:paraId="394A0220" w14:textId="77777777" w:rsidTr="00700982">
        <w:trPr>
          <w:trHeight w:val="230"/>
        </w:trPr>
        <w:tc>
          <w:tcPr>
            <w:tcW w:w="2279" w:type="pct"/>
            <w:tcBorders>
              <w:top w:val="single" w:sz="4" w:space="0" w:color="auto"/>
            </w:tcBorders>
            <w:vAlign w:val="center"/>
          </w:tcPr>
          <w:p w14:paraId="31293A73"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Regression equation</w:t>
            </w:r>
          </w:p>
        </w:tc>
        <w:tc>
          <w:tcPr>
            <w:tcW w:w="2720" w:type="pct"/>
            <w:tcBorders>
              <w:top w:val="single" w:sz="4" w:space="0" w:color="auto"/>
            </w:tcBorders>
            <w:vAlign w:val="center"/>
          </w:tcPr>
          <w:p w14:paraId="15B419AF" w14:textId="77777777" w:rsidR="002F3988" w:rsidRPr="002F3988" w:rsidRDefault="002F3988" w:rsidP="002F3988">
            <w:pPr>
              <w:autoSpaceDE w:val="0"/>
              <w:autoSpaceDN w:val="0"/>
              <w:rPr>
                <w:rFonts w:ascii="Arial" w:hAnsi="Arial" w:cs="Arial"/>
                <w:sz w:val="20"/>
                <w:szCs w:val="20"/>
              </w:rPr>
            </w:pPr>
            <w:r w:rsidRPr="002F3988">
              <w:rPr>
                <w:rFonts w:ascii="Arial" w:hAnsi="Arial" w:cs="Arial"/>
                <w:i/>
                <w:iCs/>
                <w:sz w:val="20"/>
                <w:szCs w:val="20"/>
                <w:lang w:eastAsia="zh-CN"/>
              </w:rPr>
              <w:t>y</w:t>
            </w:r>
            <w:r w:rsidRPr="002F3988">
              <w:rPr>
                <w:rFonts w:ascii="Arial" w:hAnsi="Arial" w:cs="Arial"/>
                <w:sz w:val="20"/>
                <w:szCs w:val="20"/>
                <w:lang w:eastAsia="zh-CN"/>
              </w:rPr>
              <w:t xml:space="preserve"> = 0.0246 + 0.00519</w:t>
            </w:r>
            <w:r w:rsidRPr="002F3988">
              <w:rPr>
                <w:rFonts w:ascii="Arial" w:hAnsi="Arial" w:cs="Arial"/>
                <w:i/>
                <w:iCs/>
                <w:sz w:val="20"/>
                <w:szCs w:val="20"/>
                <w:lang w:eastAsia="zh-CN"/>
              </w:rPr>
              <w:t>x</w:t>
            </w:r>
          </w:p>
        </w:tc>
      </w:tr>
      <w:tr w:rsidR="002F3988" w:rsidRPr="002F3988" w14:paraId="163CBE0F" w14:textId="77777777" w:rsidTr="00700982">
        <w:trPr>
          <w:trHeight w:val="220"/>
        </w:trPr>
        <w:tc>
          <w:tcPr>
            <w:tcW w:w="2279" w:type="pct"/>
            <w:vAlign w:val="center"/>
          </w:tcPr>
          <w:p w14:paraId="67405E43"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Correlation coefficient (</w:t>
            </w:r>
            <w:r w:rsidRPr="002F3988">
              <w:rPr>
                <w:rFonts w:ascii="Arial" w:hAnsi="Arial" w:cs="Arial"/>
                <w:i/>
                <w:iCs/>
                <w:sz w:val="20"/>
                <w:szCs w:val="20"/>
                <w:lang w:eastAsia="zh-CN"/>
              </w:rPr>
              <w:t>r</w:t>
            </w:r>
            <w:r w:rsidRPr="002F3988">
              <w:rPr>
                <w:rFonts w:ascii="Arial" w:hAnsi="Arial" w:cs="Arial"/>
                <w:sz w:val="20"/>
                <w:szCs w:val="20"/>
                <w:lang w:eastAsia="zh-CN"/>
              </w:rPr>
              <w:t>)</w:t>
            </w:r>
          </w:p>
        </w:tc>
        <w:tc>
          <w:tcPr>
            <w:tcW w:w="2720" w:type="pct"/>
            <w:vAlign w:val="center"/>
          </w:tcPr>
          <w:p w14:paraId="2B6D2BF9"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0.9999</w:t>
            </w:r>
          </w:p>
        </w:tc>
      </w:tr>
      <w:tr w:rsidR="002F3988" w:rsidRPr="002F3988" w14:paraId="4D8D8BAB" w14:textId="77777777" w:rsidTr="00700982">
        <w:trPr>
          <w:trHeight w:val="220"/>
        </w:trPr>
        <w:tc>
          <w:tcPr>
            <w:tcW w:w="2279" w:type="pct"/>
            <w:vAlign w:val="center"/>
          </w:tcPr>
          <w:p w14:paraId="33540DAE"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Limit of detection (LOD)</w:t>
            </w:r>
          </w:p>
        </w:tc>
        <w:tc>
          <w:tcPr>
            <w:tcW w:w="2720" w:type="pct"/>
            <w:vAlign w:val="center"/>
          </w:tcPr>
          <w:p w14:paraId="3A9DA9F2"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1.676 µg/mL</w:t>
            </w:r>
          </w:p>
        </w:tc>
      </w:tr>
      <w:tr w:rsidR="002F3988" w:rsidRPr="002F3988" w14:paraId="41A3D980" w14:textId="77777777" w:rsidTr="00700982">
        <w:trPr>
          <w:trHeight w:val="220"/>
        </w:trPr>
        <w:tc>
          <w:tcPr>
            <w:tcW w:w="2279" w:type="pct"/>
            <w:vAlign w:val="center"/>
          </w:tcPr>
          <w:p w14:paraId="4A340865"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Limit of quantification (LOQ)</w:t>
            </w:r>
          </w:p>
        </w:tc>
        <w:tc>
          <w:tcPr>
            <w:tcW w:w="2720" w:type="pct"/>
            <w:vAlign w:val="center"/>
          </w:tcPr>
          <w:p w14:paraId="4932EC66"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5.587 µg/mL</w:t>
            </w:r>
          </w:p>
        </w:tc>
      </w:tr>
      <w:tr w:rsidR="002F3988" w:rsidRPr="002F3988" w14:paraId="29CBEF7A" w14:textId="77777777" w:rsidTr="00700982">
        <w:trPr>
          <w:trHeight w:val="230"/>
        </w:trPr>
        <w:tc>
          <w:tcPr>
            <w:tcW w:w="2279" w:type="pct"/>
            <w:vAlign w:val="center"/>
          </w:tcPr>
          <w:p w14:paraId="45DBD22D"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Total phenolic content</w:t>
            </w:r>
          </w:p>
        </w:tc>
        <w:tc>
          <w:tcPr>
            <w:tcW w:w="2720" w:type="pct"/>
            <w:vAlign w:val="center"/>
          </w:tcPr>
          <w:p w14:paraId="1D1AD78D" w14:textId="77777777" w:rsidR="002F3988" w:rsidRPr="002F3988" w:rsidRDefault="002F3988" w:rsidP="002F3988">
            <w:pPr>
              <w:autoSpaceDE w:val="0"/>
              <w:autoSpaceDN w:val="0"/>
              <w:rPr>
                <w:rFonts w:ascii="Arial" w:hAnsi="Arial" w:cs="Arial"/>
                <w:sz w:val="20"/>
                <w:szCs w:val="20"/>
              </w:rPr>
            </w:pPr>
            <w:r w:rsidRPr="002F3988">
              <w:rPr>
                <w:rFonts w:ascii="Arial" w:hAnsi="Arial" w:cs="Arial"/>
                <w:sz w:val="20"/>
                <w:szCs w:val="20"/>
                <w:lang w:eastAsia="zh-CN"/>
              </w:rPr>
              <w:t>9.699% w/w</w:t>
            </w:r>
          </w:p>
        </w:tc>
      </w:tr>
    </w:tbl>
    <w:p w14:paraId="0FAED817" w14:textId="77777777" w:rsidR="002F3988" w:rsidRPr="00FF2266" w:rsidRDefault="002F3988" w:rsidP="00FF2266">
      <w:pPr>
        <w:rPr>
          <w:rFonts w:ascii="Arial" w:hAnsi="Arial" w:cs="Arial"/>
        </w:rPr>
      </w:pPr>
    </w:p>
    <w:p w14:paraId="41A4A9BF" w14:textId="77777777" w:rsidR="002F3988" w:rsidRPr="00FF2266" w:rsidRDefault="002F3988" w:rsidP="00FF2266">
      <w:pPr>
        <w:jc w:val="both"/>
        <w:rPr>
          <w:rFonts w:ascii="Arial" w:hAnsi="Arial" w:cs="Arial"/>
        </w:rPr>
      </w:pPr>
      <w:r w:rsidRPr="00FF2266">
        <w:rPr>
          <w:rFonts w:ascii="Arial" w:hAnsi="Arial" w:cs="Arial"/>
        </w:rPr>
        <w:t>Antioxidant activity was evaluated using the DPPH radical scavenging assay. The ethanolic extract exhibited a strong ability to reduce DPPH radicals, as indicated by a decrease in absorbance at 520 nm. The antioxidant activity was expressed as</w:t>
      </w:r>
      <w:r w:rsidRPr="00FF2266">
        <w:rPr>
          <w:rFonts w:ascii="Arial" w:hAnsi="Arial" w:cs="Arial"/>
          <w:bCs/>
        </w:rPr>
        <w:t>IC</w:t>
      </w:r>
      <w:r w:rsidRPr="00FF2266">
        <w:rPr>
          <w:rFonts w:ascii="Arial" w:hAnsi="Arial" w:cs="Arial"/>
          <w:bCs/>
          <w:vertAlign w:val="subscript"/>
        </w:rPr>
        <w:t>50</w:t>
      </w:r>
      <w:r w:rsidRPr="00FF2266">
        <w:rPr>
          <w:rFonts w:ascii="Arial" w:hAnsi="Arial" w:cs="Arial"/>
        </w:rPr>
        <w:t xml:space="preserve"> values, representing the concentration required to inhibit 50% of DPPH radicals.</w:t>
      </w:r>
    </w:p>
    <w:p w14:paraId="6510D17C" w14:textId="77777777" w:rsidR="002F3988" w:rsidRPr="00FF2266" w:rsidRDefault="002F3988" w:rsidP="00FF2266">
      <w:pPr>
        <w:rPr>
          <w:rFonts w:ascii="Arial" w:hAnsi="Arial" w:cs="Arial"/>
        </w:rPr>
      </w:pPr>
    </w:p>
    <w:p w14:paraId="51417EBA" w14:textId="77777777" w:rsidR="002F3988" w:rsidRPr="00FF2266" w:rsidRDefault="002F3988" w:rsidP="00FF2266">
      <w:pPr>
        <w:jc w:val="both"/>
        <w:rPr>
          <w:rFonts w:ascii="Arial" w:hAnsi="Arial" w:cs="Arial"/>
        </w:rPr>
      </w:pPr>
      <w:r w:rsidRPr="00FF2266">
        <w:rPr>
          <w:rFonts w:ascii="Arial" w:hAnsi="Arial" w:cs="Arial"/>
        </w:rPr>
        <w:t>The</w:t>
      </w:r>
      <w:r w:rsidRPr="00FF2266">
        <w:rPr>
          <w:rFonts w:ascii="Arial" w:hAnsi="Arial" w:cs="Arial"/>
          <w:bCs/>
        </w:rPr>
        <w:t>IC</w:t>
      </w:r>
      <w:r w:rsidRPr="00FF2266">
        <w:rPr>
          <w:rFonts w:ascii="Arial" w:hAnsi="Arial" w:cs="Arial"/>
          <w:bCs/>
          <w:vertAlign w:val="subscript"/>
        </w:rPr>
        <w:t xml:space="preserve">50 </w:t>
      </w:r>
      <w:r w:rsidRPr="00FF2266">
        <w:rPr>
          <w:rFonts w:ascii="Arial" w:hAnsi="Arial" w:cs="Arial"/>
        </w:rPr>
        <w:t>value of the cotton fruit peel extract was 10.40 µg/mL, categorizing it as having very strong antioxidant activity. Gallic acid, used as a reference antioxidant, showed a lower</w:t>
      </w:r>
      <w:r w:rsidRPr="00FF2266">
        <w:rPr>
          <w:rFonts w:ascii="Arial" w:hAnsi="Arial" w:cs="Arial"/>
          <w:bCs/>
        </w:rPr>
        <w:t>IC</w:t>
      </w:r>
      <w:r w:rsidRPr="00FF2266">
        <w:rPr>
          <w:rFonts w:ascii="Arial" w:hAnsi="Arial" w:cs="Arial"/>
          <w:bCs/>
          <w:vertAlign w:val="subscript"/>
        </w:rPr>
        <w:t xml:space="preserve">50 </w:t>
      </w:r>
      <w:r w:rsidRPr="00FF2266">
        <w:rPr>
          <w:rFonts w:ascii="Arial" w:hAnsi="Arial" w:cs="Arial"/>
        </w:rPr>
        <w:t>value of 2.969 µg/</w:t>
      </w:r>
      <w:proofErr w:type="spellStart"/>
      <w:r w:rsidRPr="00FF2266">
        <w:rPr>
          <w:rFonts w:ascii="Arial" w:hAnsi="Arial" w:cs="Arial"/>
        </w:rPr>
        <w:t>mL.</w:t>
      </w:r>
      <w:proofErr w:type="spellEnd"/>
      <w:r w:rsidRPr="00FF2266">
        <w:rPr>
          <w:rFonts w:ascii="Arial" w:hAnsi="Arial" w:cs="Arial"/>
        </w:rPr>
        <w:t xml:space="preserve"> The gallic acid equivalent (GAE) value indicated that 1 mg of gallic acid exhibited antioxidant activity equivalent to 3.502 mg of the cotton fruit peel extract.</w:t>
      </w:r>
    </w:p>
    <w:p w14:paraId="58A78900" w14:textId="77777777" w:rsidR="002F3988" w:rsidRPr="00FF2266" w:rsidRDefault="002F3988" w:rsidP="00FF2266">
      <w:pPr>
        <w:rPr>
          <w:rFonts w:ascii="Arial" w:hAnsi="Arial" w:cs="Arial"/>
        </w:rPr>
      </w:pPr>
    </w:p>
    <w:p w14:paraId="2E3FA044" w14:textId="77777777" w:rsidR="002F3988" w:rsidRPr="00FF2266" w:rsidRDefault="002F3988" w:rsidP="002F3988">
      <w:pPr>
        <w:rPr>
          <w:rFonts w:ascii="Arial" w:hAnsi="Arial" w:cs="Arial"/>
          <w:b/>
        </w:rPr>
      </w:pPr>
      <w:r w:rsidRPr="00FF2266">
        <w:rPr>
          <w:rFonts w:ascii="Arial" w:hAnsi="Arial" w:cs="Arial"/>
          <w:b/>
        </w:rPr>
        <w:t>Table 3. Antioxidant Activity of Cotton Fruit Peel Extract and Gallic Acid</w:t>
      </w:r>
    </w:p>
    <w:tbl>
      <w:tblPr>
        <w:tblStyle w:val="TableGrid"/>
        <w:tblW w:w="4879"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2712"/>
        <w:gridCol w:w="2769"/>
      </w:tblGrid>
      <w:tr w:rsidR="002F3988" w:rsidRPr="002F3988" w14:paraId="677D793D" w14:textId="77777777" w:rsidTr="00FF2266">
        <w:trPr>
          <w:trHeight w:val="20"/>
        </w:trPr>
        <w:tc>
          <w:tcPr>
            <w:tcW w:w="3005" w:type="dxa"/>
            <w:tcBorders>
              <w:top w:val="single" w:sz="4" w:space="0" w:color="auto"/>
              <w:bottom w:val="single" w:sz="4" w:space="0" w:color="auto"/>
            </w:tcBorders>
            <w:vAlign w:val="center"/>
          </w:tcPr>
          <w:p w14:paraId="59F40D52" w14:textId="77777777" w:rsidR="002F3988" w:rsidRPr="002F3988" w:rsidRDefault="002F3988" w:rsidP="00FF2266">
            <w:pPr>
              <w:autoSpaceDE w:val="0"/>
              <w:autoSpaceDN w:val="0"/>
              <w:rPr>
                <w:rFonts w:ascii="Arial" w:hAnsi="Arial" w:cs="Arial"/>
                <w:sz w:val="20"/>
                <w:szCs w:val="20"/>
              </w:rPr>
            </w:pPr>
            <w:r w:rsidRPr="002F3988">
              <w:rPr>
                <w:rFonts w:ascii="Arial" w:hAnsi="Arial" w:cs="Arial"/>
                <w:b/>
                <w:bCs/>
                <w:sz w:val="20"/>
                <w:szCs w:val="20"/>
                <w:lang w:eastAsia="zh-CN"/>
              </w:rPr>
              <w:t>Sample</w:t>
            </w:r>
          </w:p>
        </w:tc>
        <w:tc>
          <w:tcPr>
            <w:tcW w:w="3005" w:type="dxa"/>
            <w:tcBorders>
              <w:top w:val="single" w:sz="4" w:space="0" w:color="auto"/>
              <w:bottom w:val="single" w:sz="4" w:space="0" w:color="auto"/>
            </w:tcBorders>
            <w:vAlign w:val="center"/>
          </w:tcPr>
          <w:p w14:paraId="02AFDA9C" w14:textId="77777777" w:rsidR="002F3988" w:rsidRPr="002F3988" w:rsidRDefault="002F3988" w:rsidP="00FF2266">
            <w:pPr>
              <w:autoSpaceDE w:val="0"/>
              <w:autoSpaceDN w:val="0"/>
              <w:rPr>
                <w:rFonts w:ascii="Arial" w:hAnsi="Arial" w:cs="Arial"/>
                <w:sz w:val="20"/>
                <w:szCs w:val="20"/>
              </w:rPr>
            </w:pPr>
            <w:r w:rsidRPr="002F3988">
              <w:rPr>
                <w:rFonts w:ascii="Arial" w:hAnsi="Arial"/>
                <w:b/>
                <w:sz w:val="20"/>
                <w:szCs w:val="20"/>
              </w:rPr>
              <w:t>IC</w:t>
            </w:r>
            <w:r w:rsidRPr="002F3988">
              <w:rPr>
                <w:rFonts w:ascii="Arial" w:hAnsi="Arial"/>
                <w:b/>
                <w:sz w:val="20"/>
                <w:szCs w:val="20"/>
                <w:vertAlign w:val="subscript"/>
              </w:rPr>
              <w:t xml:space="preserve">50 </w:t>
            </w:r>
            <w:r w:rsidRPr="002F3988">
              <w:rPr>
                <w:rFonts w:ascii="Arial" w:hAnsi="Arial" w:cs="Arial"/>
                <w:b/>
                <w:bCs/>
                <w:sz w:val="20"/>
                <w:szCs w:val="20"/>
                <w:lang w:eastAsia="zh-CN"/>
              </w:rPr>
              <w:t>(µg/mL)</w:t>
            </w:r>
          </w:p>
        </w:tc>
        <w:tc>
          <w:tcPr>
            <w:tcW w:w="3009" w:type="dxa"/>
            <w:tcBorders>
              <w:top w:val="single" w:sz="4" w:space="0" w:color="auto"/>
              <w:bottom w:val="single" w:sz="4" w:space="0" w:color="auto"/>
            </w:tcBorders>
            <w:vAlign w:val="center"/>
          </w:tcPr>
          <w:p w14:paraId="2F6241A7" w14:textId="77777777" w:rsidR="002F3988" w:rsidRPr="002F3988" w:rsidRDefault="002F3988" w:rsidP="00FF2266">
            <w:pPr>
              <w:autoSpaceDE w:val="0"/>
              <w:autoSpaceDN w:val="0"/>
              <w:rPr>
                <w:rFonts w:ascii="Arial" w:hAnsi="Arial" w:cs="Arial"/>
                <w:sz w:val="20"/>
                <w:szCs w:val="20"/>
              </w:rPr>
            </w:pPr>
            <w:r w:rsidRPr="002F3988">
              <w:rPr>
                <w:rFonts w:ascii="Arial" w:hAnsi="Arial" w:cs="Arial"/>
                <w:b/>
                <w:bCs/>
                <w:sz w:val="20"/>
                <w:szCs w:val="20"/>
                <w:lang w:eastAsia="zh-CN"/>
              </w:rPr>
              <w:t>Antioxidant Category</w:t>
            </w:r>
          </w:p>
        </w:tc>
      </w:tr>
      <w:tr w:rsidR="002F3988" w:rsidRPr="002F3988" w14:paraId="373B4E0C" w14:textId="77777777" w:rsidTr="00FF2266">
        <w:trPr>
          <w:trHeight w:val="20"/>
        </w:trPr>
        <w:tc>
          <w:tcPr>
            <w:tcW w:w="3005" w:type="dxa"/>
            <w:tcBorders>
              <w:top w:val="single" w:sz="4" w:space="0" w:color="auto"/>
            </w:tcBorders>
            <w:vAlign w:val="center"/>
          </w:tcPr>
          <w:p w14:paraId="53A0F446" w14:textId="77777777" w:rsidR="002F3988" w:rsidRPr="002F3988" w:rsidRDefault="002F3988" w:rsidP="00FF2266">
            <w:pPr>
              <w:autoSpaceDE w:val="0"/>
              <w:autoSpaceDN w:val="0"/>
              <w:rPr>
                <w:rFonts w:ascii="Arial" w:hAnsi="Arial" w:cs="Arial"/>
                <w:sz w:val="20"/>
                <w:szCs w:val="20"/>
              </w:rPr>
            </w:pPr>
            <w:r w:rsidRPr="002F3988">
              <w:rPr>
                <w:rFonts w:ascii="Arial" w:hAnsi="Arial" w:cs="Arial"/>
                <w:sz w:val="20"/>
                <w:szCs w:val="20"/>
                <w:lang w:eastAsia="zh-CN"/>
              </w:rPr>
              <w:t>Gallic acid (standard)</w:t>
            </w:r>
          </w:p>
        </w:tc>
        <w:tc>
          <w:tcPr>
            <w:tcW w:w="3005" w:type="dxa"/>
            <w:tcBorders>
              <w:top w:val="single" w:sz="4" w:space="0" w:color="auto"/>
            </w:tcBorders>
            <w:vAlign w:val="center"/>
          </w:tcPr>
          <w:p w14:paraId="60C7F679" w14:textId="77777777" w:rsidR="002F3988" w:rsidRPr="002F3988" w:rsidRDefault="002F3988" w:rsidP="00FF2266">
            <w:pPr>
              <w:autoSpaceDE w:val="0"/>
              <w:autoSpaceDN w:val="0"/>
              <w:rPr>
                <w:rFonts w:ascii="Arial" w:hAnsi="Arial" w:cs="Arial"/>
                <w:sz w:val="20"/>
                <w:szCs w:val="20"/>
              </w:rPr>
            </w:pPr>
            <w:r w:rsidRPr="002F3988">
              <w:rPr>
                <w:rFonts w:ascii="Arial" w:hAnsi="Arial" w:cs="Arial"/>
                <w:sz w:val="20"/>
                <w:szCs w:val="20"/>
                <w:lang w:eastAsia="zh-CN"/>
              </w:rPr>
              <w:t>2.969</w:t>
            </w:r>
          </w:p>
        </w:tc>
        <w:tc>
          <w:tcPr>
            <w:tcW w:w="3009" w:type="dxa"/>
            <w:tcBorders>
              <w:top w:val="single" w:sz="4" w:space="0" w:color="auto"/>
            </w:tcBorders>
            <w:vAlign w:val="center"/>
          </w:tcPr>
          <w:p w14:paraId="72476003" w14:textId="77777777" w:rsidR="002F3988" w:rsidRPr="002F3988" w:rsidRDefault="002F3988" w:rsidP="00FF2266">
            <w:pPr>
              <w:autoSpaceDE w:val="0"/>
              <w:autoSpaceDN w:val="0"/>
              <w:rPr>
                <w:rFonts w:ascii="Arial" w:hAnsi="Arial" w:cs="Arial"/>
                <w:sz w:val="20"/>
                <w:szCs w:val="20"/>
              </w:rPr>
            </w:pPr>
            <w:r w:rsidRPr="002F3988">
              <w:rPr>
                <w:rFonts w:ascii="Arial" w:hAnsi="Arial" w:cs="Arial"/>
                <w:sz w:val="20"/>
                <w:szCs w:val="20"/>
                <w:lang w:eastAsia="zh-CN"/>
              </w:rPr>
              <w:t>Very strong</w:t>
            </w:r>
          </w:p>
        </w:tc>
      </w:tr>
      <w:tr w:rsidR="002F3988" w:rsidRPr="002F3988" w14:paraId="6077E860" w14:textId="77777777" w:rsidTr="00FF2266">
        <w:trPr>
          <w:trHeight w:val="20"/>
        </w:trPr>
        <w:tc>
          <w:tcPr>
            <w:tcW w:w="3005" w:type="dxa"/>
            <w:vAlign w:val="center"/>
          </w:tcPr>
          <w:p w14:paraId="792DFF0B" w14:textId="77777777" w:rsidR="002F3988" w:rsidRPr="002F3988" w:rsidRDefault="002F3988" w:rsidP="00FF2266">
            <w:pPr>
              <w:autoSpaceDE w:val="0"/>
              <w:autoSpaceDN w:val="0"/>
              <w:rPr>
                <w:rFonts w:ascii="Arial" w:hAnsi="Arial" w:cs="Arial"/>
                <w:sz w:val="20"/>
                <w:szCs w:val="20"/>
              </w:rPr>
            </w:pPr>
            <w:r w:rsidRPr="002F3988">
              <w:rPr>
                <w:rFonts w:ascii="Arial" w:hAnsi="Arial" w:cs="Arial"/>
                <w:sz w:val="20"/>
                <w:szCs w:val="20"/>
                <w:lang w:eastAsia="zh-CN"/>
              </w:rPr>
              <w:t>Cotton fruit peel extract</w:t>
            </w:r>
          </w:p>
        </w:tc>
        <w:tc>
          <w:tcPr>
            <w:tcW w:w="3005" w:type="dxa"/>
            <w:vAlign w:val="center"/>
          </w:tcPr>
          <w:p w14:paraId="749E3D48" w14:textId="77777777" w:rsidR="002F3988" w:rsidRPr="002F3988" w:rsidRDefault="002F3988" w:rsidP="00FF2266">
            <w:pPr>
              <w:autoSpaceDE w:val="0"/>
              <w:autoSpaceDN w:val="0"/>
              <w:rPr>
                <w:rFonts w:ascii="Arial" w:hAnsi="Arial" w:cs="Arial"/>
                <w:sz w:val="20"/>
                <w:szCs w:val="20"/>
              </w:rPr>
            </w:pPr>
            <w:r w:rsidRPr="002F3988">
              <w:rPr>
                <w:rFonts w:ascii="Arial" w:hAnsi="Arial" w:cs="Arial"/>
                <w:sz w:val="20"/>
                <w:szCs w:val="20"/>
                <w:lang w:eastAsia="zh-CN"/>
              </w:rPr>
              <w:t>10.40</w:t>
            </w:r>
          </w:p>
        </w:tc>
        <w:tc>
          <w:tcPr>
            <w:tcW w:w="3009" w:type="dxa"/>
            <w:vAlign w:val="center"/>
          </w:tcPr>
          <w:p w14:paraId="75A1EFC2" w14:textId="77777777" w:rsidR="002F3988" w:rsidRPr="002F3988" w:rsidRDefault="002F3988" w:rsidP="00FF2266">
            <w:pPr>
              <w:autoSpaceDE w:val="0"/>
              <w:autoSpaceDN w:val="0"/>
              <w:rPr>
                <w:rFonts w:ascii="Arial" w:hAnsi="Arial" w:cs="Arial"/>
                <w:sz w:val="20"/>
                <w:szCs w:val="20"/>
              </w:rPr>
            </w:pPr>
            <w:r w:rsidRPr="002F3988">
              <w:rPr>
                <w:rFonts w:ascii="Arial" w:hAnsi="Arial" w:cs="Arial"/>
                <w:sz w:val="20"/>
                <w:szCs w:val="20"/>
                <w:lang w:eastAsia="zh-CN"/>
              </w:rPr>
              <w:t>Very strong</w:t>
            </w:r>
          </w:p>
        </w:tc>
      </w:tr>
    </w:tbl>
    <w:p w14:paraId="731A914D" w14:textId="77777777" w:rsidR="002F3988" w:rsidRPr="002F3988" w:rsidRDefault="002F3988" w:rsidP="002F3988">
      <w:pPr>
        <w:rPr>
          <w:rFonts w:ascii="Arial" w:hAnsi="Arial" w:cs="Arial"/>
        </w:rPr>
      </w:pPr>
    </w:p>
    <w:p w14:paraId="5D451C6D" w14:textId="77777777" w:rsidR="002F3988" w:rsidRPr="002F3988" w:rsidRDefault="002F3988" w:rsidP="002F3988">
      <w:pPr>
        <w:jc w:val="both"/>
        <w:rPr>
          <w:rFonts w:ascii="Arial" w:hAnsi="Arial" w:cs="Arial"/>
        </w:rPr>
      </w:pPr>
      <w:r w:rsidRPr="002F3988">
        <w:rPr>
          <w:rFonts w:ascii="Arial" w:hAnsi="Arial" w:cs="Arial"/>
        </w:rPr>
        <w:t xml:space="preserve">The strong antioxidant activity observed in the ethanolic extract of cotton fruit peel is closely associated with its phenolic content </w:t>
      </w:r>
      <w:r w:rsidRPr="002F3988">
        <w:rPr>
          <w:rFonts w:ascii="Arial" w:hAnsi="Arial" w:cs="Arial"/>
        </w:rPr>
        <w:fldChar w:fldCharType="begin" w:fldLock="1"/>
      </w:r>
      <w:r w:rsidR="00FF2266">
        <w:rPr>
          <w:rFonts w:ascii="Arial" w:hAnsi="Arial" w:cs="Arial"/>
        </w:rPr>
        <w:instrText>ADDIN CSL_CITATION {"citationItems":[{"id":"ITEM-1","itemData":{"DOI":"10.1016/j.jscs.2023.101653","ISSN":"13196103","abstract":"The increasing popularity of fruit peel extracts as effective sources of natural antioxidants is primarily attributed to their affordability, easy availability, and high phenolic contents that readily dissolve in solutions. However, most natural antioxidants demonstrate a lesser free radical scavenging effect when applied in mono blends compared to their synthetic counterparts. To address this problem, this work aims to improve the antioxidant capacities of palm fruit, banana, and mango peel liquid extracts recovered using supercritical fluid extraction (SFE). Firstly, a reverse-phase high-performance liquid chromatography (RP-HPLC) was used to isolate three (3) target bioactive compounds from the extracts, whose estimated quantities ranged between 1.2983–4.6841, 1.1469–3.6987, and 0.0254–0.0489 mg/g for quercetin, beta-carotene, and gallic acid respectively. Subsequently, blends of the recovered extracts were formulated in mono, binary, and ternary dosage ratios (S.1–S.10) to assess their free radical scavenging efficiency (RSE) in terms of inhibitory concentration at 50% (IC50) using a 2,2-diphenyl-1-picrylhydrazyl (DPPH) assay, total phenolic content (TPC), total flavonoid content (TFC), and total carotenoid content (TCC). Based on the results obtained, the highest RSE was exhibited by the ternary blend (S.9), with an IC50 value of 76.21 ± 032 µg/mL and a TPC value of 242.38 ± 0.26 mg gallic acid equivalent (GAE/g). The fastest kinetics for the extracts’ reaction with DPPH corresponding to a rate constant (K) of 1.2351 M−1.min−1 and activation energy (Ea) of 0.55 KJ/mol were presented by the same sample blend (S.9), indicating the ease of hydrogen atom release for radical scavenging. Finally, the peel extracts demonstrate an improved antioxidative performance by prolonging the biodiesel's induction period of the extracts-blended samples as obtained from Rancimat analysis.","author":[{"dropping-particle":"","family":"Bello","given":"Usman","non-dropping-particle":"","parse-names":false,"suffix":""},{"dropping-particle":"","family":"Amran","given":"Nurul Aini","non-dropping-particle":"","parse-names":false,"suffix":""},{"dropping-particle":"","family":"Ruslan","given":"Muhammad Syafiq Hazwan","non-dropping-particle":"","parse-names":false,"suffix":""}],"container-title":"Journal of Saudi Chemical Society","id":"ITEM-1","issue":"4","issued":{"date-parts":[["2023","7"]]},"page":"101653","publisher":"King Saud University","title":"Improving antioxidant scavenging effect of fruit peel waste extracts and their applicability in biodiesel stability enhancement","type":"article-journal","volume":"27"},"uris":["http://www.mendeley.com/documents/?uuid=c9eb518e-9452-447d-bbf1-13d514bc195f"]},{"id":"ITEM-2","itemData":{"DOI":"https://doi.org/10.25026/jsk.v6i1.1601","author":[{"dropping-particle":"","family":"Wigati","given":"Dyan","non-dropping-particle":"","parse-names":false,"suffix":""},{"dropping-particle":"","family":"Pratoko","given":"Dwi Koko","non-dropping-particle":"","parse-names":false,"suffix":""}],"container-title":"Jurnal Sains dan Kesehatan","id":"ITEM-2","issue":"1","issued":{"date-parts":[["2024"]]},"page":"142-148","title":"Study of Antioxidant Activity, Total Phenolic Content (TPC), and Total Flavonoid Content (TFC) of Ethanolic Extract Mango Peel (Mangifera indica L.)","type":"article-journal","volume":"6"},"uris":["http://www.mendeley.com/documents/?uuid=527475c5-a6d2-4299-a83a-0f66869a465d"]},{"id":"ITEM-3","itemData":{"DOI":"10.1002/fsn3.70521","ISSN":"2048-7177","abstract":"This study investigated the extraction of phenolic compounds and the antioxidant potential of eggplant peel using various extraction methods and GRAS solvent systems. Ethanol absolute and (EtOH: water) (70:30) system solvents were used separately to extract phenolic compounds, while the (EtOH: water: citric acid) (70:30:0.5) system was utilized for anthocyanin extraction. Otherwise, to test the antioxidant activity of anthocyanin separately, an aqueous anthocyanin</w:instrText>
      </w:r>
      <w:r w:rsidR="00FF2266">
        <w:rPr>
          <w:rFonts w:ascii="Cambria Math" w:hAnsi="Cambria Math" w:cs="Cambria Math"/>
        </w:rPr>
        <w:instrText>‐</w:instrText>
      </w:r>
      <w:r w:rsidR="00FF2266">
        <w:rPr>
          <w:rFonts w:ascii="Arial" w:hAnsi="Arial" w:cs="Arial"/>
        </w:rPr>
        <w:instrText>rich fraction was recovered from eggplant peel crude extract using successive liquid/liquid extractions with solvents of different polarities. The presence of total phenolics, anthocyanins and proanthocyanidin were detected, and HPLC analysis was realized. The antioxidant activity was performed by the (DPPH) free radicals method. Soxhlet extraction using absolute ethanol provides a high yield of phenolic compounds. Otherwise, the anthocyanin extract showed a high level of anthocyanin contents. The liquid chromatographic analysis presented an important percentage of flavonoids. Soxhlet extract was the most effective in scavenging free radicals.","author":[{"dropping-particle":"","family":"Djouadi","given":"Assia","non-dropping-particle":"","parse-names":false,"suffix":""},{"dropping-particle":"","family":"Yılmazer","given":"Hakan","non-dropping-particle":"","parse-names":false,"suffix":""},{"dropping-particle":"","family":"Djouadi","given":"Anfal","non-dropping-particle":"","parse-names":false,"suffix":""},{"dropping-particle":"","family":"Çakır","given":"Bilal","non-dropping-particle":"","parse-names":false,"suffix":""}],"container-title":"Food Science &amp; Nutrition","id":"ITEM-3","issue":"7","issued":{"date-parts":[["2025","7","27"]]},"title":"Antioxidant Activity of Different Phenolic</w:instrText>
      </w:r>
      <w:r w:rsidR="00FF2266">
        <w:rPr>
          <w:rFonts w:ascii="Cambria Math" w:hAnsi="Cambria Math" w:cs="Cambria Math"/>
        </w:rPr>
        <w:instrText>‐</w:instrText>
      </w:r>
      <w:r w:rsidR="00FF2266">
        <w:rPr>
          <w:rFonts w:ascii="Arial" w:hAnsi="Arial" w:cs="Arial"/>
        </w:rPr>
        <w:instrText>Rich Fractions Obtained From Peels of Turkish Dark Purple Eggplant","type":"article-journal","volume":"13"},"uris":["http://www.mendeley.com/documents/?uuid=5cabd644-83c2-4da8-abcf-b5ee07d737bd"]}],"mendeley":{"formattedCitation":"(Bello, Amran, &amp; Ruslan, 2023; Djouadi, Yılmazer, Djouadi, &amp; Çakır, 2025; Wigati &amp; Pratoko, 2024)","plainTextFormattedCitation":"(Bello, Amran, &amp; Ruslan, 2023; Djouadi, Yılmazer, Djouadi, &amp; Çakır, 2025; Wigati &amp; Pratoko, 2024)","previouslyFormattedCitation":"(Bello, Amran, &amp; Ruslan, 2023; Djouadi, Yılmazer, Djouadi, &amp; Çakır, 2025; Wigati &amp; Pratoko, 2024)"},"properties":{"noteIndex":0},"schema":"https://github.com/citation-style-language/schema/raw/master/csl-citation.json"}</w:instrText>
      </w:r>
      <w:r w:rsidRPr="002F3988">
        <w:rPr>
          <w:rFonts w:ascii="Arial" w:hAnsi="Arial" w:cs="Arial"/>
        </w:rPr>
        <w:fldChar w:fldCharType="separate"/>
      </w:r>
      <w:r w:rsidR="00FF2266" w:rsidRPr="00FF2266">
        <w:rPr>
          <w:rFonts w:ascii="Arial" w:hAnsi="Arial" w:cs="Arial"/>
          <w:noProof/>
        </w:rPr>
        <w:t>(Bello, Amran, &amp; Ruslan, 2023; Djouadi, Yılmazer, Djouadi, &amp; Çakır, 2025; Wigati &amp; Pratoko, 2024)</w:t>
      </w:r>
      <w:r w:rsidRPr="002F3988">
        <w:rPr>
          <w:rFonts w:ascii="Arial" w:hAnsi="Arial" w:cs="Arial"/>
        </w:rPr>
        <w:fldChar w:fldCharType="end"/>
      </w:r>
      <w:r w:rsidRPr="002F3988">
        <w:rPr>
          <w:rFonts w:ascii="Arial" w:hAnsi="Arial" w:cs="Arial"/>
        </w:rPr>
        <w:t xml:space="preserve"> Phenolic compounds are known to act as effective antioxidants by scavenging free radicals and interrupting oxidative chain reactions </w:t>
      </w:r>
      <w:r w:rsidRPr="002F3988">
        <w:rPr>
          <w:rFonts w:ascii="Arial" w:hAnsi="Arial" w:cs="Arial"/>
        </w:rPr>
        <w:fldChar w:fldCharType="begin" w:fldLock="1"/>
      </w:r>
      <w:r w:rsidR="00FF2266">
        <w:rPr>
          <w:rFonts w:ascii="Arial" w:hAnsi="Arial" w:cs="Arial"/>
        </w:rPr>
        <w:instrText>ADDIN CSL_CITATION {"citationItems":[{"id":"ITEM-1","itemData":{"DOI":"10.3389/fnut.2022.882458","ISSN":"2296-861X","abstract":"Due to their antioxidant properties, secondary plant metabolites can scavenge free radicals such as reactive oxygen species and protect foods from oxidation processes. Our aim was to study structural influences, like basic structure, number of hydroxyl groups and number of Bors criteria on the outcome of the oxygen radical absorbance capacity (ORAC) assay. Furthermore, similarities and differences to other in vitro antioxidant assays were analyzed by principal component analysis. Our studies confirmed that the antioxidant behavior in the ORAC assay is dominated by the number and types of substituents and not by the Bors criteria, as long as no steric hindrance occurs. For example, morin (MOR) with five hydroxyl groups and two Bors criteria reached an area under the curve of (3.64 ± 0.08) × 10 5 , which was significantly higher than quercetin-7-D-glucoside (QGU7) ( P &amp;lt; 0.001), and thus the highest result. Principal component analysis showed different dependencies regarding structural properties of Folin-Ciocalteu (FC)- and 2,2-diphenyl-1-picrylhydrazyl (DPPH)-assays or 2,2'-azino-bis (3-ethylbenzothiazoline-6-sulfonic acid) (ABTS)- and ORAC-assays, respectively. Therefore, we conclude that they are based on different reaction mechanisms. The number of hydroxyl groups showed a stronger influence on the antioxidant activity than the Bors criteria. Due to these differences, the correlation of these rapid tests to specific applications should be validated.","author":[{"dropping-particle":"","family":"Platzer","given":"Melanie","non-dropping-particle":"","parse-names":false,"suffix":""},{"dropping-particle":"","family":"Kiese","given":"Sandra","non-dropping-particle":"","parse-names":false,"suffix":""},{"dropping-particle":"","family":"Tybussek","given":"Thorsten","non-dropping-particle":"","parse-names":false,"suffix":""},{"dropping-particle":"","family":"Herfellner","given":"Thomas","non-dropping-particle":"","parse-names":false,"suffix":""},{"dropping-particle":"","family":"Schneider","given":"Franziska","non-dropping-particle":"","parse-names":false,"suffix":""},{"dropping-particle":"","family":"Schweiggert-Weisz","given":"Ute","non-dropping-particle":"","parse-names":false,"suffix":""},{"dropping-particle":"","family":"Eisner","given":"Peter","non-dropping-particle":"","parse-names":false,"suffix":""}],"container-title":"Frontiers in Nutrition","id":"ITEM-1","issue":"April","issued":{"date-parts":[["2022","4","4"]]},"page":"4-8","title":"Radical Scavenging Mechanisms of Phenolic Compounds: A Quantitative Structure-Property Relationship (QSPR) Study","type":"article-journal","volume":"9"},"uris":["http://www.mendeley.com/documents/?uuid=4b5f1b01-c2fd-41b1-b34f-18610b956147"]},{"id":"ITEM-2","itemData":{"DOI":"10.3390/antiox15010037","ISSN":"2076-3921","abstract":"Essential oils (EOs) are complex volatile mixtures that exhibit antioxidant activity through both chemical and biological pathways. Phenolic constituents act as efficient chain-breaking radical-trapping antioxidants, whereas some non-phenolic terpenes operate through distinct mechanisms. Notably, γ-terpinene functions via a “radical export” pathway, generating hydroperoxyl radicals that intercept lipid peroxyl radicals and accelerate chain termination. Recent methodological advances, such as inhibited autoxidation kinetics, oxygen-consumption assays, and fluorescence-based lipid peroxidation probes, have enabled more quantitative evaluation of these activities. Beyond direct radical chemistry, EOs also regulate redox homeostasis by modulating signaling networks such as Nrf2/Keap1, thereby activating antioxidant response element–driven enzymatic defenses in cell and animal models. Phenolic constituents and electrophilic compounds bearing an α,β-unsaturated carbonyl structure may directly activate Nrf2 by modifying Keap1 cysteine residues, whereas non-phenolic terpenes likely depend on oxidative metabolism to form active electrophilic species. Despite broad evidence of antioxidant efficacy, molecular characterization of EO–protein interactions remains limited. This review integrates radical-chain dynamics with redox signaling biology to clarify the mechanistic basis of EO antioxidant activity and to provide a framework for future research.","author":[{"dropping-particle":"","family":"Huang","given":"Yeqin","non-dropping-particle":"","parse-names":false,"suffix":""},{"dropping-particle":"","family":"Ebrahimi","given":"Haniyeh","non-dropping-particle":"","parse-names":false,"suffix":""},{"dropping-particle":"","family":"Berselli","given":"Elena","non-dropping-particle":"","parse-names":false,"suffix":""},{"dropping-particle":"","family":"Foti","given":"Mario C","non-dropping-particle":"","parse-names":false,"suffix":""},{"dropping-particle":"","family":"Amorati","given":"Riccardo","non-dropping-particle":"","parse-names":false,"suffix":""}],"container-title":"Antioxidants","id":"ITEM-2","issue":"1","issued":{"date-parts":[["2025","12","26"]]},"page":"37","title":"Essential Oils as Antioxidants: Mechanistic Insights from Radical Scavenging to Redox Signaling","type":"article-journal","volume":"15"},"uris":["http://www.mendeley.com/documents/?uuid=1bfa5c80-7433-4116-811b-631448e679a1"]}],"mendeley":{"formattedCitation":"(Huang, Ebrahimi, Berselli, Foti, &amp; Amorati, 2025; Platzer et al., 2022)","plainTextFormattedCitation":"(Huang, Ebrahimi, Berselli, Foti, &amp; Amorati, 2025; Platzer et al., 2022)","previouslyFormattedCitation":"(Huang, Ebrahimi, Berselli, Foti, &amp; Amorati, 2025; Platzer et al., 2022)"},"properties":{"noteIndex":0},"schema":"https://github.com/citation-style-language/schema/raw/master/csl-citation.json"}</w:instrText>
      </w:r>
      <w:r w:rsidRPr="002F3988">
        <w:rPr>
          <w:rFonts w:ascii="Arial" w:hAnsi="Arial" w:cs="Arial"/>
        </w:rPr>
        <w:fldChar w:fldCharType="separate"/>
      </w:r>
      <w:r w:rsidR="00FF2266" w:rsidRPr="00FF2266">
        <w:rPr>
          <w:rFonts w:ascii="Arial" w:hAnsi="Arial" w:cs="Arial"/>
          <w:noProof/>
        </w:rPr>
        <w:t>(Huang, Ebrahimi, Berselli, Foti, &amp; Amorati, 2025; Platzer et al., 2022)</w:t>
      </w:r>
      <w:r w:rsidRPr="002F3988">
        <w:rPr>
          <w:rFonts w:ascii="Arial" w:hAnsi="Arial" w:cs="Arial"/>
        </w:rPr>
        <w:fldChar w:fldCharType="end"/>
      </w:r>
      <w:r w:rsidRPr="002F3988">
        <w:rPr>
          <w:rFonts w:ascii="Arial" w:hAnsi="Arial" w:cs="Arial"/>
        </w:rPr>
        <w:t xml:space="preserve">. The relatively high total phenolic content obtained in this study supports the low </w:t>
      </w:r>
      <w:r w:rsidRPr="002F3988">
        <w:rPr>
          <w:rFonts w:ascii="Arial" w:hAnsi="Arial" w:cs="Arial"/>
          <w:bCs/>
        </w:rPr>
        <w:t>IC</w:t>
      </w:r>
      <w:r w:rsidRPr="002F3988">
        <w:rPr>
          <w:rFonts w:ascii="Arial" w:hAnsi="Arial" w:cs="Arial"/>
          <w:bCs/>
          <w:vertAlign w:val="subscript"/>
        </w:rPr>
        <w:t xml:space="preserve">50 </w:t>
      </w:r>
      <w:r w:rsidRPr="002F3988">
        <w:rPr>
          <w:rFonts w:ascii="Arial" w:hAnsi="Arial" w:cs="Arial"/>
        </w:rPr>
        <w:t>value observed in the DPPH assay.</w:t>
      </w:r>
    </w:p>
    <w:p w14:paraId="3F605957" w14:textId="77777777" w:rsidR="002F3988" w:rsidRPr="002F3988" w:rsidRDefault="002F3988" w:rsidP="002F3988">
      <w:pPr>
        <w:rPr>
          <w:rFonts w:ascii="Arial" w:hAnsi="Arial" w:cs="Arial"/>
        </w:rPr>
      </w:pPr>
    </w:p>
    <w:p w14:paraId="6E502CFA" w14:textId="77777777" w:rsidR="001852B7" w:rsidRDefault="002F3988" w:rsidP="002F3988">
      <w:pPr>
        <w:pStyle w:val="Body"/>
        <w:spacing w:after="0"/>
        <w:rPr>
          <w:rFonts w:ascii="Arial" w:hAnsi="Arial" w:cs="Arial"/>
        </w:rPr>
      </w:pPr>
      <w:r w:rsidRPr="002F3988">
        <w:rPr>
          <w:rFonts w:ascii="Arial" w:hAnsi="Arial"/>
        </w:rPr>
        <w:lastRenderedPageBreak/>
        <w:t>Compared with previous reports on cotton leaves, the fruit peel extract demonstrated comparable or superior antioxidant activity, suggesting that this plant part represents an underutilized yet promising source of natural antioxidants. The presence of other bioactive compounds, such as flavonoids and terpenoids, may also contribute synergistically to the overall antioxidant effect.</w:t>
      </w:r>
      <w:r w:rsidR="001852B7" w:rsidRPr="001852B7">
        <w:rPr>
          <w:rFonts w:ascii="Arial" w:hAnsi="Arial" w:cs="Arial"/>
        </w:rPr>
        <w:t xml:space="preserve"> </w:t>
      </w:r>
    </w:p>
    <w:p w14:paraId="14DA72E0" w14:textId="77777777" w:rsidR="00790ADA" w:rsidRPr="00FB3A86" w:rsidRDefault="00790ADA" w:rsidP="00441B6F">
      <w:pPr>
        <w:pStyle w:val="Body"/>
        <w:spacing w:after="0"/>
        <w:rPr>
          <w:rFonts w:ascii="Arial" w:hAnsi="Arial" w:cs="Arial"/>
        </w:rPr>
      </w:pPr>
    </w:p>
    <w:p w14:paraId="1B75BF3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F3456AD" w14:textId="77777777" w:rsidR="00790ADA" w:rsidRPr="00FB3A86" w:rsidRDefault="00790ADA" w:rsidP="00441B6F">
      <w:pPr>
        <w:pStyle w:val="ConcHead"/>
        <w:spacing w:after="0"/>
        <w:jc w:val="both"/>
        <w:rPr>
          <w:rFonts w:ascii="Arial" w:hAnsi="Arial" w:cs="Arial"/>
        </w:rPr>
      </w:pPr>
    </w:p>
    <w:p w14:paraId="65EDF433" w14:textId="77777777" w:rsidR="00B01FCD" w:rsidRDefault="001852B7" w:rsidP="00441B6F">
      <w:pPr>
        <w:pStyle w:val="Body"/>
        <w:spacing w:after="0"/>
        <w:rPr>
          <w:rFonts w:ascii="Arial" w:hAnsi="Arial" w:cs="Arial"/>
        </w:rPr>
      </w:pPr>
      <w:r w:rsidRPr="001852B7">
        <w:rPr>
          <w:rFonts w:ascii="Arial" w:hAnsi="Arial" w:cs="Arial"/>
        </w:rPr>
        <w:t xml:space="preserve">Based on the results of this study, it can be concluded that the ethanolic extract of cotton fruit peel (Gossypium hirsutum L.) contains a total phenolic content of 9.699% w/w as determined by the </w:t>
      </w:r>
      <w:proofErr w:type="spellStart"/>
      <w:r w:rsidRPr="001852B7">
        <w:rPr>
          <w:rFonts w:ascii="Arial" w:hAnsi="Arial" w:cs="Arial"/>
        </w:rPr>
        <w:t>Folin</w:t>
      </w:r>
      <w:proofErr w:type="spellEnd"/>
      <w:r w:rsidRPr="001852B7">
        <w:rPr>
          <w:rFonts w:ascii="Arial" w:hAnsi="Arial" w:cs="Arial"/>
        </w:rPr>
        <w:t>–</w:t>
      </w:r>
      <w:proofErr w:type="spellStart"/>
      <w:r w:rsidRPr="001852B7">
        <w:rPr>
          <w:rFonts w:ascii="Arial" w:hAnsi="Arial" w:cs="Arial"/>
        </w:rPr>
        <w:t>Ciocalteu</w:t>
      </w:r>
      <w:proofErr w:type="spellEnd"/>
      <w:r w:rsidRPr="001852B7">
        <w:rPr>
          <w:rFonts w:ascii="Arial" w:hAnsi="Arial" w:cs="Arial"/>
        </w:rPr>
        <w:t xml:space="preserve"> method using UV–Vis spectrophotometry. The extract also exhibited very strong antioxidant activity, with anIC50 value of 10.40 µg/mL as evaluated by the DPPH radical scavenging assay. These findings indicate that cotton fruit peel has significant potential as a natural source of antioxidant compounds, which may be further developed for pharmaceutical applications, particularly in the formulation of antioxidant-based supplements or as supportive agents for the prevention of oxidative stress–related diseases</w:t>
      </w:r>
      <w:r>
        <w:rPr>
          <w:rFonts w:ascii="Arial" w:hAnsi="Arial" w:cs="Arial"/>
        </w:rPr>
        <w:t>.</w:t>
      </w:r>
    </w:p>
    <w:p w14:paraId="74BE420F" w14:textId="77777777" w:rsidR="00790ADA" w:rsidRPr="00FB3A86" w:rsidRDefault="00790ADA" w:rsidP="00441B6F">
      <w:pPr>
        <w:pStyle w:val="Body"/>
        <w:spacing w:after="0"/>
        <w:rPr>
          <w:rFonts w:ascii="Arial" w:hAnsi="Arial" w:cs="Arial"/>
        </w:rPr>
      </w:pPr>
    </w:p>
    <w:p w14:paraId="57E3060C" w14:textId="77777777" w:rsidR="002B685A" w:rsidRPr="00FF2266" w:rsidRDefault="002B685A" w:rsidP="00441B6F">
      <w:pPr>
        <w:pStyle w:val="ReferHead"/>
        <w:spacing w:after="0"/>
        <w:jc w:val="both"/>
        <w:rPr>
          <w:rFonts w:ascii="Arial" w:hAnsi="Arial" w:cs="Arial"/>
          <w:b w:val="0"/>
          <w:caps w:val="0"/>
        </w:rPr>
      </w:pPr>
      <w:bookmarkStart w:id="0" w:name="_GoBack"/>
      <w:bookmarkEnd w:id="0"/>
    </w:p>
    <w:p w14:paraId="3B6BE07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8FE4FE"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Baliyan, S., Mukherjee, R., Priyadarshini, A., Vibhuti, A., Gupta, A., Pandey, R. P., &amp; Chang, C.-M. (2022). Determination of Antioxidants by DPPH Radical Scavenging Activity and Quantitative Phytochemical Analysis of Ficus religiosa. </w:t>
      </w:r>
      <w:r w:rsidRPr="00FF2266">
        <w:rPr>
          <w:rFonts w:ascii="Arial" w:hAnsi="Arial" w:cs="Arial"/>
          <w:i/>
          <w:iCs/>
          <w:noProof/>
          <w:szCs w:val="24"/>
        </w:rPr>
        <w:t>Molecules</w:t>
      </w:r>
      <w:r w:rsidRPr="00FF2266">
        <w:rPr>
          <w:rFonts w:ascii="Arial" w:hAnsi="Arial" w:cs="Arial"/>
          <w:noProof/>
          <w:szCs w:val="24"/>
        </w:rPr>
        <w:t xml:space="preserve">, </w:t>
      </w:r>
      <w:r w:rsidRPr="00FF2266">
        <w:rPr>
          <w:rFonts w:ascii="Arial" w:hAnsi="Arial" w:cs="Arial"/>
          <w:i/>
          <w:iCs/>
          <w:noProof/>
          <w:szCs w:val="24"/>
        </w:rPr>
        <w:t>27</w:t>
      </w:r>
      <w:r w:rsidRPr="00FF2266">
        <w:rPr>
          <w:rFonts w:ascii="Arial" w:hAnsi="Arial" w:cs="Arial"/>
          <w:noProof/>
          <w:szCs w:val="24"/>
        </w:rPr>
        <w:t>(4), 1326. https://doi.org/10.3390/molecules27041326</w:t>
      </w:r>
    </w:p>
    <w:p w14:paraId="0F50A5FD"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Bello, U., Amran, N. A., &amp; Ruslan, M. S. H. (2023). Improving antioxidant scavenging effect of fruit peel waste extracts and their applicability in biodiesel stability enhancement. </w:t>
      </w:r>
      <w:r w:rsidRPr="00FF2266">
        <w:rPr>
          <w:rFonts w:ascii="Arial" w:hAnsi="Arial" w:cs="Arial"/>
          <w:i/>
          <w:iCs/>
          <w:noProof/>
          <w:szCs w:val="24"/>
        </w:rPr>
        <w:t>Journal of Saudi Chemical Society</w:t>
      </w:r>
      <w:r w:rsidRPr="00FF2266">
        <w:rPr>
          <w:rFonts w:ascii="Arial" w:hAnsi="Arial" w:cs="Arial"/>
          <w:noProof/>
          <w:szCs w:val="24"/>
        </w:rPr>
        <w:t xml:space="preserve">, </w:t>
      </w:r>
      <w:r w:rsidRPr="00FF2266">
        <w:rPr>
          <w:rFonts w:ascii="Arial" w:hAnsi="Arial" w:cs="Arial"/>
          <w:i/>
          <w:iCs/>
          <w:noProof/>
          <w:szCs w:val="24"/>
        </w:rPr>
        <w:t>27</w:t>
      </w:r>
      <w:r w:rsidRPr="00FF2266">
        <w:rPr>
          <w:rFonts w:ascii="Arial" w:hAnsi="Arial" w:cs="Arial"/>
          <w:noProof/>
          <w:szCs w:val="24"/>
        </w:rPr>
        <w:t>(4), 101653. https://doi.org/10.1016/j.jscs.2023.101653</w:t>
      </w:r>
    </w:p>
    <w:p w14:paraId="23FC99DA"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Chandimali, N., Bak, S. G., Park, E. H., Lim, H.-J., Won, Y.-S., Kim, E.-K., … Lee, S. J. (2025). Free radicals and their impact on health and antioxidant defenses: a review. </w:t>
      </w:r>
      <w:r w:rsidRPr="00FF2266">
        <w:rPr>
          <w:rFonts w:ascii="Arial" w:hAnsi="Arial" w:cs="Arial"/>
          <w:i/>
          <w:iCs/>
          <w:noProof/>
          <w:szCs w:val="24"/>
        </w:rPr>
        <w:t>Cell Death Discovery</w:t>
      </w:r>
      <w:r w:rsidRPr="00FF2266">
        <w:rPr>
          <w:rFonts w:ascii="Arial" w:hAnsi="Arial" w:cs="Arial"/>
          <w:noProof/>
          <w:szCs w:val="24"/>
        </w:rPr>
        <w:t xml:space="preserve">, </w:t>
      </w:r>
      <w:r w:rsidRPr="00FF2266">
        <w:rPr>
          <w:rFonts w:ascii="Arial" w:hAnsi="Arial" w:cs="Arial"/>
          <w:i/>
          <w:iCs/>
          <w:noProof/>
          <w:szCs w:val="24"/>
        </w:rPr>
        <w:t>11</w:t>
      </w:r>
      <w:r w:rsidRPr="00FF2266">
        <w:rPr>
          <w:rFonts w:ascii="Arial" w:hAnsi="Arial" w:cs="Arial"/>
          <w:noProof/>
          <w:szCs w:val="24"/>
        </w:rPr>
        <w:t>(1), 19. https://doi.org/10.1038/s41420-024-02278-8</w:t>
      </w:r>
    </w:p>
    <w:p w14:paraId="2CA709DA"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Djouadi, A., Yılmazer, H., Djouadi, A., &amp; Çakır, B. (2025). Antioxidant Activity of Different Phenolic</w:t>
      </w:r>
      <w:r w:rsidRPr="00FF2266">
        <w:rPr>
          <w:rFonts w:ascii="Cambria Math" w:hAnsi="Cambria Math" w:cs="Cambria Math"/>
          <w:noProof/>
          <w:szCs w:val="24"/>
        </w:rPr>
        <w:t>‐</w:t>
      </w:r>
      <w:r w:rsidRPr="00FF2266">
        <w:rPr>
          <w:rFonts w:ascii="Arial" w:hAnsi="Arial" w:cs="Arial"/>
          <w:noProof/>
          <w:szCs w:val="24"/>
        </w:rPr>
        <w:t xml:space="preserve">Rich Fractions Obtained From Peels of Turkish Dark Purple Eggplant. </w:t>
      </w:r>
      <w:r w:rsidRPr="00FF2266">
        <w:rPr>
          <w:rFonts w:ascii="Arial" w:hAnsi="Arial" w:cs="Arial"/>
          <w:i/>
          <w:iCs/>
          <w:noProof/>
          <w:szCs w:val="24"/>
        </w:rPr>
        <w:t>Food Science &amp; Nutrition</w:t>
      </w:r>
      <w:r w:rsidRPr="00FF2266">
        <w:rPr>
          <w:rFonts w:ascii="Arial" w:hAnsi="Arial" w:cs="Arial"/>
          <w:noProof/>
          <w:szCs w:val="24"/>
        </w:rPr>
        <w:t xml:space="preserve">, </w:t>
      </w:r>
      <w:r w:rsidRPr="00FF2266">
        <w:rPr>
          <w:rFonts w:ascii="Arial" w:hAnsi="Arial" w:cs="Arial"/>
          <w:i/>
          <w:iCs/>
          <w:noProof/>
          <w:szCs w:val="24"/>
        </w:rPr>
        <w:t>13</w:t>
      </w:r>
      <w:r w:rsidRPr="00FF2266">
        <w:rPr>
          <w:rFonts w:ascii="Arial" w:hAnsi="Arial" w:cs="Arial"/>
          <w:noProof/>
          <w:szCs w:val="24"/>
        </w:rPr>
        <w:t>(7). https://doi.org/10.1002/fsn3.70521</w:t>
      </w:r>
    </w:p>
    <w:p w14:paraId="1F31B8E1"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Gil-Martín, E., Forbes-Hernández, T., Romero, A., Cianciosi, D., Giampieri, F., &amp; Battino, M. (2022). Influence of the extraction method on the recovery of bioactive phenolic compounds from food industry by-products. </w:t>
      </w:r>
      <w:r w:rsidRPr="00FF2266">
        <w:rPr>
          <w:rFonts w:ascii="Arial" w:hAnsi="Arial" w:cs="Arial"/>
          <w:i/>
          <w:iCs/>
          <w:noProof/>
          <w:szCs w:val="24"/>
        </w:rPr>
        <w:t>Food Chemistry</w:t>
      </w:r>
      <w:r w:rsidRPr="00FF2266">
        <w:rPr>
          <w:rFonts w:ascii="Arial" w:hAnsi="Arial" w:cs="Arial"/>
          <w:noProof/>
          <w:szCs w:val="24"/>
        </w:rPr>
        <w:t xml:space="preserve">, </w:t>
      </w:r>
      <w:r w:rsidRPr="00FF2266">
        <w:rPr>
          <w:rFonts w:ascii="Arial" w:hAnsi="Arial" w:cs="Arial"/>
          <w:i/>
          <w:iCs/>
          <w:noProof/>
          <w:szCs w:val="24"/>
        </w:rPr>
        <w:t>378</w:t>
      </w:r>
      <w:r w:rsidRPr="00FF2266">
        <w:rPr>
          <w:rFonts w:ascii="Arial" w:hAnsi="Arial" w:cs="Arial"/>
          <w:noProof/>
          <w:szCs w:val="24"/>
        </w:rPr>
        <w:t>, 131918. https://doi.org/10.1016/j.foodchem.2021.131918</w:t>
      </w:r>
    </w:p>
    <w:p w14:paraId="518E4A8E"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Herman H, H., Prasetya, F., Salam, S., Rijai, H. R., Kuncoro, H., Rusli, R., … Rijai, L. (2022). Pharmacognostic Profile of Simplicia and Ethanolic Leaves Extract from Indonesian Piper betle var. nigra. </w:t>
      </w:r>
      <w:r w:rsidRPr="00FF2266">
        <w:rPr>
          <w:rFonts w:ascii="Arial" w:hAnsi="Arial" w:cs="Arial"/>
          <w:i/>
          <w:iCs/>
          <w:noProof/>
          <w:szCs w:val="24"/>
        </w:rPr>
        <w:t>Pharmacognosy Journal</w:t>
      </w:r>
      <w:r w:rsidRPr="00FF2266">
        <w:rPr>
          <w:rFonts w:ascii="Arial" w:hAnsi="Arial" w:cs="Arial"/>
          <w:noProof/>
          <w:szCs w:val="24"/>
        </w:rPr>
        <w:t xml:space="preserve">, </w:t>
      </w:r>
      <w:r w:rsidRPr="00FF2266">
        <w:rPr>
          <w:rFonts w:ascii="Arial" w:hAnsi="Arial" w:cs="Arial"/>
          <w:i/>
          <w:iCs/>
          <w:noProof/>
          <w:szCs w:val="24"/>
        </w:rPr>
        <w:t>14</w:t>
      </w:r>
      <w:r w:rsidRPr="00FF2266">
        <w:rPr>
          <w:rFonts w:ascii="Arial" w:hAnsi="Arial" w:cs="Arial"/>
          <w:noProof/>
          <w:szCs w:val="24"/>
        </w:rPr>
        <w:t>(5), 610–618. https://doi.org/10.5530/pj.2022.14.143</w:t>
      </w:r>
    </w:p>
    <w:p w14:paraId="5ACF19FA"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Huang, Y., Ebrahimi, H., Berselli, E., Foti, M. C., &amp; Amorati, R. (2025). Essential Oils as Antioxidants: Mechanistic Insights from Radical Scavenging to Redox Signaling. </w:t>
      </w:r>
      <w:r w:rsidRPr="00FF2266">
        <w:rPr>
          <w:rFonts w:ascii="Arial" w:hAnsi="Arial" w:cs="Arial"/>
          <w:i/>
          <w:iCs/>
          <w:noProof/>
          <w:szCs w:val="24"/>
        </w:rPr>
        <w:t>Antioxidants</w:t>
      </w:r>
      <w:r w:rsidRPr="00FF2266">
        <w:rPr>
          <w:rFonts w:ascii="Arial" w:hAnsi="Arial" w:cs="Arial"/>
          <w:noProof/>
          <w:szCs w:val="24"/>
        </w:rPr>
        <w:t xml:space="preserve">, </w:t>
      </w:r>
      <w:r w:rsidRPr="00FF2266">
        <w:rPr>
          <w:rFonts w:ascii="Arial" w:hAnsi="Arial" w:cs="Arial"/>
          <w:i/>
          <w:iCs/>
          <w:noProof/>
          <w:szCs w:val="24"/>
        </w:rPr>
        <w:t>15</w:t>
      </w:r>
      <w:r w:rsidRPr="00FF2266">
        <w:rPr>
          <w:rFonts w:ascii="Arial" w:hAnsi="Arial" w:cs="Arial"/>
          <w:noProof/>
          <w:szCs w:val="24"/>
        </w:rPr>
        <w:t>(1), 37. https://doi.org/10.3390/antiox15010037</w:t>
      </w:r>
    </w:p>
    <w:p w14:paraId="56247757"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Lourenço, S. C., Moldão-Martins, M., &amp; Alves, V. D. (2019). Antioxidants of Natural Plant Origins: From Sources to Food Industry Applications. </w:t>
      </w:r>
      <w:r w:rsidRPr="00FF2266">
        <w:rPr>
          <w:rFonts w:ascii="Arial" w:hAnsi="Arial" w:cs="Arial"/>
          <w:i/>
          <w:iCs/>
          <w:noProof/>
          <w:szCs w:val="24"/>
        </w:rPr>
        <w:t>Molecules</w:t>
      </w:r>
      <w:r w:rsidRPr="00FF2266">
        <w:rPr>
          <w:rFonts w:ascii="Arial" w:hAnsi="Arial" w:cs="Arial"/>
          <w:noProof/>
          <w:szCs w:val="24"/>
        </w:rPr>
        <w:t xml:space="preserve">, </w:t>
      </w:r>
      <w:r w:rsidRPr="00FF2266">
        <w:rPr>
          <w:rFonts w:ascii="Arial" w:hAnsi="Arial" w:cs="Arial"/>
          <w:i/>
          <w:iCs/>
          <w:noProof/>
          <w:szCs w:val="24"/>
        </w:rPr>
        <w:t>24</w:t>
      </w:r>
      <w:r w:rsidRPr="00FF2266">
        <w:rPr>
          <w:rFonts w:ascii="Arial" w:hAnsi="Arial" w:cs="Arial"/>
          <w:noProof/>
          <w:szCs w:val="24"/>
        </w:rPr>
        <w:t>(22), 4132. https://doi.org/10.3390/molecules24224132</w:t>
      </w:r>
    </w:p>
    <w:p w14:paraId="5003378B"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Martemucci, G., Costagliola, C., Mariano, M., D’andrea, L., Napolitano, P., &amp; D’Alessandro, </w:t>
      </w:r>
      <w:r w:rsidRPr="00FF2266">
        <w:rPr>
          <w:rFonts w:ascii="Arial" w:hAnsi="Arial" w:cs="Arial"/>
          <w:noProof/>
          <w:szCs w:val="24"/>
        </w:rPr>
        <w:lastRenderedPageBreak/>
        <w:t xml:space="preserve">A. G. (2022). Free Radical Properties, Source and Targets, Antioxidant Consumption and Health. </w:t>
      </w:r>
      <w:r w:rsidRPr="00FF2266">
        <w:rPr>
          <w:rFonts w:ascii="Arial" w:hAnsi="Arial" w:cs="Arial"/>
          <w:i/>
          <w:iCs/>
          <w:noProof/>
          <w:szCs w:val="24"/>
        </w:rPr>
        <w:t>Oxygen</w:t>
      </w:r>
      <w:r w:rsidRPr="00FF2266">
        <w:rPr>
          <w:rFonts w:ascii="Arial" w:hAnsi="Arial" w:cs="Arial"/>
          <w:noProof/>
          <w:szCs w:val="24"/>
        </w:rPr>
        <w:t xml:space="preserve">, </w:t>
      </w:r>
      <w:r w:rsidRPr="00FF2266">
        <w:rPr>
          <w:rFonts w:ascii="Arial" w:hAnsi="Arial" w:cs="Arial"/>
          <w:i/>
          <w:iCs/>
          <w:noProof/>
          <w:szCs w:val="24"/>
        </w:rPr>
        <w:t>2</w:t>
      </w:r>
      <w:r w:rsidRPr="00FF2266">
        <w:rPr>
          <w:rFonts w:ascii="Arial" w:hAnsi="Arial" w:cs="Arial"/>
          <w:noProof/>
          <w:szCs w:val="24"/>
        </w:rPr>
        <w:t>(2), 48–78. https://doi.org/10.3390/oxygen2020006</w:t>
      </w:r>
    </w:p>
    <w:p w14:paraId="2676C1C3"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Michiu, D., Socaciu, M.-I., Fogarasi, M., Jimborean, A. M., Ranga, F., Mureşan, V., &amp; Semeniuc, C. A. (2022). Implementation of an Analytical Method for Spectrophotometric Evaluation of Total Phenolic Content in Essential Oils. </w:t>
      </w:r>
      <w:r w:rsidRPr="00FF2266">
        <w:rPr>
          <w:rFonts w:ascii="Arial" w:hAnsi="Arial" w:cs="Arial"/>
          <w:i/>
          <w:iCs/>
          <w:noProof/>
          <w:szCs w:val="24"/>
        </w:rPr>
        <w:t>Molecules</w:t>
      </w:r>
      <w:r w:rsidRPr="00FF2266">
        <w:rPr>
          <w:rFonts w:ascii="Arial" w:hAnsi="Arial" w:cs="Arial"/>
          <w:noProof/>
          <w:szCs w:val="24"/>
        </w:rPr>
        <w:t xml:space="preserve">, </w:t>
      </w:r>
      <w:r w:rsidRPr="00FF2266">
        <w:rPr>
          <w:rFonts w:ascii="Arial" w:hAnsi="Arial" w:cs="Arial"/>
          <w:i/>
          <w:iCs/>
          <w:noProof/>
          <w:szCs w:val="24"/>
        </w:rPr>
        <w:t>27</w:t>
      </w:r>
      <w:r w:rsidRPr="00FF2266">
        <w:rPr>
          <w:rFonts w:ascii="Arial" w:hAnsi="Arial" w:cs="Arial"/>
          <w:noProof/>
          <w:szCs w:val="24"/>
        </w:rPr>
        <w:t>(4), 1345. https://doi.org/10.3390/molecules27041345</w:t>
      </w:r>
    </w:p>
    <w:p w14:paraId="34F42FC1"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Muflihah, Y. M., Gollavelli, G., &amp; Ling, Y.-C. (2021). Correlation Study of Antioxidant Activity with Phenolic and Flavonoid Compounds in 12 Indonesian Indigenous Herbs. </w:t>
      </w:r>
      <w:r w:rsidRPr="00FF2266">
        <w:rPr>
          <w:rFonts w:ascii="Arial" w:hAnsi="Arial" w:cs="Arial"/>
          <w:i/>
          <w:iCs/>
          <w:noProof/>
          <w:szCs w:val="24"/>
        </w:rPr>
        <w:t>Antioxidants</w:t>
      </w:r>
      <w:r w:rsidRPr="00FF2266">
        <w:rPr>
          <w:rFonts w:ascii="Arial" w:hAnsi="Arial" w:cs="Arial"/>
          <w:noProof/>
          <w:szCs w:val="24"/>
        </w:rPr>
        <w:t xml:space="preserve">, </w:t>
      </w:r>
      <w:r w:rsidRPr="00FF2266">
        <w:rPr>
          <w:rFonts w:ascii="Arial" w:hAnsi="Arial" w:cs="Arial"/>
          <w:i/>
          <w:iCs/>
          <w:noProof/>
          <w:szCs w:val="24"/>
        </w:rPr>
        <w:t>10</w:t>
      </w:r>
      <w:r w:rsidRPr="00FF2266">
        <w:rPr>
          <w:rFonts w:ascii="Arial" w:hAnsi="Arial" w:cs="Arial"/>
          <w:noProof/>
          <w:szCs w:val="24"/>
        </w:rPr>
        <w:t>(10), 1530. https://doi.org/10.3390/antiox10101530</w:t>
      </w:r>
    </w:p>
    <w:p w14:paraId="16D8D7C2"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Platzer, M., Kiese, S., Tybussek, T., Herfellner, T., Schneider, F., Schweiggert-Weisz, U., &amp; Eisner, P. (2022). Radical Scavenging Mechanisms of Phenolic Compounds: A Quantitative Structure-Property Relationship (QSPR) Study. </w:t>
      </w:r>
      <w:r w:rsidRPr="00FF2266">
        <w:rPr>
          <w:rFonts w:ascii="Arial" w:hAnsi="Arial" w:cs="Arial"/>
          <w:i/>
          <w:iCs/>
          <w:noProof/>
          <w:szCs w:val="24"/>
        </w:rPr>
        <w:t>Frontiers in Nutrition</w:t>
      </w:r>
      <w:r w:rsidRPr="00FF2266">
        <w:rPr>
          <w:rFonts w:ascii="Arial" w:hAnsi="Arial" w:cs="Arial"/>
          <w:noProof/>
          <w:szCs w:val="24"/>
        </w:rPr>
        <w:t xml:space="preserve">, </w:t>
      </w:r>
      <w:r w:rsidRPr="00FF2266">
        <w:rPr>
          <w:rFonts w:ascii="Arial" w:hAnsi="Arial" w:cs="Arial"/>
          <w:i/>
          <w:iCs/>
          <w:noProof/>
          <w:szCs w:val="24"/>
        </w:rPr>
        <w:t>9</w:t>
      </w:r>
      <w:r w:rsidRPr="00FF2266">
        <w:rPr>
          <w:rFonts w:ascii="Arial" w:hAnsi="Arial" w:cs="Arial"/>
          <w:noProof/>
          <w:szCs w:val="24"/>
        </w:rPr>
        <w:t>(April), 4–8. https://doi.org/10.3389/fnut.2022.882458</w:t>
      </w:r>
    </w:p>
    <w:p w14:paraId="17D9DC62" w14:textId="77777777" w:rsidR="00FF2266"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Pruteanu, L. L., Bailey, D. S., Grădinaru, A. C., &amp; Jäntschi, L. (2023). The Biochemistry and Effectiveness of Antioxidants in Food, Fruits, and Marine Algae. </w:t>
      </w:r>
      <w:r w:rsidRPr="00FF2266">
        <w:rPr>
          <w:rFonts w:ascii="Arial" w:hAnsi="Arial" w:cs="Arial"/>
          <w:i/>
          <w:iCs/>
          <w:noProof/>
          <w:szCs w:val="24"/>
        </w:rPr>
        <w:t>Antioxidants</w:t>
      </w:r>
      <w:r w:rsidRPr="00FF2266">
        <w:rPr>
          <w:rFonts w:ascii="Arial" w:hAnsi="Arial" w:cs="Arial"/>
          <w:noProof/>
          <w:szCs w:val="24"/>
        </w:rPr>
        <w:t xml:space="preserve">, </w:t>
      </w:r>
      <w:r w:rsidRPr="00FF2266">
        <w:rPr>
          <w:rFonts w:ascii="Arial" w:hAnsi="Arial" w:cs="Arial"/>
          <w:i/>
          <w:iCs/>
          <w:noProof/>
          <w:szCs w:val="24"/>
        </w:rPr>
        <w:t>12</w:t>
      </w:r>
      <w:r w:rsidRPr="00FF2266">
        <w:rPr>
          <w:rFonts w:ascii="Arial" w:hAnsi="Arial" w:cs="Arial"/>
          <w:noProof/>
          <w:szCs w:val="24"/>
        </w:rPr>
        <w:t>(4), 860. https://doi.org/10.3390/antiox12040860</w:t>
      </w:r>
    </w:p>
    <w:p w14:paraId="1BE86A34" w14:textId="77777777" w:rsid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Suleiman, M. S., Omale, J. A., Ayeni, G., Ali, B. A., Ojogbane, E., Sule, F. A., … Mohammed, L. S. (2024). Phytochemical, Proximate, Mineral Analysis and Antioxidant Activity of the leaves of Gossypium hirsutum. </w:t>
      </w:r>
      <w:r w:rsidRPr="00FF2266">
        <w:rPr>
          <w:rFonts w:ascii="Arial" w:hAnsi="Arial" w:cs="Arial"/>
          <w:i/>
          <w:iCs/>
          <w:noProof/>
          <w:szCs w:val="24"/>
        </w:rPr>
        <w:t>IPS Interdisciplinary Journal of Biological Sciences</w:t>
      </w:r>
      <w:r w:rsidRPr="00FF2266">
        <w:rPr>
          <w:rFonts w:ascii="Arial" w:hAnsi="Arial" w:cs="Arial"/>
          <w:noProof/>
          <w:szCs w:val="24"/>
        </w:rPr>
        <w:t xml:space="preserve">, </w:t>
      </w:r>
      <w:r w:rsidRPr="00FF2266">
        <w:rPr>
          <w:rFonts w:ascii="Arial" w:hAnsi="Arial" w:cs="Arial"/>
          <w:i/>
          <w:iCs/>
          <w:noProof/>
          <w:szCs w:val="24"/>
        </w:rPr>
        <w:t>3</w:t>
      </w:r>
      <w:r w:rsidRPr="00FF2266">
        <w:rPr>
          <w:rFonts w:ascii="Arial" w:hAnsi="Arial" w:cs="Arial"/>
          <w:noProof/>
          <w:szCs w:val="24"/>
        </w:rPr>
        <w:t>(1), 45–50. https://doi.org/10.54117/iijbs.v3i1.16</w:t>
      </w:r>
    </w:p>
    <w:p w14:paraId="3E3F151F" w14:textId="77777777" w:rsidR="00790ADA" w:rsidRPr="00FF2266" w:rsidRDefault="00FF2266" w:rsidP="00FF2266">
      <w:pPr>
        <w:widowControl w:val="0"/>
        <w:autoSpaceDE w:val="0"/>
        <w:autoSpaceDN w:val="0"/>
        <w:adjustRightInd w:val="0"/>
        <w:spacing w:before="100"/>
        <w:ind w:left="480" w:hanging="480"/>
        <w:jc w:val="both"/>
        <w:rPr>
          <w:rFonts w:ascii="Arial" w:hAnsi="Arial" w:cs="Arial"/>
          <w:noProof/>
          <w:szCs w:val="24"/>
        </w:rPr>
      </w:pPr>
      <w:r w:rsidRPr="00FF2266">
        <w:rPr>
          <w:rFonts w:ascii="Arial" w:hAnsi="Arial" w:cs="Arial"/>
          <w:noProof/>
          <w:szCs w:val="24"/>
        </w:rPr>
        <w:t xml:space="preserve">Wigati, D., &amp; Pratoko, D. K. (2024). Study of Antioxidant Activity, Total Phenolic Content (TPC), and Total Flavonoid Content (TFC) of Ethanolic Extract Mango Peel (Mangifera indica L.). </w:t>
      </w:r>
      <w:r w:rsidRPr="00FF2266">
        <w:rPr>
          <w:rFonts w:ascii="Arial" w:hAnsi="Arial" w:cs="Arial"/>
          <w:i/>
          <w:iCs/>
          <w:noProof/>
          <w:szCs w:val="24"/>
        </w:rPr>
        <w:t>Jurnal Sains Dan Kesehatan</w:t>
      </w:r>
      <w:r w:rsidRPr="00FF2266">
        <w:rPr>
          <w:rFonts w:ascii="Arial" w:hAnsi="Arial" w:cs="Arial"/>
          <w:noProof/>
          <w:szCs w:val="24"/>
        </w:rPr>
        <w:t xml:space="preserve">, </w:t>
      </w:r>
      <w:r w:rsidRPr="00FF2266">
        <w:rPr>
          <w:rFonts w:ascii="Arial" w:hAnsi="Arial" w:cs="Arial"/>
          <w:i/>
          <w:iCs/>
          <w:noProof/>
          <w:szCs w:val="24"/>
        </w:rPr>
        <w:t>6</w:t>
      </w:r>
      <w:r w:rsidRPr="00FF2266">
        <w:rPr>
          <w:rFonts w:ascii="Arial" w:hAnsi="Arial" w:cs="Arial"/>
          <w:noProof/>
          <w:szCs w:val="24"/>
        </w:rPr>
        <w:t>(1), 142–148. https://doi.org/https://doi.org/10.25026/jsk.v6i1.1601</w:t>
      </w:r>
    </w:p>
    <w:sectPr w:rsidR="00790ADA" w:rsidRPr="00FF2266" w:rsidSect="0060074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5DEED" w14:textId="77777777" w:rsidR="00694D9B" w:rsidRDefault="00694D9B" w:rsidP="00C37E61">
      <w:r>
        <w:separator/>
      </w:r>
    </w:p>
  </w:endnote>
  <w:endnote w:type="continuationSeparator" w:id="0">
    <w:p w14:paraId="271AB749" w14:textId="77777777" w:rsidR="00694D9B" w:rsidRDefault="00694D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5713" w14:textId="77777777" w:rsidR="00600744" w:rsidRDefault="00600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7A79" w14:textId="77777777" w:rsidR="00600744" w:rsidRDefault="00600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8FE3" w14:textId="77777777" w:rsidR="009E048A" w:rsidRDefault="009E048A">
    <w:pPr>
      <w:pStyle w:val="Footer"/>
      <w:rPr>
        <w:rFonts w:ascii="Arial" w:hAnsi="Arial" w:cs="Arial"/>
        <w:sz w:val="16"/>
      </w:rPr>
    </w:pPr>
  </w:p>
  <w:p w14:paraId="0B3DD48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E0F0972" w14:textId="77777777" w:rsidR="009E048A" w:rsidRDefault="009E048A">
    <w:pPr>
      <w:pStyle w:val="Footer"/>
      <w:rPr>
        <w:rFonts w:ascii="Arial" w:hAnsi="Arial" w:cs="Arial"/>
        <w:sz w:val="16"/>
      </w:rPr>
    </w:pPr>
  </w:p>
  <w:p w14:paraId="01EA426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E147E" w14:textId="77777777" w:rsidR="00694D9B" w:rsidRDefault="00694D9B" w:rsidP="00C37E61">
      <w:r>
        <w:separator/>
      </w:r>
    </w:p>
  </w:footnote>
  <w:footnote w:type="continuationSeparator" w:id="0">
    <w:p w14:paraId="2E4ADE84" w14:textId="77777777" w:rsidR="00694D9B" w:rsidRDefault="00694D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B498" w14:textId="3DCEC482" w:rsidR="00600744" w:rsidRDefault="00600744">
    <w:pPr>
      <w:pStyle w:val="Header"/>
    </w:pPr>
    <w:r>
      <w:rPr>
        <w:noProof/>
      </w:rPr>
      <w:pict w14:anchorId="34F53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78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82D9" w14:textId="365D6C08" w:rsidR="00600744" w:rsidRDefault="00600744">
    <w:pPr>
      <w:pStyle w:val="Header"/>
    </w:pPr>
    <w:r>
      <w:rPr>
        <w:noProof/>
      </w:rPr>
      <w:pict w14:anchorId="042FB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78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F6750" w14:textId="0D5AFB3C" w:rsidR="00296529" w:rsidRPr="00296529" w:rsidRDefault="00600744" w:rsidP="00296529">
    <w:pPr>
      <w:ind w:left="2160"/>
      <w:jc w:val="center"/>
      <w:rPr>
        <w:rFonts w:ascii="Times New Roman" w:eastAsia="Calibri" w:hAnsi="Times New Roman"/>
        <w:i/>
        <w:sz w:val="18"/>
        <w:szCs w:val="22"/>
      </w:rPr>
    </w:pPr>
    <w:r>
      <w:rPr>
        <w:noProof/>
      </w:rPr>
      <w:pict w14:anchorId="2D4D6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78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9B5FA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B1394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EE0C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6F5D9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67164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CE99D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52B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461"/>
    <w:rsid w:val="00283105"/>
    <w:rsid w:val="00284C4C"/>
    <w:rsid w:val="00287E68"/>
    <w:rsid w:val="00296529"/>
    <w:rsid w:val="002B27FB"/>
    <w:rsid w:val="002B685A"/>
    <w:rsid w:val="002C57D2"/>
    <w:rsid w:val="002E0D56"/>
    <w:rsid w:val="002F3988"/>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3A24"/>
    <w:rsid w:val="00471A80"/>
    <w:rsid w:val="004D305E"/>
    <w:rsid w:val="004D4277"/>
    <w:rsid w:val="004E473E"/>
    <w:rsid w:val="00502516"/>
    <w:rsid w:val="00505F06"/>
    <w:rsid w:val="00506828"/>
    <w:rsid w:val="0053056E"/>
    <w:rsid w:val="00554FDA"/>
    <w:rsid w:val="005C784C"/>
    <w:rsid w:val="005D17F6"/>
    <w:rsid w:val="005E5539"/>
    <w:rsid w:val="00600744"/>
    <w:rsid w:val="00602BF5"/>
    <w:rsid w:val="00617FDD"/>
    <w:rsid w:val="00633614"/>
    <w:rsid w:val="00633F68"/>
    <w:rsid w:val="00636EB2"/>
    <w:rsid w:val="006375B8"/>
    <w:rsid w:val="0066510A"/>
    <w:rsid w:val="00673F9F"/>
    <w:rsid w:val="00686953"/>
    <w:rsid w:val="00687DEA"/>
    <w:rsid w:val="00687E67"/>
    <w:rsid w:val="00694D9B"/>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48DD"/>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4A04"/>
    <w:rsid w:val="00B1776C"/>
    <w:rsid w:val="00B52583"/>
    <w:rsid w:val="00B52896"/>
    <w:rsid w:val="00B95236"/>
    <w:rsid w:val="00B96BD9"/>
    <w:rsid w:val="00BA1B01"/>
    <w:rsid w:val="00BA2641"/>
    <w:rsid w:val="00BB37AA"/>
    <w:rsid w:val="00BC53A0"/>
    <w:rsid w:val="00BE0219"/>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97D"/>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4654"/>
    <w:rsid w:val="00FB3A86"/>
    <w:rsid w:val="00FD36C8"/>
    <w:rsid w:val="00FF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46097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4E4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01044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71731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4506383">
      <w:bodyDiv w:val="1"/>
      <w:marLeft w:val="0"/>
      <w:marRight w:val="0"/>
      <w:marTop w:val="0"/>
      <w:marBottom w:val="0"/>
      <w:divBdr>
        <w:top w:val="none" w:sz="0" w:space="0" w:color="auto"/>
        <w:left w:val="none" w:sz="0" w:space="0" w:color="auto"/>
        <w:bottom w:val="none" w:sz="0" w:space="0" w:color="auto"/>
        <w:right w:val="none" w:sz="0" w:space="0" w:color="auto"/>
      </w:divBdr>
    </w:div>
    <w:div w:id="657460438">
      <w:bodyDiv w:val="1"/>
      <w:marLeft w:val="0"/>
      <w:marRight w:val="0"/>
      <w:marTop w:val="0"/>
      <w:marBottom w:val="0"/>
      <w:divBdr>
        <w:top w:val="none" w:sz="0" w:space="0" w:color="auto"/>
        <w:left w:val="none" w:sz="0" w:space="0" w:color="auto"/>
        <w:bottom w:val="none" w:sz="0" w:space="0" w:color="auto"/>
        <w:right w:val="none" w:sz="0" w:space="0" w:color="auto"/>
      </w:divBdr>
    </w:div>
    <w:div w:id="76469241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251235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0159017">
      <w:bodyDiv w:val="1"/>
      <w:marLeft w:val="0"/>
      <w:marRight w:val="0"/>
      <w:marTop w:val="0"/>
      <w:marBottom w:val="0"/>
      <w:divBdr>
        <w:top w:val="none" w:sz="0" w:space="0" w:color="auto"/>
        <w:left w:val="none" w:sz="0" w:space="0" w:color="auto"/>
        <w:bottom w:val="none" w:sz="0" w:space="0" w:color="auto"/>
        <w:right w:val="none" w:sz="0" w:space="0" w:color="auto"/>
      </w:divBdr>
    </w:div>
    <w:div w:id="2142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70AF7-5A17-4075-88CC-DB525D5C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6</Pages>
  <Words>8498</Words>
  <Characters>48442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56827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2026-01-09T14:19:00Z</dcterms:created>
  <dcterms:modified xsi:type="dcterms:W3CDTF">2026-01-10T11:03:00Z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https://csl.mendeley.com/styles/446121781/american-institute-of-physics</vt:lpwstr>
  </property>
  <property fmtid="{D5CDD505-2E9C-101B-9397-08002B2CF9AE}" pid="3" name="Mendeley Recent Style Name 0_1">
    <vt:lpwstr>American Institute of Physics - Bastian Nova</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http://www.zotero.org/styles/springer-vancouver-brackets</vt:lpwstr>
  </property>
  <property fmtid="{D5CDD505-2E9C-101B-9397-08002B2CF9AE}" pid="15" name="Mendeley Recent Style Name 6_1">
    <vt:lpwstr>Springer - Vancouver (brackets)</vt:lpwstr>
  </property>
  <property fmtid="{D5CDD505-2E9C-101B-9397-08002B2CF9AE}" pid="16" name="Mendeley Recent Style Id 7_1">
    <vt:lpwstr>https://csl.mendeley.com/styles/126048391/taylor-and-francis-chicago-author-date</vt:lpwstr>
  </property>
  <property fmtid="{D5CDD505-2E9C-101B-9397-08002B2CF9AE}" pid="17" name="Mendeley Recent Style Name 7_1">
    <vt:lpwstr>Taylor &amp; Francis - Chicago Manual of Style (author-date) - Epi Supri Wardi</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vt:lpwstr>
  </property>
  <property fmtid="{D5CDD505-2E9C-101B-9397-08002B2CF9AE}" pid="21" name="Mendeley Recent Style Name 9_1">
    <vt:lpwstr>Vancouver (brackets)</vt:lpwstr>
  </property>
  <property fmtid="{D5CDD505-2E9C-101B-9397-08002B2CF9AE}" pid="22" name="Mendeley Document_1">
    <vt:lpwstr>True</vt:lpwstr>
  </property>
  <property fmtid="{D5CDD505-2E9C-101B-9397-08002B2CF9AE}" pid="23" name="Mendeley Unique User Id_1">
    <vt:lpwstr>8c056e17-9fe7-326e-9cdd-dc2e85a3d3d0</vt:lpwstr>
  </property>
  <property fmtid="{D5CDD505-2E9C-101B-9397-08002B2CF9AE}" pid="24" name="Mendeley Citation Style_1">
    <vt:lpwstr>http://www.zotero.org/styles/apa</vt:lpwstr>
  </property>
</Properties>
</file>