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B31A5" w14:textId="77777777" w:rsidR="00754C9A" w:rsidRDefault="00754C9A" w:rsidP="00441B6F">
      <w:pPr>
        <w:pStyle w:val="Title"/>
        <w:spacing w:after="0"/>
        <w:jc w:val="both"/>
        <w:rPr>
          <w:rFonts w:ascii="Arial" w:hAnsi="Arial" w:cs="Arial"/>
        </w:rPr>
      </w:pPr>
    </w:p>
    <w:p w14:paraId="712C6220" w14:textId="54D7FDE9" w:rsidR="00163BC4" w:rsidRPr="00163BC4" w:rsidRDefault="00BE4B98" w:rsidP="00441B6F">
      <w:pPr>
        <w:pStyle w:val="Author"/>
        <w:spacing w:line="240" w:lineRule="auto"/>
        <w:rPr>
          <w:rFonts w:ascii="Arial" w:hAnsi="Arial" w:cs="Arial"/>
          <w:bCs/>
          <w:iCs/>
          <w:kern w:val="28"/>
          <w:sz w:val="36"/>
        </w:rPr>
      </w:pPr>
      <w:r w:rsidRPr="00BE4B98">
        <w:rPr>
          <w:rFonts w:ascii="Arial" w:hAnsi="Arial" w:cs="Arial"/>
          <w:bCs/>
          <w:iCs/>
          <w:kern w:val="28"/>
          <w:sz w:val="36"/>
        </w:rPr>
        <w:t>Analysis of Opportunities to Enhance the Economic Value of Arabica Coffee as a Leading Non-Timber Forest Product (NTFP) on Lombok Island</w:t>
      </w:r>
      <w:r w:rsidR="00231920">
        <w:rPr>
          <w:rFonts w:ascii="Arial" w:hAnsi="Arial" w:cs="Arial"/>
          <w:bCs/>
          <w:iCs/>
          <w:kern w:val="28"/>
          <w:sz w:val="36"/>
        </w:rPr>
        <w:t xml:space="preserve"> </w:t>
      </w:r>
    </w:p>
    <w:p w14:paraId="4EBD6800" w14:textId="77777777" w:rsidR="00A258C3" w:rsidRPr="00790ADA" w:rsidRDefault="00A258C3" w:rsidP="00441B6F">
      <w:pPr>
        <w:pStyle w:val="Author"/>
        <w:spacing w:line="240" w:lineRule="auto"/>
        <w:jc w:val="both"/>
        <w:rPr>
          <w:rFonts w:ascii="Arial" w:hAnsi="Arial" w:cs="Arial"/>
          <w:sz w:val="36"/>
        </w:rPr>
      </w:pPr>
    </w:p>
    <w:bookmarkStart w:id="0" w:name="_GoBack"/>
    <w:bookmarkEnd w:id="0"/>
    <w:p w14:paraId="164CB6E4" w14:textId="77777777" w:rsidR="00B01FCD" w:rsidRPr="00FB3A86" w:rsidRDefault="00415B48" w:rsidP="00441B6F">
      <w:pPr>
        <w:pStyle w:val="Copyright"/>
        <w:spacing w:after="0" w:line="240" w:lineRule="auto"/>
        <w:jc w:val="both"/>
        <w:rPr>
          <w:rFonts w:ascii="Arial" w:hAnsi="Arial" w:cs="Arial"/>
        </w:rPr>
        <w:sectPr w:rsidR="00B01FCD" w:rsidRPr="00FB3A86" w:rsidSect="00A416B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296" w:gutter="0"/>
          <w:cols w:space="720"/>
          <w:docGrid w:linePitch="272"/>
        </w:sectPr>
      </w:pPr>
      <w:r>
        <w:rPr>
          <w:rFonts w:ascii="Arial" w:hAnsi="Arial" w:cs="Arial"/>
        </w:rPr>
      </w:r>
      <w:r>
        <w:rPr>
          <w:rFonts w:ascii="Arial" w:hAnsi="Arial" w:cs="Arial"/>
        </w:rPr>
        <w:pict w14:anchorId="735383D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81116FB" w14:textId="656FBDB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2AB5FF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96720F6" w14:textId="77777777" w:rsidTr="001E44FE">
        <w:tc>
          <w:tcPr>
            <w:tcW w:w="9576" w:type="dxa"/>
            <w:shd w:val="clear" w:color="auto" w:fill="F2F2F2"/>
          </w:tcPr>
          <w:p w14:paraId="75CCB5CB" w14:textId="4C3D3097" w:rsidR="00505F06" w:rsidRPr="00BA1B01" w:rsidRDefault="00164A26" w:rsidP="00164A26">
            <w:pPr>
              <w:pStyle w:val="Body"/>
              <w:rPr>
                <w:rFonts w:ascii="Arial" w:eastAsia="Calibri" w:hAnsi="Arial" w:cs="Arial"/>
                <w:szCs w:val="22"/>
              </w:rPr>
            </w:pPr>
            <w:r w:rsidRPr="00164A26">
              <w:rPr>
                <w:rFonts w:ascii="Arial" w:eastAsia="Calibri" w:hAnsi="Arial" w:cs="Arial"/>
                <w:szCs w:val="22"/>
              </w:rPr>
              <w:t xml:space="preserve">Arabica coffee cultivated on Lombok Island, particularly in the </w:t>
            </w:r>
            <w:proofErr w:type="spellStart"/>
            <w:r w:rsidRPr="00164A26">
              <w:rPr>
                <w:rFonts w:ascii="Arial" w:eastAsia="Calibri" w:hAnsi="Arial" w:cs="Arial"/>
                <w:szCs w:val="22"/>
              </w:rPr>
              <w:t>Sembalun</w:t>
            </w:r>
            <w:proofErr w:type="spellEnd"/>
            <w:r w:rsidRPr="00164A26">
              <w:rPr>
                <w:rFonts w:ascii="Arial" w:eastAsia="Calibri" w:hAnsi="Arial" w:cs="Arial"/>
                <w:szCs w:val="22"/>
              </w:rPr>
              <w:t xml:space="preserve"> area, exhibits high sensory quality and is produced within forest-based agroforestry systems, positioning it as a promising leading Non-Timber Forest Product (NTFP). However, this potential has not yet been fully realized due to limited value addition, weak supply chain integration, and insufficient institutional capacity at the farmer level. This study aims to analyze opportunities to enhance the economic value of Arabica coffee as a leading NTFP on Lombok Island using a qualitative approach. Data were collected through interviews, focus group discussions (FGDs), field observations, and document analysis, and were examined through data reduction, thematic narrative analysis, and source triangulation. The findings indicate that key opportunities for value enhancement lie in transforming Arabica coffee from a traditional agricultural commodity into a cross-sectoral forest-based product, strengthening origin-based branding, adopting locally appropriate technologies, diversifying products through circular economy approaches, developing inclusive financing schemes and collective certification, and integrating coffee development with ecotourism. The study underscores that enhancing the economic value of Arabica coffee as a leading NTFP requires a systemic approach that connects production innovation, market opportunities, institutional support, and community social dynamics to promote local livelihoods and sustainable development in forest landscapes.</w:t>
            </w:r>
          </w:p>
        </w:tc>
      </w:tr>
    </w:tbl>
    <w:p w14:paraId="14684CB8" w14:textId="77777777" w:rsidR="00636EB2" w:rsidRDefault="00636EB2" w:rsidP="00441B6F">
      <w:pPr>
        <w:pStyle w:val="Body"/>
        <w:spacing w:after="0"/>
        <w:rPr>
          <w:rFonts w:ascii="Arial" w:hAnsi="Arial" w:cs="Arial"/>
          <w:i/>
        </w:rPr>
      </w:pPr>
    </w:p>
    <w:p w14:paraId="60DDF1CE" w14:textId="1007517B" w:rsidR="0024282C" w:rsidRPr="00164A26" w:rsidRDefault="00A24E7E" w:rsidP="00441B6F">
      <w:pPr>
        <w:pStyle w:val="Body"/>
        <w:spacing w:after="0"/>
        <w:rPr>
          <w:rFonts w:ascii="Arial" w:hAnsi="Arial" w:cs="Arial"/>
          <w:i/>
        </w:rPr>
      </w:pPr>
      <w:r>
        <w:rPr>
          <w:rFonts w:ascii="Arial" w:hAnsi="Arial" w:cs="Arial"/>
          <w:i/>
        </w:rPr>
        <w:t xml:space="preserve">Keywords: </w:t>
      </w:r>
      <w:r w:rsidR="00164A26" w:rsidRPr="00164A26">
        <w:rPr>
          <w:rFonts w:ascii="Arial" w:hAnsi="Arial" w:cs="Arial"/>
          <w:i/>
        </w:rPr>
        <w:t>Coffee; Arabica; Agroforestry; Sustainability; NTFPs</w:t>
      </w:r>
    </w:p>
    <w:p w14:paraId="3D924573" w14:textId="77777777" w:rsidR="00505F06" w:rsidRPr="00A24E7E" w:rsidRDefault="00505F06" w:rsidP="00441B6F">
      <w:pPr>
        <w:pStyle w:val="Body"/>
        <w:spacing w:after="0"/>
        <w:rPr>
          <w:rFonts w:ascii="Arial" w:hAnsi="Arial" w:cs="Arial"/>
          <w:i/>
        </w:rPr>
      </w:pPr>
    </w:p>
    <w:p w14:paraId="3D5DBD09" w14:textId="4CA9E1D5"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59C8193" w14:textId="77777777" w:rsidR="00426FB6" w:rsidRPr="00FB3A86" w:rsidRDefault="00426FB6" w:rsidP="00441B6F">
      <w:pPr>
        <w:pStyle w:val="AbstHead"/>
        <w:spacing w:after="0"/>
        <w:jc w:val="both"/>
        <w:rPr>
          <w:rFonts w:ascii="Arial" w:hAnsi="Arial" w:cs="Arial"/>
        </w:rPr>
      </w:pPr>
    </w:p>
    <w:p w14:paraId="3B384206" w14:textId="77777777" w:rsidR="00426FB6" w:rsidRDefault="00426FB6" w:rsidP="00426FB6">
      <w:pPr>
        <w:pStyle w:val="Body"/>
        <w:ind w:firstLine="720"/>
        <w:rPr>
          <w:rFonts w:ascii="Arial" w:hAnsi="Arial" w:cs="Arial"/>
        </w:rPr>
      </w:pPr>
      <w:r w:rsidRPr="00426FB6">
        <w:rPr>
          <w:rFonts w:ascii="Arial" w:hAnsi="Arial" w:cs="Arial"/>
        </w:rPr>
        <w:t xml:space="preserve">Arabica coffee originating from Lombok Island, particularly from the </w:t>
      </w:r>
      <w:proofErr w:type="spellStart"/>
      <w:r w:rsidRPr="00426FB6">
        <w:rPr>
          <w:rFonts w:ascii="Arial" w:hAnsi="Arial" w:cs="Arial"/>
        </w:rPr>
        <w:t>Sembalun</w:t>
      </w:r>
      <w:proofErr w:type="spellEnd"/>
      <w:r w:rsidRPr="00426FB6">
        <w:rPr>
          <w:rFonts w:ascii="Arial" w:hAnsi="Arial" w:cs="Arial"/>
        </w:rPr>
        <w:t xml:space="preserve"> area, exhibits notable advantages in terms of flavor quality, aroma, and geographical appeal, as it is cultivated in highland environments characterized by well-preserved forest ecosystems. Arabica coffee is known to require relatively low temperatures and shaded conditions to achieve optimal growth and production (</w:t>
      </w:r>
      <w:proofErr w:type="spellStart"/>
      <w:r w:rsidRPr="00426FB6">
        <w:rPr>
          <w:rFonts w:ascii="Arial" w:hAnsi="Arial" w:cs="Arial"/>
        </w:rPr>
        <w:t>Kusumaningtyas</w:t>
      </w:r>
      <w:proofErr w:type="spellEnd"/>
      <w:r w:rsidRPr="00426FB6">
        <w:rPr>
          <w:rFonts w:ascii="Arial" w:hAnsi="Arial" w:cs="Arial"/>
        </w:rPr>
        <w:t xml:space="preserve"> &amp; </w:t>
      </w:r>
      <w:proofErr w:type="spellStart"/>
      <w:r w:rsidRPr="00426FB6">
        <w:rPr>
          <w:rFonts w:ascii="Arial" w:hAnsi="Arial" w:cs="Arial"/>
        </w:rPr>
        <w:t>Chofyan</w:t>
      </w:r>
      <w:proofErr w:type="spellEnd"/>
      <w:r w:rsidRPr="00426FB6">
        <w:rPr>
          <w:rFonts w:ascii="Arial" w:hAnsi="Arial" w:cs="Arial"/>
        </w:rPr>
        <w:t xml:space="preserve">, 2013). </w:t>
      </w:r>
      <w:proofErr w:type="spellStart"/>
      <w:r w:rsidRPr="00426FB6">
        <w:rPr>
          <w:rFonts w:ascii="Arial" w:hAnsi="Arial" w:cs="Arial"/>
        </w:rPr>
        <w:t>Sembalun</w:t>
      </w:r>
      <w:proofErr w:type="spellEnd"/>
      <w:r w:rsidRPr="00426FB6">
        <w:rPr>
          <w:rFonts w:ascii="Arial" w:hAnsi="Arial" w:cs="Arial"/>
        </w:rPr>
        <w:t xml:space="preserve"> Arabica coffee has been widely recognized for its superior quality, as evidenced by physical and sensory evaluation conducted by the Indonesian Coffee and Cocoa Research Institute (</w:t>
      </w:r>
      <w:proofErr w:type="spellStart"/>
      <w:r w:rsidRPr="00426FB6">
        <w:rPr>
          <w:rFonts w:ascii="Arial" w:hAnsi="Arial" w:cs="Arial"/>
        </w:rPr>
        <w:t>Puslitloka</w:t>
      </w:r>
      <w:proofErr w:type="spellEnd"/>
      <w:r w:rsidRPr="00426FB6">
        <w:rPr>
          <w:rFonts w:ascii="Arial" w:hAnsi="Arial" w:cs="Arial"/>
        </w:rPr>
        <w:t>) in 2023. The results indicated a cupping score of 82.25, classifying the coffee as excellent grade (Chandra et al., 2023). Consistent with these findings, numerous studies have demonstrated that coffee cultivated under agroforestry systems tends to exhibit higher quality attributes while simultaneously supporting environmental sustainability. Agroforestry-based coffee cultivation has been proven to maintain ecological structures and processes within forest landscapes (</w:t>
      </w:r>
      <w:proofErr w:type="spellStart"/>
      <w:r w:rsidRPr="00426FB6">
        <w:rPr>
          <w:rFonts w:ascii="Arial" w:hAnsi="Arial" w:cs="Arial"/>
        </w:rPr>
        <w:t>Hayyun</w:t>
      </w:r>
      <w:proofErr w:type="spellEnd"/>
      <w:r w:rsidRPr="00426FB6">
        <w:rPr>
          <w:rFonts w:ascii="Arial" w:hAnsi="Arial" w:cs="Arial"/>
        </w:rPr>
        <w:t xml:space="preserve"> et al., 2018). Therefore, Arabica coffee produced in forest-based agroforestry areas such as </w:t>
      </w:r>
      <w:proofErr w:type="spellStart"/>
      <w:r w:rsidRPr="00426FB6">
        <w:rPr>
          <w:rFonts w:ascii="Arial" w:hAnsi="Arial" w:cs="Arial"/>
        </w:rPr>
        <w:t>Sembalun</w:t>
      </w:r>
      <w:proofErr w:type="spellEnd"/>
      <w:r w:rsidRPr="00426FB6">
        <w:rPr>
          <w:rFonts w:ascii="Arial" w:hAnsi="Arial" w:cs="Arial"/>
        </w:rPr>
        <w:t xml:space="preserve"> can be classified as a Non-Timber Forest Product (NTFP), as it is derived from the sustainable utilization of forest areas without tree felling.</w:t>
      </w:r>
    </w:p>
    <w:p w14:paraId="18C9F3DE" w14:textId="77777777" w:rsidR="00426FB6" w:rsidRDefault="00426FB6" w:rsidP="00426FB6">
      <w:pPr>
        <w:pStyle w:val="Body"/>
        <w:ind w:firstLine="720"/>
        <w:rPr>
          <w:rFonts w:ascii="Arial" w:hAnsi="Arial" w:cs="Arial"/>
        </w:rPr>
      </w:pPr>
      <w:r w:rsidRPr="00426FB6">
        <w:rPr>
          <w:rFonts w:ascii="Arial" w:hAnsi="Arial" w:cs="Arial"/>
        </w:rPr>
        <w:t xml:space="preserve">Considering its ecological advantages, superior product quality, and the presence of agroforestry systems within forest landscapes, Arabica coffee has substantial potential to be developed as a leading Non-Timber Forest Product (NTFP). These opportunities encompass multiple dimensions, including marketing strategies, certification schemes (such as Geographical Indications and organic certification), local brand strengthening, value-added product development, and the expansion of coffee-based </w:t>
      </w:r>
      <w:proofErr w:type="spellStart"/>
      <w:r w:rsidRPr="00426FB6">
        <w:rPr>
          <w:rFonts w:ascii="Arial" w:hAnsi="Arial" w:cs="Arial"/>
        </w:rPr>
        <w:t>agro</w:t>
      </w:r>
      <w:proofErr w:type="spellEnd"/>
      <w:r w:rsidRPr="00426FB6">
        <w:rPr>
          <w:rFonts w:ascii="Arial" w:hAnsi="Arial" w:cs="Arial"/>
        </w:rPr>
        <w:t xml:space="preserve">-tourism. Recognition of the quality of </w:t>
      </w:r>
      <w:proofErr w:type="spellStart"/>
      <w:r w:rsidRPr="00426FB6">
        <w:rPr>
          <w:rFonts w:ascii="Arial" w:hAnsi="Arial" w:cs="Arial"/>
        </w:rPr>
        <w:t>Sembalun</w:t>
      </w:r>
      <w:proofErr w:type="spellEnd"/>
      <w:r w:rsidRPr="00426FB6">
        <w:rPr>
          <w:rFonts w:ascii="Arial" w:hAnsi="Arial" w:cs="Arial"/>
        </w:rPr>
        <w:t xml:space="preserve"> coffee is evidenced by its registration as a Geographical </w:t>
      </w:r>
      <w:r w:rsidRPr="00426FB6">
        <w:rPr>
          <w:rFonts w:ascii="Arial" w:hAnsi="Arial" w:cs="Arial"/>
        </w:rPr>
        <w:lastRenderedPageBreak/>
        <w:t>Indication, which further reinforces its identity and market value (Lomboktimurkab.go.id, 2022). Geographical Indication certification represents a form of legal protection granted to products possessing distinctive characteristics attributable to their specific geographical origin (</w:t>
      </w:r>
      <w:proofErr w:type="spellStart"/>
      <w:r w:rsidRPr="00426FB6">
        <w:rPr>
          <w:rFonts w:ascii="Arial" w:hAnsi="Arial" w:cs="Arial"/>
        </w:rPr>
        <w:t>Fuad</w:t>
      </w:r>
      <w:proofErr w:type="spellEnd"/>
      <w:r w:rsidRPr="00426FB6">
        <w:rPr>
          <w:rFonts w:ascii="Arial" w:hAnsi="Arial" w:cs="Arial"/>
        </w:rPr>
        <w:t xml:space="preserve"> &amp; </w:t>
      </w:r>
      <w:proofErr w:type="spellStart"/>
      <w:r w:rsidRPr="00426FB6">
        <w:rPr>
          <w:rFonts w:ascii="Arial" w:hAnsi="Arial" w:cs="Arial"/>
        </w:rPr>
        <w:t>Latjeme</w:t>
      </w:r>
      <w:proofErr w:type="spellEnd"/>
      <w:r w:rsidRPr="00426FB6">
        <w:rPr>
          <w:rFonts w:ascii="Arial" w:hAnsi="Arial" w:cs="Arial"/>
        </w:rPr>
        <w:t>, 2021). In addition, the growing ecosystem of social entrepreneurship, digital technologies, and improved access to green financing schemes creates a window of opportunity that can be leveraged by coffee farmers and small-scale enterprises to enhance product competitiveness. Empirical evidence from recent studies indicates that the allocation of green financing has a statistically significant and positive effect on the adoption of sustainable coffee practices at the farm level (Putri, 2023). These findings underscore the importance of strengthening the role of financial institutions in expanding access to and facilitating green financing mechanisms, thereby supporting the transition toward more environmentally friendly and inclusive coffee farming systems.</w:t>
      </w:r>
    </w:p>
    <w:p w14:paraId="7441540C" w14:textId="17CC6EF9" w:rsidR="00426FB6" w:rsidRDefault="00426FB6" w:rsidP="00426FB6">
      <w:pPr>
        <w:pStyle w:val="Body"/>
        <w:ind w:firstLine="720"/>
        <w:rPr>
          <w:rFonts w:ascii="Arial" w:hAnsi="Arial" w:cs="Arial"/>
        </w:rPr>
      </w:pPr>
      <w:r w:rsidRPr="00426FB6">
        <w:rPr>
          <w:rFonts w:ascii="Arial" w:hAnsi="Arial" w:cs="Arial"/>
        </w:rPr>
        <w:t xml:space="preserve">Nevertheless, these opportunities have not yet been fully realized due to limited strategic mapping and insufficient local capacity to respond effectively to rapidly evolving market dynamics. Many farmers continue to market their coffee primarily in the form of green beans at relatively low prices, while value addition through processed and derivative products remains limited. Low levels of market literacy and access to capital, along with the lack of an integrated upstream–downstream supply chain, further constrain the development of coffee-based economic activities as Non-Timber Forest Products (NTFPs). This study aims to analyze a range of opportunities that can be leveraged to enhance the economic value of Arabica coffee as a leading NTFP on Lombok Island. The analysis addresses the transformation of coffee from a traditional agricultural commodity into a cross-sectoral product embedded within forest-based ecosystems, as well as its interactions with market dynamics, local technological innovation, product diversification, and potential integration with the ecotourism sector. In addition, the study explores opportunities related to sustainable financing mechanisms, collective certification schemes, and the strengthening of farmer community institutions. Through this approach, the study seeks to produce a realistic and actionable opportunity map for the development of Arabica coffee as an NTFP capable of improving community livelihoods and reinforcing sustainable development in forested landscapes. </w:t>
      </w:r>
    </w:p>
    <w:p w14:paraId="255B25C1" w14:textId="77777777" w:rsidR="00790ADA" w:rsidRPr="00FB3A86" w:rsidRDefault="00790ADA" w:rsidP="00441B6F">
      <w:pPr>
        <w:pStyle w:val="Body"/>
        <w:spacing w:after="0"/>
        <w:rPr>
          <w:rFonts w:ascii="Arial" w:hAnsi="Arial" w:cs="Arial"/>
        </w:rPr>
      </w:pPr>
    </w:p>
    <w:p w14:paraId="34C420B3" w14:textId="7DF5EB13"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32746B8" w14:textId="77777777" w:rsidR="00790ADA" w:rsidRPr="00FB3A86" w:rsidRDefault="00790ADA" w:rsidP="00441B6F">
      <w:pPr>
        <w:pStyle w:val="AbstHead"/>
        <w:spacing w:after="0"/>
        <w:jc w:val="both"/>
        <w:rPr>
          <w:rFonts w:ascii="Arial" w:hAnsi="Arial" w:cs="Arial"/>
        </w:rPr>
      </w:pPr>
    </w:p>
    <w:p w14:paraId="75792746" w14:textId="77777777" w:rsidR="00DE3BF2" w:rsidRDefault="00DE3BF2" w:rsidP="00A97E8C">
      <w:pPr>
        <w:pStyle w:val="Body"/>
        <w:spacing w:after="0"/>
        <w:ind w:firstLine="720"/>
        <w:rPr>
          <w:rFonts w:ascii="Arial" w:hAnsi="Arial" w:cs="Arial"/>
        </w:rPr>
      </w:pPr>
      <w:r w:rsidRPr="00DE3BF2">
        <w:rPr>
          <w:rFonts w:ascii="Arial" w:hAnsi="Arial" w:cs="Arial"/>
        </w:rPr>
        <w:t xml:space="preserve">This study was conducted in several Arabica coffee production centers on Lombok Island that exhibit significant potential for agroforestry development. Data were collected through general interviews, in-depth interviews with key informants, document review, field observations, and focus group discussions (FGDs). The variables examined included opportunities, potentials, strategies, and challenges related to enhancing the economic value of Arabica coffee as a Non-Timber Forest Product (NTFP). The data were analyzed qualitatively through successive stages of data reduction, narrative data presentation supported by thematic quotations, and conclusion drawing based on the triangulation of data sources and research methods. </w:t>
      </w:r>
    </w:p>
    <w:p w14:paraId="07ABEE11" w14:textId="77777777" w:rsidR="00DE3BF2" w:rsidRDefault="00DE3BF2" w:rsidP="00441B6F">
      <w:pPr>
        <w:pStyle w:val="Body"/>
        <w:spacing w:after="0"/>
        <w:rPr>
          <w:rFonts w:ascii="Arial" w:hAnsi="Arial" w:cs="Arial"/>
        </w:rPr>
      </w:pPr>
    </w:p>
    <w:p w14:paraId="48E24A2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C42EFFE" w14:textId="77777777" w:rsidR="00790ADA" w:rsidRPr="00FB3A86" w:rsidRDefault="00790ADA" w:rsidP="00441B6F">
      <w:pPr>
        <w:pStyle w:val="Head1"/>
        <w:spacing w:after="0"/>
        <w:jc w:val="both"/>
        <w:rPr>
          <w:rFonts w:ascii="Arial" w:hAnsi="Arial" w:cs="Arial"/>
        </w:rPr>
      </w:pPr>
    </w:p>
    <w:p w14:paraId="556BA245" w14:textId="29AB44EC" w:rsidR="00DE3BF2" w:rsidRDefault="00B93CED" w:rsidP="00DE3BF2">
      <w:pPr>
        <w:pStyle w:val="Body"/>
        <w:spacing w:after="0"/>
        <w:rPr>
          <w:rFonts w:ascii="Arial" w:hAnsi="Arial" w:cs="Arial"/>
        </w:rPr>
      </w:pPr>
      <w:r>
        <w:rPr>
          <w:rFonts w:ascii="Arial" w:hAnsi="Arial" w:cs="Arial"/>
          <w:b/>
          <w:caps/>
          <w:sz w:val="22"/>
        </w:rPr>
        <w:t xml:space="preserve">3.1. </w:t>
      </w:r>
      <w:r w:rsidR="00DE3BF2" w:rsidRPr="00DE3BF2">
        <w:rPr>
          <w:rFonts w:ascii="Arial" w:hAnsi="Arial" w:cs="Arial"/>
          <w:b/>
          <w:sz w:val="22"/>
        </w:rPr>
        <w:t>Transformation of Arabica Coffee from a Traditional Commodity into a Leading NTFP</w:t>
      </w:r>
      <w:r w:rsidR="00DE3BF2" w:rsidRPr="00C30A0F">
        <w:rPr>
          <w:rFonts w:ascii="Arial" w:hAnsi="Arial" w:cs="Arial"/>
          <w:b/>
          <w:sz w:val="22"/>
        </w:rPr>
        <w:t xml:space="preserve"> </w:t>
      </w:r>
      <w:r w:rsidR="00DE3BF2" w:rsidRPr="00FB3A86">
        <w:rPr>
          <w:rFonts w:ascii="Arial" w:hAnsi="Arial" w:cs="Arial"/>
        </w:rPr>
        <w:t xml:space="preserve"> </w:t>
      </w:r>
    </w:p>
    <w:p w14:paraId="0E728A38" w14:textId="77777777" w:rsidR="00DE3BF2" w:rsidRDefault="00DE3BF2" w:rsidP="00DE3BF2">
      <w:pPr>
        <w:pStyle w:val="Body"/>
        <w:ind w:firstLine="720"/>
        <w:rPr>
          <w:rFonts w:ascii="Arial" w:hAnsi="Arial" w:cs="Arial"/>
        </w:rPr>
      </w:pPr>
      <w:r w:rsidRPr="00DE3BF2">
        <w:rPr>
          <w:rFonts w:ascii="Arial" w:hAnsi="Arial" w:cs="Arial"/>
        </w:rPr>
        <w:t xml:space="preserve">Arabica coffee cultivated in the </w:t>
      </w:r>
      <w:proofErr w:type="spellStart"/>
      <w:r w:rsidRPr="00DE3BF2">
        <w:rPr>
          <w:rFonts w:ascii="Arial" w:hAnsi="Arial" w:cs="Arial"/>
        </w:rPr>
        <w:t>Sajang</w:t>
      </w:r>
      <w:proofErr w:type="spellEnd"/>
      <w:r w:rsidRPr="00DE3BF2">
        <w:rPr>
          <w:rFonts w:ascii="Arial" w:hAnsi="Arial" w:cs="Arial"/>
        </w:rPr>
        <w:t xml:space="preserve"> area of </w:t>
      </w:r>
      <w:proofErr w:type="spellStart"/>
      <w:r w:rsidRPr="00DE3BF2">
        <w:rPr>
          <w:rFonts w:ascii="Arial" w:hAnsi="Arial" w:cs="Arial"/>
        </w:rPr>
        <w:t>Sembalun</w:t>
      </w:r>
      <w:proofErr w:type="spellEnd"/>
      <w:r w:rsidRPr="00DE3BF2">
        <w:rPr>
          <w:rFonts w:ascii="Arial" w:hAnsi="Arial" w:cs="Arial"/>
        </w:rPr>
        <w:t xml:space="preserve"> District reflects a transition from a household-based traditional farming system toward a community-based economy integrated with sustainability principles, particularly in maintaining the balance of forest ecosystems. This transition is evident in the implementation of Arabica coffee–based eco-farming systems on the drylands of </w:t>
      </w:r>
      <w:proofErr w:type="spellStart"/>
      <w:r w:rsidRPr="00DE3BF2">
        <w:rPr>
          <w:rFonts w:ascii="Arial" w:hAnsi="Arial" w:cs="Arial"/>
        </w:rPr>
        <w:t>Sembalun</w:t>
      </w:r>
      <w:proofErr w:type="spellEnd"/>
      <w:r w:rsidRPr="00DE3BF2">
        <w:rPr>
          <w:rFonts w:ascii="Arial" w:hAnsi="Arial" w:cs="Arial"/>
        </w:rPr>
        <w:t>, which demonstrate relatively strong sustainability performance across ecological, economic, social, institutional, and technological dimensions (</w:t>
      </w:r>
      <w:proofErr w:type="spellStart"/>
      <w:r w:rsidRPr="00DE3BF2">
        <w:rPr>
          <w:rFonts w:ascii="Arial" w:hAnsi="Arial" w:cs="Arial"/>
        </w:rPr>
        <w:t>Pradita</w:t>
      </w:r>
      <w:proofErr w:type="spellEnd"/>
      <w:r w:rsidRPr="00DE3BF2">
        <w:rPr>
          <w:rFonts w:ascii="Arial" w:hAnsi="Arial" w:cs="Arial"/>
        </w:rPr>
        <w:t xml:space="preserve"> et al., 2024). In line with this sustainability-oriented approach, the concept of Non-Timber Forest Products (NTFPs) in modern forestry has also expanded. It is no longer limited to extractive products such as rattan, honey, or resin, but now includes high-value commodities such as coffee cultivated within agroforestry systems. Coffee plants are recognized as a form of NTFP with considerable economic value, as reflected in their market prices and growing demand (</w:t>
      </w:r>
      <w:proofErr w:type="spellStart"/>
      <w:r w:rsidRPr="00DE3BF2">
        <w:rPr>
          <w:rFonts w:ascii="Arial" w:hAnsi="Arial" w:cs="Arial"/>
        </w:rPr>
        <w:t>Wijayanti</w:t>
      </w:r>
      <w:proofErr w:type="spellEnd"/>
      <w:r w:rsidRPr="00DE3BF2">
        <w:rPr>
          <w:rFonts w:ascii="Arial" w:hAnsi="Arial" w:cs="Arial"/>
        </w:rPr>
        <w:t>, 2021).</w:t>
      </w:r>
    </w:p>
    <w:p w14:paraId="4F33FCF0" w14:textId="77777777" w:rsidR="00DE3BF2" w:rsidRDefault="00DE3BF2" w:rsidP="00DE3BF2">
      <w:pPr>
        <w:pStyle w:val="Body"/>
        <w:ind w:firstLine="720"/>
        <w:rPr>
          <w:rFonts w:ascii="Arial" w:hAnsi="Arial" w:cs="Arial"/>
        </w:rPr>
      </w:pPr>
      <w:r w:rsidRPr="00DE3BF2">
        <w:rPr>
          <w:rFonts w:ascii="Arial" w:hAnsi="Arial" w:cs="Arial"/>
        </w:rPr>
        <w:lastRenderedPageBreak/>
        <w:t>The potential of Arabica coffee as a leading Non-Timber Forest Product (NTFP) lies in its cross-sectoral position: it is agricultural in nature, embedded within forest-based ecosystems, and possesses market value that extends into the creative industries and tourism sectors. Unlike conventional NTFPs, which are often perceived as having relatively low economic value and being confined to local consumption, Arabica coffee offers opportunities to be positioned within a green economy framework with an export-oriented outlook. This is primarily because it meets global market demands for products that are sustainable, traceable, and supportive of local community empowerment. Accordingly, the initial step in analyzing opportunities to enhance the economic value of Arabica coffee as an NTFP requires a broadening of perspective, in which NTFPs are not viewed merely as an administrative category, but rather as an integrative platform that connects natural resource potential, village-level institutional capacity, technological utilization, and market access.</w:t>
      </w:r>
    </w:p>
    <w:p w14:paraId="14A8D4D3" w14:textId="401B3385" w:rsidR="00813F95" w:rsidRDefault="00366CEF" w:rsidP="00813F95">
      <w:pPr>
        <w:pStyle w:val="Body"/>
        <w:jc w:val="center"/>
        <w:rPr>
          <w:rFonts w:ascii="Arial" w:hAnsi="Arial" w:cs="Arial"/>
        </w:rPr>
      </w:pPr>
      <w:r>
        <w:rPr>
          <w:rFonts w:ascii="Arial" w:hAnsi="Arial" w:cs="Arial"/>
          <w:noProof/>
        </w:rPr>
        <w:drawing>
          <wp:inline distT="0" distB="0" distL="0" distR="0" wp14:anchorId="6E943AC6" wp14:editId="228DA5E9">
            <wp:extent cx="5803900" cy="3165812"/>
            <wp:effectExtent l="0" t="0" r="0" b="0"/>
            <wp:docPr id="400719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719849" name="Picture 400719849"/>
                    <pic:cNvPicPr/>
                  </pic:nvPicPr>
                  <pic:blipFill>
                    <a:blip r:embed="rId14" cstate="print">
                      <a:extLst>
                        <a:ext uri="{BEBA8EAE-BF5A-486C-A8C5-ECC9F3942E4B}">
                          <a14:imgProps xmlns:a14="http://schemas.microsoft.com/office/drawing/2010/main">
                            <a14:imgLayer r:embed="rId15">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5816806" cy="3172852"/>
                    </a:xfrm>
                    <a:prstGeom prst="rect">
                      <a:avLst/>
                    </a:prstGeom>
                  </pic:spPr>
                </pic:pic>
              </a:graphicData>
            </a:graphic>
          </wp:inline>
        </w:drawing>
      </w:r>
    </w:p>
    <w:p w14:paraId="0C09DDA7" w14:textId="2295B3AD" w:rsidR="00813F95" w:rsidRDefault="00813F95" w:rsidP="00813F95">
      <w:pPr>
        <w:pStyle w:val="Body"/>
        <w:jc w:val="center"/>
        <w:rPr>
          <w:rFonts w:ascii="Arial" w:hAnsi="Arial" w:cs="Arial"/>
          <w:b/>
          <w:bCs/>
        </w:rPr>
      </w:pPr>
      <w:r w:rsidRPr="00813F95">
        <w:rPr>
          <w:rFonts w:ascii="Arial" w:hAnsi="Arial" w:cs="Arial"/>
          <w:b/>
          <w:bCs/>
        </w:rPr>
        <w:t>Figure 1. Transformation Pathway from Agricultural Commodity to Leading NTFP</w:t>
      </w:r>
    </w:p>
    <w:p w14:paraId="63FE9BFA" w14:textId="55EBF3F5" w:rsidR="00813F95" w:rsidRPr="00813F95" w:rsidRDefault="00813F95" w:rsidP="00813F95">
      <w:pPr>
        <w:pStyle w:val="Body"/>
        <w:ind w:firstLine="720"/>
        <w:rPr>
          <w:rFonts w:ascii="Arial" w:hAnsi="Arial" w:cs="Arial"/>
        </w:rPr>
      </w:pPr>
      <w:r w:rsidRPr="00813F95">
        <w:rPr>
          <w:rFonts w:ascii="Arial" w:hAnsi="Arial" w:cs="Arial"/>
        </w:rPr>
        <w:t>This figure</w:t>
      </w:r>
      <w:r>
        <w:rPr>
          <w:rFonts w:ascii="Arial" w:hAnsi="Arial" w:cs="Arial"/>
        </w:rPr>
        <w:t xml:space="preserve"> 1,</w:t>
      </w:r>
      <w:r w:rsidRPr="00813F95">
        <w:rPr>
          <w:rFonts w:ascii="Arial" w:hAnsi="Arial" w:cs="Arial"/>
        </w:rPr>
        <w:t xml:space="preserve"> illustrates a structured transformation pathway through which Arabica coffee evolves from a traditional agricultural commodity into a leading Non-Timber Forest Product (NTFP). The process begins with household</w:t>
      </w:r>
      <w:r w:rsidR="00712221">
        <w:rPr>
          <w:rFonts w:ascii="Arial" w:hAnsi="Arial" w:cs="Arial"/>
        </w:rPr>
        <w:t>-</w:t>
      </w:r>
      <w:r w:rsidRPr="00813F95">
        <w:rPr>
          <w:rFonts w:ascii="Arial" w:hAnsi="Arial" w:cs="Arial"/>
        </w:rPr>
        <w:t>based farming systems characterized by raw material orientation and low value addition. The second stage emphasizes ecological embedding through forest-based agroforestry systems that promote shaded cultivation and ecosystem protection. Value enhancement is further achieved through production innovation, post-harvest technology, and product diversification. Institutional strengthening, including cooperative development, collective certification, and access to inclusive financing, plays a critical role in supporting this transition. Market integration is realized through origin-based branding, access to specialty and premium markets, and linkages with ecotourism. Ultimately, these interconnected stages culminate in the establishment of Arabica coffee as a leading NTFP with cross-sectoral economic relevance, improved local livelihoods, and contributions to sustainable forest management.</w:t>
      </w:r>
    </w:p>
    <w:p w14:paraId="5A4A889C" w14:textId="5316890E" w:rsidR="00DE3BF2" w:rsidRDefault="00DE3BF2" w:rsidP="00DE3BF2">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DE3BF2">
        <w:rPr>
          <w:rFonts w:ascii="Arial" w:hAnsi="Arial" w:cs="Arial"/>
          <w:b/>
          <w:sz w:val="22"/>
        </w:rPr>
        <w:t>. Shifts in Global Consumption Patterns and Opportunities for Locality-Based Product Branding</w:t>
      </w:r>
      <w:r w:rsidRPr="00FB3A86">
        <w:rPr>
          <w:rFonts w:ascii="Arial" w:hAnsi="Arial" w:cs="Arial"/>
        </w:rPr>
        <w:t xml:space="preserve"> </w:t>
      </w:r>
    </w:p>
    <w:p w14:paraId="0CA28629" w14:textId="77777777" w:rsidR="00DE3BF2" w:rsidRPr="00DE3BF2" w:rsidRDefault="00DE3BF2" w:rsidP="00DE3BF2">
      <w:pPr>
        <w:pStyle w:val="Body"/>
        <w:ind w:firstLine="720"/>
        <w:rPr>
          <w:rFonts w:ascii="Arial" w:hAnsi="Arial" w:cs="Arial"/>
        </w:rPr>
      </w:pPr>
      <w:r w:rsidRPr="00DE3BF2">
        <w:rPr>
          <w:rFonts w:ascii="Arial" w:hAnsi="Arial" w:cs="Arial"/>
        </w:rPr>
        <w:t xml:space="preserve">Global trends in coffee consumption, particularly in the specialty coffee segment, have undergone a notable paradigm shift. Consumers no longer assess coffee solely on the basis of the physical quality of the beans; rather, increasing attention is given to the narratives surrounding the product, sustainability practices, and the ethical values embedded in the production process. This shift is reflected in the </w:t>
      </w:r>
      <w:r w:rsidRPr="00DE3BF2">
        <w:rPr>
          <w:rFonts w:ascii="Arial" w:hAnsi="Arial" w:cs="Arial"/>
        </w:rPr>
        <w:lastRenderedPageBreak/>
        <w:t>growing body of literature that emphasizes consumer perspectives within sustainable coffee supply chains (</w:t>
      </w:r>
      <w:proofErr w:type="spellStart"/>
      <w:r w:rsidRPr="00DE3BF2">
        <w:rPr>
          <w:rFonts w:ascii="Arial" w:hAnsi="Arial" w:cs="Arial"/>
        </w:rPr>
        <w:t>Pascucci</w:t>
      </w:r>
      <w:proofErr w:type="spellEnd"/>
      <w:r w:rsidRPr="00DE3BF2">
        <w:rPr>
          <w:rFonts w:ascii="Arial" w:hAnsi="Arial" w:cs="Arial"/>
        </w:rPr>
        <w:t>, 2024). Coffee cultivated under shaded conditions, utilizing organic fertilizers, and harvested selectively from forested landscapes offers substantial added value, especially in international markets that are highly sensitive to environmental concerns and issues of social justice.</w:t>
      </w:r>
    </w:p>
    <w:p w14:paraId="52017AFB" w14:textId="77777777" w:rsidR="00DE3BF2" w:rsidRPr="00DE3BF2" w:rsidRDefault="00DE3BF2" w:rsidP="00DE3BF2">
      <w:pPr>
        <w:pStyle w:val="Body"/>
        <w:ind w:firstLine="720"/>
        <w:rPr>
          <w:rFonts w:ascii="Arial" w:hAnsi="Arial" w:cs="Arial"/>
        </w:rPr>
      </w:pPr>
      <w:r w:rsidRPr="00DE3BF2">
        <w:rPr>
          <w:rFonts w:ascii="Arial" w:hAnsi="Arial" w:cs="Arial"/>
        </w:rPr>
        <w:t xml:space="preserve">In this context, Lombok Arabica coffee possesses strong narrative and ecological advantages. The cultivation sites located within the mountainous forest landscapes of the </w:t>
      </w:r>
      <w:proofErr w:type="spellStart"/>
      <w:r w:rsidRPr="00DE3BF2">
        <w:rPr>
          <w:rFonts w:ascii="Arial" w:hAnsi="Arial" w:cs="Arial"/>
        </w:rPr>
        <w:t>Rinjani</w:t>
      </w:r>
      <w:proofErr w:type="spellEnd"/>
      <w:r w:rsidRPr="00DE3BF2">
        <w:rPr>
          <w:rFonts w:ascii="Arial" w:hAnsi="Arial" w:cs="Arial"/>
        </w:rPr>
        <w:t xml:space="preserve"> area, the use of natural manure-based fertilizers, and manual pruning techniques collectively contribute to distinctive flavor profiles while simultaneously providing a solid foundation for origin-based branding strategies. The existence of the Geographical Indication (GI) “</w:t>
      </w:r>
      <w:proofErr w:type="spellStart"/>
      <w:r w:rsidRPr="00DE3BF2">
        <w:rPr>
          <w:rFonts w:ascii="Arial" w:hAnsi="Arial" w:cs="Arial"/>
        </w:rPr>
        <w:t>Sembalun</w:t>
      </w:r>
      <w:proofErr w:type="spellEnd"/>
      <w:r w:rsidRPr="00DE3BF2">
        <w:rPr>
          <w:rFonts w:ascii="Arial" w:hAnsi="Arial" w:cs="Arial"/>
        </w:rPr>
        <w:t xml:space="preserve"> Arabica Coffee” represents an important initial asset; however, its potential has not yet been fully leveraged. </w:t>
      </w:r>
    </w:p>
    <w:p w14:paraId="1DD7CFD8" w14:textId="77777777" w:rsidR="00DE3BF2" w:rsidRPr="00DE3BF2" w:rsidRDefault="00DE3BF2" w:rsidP="00C3330D">
      <w:pPr>
        <w:pStyle w:val="Body"/>
        <w:rPr>
          <w:rFonts w:ascii="Arial" w:hAnsi="Arial" w:cs="Arial"/>
        </w:rPr>
      </w:pPr>
      <w:r w:rsidRPr="00DE3BF2">
        <w:rPr>
          <w:rFonts w:ascii="Arial" w:hAnsi="Arial" w:cs="Arial"/>
        </w:rPr>
        <w:t xml:space="preserve">Opportunities to enhance economic value through branding may be pursued through the following strategies: </w:t>
      </w:r>
    </w:p>
    <w:p w14:paraId="7B4D5114" w14:textId="6358E140" w:rsidR="00DE3BF2" w:rsidRPr="00DE3BF2" w:rsidRDefault="00DE3BF2" w:rsidP="00DE3BF2">
      <w:pPr>
        <w:pStyle w:val="Body"/>
        <w:numPr>
          <w:ilvl w:val="0"/>
          <w:numId w:val="32"/>
        </w:numPr>
        <w:spacing w:after="100"/>
        <w:ind w:left="850"/>
        <w:rPr>
          <w:rFonts w:ascii="Arial" w:hAnsi="Arial" w:cs="Arial"/>
        </w:rPr>
      </w:pPr>
      <w:r w:rsidRPr="00DE3BF2">
        <w:rPr>
          <w:rFonts w:ascii="Arial" w:hAnsi="Arial" w:cs="Arial"/>
        </w:rPr>
        <w:t xml:space="preserve">Strengthening local narratives that highlight cultural heritage, landscape characteristics, and sustainable farming practices; </w:t>
      </w:r>
    </w:p>
    <w:p w14:paraId="602C74A2" w14:textId="721FCD93" w:rsidR="00DE3BF2" w:rsidRPr="00DE3BF2" w:rsidRDefault="00DE3BF2" w:rsidP="00DE3BF2">
      <w:pPr>
        <w:pStyle w:val="Body"/>
        <w:numPr>
          <w:ilvl w:val="0"/>
          <w:numId w:val="32"/>
        </w:numPr>
        <w:spacing w:after="100"/>
        <w:ind w:left="850"/>
        <w:rPr>
          <w:rFonts w:ascii="Arial" w:hAnsi="Arial" w:cs="Arial"/>
        </w:rPr>
      </w:pPr>
      <w:r w:rsidRPr="00DE3BF2">
        <w:rPr>
          <w:rFonts w:ascii="Arial" w:hAnsi="Arial" w:cs="Arial"/>
        </w:rPr>
        <w:t xml:space="preserve">Developing professional product design and packaging that target middle- to high-end market segments; </w:t>
      </w:r>
    </w:p>
    <w:p w14:paraId="025537F4" w14:textId="491E748A" w:rsidR="00DE3BF2" w:rsidRDefault="00DE3BF2" w:rsidP="00DE3BF2">
      <w:pPr>
        <w:pStyle w:val="Body"/>
        <w:numPr>
          <w:ilvl w:val="0"/>
          <w:numId w:val="32"/>
        </w:numPr>
        <w:spacing w:after="100"/>
        <w:ind w:left="850"/>
        <w:rPr>
          <w:rFonts w:ascii="Arial" w:hAnsi="Arial" w:cs="Arial"/>
        </w:rPr>
      </w:pPr>
      <w:r w:rsidRPr="00DE3BF2">
        <w:rPr>
          <w:rFonts w:ascii="Arial" w:hAnsi="Arial" w:cs="Arial"/>
        </w:rPr>
        <w:t xml:space="preserve">Utilizing digital technologies to establish a strong digital footprint and increase product visibility. </w:t>
      </w:r>
    </w:p>
    <w:p w14:paraId="230FEA0B" w14:textId="77777777" w:rsidR="00863BD3" w:rsidRPr="00FB3A86" w:rsidRDefault="00863BD3" w:rsidP="00441B6F">
      <w:pPr>
        <w:pStyle w:val="Body"/>
        <w:spacing w:after="0"/>
        <w:rPr>
          <w:rFonts w:ascii="Arial" w:hAnsi="Arial" w:cs="Arial"/>
        </w:rPr>
      </w:pPr>
    </w:p>
    <w:p w14:paraId="3B00937C" w14:textId="1A7C453C" w:rsidR="00B93CED" w:rsidRDefault="00B93CED" w:rsidP="00B93CED">
      <w:pPr>
        <w:pStyle w:val="Body"/>
        <w:numPr>
          <w:ilvl w:val="1"/>
          <w:numId w:val="32"/>
        </w:numPr>
        <w:spacing w:after="0"/>
        <w:ind w:left="426"/>
        <w:rPr>
          <w:rFonts w:ascii="Arial" w:hAnsi="Arial" w:cs="Arial"/>
        </w:rPr>
      </w:pPr>
      <w:r w:rsidRPr="00B93CED">
        <w:rPr>
          <w:rFonts w:ascii="Arial" w:hAnsi="Arial" w:cs="Arial"/>
          <w:b/>
          <w:sz w:val="22"/>
        </w:rPr>
        <w:t>Opportunities for the Consolidation of Local Knowledge and Innovation</w:t>
      </w:r>
      <w:r>
        <w:rPr>
          <w:rFonts w:ascii="Arial" w:hAnsi="Arial" w:cs="Arial"/>
          <w:b/>
          <w:sz w:val="22"/>
        </w:rPr>
        <w:t xml:space="preserve"> </w:t>
      </w:r>
      <w:r w:rsidRPr="00B93CED">
        <w:rPr>
          <w:rFonts w:ascii="Arial" w:hAnsi="Arial" w:cs="Arial"/>
          <w:b/>
          <w:sz w:val="22"/>
        </w:rPr>
        <w:t>in Production Processes</w:t>
      </w:r>
      <w:r w:rsidR="00C30A0F" w:rsidRPr="00C30A0F">
        <w:rPr>
          <w:rFonts w:ascii="Arial" w:hAnsi="Arial" w:cs="Arial"/>
          <w:b/>
          <w:sz w:val="22"/>
        </w:rPr>
        <w:t xml:space="preserve"> </w:t>
      </w:r>
      <w:r w:rsidR="00C30A0F" w:rsidRPr="00FB3A86">
        <w:rPr>
          <w:rFonts w:ascii="Arial" w:hAnsi="Arial" w:cs="Arial"/>
        </w:rPr>
        <w:t xml:space="preserve"> </w:t>
      </w:r>
    </w:p>
    <w:p w14:paraId="5E9FA652" w14:textId="77777777" w:rsidR="00B93CED" w:rsidRPr="00B93CED" w:rsidRDefault="00B93CED" w:rsidP="00B93CED">
      <w:pPr>
        <w:pStyle w:val="Body"/>
        <w:ind w:firstLine="720"/>
        <w:rPr>
          <w:rFonts w:ascii="Arial" w:hAnsi="Arial" w:cs="Arial"/>
        </w:rPr>
      </w:pPr>
      <w:bookmarkStart w:id="1" w:name="_Hlk219100472"/>
      <w:r w:rsidRPr="00B93CED">
        <w:rPr>
          <w:rFonts w:ascii="Arial" w:hAnsi="Arial" w:cs="Arial"/>
        </w:rPr>
        <w:t xml:space="preserve">At the cultivation and post-harvest stages, opportunities to enhance economic value lie in aligning long-established local knowledge with appropriate technologies that can be readily adopted and adapted by farmers. One example is the paying system pruning method, an intensive pruning technique in which the plant canopy is shaped to resemble an umbrella. This method has begun to be implemented by some farmers and has proven effective in increasing coffee cherry yields, as it allows for more uniform light penetration and improved air circulation within the plant canopy. To promote wider adoption of this technique, the development of educational demonstration plots supported by hands-on field training is required, enabling technical knowledge to be translated into practical applications by farmers. This approach is consistent with the findings of </w:t>
      </w:r>
      <w:proofErr w:type="spellStart"/>
      <w:r w:rsidRPr="00B93CED">
        <w:rPr>
          <w:rFonts w:ascii="Arial" w:hAnsi="Arial" w:cs="Arial"/>
        </w:rPr>
        <w:t>Yunusa</w:t>
      </w:r>
      <w:proofErr w:type="spellEnd"/>
      <w:r w:rsidRPr="00B93CED">
        <w:rPr>
          <w:rFonts w:ascii="Arial" w:hAnsi="Arial" w:cs="Arial"/>
        </w:rPr>
        <w:t xml:space="preserve"> et al. (2018), who emphasize that systematic canopy management is a critical component in optimizing the productivity of coffee production systems, both in terms of economic efficiency and environmental </w:t>
      </w:r>
      <w:proofErr w:type="spellStart"/>
      <w:proofErr w:type="gramStart"/>
      <w:r w:rsidRPr="00B93CED">
        <w:rPr>
          <w:rFonts w:ascii="Arial" w:hAnsi="Arial" w:cs="Arial"/>
        </w:rPr>
        <w:t>sustainability.At</w:t>
      </w:r>
      <w:proofErr w:type="spellEnd"/>
      <w:proofErr w:type="gramEnd"/>
      <w:r w:rsidRPr="00B93CED">
        <w:rPr>
          <w:rFonts w:ascii="Arial" w:hAnsi="Arial" w:cs="Arial"/>
        </w:rPr>
        <w:t xml:space="preserve"> the post-harvest stage, substantial opportunities emerge through the diversification of fermentation methods. Farmers in the </w:t>
      </w:r>
      <w:proofErr w:type="spellStart"/>
      <w:r w:rsidRPr="00B93CED">
        <w:rPr>
          <w:rFonts w:ascii="Arial" w:hAnsi="Arial" w:cs="Arial"/>
        </w:rPr>
        <w:t>Sajang</w:t>
      </w:r>
      <w:proofErr w:type="spellEnd"/>
      <w:r w:rsidRPr="00B93CED">
        <w:rPr>
          <w:rFonts w:ascii="Arial" w:hAnsi="Arial" w:cs="Arial"/>
        </w:rPr>
        <w:t xml:space="preserve"> area are currently familiar with fully washed, honey, and even experimental fermentation techniques such as carbonic maceration. However, due to limitations in equipment, processing space, and quality control, the outcomes remain inconsistent. Consequently, the introduction of simple technological interventions such as the construction of greenhouse dryers, multi-tier drying racks, or sealed fermentation chambers should be prioritized to ensure quality stability. Fermentation represents a critical phase in post-harvest processing, as it plays a pivotal role in shaping the final characteristics of coffee beans (</w:t>
      </w:r>
      <w:proofErr w:type="spellStart"/>
      <w:r w:rsidRPr="00B93CED">
        <w:rPr>
          <w:rFonts w:ascii="Arial" w:hAnsi="Arial" w:cs="Arial"/>
        </w:rPr>
        <w:t>Lidya</w:t>
      </w:r>
      <w:proofErr w:type="spellEnd"/>
      <w:r w:rsidRPr="00B93CED">
        <w:rPr>
          <w:rFonts w:ascii="Arial" w:hAnsi="Arial" w:cs="Arial"/>
        </w:rPr>
        <w:t xml:space="preserve"> et al., 2024).</w:t>
      </w:r>
    </w:p>
    <w:p w14:paraId="537BBCBF" w14:textId="6B63B46D" w:rsidR="00B93CED" w:rsidRDefault="00B93CED" w:rsidP="00B93CED">
      <w:pPr>
        <w:pStyle w:val="Body"/>
        <w:ind w:firstLine="720"/>
        <w:rPr>
          <w:rFonts w:ascii="Arial" w:hAnsi="Arial" w:cs="Arial"/>
        </w:rPr>
      </w:pPr>
      <w:r w:rsidRPr="00B93CED">
        <w:rPr>
          <w:rFonts w:ascii="Arial" w:hAnsi="Arial" w:cs="Arial"/>
        </w:rPr>
        <w:t>Technology adoption does not necessarily rely on advanced or sophisticated equipment. Research conducted in Lampung indicates that farmers are more likely to adopt technologies grounded in local wisdom and simplicity such as self-made moisture content measuring tools or visual sorting methods because they are compatible with existing practices, easy to trial, and aligned with local habits (</w:t>
      </w:r>
      <w:proofErr w:type="spellStart"/>
      <w:r w:rsidRPr="00B93CED">
        <w:rPr>
          <w:rFonts w:ascii="Arial" w:hAnsi="Arial" w:cs="Arial"/>
        </w:rPr>
        <w:t>Zahara</w:t>
      </w:r>
      <w:proofErr w:type="spellEnd"/>
      <w:r w:rsidRPr="00B93CED">
        <w:rPr>
          <w:rFonts w:ascii="Arial" w:hAnsi="Arial" w:cs="Arial"/>
        </w:rPr>
        <w:t>, 2024). Innovations based on locally available resources, including multi-tier bamboo dryers, simple moisture meters, and visual grading techniques, can also generate significant impacts on product quality and economic value. The key to successful innovation lies in ensuring that technological development and adoption occur within a participatory, collaborative, and cost-effective framework.</w:t>
      </w:r>
      <w:bookmarkEnd w:id="1"/>
    </w:p>
    <w:p w14:paraId="148EB56B" w14:textId="1288D008" w:rsidR="00B93CED" w:rsidRDefault="00B93CED" w:rsidP="00B93CED">
      <w:pPr>
        <w:pStyle w:val="Body"/>
        <w:numPr>
          <w:ilvl w:val="1"/>
          <w:numId w:val="32"/>
        </w:numPr>
        <w:spacing w:after="0"/>
        <w:ind w:left="426"/>
        <w:rPr>
          <w:rFonts w:ascii="Arial" w:hAnsi="Arial" w:cs="Arial"/>
        </w:rPr>
      </w:pPr>
      <w:r w:rsidRPr="00B93CED">
        <w:rPr>
          <w:rFonts w:ascii="Arial" w:hAnsi="Arial" w:cs="Arial"/>
          <w:b/>
          <w:sz w:val="22"/>
        </w:rPr>
        <w:t>Opportunities for Product Diversification and Community-Based Business Models</w:t>
      </w:r>
      <w:r w:rsidRPr="00C30A0F">
        <w:rPr>
          <w:rFonts w:ascii="Arial" w:hAnsi="Arial" w:cs="Arial"/>
          <w:b/>
          <w:sz w:val="22"/>
        </w:rPr>
        <w:t xml:space="preserve"> </w:t>
      </w:r>
      <w:r w:rsidRPr="00FB3A86">
        <w:rPr>
          <w:rFonts w:ascii="Arial" w:hAnsi="Arial" w:cs="Arial"/>
        </w:rPr>
        <w:t xml:space="preserve"> </w:t>
      </w:r>
    </w:p>
    <w:p w14:paraId="7E97A4E9" w14:textId="77777777" w:rsidR="00876AD2" w:rsidRPr="00876AD2" w:rsidRDefault="00876AD2" w:rsidP="00876AD2">
      <w:pPr>
        <w:pStyle w:val="Body"/>
        <w:ind w:firstLine="720"/>
        <w:rPr>
          <w:rFonts w:ascii="Arial" w:hAnsi="Arial" w:cs="Arial"/>
        </w:rPr>
      </w:pPr>
      <w:r w:rsidRPr="00876AD2">
        <w:rPr>
          <w:rFonts w:ascii="Arial" w:hAnsi="Arial" w:cs="Arial"/>
        </w:rPr>
        <w:lastRenderedPageBreak/>
        <w:t>Beyond the marketing of coffee in the form of green or roasted beans, additional opportunities to enhance economic value arise from the development of derivative products through a circular economy approach. The circular economy offers a new paradigm in which waste is no longer perceived as material to be discarded, but rather as a resource with economic value that can be reintegrated into production cycles (</w:t>
      </w:r>
      <w:proofErr w:type="spellStart"/>
      <w:r w:rsidRPr="00876AD2">
        <w:rPr>
          <w:rFonts w:ascii="Arial" w:hAnsi="Arial" w:cs="Arial"/>
        </w:rPr>
        <w:t>Oktavilia</w:t>
      </w:r>
      <w:proofErr w:type="spellEnd"/>
      <w:r w:rsidRPr="00876AD2">
        <w:rPr>
          <w:rFonts w:ascii="Arial" w:hAnsi="Arial" w:cs="Arial"/>
        </w:rPr>
        <w:t xml:space="preserve"> et al., 2024). Products such as coffee-based soap, coffee-infused perfume, cascara tea (derived from coffee cherry husks), and liquid organic fertilizer produced from fermentation residues represent innovations that have already been introduced; however, they have yet to be fully internalized within farmers’ business models.</w:t>
      </w:r>
    </w:p>
    <w:p w14:paraId="1A9E6A65" w14:textId="77777777" w:rsidR="00876AD2" w:rsidRPr="00876AD2" w:rsidRDefault="00876AD2" w:rsidP="00876AD2">
      <w:pPr>
        <w:pStyle w:val="Body"/>
        <w:ind w:firstLine="720"/>
        <w:rPr>
          <w:rFonts w:ascii="Arial" w:hAnsi="Arial" w:cs="Arial"/>
        </w:rPr>
      </w:pPr>
      <w:r w:rsidRPr="00876AD2">
        <w:rPr>
          <w:rFonts w:ascii="Arial" w:hAnsi="Arial" w:cs="Arial"/>
        </w:rPr>
        <w:t>Findings from the focus group discussions (FGDs) indicate that training on derivative product development has been conducted; however, the sustainability of these initiatives remains limited due to several factors, including perceptions of procedural complexity and minimal short-term economic returns. From an opportunity-oriented perspective, however, product diversification can serve as an effective entry point for empowering vulnerable groups, particularly women and rural youth.</w:t>
      </w:r>
    </w:p>
    <w:p w14:paraId="4A645FF6" w14:textId="77777777" w:rsidR="00876AD2" w:rsidRPr="00876AD2" w:rsidRDefault="00876AD2" w:rsidP="00876AD2">
      <w:pPr>
        <w:pStyle w:val="Body"/>
        <w:rPr>
          <w:rFonts w:ascii="Arial" w:hAnsi="Arial" w:cs="Arial"/>
        </w:rPr>
      </w:pPr>
      <w:r w:rsidRPr="00876AD2">
        <w:rPr>
          <w:rFonts w:ascii="Arial" w:hAnsi="Arial" w:cs="Arial"/>
        </w:rPr>
        <w:t xml:space="preserve">These initiatives could be revitalized through the following measures: </w:t>
      </w:r>
    </w:p>
    <w:p w14:paraId="07C22DD9" w14:textId="2DF4310C" w:rsidR="00876AD2" w:rsidRPr="00876AD2" w:rsidRDefault="00876AD2" w:rsidP="005A6CDD">
      <w:pPr>
        <w:pStyle w:val="Body"/>
        <w:numPr>
          <w:ilvl w:val="0"/>
          <w:numId w:val="34"/>
        </w:numPr>
        <w:spacing w:after="100"/>
        <w:ind w:left="709" w:hanging="306"/>
        <w:rPr>
          <w:rFonts w:ascii="Arial" w:hAnsi="Arial" w:cs="Arial"/>
        </w:rPr>
      </w:pPr>
      <w:r w:rsidRPr="00876AD2">
        <w:rPr>
          <w:rFonts w:ascii="Arial" w:hAnsi="Arial" w:cs="Arial"/>
        </w:rPr>
        <w:t xml:space="preserve">Establishing shared processing units at the village or cooperative level; </w:t>
      </w:r>
    </w:p>
    <w:p w14:paraId="3F658A44" w14:textId="406AF2E9" w:rsidR="00876AD2" w:rsidRPr="00876AD2" w:rsidRDefault="00876AD2" w:rsidP="005A6CDD">
      <w:pPr>
        <w:pStyle w:val="Body"/>
        <w:numPr>
          <w:ilvl w:val="0"/>
          <w:numId w:val="34"/>
        </w:numPr>
        <w:spacing w:after="100"/>
        <w:ind w:left="709" w:hanging="306"/>
        <w:rPr>
          <w:rFonts w:ascii="Arial" w:hAnsi="Arial" w:cs="Arial"/>
        </w:rPr>
      </w:pPr>
      <w:r w:rsidRPr="00876AD2">
        <w:rPr>
          <w:rFonts w:ascii="Arial" w:hAnsi="Arial" w:cs="Arial"/>
        </w:rPr>
        <w:t xml:space="preserve">Implementing simplified production processes based on locally available tools; and </w:t>
      </w:r>
    </w:p>
    <w:p w14:paraId="35762187" w14:textId="61F5A052" w:rsidR="00876AD2" w:rsidRPr="00876AD2" w:rsidRDefault="00876AD2" w:rsidP="005A6CDD">
      <w:pPr>
        <w:pStyle w:val="Body"/>
        <w:numPr>
          <w:ilvl w:val="0"/>
          <w:numId w:val="34"/>
        </w:numPr>
        <w:spacing w:after="100"/>
        <w:ind w:left="709" w:hanging="306"/>
        <w:rPr>
          <w:rFonts w:ascii="Arial" w:hAnsi="Arial" w:cs="Arial"/>
        </w:rPr>
      </w:pPr>
      <w:r w:rsidRPr="00876AD2">
        <w:rPr>
          <w:rFonts w:ascii="Arial" w:hAnsi="Arial" w:cs="Arial"/>
        </w:rPr>
        <w:t>Providing pilot markets through village-owned enterprises (</w:t>
      </w:r>
      <w:proofErr w:type="spellStart"/>
      <w:r w:rsidRPr="00876AD2">
        <w:rPr>
          <w:rFonts w:ascii="Arial" w:hAnsi="Arial" w:cs="Arial"/>
        </w:rPr>
        <w:t>BUMDes</w:t>
      </w:r>
      <w:proofErr w:type="spellEnd"/>
      <w:r w:rsidRPr="00876AD2">
        <w:rPr>
          <w:rFonts w:ascii="Arial" w:hAnsi="Arial" w:cs="Arial"/>
        </w:rPr>
        <w:t xml:space="preserve">), local festivals, or digital platforms. </w:t>
      </w:r>
    </w:p>
    <w:p w14:paraId="3753256C" w14:textId="2E0A338A" w:rsidR="00B93CED" w:rsidRDefault="00876AD2" w:rsidP="00876AD2">
      <w:pPr>
        <w:pStyle w:val="Body"/>
        <w:ind w:firstLine="720"/>
        <w:rPr>
          <w:rFonts w:ascii="Arial" w:hAnsi="Arial" w:cs="Arial"/>
        </w:rPr>
      </w:pPr>
      <w:r w:rsidRPr="00876AD2">
        <w:rPr>
          <w:rFonts w:ascii="Arial" w:hAnsi="Arial" w:cs="Arial"/>
        </w:rPr>
        <w:t xml:space="preserve">Another promising opportunity lies in integrating coffee-derived products with local tourism. </w:t>
      </w:r>
      <w:proofErr w:type="spellStart"/>
      <w:r w:rsidRPr="00876AD2">
        <w:rPr>
          <w:rFonts w:ascii="Arial" w:hAnsi="Arial" w:cs="Arial"/>
        </w:rPr>
        <w:t>Sajang</w:t>
      </w:r>
      <w:proofErr w:type="spellEnd"/>
      <w:r w:rsidRPr="00876AD2">
        <w:rPr>
          <w:rFonts w:ascii="Arial" w:hAnsi="Arial" w:cs="Arial"/>
        </w:rPr>
        <w:t xml:space="preserve"> coffee can be positioned not merely as a beverage, but as an experiential product, for example through educational tours on coffee-based soap production, coffee grinding workshops, or the marketing of NTFP-based souvenir packages.</w:t>
      </w:r>
    </w:p>
    <w:p w14:paraId="6CA45CC9" w14:textId="53F6C4B5" w:rsidR="00B93CED" w:rsidRPr="00B93CED" w:rsidRDefault="00B93CED" w:rsidP="00B93CED">
      <w:pPr>
        <w:pStyle w:val="Body"/>
        <w:numPr>
          <w:ilvl w:val="1"/>
          <w:numId w:val="32"/>
        </w:numPr>
        <w:spacing w:after="0"/>
        <w:ind w:left="426"/>
        <w:rPr>
          <w:rFonts w:ascii="Arial" w:hAnsi="Arial" w:cs="Arial"/>
        </w:rPr>
      </w:pPr>
      <w:r w:rsidRPr="00B93CED">
        <w:rPr>
          <w:rFonts w:ascii="Arial" w:hAnsi="Arial" w:cs="Arial"/>
          <w:b/>
          <w:sz w:val="22"/>
        </w:rPr>
        <w:t>Opportunities for Inclusive Financing Schemes and Collective Certification</w:t>
      </w:r>
    </w:p>
    <w:p w14:paraId="479844AD" w14:textId="77777777" w:rsidR="005A6CDD" w:rsidRPr="005A6CDD" w:rsidRDefault="005A6CDD" w:rsidP="005A6CDD">
      <w:pPr>
        <w:pStyle w:val="Body"/>
        <w:ind w:firstLine="720"/>
        <w:rPr>
          <w:rFonts w:ascii="Arial" w:hAnsi="Arial" w:cs="Arial"/>
        </w:rPr>
      </w:pPr>
      <w:r w:rsidRPr="005A6CDD">
        <w:rPr>
          <w:rFonts w:ascii="Arial" w:hAnsi="Arial" w:cs="Arial"/>
        </w:rPr>
        <w:t>One of the major constraints in enhancing the economic value of Lombok Arabica coffee is the absence of organic certification at the farm level, despite the fact that most farmers already apply cultivation practices that are largely consistent with organic principles. This condition indicates substantial potential for the development of collective certification schemes based on cooperatives or Non-Timber Forest Product (NTFP) farmer groups, which are generally more cost- and administratively efficient than individual certification. Organic certification serves not only as a form of quality legitimacy, but also as a strategic instrument for accessing premium domestic and export markets, where consumers are typically willing to pay higher prices for products that meet sustainability standards (</w:t>
      </w:r>
      <w:proofErr w:type="spellStart"/>
      <w:r w:rsidRPr="005A6CDD">
        <w:rPr>
          <w:rFonts w:ascii="Arial" w:hAnsi="Arial" w:cs="Arial"/>
        </w:rPr>
        <w:t>Herminingsih</w:t>
      </w:r>
      <w:proofErr w:type="spellEnd"/>
      <w:r w:rsidRPr="005A6CDD">
        <w:rPr>
          <w:rFonts w:ascii="Arial" w:hAnsi="Arial" w:cs="Arial"/>
        </w:rPr>
        <w:t xml:space="preserve"> et al., 2023).</w:t>
      </w:r>
    </w:p>
    <w:p w14:paraId="65C15564" w14:textId="4A1B4C46" w:rsidR="00B93CED" w:rsidRDefault="005A6CDD" w:rsidP="005A6CDD">
      <w:pPr>
        <w:pStyle w:val="Body"/>
        <w:ind w:firstLine="720"/>
        <w:rPr>
          <w:rFonts w:ascii="Arial" w:hAnsi="Arial" w:cs="Arial"/>
        </w:rPr>
      </w:pPr>
      <w:r w:rsidRPr="005A6CDD">
        <w:rPr>
          <w:rFonts w:ascii="Arial" w:hAnsi="Arial" w:cs="Arial"/>
        </w:rPr>
        <w:t>As a concrete step forward, financial support can be strategically channeled through the integration of local government programs with grassroots institutions, including collaborations with non-governmental organizations, universities, and private-sector partners. Such partnerships can provide technical assistance and continuous education, ensuring that the certification process becomes an integral component of a broader system aimed at sustainably enhancing the quality and competitiveness of Lombok Arabica coffee, rather than a mere administrative formality.</w:t>
      </w:r>
    </w:p>
    <w:p w14:paraId="39A1D7D0" w14:textId="329CF606" w:rsidR="00B93CED" w:rsidRDefault="00B93CED" w:rsidP="00B93CED">
      <w:pPr>
        <w:pStyle w:val="Body"/>
        <w:numPr>
          <w:ilvl w:val="1"/>
          <w:numId w:val="32"/>
        </w:numPr>
        <w:spacing w:after="0"/>
        <w:ind w:left="426"/>
        <w:rPr>
          <w:rFonts w:ascii="Arial" w:hAnsi="Arial" w:cs="Arial"/>
        </w:rPr>
      </w:pPr>
      <w:r w:rsidRPr="00B93CED">
        <w:rPr>
          <w:rFonts w:ascii="Arial" w:hAnsi="Arial" w:cs="Arial"/>
          <w:b/>
          <w:sz w:val="22"/>
        </w:rPr>
        <w:t>Opportunities for Integration with Ecotourism and Place-Based Marketing</w:t>
      </w:r>
      <w:r w:rsidRPr="00C30A0F">
        <w:rPr>
          <w:rFonts w:ascii="Arial" w:hAnsi="Arial" w:cs="Arial"/>
          <w:b/>
          <w:sz w:val="22"/>
        </w:rPr>
        <w:t xml:space="preserve"> </w:t>
      </w:r>
      <w:r w:rsidRPr="00FB3A86">
        <w:rPr>
          <w:rFonts w:ascii="Arial" w:hAnsi="Arial" w:cs="Arial"/>
        </w:rPr>
        <w:t xml:space="preserve"> </w:t>
      </w:r>
    </w:p>
    <w:p w14:paraId="0CCFA7E5" w14:textId="77777777" w:rsidR="005A6CDD" w:rsidRPr="005A6CDD" w:rsidRDefault="005A6CDD" w:rsidP="005A6CDD">
      <w:pPr>
        <w:pStyle w:val="Body"/>
        <w:ind w:firstLine="720"/>
        <w:rPr>
          <w:rFonts w:ascii="Arial" w:hAnsi="Arial" w:cs="Arial"/>
        </w:rPr>
      </w:pPr>
      <w:r w:rsidRPr="005A6CDD">
        <w:rPr>
          <w:rFonts w:ascii="Arial" w:hAnsi="Arial" w:cs="Arial"/>
        </w:rPr>
        <w:t xml:space="preserve">The integration of Lombok Arabica coffee with the tourism sector represents a significant opportunity that has not yet been systematically developed. </w:t>
      </w:r>
      <w:proofErr w:type="spellStart"/>
      <w:r w:rsidRPr="005A6CDD">
        <w:rPr>
          <w:rFonts w:ascii="Arial" w:hAnsi="Arial" w:cs="Arial"/>
        </w:rPr>
        <w:t>Sembalun</w:t>
      </w:r>
      <w:proofErr w:type="spellEnd"/>
      <w:r w:rsidRPr="005A6CDD">
        <w:rPr>
          <w:rFonts w:ascii="Arial" w:hAnsi="Arial" w:cs="Arial"/>
        </w:rPr>
        <w:t xml:space="preserve"> serves as the main gateway for Mount </w:t>
      </w:r>
      <w:proofErr w:type="spellStart"/>
      <w:r w:rsidRPr="005A6CDD">
        <w:rPr>
          <w:rFonts w:ascii="Arial" w:hAnsi="Arial" w:cs="Arial"/>
        </w:rPr>
        <w:t>Rinjani</w:t>
      </w:r>
      <w:proofErr w:type="spellEnd"/>
      <w:r w:rsidRPr="005A6CDD">
        <w:rPr>
          <w:rFonts w:ascii="Arial" w:hAnsi="Arial" w:cs="Arial"/>
        </w:rPr>
        <w:t xml:space="preserve"> trekking activities and attracts thousands of visitors annually. Despite this potential, no formal mechanisms currently exist to link local coffee products with tourism-related consumption.</w:t>
      </w:r>
    </w:p>
    <w:p w14:paraId="1568A39B" w14:textId="77777777" w:rsidR="005A6CDD" w:rsidRPr="005A6CDD" w:rsidRDefault="005A6CDD" w:rsidP="005A6CDD">
      <w:pPr>
        <w:pStyle w:val="Body"/>
        <w:rPr>
          <w:rFonts w:ascii="Arial" w:hAnsi="Arial" w:cs="Arial"/>
        </w:rPr>
      </w:pPr>
      <w:r w:rsidRPr="005A6CDD">
        <w:rPr>
          <w:rFonts w:ascii="Arial" w:hAnsi="Arial" w:cs="Arial"/>
        </w:rPr>
        <w:t xml:space="preserve">An integrative strategy may be initiated through several measures, including: </w:t>
      </w:r>
    </w:p>
    <w:p w14:paraId="6A59399D" w14:textId="446E26C8" w:rsidR="005A6CDD" w:rsidRPr="005A6CDD" w:rsidRDefault="005A6CDD" w:rsidP="00834CE8">
      <w:pPr>
        <w:pStyle w:val="Body"/>
        <w:numPr>
          <w:ilvl w:val="0"/>
          <w:numId w:val="34"/>
        </w:numPr>
        <w:spacing w:after="100"/>
        <w:ind w:left="709" w:hanging="306"/>
        <w:rPr>
          <w:rFonts w:ascii="Arial" w:hAnsi="Arial" w:cs="Arial"/>
        </w:rPr>
      </w:pPr>
      <w:r w:rsidRPr="005A6CDD">
        <w:rPr>
          <w:rFonts w:ascii="Arial" w:hAnsi="Arial" w:cs="Arial"/>
        </w:rPr>
        <w:t xml:space="preserve">the development of coffee trails within </w:t>
      </w:r>
      <w:proofErr w:type="spellStart"/>
      <w:r w:rsidRPr="005A6CDD">
        <w:rPr>
          <w:rFonts w:ascii="Arial" w:hAnsi="Arial" w:cs="Arial"/>
        </w:rPr>
        <w:t>Sajang</w:t>
      </w:r>
      <w:proofErr w:type="spellEnd"/>
      <w:r w:rsidRPr="005A6CDD">
        <w:rPr>
          <w:rFonts w:ascii="Arial" w:hAnsi="Arial" w:cs="Arial"/>
        </w:rPr>
        <w:t xml:space="preserve"> coffee plantations; </w:t>
      </w:r>
    </w:p>
    <w:p w14:paraId="7C0420BC" w14:textId="50D2915C" w:rsidR="005A6CDD" w:rsidRPr="005A6CDD" w:rsidRDefault="005A6CDD" w:rsidP="00834CE8">
      <w:pPr>
        <w:pStyle w:val="Body"/>
        <w:numPr>
          <w:ilvl w:val="0"/>
          <w:numId w:val="34"/>
        </w:numPr>
        <w:spacing w:after="100"/>
        <w:ind w:left="709" w:hanging="306"/>
        <w:rPr>
          <w:rFonts w:ascii="Arial" w:hAnsi="Arial" w:cs="Arial"/>
        </w:rPr>
      </w:pPr>
      <w:r w:rsidRPr="005A6CDD">
        <w:rPr>
          <w:rFonts w:ascii="Arial" w:hAnsi="Arial" w:cs="Arial"/>
        </w:rPr>
        <w:t xml:space="preserve">the institutionalization of local coffee consumption at government-sponsored events; </w:t>
      </w:r>
    </w:p>
    <w:p w14:paraId="4568D14B" w14:textId="391F53EF" w:rsidR="005A6CDD" w:rsidRPr="005A6CDD" w:rsidRDefault="005A6CDD" w:rsidP="00834CE8">
      <w:pPr>
        <w:pStyle w:val="Body"/>
        <w:numPr>
          <w:ilvl w:val="0"/>
          <w:numId w:val="34"/>
        </w:numPr>
        <w:spacing w:after="100"/>
        <w:ind w:left="709" w:hanging="306"/>
        <w:rPr>
          <w:rFonts w:ascii="Arial" w:hAnsi="Arial" w:cs="Arial"/>
        </w:rPr>
      </w:pPr>
      <w:r w:rsidRPr="005A6CDD">
        <w:rPr>
          <w:rFonts w:ascii="Arial" w:hAnsi="Arial" w:cs="Arial"/>
        </w:rPr>
        <w:lastRenderedPageBreak/>
        <w:t xml:space="preserve">the incorporation of educational coffee tours into </w:t>
      </w:r>
      <w:proofErr w:type="spellStart"/>
      <w:r w:rsidRPr="005A6CDD">
        <w:rPr>
          <w:rFonts w:ascii="Arial" w:hAnsi="Arial" w:cs="Arial"/>
        </w:rPr>
        <w:t>Rinjani</w:t>
      </w:r>
      <w:proofErr w:type="spellEnd"/>
      <w:r w:rsidRPr="005A6CDD">
        <w:rPr>
          <w:rFonts w:ascii="Arial" w:hAnsi="Arial" w:cs="Arial"/>
        </w:rPr>
        <w:t xml:space="preserve"> tourism packages; </w:t>
      </w:r>
    </w:p>
    <w:p w14:paraId="613213F8" w14:textId="01E3C5AE" w:rsidR="005A6CDD" w:rsidRPr="005A6CDD" w:rsidRDefault="005A6CDD" w:rsidP="00834CE8">
      <w:pPr>
        <w:pStyle w:val="Body"/>
        <w:numPr>
          <w:ilvl w:val="0"/>
          <w:numId w:val="34"/>
        </w:numPr>
        <w:spacing w:after="100"/>
        <w:ind w:left="709" w:hanging="306"/>
        <w:rPr>
          <w:rFonts w:ascii="Arial" w:hAnsi="Arial" w:cs="Arial"/>
        </w:rPr>
      </w:pPr>
      <w:r w:rsidRPr="005A6CDD">
        <w:rPr>
          <w:rFonts w:ascii="Arial" w:hAnsi="Arial" w:cs="Arial"/>
        </w:rPr>
        <w:t xml:space="preserve">the organization of annual village-based coffee festivals; </w:t>
      </w:r>
    </w:p>
    <w:p w14:paraId="5934F63F" w14:textId="1A234D20" w:rsidR="005A6CDD" w:rsidRPr="005A6CDD" w:rsidRDefault="005A6CDD" w:rsidP="00834CE8">
      <w:pPr>
        <w:pStyle w:val="Body"/>
        <w:numPr>
          <w:ilvl w:val="0"/>
          <w:numId w:val="34"/>
        </w:numPr>
        <w:spacing w:after="100"/>
        <w:ind w:left="709" w:hanging="306"/>
        <w:rPr>
          <w:rFonts w:ascii="Arial" w:hAnsi="Arial" w:cs="Arial"/>
        </w:rPr>
      </w:pPr>
      <w:r w:rsidRPr="005A6CDD">
        <w:rPr>
          <w:rFonts w:ascii="Arial" w:hAnsi="Arial" w:cs="Arial"/>
        </w:rPr>
        <w:t xml:space="preserve">the placement of local coffee products in hotels, trekking basecamps, and rest areas; and </w:t>
      </w:r>
    </w:p>
    <w:p w14:paraId="5FD7B0F7" w14:textId="57527ED8" w:rsidR="005A6CDD" w:rsidRPr="005A6CDD" w:rsidRDefault="005A6CDD" w:rsidP="00834CE8">
      <w:pPr>
        <w:pStyle w:val="Body"/>
        <w:numPr>
          <w:ilvl w:val="0"/>
          <w:numId w:val="34"/>
        </w:numPr>
        <w:spacing w:after="100"/>
        <w:ind w:left="709" w:hanging="306"/>
        <w:rPr>
          <w:rFonts w:ascii="Arial" w:hAnsi="Arial" w:cs="Arial"/>
        </w:rPr>
      </w:pPr>
      <w:r w:rsidRPr="005A6CDD">
        <w:rPr>
          <w:rFonts w:ascii="Arial" w:hAnsi="Arial" w:cs="Arial"/>
        </w:rPr>
        <w:t>the inclusion of coffee products in officially branded regional souvenir packages, which could serve as an entry point for more sustainable market opportunities.</w:t>
      </w:r>
    </w:p>
    <w:p w14:paraId="70ACEB03" w14:textId="77777777" w:rsidR="005A6CDD" w:rsidRPr="005A6CDD" w:rsidRDefault="005A6CDD" w:rsidP="005A6CDD">
      <w:pPr>
        <w:pStyle w:val="Body"/>
        <w:ind w:firstLine="720"/>
        <w:rPr>
          <w:rFonts w:ascii="Arial" w:hAnsi="Arial" w:cs="Arial"/>
        </w:rPr>
      </w:pPr>
      <w:r w:rsidRPr="005A6CDD">
        <w:rPr>
          <w:rFonts w:ascii="Arial" w:hAnsi="Arial" w:cs="Arial"/>
        </w:rPr>
        <w:t xml:space="preserve">Within the context of social forestry, Arabica coffee occupies a strategic position as a leading commodity capable of strengthening multiple land-use systems, increasing household income, and maintaining ecosystem functions. This requires a coherent policy framework that integrates forestry, agriculture, micro- and small-scale enterprises, and tourism programs, ensuring that Arabica coffee effectively serves as a key economic driver of leading Non-Timber Forest Products (NTFPs). </w:t>
      </w:r>
    </w:p>
    <w:p w14:paraId="6B701ECF" w14:textId="1F85412A" w:rsidR="00790ADA" w:rsidRPr="00FB3A86" w:rsidRDefault="005A6CDD" w:rsidP="005A6CDD">
      <w:pPr>
        <w:pStyle w:val="Body"/>
        <w:ind w:firstLine="720"/>
        <w:rPr>
          <w:rFonts w:ascii="Arial" w:hAnsi="Arial" w:cs="Arial"/>
        </w:rPr>
      </w:pPr>
      <w:r w:rsidRPr="005A6CDD">
        <w:rPr>
          <w:rFonts w:ascii="Arial" w:hAnsi="Arial" w:cs="Arial"/>
        </w:rPr>
        <w:t>Enhancing the economic value of Arabica coffee as a leading NTFP on Lombok Island does not depend solely on the identification of physical or technical potential. Rather, it requires a systemic analysis of market opportunities, production innovation, institutional support, and community social dynamics. Strengthening the role of coffee as a leading NTFP must therefore be accompanied by the development of an integrated value ecosystem that connects upstream and downstream actors through context-specific interventions aligned with local conditions.</w:t>
      </w:r>
    </w:p>
    <w:p w14:paraId="475ADE2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408D722" w14:textId="77777777" w:rsidR="00790ADA" w:rsidRPr="00FB3A86" w:rsidRDefault="00790ADA" w:rsidP="00441B6F">
      <w:pPr>
        <w:pStyle w:val="ConcHead"/>
        <w:spacing w:after="0"/>
        <w:jc w:val="both"/>
        <w:rPr>
          <w:rFonts w:ascii="Arial" w:hAnsi="Arial" w:cs="Arial"/>
        </w:rPr>
      </w:pPr>
    </w:p>
    <w:p w14:paraId="20310556" w14:textId="67B809FF" w:rsidR="007F182C" w:rsidRPr="005103E3" w:rsidRDefault="002111ED" w:rsidP="005103E3">
      <w:pPr>
        <w:pStyle w:val="Body"/>
        <w:spacing w:after="0"/>
        <w:rPr>
          <w:rFonts w:ascii="Arial" w:hAnsi="Arial" w:cs="Arial"/>
        </w:rPr>
      </w:pPr>
      <w:r w:rsidRPr="002111ED">
        <w:rPr>
          <w:rFonts w:ascii="Arial" w:hAnsi="Arial" w:cs="Arial"/>
        </w:rPr>
        <w:t xml:space="preserve">Arabica coffee cultivated in forest-based agroforestry systems on Lombok Island, particularly in </w:t>
      </w:r>
      <w:proofErr w:type="spellStart"/>
      <w:r w:rsidRPr="002111ED">
        <w:rPr>
          <w:rFonts w:ascii="Arial" w:hAnsi="Arial" w:cs="Arial"/>
        </w:rPr>
        <w:t>Sembalun</w:t>
      </w:r>
      <w:proofErr w:type="spellEnd"/>
      <w:r w:rsidRPr="002111ED">
        <w:rPr>
          <w:rFonts w:ascii="Arial" w:hAnsi="Arial" w:cs="Arial"/>
        </w:rPr>
        <w:t xml:space="preserve">, has strong potential to be developed as a leading Non-Timber Forest Product (NTFP). The enhancement of its economic value requires a systemic approach that integrates production innovation, origin-based branding, product diversification, inclusive financing, and institutional strengthening. In addition, the integration of Arabica coffee with ecotourism and place-based marketing offers significant opportunities to expand value creation. An integrated value ecosystem linking upstream and downstream actors is therefore essential to promote sustainable livelihoods while maintaining forest ecosystem functions. </w:t>
      </w:r>
    </w:p>
    <w:p w14:paraId="74E363DB" w14:textId="77777777" w:rsidR="00860000" w:rsidRDefault="00860000" w:rsidP="00441B6F">
      <w:pPr>
        <w:pStyle w:val="ReferHead"/>
        <w:spacing w:after="0"/>
        <w:jc w:val="both"/>
        <w:rPr>
          <w:rFonts w:ascii="Arial" w:hAnsi="Arial" w:cs="Arial"/>
        </w:rPr>
      </w:pPr>
    </w:p>
    <w:p w14:paraId="527AB9A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AD19481" w14:textId="77777777" w:rsidR="00284C4C" w:rsidRPr="00284C4C" w:rsidRDefault="00284C4C" w:rsidP="00441B6F">
      <w:pPr>
        <w:pStyle w:val="Body"/>
        <w:spacing w:after="0"/>
        <w:rPr>
          <w:rFonts w:ascii="Arial" w:hAnsi="Arial" w:cs="Arial"/>
          <w:i/>
          <w:u w:val="single"/>
        </w:rPr>
      </w:pPr>
    </w:p>
    <w:p w14:paraId="72ECD8AC" w14:textId="77777777" w:rsidR="00BC2D79" w:rsidRPr="00BC2D79" w:rsidRDefault="00BC2D79" w:rsidP="00BC2D79">
      <w:pPr>
        <w:pStyle w:val="Body"/>
        <w:spacing w:after="100"/>
        <w:ind w:left="720" w:hanging="720"/>
        <w:rPr>
          <w:rFonts w:ascii="Arial" w:hAnsi="Arial" w:cs="Arial"/>
        </w:rPr>
      </w:pPr>
      <w:r w:rsidRPr="00BC2D79">
        <w:rPr>
          <w:rFonts w:ascii="Arial" w:hAnsi="Arial" w:cs="Arial"/>
        </w:rPr>
        <w:t xml:space="preserve">Chandra, L. Y. K., </w:t>
      </w:r>
      <w:proofErr w:type="spellStart"/>
      <w:r w:rsidRPr="00BC2D79">
        <w:rPr>
          <w:rFonts w:ascii="Arial" w:hAnsi="Arial" w:cs="Arial"/>
        </w:rPr>
        <w:t>Linggarweni</w:t>
      </w:r>
      <w:proofErr w:type="spellEnd"/>
      <w:r w:rsidRPr="00BC2D79">
        <w:rPr>
          <w:rFonts w:ascii="Arial" w:hAnsi="Arial" w:cs="Arial"/>
        </w:rPr>
        <w:t xml:space="preserve">, B. I., &amp; </w:t>
      </w:r>
      <w:proofErr w:type="spellStart"/>
      <w:r w:rsidRPr="00BC2D79">
        <w:rPr>
          <w:rFonts w:ascii="Arial" w:hAnsi="Arial" w:cs="Arial"/>
        </w:rPr>
        <w:t>Novida</w:t>
      </w:r>
      <w:proofErr w:type="spellEnd"/>
      <w:r w:rsidRPr="00BC2D79">
        <w:rPr>
          <w:rFonts w:ascii="Arial" w:hAnsi="Arial" w:cs="Arial"/>
        </w:rPr>
        <w:t xml:space="preserve">, S. (2023). Analysis of Arabica Coffee Powder Business Income in </w:t>
      </w:r>
      <w:proofErr w:type="spellStart"/>
      <w:r w:rsidRPr="00BC2D79">
        <w:rPr>
          <w:rFonts w:ascii="Arial" w:hAnsi="Arial" w:cs="Arial"/>
        </w:rPr>
        <w:t>Sajang</w:t>
      </w:r>
      <w:proofErr w:type="spellEnd"/>
      <w:r w:rsidRPr="00BC2D79">
        <w:rPr>
          <w:rFonts w:ascii="Arial" w:hAnsi="Arial" w:cs="Arial"/>
        </w:rPr>
        <w:t xml:space="preserve"> Village, </w:t>
      </w:r>
      <w:proofErr w:type="spellStart"/>
      <w:r w:rsidRPr="00BC2D79">
        <w:rPr>
          <w:rFonts w:ascii="Arial" w:hAnsi="Arial" w:cs="Arial"/>
        </w:rPr>
        <w:t>Sembalun</w:t>
      </w:r>
      <w:proofErr w:type="spellEnd"/>
      <w:r w:rsidRPr="00BC2D79">
        <w:rPr>
          <w:rFonts w:ascii="Arial" w:hAnsi="Arial" w:cs="Arial"/>
        </w:rPr>
        <w:t xml:space="preserve"> District, East Lombok Regency. Journal of Economics and Business, 3(2), 148–155. https://doi.org/10.56145/jurnalekonomidanbisnis.v3i2.71</w:t>
      </w:r>
    </w:p>
    <w:p w14:paraId="034137B9" w14:textId="77777777" w:rsidR="00BC2D79" w:rsidRPr="00BC2D79" w:rsidRDefault="00BC2D79" w:rsidP="00BC2D79">
      <w:pPr>
        <w:pStyle w:val="Body"/>
        <w:spacing w:after="100"/>
        <w:ind w:left="720" w:hanging="720"/>
        <w:rPr>
          <w:rFonts w:ascii="Arial" w:hAnsi="Arial" w:cs="Arial"/>
        </w:rPr>
      </w:pPr>
      <w:proofErr w:type="spellStart"/>
      <w:r w:rsidRPr="00BC2D79">
        <w:rPr>
          <w:rFonts w:ascii="Arial" w:hAnsi="Arial" w:cs="Arial"/>
        </w:rPr>
        <w:t>Fuad</w:t>
      </w:r>
      <w:proofErr w:type="spellEnd"/>
      <w:r w:rsidRPr="00BC2D79">
        <w:rPr>
          <w:rFonts w:ascii="Arial" w:hAnsi="Arial" w:cs="Arial"/>
        </w:rPr>
        <w:t xml:space="preserve">, F., &amp; </w:t>
      </w:r>
      <w:proofErr w:type="spellStart"/>
      <w:r w:rsidRPr="00BC2D79">
        <w:rPr>
          <w:rFonts w:ascii="Arial" w:hAnsi="Arial" w:cs="Arial"/>
        </w:rPr>
        <w:t>Latjeme</w:t>
      </w:r>
      <w:proofErr w:type="spellEnd"/>
      <w:r w:rsidRPr="00BC2D79">
        <w:rPr>
          <w:rFonts w:ascii="Arial" w:hAnsi="Arial" w:cs="Arial"/>
        </w:rPr>
        <w:t xml:space="preserve">, A. A. (2021). Protection of Geographical Indications of National Assets in the Case of </w:t>
      </w:r>
      <w:proofErr w:type="spellStart"/>
      <w:r w:rsidRPr="00BC2D79">
        <w:rPr>
          <w:rFonts w:ascii="Arial" w:hAnsi="Arial" w:cs="Arial"/>
        </w:rPr>
        <w:t>Toraja</w:t>
      </w:r>
      <w:proofErr w:type="spellEnd"/>
      <w:r w:rsidRPr="00BC2D79">
        <w:rPr>
          <w:rFonts w:ascii="Arial" w:hAnsi="Arial" w:cs="Arial"/>
        </w:rPr>
        <w:t xml:space="preserve"> Coffee. Journal of Master of Law: Law and Welfare, 2(2), 10–16.</w:t>
      </w:r>
    </w:p>
    <w:p w14:paraId="780363C9" w14:textId="77777777" w:rsidR="00BC2D79" w:rsidRPr="00BC2D79" w:rsidRDefault="00BC2D79" w:rsidP="00BC2D79">
      <w:pPr>
        <w:pStyle w:val="Body"/>
        <w:spacing w:after="100"/>
        <w:ind w:left="720" w:hanging="720"/>
        <w:rPr>
          <w:rFonts w:ascii="Arial" w:hAnsi="Arial" w:cs="Arial"/>
        </w:rPr>
      </w:pPr>
      <w:proofErr w:type="spellStart"/>
      <w:r w:rsidRPr="00BC2D79">
        <w:rPr>
          <w:rFonts w:ascii="Arial" w:hAnsi="Arial" w:cs="Arial"/>
        </w:rPr>
        <w:t>Hayyun</w:t>
      </w:r>
      <w:proofErr w:type="spellEnd"/>
      <w:r w:rsidRPr="00BC2D79">
        <w:rPr>
          <w:rFonts w:ascii="Arial" w:hAnsi="Arial" w:cs="Arial"/>
        </w:rPr>
        <w:t xml:space="preserve">, D. A., </w:t>
      </w:r>
      <w:proofErr w:type="spellStart"/>
      <w:r w:rsidRPr="00BC2D79">
        <w:rPr>
          <w:rFonts w:ascii="Arial" w:hAnsi="Arial" w:cs="Arial"/>
        </w:rPr>
        <w:t>Megantara</w:t>
      </w:r>
      <w:proofErr w:type="spellEnd"/>
      <w:r w:rsidRPr="00BC2D79">
        <w:rPr>
          <w:rFonts w:ascii="Arial" w:hAnsi="Arial" w:cs="Arial"/>
        </w:rPr>
        <w:t xml:space="preserve">, E. N., &amp; </w:t>
      </w:r>
      <w:proofErr w:type="spellStart"/>
      <w:r w:rsidRPr="00BC2D79">
        <w:rPr>
          <w:rFonts w:ascii="Arial" w:hAnsi="Arial" w:cs="Arial"/>
        </w:rPr>
        <w:t>Parikesit</w:t>
      </w:r>
      <w:proofErr w:type="spellEnd"/>
      <w:r w:rsidRPr="00BC2D79">
        <w:rPr>
          <w:rFonts w:ascii="Arial" w:hAnsi="Arial" w:cs="Arial"/>
        </w:rPr>
        <w:t xml:space="preserve">, P. (2018). Study of ecosystem services in coffee-based agroforestry systems in </w:t>
      </w:r>
      <w:proofErr w:type="spellStart"/>
      <w:r w:rsidRPr="00BC2D79">
        <w:rPr>
          <w:rFonts w:ascii="Arial" w:hAnsi="Arial" w:cs="Arial"/>
        </w:rPr>
        <w:t>Cisero</w:t>
      </w:r>
      <w:proofErr w:type="spellEnd"/>
      <w:r w:rsidRPr="00BC2D79">
        <w:rPr>
          <w:rFonts w:ascii="Arial" w:hAnsi="Arial" w:cs="Arial"/>
        </w:rPr>
        <w:t xml:space="preserve"> Village, </w:t>
      </w:r>
      <w:proofErr w:type="spellStart"/>
      <w:r w:rsidRPr="00BC2D79">
        <w:rPr>
          <w:rFonts w:ascii="Arial" w:hAnsi="Arial" w:cs="Arial"/>
        </w:rPr>
        <w:t>Garut</w:t>
      </w:r>
      <w:proofErr w:type="spellEnd"/>
      <w:r w:rsidRPr="00BC2D79">
        <w:rPr>
          <w:rFonts w:ascii="Arial" w:hAnsi="Arial" w:cs="Arial"/>
        </w:rPr>
        <w:t>. Journal of Sustainable Environmental Management, 200–219.</w:t>
      </w:r>
    </w:p>
    <w:p w14:paraId="3517FCF9" w14:textId="77777777" w:rsidR="00BC2D79" w:rsidRPr="00BC2D79" w:rsidRDefault="00BC2D79" w:rsidP="00BC2D79">
      <w:pPr>
        <w:pStyle w:val="Body"/>
        <w:spacing w:after="100"/>
        <w:ind w:left="720" w:hanging="720"/>
        <w:rPr>
          <w:rFonts w:ascii="Arial" w:hAnsi="Arial" w:cs="Arial"/>
        </w:rPr>
      </w:pPr>
      <w:proofErr w:type="spellStart"/>
      <w:r w:rsidRPr="00BC2D79">
        <w:rPr>
          <w:rFonts w:ascii="Arial" w:hAnsi="Arial" w:cs="Arial"/>
        </w:rPr>
        <w:t>Herminingsih</w:t>
      </w:r>
      <w:proofErr w:type="spellEnd"/>
      <w:r w:rsidRPr="00BC2D79">
        <w:rPr>
          <w:rFonts w:ascii="Arial" w:hAnsi="Arial" w:cs="Arial"/>
        </w:rPr>
        <w:t xml:space="preserve">, H., </w:t>
      </w:r>
      <w:proofErr w:type="spellStart"/>
      <w:r w:rsidRPr="00BC2D79">
        <w:rPr>
          <w:rFonts w:ascii="Arial" w:hAnsi="Arial" w:cs="Arial"/>
        </w:rPr>
        <w:t>Rokhani</w:t>
      </w:r>
      <w:proofErr w:type="spellEnd"/>
      <w:r w:rsidRPr="00BC2D79">
        <w:rPr>
          <w:rFonts w:ascii="Arial" w:hAnsi="Arial" w:cs="Arial"/>
        </w:rPr>
        <w:t xml:space="preserve">, R., </w:t>
      </w:r>
      <w:proofErr w:type="spellStart"/>
      <w:r w:rsidRPr="00BC2D79">
        <w:rPr>
          <w:rFonts w:ascii="Arial" w:hAnsi="Arial" w:cs="Arial"/>
        </w:rPr>
        <w:t>Iswati</w:t>
      </w:r>
      <w:proofErr w:type="spellEnd"/>
      <w:r w:rsidRPr="00BC2D79">
        <w:rPr>
          <w:rFonts w:ascii="Arial" w:hAnsi="Arial" w:cs="Arial"/>
        </w:rPr>
        <w:t xml:space="preserve">, I., &amp; </w:t>
      </w:r>
      <w:proofErr w:type="spellStart"/>
      <w:r w:rsidRPr="00BC2D79">
        <w:rPr>
          <w:rFonts w:ascii="Arial" w:hAnsi="Arial" w:cs="Arial"/>
        </w:rPr>
        <w:t>Sudarko</w:t>
      </w:r>
      <w:proofErr w:type="spellEnd"/>
      <w:r w:rsidRPr="00BC2D79">
        <w:rPr>
          <w:rFonts w:ascii="Arial" w:hAnsi="Arial" w:cs="Arial"/>
        </w:rPr>
        <w:t xml:space="preserve">, S. (2023). Economic benefits of geographical indication (GI) certification for smallholder coffee farmers: A case study in </w:t>
      </w:r>
      <w:proofErr w:type="spellStart"/>
      <w:r w:rsidRPr="00BC2D79">
        <w:rPr>
          <w:rFonts w:ascii="Arial" w:hAnsi="Arial" w:cs="Arial"/>
        </w:rPr>
        <w:t>Bondowoso</w:t>
      </w:r>
      <w:proofErr w:type="spellEnd"/>
      <w:r w:rsidRPr="00BC2D79">
        <w:rPr>
          <w:rFonts w:ascii="Arial" w:hAnsi="Arial" w:cs="Arial"/>
        </w:rPr>
        <w:t xml:space="preserve"> Regency, East Java. </w:t>
      </w:r>
      <w:proofErr w:type="spellStart"/>
      <w:r w:rsidRPr="00BC2D79">
        <w:rPr>
          <w:rFonts w:ascii="Arial" w:hAnsi="Arial" w:cs="Arial"/>
        </w:rPr>
        <w:t>Respati</w:t>
      </w:r>
      <w:proofErr w:type="spellEnd"/>
      <w:r w:rsidRPr="00BC2D79">
        <w:rPr>
          <w:rFonts w:ascii="Arial" w:hAnsi="Arial" w:cs="Arial"/>
        </w:rPr>
        <w:t xml:space="preserve"> Scientific Journal, 14(1), 56–63.</w:t>
      </w:r>
    </w:p>
    <w:p w14:paraId="7450BD09" w14:textId="77777777" w:rsidR="00BC2D79" w:rsidRPr="00BC2D79" w:rsidRDefault="00BC2D79" w:rsidP="00BC2D79">
      <w:pPr>
        <w:pStyle w:val="Body"/>
        <w:spacing w:after="100"/>
        <w:ind w:left="720" w:hanging="720"/>
        <w:rPr>
          <w:rFonts w:ascii="Arial" w:hAnsi="Arial" w:cs="Arial"/>
        </w:rPr>
      </w:pPr>
      <w:proofErr w:type="spellStart"/>
      <w:r w:rsidRPr="00BC2D79">
        <w:rPr>
          <w:rFonts w:ascii="Arial" w:hAnsi="Arial" w:cs="Arial"/>
        </w:rPr>
        <w:t>Kusumaningtyas</w:t>
      </w:r>
      <w:proofErr w:type="spellEnd"/>
      <w:r w:rsidRPr="00BC2D79">
        <w:rPr>
          <w:rFonts w:ascii="Arial" w:hAnsi="Arial" w:cs="Arial"/>
        </w:rPr>
        <w:t xml:space="preserve">, R., &amp; </w:t>
      </w:r>
      <w:proofErr w:type="spellStart"/>
      <w:r w:rsidRPr="00BC2D79">
        <w:rPr>
          <w:rFonts w:ascii="Arial" w:hAnsi="Arial" w:cs="Arial"/>
        </w:rPr>
        <w:t>Chofyan</w:t>
      </w:r>
      <w:proofErr w:type="spellEnd"/>
      <w:r w:rsidRPr="00BC2D79">
        <w:rPr>
          <w:rFonts w:ascii="Arial" w:hAnsi="Arial" w:cs="Arial"/>
        </w:rPr>
        <w:t>, I. (2013). Forest management in overcoming forest land conversion in Subang Regency. Journal of Regional and Urban Planning, 13(2).</w:t>
      </w:r>
    </w:p>
    <w:p w14:paraId="587107A4" w14:textId="77777777" w:rsidR="00BC2D79" w:rsidRPr="00BC2D79" w:rsidRDefault="00BC2D79" w:rsidP="00BC2D79">
      <w:pPr>
        <w:pStyle w:val="Body"/>
        <w:spacing w:after="100"/>
        <w:ind w:left="720" w:hanging="720"/>
        <w:rPr>
          <w:rFonts w:ascii="Arial" w:hAnsi="Arial" w:cs="Arial"/>
        </w:rPr>
      </w:pPr>
      <w:proofErr w:type="spellStart"/>
      <w:r w:rsidRPr="00BC2D79">
        <w:rPr>
          <w:rFonts w:ascii="Arial" w:hAnsi="Arial" w:cs="Arial"/>
        </w:rPr>
        <w:t>Lidya</w:t>
      </w:r>
      <w:proofErr w:type="spellEnd"/>
      <w:r w:rsidRPr="00BC2D79">
        <w:rPr>
          <w:rFonts w:ascii="Arial" w:hAnsi="Arial" w:cs="Arial"/>
        </w:rPr>
        <w:t xml:space="preserve">, B., </w:t>
      </w:r>
      <w:proofErr w:type="spellStart"/>
      <w:r w:rsidRPr="00BC2D79">
        <w:rPr>
          <w:rFonts w:ascii="Arial" w:hAnsi="Arial" w:cs="Arial"/>
        </w:rPr>
        <w:t>Wildiani</w:t>
      </w:r>
      <w:proofErr w:type="spellEnd"/>
      <w:r w:rsidRPr="00BC2D79">
        <w:rPr>
          <w:rFonts w:ascii="Arial" w:hAnsi="Arial" w:cs="Arial"/>
        </w:rPr>
        <w:t xml:space="preserve">, I. R., Ramadhan, M. Z., &amp; </w:t>
      </w:r>
      <w:proofErr w:type="spellStart"/>
      <w:r w:rsidRPr="00BC2D79">
        <w:rPr>
          <w:rFonts w:ascii="Arial" w:hAnsi="Arial" w:cs="Arial"/>
        </w:rPr>
        <w:t>Hariyadi</w:t>
      </w:r>
      <w:proofErr w:type="spellEnd"/>
      <w:r w:rsidRPr="00BC2D79">
        <w:rPr>
          <w:rFonts w:ascii="Arial" w:hAnsi="Arial" w:cs="Arial"/>
        </w:rPr>
        <w:t xml:space="preserve">, T. (2024). The Effect of Fermentation Time in Full Wash and Honey Processing on Arabica Coffee Characteristics. </w:t>
      </w:r>
      <w:proofErr w:type="spellStart"/>
      <w:r w:rsidRPr="00BC2D79">
        <w:rPr>
          <w:rFonts w:ascii="Arial" w:hAnsi="Arial" w:cs="Arial"/>
        </w:rPr>
        <w:t>Fluida</w:t>
      </w:r>
      <w:proofErr w:type="spellEnd"/>
      <w:r w:rsidRPr="00BC2D79">
        <w:rPr>
          <w:rFonts w:ascii="Arial" w:hAnsi="Arial" w:cs="Arial"/>
        </w:rPr>
        <w:t>, 17(2), 78–84.</w:t>
      </w:r>
    </w:p>
    <w:p w14:paraId="033F04B6" w14:textId="77777777" w:rsidR="00BC2D79" w:rsidRPr="00BC2D79" w:rsidRDefault="00BC2D79" w:rsidP="00BC2D79">
      <w:pPr>
        <w:pStyle w:val="Body"/>
        <w:spacing w:after="100"/>
        <w:ind w:left="720" w:hanging="720"/>
        <w:rPr>
          <w:rFonts w:ascii="Arial" w:hAnsi="Arial" w:cs="Arial"/>
        </w:rPr>
      </w:pPr>
      <w:r w:rsidRPr="00BC2D79">
        <w:rPr>
          <w:rFonts w:ascii="Arial" w:hAnsi="Arial" w:cs="Arial"/>
        </w:rPr>
        <w:t xml:space="preserve">Lomboktimurkab.go.id. (2022). Indonesian Coffee and Cocoa Research Testing Laboratory, </w:t>
      </w:r>
      <w:proofErr w:type="spellStart"/>
      <w:r w:rsidRPr="00BC2D79">
        <w:rPr>
          <w:rFonts w:ascii="Arial" w:hAnsi="Arial" w:cs="Arial"/>
        </w:rPr>
        <w:t>Sembalun</w:t>
      </w:r>
      <w:proofErr w:type="spellEnd"/>
      <w:r w:rsidRPr="00BC2D79">
        <w:rPr>
          <w:rFonts w:ascii="Arial" w:hAnsi="Arial" w:cs="Arial"/>
        </w:rPr>
        <w:t xml:space="preserve"> coffee quality test results 2023. Lomboktimurkab.go.id. https://portal.lomboktimurkab.go.id/baca-berita-1259-pendaftaran-indikasi-geografis-arabika-sembalun.html</w:t>
      </w:r>
    </w:p>
    <w:p w14:paraId="23A45D56" w14:textId="77777777" w:rsidR="00BC2D79" w:rsidRPr="00BC2D79" w:rsidRDefault="00BC2D79" w:rsidP="00BC2D79">
      <w:pPr>
        <w:pStyle w:val="Body"/>
        <w:spacing w:after="100"/>
        <w:ind w:left="720" w:hanging="720"/>
        <w:rPr>
          <w:rFonts w:ascii="Arial" w:hAnsi="Arial" w:cs="Arial"/>
        </w:rPr>
      </w:pPr>
      <w:proofErr w:type="spellStart"/>
      <w:r w:rsidRPr="00BC2D79">
        <w:rPr>
          <w:rFonts w:ascii="Arial" w:hAnsi="Arial" w:cs="Arial"/>
        </w:rPr>
        <w:t>Oktavilia</w:t>
      </w:r>
      <w:proofErr w:type="spellEnd"/>
      <w:r w:rsidRPr="00BC2D79">
        <w:rPr>
          <w:rFonts w:ascii="Arial" w:hAnsi="Arial" w:cs="Arial"/>
        </w:rPr>
        <w:t xml:space="preserve">, S., Putri, P. I., </w:t>
      </w:r>
      <w:proofErr w:type="spellStart"/>
      <w:r w:rsidRPr="00BC2D79">
        <w:rPr>
          <w:rFonts w:ascii="Arial" w:hAnsi="Arial" w:cs="Arial"/>
        </w:rPr>
        <w:t>Wahyuningrum</w:t>
      </w:r>
      <w:proofErr w:type="spellEnd"/>
      <w:r w:rsidRPr="00BC2D79">
        <w:rPr>
          <w:rFonts w:ascii="Arial" w:hAnsi="Arial" w:cs="Arial"/>
        </w:rPr>
        <w:t xml:space="preserve">, I. F. S., </w:t>
      </w:r>
      <w:proofErr w:type="spellStart"/>
      <w:r w:rsidRPr="00BC2D79">
        <w:rPr>
          <w:rFonts w:ascii="Arial" w:hAnsi="Arial" w:cs="Arial"/>
        </w:rPr>
        <w:t>Kistanti</w:t>
      </w:r>
      <w:proofErr w:type="spellEnd"/>
      <w:r w:rsidRPr="00BC2D79">
        <w:rPr>
          <w:rFonts w:ascii="Arial" w:hAnsi="Arial" w:cs="Arial"/>
        </w:rPr>
        <w:t>, N. R., &amp; others. (2024). The economic potential of waste. NEM Publisher.</w:t>
      </w:r>
    </w:p>
    <w:p w14:paraId="739D6DF4" w14:textId="77777777" w:rsidR="00BC2D79" w:rsidRPr="00BC2D79" w:rsidRDefault="00BC2D79" w:rsidP="00BC2D79">
      <w:pPr>
        <w:pStyle w:val="Body"/>
        <w:spacing w:after="100"/>
        <w:ind w:left="720" w:hanging="720"/>
        <w:rPr>
          <w:rFonts w:ascii="Arial" w:hAnsi="Arial" w:cs="Arial"/>
        </w:rPr>
      </w:pPr>
      <w:proofErr w:type="spellStart"/>
      <w:r w:rsidRPr="00BC2D79">
        <w:rPr>
          <w:rFonts w:ascii="Arial" w:hAnsi="Arial" w:cs="Arial"/>
        </w:rPr>
        <w:lastRenderedPageBreak/>
        <w:t>Pascucci</w:t>
      </w:r>
      <w:proofErr w:type="spellEnd"/>
      <w:r w:rsidRPr="00BC2D79">
        <w:rPr>
          <w:rFonts w:ascii="Arial" w:hAnsi="Arial" w:cs="Arial"/>
        </w:rPr>
        <w:t>, F. (2024). Sustainability in the Coffee Sector: A Literature Review. Sustainability in the Coffee Supply Chain: Tensions and Paradoxes, 77–104.</w:t>
      </w:r>
    </w:p>
    <w:p w14:paraId="799025F2" w14:textId="77777777" w:rsidR="00BC2D79" w:rsidRPr="00BC2D79" w:rsidRDefault="00BC2D79" w:rsidP="00BC2D79">
      <w:pPr>
        <w:pStyle w:val="Body"/>
        <w:spacing w:after="100"/>
        <w:ind w:left="720" w:hanging="720"/>
        <w:rPr>
          <w:rFonts w:ascii="Arial" w:hAnsi="Arial" w:cs="Arial"/>
        </w:rPr>
      </w:pPr>
      <w:proofErr w:type="spellStart"/>
      <w:r w:rsidRPr="00BC2D79">
        <w:rPr>
          <w:rFonts w:ascii="Arial" w:hAnsi="Arial" w:cs="Arial"/>
        </w:rPr>
        <w:t>Pradita</w:t>
      </w:r>
      <w:proofErr w:type="spellEnd"/>
      <w:r w:rsidRPr="00BC2D79">
        <w:rPr>
          <w:rFonts w:ascii="Arial" w:hAnsi="Arial" w:cs="Arial"/>
        </w:rPr>
        <w:t xml:space="preserve">, N., </w:t>
      </w:r>
      <w:proofErr w:type="spellStart"/>
      <w:r w:rsidRPr="00BC2D79">
        <w:rPr>
          <w:rFonts w:ascii="Arial" w:hAnsi="Arial" w:cs="Arial"/>
        </w:rPr>
        <w:t>Sukardi</w:t>
      </w:r>
      <w:proofErr w:type="spellEnd"/>
      <w:r w:rsidRPr="00BC2D79">
        <w:rPr>
          <w:rFonts w:ascii="Arial" w:hAnsi="Arial" w:cs="Arial"/>
        </w:rPr>
        <w:t xml:space="preserve">, L., &amp; others. (2024). Evaluation of the Sustainability Status of Arabica Coffee-based Eco-farming on </w:t>
      </w:r>
      <w:proofErr w:type="spellStart"/>
      <w:r w:rsidRPr="00BC2D79">
        <w:rPr>
          <w:rFonts w:ascii="Arial" w:hAnsi="Arial" w:cs="Arial"/>
        </w:rPr>
        <w:t>Sembalun’s</w:t>
      </w:r>
      <w:proofErr w:type="spellEnd"/>
      <w:r w:rsidRPr="00BC2D79">
        <w:rPr>
          <w:rFonts w:ascii="Arial" w:hAnsi="Arial" w:cs="Arial"/>
        </w:rPr>
        <w:t xml:space="preserve"> Drylands, East Lombok Regency. Asian Journal of Research in Agriculture and Forestry, 10(4), 338–345.</w:t>
      </w:r>
    </w:p>
    <w:p w14:paraId="2A0C9BF1" w14:textId="77777777" w:rsidR="00BC2D79" w:rsidRPr="00BC2D79" w:rsidRDefault="00BC2D79" w:rsidP="00BC2D79">
      <w:pPr>
        <w:pStyle w:val="Body"/>
        <w:spacing w:after="100"/>
        <w:ind w:left="720" w:hanging="720"/>
        <w:rPr>
          <w:rFonts w:ascii="Arial" w:hAnsi="Arial" w:cs="Arial"/>
        </w:rPr>
      </w:pPr>
      <w:proofErr w:type="spellStart"/>
      <w:r w:rsidRPr="00BC2D79">
        <w:rPr>
          <w:rFonts w:ascii="Arial" w:hAnsi="Arial" w:cs="Arial"/>
        </w:rPr>
        <w:t>Puslitloka</w:t>
      </w:r>
      <w:proofErr w:type="spellEnd"/>
      <w:r w:rsidRPr="00BC2D79">
        <w:rPr>
          <w:rFonts w:ascii="Arial" w:hAnsi="Arial" w:cs="Arial"/>
        </w:rPr>
        <w:t xml:space="preserve">, L. (2023). </w:t>
      </w:r>
      <w:proofErr w:type="spellStart"/>
      <w:r w:rsidRPr="00BC2D79">
        <w:rPr>
          <w:rFonts w:ascii="Arial" w:hAnsi="Arial" w:cs="Arial"/>
        </w:rPr>
        <w:t>Sembalun</w:t>
      </w:r>
      <w:proofErr w:type="spellEnd"/>
      <w:r w:rsidRPr="00BC2D79">
        <w:rPr>
          <w:rFonts w:ascii="Arial" w:hAnsi="Arial" w:cs="Arial"/>
        </w:rPr>
        <w:t xml:space="preserve"> coffee quality test results 2023. https://iccri.net/service/analisis-lab/</w:t>
      </w:r>
    </w:p>
    <w:p w14:paraId="40C73D19" w14:textId="77777777" w:rsidR="00BC2D79" w:rsidRPr="00BC2D79" w:rsidRDefault="00BC2D79" w:rsidP="00BC2D79">
      <w:pPr>
        <w:pStyle w:val="Body"/>
        <w:spacing w:after="100"/>
        <w:ind w:left="720" w:hanging="720"/>
        <w:rPr>
          <w:rFonts w:ascii="Arial" w:hAnsi="Arial" w:cs="Arial"/>
        </w:rPr>
      </w:pPr>
      <w:r w:rsidRPr="00BC2D79">
        <w:rPr>
          <w:rFonts w:ascii="Arial" w:hAnsi="Arial" w:cs="Arial"/>
        </w:rPr>
        <w:t>Putri, S. F. (2023). Analysis of the Implementation of Green Financing in Supporting Sustainable Coffee Farming Practices in Bandung Regency, West Java Province.</w:t>
      </w:r>
    </w:p>
    <w:p w14:paraId="367FCC0A" w14:textId="77777777" w:rsidR="00BC2D79" w:rsidRPr="00BC2D79" w:rsidRDefault="00BC2D79" w:rsidP="00BC2D79">
      <w:pPr>
        <w:pStyle w:val="Body"/>
        <w:spacing w:after="100"/>
        <w:ind w:left="720" w:hanging="720"/>
        <w:rPr>
          <w:rFonts w:ascii="Arial" w:hAnsi="Arial" w:cs="Arial"/>
        </w:rPr>
      </w:pPr>
      <w:proofErr w:type="spellStart"/>
      <w:r w:rsidRPr="00BC2D79">
        <w:rPr>
          <w:rFonts w:ascii="Arial" w:hAnsi="Arial" w:cs="Arial"/>
        </w:rPr>
        <w:t>Wijayanti</w:t>
      </w:r>
      <w:proofErr w:type="spellEnd"/>
      <w:r w:rsidRPr="00BC2D79">
        <w:rPr>
          <w:rFonts w:ascii="Arial" w:hAnsi="Arial" w:cs="Arial"/>
        </w:rPr>
        <w:t xml:space="preserve">, I. S. (2021). Coffee Agroforestry Management in Community Forests of </w:t>
      </w:r>
      <w:proofErr w:type="spellStart"/>
      <w:r w:rsidRPr="00BC2D79">
        <w:rPr>
          <w:rFonts w:ascii="Arial" w:hAnsi="Arial" w:cs="Arial"/>
        </w:rPr>
        <w:t>Gununggempol</w:t>
      </w:r>
      <w:proofErr w:type="spellEnd"/>
      <w:r w:rsidRPr="00BC2D79">
        <w:rPr>
          <w:rFonts w:ascii="Arial" w:hAnsi="Arial" w:cs="Arial"/>
        </w:rPr>
        <w:t xml:space="preserve"> Village, </w:t>
      </w:r>
      <w:proofErr w:type="spellStart"/>
      <w:r w:rsidRPr="00BC2D79">
        <w:rPr>
          <w:rFonts w:ascii="Arial" w:hAnsi="Arial" w:cs="Arial"/>
        </w:rPr>
        <w:t>Jumo</w:t>
      </w:r>
      <w:proofErr w:type="spellEnd"/>
      <w:r w:rsidRPr="00BC2D79">
        <w:rPr>
          <w:rFonts w:ascii="Arial" w:hAnsi="Arial" w:cs="Arial"/>
        </w:rPr>
        <w:t xml:space="preserve"> District, </w:t>
      </w:r>
      <w:proofErr w:type="spellStart"/>
      <w:r w:rsidRPr="00BC2D79">
        <w:rPr>
          <w:rFonts w:ascii="Arial" w:hAnsi="Arial" w:cs="Arial"/>
        </w:rPr>
        <w:t>Temanggung</w:t>
      </w:r>
      <w:proofErr w:type="spellEnd"/>
      <w:r w:rsidRPr="00BC2D79">
        <w:rPr>
          <w:rFonts w:ascii="Arial" w:hAnsi="Arial" w:cs="Arial"/>
        </w:rPr>
        <w:t xml:space="preserve"> Regency. Gadjah </w:t>
      </w:r>
      <w:proofErr w:type="spellStart"/>
      <w:r w:rsidRPr="00BC2D79">
        <w:rPr>
          <w:rFonts w:ascii="Arial" w:hAnsi="Arial" w:cs="Arial"/>
        </w:rPr>
        <w:t>Mada</w:t>
      </w:r>
      <w:proofErr w:type="spellEnd"/>
      <w:r w:rsidRPr="00BC2D79">
        <w:rPr>
          <w:rFonts w:ascii="Arial" w:hAnsi="Arial" w:cs="Arial"/>
        </w:rPr>
        <w:t xml:space="preserve"> University.</w:t>
      </w:r>
    </w:p>
    <w:p w14:paraId="5FC35AF2" w14:textId="77777777" w:rsidR="00BC2D79" w:rsidRPr="00BC2D79" w:rsidRDefault="00BC2D79" w:rsidP="00BC2D79">
      <w:pPr>
        <w:pStyle w:val="Body"/>
        <w:spacing w:after="100"/>
        <w:ind w:left="720" w:hanging="720"/>
        <w:rPr>
          <w:rFonts w:ascii="Arial" w:hAnsi="Arial" w:cs="Arial"/>
        </w:rPr>
      </w:pPr>
      <w:proofErr w:type="spellStart"/>
      <w:r w:rsidRPr="00BC2D79">
        <w:rPr>
          <w:rFonts w:ascii="Arial" w:hAnsi="Arial" w:cs="Arial"/>
        </w:rPr>
        <w:t>Yunusa</w:t>
      </w:r>
      <w:proofErr w:type="spellEnd"/>
      <w:r w:rsidRPr="00BC2D79">
        <w:rPr>
          <w:rFonts w:ascii="Arial" w:hAnsi="Arial" w:cs="Arial"/>
        </w:rPr>
        <w:t xml:space="preserve">, I. A. M., Powell, K. S., Holzapfel, B. P., &amp; </w:t>
      </w:r>
      <w:proofErr w:type="spellStart"/>
      <w:r w:rsidRPr="00BC2D79">
        <w:rPr>
          <w:rFonts w:ascii="Arial" w:hAnsi="Arial" w:cs="Arial"/>
        </w:rPr>
        <w:t>Kukhang</w:t>
      </w:r>
      <w:proofErr w:type="spellEnd"/>
      <w:r w:rsidRPr="00BC2D79">
        <w:rPr>
          <w:rFonts w:ascii="Arial" w:hAnsi="Arial" w:cs="Arial"/>
        </w:rPr>
        <w:t>, T. I. D. (2018). Canopy management for optimizing productivity of polyculture coffee production system. XXX International Horticultural Congress IHC2018: International Symposium on Cultivars, Rootstocks and Management Systems of 1281, 257–264.</w:t>
      </w:r>
    </w:p>
    <w:p w14:paraId="1810ED3F" w14:textId="6484E269" w:rsidR="00B01FCD" w:rsidRPr="005103E3" w:rsidRDefault="00BC2D79" w:rsidP="00BC2D79">
      <w:pPr>
        <w:pStyle w:val="Body"/>
        <w:spacing w:after="100"/>
        <w:ind w:left="720" w:hanging="720"/>
        <w:rPr>
          <w:rFonts w:ascii="Arial" w:hAnsi="Arial" w:cs="Arial"/>
        </w:rPr>
      </w:pPr>
      <w:proofErr w:type="spellStart"/>
      <w:r w:rsidRPr="00BC2D79">
        <w:rPr>
          <w:rFonts w:ascii="Arial" w:hAnsi="Arial" w:cs="Arial"/>
        </w:rPr>
        <w:t>Zahara</w:t>
      </w:r>
      <w:proofErr w:type="spellEnd"/>
      <w:r w:rsidRPr="00BC2D79">
        <w:rPr>
          <w:rFonts w:ascii="Arial" w:hAnsi="Arial" w:cs="Arial"/>
        </w:rPr>
        <w:t xml:space="preserve">, Z. (2024). Perceptions and adoption decisions of technology innovations based on local wisdom in coffee cultivation in Lampung. </w:t>
      </w:r>
      <w:proofErr w:type="spellStart"/>
      <w:r w:rsidRPr="00BC2D79">
        <w:rPr>
          <w:rFonts w:ascii="Arial" w:hAnsi="Arial" w:cs="Arial"/>
        </w:rPr>
        <w:t>Kawistara</w:t>
      </w:r>
      <w:proofErr w:type="spellEnd"/>
      <w:r w:rsidRPr="00BC2D79">
        <w:rPr>
          <w:rFonts w:ascii="Arial" w:hAnsi="Arial" w:cs="Arial"/>
        </w:rPr>
        <w:t xml:space="preserve"> Journal, 14(2), 226–244.</w:t>
      </w:r>
    </w:p>
    <w:sectPr w:rsidR="00B01FCD" w:rsidRPr="005103E3" w:rsidSect="00A416BE">
      <w:headerReference w:type="even" r:id="rId16"/>
      <w:headerReference w:type="default" r:id="rId17"/>
      <w:footerReference w:type="default" r:id="rId18"/>
      <w:headerReference w:type="firs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85F88" w14:textId="77777777" w:rsidR="00415B48" w:rsidRDefault="00415B48" w:rsidP="00C37E61">
      <w:r>
        <w:separator/>
      </w:r>
    </w:p>
  </w:endnote>
  <w:endnote w:type="continuationSeparator" w:id="0">
    <w:p w14:paraId="234612B4" w14:textId="77777777" w:rsidR="00415B48" w:rsidRDefault="00415B4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E475F" w14:textId="77777777" w:rsidR="00A416BE" w:rsidRDefault="00A41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786A8" w14:textId="77777777" w:rsidR="00A416BE" w:rsidRDefault="00A41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3CE31" w14:textId="77777777" w:rsidR="009E048A" w:rsidRDefault="009E048A">
    <w:pPr>
      <w:pStyle w:val="Footer"/>
      <w:rPr>
        <w:rFonts w:ascii="Arial" w:hAnsi="Arial" w:cs="Arial"/>
        <w:sz w:val="16"/>
      </w:rPr>
    </w:pPr>
  </w:p>
  <w:p w14:paraId="43BA02C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20918A8" w14:textId="77777777" w:rsidR="009E048A" w:rsidRDefault="009E048A">
    <w:pPr>
      <w:pStyle w:val="Footer"/>
      <w:rPr>
        <w:rFonts w:ascii="Arial" w:hAnsi="Arial" w:cs="Arial"/>
        <w:sz w:val="16"/>
      </w:rPr>
    </w:pPr>
  </w:p>
  <w:p w14:paraId="4203BDB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0D89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CE8E8" w14:textId="77777777" w:rsidR="00415B48" w:rsidRDefault="00415B48" w:rsidP="00C37E61">
      <w:r>
        <w:separator/>
      </w:r>
    </w:p>
  </w:footnote>
  <w:footnote w:type="continuationSeparator" w:id="0">
    <w:p w14:paraId="3E807B0C" w14:textId="77777777" w:rsidR="00415B48" w:rsidRDefault="00415B4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F7ED" w14:textId="165E6387" w:rsidR="00A416BE" w:rsidRDefault="00A416BE">
    <w:pPr>
      <w:pStyle w:val="Header"/>
    </w:pPr>
    <w:r>
      <w:rPr>
        <w:noProof/>
      </w:rPr>
      <w:pict w14:anchorId="7D0A7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5482A" w14:textId="3414C3AF" w:rsidR="00A416BE" w:rsidRDefault="00A416BE">
    <w:pPr>
      <w:pStyle w:val="Header"/>
    </w:pPr>
    <w:r>
      <w:rPr>
        <w:noProof/>
      </w:rPr>
      <w:pict w14:anchorId="744FCA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7C5D7" w14:textId="67BE9596" w:rsidR="00296529" w:rsidRPr="00296529" w:rsidRDefault="00A416BE" w:rsidP="00296529">
    <w:pPr>
      <w:ind w:left="2160"/>
      <w:jc w:val="center"/>
      <w:rPr>
        <w:rFonts w:ascii="Times New Roman" w:eastAsia="Calibri" w:hAnsi="Times New Roman"/>
        <w:i/>
        <w:sz w:val="18"/>
        <w:szCs w:val="22"/>
      </w:rPr>
    </w:pPr>
    <w:r>
      <w:rPr>
        <w:noProof/>
      </w:rPr>
      <w:pict w14:anchorId="67EF7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F6DB6E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F0D8D2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EE2DC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5FD05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C85C5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8C55E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6AEC1" w14:textId="1B597BD0" w:rsidR="00A416BE" w:rsidRDefault="00A416BE">
    <w:pPr>
      <w:pStyle w:val="Header"/>
    </w:pPr>
    <w:r>
      <w:rPr>
        <w:noProof/>
      </w:rPr>
      <w:pict w14:anchorId="74668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92.85pt;height:66.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7BCE3" w14:textId="3D913BE6" w:rsidR="00A416BE" w:rsidRDefault="00A416BE">
    <w:pPr>
      <w:pStyle w:val="Header"/>
    </w:pPr>
    <w:r>
      <w:rPr>
        <w:noProof/>
      </w:rPr>
      <w:pict w14:anchorId="6198C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92.85pt;height:66.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A75EB" w14:textId="3F3113B0" w:rsidR="00A416BE" w:rsidRDefault="00A416BE">
    <w:pPr>
      <w:pStyle w:val="Header"/>
    </w:pPr>
    <w:r>
      <w:rPr>
        <w:noProof/>
      </w:rPr>
      <w:pict w14:anchorId="6BE4A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92.85pt;height:66.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C16F55"/>
    <w:multiLevelType w:val="hybridMultilevel"/>
    <w:tmpl w:val="DEB8B788"/>
    <w:lvl w:ilvl="0" w:tplc="7DD289C8">
      <w:start w:val="3"/>
      <w:numFmt w:val="bullet"/>
      <w:lvlText w:val="•"/>
      <w:lvlJc w:val="left"/>
      <w:pPr>
        <w:ind w:left="2160" w:hanging="72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F984DC6"/>
    <w:multiLevelType w:val="hybridMultilevel"/>
    <w:tmpl w:val="DDBE8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377025"/>
    <w:multiLevelType w:val="hybridMultilevel"/>
    <w:tmpl w:val="2F2623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A986496"/>
    <w:multiLevelType w:val="hybridMultilevel"/>
    <w:tmpl w:val="4BAEC0D0"/>
    <w:lvl w:ilvl="0" w:tplc="7DD289C8">
      <w:start w:val="3"/>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0CD1351"/>
    <w:multiLevelType w:val="multilevel"/>
    <w:tmpl w:val="25AEFCBE"/>
    <w:lvl w:ilvl="0">
      <w:start w:val="1"/>
      <w:numFmt w:val="decimal"/>
      <w:lvlText w:val="%1."/>
      <w:lvlJc w:val="left"/>
      <w:pPr>
        <w:ind w:left="1440" w:hanging="720"/>
      </w:pPr>
      <w:rPr>
        <w:rFonts w:hint="default"/>
      </w:rPr>
    </w:lvl>
    <w:lvl w:ilvl="1">
      <w:start w:val="3"/>
      <w:numFmt w:val="decimal"/>
      <w:isLgl/>
      <w:lvlText w:val="%1.%2."/>
      <w:lvlJc w:val="left"/>
      <w:pPr>
        <w:ind w:left="1080" w:hanging="360"/>
      </w:pPr>
      <w:rPr>
        <w:rFonts w:hint="default"/>
        <w:b/>
        <w:sz w:val="22"/>
      </w:rPr>
    </w:lvl>
    <w:lvl w:ilvl="2">
      <w:start w:val="1"/>
      <w:numFmt w:val="decimal"/>
      <w:isLgl/>
      <w:lvlText w:val="%1.%2.%3."/>
      <w:lvlJc w:val="left"/>
      <w:pPr>
        <w:ind w:left="1440" w:hanging="720"/>
      </w:pPr>
      <w:rPr>
        <w:rFonts w:hint="default"/>
        <w:b/>
        <w:sz w:val="22"/>
      </w:rPr>
    </w:lvl>
    <w:lvl w:ilvl="3">
      <w:start w:val="1"/>
      <w:numFmt w:val="decimal"/>
      <w:isLgl/>
      <w:lvlText w:val="%1.%2.%3.%4."/>
      <w:lvlJc w:val="left"/>
      <w:pPr>
        <w:ind w:left="1440" w:hanging="720"/>
      </w:pPr>
      <w:rPr>
        <w:rFonts w:hint="default"/>
        <w:b/>
        <w:sz w:val="22"/>
      </w:rPr>
    </w:lvl>
    <w:lvl w:ilvl="4">
      <w:start w:val="1"/>
      <w:numFmt w:val="decimal"/>
      <w:isLgl/>
      <w:lvlText w:val="%1.%2.%3.%4.%5."/>
      <w:lvlJc w:val="left"/>
      <w:pPr>
        <w:ind w:left="1800" w:hanging="1080"/>
      </w:pPr>
      <w:rPr>
        <w:rFonts w:hint="default"/>
        <w:b/>
        <w:sz w:val="22"/>
      </w:rPr>
    </w:lvl>
    <w:lvl w:ilvl="5">
      <w:start w:val="1"/>
      <w:numFmt w:val="decimal"/>
      <w:isLgl/>
      <w:lvlText w:val="%1.%2.%3.%4.%5.%6."/>
      <w:lvlJc w:val="left"/>
      <w:pPr>
        <w:ind w:left="1800" w:hanging="1080"/>
      </w:pPr>
      <w:rPr>
        <w:rFonts w:hint="default"/>
        <w:b/>
        <w:sz w:val="22"/>
      </w:rPr>
    </w:lvl>
    <w:lvl w:ilvl="6">
      <w:start w:val="1"/>
      <w:numFmt w:val="decimal"/>
      <w:isLgl/>
      <w:lvlText w:val="%1.%2.%3.%4.%5.%6.%7."/>
      <w:lvlJc w:val="left"/>
      <w:pPr>
        <w:ind w:left="2160" w:hanging="1440"/>
      </w:pPr>
      <w:rPr>
        <w:rFonts w:hint="default"/>
        <w:b/>
        <w:sz w:val="22"/>
      </w:rPr>
    </w:lvl>
    <w:lvl w:ilvl="7">
      <w:start w:val="1"/>
      <w:numFmt w:val="decimal"/>
      <w:isLgl/>
      <w:lvlText w:val="%1.%2.%3.%4.%5.%6.%7.%8."/>
      <w:lvlJc w:val="left"/>
      <w:pPr>
        <w:ind w:left="2160" w:hanging="1440"/>
      </w:pPr>
      <w:rPr>
        <w:rFonts w:hint="default"/>
        <w:b/>
        <w:sz w:val="22"/>
      </w:rPr>
    </w:lvl>
    <w:lvl w:ilvl="8">
      <w:start w:val="1"/>
      <w:numFmt w:val="decimal"/>
      <w:isLgl/>
      <w:lvlText w:val="%1.%2.%3.%4.%5.%6.%7.%8.%9."/>
      <w:lvlJc w:val="left"/>
      <w:pPr>
        <w:ind w:left="2520" w:hanging="1800"/>
      </w:pPr>
      <w:rPr>
        <w:rFonts w:hint="default"/>
        <w:b/>
        <w:sz w:val="22"/>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5"/>
  </w:num>
  <w:num w:numId="9">
    <w:abstractNumId w:val="30"/>
  </w:num>
  <w:num w:numId="10">
    <w:abstractNumId w:val="2"/>
  </w:num>
  <w:num w:numId="11">
    <w:abstractNumId w:val="23"/>
  </w:num>
  <w:num w:numId="12">
    <w:abstractNumId w:val="3"/>
  </w:num>
  <w:num w:numId="13">
    <w:abstractNumId w:val="22"/>
  </w:num>
  <w:num w:numId="14">
    <w:abstractNumId w:val="9"/>
  </w:num>
  <w:num w:numId="15">
    <w:abstractNumId w:val="26"/>
  </w:num>
  <w:num w:numId="16">
    <w:abstractNumId w:val="5"/>
  </w:num>
  <w:num w:numId="17">
    <w:abstractNumId w:val="27"/>
  </w:num>
  <w:num w:numId="18">
    <w:abstractNumId w:val="17"/>
  </w:num>
  <w:num w:numId="19">
    <w:abstractNumId w:val="33"/>
  </w:num>
  <w:num w:numId="20">
    <w:abstractNumId w:val="14"/>
  </w:num>
  <w:num w:numId="21">
    <w:abstractNumId w:val="12"/>
  </w:num>
  <w:num w:numId="22">
    <w:abstractNumId w:val="16"/>
  </w:num>
  <w:num w:numId="23">
    <w:abstractNumId w:val="24"/>
  </w:num>
  <w:num w:numId="24">
    <w:abstractNumId w:val="31"/>
  </w:num>
  <w:num w:numId="25">
    <w:abstractNumId w:val="4"/>
  </w:num>
  <w:num w:numId="26">
    <w:abstractNumId w:val="21"/>
  </w:num>
  <w:num w:numId="27">
    <w:abstractNumId w:val="25"/>
  </w:num>
  <w:num w:numId="28">
    <w:abstractNumId w:val="32"/>
  </w:num>
  <w:num w:numId="29">
    <w:abstractNumId w:val="29"/>
  </w:num>
  <w:num w:numId="30">
    <w:abstractNumId w:val="13"/>
  </w:num>
  <w:num w:numId="31">
    <w:abstractNumId w:val="11"/>
  </w:num>
  <w:num w:numId="32">
    <w:abstractNumId w:val="20"/>
  </w:num>
  <w:num w:numId="33">
    <w:abstractNumId w:val="10"/>
  </w:num>
  <w:num w:numId="34">
    <w:abstractNumId w:val="18"/>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64A26"/>
    <w:rsid w:val="00191062"/>
    <w:rsid w:val="00192B72"/>
    <w:rsid w:val="001A29D8"/>
    <w:rsid w:val="001A4132"/>
    <w:rsid w:val="001A5CAA"/>
    <w:rsid w:val="001B0427"/>
    <w:rsid w:val="001D3A51"/>
    <w:rsid w:val="001E10D2"/>
    <w:rsid w:val="001E25B4"/>
    <w:rsid w:val="001E44FE"/>
    <w:rsid w:val="00200595"/>
    <w:rsid w:val="00204835"/>
    <w:rsid w:val="002111ED"/>
    <w:rsid w:val="00231920"/>
    <w:rsid w:val="0023195C"/>
    <w:rsid w:val="0024282C"/>
    <w:rsid w:val="002460DC"/>
    <w:rsid w:val="00250985"/>
    <w:rsid w:val="002556F6"/>
    <w:rsid w:val="00283105"/>
    <w:rsid w:val="0028465E"/>
    <w:rsid w:val="00284C4C"/>
    <w:rsid w:val="00287E68"/>
    <w:rsid w:val="00296529"/>
    <w:rsid w:val="002B27FB"/>
    <w:rsid w:val="002B685A"/>
    <w:rsid w:val="002C57D2"/>
    <w:rsid w:val="002E0D56"/>
    <w:rsid w:val="00315186"/>
    <w:rsid w:val="0033343E"/>
    <w:rsid w:val="003512C2"/>
    <w:rsid w:val="00366CEF"/>
    <w:rsid w:val="00371FB6"/>
    <w:rsid w:val="003763C1"/>
    <w:rsid w:val="00376BBE"/>
    <w:rsid w:val="00383180"/>
    <w:rsid w:val="0039224F"/>
    <w:rsid w:val="003A43A4"/>
    <w:rsid w:val="003A7E18"/>
    <w:rsid w:val="003C4C86"/>
    <w:rsid w:val="003C6258"/>
    <w:rsid w:val="003E2904"/>
    <w:rsid w:val="00401927"/>
    <w:rsid w:val="0041027F"/>
    <w:rsid w:val="00412475"/>
    <w:rsid w:val="00415B48"/>
    <w:rsid w:val="00423789"/>
    <w:rsid w:val="00426FB6"/>
    <w:rsid w:val="00440F43"/>
    <w:rsid w:val="00441B6F"/>
    <w:rsid w:val="00446221"/>
    <w:rsid w:val="00450E62"/>
    <w:rsid w:val="004539DB"/>
    <w:rsid w:val="00471A80"/>
    <w:rsid w:val="004D305E"/>
    <w:rsid w:val="004D4277"/>
    <w:rsid w:val="004F157F"/>
    <w:rsid w:val="00502516"/>
    <w:rsid w:val="00505F06"/>
    <w:rsid w:val="00506828"/>
    <w:rsid w:val="005103E3"/>
    <w:rsid w:val="0053056E"/>
    <w:rsid w:val="00554FDA"/>
    <w:rsid w:val="005A6CDD"/>
    <w:rsid w:val="005C784C"/>
    <w:rsid w:val="005D17F6"/>
    <w:rsid w:val="005E5539"/>
    <w:rsid w:val="00602BF5"/>
    <w:rsid w:val="00617FDD"/>
    <w:rsid w:val="00633614"/>
    <w:rsid w:val="00633F68"/>
    <w:rsid w:val="00636EB2"/>
    <w:rsid w:val="006375B8"/>
    <w:rsid w:val="0066510A"/>
    <w:rsid w:val="006700EA"/>
    <w:rsid w:val="00673F9F"/>
    <w:rsid w:val="00686953"/>
    <w:rsid w:val="00687DEA"/>
    <w:rsid w:val="00687E67"/>
    <w:rsid w:val="006967F7"/>
    <w:rsid w:val="006A250C"/>
    <w:rsid w:val="006B21D3"/>
    <w:rsid w:val="006B57D0"/>
    <w:rsid w:val="006D30FF"/>
    <w:rsid w:val="006D6940"/>
    <w:rsid w:val="006F11EC"/>
    <w:rsid w:val="0070082C"/>
    <w:rsid w:val="00712221"/>
    <w:rsid w:val="007369E6"/>
    <w:rsid w:val="00746E59"/>
    <w:rsid w:val="00754C9A"/>
    <w:rsid w:val="0075599A"/>
    <w:rsid w:val="00761D52"/>
    <w:rsid w:val="00773EA2"/>
    <w:rsid w:val="0077749E"/>
    <w:rsid w:val="00790ADA"/>
    <w:rsid w:val="007C2FE0"/>
    <w:rsid w:val="007D2288"/>
    <w:rsid w:val="007E088F"/>
    <w:rsid w:val="007F182C"/>
    <w:rsid w:val="007F7B32"/>
    <w:rsid w:val="00804BC2"/>
    <w:rsid w:val="00813F95"/>
    <w:rsid w:val="0081431A"/>
    <w:rsid w:val="0083216F"/>
    <w:rsid w:val="00834CE8"/>
    <w:rsid w:val="00860000"/>
    <w:rsid w:val="00863BD3"/>
    <w:rsid w:val="008641ED"/>
    <w:rsid w:val="00866D66"/>
    <w:rsid w:val="008671C6"/>
    <w:rsid w:val="00875803"/>
    <w:rsid w:val="00876AD2"/>
    <w:rsid w:val="008A4457"/>
    <w:rsid w:val="008B110F"/>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1167"/>
    <w:rsid w:val="00A03B96"/>
    <w:rsid w:val="00A05B19"/>
    <w:rsid w:val="00A1134E"/>
    <w:rsid w:val="00A13BB0"/>
    <w:rsid w:val="00A24E7E"/>
    <w:rsid w:val="00A258C3"/>
    <w:rsid w:val="00A347C0"/>
    <w:rsid w:val="00A416BE"/>
    <w:rsid w:val="00A51431"/>
    <w:rsid w:val="00A539AD"/>
    <w:rsid w:val="00A94063"/>
    <w:rsid w:val="00A97E8C"/>
    <w:rsid w:val="00AA6219"/>
    <w:rsid w:val="00AA74E0"/>
    <w:rsid w:val="00AB703F"/>
    <w:rsid w:val="00AC6BB8"/>
    <w:rsid w:val="00AE008F"/>
    <w:rsid w:val="00B01FCD"/>
    <w:rsid w:val="00B1776C"/>
    <w:rsid w:val="00B463A4"/>
    <w:rsid w:val="00B52583"/>
    <w:rsid w:val="00B52896"/>
    <w:rsid w:val="00B93CED"/>
    <w:rsid w:val="00B95236"/>
    <w:rsid w:val="00B96BD9"/>
    <w:rsid w:val="00BA1B01"/>
    <w:rsid w:val="00BA2641"/>
    <w:rsid w:val="00BB37AA"/>
    <w:rsid w:val="00BC2D79"/>
    <w:rsid w:val="00BC53A0"/>
    <w:rsid w:val="00BE4B98"/>
    <w:rsid w:val="00BE62AD"/>
    <w:rsid w:val="00BF121F"/>
    <w:rsid w:val="00BF1F80"/>
    <w:rsid w:val="00C166EF"/>
    <w:rsid w:val="00C17EB0"/>
    <w:rsid w:val="00C27F5F"/>
    <w:rsid w:val="00C30A0F"/>
    <w:rsid w:val="00C3330D"/>
    <w:rsid w:val="00C37E61"/>
    <w:rsid w:val="00C70F1B"/>
    <w:rsid w:val="00C71A47"/>
    <w:rsid w:val="00C7464C"/>
    <w:rsid w:val="00C75378"/>
    <w:rsid w:val="00C85588"/>
    <w:rsid w:val="00C917DA"/>
    <w:rsid w:val="00CD6755"/>
    <w:rsid w:val="00CD6856"/>
    <w:rsid w:val="00CE0089"/>
    <w:rsid w:val="00CE793C"/>
    <w:rsid w:val="00CF193C"/>
    <w:rsid w:val="00D173F1"/>
    <w:rsid w:val="00D74CB0"/>
    <w:rsid w:val="00D8295D"/>
    <w:rsid w:val="00DC2A65"/>
    <w:rsid w:val="00DE15F0"/>
    <w:rsid w:val="00DE3BF2"/>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01F3"/>
    <w:rsid w:val="00F53273"/>
    <w:rsid w:val="00F755E4"/>
    <w:rsid w:val="00F77D02"/>
    <w:rsid w:val="00FB3A86"/>
    <w:rsid w:val="00FD36C8"/>
    <w:rsid w:val="00FF6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0E999B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103E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93CED"/>
    <w:pPr>
      <w:ind w:left="720"/>
      <w:contextualSpacing/>
    </w:pPr>
  </w:style>
  <w:style w:type="character" w:customStyle="1" w:styleId="Heading3Char">
    <w:name w:val="Heading 3 Char"/>
    <w:basedOn w:val="DefaultParagraphFont"/>
    <w:link w:val="Heading3"/>
    <w:uiPriority w:val="9"/>
    <w:semiHidden/>
    <w:rsid w:val="005103E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01138-FCF7-4B1A-8E1A-5B44A90F7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TotalTime>
  <Pages>7</Pages>
  <Words>3658</Words>
  <Characters>20852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24462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28</cp:revision>
  <cp:lastPrinted>1999-07-06T11:00:00Z</cp:lastPrinted>
  <dcterms:created xsi:type="dcterms:W3CDTF">2014-10-25T14:34:00Z</dcterms:created>
  <dcterms:modified xsi:type="dcterms:W3CDTF">2026-02-07T08:23:00Z</dcterms:modified>
</cp:coreProperties>
</file>