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69648" w14:textId="25C4B601" w:rsidR="00FC453F" w:rsidRDefault="009C0A2F" w:rsidP="009C0A2F">
      <w:pPr>
        <w:jc w:val="center"/>
        <w:rPr>
          <w:b/>
          <w:bCs/>
          <w:sz w:val="32"/>
          <w:szCs w:val="32"/>
          <w:lang w:val="en-US"/>
        </w:rPr>
      </w:pPr>
      <w:proofErr w:type="spellStart"/>
      <w:r w:rsidRPr="009C0A2F">
        <w:rPr>
          <w:b/>
          <w:bCs/>
          <w:sz w:val="32"/>
          <w:szCs w:val="32"/>
          <w:lang w:val="en-US"/>
        </w:rPr>
        <w:t>Geroderma</w:t>
      </w:r>
      <w:proofErr w:type="spellEnd"/>
      <w:r w:rsidRPr="009C0A2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9C0A2F">
        <w:rPr>
          <w:b/>
          <w:bCs/>
          <w:sz w:val="32"/>
          <w:szCs w:val="32"/>
          <w:lang w:val="en-US"/>
        </w:rPr>
        <w:t>osteodysplasticum</w:t>
      </w:r>
      <w:proofErr w:type="spellEnd"/>
      <w:r w:rsidRPr="009C0A2F">
        <w:rPr>
          <w:b/>
          <w:bCs/>
          <w:sz w:val="32"/>
          <w:szCs w:val="32"/>
          <w:lang w:val="en-US"/>
        </w:rPr>
        <w:t xml:space="preserve"> confirmed by a homozygous pathogenic GORAB variant associated with severe factor V deficiency in a child: a case report</w:t>
      </w:r>
    </w:p>
    <w:p w14:paraId="3F939761" w14:textId="77777777" w:rsidR="00781511" w:rsidRDefault="00781511" w:rsidP="009C0A2F">
      <w:pPr>
        <w:rPr>
          <w:b/>
          <w:bCs/>
          <w:sz w:val="20"/>
          <w:szCs w:val="20"/>
          <w:lang w:val="en-US"/>
        </w:rPr>
      </w:pPr>
    </w:p>
    <w:p w14:paraId="6AD8B53F" w14:textId="2BDC5AC9" w:rsidR="00F4171E" w:rsidRDefault="00F4171E" w:rsidP="009C0A2F">
      <w:pPr>
        <w:rPr>
          <w:b/>
          <w:bCs/>
          <w:sz w:val="20"/>
          <w:szCs w:val="20"/>
          <w:lang w:val="en-US"/>
        </w:rPr>
      </w:pPr>
      <w:bookmarkStart w:id="0" w:name="_GoBack"/>
      <w:bookmarkEnd w:id="0"/>
      <w:r>
        <w:rPr>
          <w:b/>
          <w:bCs/>
          <w:sz w:val="20"/>
          <w:szCs w:val="20"/>
          <w:lang w:val="en-US"/>
        </w:rPr>
        <w:t>Abstract</w:t>
      </w:r>
    </w:p>
    <w:p w14:paraId="3123CC5E" w14:textId="4935AF42" w:rsidR="00F4171E" w:rsidRDefault="00710755" w:rsidP="00710755">
      <w:pPr>
        <w:jc w:val="both"/>
        <w:rPr>
          <w:b/>
          <w:bCs/>
          <w:sz w:val="20"/>
          <w:szCs w:val="20"/>
          <w:lang w:val="en-US"/>
        </w:rPr>
      </w:pP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Geroderma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osteodysplasticum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is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characterized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by a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typical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progeroid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facial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appearance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wrinkled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lax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skin, joint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laxity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skeletal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abnormalities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with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variable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degree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of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osteopenia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frequent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fractures, </w:t>
      </w:r>
      <w:proofErr w:type="spellStart"/>
      <w:proofErr w:type="gram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scoliosis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 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bowed</w:t>
      </w:r>
      <w:proofErr w:type="spellEnd"/>
      <w:proofErr w:type="gram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long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bones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vertebral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collapse, and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hyperextensible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fingers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  The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disorder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results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from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mutations in the GORAB -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golgin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RAB6 </w:t>
      </w:r>
      <w:proofErr w:type="spellStart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>interacting</w:t>
      </w:r>
      <w:proofErr w:type="spellEnd"/>
      <w:r w:rsidRPr="007107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 GORAB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is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important for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vesicle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transport at the Golgi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complex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and the correct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processing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of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sugar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chains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on cargo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proteins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transiting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through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this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compartment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.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Underlying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defect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of the skin and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bone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defects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in GO patients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is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due to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impaired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COPI (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coat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protein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complex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I)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trafficking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at the Golgi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apparatus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resulting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in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abnormal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glycosylation of </w:t>
      </w:r>
      <w:proofErr w:type="spellStart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>extracellular</w:t>
      </w:r>
      <w:proofErr w:type="spellEnd"/>
      <w:r w:rsidRPr="00710755">
        <w:rPr>
          <w:rFonts w:ascii="Arial" w:hAnsi="Arial" w:cs="Arial"/>
          <w:color w:val="323232"/>
          <w:sz w:val="18"/>
          <w:szCs w:val="18"/>
          <w:shd w:val="clear" w:color="auto" w:fill="FFFFFF"/>
        </w:rPr>
        <w:t xml:space="preserve"> matrix composition. </w:t>
      </w:r>
      <w:r w:rsidRPr="00710755">
        <w:rPr>
          <w:rFonts w:ascii="Arial" w:hAnsi="Arial" w:cs="Arial"/>
          <w:sz w:val="18"/>
          <w:szCs w:val="18"/>
          <w:lang w:val="en-US"/>
        </w:rPr>
        <w:t>We report a pediatric case of GO confirmed by clinical exome sequencing, associated with severe factor V deficiency identified during hemostasis workup.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C34D65">
        <w:rPr>
          <w:sz w:val="20"/>
          <w:szCs w:val="20"/>
          <w:lang w:val="en-US"/>
        </w:rPr>
        <w:t xml:space="preserve">From a diagnostic standpoint, differentiating hereditary from acquired deficiency is essential. Reviews recommend global coagulation tests (PT and </w:t>
      </w:r>
      <w:proofErr w:type="spellStart"/>
      <w:r w:rsidRPr="00C34D65">
        <w:rPr>
          <w:sz w:val="20"/>
          <w:szCs w:val="20"/>
          <w:lang w:val="en-US"/>
        </w:rPr>
        <w:t>aPTT</w:t>
      </w:r>
      <w:proofErr w:type="spellEnd"/>
      <w:r w:rsidRPr="00C34D65">
        <w:rPr>
          <w:sz w:val="20"/>
          <w:szCs w:val="20"/>
          <w:lang w:val="en-US"/>
        </w:rPr>
        <w:t xml:space="preserve"> often prolonged), mixing studies, and—in relevant contexts—inhibitor testing (notably in acquired forms)</w:t>
      </w:r>
      <w:r>
        <w:rPr>
          <w:sz w:val="20"/>
          <w:szCs w:val="20"/>
          <w:lang w:val="en-US"/>
        </w:rPr>
        <w:t xml:space="preserve">. </w:t>
      </w:r>
      <w:r w:rsidRPr="00C34D65">
        <w:rPr>
          <w:sz w:val="20"/>
          <w:szCs w:val="20"/>
          <w:lang w:val="en-US"/>
        </w:rPr>
        <w:t>Confirmation of a GORAB pathogenic variant enables genetic counseling and multidisciplinary care. The associated severe factor V deficiency warrants an anticipatory hematologic management plan to reduce bleeding risk.</w:t>
      </w:r>
    </w:p>
    <w:p w14:paraId="0C0F5838" w14:textId="16AE208F" w:rsidR="009C0A2F" w:rsidRDefault="009C0A2F" w:rsidP="009C0A2F">
      <w:pPr>
        <w:rPr>
          <w:sz w:val="20"/>
          <w:szCs w:val="20"/>
          <w:lang w:val="en-US"/>
        </w:rPr>
      </w:pPr>
      <w:r w:rsidRPr="009C0A2F">
        <w:rPr>
          <w:b/>
          <w:bCs/>
          <w:sz w:val="20"/>
          <w:szCs w:val="20"/>
          <w:lang w:val="en-US"/>
        </w:rPr>
        <w:t>Keywords:</w:t>
      </w:r>
      <w:r w:rsidRPr="009C0A2F">
        <w:rPr>
          <w:sz w:val="20"/>
          <w:szCs w:val="20"/>
          <w:lang w:val="en-US"/>
        </w:rPr>
        <w:t xml:space="preserve"> </w:t>
      </w:r>
      <w:proofErr w:type="spellStart"/>
      <w:r w:rsidRPr="009C0A2F">
        <w:rPr>
          <w:sz w:val="20"/>
          <w:szCs w:val="20"/>
          <w:lang w:val="en-US"/>
        </w:rPr>
        <w:t>Geroderma</w:t>
      </w:r>
      <w:proofErr w:type="spellEnd"/>
      <w:r w:rsidRPr="009C0A2F">
        <w:rPr>
          <w:sz w:val="20"/>
          <w:szCs w:val="20"/>
          <w:lang w:val="en-US"/>
        </w:rPr>
        <w:t xml:space="preserve"> </w:t>
      </w:r>
      <w:proofErr w:type="spellStart"/>
      <w:r w:rsidRPr="009C0A2F">
        <w:rPr>
          <w:sz w:val="20"/>
          <w:szCs w:val="20"/>
          <w:lang w:val="en-US"/>
        </w:rPr>
        <w:t>osteodysplasticum</w:t>
      </w:r>
      <w:proofErr w:type="spellEnd"/>
      <w:r w:rsidRPr="009C0A2F">
        <w:rPr>
          <w:sz w:val="20"/>
          <w:szCs w:val="20"/>
          <w:lang w:val="en-US"/>
        </w:rPr>
        <w:t xml:space="preserve">; GORAB; cutis </w:t>
      </w:r>
      <w:proofErr w:type="spellStart"/>
      <w:r w:rsidRPr="009C0A2F">
        <w:rPr>
          <w:sz w:val="20"/>
          <w:szCs w:val="20"/>
          <w:lang w:val="en-US"/>
        </w:rPr>
        <w:t>laxa</w:t>
      </w:r>
      <w:proofErr w:type="spellEnd"/>
      <w:r w:rsidRPr="009C0A2F">
        <w:rPr>
          <w:sz w:val="20"/>
          <w:szCs w:val="20"/>
          <w:lang w:val="en-US"/>
        </w:rPr>
        <w:t>; joint hyperlaxity; vertebral compression; factor V deficiency; hemostasis; pediatrics.</w:t>
      </w:r>
    </w:p>
    <w:p w14:paraId="0A8AA1B7" w14:textId="77777777" w:rsidR="009C0A2F" w:rsidRPr="009C0A2F" w:rsidRDefault="009C0A2F" w:rsidP="009C0A2F">
      <w:pPr>
        <w:rPr>
          <w:b/>
          <w:bCs/>
          <w:u w:val="single"/>
          <w:lang w:val="en-US"/>
        </w:rPr>
      </w:pPr>
      <w:r w:rsidRPr="009C0A2F">
        <w:rPr>
          <w:b/>
          <w:bCs/>
          <w:u w:val="single"/>
          <w:lang w:val="en-US"/>
        </w:rPr>
        <w:t>Introduction</w:t>
      </w:r>
    </w:p>
    <w:p w14:paraId="2AD802E7" w14:textId="77777777" w:rsidR="009C0A2F" w:rsidRPr="009C0A2F" w:rsidRDefault="009C0A2F" w:rsidP="009C0A2F">
      <w:pPr>
        <w:rPr>
          <w:sz w:val="20"/>
          <w:szCs w:val="20"/>
          <w:lang w:val="en-US"/>
        </w:rPr>
      </w:pPr>
      <w:proofErr w:type="spellStart"/>
      <w:r w:rsidRPr="009C0A2F">
        <w:rPr>
          <w:sz w:val="20"/>
          <w:szCs w:val="20"/>
          <w:lang w:val="en-US"/>
        </w:rPr>
        <w:t>Geroderma</w:t>
      </w:r>
      <w:proofErr w:type="spellEnd"/>
      <w:r w:rsidRPr="009C0A2F">
        <w:rPr>
          <w:sz w:val="20"/>
          <w:szCs w:val="20"/>
          <w:lang w:val="en-US"/>
        </w:rPr>
        <w:t xml:space="preserve"> </w:t>
      </w:r>
      <w:proofErr w:type="spellStart"/>
      <w:r w:rsidRPr="009C0A2F">
        <w:rPr>
          <w:sz w:val="20"/>
          <w:szCs w:val="20"/>
          <w:lang w:val="en-US"/>
        </w:rPr>
        <w:t>osteodysplasticum</w:t>
      </w:r>
      <w:proofErr w:type="spellEnd"/>
      <w:r w:rsidRPr="009C0A2F">
        <w:rPr>
          <w:sz w:val="20"/>
          <w:szCs w:val="20"/>
          <w:lang w:val="en-US"/>
        </w:rPr>
        <w:t xml:space="preserve"> (GO) is a rare autosomal recessive connective tissue disorder caused by pathogenic variants in the GORAB gene. It is characterized by marked skin laxity giving a “premature aging” appearance, joint hyperlaxity, and bone fragility that may manifest as osteopenia, fractures, and vertebral compression. The clinical presentation can mimic Ehlers–Danlos syndrome (EDS) or hereditary cutis </w:t>
      </w:r>
      <w:proofErr w:type="spellStart"/>
      <w:r w:rsidRPr="009C0A2F">
        <w:rPr>
          <w:sz w:val="20"/>
          <w:szCs w:val="20"/>
          <w:lang w:val="en-US"/>
        </w:rPr>
        <w:t>laxa</w:t>
      </w:r>
      <w:proofErr w:type="spellEnd"/>
      <w:r w:rsidRPr="009C0A2F">
        <w:rPr>
          <w:sz w:val="20"/>
          <w:szCs w:val="20"/>
          <w:lang w:val="en-US"/>
        </w:rPr>
        <w:t>, making genetic confirmation essential.</w:t>
      </w:r>
    </w:p>
    <w:p w14:paraId="6C0B205A" w14:textId="21063E15" w:rsidR="009C0A2F" w:rsidRDefault="009C0A2F" w:rsidP="009C0A2F">
      <w:pPr>
        <w:rPr>
          <w:sz w:val="20"/>
          <w:szCs w:val="20"/>
          <w:lang w:val="en-US"/>
        </w:rPr>
      </w:pPr>
      <w:r w:rsidRPr="009C0A2F">
        <w:rPr>
          <w:sz w:val="20"/>
          <w:szCs w:val="20"/>
          <w:lang w:val="en-US"/>
        </w:rPr>
        <w:t>We report a pediatric case of GO confirmed by clinical exome sequencing, associated with severe factor V deficiency identified during hemostasis workup.</w:t>
      </w:r>
    </w:p>
    <w:p w14:paraId="40AB520E" w14:textId="77777777" w:rsidR="009C0A2F" w:rsidRPr="009C0A2F" w:rsidRDefault="009C0A2F" w:rsidP="009C0A2F">
      <w:pPr>
        <w:rPr>
          <w:b/>
          <w:bCs/>
          <w:u w:val="single"/>
          <w:lang w:val="en-US"/>
        </w:rPr>
      </w:pPr>
      <w:r w:rsidRPr="009C0A2F">
        <w:rPr>
          <w:b/>
          <w:bCs/>
          <w:u w:val="single"/>
          <w:lang w:val="en-US"/>
        </w:rPr>
        <w:t>Case presentation</w:t>
      </w:r>
    </w:p>
    <w:p w14:paraId="0777BCB4" w14:textId="77777777" w:rsidR="009C0A2F" w:rsidRPr="009C0A2F" w:rsidRDefault="009C0A2F" w:rsidP="009C0A2F">
      <w:pPr>
        <w:rPr>
          <w:b/>
          <w:bCs/>
          <w:sz w:val="20"/>
          <w:szCs w:val="20"/>
          <w:lang w:val="en-US"/>
        </w:rPr>
      </w:pPr>
      <w:r w:rsidRPr="009C0A2F">
        <w:rPr>
          <w:b/>
          <w:bCs/>
          <w:sz w:val="20"/>
          <w:szCs w:val="20"/>
          <w:lang w:val="en-US"/>
        </w:rPr>
        <w:t>General information</w:t>
      </w:r>
    </w:p>
    <w:p w14:paraId="64529E48" w14:textId="77777777" w:rsidR="009C0A2F" w:rsidRPr="009C0A2F" w:rsidRDefault="009C0A2F" w:rsidP="009C0A2F">
      <w:pPr>
        <w:rPr>
          <w:sz w:val="20"/>
          <w:szCs w:val="20"/>
          <w:lang w:val="en-US"/>
        </w:rPr>
      </w:pPr>
      <w:r w:rsidRPr="009C0A2F">
        <w:rPr>
          <w:sz w:val="20"/>
          <w:szCs w:val="20"/>
          <w:lang w:val="en-US"/>
        </w:rPr>
        <w:t>A school-aged girl born to consanguineous parents (reported genetic relationship) was referred for evaluation of joint hyperlaxity with an initial suspicion of EDS.</w:t>
      </w:r>
    </w:p>
    <w:p w14:paraId="1E566115" w14:textId="77777777" w:rsidR="009C0A2F" w:rsidRPr="009C0A2F" w:rsidRDefault="009C0A2F" w:rsidP="009C0A2F">
      <w:pPr>
        <w:rPr>
          <w:b/>
          <w:bCs/>
          <w:sz w:val="20"/>
          <w:szCs w:val="20"/>
          <w:lang w:val="en-US"/>
        </w:rPr>
      </w:pPr>
      <w:r w:rsidRPr="009C0A2F">
        <w:rPr>
          <w:b/>
          <w:bCs/>
          <w:sz w:val="20"/>
          <w:szCs w:val="20"/>
          <w:lang w:val="en-US"/>
        </w:rPr>
        <w:t>History</w:t>
      </w:r>
    </w:p>
    <w:p w14:paraId="19E8701D" w14:textId="41E7CAED" w:rsidR="009C0A2F" w:rsidRDefault="009C0A2F" w:rsidP="009C0A2F">
      <w:pPr>
        <w:rPr>
          <w:sz w:val="20"/>
          <w:szCs w:val="20"/>
          <w:lang w:val="en-US"/>
        </w:rPr>
      </w:pPr>
      <w:r w:rsidRPr="009C0A2F">
        <w:rPr>
          <w:sz w:val="20"/>
          <w:szCs w:val="20"/>
          <w:lang w:val="en-US"/>
        </w:rPr>
        <w:t>The history revealed recurrent epistaxis and easy bruising, without major bleeding. Information regarding fracture history, chronic pain, and detailed family history was not available in the documents provided.</w:t>
      </w:r>
    </w:p>
    <w:p w14:paraId="4AE97318" w14:textId="77777777" w:rsidR="009C0A2F" w:rsidRPr="009C0A2F" w:rsidRDefault="009C0A2F" w:rsidP="009C0A2F">
      <w:pPr>
        <w:rPr>
          <w:b/>
          <w:bCs/>
          <w:sz w:val="20"/>
          <w:szCs w:val="20"/>
          <w:lang w:val="en-US"/>
        </w:rPr>
      </w:pPr>
      <w:r w:rsidRPr="009C0A2F">
        <w:rPr>
          <w:b/>
          <w:bCs/>
          <w:sz w:val="20"/>
          <w:szCs w:val="20"/>
          <w:lang w:val="en-US"/>
        </w:rPr>
        <w:t>Physical examination</w:t>
      </w:r>
    </w:p>
    <w:p w14:paraId="23041CFA" w14:textId="7D67561F" w:rsidR="009C0A2F" w:rsidRPr="009C0A2F" w:rsidRDefault="009C0A2F" w:rsidP="009C0A2F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9C0A2F">
        <w:rPr>
          <w:sz w:val="20"/>
          <w:szCs w:val="20"/>
          <w:lang w:val="en-US"/>
        </w:rPr>
        <w:t>Skin: Marked skin laxity with prominent abdominal folds at rest and increased skin extensibility on pinching/traction.</w:t>
      </w:r>
    </w:p>
    <w:p w14:paraId="4034EC48" w14:textId="309B1204" w:rsidR="009C0A2F" w:rsidRDefault="009C0A2F" w:rsidP="009C0A2F">
      <w:pPr>
        <w:jc w:val="center"/>
        <w:rPr>
          <w:sz w:val="20"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 wp14:anchorId="502DBF31" wp14:editId="060CA188">
            <wp:extent cx="1847589" cy="2463045"/>
            <wp:effectExtent l="0" t="0" r="635" b="0"/>
            <wp:docPr id="4767667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04" cy="249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4BA87" wp14:editId="76A4B4BE">
            <wp:extent cx="1822838" cy="2430049"/>
            <wp:effectExtent l="0" t="0" r="6350" b="8890"/>
            <wp:docPr id="19679483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874" cy="244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91C31" w14:textId="45B5BF79" w:rsidR="009C0A2F" w:rsidRDefault="009C0A2F" w:rsidP="009C0A2F">
      <w:pPr>
        <w:pStyle w:val="ListParagraph"/>
        <w:numPr>
          <w:ilvl w:val="0"/>
          <w:numId w:val="3"/>
        </w:num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(B) </w:t>
      </w:r>
    </w:p>
    <w:p w14:paraId="78229843" w14:textId="11AA5358" w:rsidR="009C0A2F" w:rsidRDefault="009C0A2F" w:rsidP="009C0A2F">
      <w:pPr>
        <w:pStyle w:val="ListParagraph"/>
        <w:jc w:val="center"/>
        <w:rPr>
          <w:sz w:val="20"/>
          <w:szCs w:val="20"/>
          <w:lang w:val="en-US"/>
        </w:rPr>
      </w:pPr>
      <w:r w:rsidRPr="009C0A2F">
        <w:rPr>
          <w:b/>
          <w:bCs/>
          <w:sz w:val="20"/>
          <w:szCs w:val="20"/>
          <w:lang w:val="en-US"/>
        </w:rPr>
        <w:t xml:space="preserve">Figure </w:t>
      </w:r>
      <w:proofErr w:type="gramStart"/>
      <w:r w:rsidRPr="009C0A2F">
        <w:rPr>
          <w:b/>
          <w:bCs/>
          <w:sz w:val="20"/>
          <w:szCs w:val="20"/>
          <w:lang w:val="en-US"/>
        </w:rPr>
        <w:t>1 :</w:t>
      </w:r>
      <w:proofErr w:type="gramEnd"/>
      <w:r w:rsidRPr="009C0A2F">
        <w:rPr>
          <w:sz w:val="20"/>
          <w:szCs w:val="20"/>
          <w:lang w:val="en-US"/>
        </w:rPr>
        <w:t xml:space="preserve"> Cutaneous manifestations. (A) Prominent abdominal skin folds at rest. (B) Increased truncal skin extensibility on traction, consistent with constitutional skin laxity.</w:t>
      </w:r>
    </w:p>
    <w:p w14:paraId="47F38A28" w14:textId="77777777" w:rsidR="009C0A2F" w:rsidRDefault="009C0A2F" w:rsidP="009C0A2F">
      <w:pPr>
        <w:pStyle w:val="ListParagraph"/>
        <w:jc w:val="center"/>
        <w:rPr>
          <w:sz w:val="20"/>
          <w:szCs w:val="20"/>
          <w:lang w:val="en-US"/>
        </w:rPr>
      </w:pPr>
    </w:p>
    <w:p w14:paraId="55705223" w14:textId="23B8C27B" w:rsidR="009C0A2F" w:rsidRDefault="009C0A2F" w:rsidP="009C0A2F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9C0A2F">
        <w:rPr>
          <w:sz w:val="20"/>
          <w:szCs w:val="20"/>
          <w:lang w:val="en-US"/>
        </w:rPr>
        <w:t>Musculoskeletal system: Clinical peripheral hyperlaxity (ankles/feet); a Beighton score was not documented.</w:t>
      </w:r>
    </w:p>
    <w:p w14:paraId="4ADD5D4E" w14:textId="0642603E" w:rsidR="009C0A2F" w:rsidRDefault="009C0A2F" w:rsidP="009C0A2F">
      <w:pPr>
        <w:pStyle w:val="ListParagraph"/>
        <w:jc w:val="center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32691A92" wp14:editId="052D1428">
            <wp:extent cx="1911350" cy="2548467"/>
            <wp:effectExtent l="0" t="0" r="0" b="4445"/>
            <wp:docPr id="7722024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562" cy="255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72DA07" wp14:editId="40231E87">
            <wp:extent cx="1919288" cy="2559050"/>
            <wp:effectExtent l="0" t="0" r="5080" b="0"/>
            <wp:docPr id="18989803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21" cy="256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1448" w14:textId="795D458D" w:rsidR="009C0A2F" w:rsidRDefault="008E4FFE" w:rsidP="009C0A2F">
      <w:pPr>
        <w:pStyle w:val="ListParagraph"/>
        <w:jc w:val="center"/>
        <w:rPr>
          <w:sz w:val="20"/>
          <w:szCs w:val="20"/>
          <w:lang w:val="en-US"/>
        </w:rPr>
      </w:pPr>
      <w:r w:rsidRPr="008E4FFE">
        <w:rPr>
          <w:b/>
          <w:bCs/>
          <w:sz w:val="20"/>
          <w:szCs w:val="20"/>
          <w:lang w:val="en-US"/>
        </w:rPr>
        <w:t>Figure 2:</w:t>
      </w:r>
      <w:r w:rsidRPr="008E4FFE">
        <w:rPr>
          <w:sz w:val="20"/>
          <w:szCs w:val="20"/>
          <w:lang w:val="en-US"/>
        </w:rPr>
        <w:t xml:space="preserve"> Clinical appearance of the feet/ankles suggesting peripheral hyperlaxity.</w:t>
      </w:r>
    </w:p>
    <w:p w14:paraId="2EFA653A" w14:textId="77777777" w:rsidR="008E4FFE" w:rsidRDefault="008E4FFE" w:rsidP="009C0A2F">
      <w:pPr>
        <w:pStyle w:val="ListParagraph"/>
        <w:jc w:val="center"/>
        <w:rPr>
          <w:sz w:val="20"/>
          <w:szCs w:val="20"/>
          <w:lang w:val="en-US"/>
        </w:rPr>
      </w:pPr>
    </w:p>
    <w:p w14:paraId="27CEFA58" w14:textId="4EFAF34E" w:rsidR="008E4FFE" w:rsidRDefault="008E4FFE" w:rsidP="008E4FFE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8E4FFE">
        <w:rPr>
          <w:sz w:val="20"/>
          <w:szCs w:val="20"/>
          <w:lang w:val="en-US"/>
        </w:rPr>
        <w:t>Other systems: No specific abnormality reported on cardio-respiratory examination.</w:t>
      </w:r>
    </w:p>
    <w:p w14:paraId="3A311ECA" w14:textId="64B04CA5" w:rsidR="008E4FFE" w:rsidRDefault="008E4FFE" w:rsidP="008E4FFE">
      <w:pPr>
        <w:ind w:left="360"/>
        <w:rPr>
          <w:b/>
          <w:bCs/>
          <w:sz w:val="20"/>
          <w:szCs w:val="20"/>
          <w:lang w:val="en-US"/>
        </w:rPr>
      </w:pPr>
      <w:r w:rsidRPr="008E4FFE">
        <w:rPr>
          <w:b/>
          <w:bCs/>
          <w:sz w:val="20"/>
          <w:szCs w:val="20"/>
          <w:lang w:val="en-US"/>
        </w:rPr>
        <w:t>Investigations</w:t>
      </w:r>
    </w:p>
    <w:p w14:paraId="29D3947F" w14:textId="77777777" w:rsidR="008E4FFE" w:rsidRDefault="008E4FFE" w:rsidP="008E4FFE">
      <w:pPr>
        <w:ind w:left="360"/>
        <w:rPr>
          <w:sz w:val="20"/>
          <w:szCs w:val="20"/>
          <w:u w:val="single"/>
          <w:lang w:val="en-US"/>
        </w:rPr>
      </w:pPr>
      <w:r w:rsidRPr="008E4FFE">
        <w:rPr>
          <w:sz w:val="20"/>
          <w:szCs w:val="20"/>
          <w:u w:val="single"/>
          <w:lang w:val="en-US"/>
        </w:rPr>
        <w:t>Musculoskeletal imaging</w:t>
      </w:r>
    </w:p>
    <w:p w14:paraId="228CBCA1" w14:textId="34F4A66D" w:rsidR="008E4FFE" w:rsidRPr="008E4FFE" w:rsidRDefault="008E4FFE" w:rsidP="008E4FFE">
      <w:pPr>
        <w:ind w:left="360"/>
        <w:rPr>
          <w:sz w:val="20"/>
          <w:szCs w:val="20"/>
          <w:u w:val="single"/>
          <w:lang w:val="en-US"/>
        </w:rPr>
      </w:pPr>
      <w:proofErr w:type="spellStart"/>
      <w:r w:rsidRPr="008E4FFE">
        <w:rPr>
          <w:sz w:val="20"/>
          <w:szCs w:val="20"/>
          <w:lang w:val="en-US"/>
        </w:rPr>
        <w:t>Cervico</w:t>
      </w:r>
      <w:proofErr w:type="spellEnd"/>
      <w:r w:rsidRPr="008E4FFE">
        <w:rPr>
          <w:sz w:val="20"/>
          <w:szCs w:val="20"/>
          <w:lang w:val="en-US"/>
        </w:rPr>
        <w:t>-thoraco-lumbar spine radiographs (AP and lateral): Exaggerated thoracic kyphosis; mild thoracolumbar scoliosis with right convexity; predominantly anterior wedging/compression of vertebral bodies T5 and T7; no other visible disco-somatic abnormalities; smooth and harmonious posterior vertebral wall alignment.</w:t>
      </w:r>
    </w:p>
    <w:p w14:paraId="3EF2E192" w14:textId="28A178B8" w:rsidR="008E4FFE" w:rsidRPr="008E4FFE" w:rsidRDefault="008E4FFE" w:rsidP="008E4FFE">
      <w:pPr>
        <w:ind w:left="360"/>
        <w:rPr>
          <w:sz w:val="20"/>
          <w:szCs w:val="20"/>
          <w:u w:val="single"/>
          <w:lang w:val="en-US"/>
        </w:rPr>
      </w:pPr>
      <w:r w:rsidRPr="008E4FFE">
        <w:rPr>
          <w:sz w:val="20"/>
          <w:szCs w:val="20"/>
          <w:u w:val="single"/>
          <w:lang w:val="en-US"/>
        </w:rPr>
        <w:t>Cardiac evaluation</w:t>
      </w:r>
    </w:p>
    <w:p w14:paraId="3701A966" w14:textId="55A0EB82" w:rsidR="008E4FFE" w:rsidRPr="008E4FFE" w:rsidRDefault="008E4FFE" w:rsidP="008E4FFE">
      <w:pPr>
        <w:ind w:left="360"/>
        <w:rPr>
          <w:sz w:val="20"/>
          <w:szCs w:val="20"/>
          <w:lang w:val="en-US"/>
        </w:rPr>
      </w:pPr>
      <w:r w:rsidRPr="008E4FFE">
        <w:rPr>
          <w:sz w:val="20"/>
          <w:szCs w:val="20"/>
          <w:lang w:val="en-US"/>
        </w:rPr>
        <w:lastRenderedPageBreak/>
        <w:t xml:space="preserve">Transthoracic echocardiography: Situs </w:t>
      </w:r>
      <w:proofErr w:type="spellStart"/>
      <w:r w:rsidRPr="008E4FFE">
        <w:rPr>
          <w:sz w:val="20"/>
          <w:szCs w:val="20"/>
          <w:lang w:val="en-US"/>
        </w:rPr>
        <w:t>solitus</w:t>
      </w:r>
      <w:proofErr w:type="spellEnd"/>
      <w:r w:rsidRPr="008E4FFE">
        <w:rPr>
          <w:sz w:val="20"/>
          <w:szCs w:val="20"/>
          <w:lang w:val="en-US"/>
        </w:rPr>
        <w:t>; normal atrioventricular and ventriculoarterial connections; normal chamber size; thin valves without significant regurgitation; no atrial or ventricular septal defect; patent ductus arteriosus absent; no pericardial effusion.</w:t>
      </w:r>
    </w:p>
    <w:p w14:paraId="20DCC101" w14:textId="1977AAB4" w:rsidR="008E4FFE" w:rsidRPr="008E4FFE" w:rsidRDefault="008E4FFE" w:rsidP="008E4FFE">
      <w:pPr>
        <w:ind w:left="360"/>
        <w:rPr>
          <w:sz w:val="20"/>
          <w:szCs w:val="20"/>
          <w:u w:val="single"/>
          <w:lang w:val="en-US"/>
        </w:rPr>
      </w:pPr>
      <w:r w:rsidRPr="008E4FFE">
        <w:rPr>
          <w:sz w:val="20"/>
          <w:szCs w:val="20"/>
          <w:u w:val="single"/>
          <w:lang w:val="en-US"/>
        </w:rPr>
        <w:t>Hemostasis</w:t>
      </w:r>
    </w:p>
    <w:p w14:paraId="08317123" w14:textId="2AAD30AF" w:rsidR="008E4FFE" w:rsidRDefault="008E4FFE" w:rsidP="008E4FFE">
      <w:pPr>
        <w:ind w:left="360"/>
        <w:rPr>
          <w:sz w:val="20"/>
          <w:szCs w:val="20"/>
          <w:lang w:val="en-US"/>
        </w:rPr>
      </w:pPr>
      <w:r w:rsidRPr="008E4FFE">
        <w:rPr>
          <w:sz w:val="20"/>
          <w:szCs w:val="20"/>
          <w:lang w:val="en-US"/>
        </w:rPr>
        <w:t>Factor V: &lt;1% (reference 62–139) → severe deficiency</w:t>
      </w:r>
      <w:r>
        <w:rPr>
          <w:sz w:val="20"/>
          <w:szCs w:val="20"/>
          <w:lang w:val="en-US"/>
        </w:rPr>
        <w:br/>
      </w:r>
      <w:r w:rsidRPr="008E4FFE">
        <w:rPr>
          <w:sz w:val="20"/>
          <w:szCs w:val="20"/>
          <w:lang w:val="en-US"/>
        </w:rPr>
        <w:t>Factor X: 84% (reference 77–131) → normal</w:t>
      </w:r>
      <w:r>
        <w:rPr>
          <w:sz w:val="20"/>
          <w:szCs w:val="20"/>
          <w:lang w:val="en-US"/>
        </w:rPr>
        <w:br/>
      </w:r>
      <w:r w:rsidRPr="008E4FFE">
        <w:rPr>
          <w:sz w:val="20"/>
          <w:szCs w:val="20"/>
          <w:lang w:val="en-US"/>
        </w:rPr>
        <w:t>Factor VII: moderate decrease reported (numeric value not available in the provided documents)</w:t>
      </w:r>
      <w:r>
        <w:rPr>
          <w:sz w:val="20"/>
          <w:szCs w:val="20"/>
          <w:lang w:val="en-US"/>
        </w:rPr>
        <w:br/>
      </w:r>
      <w:r w:rsidRPr="008E4FFE">
        <w:rPr>
          <w:sz w:val="20"/>
          <w:szCs w:val="20"/>
          <w:lang w:val="en-US"/>
        </w:rPr>
        <w:t xml:space="preserve">A first-line workup (PT/INR, </w:t>
      </w:r>
      <w:proofErr w:type="spellStart"/>
      <w:r w:rsidRPr="008E4FFE">
        <w:rPr>
          <w:sz w:val="20"/>
          <w:szCs w:val="20"/>
          <w:lang w:val="en-US"/>
        </w:rPr>
        <w:t>aPTT</w:t>
      </w:r>
      <w:proofErr w:type="spellEnd"/>
      <w:r w:rsidRPr="008E4FFE">
        <w:rPr>
          <w:sz w:val="20"/>
          <w:szCs w:val="20"/>
          <w:lang w:val="en-US"/>
        </w:rPr>
        <w:t>, fibrinogen, CBC/platelets, liver tests, and inhibitor evaluation depending on context) is recommended to characterize the disorder and guide peri-procedural management.</w:t>
      </w:r>
    </w:p>
    <w:p w14:paraId="7515DB5D" w14:textId="08A1FBCB" w:rsidR="008E4FFE" w:rsidRDefault="00C34D65" w:rsidP="00C34D65">
      <w:pPr>
        <w:ind w:left="360"/>
        <w:jc w:val="center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51DC62C3" wp14:editId="733718BB">
            <wp:extent cx="4006850" cy="3082872"/>
            <wp:effectExtent l="0" t="0" r="0" b="3810"/>
            <wp:docPr id="18096686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359" cy="308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C5B66C" wp14:editId="691F5CC6">
            <wp:extent cx="4006850" cy="1213273"/>
            <wp:effectExtent l="0" t="0" r="0" b="6350"/>
            <wp:docPr id="2044832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227" cy="12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FAD80" w14:textId="541496B6" w:rsidR="00C34D65" w:rsidRPr="008E4FFE" w:rsidRDefault="00C34D65" w:rsidP="00C34D65">
      <w:pPr>
        <w:ind w:left="360"/>
        <w:jc w:val="center"/>
        <w:rPr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Figure 3:</w:t>
      </w:r>
      <w:r w:rsidRPr="00C34D65">
        <w:rPr>
          <w:sz w:val="20"/>
          <w:szCs w:val="20"/>
          <w:lang w:val="en-US"/>
        </w:rPr>
        <w:t xml:space="preserve"> Hemostasis workup showing severe factor V deficiency with preserved factor X activity and a moderate reduction in factor VII activity</w:t>
      </w:r>
      <w:r>
        <w:rPr>
          <w:sz w:val="20"/>
          <w:szCs w:val="20"/>
          <w:lang w:val="en-US"/>
        </w:rPr>
        <w:t>.</w:t>
      </w:r>
    </w:p>
    <w:p w14:paraId="56C4237E" w14:textId="5131807E" w:rsidR="008E4FFE" w:rsidRPr="008E4FFE" w:rsidRDefault="008E4FFE" w:rsidP="008E4FFE">
      <w:pPr>
        <w:ind w:left="360"/>
        <w:rPr>
          <w:sz w:val="20"/>
          <w:szCs w:val="20"/>
          <w:u w:val="single"/>
          <w:lang w:val="en-US"/>
        </w:rPr>
      </w:pPr>
      <w:r w:rsidRPr="008E4FFE">
        <w:rPr>
          <w:sz w:val="20"/>
          <w:szCs w:val="20"/>
          <w:u w:val="single"/>
          <w:lang w:val="en-US"/>
        </w:rPr>
        <w:t>Genetics</w:t>
      </w:r>
    </w:p>
    <w:p w14:paraId="51ED88E8" w14:textId="3D9276CF" w:rsidR="008E4FFE" w:rsidRDefault="008E4FFE" w:rsidP="008E4FFE">
      <w:pPr>
        <w:ind w:left="360"/>
        <w:rPr>
          <w:sz w:val="20"/>
          <w:szCs w:val="20"/>
          <w:lang w:val="en-US"/>
        </w:rPr>
      </w:pPr>
      <w:r w:rsidRPr="008E4FFE">
        <w:rPr>
          <w:sz w:val="20"/>
          <w:szCs w:val="20"/>
          <w:lang w:val="en-US"/>
        </w:rPr>
        <w:t>Targeted clinical exome sequencing did not identify relevant pathogenic variants in genes classically associated with EDS within the analyzed panel. It revealed a homozygous pathogenic truncating variant in GORAB: NM_152281.</w:t>
      </w:r>
      <w:proofErr w:type="gramStart"/>
      <w:r w:rsidRPr="008E4FFE">
        <w:rPr>
          <w:sz w:val="20"/>
          <w:szCs w:val="20"/>
          <w:lang w:val="en-US"/>
        </w:rPr>
        <w:t>3:c.</w:t>
      </w:r>
      <w:proofErr w:type="gramEnd"/>
      <w:r w:rsidRPr="008E4FFE">
        <w:rPr>
          <w:sz w:val="20"/>
          <w:szCs w:val="20"/>
          <w:lang w:val="en-US"/>
        </w:rPr>
        <w:t xml:space="preserve">79C&gt;T, p.(Arg27*), confirming the diagnosis of </w:t>
      </w:r>
      <w:proofErr w:type="spellStart"/>
      <w:r w:rsidRPr="008E4FFE">
        <w:rPr>
          <w:sz w:val="20"/>
          <w:szCs w:val="20"/>
          <w:lang w:val="en-US"/>
        </w:rPr>
        <w:t>geroderma</w:t>
      </w:r>
      <w:proofErr w:type="spellEnd"/>
      <w:r w:rsidRPr="008E4FFE">
        <w:rPr>
          <w:sz w:val="20"/>
          <w:szCs w:val="20"/>
          <w:lang w:val="en-US"/>
        </w:rPr>
        <w:t xml:space="preserve"> </w:t>
      </w:r>
      <w:proofErr w:type="spellStart"/>
      <w:r w:rsidRPr="008E4FFE">
        <w:rPr>
          <w:sz w:val="20"/>
          <w:szCs w:val="20"/>
          <w:lang w:val="en-US"/>
        </w:rPr>
        <w:t>osteodysplasticum</w:t>
      </w:r>
      <w:proofErr w:type="spellEnd"/>
      <w:r w:rsidRPr="008E4FFE">
        <w:rPr>
          <w:sz w:val="20"/>
          <w:szCs w:val="20"/>
          <w:lang w:val="en-US"/>
        </w:rPr>
        <w:t>.</w:t>
      </w:r>
    </w:p>
    <w:p w14:paraId="6BC9BCA1" w14:textId="2DE230ED" w:rsidR="00C34D65" w:rsidRDefault="00C34D65" w:rsidP="00C34D65">
      <w:pPr>
        <w:jc w:val="center"/>
        <w:rPr>
          <w:sz w:val="20"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 wp14:anchorId="325AF62A" wp14:editId="29DB9CE9">
            <wp:extent cx="4197350" cy="3576446"/>
            <wp:effectExtent l="0" t="0" r="0" b="5080"/>
            <wp:docPr id="57556945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276" cy="358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DED69" w14:textId="5F5D9D97" w:rsidR="00C34D65" w:rsidRDefault="00C34D65" w:rsidP="00C34D65">
      <w:pPr>
        <w:jc w:val="center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Figure 4:</w:t>
      </w:r>
      <w:r w:rsidRPr="00C34D65">
        <w:rPr>
          <w:sz w:val="20"/>
          <w:szCs w:val="20"/>
          <w:lang w:val="en-US"/>
        </w:rPr>
        <w:t xml:space="preserve"> Clinical exome sequencing report identifying a homozygous pathogenic truncating GORAB variant (NM_152281.</w:t>
      </w:r>
      <w:proofErr w:type="gramStart"/>
      <w:r w:rsidRPr="00C34D65">
        <w:rPr>
          <w:sz w:val="20"/>
          <w:szCs w:val="20"/>
          <w:lang w:val="en-US"/>
        </w:rPr>
        <w:t>3:c.</w:t>
      </w:r>
      <w:proofErr w:type="gramEnd"/>
      <w:r w:rsidRPr="00C34D65">
        <w:rPr>
          <w:sz w:val="20"/>
          <w:szCs w:val="20"/>
          <w:lang w:val="en-US"/>
        </w:rPr>
        <w:t>79C&gt;T; p.Arg27*) with no pathogenic variants detected in the analyzed Ehlers–Danlos gene panel.</w:t>
      </w:r>
    </w:p>
    <w:p w14:paraId="58D31801" w14:textId="77777777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Management and follow-up</w:t>
      </w:r>
    </w:p>
    <w:p w14:paraId="5DCFF734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Regular orthopedic follow-up was initiated with physiotherapy and radiologic monitoring. An individualized hematology plan was discussed to prevent and manage bleeding episodes and to cover invasive procedures, considering the severe factor V deficiency, according to local protocols (often fresh frozen plasma in the absence of a specific concentrate).</w:t>
      </w:r>
    </w:p>
    <w:p w14:paraId="5BE93153" w14:textId="001C92A6" w:rsid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Genetic counseling was offered to the family given autosomal recessive inheritance and parental consanguinity.</w:t>
      </w:r>
    </w:p>
    <w:p w14:paraId="26AE00E9" w14:textId="0574F0E6" w:rsidR="00C34D65" w:rsidRDefault="00C34D65" w:rsidP="00C34D65">
      <w:pPr>
        <w:rPr>
          <w:b/>
          <w:bCs/>
          <w:u w:val="single"/>
        </w:rPr>
      </w:pPr>
      <w:r w:rsidRPr="00C34D65">
        <w:rPr>
          <w:b/>
          <w:bCs/>
          <w:u w:val="single"/>
        </w:rPr>
        <w:t>Discussion</w:t>
      </w:r>
    </w:p>
    <w:p w14:paraId="19A27DB9" w14:textId="6D8DD5F8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 xml:space="preserve">1) </w:t>
      </w:r>
      <w:proofErr w:type="spellStart"/>
      <w:r w:rsidRPr="00C34D65">
        <w:rPr>
          <w:b/>
          <w:bCs/>
          <w:sz w:val="20"/>
          <w:szCs w:val="20"/>
          <w:lang w:val="en-US"/>
        </w:rPr>
        <w:t>Geroderma</w:t>
      </w:r>
      <w:proofErr w:type="spellEnd"/>
      <w:r w:rsidRPr="00C34D6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34D65">
        <w:rPr>
          <w:b/>
          <w:bCs/>
          <w:sz w:val="20"/>
          <w:szCs w:val="20"/>
          <w:lang w:val="en-US"/>
        </w:rPr>
        <w:t>osteodysplasticum</w:t>
      </w:r>
      <w:proofErr w:type="spellEnd"/>
      <w:r w:rsidRPr="00C34D65">
        <w:rPr>
          <w:b/>
          <w:bCs/>
          <w:sz w:val="20"/>
          <w:szCs w:val="20"/>
          <w:lang w:val="en-US"/>
        </w:rPr>
        <w:t>: a rare connective tissue disorder to recognize</w:t>
      </w:r>
    </w:p>
    <w:p w14:paraId="530BE8A0" w14:textId="75568BAB" w:rsidR="00C34D65" w:rsidRPr="00C34D65" w:rsidRDefault="00C34D65" w:rsidP="00C34D65">
      <w:pPr>
        <w:rPr>
          <w:sz w:val="20"/>
          <w:szCs w:val="20"/>
          <w:lang w:val="en-US"/>
        </w:rPr>
      </w:pPr>
      <w:proofErr w:type="spellStart"/>
      <w:r w:rsidRPr="00C34D65">
        <w:rPr>
          <w:sz w:val="20"/>
          <w:szCs w:val="20"/>
          <w:lang w:val="en-US"/>
        </w:rPr>
        <w:t>Geroderma</w:t>
      </w:r>
      <w:proofErr w:type="spellEnd"/>
      <w:r w:rsidRPr="00C34D65">
        <w:rPr>
          <w:sz w:val="20"/>
          <w:szCs w:val="20"/>
          <w:lang w:val="en-US"/>
        </w:rPr>
        <w:t xml:space="preserve"> </w:t>
      </w:r>
      <w:proofErr w:type="spellStart"/>
      <w:r w:rsidRPr="00C34D65">
        <w:rPr>
          <w:sz w:val="20"/>
          <w:szCs w:val="20"/>
          <w:lang w:val="en-US"/>
        </w:rPr>
        <w:t>osteodysplasticum</w:t>
      </w:r>
      <w:proofErr w:type="spellEnd"/>
      <w:r w:rsidRPr="00C34D65">
        <w:rPr>
          <w:sz w:val="20"/>
          <w:szCs w:val="20"/>
          <w:lang w:val="en-US"/>
        </w:rPr>
        <w:t xml:space="preserve"> (GO) is a rare, typically autosomal recessive connective tissue disorder characterized by skin laxity (often striking over the trunk/abdomen and extremities), joint hypermobility, and skeletal fragility including osteopenia/osteoporosis, fractures, and sometimes vertebral compression and </w:t>
      </w:r>
      <w:proofErr w:type="spellStart"/>
      <w:r w:rsidRPr="00C34D65">
        <w:rPr>
          <w:sz w:val="20"/>
          <w:szCs w:val="20"/>
          <w:lang w:val="en-US"/>
        </w:rPr>
        <w:t>kypho</w:t>
      </w:r>
      <w:proofErr w:type="spellEnd"/>
      <w:r w:rsidRPr="00C34D65">
        <w:rPr>
          <w:sz w:val="20"/>
          <w:szCs w:val="20"/>
          <w:lang w:val="en-US"/>
        </w:rPr>
        <w:t>-scoliosis [1–4]. Pathophysiology involves defects in proteins associated with the Golgi apparatus/secretory pathway. Historically, the gene was identified as SCYL1BP1, now named GORAB (</w:t>
      </w:r>
      <w:proofErr w:type="spellStart"/>
      <w:r w:rsidRPr="00C34D65">
        <w:rPr>
          <w:sz w:val="20"/>
          <w:szCs w:val="20"/>
          <w:lang w:val="en-US"/>
        </w:rPr>
        <w:t>golgin</w:t>
      </w:r>
      <w:proofErr w:type="spellEnd"/>
      <w:r w:rsidRPr="00C34D65">
        <w:rPr>
          <w:sz w:val="20"/>
          <w:szCs w:val="20"/>
          <w:lang w:val="en-US"/>
        </w:rPr>
        <w:t>, RAB6 interacting) [1]. Rare disease resources (</w:t>
      </w:r>
      <w:proofErr w:type="spellStart"/>
      <w:r w:rsidRPr="00C34D65">
        <w:rPr>
          <w:sz w:val="20"/>
          <w:szCs w:val="20"/>
          <w:lang w:val="en-US"/>
        </w:rPr>
        <w:t>Orphanet</w:t>
      </w:r>
      <w:proofErr w:type="spellEnd"/>
      <w:r w:rsidRPr="00C34D65">
        <w:rPr>
          <w:sz w:val="20"/>
          <w:szCs w:val="20"/>
          <w:lang w:val="en-US"/>
        </w:rPr>
        <w:t>, GARD/NIH) describe GO as combining lax skin, hyperlaxity, and bone complications, with autosomal recessive inheritance linked to GORAB [3,4].</w:t>
      </w:r>
    </w:p>
    <w:p w14:paraId="0568E5B3" w14:textId="143913A3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2) Diagnostic rationale in this case</w:t>
      </w:r>
    </w:p>
    <w:p w14:paraId="2440B9E7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Several features converge in our patient:</w:t>
      </w:r>
    </w:p>
    <w:p w14:paraId="7CBE92AB" w14:textId="77777777" w:rsidR="00C34D65" w:rsidRDefault="00C34D65" w:rsidP="00C34D65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highly suggestive cutaneous phenotype (marked abdominal folds and skin hyperextensibility</w:t>
      </w:r>
    </w:p>
    <w:p w14:paraId="5DD66BD2" w14:textId="77777777" w:rsidR="00C34D65" w:rsidRDefault="00C34D65" w:rsidP="00C34D65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peripheral hypermobility</w:t>
      </w:r>
    </w:p>
    <w:p w14:paraId="6332A176" w14:textId="77777777" w:rsidR="00C34D65" w:rsidRDefault="00C34D65" w:rsidP="00C34D65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vertebral involvement with anterior compression of T5 and T7 and exaggerated thoracic kyphosis</w:t>
      </w:r>
    </w:p>
    <w:p w14:paraId="3F46ECE7" w14:textId="77777777" w:rsidR="00C34D65" w:rsidRDefault="00C34D65" w:rsidP="00C34D65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lastRenderedPageBreak/>
        <w:t>consanguinity supporting an autosomal recessive condition</w:t>
      </w:r>
    </w:p>
    <w:p w14:paraId="1F00DDAB" w14:textId="5E8439EE" w:rsidR="00C34D65" w:rsidRPr="00C34D65" w:rsidRDefault="00C34D65" w:rsidP="00C34D65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decisive molecular confirmation with a homozygous pathogenic truncating GORAB variant, establishing the diagnosis [1–4]</w:t>
      </w:r>
    </w:p>
    <w:p w14:paraId="0A06DF6B" w14:textId="11AF45E4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 xml:space="preserve">The main differential diagnosis was EDS (especially hypermobile/classic types) and, more broadly, hereditary cutis </w:t>
      </w:r>
      <w:proofErr w:type="spellStart"/>
      <w:r w:rsidRPr="00C34D65">
        <w:rPr>
          <w:sz w:val="20"/>
          <w:szCs w:val="20"/>
          <w:lang w:val="en-US"/>
        </w:rPr>
        <w:t>laxa</w:t>
      </w:r>
      <w:proofErr w:type="spellEnd"/>
      <w:r w:rsidRPr="00C34D65">
        <w:rPr>
          <w:sz w:val="20"/>
          <w:szCs w:val="20"/>
          <w:lang w:val="en-US"/>
        </w:rPr>
        <w:t xml:space="preserve"> syndromes. GO shares clinical overlap with these entities, and clinical distinction can be challenging; reviews and series emphasize the importance of genetic testing in “cutis </w:t>
      </w:r>
      <w:proofErr w:type="spellStart"/>
      <w:r w:rsidRPr="00C34D65">
        <w:rPr>
          <w:sz w:val="20"/>
          <w:szCs w:val="20"/>
          <w:lang w:val="en-US"/>
        </w:rPr>
        <w:t>laxa</w:t>
      </w:r>
      <w:proofErr w:type="spellEnd"/>
      <w:r w:rsidRPr="00C34D65">
        <w:rPr>
          <w:sz w:val="20"/>
          <w:szCs w:val="20"/>
          <w:lang w:val="en-US"/>
        </w:rPr>
        <w:t>/EDS-like” phenotypes [2,5,6].</w:t>
      </w:r>
    </w:p>
    <w:p w14:paraId="0907E733" w14:textId="0C18FAEC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3) Bone and vertebral involvement: a key feature of GO</w:t>
      </w:r>
    </w:p>
    <w:p w14:paraId="3E963423" w14:textId="355EE0F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Skeletal complications are central to the GO phenotype: osteopenia/osteoporosis, fractures, deformities, and wedge vertebrae/compression that may result in kyphosis or scoliosis [3,4]. In our case, radiographs documented T5 and T7 compression with kyphosis, consistent with the described spectrum. Case reports and reviews detail vertebral anomalies, kyphoscoliosis, and fractures/vertebral collapse in GO [2–4]. These findings support a structured management approach: orthopedic surveillance, injury prevention, physiotherapy, and consideration of bone evaluation (vitamin D/calcium status, densitometry) according to available resources [2–4].</w:t>
      </w:r>
    </w:p>
    <w:p w14:paraId="728C7CCB" w14:textId="13E9242C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4) Cardiovascular assessment</w:t>
      </w:r>
    </w:p>
    <w:p w14:paraId="150C158C" w14:textId="721D678D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Some connective tissue disorders (including certain EDS subtypes) can involve vascular/valvular abnormalities; echocardiography is therefore appropriate at diagnosis. Here, transthoracic echocardiography was reassuring, with no significant valvular leak or shunt. While this does not preclude long-term surveillance depending on clinical evolution and complete phenotype, the absence of baseline structural abnormalities is favorable.</w:t>
      </w:r>
    </w:p>
    <w:p w14:paraId="1626E563" w14:textId="6D1A7592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5) Severe factor V deficiency: rarity, interpretation, and practical impact</w:t>
      </w:r>
    </w:p>
    <w:p w14:paraId="02D29E6C" w14:textId="2B1D4ADE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The most original and potentially publishable aspect of this case is the association with severe factor V deficiency (&lt;1%). Congenital factor V deficiency (parahemophilia) is a rare coagulopathy, often autosomal recessive, that may present with mucocutaneous bleeding (epistaxis, bruising, gingival bleeding), with wide variability and imperfect correlation between factor level and clinical severity [7,8]. Our patient’s epistaxis and easy bruising fit this phenotype [7,8].</w:t>
      </w:r>
    </w:p>
    <w:p w14:paraId="56EE3783" w14:textId="1DCDDE9F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 xml:space="preserve">From a diagnostic standpoint, differentiating hereditary from acquired deficiency is essential. Reviews recommend global coagulation tests (PT and </w:t>
      </w:r>
      <w:proofErr w:type="spellStart"/>
      <w:r w:rsidRPr="00C34D65">
        <w:rPr>
          <w:sz w:val="20"/>
          <w:szCs w:val="20"/>
          <w:lang w:val="en-US"/>
        </w:rPr>
        <w:t>aPTT</w:t>
      </w:r>
      <w:proofErr w:type="spellEnd"/>
      <w:r w:rsidRPr="00C34D65">
        <w:rPr>
          <w:sz w:val="20"/>
          <w:szCs w:val="20"/>
          <w:lang w:val="en-US"/>
        </w:rPr>
        <w:t xml:space="preserve"> often prolonged), mixing studies, and—in relevant contexts—inhibitor testing (notably in acquired forms) [7]. In our available documents, PT/</w:t>
      </w:r>
      <w:proofErr w:type="spellStart"/>
      <w:r w:rsidRPr="00C34D65">
        <w:rPr>
          <w:sz w:val="20"/>
          <w:szCs w:val="20"/>
          <w:lang w:val="en-US"/>
        </w:rPr>
        <w:t>aPTT</w:t>
      </w:r>
      <w:proofErr w:type="spellEnd"/>
      <w:r w:rsidRPr="00C34D65">
        <w:rPr>
          <w:sz w:val="20"/>
          <w:szCs w:val="20"/>
          <w:lang w:val="en-US"/>
        </w:rPr>
        <w:t xml:space="preserve"> and mixing test results were not provided; thus, it is prudent to state that the complete evaluation should include these steps [7].</w:t>
      </w:r>
    </w:p>
    <w:p w14:paraId="74E95C6D" w14:textId="7DE24789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6) Treatment: why fresh frozen plasma is central</w:t>
      </w:r>
    </w:p>
    <w:p w14:paraId="0651D5E9" w14:textId="6CDF4170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 xml:space="preserve">No widely available specific factor V concentrate exists; therefore, fresh frozen plasma (FFP) is classically the cornerstone of replacement therapy for significant bleeding or procedural prophylaxis [7–10]. Reference sources describe FFP as standard treatment in hereditary forms, with possible use of antifibrinolytics for mild cases and, in selected situations, platelets, PCC, or </w:t>
      </w:r>
      <w:proofErr w:type="spellStart"/>
      <w:r w:rsidRPr="00C34D65">
        <w:rPr>
          <w:sz w:val="20"/>
          <w:szCs w:val="20"/>
          <w:lang w:val="en-US"/>
        </w:rPr>
        <w:t>rFVIIa</w:t>
      </w:r>
      <w:proofErr w:type="spellEnd"/>
      <w:r w:rsidRPr="00C34D65">
        <w:rPr>
          <w:sz w:val="20"/>
          <w:szCs w:val="20"/>
          <w:lang w:val="en-US"/>
        </w:rPr>
        <w:t xml:space="preserve"> depending on benefit–risk and local expertise [7,9]. Transfusion guidelines specifically indicate plasma for congenital single-factor deficiencies when no specific product is available—factor V being a typical example [10]. Perioperative reports confirm the use of FFP around surgical procedures in patients with factor V deficiency [11,12].</w:t>
      </w:r>
    </w:p>
    <w:p w14:paraId="5B249979" w14:textId="4BDE4A77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7) GO–factor V relationship: coincidental association or shared predisposition?</w:t>
      </w:r>
    </w:p>
    <w:p w14:paraId="0C3CF945" w14:textId="77777777" w:rsidR="00692691" w:rsidRDefault="00C34D65" w:rsidP="00692691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GO is classically linked to GORAB and is not described as a primary coagulopathy. The association of GO with severe factor V deficiency may therefore represent:</w:t>
      </w:r>
    </w:p>
    <w:p w14:paraId="231D991F" w14:textId="77777777" w:rsidR="00692691" w:rsidRDefault="00C34D65" w:rsidP="00692691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a coincidental coexistence of two rare autosomal recessive disorders (particularly plausible in consanguinity), or</w:t>
      </w:r>
    </w:p>
    <w:p w14:paraId="77B41784" w14:textId="216D9C46" w:rsidR="00C34D65" w:rsidRPr="00692691" w:rsidRDefault="00C34D65" w:rsidP="00692691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lastRenderedPageBreak/>
        <w:t>a non-constitutional (acquired) factor V deficiency, pending full investigation [7]</w:t>
      </w:r>
    </w:p>
    <w:p w14:paraId="6C631A6A" w14:textId="0510FB68" w:rsidR="00C34D65" w:rsidRPr="00C34D65" w:rsidRDefault="00C34D65" w:rsidP="00692691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In the manuscript, it is preferable to present these hypotheses in a balanced manner, emphasizing the immediate practical implication: anticipating bleeding risk in a patient who may also have tissue fragility related to the connective tissue disorder.</w:t>
      </w:r>
    </w:p>
    <w:p w14:paraId="68983769" w14:textId="77896D50" w:rsidR="00C34D65" w:rsidRPr="00692691" w:rsidRDefault="00C34D65" w:rsidP="00692691">
      <w:pPr>
        <w:rPr>
          <w:b/>
          <w:bCs/>
          <w:sz w:val="20"/>
          <w:szCs w:val="20"/>
          <w:lang w:val="en-US"/>
        </w:rPr>
      </w:pPr>
      <w:r w:rsidRPr="00692691">
        <w:rPr>
          <w:b/>
          <w:bCs/>
          <w:sz w:val="20"/>
          <w:szCs w:val="20"/>
          <w:lang w:val="en-US"/>
        </w:rPr>
        <w:t>8) Case contributions</w:t>
      </w:r>
    </w:p>
    <w:p w14:paraId="3292A7B0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This case highlights:</w:t>
      </w:r>
    </w:p>
    <w:p w14:paraId="15171686" w14:textId="77777777" w:rsidR="00692691" w:rsidRDefault="00C34D65" w:rsidP="00692691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the value of a phenotype → imaging → genetics approach to differentiate EDS from related entities [5,6]</w:t>
      </w:r>
    </w:p>
    <w:p w14:paraId="34182F8C" w14:textId="77777777" w:rsidR="00692691" w:rsidRDefault="00C34D65" w:rsidP="00692691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the need for multidisciplinary care (pediatrics, genetics, orthopedics, cardiology, hematology)</w:t>
      </w:r>
    </w:p>
    <w:p w14:paraId="6C4461A5" w14:textId="387EDD70" w:rsidR="00C34D65" w:rsidRPr="00692691" w:rsidRDefault="00C34D65" w:rsidP="00692691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the importance of identifying and documenting a hemostasis disorder when mucocutaneous bleeding is present, as this changes emergency and peri-procedural management [7–12]</w:t>
      </w:r>
    </w:p>
    <w:p w14:paraId="6E0C2AFA" w14:textId="7601EAD9" w:rsidR="00C34D65" w:rsidRPr="00692691" w:rsidRDefault="00C34D65" w:rsidP="00692691">
      <w:pPr>
        <w:rPr>
          <w:b/>
          <w:bCs/>
          <w:u w:val="single"/>
          <w:lang w:val="en-US"/>
        </w:rPr>
      </w:pPr>
      <w:r w:rsidRPr="00692691">
        <w:rPr>
          <w:b/>
          <w:bCs/>
          <w:u w:val="single"/>
          <w:lang w:val="en-US"/>
        </w:rPr>
        <w:t>Conclusion</w:t>
      </w:r>
    </w:p>
    <w:p w14:paraId="6635F067" w14:textId="63D99EB9" w:rsidR="00C34D65" w:rsidRDefault="00C34D65" w:rsidP="00C34D65">
      <w:pPr>
        <w:rPr>
          <w:sz w:val="20"/>
          <w:szCs w:val="20"/>
          <w:lang w:val="en-US"/>
        </w:rPr>
      </w:pPr>
      <w:proofErr w:type="spellStart"/>
      <w:r w:rsidRPr="00C34D65">
        <w:rPr>
          <w:sz w:val="20"/>
          <w:szCs w:val="20"/>
          <w:lang w:val="en-US"/>
        </w:rPr>
        <w:t>Geroderma</w:t>
      </w:r>
      <w:proofErr w:type="spellEnd"/>
      <w:r w:rsidRPr="00C34D65">
        <w:rPr>
          <w:sz w:val="20"/>
          <w:szCs w:val="20"/>
          <w:lang w:val="en-US"/>
        </w:rPr>
        <w:t xml:space="preserve"> </w:t>
      </w:r>
      <w:proofErr w:type="spellStart"/>
      <w:r w:rsidRPr="00C34D65">
        <w:rPr>
          <w:sz w:val="20"/>
          <w:szCs w:val="20"/>
          <w:lang w:val="en-US"/>
        </w:rPr>
        <w:t>osteodysplasticum</w:t>
      </w:r>
      <w:proofErr w:type="spellEnd"/>
      <w:r w:rsidRPr="00C34D65">
        <w:rPr>
          <w:sz w:val="20"/>
          <w:szCs w:val="20"/>
          <w:lang w:val="en-US"/>
        </w:rPr>
        <w:t xml:space="preserve"> should be considered in patients presenting with cutis </w:t>
      </w:r>
      <w:proofErr w:type="spellStart"/>
      <w:r w:rsidRPr="00C34D65">
        <w:rPr>
          <w:sz w:val="20"/>
          <w:szCs w:val="20"/>
          <w:lang w:val="en-US"/>
        </w:rPr>
        <w:t>laxa</w:t>
      </w:r>
      <w:proofErr w:type="spellEnd"/>
      <w:r w:rsidRPr="00C34D65">
        <w:rPr>
          <w:sz w:val="20"/>
          <w:szCs w:val="20"/>
          <w:lang w:val="en-US"/>
        </w:rPr>
        <w:t>, joint hyperlaxity, and skeletal involvement, particularly in the setting of consanguinity. Confirmation of a GORAB pathogenic variant enables genetic counseling and multidisciplinary care. The associated severe factor V deficiency warrants an anticipatory hematologic management plan to reduce bleeding risk.</w:t>
      </w:r>
    </w:p>
    <w:p w14:paraId="6973B21E" w14:textId="77777777" w:rsidR="00692691" w:rsidRPr="00692691" w:rsidRDefault="00692691" w:rsidP="00692691">
      <w:pPr>
        <w:rPr>
          <w:b/>
          <w:bCs/>
          <w:u w:val="single"/>
          <w:lang w:val="en-US"/>
        </w:rPr>
      </w:pPr>
      <w:r w:rsidRPr="00692691">
        <w:rPr>
          <w:b/>
          <w:bCs/>
          <w:u w:val="single"/>
          <w:lang w:val="en-US"/>
        </w:rPr>
        <w:t>References</w:t>
      </w:r>
    </w:p>
    <w:p w14:paraId="168529DA" w14:textId="77777777" w:rsidR="00692691" w:rsidRPr="00692691" w:rsidRDefault="00692691" w:rsidP="00692691">
      <w:pPr>
        <w:rPr>
          <w:sz w:val="20"/>
          <w:szCs w:val="20"/>
          <w:lang w:val="en-US"/>
        </w:rPr>
      </w:pPr>
    </w:p>
    <w:p w14:paraId="5FEAEE98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</w:rPr>
        <w:t xml:space="preserve">Hennies HC, Kornak U, et al. </w:t>
      </w:r>
      <w:proofErr w:type="spellStart"/>
      <w:r w:rsidRPr="00692691">
        <w:rPr>
          <w:sz w:val="20"/>
          <w:szCs w:val="20"/>
          <w:lang w:val="en-US"/>
        </w:rPr>
        <w:t>Gerodermia</w:t>
      </w:r>
      <w:proofErr w:type="spellEnd"/>
      <w:r w:rsidRPr="00692691">
        <w:rPr>
          <w:sz w:val="20"/>
          <w:szCs w:val="20"/>
          <w:lang w:val="en-US"/>
        </w:rPr>
        <w:t xml:space="preserve"> </w:t>
      </w:r>
      <w:proofErr w:type="spellStart"/>
      <w:r w:rsidRPr="00692691">
        <w:rPr>
          <w:sz w:val="20"/>
          <w:szCs w:val="20"/>
          <w:lang w:val="en-US"/>
        </w:rPr>
        <w:t>osteodysplastica</w:t>
      </w:r>
      <w:proofErr w:type="spellEnd"/>
      <w:r w:rsidRPr="00692691">
        <w:rPr>
          <w:sz w:val="20"/>
          <w:szCs w:val="20"/>
          <w:lang w:val="en-US"/>
        </w:rPr>
        <w:t xml:space="preserve"> is caused by mutations in SCYL1BP1 (GORAB). Nature Genetics. 2008;40(12):1410–1412. doi:10.1038/ng.252.</w:t>
      </w:r>
    </w:p>
    <w:p w14:paraId="3BBAFA57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692691">
        <w:rPr>
          <w:sz w:val="20"/>
          <w:szCs w:val="20"/>
        </w:rPr>
        <w:t>Alotaibi</w:t>
      </w:r>
      <w:proofErr w:type="spellEnd"/>
      <w:r w:rsidRPr="00692691">
        <w:rPr>
          <w:sz w:val="20"/>
          <w:szCs w:val="20"/>
        </w:rPr>
        <w:t xml:space="preserve"> M, </w:t>
      </w:r>
      <w:proofErr w:type="spellStart"/>
      <w:r w:rsidRPr="00692691">
        <w:rPr>
          <w:sz w:val="20"/>
          <w:szCs w:val="20"/>
        </w:rPr>
        <w:t>Aldhubaiban</w:t>
      </w:r>
      <w:proofErr w:type="spellEnd"/>
      <w:r w:rsidRPr="00692691">
        <w:rPr>
          <w:sz w:val="20"/>
          <w:szCs w:val="20"/>
        </w:rPr>
        <w:t xml:space="preserve"> D, et al. </w:t>
      </w:r>
      <w:r w:rsidRPr="00692691">
        <w:rPr>
          <w:sz w:val="20"/>
          <w:szCs w:val="20"/>
          <w:lang w:val="en-US"/>
        </w:rPr>
        <w:t xml:space="preserve">A Case of </w:t>
      </w:r>
      <w:proofErr w:type="spellStart"/>
      <w:r w:rsidRPr="00692691">
        <w:rPr>
          <w:sz w:val="20"/>
          <w:szCs w:val="20"/>
          <w:lang w:val="en-US"/>
        </w:rPr>
        <w:t>Geroderma</w:t>
      </w:r>
      <w:proofErr w:type="spellEnd"/>
      <w:r w:rsidRPr="00692691">
        <w:rPr>
          <w:sz w:val="20"/>
          <w:szCs w:val="20"/>
          <w:lang w:val="en-US"/>
        </w:rPr>
        <w:t xml:space="preserve"> </w:t>
      </w:r>
      <w:proofErr w:type="spellStart"/>
      <w:r w:rsidRPr="00692691">
        <w:rPr>
          <w:sz w:val="20"/>
          <w:szCs w:val="20"/>
          <w:lang w:val="en-US"/>
        </w:rPr>
        <w:t>Osteodysplasticum</w:t>
      </w:r>
      <w:proofErr w:type="spellEnd"/>
      <w:r w:rsidRPr="00692691">
        <w:rPr>
          <w:sz w:val="20"/>
          <w:szCs w:val="20"/>
          <w:lang w:val="en-US"/>
        </w:rPr>
        <w:t xml:space="preserve"> Syndrome: Unique Clinical Findings. Global Medical Genetics. </w:t>
      </w:r>
      <w:proofErr w:type="gramStart"/>
      <w:r w:rsidRPr="00692691">
        <w:rPr>
          <w:sz w:val="20"/>
          <w:szCs w:val="20"/>
          <w:lang w:val="en-US"/>
        </w:rPr>
        <w:t>2022;9:175</w:t>
      </w:r>
      <w:proofErr w:type="gramEnd"/>
      <w:r w:rsidRPr="00692691">
        <w:rPr>
          <w:sz w:val="20"/>
          <w:szCs w:val="20"/>
          <w:lang w:val="en-US"/>
        </w:rPr>
        <w:t>–178.</w:t>
      </w:r>
    </w:p>
    <w:p w14:paraId="48A31AFC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692691">
        <w:rPr>
          <w:sz w:val="20"/>
          <w:szCs w:val="20"/>
          <w:lang w:val="en-US"/>
        </w:rPr>
        <w:t>Orphanet</w:t>
      </w:r>
      <w:proofErr w:type="spellEnd"/>
      <w:r w:rsidRPr="00692691">
        <w:rPr>
          <w:sz w:val="20"/>
          <w:szCs w:val="20"/>
          <w:lang w:val="en-US"/>
        </w:rPr>
        <w:t xml:space="preserve">. </w:t>
      </w:r>
      <w:proofErr w:type="spellStart"/>
      <w:r w:rsidRPr="00692691">
        <w:rPr>
          <w:sz w:val="20"/>
          <w:szCs w:val="20"/>
          <w:lang w:val="en-US"/>
        </w:rPr>
        <w:t>Geroderma</w:t>
      </w:r>
      <w:proofErr w:type="spellEnd"/>
      <w:r w:rsidRPr="00692691">
        <w:rPr>
          <w:sz w:val="20"/>
          <w:szCs w:val="20"/>
          <w:lang w:val="en-US"/>
        </w:rPr>
        <w:t xml:space="preserve"> </w:t>
      </w:r>
      <w:proofErr w:type="spellStart"/>
      <w:r w:rsidRPr="00692691">
        <w:rPr>
          <w:sz w:val="20"/>
          <w:szCs w:val="20"/>
          <w:lang w:val="en-US"/>
        </w:rPr>
        <w:t>osteodysplastica</w:t>
      </w:r>
      <w:proofErr w:type="spellEnd"/>
      <w:r w:rsidRPr="00692691">
        <w:rPr>
          <w:sz w:val="20"/>
          <w:szCs w:val="20"/>
          <w:lang w:val="en-US"/>
        </w:rPr>
        <w:t xml:space="preserve"> (ORPHA:2078).</w:t>
      </w:r>
    </w:p>
    <w:p w14:paraId="2C8CC7B3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 xml:space="preserve">GARD/NIH. </w:t>
      </w:r>
      <w:proofErr w:type="spellStart"/>
      <w:r w:rsidRPr="00692691">
        <w:rPr>
          <w:sz w:val="20"/>
          <w:szCs w:val="20"/>
          <w:lang w:val="en-US"/>
        </w:rPr>
        <w:t>Geroderma</w:t>
      </w:r>
      <w:proofErr w:type="spellEnd"/>
      <w:r w:rsidRPr="00692691">
        <w:rPr>
          <w:sz w:val="20"/>
          <w:szCs w:val="20"/>
          <w:lang w:val="en-US"/>
        </w:rPr>
        <w:t xml:space="preserve"> </w:t>
      </w:r>
      <w:proofErr w:type="spellStart"/>
      <w:r w:rsidRPr="00692691">
        <w:rPr>
          <w:sz w:val="20"/>
          <w:szCs w:val="20"/>
          <w:lang w:val="en-US"/>
        </w:rPr>
        <w:t>osteodysplastica</w:t>
      </w:r>
      <w:proofErr w:type="spellEnd"/>
      <w:r w:rsidRPr="00692691">
        <w:rPr>
          <w:sz w:val="20"/>
          <w:szCs w:val="20"/>
          <w:lang w:val="en-US"/>
        </w:rPr>
        <w:t xml:space="preserve"> (caused by GORAB, autosomal recessive; lax skin, loose joints, bone problems).</w:t>
      </w:r>
    </w:p>
    <w:p w14:paraId="0A31F240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692691">
        <w:rPr>
          <w:sz w:val="20"/>
          <w:szCs w:val="20"/>
          <w:lang w:val="en-US"/>
        </w:rPr>
        <w:t>Kariminejad</w:t>
      </w:r>
      <w:proofErr w:type="spellEnd"/>
      <w:r w:rsidRPr="00692691">
        <w:rPr>
          <w:sz w:val="20"/>
          <w:szCs w:val="20"/>
          <w:lang w:val="en-US"/>
        </w:rPr>
        <w:t xml:space="preserve"> A, et al. Cutis </w:t>
      </w:r>
      <w:proofErr w:type="spellStart"/>
      <w:r w:rsidRPr="00692691">
        <w:rPr>
          <w:sz w:val="20"/>
          <w:szCs w:val="20"/>
          <w:lang w:val="en-US"/>
        </w:rPr>
        <w:t>Laxa</w:t>
      </w:r>
      <w:proofErr w:type="spellEnd"/>
      <w:r w:rsidRPr="00692691">
        <w:rPr>
          <w:sz w:val="20"/>
          <w:szCs w:val="20"/>
          <w:lang w:val="en-US"/>
        </w:rPr>
        <w:t xml:space="preserve"> IIA, Cutis </w:t>
      </w:r>
      <w:proofErr w:type="spellStart"/>
      <w:r w:rsidRPr="00692691">
        <w:rPr>
          <w:sz w:val="20"/>
          <w:szCs w:val="20"/>
          <w:lang w:val="en-US"/>
        </w:rPr>
        <w:t>Laxa</w:t>
      </w:r>
      <w:proofErr w:type="spellEnd"/>
      <w:r w:rsidRPr="00692691">
        <w:rPr>
          <w:sz w:val="20"/>
          <w:szCs w:val="20"/>
          <w:lang w:val="en-US"/>
        </w:rPr>
        <w:t xml:space="preserve"> IIB, and </w:t>
      </w:r>
      <w:proofErr w:type="spellStart"/>
      <w:r w:rsidRPr="00692691">
        <w:rPr>
          <w:sz w:val="20"/>
          <w:szCs w:val="20"/>
          <w:lang w:val="en-US"/>
        </w:rPr>
        <w:t>Geroderma</w:t>
      </w:r>
      <w:proofErr w:type="spellEnd"/>
      <w:r w:rsidRPr="00692691">
        <w:rPr>
          <w:sz w:val="20"/>
          <w:szCs w:val="20"/>
          <w:lang w:val="en-US"/>
        </w:rPr>
        <w:t xml:space="preserve"> </w:t>
      </w:r>
      <w:proofErr w:type="spellStart"/>
      <w:r w:rsidRPr="00692691">
        <w:rPr>
          <w:sz w:val="20"/>
          <w:szCs w:val="20"/>
          <w:lang w:val="en-US"/>
        </w:rPr>
        <w:t>Osteoplastica</w:t>
      </w:r>
      <w:proofErr w:type="spellEnd"/>
      <w:r w:rsidRPr="00692691">
        <w:rPr>
          <w:sz w:val="20"/>
          <w:szCs w:val="20"/>
          <w:lang w:val="en-US"/>
        </w:rPr>
        <w:t xml:space="preserve"> (review/differential, role of GORAB). [PMC] 2017.</w:t>
      </w:r>
    </w:p>
    <w:p w14:paraId="1DE34097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692691">
        <w:rPr>
          <w:sz w:val="20"/>
          <w:szCs w:val="20"/>
          <w:lang w:val="en-US"/>
        </w:rPr>
        <w:t>Uitto</w:t>
      </w:r>
      <w:proofErr w:type="spellEnd"/>
      <w:r w:rsidRPr="00692691">
        <w:rPr>
          <w:sz w:val="20"/>
          <w:szCs w:val="20"/>
          <w:lang w:val="en-US"/>
        </w:rPr>
        <w:t xml:space="preserve"> J, et al. Clinical heterogeneity of cutis </w:t>
      </w:r>
      <w:proofErr w:type="spellStart"/>
      <w:r w:rsidRPr="00692691">
        <w:rPr>
          <w:sz w:val="20"/>
          <w:szCs w:val="20"/>
          <w:lang w:val="en-US"/>
        </w:rPr>
        <w:t>laxa</w:t>
      </w:r>
      <w:proofErr w:type="spellEnd"/>
      <w:r w:rsidRPr="00692691">
        <w:rPr>
          <w:sz w:val="20"/>
          <w:szCs w:val="20"/>
          <w:lang w:val="en-US"/>
        </w:rPr>
        <w:t xml:space="preserve"> / perspective (GO among related entities, phenotypic overlap). Experimental Dermatology. 2013.</w:t>
      </w:r>
    </w:p>
    <w:p w14:paraId="3B35F207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 xml:space="preserve">Stoj KM. Factor V Deficiency. </w:t>
      </w:r>
      <w:proofErr w:type="spellStart"/>
      <w:r w:rsidRPr="00692691">
        <w:rPr>
          <w:sz w:val="20"/>
          <w:szCs w:val="20"/>
          <w:lang w:val="en-US"/>
        </w:rPr>
        <w:t>StatPearls</w:t>
      </w:r>
      <w:proofErr w:type="spellEnd"/>
      <w:r w:rsidRPr="00692691">
        <w:rPr>
          <w:sz w:val="20"/>
          <w:szCs w:val="20"/>
          <w:lang w:val="en-US"/>
        </w:rPr>
        <w:t xml:space="preserve"> (NCBI Bookshelf). 2024.</w:t>
      </w:r>
    </w:p>
    <w:p w14:paraId="2C3B81F4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692691">
        <w:rPr>
          <w:sz w:val="20"/>
          <w:szCs w:val="20"/>
          <w:lang w:val="en-US"/>
        </w:rPr>
        <w:t>Thalji</w:t>
      </w:r>
      <w:proofErr w:type="spellEnd"/>
      <w:r w:rsidRPr="00692691">
        <w:rPr>
          <w:sz w:val="20"/>
          <w:szCs w:val="20"/>
          <w:lang w:val="en-US"/>
        </w:rPr>
        <w:t xml:space="preserve"> N, </w:t>
      </w:r>
      <w:proofErr w:type="spellStart"/>
      <w:r w:rsidRPr="00692691">
        <w:rPr>
          <w:sz w:val="20"/>
          <w:szCs w:val="20"/>
          <w:lang w:val="en-US"/>
        </w:rPr>
        <w:t>Camire</w:t>
      </w:r>
      <w:proofErr w:type="spellEnd"/>
      <w:r w:rsidRPr="00692691">
        <w:rPr>
          <w:sz w:val="20"/>
          <w:szCs w:val="20"/>
          <w:lang w:val="en-US"/>
        </w:rPr>
        <w:t xml:space="preserve"> RM. Parahemophilia: New Insights into Factor V Deficiency. Seminars in Thrombosis and Hemostasis. 2013.</w:t>
      </w:r>
    </w:p>
    <w:p w14:paraId="24E50704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Medscape. Factor V Deficiency Treatment &amp; Management. Updated 2023.</w:t>
      </w:r>
    </w:p>
    <w:p w14:paraId="18FC631F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Wong MP, et al. Guidelines for frozen plasma transfusion. British Columbia Medical Journal.</w:t>
      </w:r>
    </w:p>
    <w:p w14:paraId="43EAAB4D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Pan African Medical Journal. Congenital factor V deficiency: perioperative management. 2020.</w:t>
      </w:r>
    </w:p>
    <w:p w14:paraId="64786BED" w14:textId="64FFC9B9" w:rsidR="00692691" w:rsidRP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Tanaka KA, et al. Perioperative Management of Hereditary Factor V Deficiency. Journal of Cardiothoracic and Vascular Anesthesia. 2022.</w:t>
      </w:r>
    </w:p>
    <w:sectPr w:rsidR="00692691" w:rsidRPr="006926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A6BCB" w14:textId="77777777" w:rsidR="00E277B6" w:rsidRDefault="00E277B6" w:rsidP="00781511">
      <w:pPr>
        <w:spacing w:after="0" w:line="240" w:lineRule="auto"/>
      </w:pPr>
      <w:r>
        <w:separator/>
      </w:r>
    </w:p>
  </w:endnote>
  <w:endnote w:type="continuationSeparator" w:id="0">
    <w:p w14:paraId="1827B432" w14:textId="77777777" w:rsidR="00E277B6" w:rsidRDefault="00E277B6" w:rsidP="0078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FF662" w14:textId="77777777" w:rsidR="00781511" w:rsidRDefault="00781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32A61" w14:textId="77777777" w:rsidR="00781511" w:rsidRDefault="00781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A411" w14:textId="77777777" w:rsidR="00781511" w:rsidRDefault="00781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21059" w14:textId="77777777" w:rsidR="00E277B6" w:rsidRDefault="00E277B6" w:rsidP="00781511">
      <w:pPr>
        <w:spacing w:after="0" w:line="240" w:lineRule="auto"/>
      </w:pPr>
      <w:r>
        <w:separator/>
      </w:r>
    </w:p>
  </w:footnote>
  <w:footnote w:type="continuationSeparator" w:id="0">
    <w:p w14:paraId="496388B2" w14:textId="77777777" w:rsidR="00E277B6" w:rsidRDefault="00E277B6" w:rsidP="0078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57E7" w14:textId="2B9981C0" w:rsidR="00781511" w:rsidRDefault="00781511">
    <w:pPr>
      <w:pStyle w:val="Header"/>
    </w:pPr>
    <w:r>
      <w:rPr>
        <w:noProof/>
      </w:rPr>
      <w:pict w14:anchorId="4EBC5F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B7BA7" w14:textId="2DB93277" w:rsidR="00781511" w:rsidRDefault="00781511">
    <w:pPr>
      <w:pStyle w:val="Header"/>
    </w:pPr>
    <w:r>
      <w:rPr>
        <w:noProof/>
      </w:rPr>
      <w:pict w14:anchorId="6AA096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0E0FA" w14:textId="3A2BDBFC" w:rsidR="00781511" w:rsidRDefault="00781511">
    <w:pPr>
      <w:pStyle w:val="Header"/>
    </w:pPr>
    <w:r>
      <w:rPr>
        <w:noProof/>
      </w:rPr>
      <w:pict w14:anchorId="1C1058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45A"/>
    <w:multiLevelType w:val="hybridMultilevel"/>
    <w:tmpl w:val="F19686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79B3"/>
    <w:multiLevelType w:val="multilevel"/>
    <w:tmpl w:val="37B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C63BC"/>
    <w:multiLevelType w:val="hybridMultilevel"/>
    <w:tmpl w:val="6002A45E"/>
    <w:lvl w:ilvl="0" w:tplc="C3B45D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96A6E"/>
    <w:multiLevelType w:val="hybridMultilevel"/>
    <w:tmpl w:val="996AEDCE"/>
    <w:lvl w:ilvl="0" w:tplc="A5B6BDA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B0A4B"/>
    <w:multiLevelType w:val="hybridMultilevel"/>
    <w:tmpl w:val="F5DEE196"/>
    <w:lvl w:ilvl="0" w:tplc="36F6DC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EAmMTA2MLC3NTSyUdpeDU4uLM/DyQAsNaAK4E47gsAAAA"/>
  </w:docVars>
  <w:rsids>
    <w:rsidRoot w:val="009C0A2F"/>
    <w:rsid w:val="002E6DCC"/>
    <w:rsid w:val="00692691"/>
    <w:rsid w:val="00710755"/>
    <w:rsid w:val="00781511"/>
    <w:rsid w:val="008E4FFE"/>
    <w:rsid w:val="009C0A2F"/>
    <w:rsid w:val="00B841E6"/>
    <w:rsid w:val="00C34D65"/>
    <w:rsid w:val="00E277B6"/>
    <w:rsid w:val="00EB1223"/>
    <w:rsid w:val="00F4171E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457385"/>
  <w15:chartTrackingRefBased/>
  <w15:docId w15:val="{C63B1F59-B6A1-4BBE-A7DE-AE5A3782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0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A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A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A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A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A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7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511"/>
  </w:style>
  <w:style w:type="paragraph" w:styleId="Footer">
    <w:name w:val="footer"/>
    <w:basedOn w:val="Normal"/>
    <w:link w:val="FooterChar"/>
    <w:uiPriority w:val="99"/>
    <w:unhideWhenUsed/>
    <w:rsid w:val="0078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1084</cp:lastModifiedBy>
  <cp:revision>4</cp:revision>
  <dcterms:created xsi:type="dcterms:W3CDTF">2026-02-07T13:44:00Z</dcterms:created>
  <dcterms:modified xsi:type="dcterms:W3CDTF">2026-02-10T09:56:00Z</dcterms:modified>
</cp:coreProperties>
</file>