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0B3F5" w14:textId="3D4CABC7" w:rsidR="00C30CAD" w:rsidRDefault="006A0259" w:rsidP="00C30CAD">
      <w:pPr>
        <w:pStyle w:val="Title"/>
        <w:spacing w:after="0"/>
        <w:jc w:val="both"/>
        <w:rPr>
          <w:rFonts w:ascii="Arial" w:hAnsi="Arial" w:cs="Arial"/>
          <w:color w:val="000000" w:themeColor="text1"/>
          <w:sz w:val="36"/>
          <w:szCs w:val="36"/>
          <w:u w:val="single"/>
        </w:rPr>
      </w:pPr>
      <w:r w:rsidRPr="006A0259">
        <w:rPr>
          <w:rFonts w:ascii="Arial" w:hAnsi="Arial" w:cs="Arial"/>
          <w:color w:val="000000" w:themeColor="text1"/>
          <w:sz w:val="36"/>
          <w:szCs w:val="36"/>
          <w:u w:val="single"/>
        </w:rPr>
        <w:t>Original Research Article</w:t>
      </w:r>
    </w:p>
    <w:p w14:paraId="75B5ED44" w14:textId="77777777" w:rsidR="006A0259" w:rsidRPr="006A0259" w:rsidRDefault="006A0259" w:rsidP="006A0259">
      <w:pPr>
        <w:rPr>
          <w:sz w:val="14"/>
          <w:szCs w:val="14"/>
        </w:rPr>
      </w:pPr>
    </w:p>
    <w:p w14:paraId="72E3D30B" w14:textId="787CEB4E" w:rsidR="00C30CAD" w:rsidRDefault="0061718E" w:rsidP="00C30CAD">
      <w:pPr>
        <w:pStyle w:val="Author"/>
        <w:spacing w:line="240" w:lineRule="auto"/>
        <w:jc w:val="both"/>
        <w:rPr>
          <w:rFonts w:ascii="Times New Roman" w:hAnsi="Times New Roman"/>
          <w:bCs/>
          <w:color w:val="000000" w:themeColor="text1"/>
          <w:sz w:val="36"/>
          <w:szCs w:val="36"/>
        </w:rPr>
      </w:pPr>
      <w:r w:rsidRPr="0061718E">
        <w:rPr>
          <w:rFonts w:ascii="Times New Roman" w:hAnsi="Times New Roman"/>
          <w:bCs/>
          <w:color w:val="000000" w:themeColor="text1"/>
          <w:sz w:val="36"/>
          <w:szCs w:val="36"/>
        </w:rPr>
        <w:t>Design of electrochemical sensor for the detection of melamine in adulterated milk</w:t>
      </w:r>
    </w:p>
    <w:p w14:paraId="3734B34E" w14:textId="77777777" w:rsidR="0061718E" w:rsidRPr="00C56606" w:rsidRDefault="0061718E" w:rsidP="00C30CAD">
      <w:pPr>
        <w:pStyle w:val="Author"/>
        <w:spacing w:line="240" w:lineRule="auto"/>
        <w:jc w:val="both"/>
        <w:rPr>
          <w:rFonts w:ascii="Arial" w:hAnsi="Arial" w:cs="Arial"/>
          <w:color w:val="000000" w:themeColor="text1"/>
          <w:sz w:val="36"/>
        </w:rPr>
      </w:pPr>
    </w:p>
    <w:p w14:paraId="0EEB1E11" w14:textId="77777777" w:rsidR="00C30CAD" w:rsidRPr="00C56606" w:rsidRDefault="00C30CAD" w:rsidP="00C30CAD">
      <w:pPr>
        <w:pStyle w:val="Affiliation"/>
        <w:spacing w:after="0" w:line="240" w:lineRule="auto"/>
        <w:jc w:val="both"/>
        <w:rPr>
          <w:rFonts w:ascii="Arial" w:hAnsi="Arial" w:cs="Arial"/>
          <w:color w:val="000000" w:themeColor="text1"/>
        </w:rPr>
      </w:pPr>
    </w:p>
    <w:p w14:paraId="6CED383B" w14:textId="77777777" w:rsidR="00C30CAD" w:rsidRPr="00C56606" w:rsidRDefault="00C30CAD" w:rsidP="00C30CAD">
      <w:pPr>
        <w:pStyle w:val="Copyright"/>
        <w:spacing w:after="0" w:line="240" w:lineRule="auto"/>
        <w:jc w:val="both"/>
        <w:rPr>
          <w:rFonts w:ascii="Arial" w:hAnsi="Arial" w:cs="Arial"/>
          <w:color w:val="000000" w:themeColor="text1"/>
        </w:rPr>
        <w:sectPr w:rsidR="00C30CAD" w:rsidRPr="00C56606" w:rsidSect="000D1F8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C56606">
        <w:rPr>
          <w:rFonts w:ascii="Arial" w:hAnsi="Arial" w:cs="Arial"/>
          <w:noProof/>
          <w:color w:val="000000" w:themeColor="text1"/>
          <w:lang w:val="fr-FR" w:eastAsia="fr-FR"/>
        </w:rPr>
        <mc:AlternateContent>
          <mc:Choice Requires="wps">
            <w:drawing>
              <wp:inline distT="0" distB="0" distL="0" distR="0" wp14:anchorId="67DCE21E" wp14:editId="1FDB85D9">
                <wp:extent cx="5303520" cy="635"/>
                <wp:effectExtent l="13335" t="13335" r="17145" b="15240"/>
                <wp:docPr id="1146672457"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6C1909"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C56606">
        <w:rPr>
          <w:rFonts w:ascii="Arial" w:hAnsi="Arial" w:cs="Arial"/>
          <w:color w:val="000000" w:themeColor="text1"/>
        </w:rPr>
        <w:t>.</w:t>
      </w:r>
    </w:p>
    <w:p w14:paraId="63932944"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ABSTRACT </w:t>
      </w:r>
    </w:p>
    <w:p w14:paraId="1FA2FD08" w14:textId="77777777" w:rsidR="00C30CAD" w:rsidRPr="00C56606" w:rsidRDefault="00C30CAD" w:rsidP="00C30CAD">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56606" w:rsidRPr="00C56606" w14:paraId="6AB23A98" w14:textId="77777777" w:rsidTr="006A52C0">
        <w:tc>
          <w:tcPr>
            <w:tcW w:w="9576" w:type="dxa"/>
            <w:shd w:val="clear" w:color="auto" w:fill="F2F2F2"/>
          </w:tcPr>
          <w:p w14:paraId="4AD1E1E4" w14:textId="1D144322" w:rsidR="00C30CAD" w:rsidRPr="00493CDB" w:rsidRDefault="00C30CAD" w:rsidP="00C30CAD">
            <w:pPr>
              <w:pStyle w:val="Body"/>
              <w:spacing w:after="0" w:line="360" w:lineRule="auto"/>
              <w:rPr>
                <w:rFonts w:ascii="Arial" w:hAnsi="Arial" w:cs="Arial"/>
                <w:color w:val="000000" w:themeColor="text1"/>
              </w:rPr>
            </w:pPr>
            <w:r w:rsidRPr="00493CDB">
              <w:rPr>
                <w:rFonts w:ascii="Arial" w:hAnsi="Arial" w:cs="Arial"/>
                <w:color w:val="000000" w:themeColor="text1"/>
              </w:rPr>
              <w:t xml:space="preserve">A highly sensitive electrochemical sensor was designed through the modification of a gold electrode with silver nanoparticles capped by L-cysteine-functionalized carbon quantum dots. Cyclic voltammetry analysis of the gold electrode modified with these L-cysteine-functionalized carbon quantum dot-capped nanoparticles demonstrated significant electrochemical interaction with melamine, indicating the enhanced electrochemical activity. </w:t>
            </w:r>
          </w:p>
          <w:p w14:paraId="70D3B454" w14:textId="21726FBC" w:rsidR="00C30CAD" w:rsidRPr="00493CDB" w:rsidRDefault="00C30CAD" w:rsidP="006A52C0">
            <w:pPr>
              <w:pStyle w:val="Body"/>
              <w:spacing w:after="0" w:line="360" w:lineRule="auto"/>
              <w:rPr>
                <w:rFonts w:ascii="Arial" w:eastAsia="Calibri" w:hAnsi="Arial" w:cs="Arial"/>
                <w:color w:val="000000" w:themeColor="text1"/>
              </w:rPr>
            </w:pPr>
            <w:r w:rsidRPr="00493CDB">
              <w:rPr>
                <w:rFonts w:ascii="Arial" w:hAnsi="Arial" w:cs="Arial"/>
                <w:color w:val="000000" w:themeColor="text1"/>
              </w:rPr>
              <w:t xml:space="preserve">The electrochemical interaction between the modified electrode and melamine was observed exclusively in sodium sulfate solution, with an enhanced response at a concentration of 0.1 M sodium sulfate, maintained at pH 7.5, and a scan rate of 50 mV/s during </w:t>
            </w:r>
            <w:proofErr w:type="spellStart"/>
            <w:r w:rsidRPr="00493CDB">
              <w:rPr>
                <w:rFonts w:ascii="Arial" w:hAnsi="Arial" w:cs="Arial"/>
                <w:color w:val="000000" w:themeColor="text1"/>
              </w:rPr>
              <w:t>voltammetric</w:t>
            </w:r>
            <w:proofErr w:type="spellEnd"/>
            <w:r w:rsidRPr="00493CDB">
              <w:rPr>
                <w:rFonts w:ascii="Arial" w:hAnsi="Arial" w:cs="Arial"/>
                <w:color w:val="000000" w:themeColor="text1"/>
              </w:rPr>
              <w:t xml:space="preserve"> cycling. Furthermore, pulsed differential voltammetry conducted under the optimized cyclic voltammetry conditions revealed a linear correlation in melamine detection using the modified electrode. This analytical study, performed over a melamine concentration range of 5 ng/mL to 50 ng/mL, established a limit of detection and a limit of quantification of 3.488 ng/mL and 11.627 ng/mL, respectively. Evaluation of the sensor’s performance parameters demonstrated a recovery rate ranging from 98% to 100% in the absence of interfering substances, and between 90% and 98% in a complex food matrix such as powdered milk, with relative standard deviations below 8%.</w:t>
            </w:r>
          </w:p>
          <w:p w14:paraId="04B9E5D1" w14:textId="77777777" w:rsidR="00C30CAD" w:rsidRPr="00C56606" w:rsidRDefault="00C30CAD" w:rsidP="006A52C0">
            <w:pPr>
              <w:pStyle w:val="Body"/>
              <w:spacing w:after="0"/>
              <w:rPr>
                <w:rFonts w:ascii="Arial" w:eastAsia="Calibri" w:hAnsi="Arial" w:cs="Arial"/>
                <w:color w:val="000000" w:themeColor="text1"/>
                <w:szCs w:val="22"/>
              </w:rPr>
            </w:pPr>
          </w:p>
        </w:tc>
      </w:tr>
    </w:tbl>
    <w:p w14:paraId="527ED7D9" w14:textId="77777777" w:rsidR="00C30CAD" w:rsidRPr="00C56606" w:rsidRDefault="00C30CAD" w:rsidP="00C30CAD">
      <w:pPr>
        <w:pStyle w:val="Body"/>
        <w:spacing w:after="0"/>
        <w:rPr>
          <w:rFonts w:ascii="Arial" w:hAnsi="Arial" w:cs="Arial"/>
          <w:i/>
          <w:color w:val="000000" w:themeColor="text1"/>
        </w:rPr>
      </w:pPr>
    </w:p>
    <w:p w14:paraId="672B789F" w14:textId="77777777" w:rsidR="00C30CAD" w:rsidRPr="00C56606" w:rsidRDefault="00C30CAD" w:rsidP="00C30CAD">
      <w:pPr>
        <w:spacing w:line="360" w:lineRule="auto"/>
        <w:jc w:val="both"/>
        <w:rPr>
          <w:rFonts w:ascii="Arial" w:hAnsi="Arial" w:cs="Arial"/>
          <w:i/>
          <w:iCs/>
          <w:color w:val="000000" w:themeColor="text1"/>
        </w:rPr>
      </w:pPr>
      <w:r w:rsidRPr="00C56606">
        <w:rPr>
          <w:rFonts w:ascii="Arial" w:hAnsi="Arial" w:cs="Arial"/>
          <w:i/>
          <w:color w:val="000000" w:themeColor="text1"/>
        </w:rPr>
        <w:t xml:space="preserve">Keywords: </w:t>
      </w:r>
      <w:r w:rsidRPr="00C56606">
        <w:rPr>
          <w:rFonts w:ascii="Arial" w:hAnsi="Arial" w:cs="Arial"/>
          <w:i/>
          <w:iCs/>
          <w:color w:val="000000" w:themeColor="text1"/>
        </w:rPr>
        <w:t xml:space="preserve">electrochemical sensor; </w:t>
      </w:r>
      <w:proofErr w:type="spellStart"/>
      <w:r w:rsidRPr="00C56606">
        <w:rPr>
          <w:rFonts w:ascii="Arial" w:hAnsi="Arial" w:cs="Arial"/>
          <w:i/>
          <w:iCs/>
          <w:color w:val="000000" w:themeColor="text1"/>
        </w:rPr>
        <w:t>cCDs</w:t>
      </w:r>
      <w:proofErr w:type="spellEnd"/>
      <w:r w:rsidRPr="00C56606">
        <w:rPr>
          <w:rFonts w:ascii="Arial" w:hAnsi="Arial" w:cs="Arial"/>
          <w:i/>
          <w:iCs/>
          <w:color w:val="000000" w:themeColor="text1"/>
        </w:rPr>
        <w:t>/</w:t>
      </w:r>
      <w:proofErr w:type="spellStart"/>
      <w:r w:rsidRPr="00C56606">
        <w:rPr>
          <w:rFonts w:ascii="Arial" w:hAnsi="Arial" w:cs="Arial"/>
          <w:i/>
          <w:iCs/>
          <w:color w:val="000000" w:themeColor="text1"/>
        </w:rPr>
        <w:t>AgNPs</w:t>
      </w:r>
      <w:proofErr w:type="spellEnd"/>
      <w:r w:rsidRPr="00C56606">
        <w:rPr>
          <w:rFonts w:ascii="Arial" w:hAnsi="Arial" w:cs="Arial"/>
          <w:i/>
          <w:iCs/>
          <w:color w:val="000000" w:themeColor="text1"/>
        </w:rPr>
        <w:t>-modified gold electrode; Melamine; Detection; Food safety</w:t>
      </w:r>
    </w:p>
    <w:p w14:paraId="09BF4EF8" w14:textId="77777777" w:rsidR="00C30CAD" w:rsidRPr="00C56606" w:rsidRDefault="00C30CAD" w:rsidP="00C30CAD">
      <w:pPr>
        <w:pStyle w:val="Body"/>
        <w:spacing w:after="0"/>
        <w:rPr>
          <w:rFonts w:ascii="Arial" w:hAnsi="Arial" w:cs="Arial"/>
          <w:i/>
          <w:color w:val="000000" w:themeColor="text1"/>
        </w:rPr>
      </w:pPr>
    </w:p>
    <w:p w14:paraId="0B454674"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1. INTRODUCTION </w:t>
      </w:r>
    </w:p>
    <w:p w14:paraId="7BAC991E" w14:textId="77777777" w:rsidR="00C30CAD" w:rsidRPr="00C56606" w:rsidRDefault="00C30CAD" w:rsidP="00C30CAD">
      <w:pPr>
        <w:pStyle w:val="AbstHead"/>
        <w:spacing w:after="0"/>
        <w:jc w:val="both"/>
        <w:rPr>
          <w:rFonts w:ascii="Arial" w:hAnsi="Arial" w:cs="Arial"/>
          <w:color w:val="000000" w:themeColor="text1"/>
        </w:rPr>
      </w:pPr>
    </w:p>
    <w:p w14:paraId="374640A0" w14:textId="77777777" w:rsidR="00C30CAD" w:rsidRPr="007D33A1" w:rsidRDefault="00C30CAD" w:rsidP="00C30CAD">
      <w:pPr>
        <w:spacing w:line="360" w:lineRule="auto"/>
        <w:jc w:val="both"/>
        <w:rPr>
          <w:rFonts w:ascii="Arial" w:hAnsi="Arial" w:cs="Arial"/>
          <w:color w:val="000000" w:themeColor="text1"/>
        </w:rPr>
      </w:pPr>
      <w:r w:rsidRPr="007D33A1">
        <w:rPr>
          <w:rFonts w:ascii="Arial" w:hAnsi="Arial" w:cs="Arial"/>
          <w:color w:val="000000" w:themeColor="text1"/>
        </w:rPr>
        <w:t xml:space="preserve">Melamine is a synthetic compound that was first synthesized in the 1830s and continues to be utilized in contemporary applications. It is predominantly employed as a key component in thermoplastics used for the production of a wide range of highly durable and extensively utilized products. There exists the potential for melamine to migrate from these industrial materials into foodstuffs in trace, non-toxic quantities </w:t>
      </w:r>
      <w:r w:rsidRPr="007D33A1">
        <w:rPr>
          <w:rFonts w:ascii="Arial" w:hAnsi="Arial" w:cs="Arial"/>
          <w:b/>
          <w:bCs/>
          <w:color w:val="000000" w:themeColor="text1"/>
        </w:rPr>
        <w:t>(Skinner et al., 2010)</w:t>
      </w:r>
    </w:p>
    <w:p w14:paraId="1D2A07C1" w14:textId="24CB8A50" w:rsidR="00C30CAD" w:rsidRPr="007D33A1" w:rsidRDefault="00C30CAD" w:rsidP="00C30CAD">
      <w:pPr>
        <w:spacing w:line="360" w:lineRule="auto"/>
        <w:jc w:val="both"/>
        <w:rPr>
          <w:rFonts w:ascii="Arial" w:hAnsi="Arial" w:cs="Arial"/>
          <w:color w:val="000000" w:themeColor="text1"/>
        </w:rPr>
      </w:pPr>
      <w:r w:rsidRPr="007D33A1">
        <w:rPr>
          <w:rFonts w:ascii="Arial" w:hAnsi="Arial" w:cs="Arial"/>
          <w:color w:val="000000" w:themeColor="text1"/>
        </w:rPr>
        <w:lastRenderedPageBreak/>
        <w:t xml:space="preserve">Moreover, melamine is extensively utilized as a fertilizer in agriculture due to its high nitrogen content and its characteristic slow mineralization rate. Owing to this slow mineralization, agricultural products may be vulnerable to melamine contamination if appropriate measures to eliminate melamine residues are not implemented </w:t>
      </w:r>
      <w:r w:rsidRPr="007D33A1">
        <w:rPr>
          <w:rFonts w:ascii="Arial" w:hAnsi="Arial" w:cs="Arial"/>
          <w:b/>
          <w:bCs/>
          <w:color w:val="000000" w:themeColor="text1"/>
        </w:rPr>
        <w:t>(Qin et al., 2010)</w:t>
      </w:r>
      <w:r w:rsidRPr="007D33A1">
        <w:rPr>
          <w:rFonts w:ascii="Arial" w:hAnsi="Arial" w:cs="Arial"/>
          <w:color w:val="000000" w:themeColor="text1"/>
        </w:rPr>
        <w:t xml:space="preserve">. Recently, it has been established that certain sectors of the food industry have employed melamine as an additive to artificially enhance the non-protein nitrogen content of their products. A notable incident occurred in China in 2008, wherein over 294,000 children sought medical attention for urinary calculi following the consumption of powdered milk adulterated with melamine. Among these cases, 53,000 children were hospitalized, and six fatalities were reported </w:t>
      </w:r>
      <w:r w:rsidRPr="007D33A1">
        <w:rPr>
          <w:rFonts w:ascii="Arial" w:hAnsi="Arial" w:cs="Arial"/>
          <w:b/>
          <w:bCs/>
          <w:color w:val="000000" w:themeColor="text1"/>
        </w:rPr>
        <w:t>(</w:t>
      </w:r>
      <w:proofErr w:type="spellStart"/>
      <w:r w:rsidRPr="007D33A1">
        <w:rPr>
          <w:rFonts w:ascii="Arial" w:hAnsi="Arial" w:cs="Arial"/>
          <w:b/>
          <w:bCs/>
          <w:color w:val="000000" w:themeColor="text1"/>
        </w:rPr>
        <w:t>Xiu</w:t>
      </w:r>
      <w:proofErr w:type="spellEnd"/>
      <w:r w:rsidRPr="007D33A1">
        <w:rPr>
          <w:rFonts w:ascii="Arial" w:hAnsi="Arial" w:cs="Arial"/>
          <w:b/>
          <w:bCs/>
          <w:color w:val="000000" w:themeColor="text1"/>
        </w:rPr>
        <w:t xml:space="preserve"> &amp; Klein, 2010)</w:t>
      </w:r>
      <w:r w:rsidRPr="007D33A1">
        <w:rPr>
          <w:rFonts w:ascii="Arial" w:hAnsi="Arial" w:cs="Arial"/>
          <w:color w:val="000000" w:themeColor="text1"/>
        </w:rPr>
        <w:t xml:space="preserve">. In fact, infants secrete five to eight times more uric acid in their bodies, a potential factor predisposing them to the formation of melamine-urate stones. Thus, for safety reasons, many regulatory and standardization bodies have imposed restrictions on melamine in foods intended for infants and young children. In the USA, the FDA has set the tolerable daily intake (TDI) at 0.063 mg/Kg and the maximum level of melamine in food at 1 mg/Kg; The World Health Organization has adopted a TDI for melamine of 0.2 mg/kg; the European Food Safety Authority has imposed a TDI for melamine of 0.5 mg/kg; in Canada, the TDI for melamine is set at 0.2 mg/kg and the maximum tolerated level of melamine in food is set at 0.5 mg/kg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{"citationID":"RfQflNpt","properties":{"formattedCitation":"(Skinner et al., 2010)","plainCitation":"(Skinner et al., 2010)","noteIndex":0},"citationItems":[{"id":51,"uris":["http://zotero.org/users/local/alnDPFsD/items/B6HC24S2"],"itemData":{"id":51,"type":"article-journal","container-title":"Journal of Medical Toxicology","DOI":"10.1007/s13181-010-0038-1","ISSN":"1556-9039, 1937-6995","issue":"1","journalAbbreviation":"J. Med. Toxicol.","language":"en","license":"http://www.springer.com/tdm","page":"50-55","source":"DOI.org (Crossref)","title":"Melamine Toxicity","volume":"6","author":[{"family":"Skinner","given":"Carl G."},{"family":"Thomas","given":"Jerry D."},{"family":"Osterloh","given":"John D."}],"issued":{"date-parts":[["2010",3]]}}}],"schema":"https://github.com/citation-style-language/schema/raw/master/csl-citation.json"}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(Skinner et al., 2010)</w:t>
      </w:r>
      <w:r w:rsidRPr="00CB37AB">
        <w:rPr>
          <w:rFonts w:ascii="Arial" w:hAnsi="Arial" w:cs="Arial"/>
          <w:b/>
          <w:bCs/>
          <w:color w:val="000000" w:themeColor="text1"/>
        </w:rPr>
        <w:fldChar w:fldCharType="end"/>
      </w:r>
      <w:r w:rsidRPr="007D33A1">
        <w:rPr>
          <w:rFonts w:ascii="Arial" w:hAnsi="Arial" w:cs="Arial"/>
          <w:color w:val="000000" w:themeColor="text1"/>
        </w:rPr>
        <w:t xml:space="preserve">. In addition to these restrictions, there is a need for reliable and non-binding methods for monitoring melamine in food products that may contain melamine. Indeed, the literature contains a number of methods used to determine traces of melamine in food products. The most common methods are spectrophotometry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{"citationID":"AL8d9Wbl","properties":{"formattedCitation":"(Chansuvarn et al., 2013)","plainCitation":"(Chansuvarn et al., 2013)","noteIndex":0},"citationItems":[{"id":63,"uris":["http://zotero.org/users/local/alnDPFsD/items/MGUEYPU4"],"itemData":{"id":63,"type":"article-journal","abstract":"A new and simple spectrophotometric method has been developed and validated for measuring the contamination of melamine in different milk products. The method is based upon measuring the absorption of the complex formed from melamine, 4-hydroxyacetophenone (Hap) and 1-pyrene carboxaldehyde (Pcd), which was adapted from the Mannich reaction. Quantitative analysis was done at a wavelength of 236nm within a few minutes. The reaction was optimized by focusing on both obtaining high performance of the method and to concern the volatility and toxicity of used reagents. This method provided a linear dynamic range, limit of detection and limit of quantification of 0.100–3.78, 0.08 and 0.14mgL−1, respectively. The relative standard deviation (RSD) was 3.6% (n=10). The recoveries of melamine spiked liquid milk samples, with melamine concentrations of 0.63, 1.26, 1.89 and 2.52mgL−1, were 87.7±3.7%, 91.1±8.8%, 89.2±4.4% and 90.6±3.6% (n=3), respectively.","container-title":"Spectrochimica Acta Part A: Molecular and Biomolecular Spectroscopy","DOI":"10.1016/j.saa.2013.04.019","ISSN":"1386-1425","journalAbbreviation":"Spectrochimica Acta Part A: Molecular and Biomolecular Spectroscopy","page":"154-158","source":"ScienceDirect","title":"Simple spectrophotometric method for determination of melamine in liquid milks based on green Mannich reaction","volume":"113","author":[{"family":"Chansuvarn","given":"Woravith"},{"family":"Panich","given":"Sirirat"},{"family":"Imyim","given":"Apichat"}],"issued":{"date-parts":[["2013",9,1]]}}}],"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(Chansuvarn et al., 2013)</w:t>
      </w:r>
      <w:r w:rsidRPr="00CB37AB">
        <w:rPr>
          <w:rFonts w:ascii="Arial" w:hAnsi="Arial" w:cs="Arial"/>
          <w:b/>
          <w:bCs/>
          <w:color w:val="000000" w:themeColor="text1"/>
        </w:rPr>
        <w:fldChar w:fldCharType="end"/>
      </w:r>
      <w:r w:rsidRPr="007D33A1">
        <w:rPr>
          <w:rFonts w:ascii="Arial" w:hAnsi="Arial" w:cs="Arial"/>
          <w:color w:val="000000" w:themeColor="text1"/>
        </w:rPr>
        <w:t xml:space="preserve">, </w:t>
      </w:r>
      <w:proofErr w:type="spellStart"/>
      <w:r w:rsidRPr="007D33A1">
        <w:rPr>
          <w:rFonts w:ascii="Arial" w:hAnsi="Arial" w:cs="Arial"/>
          <w:color w:val="000000" w:themeColor="text1"/>
        </w:rPr>
        <w:t>spectrofluorimetry</w:t>
      </w:r>
      <w:proofErr w:type="spellEnd"/>
      <w:r w:rsidRPr="007D33A1">
        <w:rPr>
          <w:rFonts w:ascii="Arial" w:hAnsi="Arial" w:cs="Arial"/>
          <w:color w:val="000000" w:themeColor="text1"/>
        </w:rPr>
        <w:t xml:space="preserve">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{"citationID":"rS6C43v1","properties":{"formattedCitation":"(Othman, 2012)","plainCitation":"(Othman, 2012)","noteIndex":0},"citationItems":[{"id":65,"uris":["http://zotero.org/users/local/alnDPFsD/items/AB4SDCFU"],"itemData":{"id":65,"type":"article-journal","abstract":"A new, simple and sensitive spectrofluorimetric method for determination of trace amount of melamine formaldehyde (MF) was developed. In phosphate buffer solution of pH 7.4 MF can remarkably quench the luminescence intensity of toluylene red (NR) at λem = 590 nm due to formation of NR-MF ion associate complex. The luminescence intensity of NR-MF complex was in proportion to the concentration of MF and used as photo probe for its determination. The dynamic range for the determination of MF is 7.5–52.5 ppm with detection limit of 4.4 ppm. The method is relatively free from interferences from coexisting substances and used successfully for the determining of MF in powder and liquid forms and in wastewater produced from MF industries. The average recoveries and standard deviations of 98.3 ± 0.6, 98.1 ± 0.6 and 97.3 ± 0.5% were achieved for determination of MF in solid, liquid forms and wastewater, respectively","container-title":"Journal of Analytical Chemistry","DOI":"10.1134/S1061934812020098","ISSN":"1608-3199","issue":"4","journalAbbreviation":"J Anal Chem","language":"en","page":"349-353","source":"Springer Link","title":"Spectrofluorimetric determination of melamine formaldehyde in solid and liquid forms and in wastewater","volume":"67","author":[{"family":"Othman","given":"Abdelhameed M."}],"issued":{"date-parts":[["2012",4,1]]}}}],"schema":"https://github.com/citation-style-language/schema/raw/master/csl-citation.json"}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(Othman, 2012)</w:t>
      </w:r>
      <w:r w:rsidRPr="00CB37AB">
        <w:rPr>
          <w:rFonts w:ascii="Arial" w:hAnsi="Arial" w:cs="Arial"/>
          <w:b/>
          <w:bCs/>
          <w:color w:val="000000" w:themeColor="text1"/>
        </w:rPr>
        <w:fldChar w:fldCharType="end"/>
      </w:r>
      <w:r w:rsidRPr="007D33A1">
        <w:rPr>
          <w:rFonts w:ascii="Arial" w:hAnsi="Arial" w:cs="Arial"/>
          <w:color w:val="000000" w:themeColor="text1"/>
        </w:rPr>
        <w:t xml:space="preserve">, quenching of luminescence </w:t>
      </w:r>
      <w:r w:rsidRPr="00CB37AB">
        <w:rPr>
          <w:rFonts w:ascii="Arial" w:hAnsi="Arial" w:cs="Arial"/>
          <w:b/>
          <w:bCs/>
          <w:color w:val="000000" w:themeColor="text1"/>
          <w:lang w:val="fr-CI"/>
        </w:rPr>
        <w:fldChar w:fldCharType="begin"/>
      </w:r>
      <w:r w:rsidRPr="00CB37AB">
        <w:rPr>
          <w:rFonts w:ascii="Arial" w:hAnsi="Arial" w:cs="Arial"/>
          <w:b/>
          <w:bCs/>
          <w:color w:val="000000" w:themeColor="text1"/>
        </w:rPr>
        <w:instrText xml:space="preserve"> ADDIN ZOTERO_ITEM CSL_CITATION {"citationID":"hLordQoO","properties":{"formattedCitation":"(Attia et al., 2011)","plainCitation":"(Attia et al., 2011)","noteIndex":0},"citationItems":[{"id":66,"uris":["http://zotero.org/users/local/alnDPFsD/items/X82GKLCS"],"itemData":{"id":66,"type":"article-journal","abstract":"A novel, simple, sensitive and precise spectrofluorimetric method was developed for measuring the melamine concentration in different milk batch samples. The method was based upon measuring the quenching of the luminescence intensity of the produced yellow colored ruthenium(II) carbonyl complex of the general formula [Ru(CO)2(L)] (where L=anion of tetradentate Schiff base). The Ru(II) complex exhibited characteristic luminescence band in the visible region. The remarkable quenching of the luminescence intensity of [Ru(CO)2(L)] complex by various concentrations of melamine was successfully used as a chemosensor for the assessment of melamine in different milk samples at λex=400nm and pH 7.4 in DMSO with a linear dynamic range 1.0×10−6 to 3.0×10−9molL−1 and lower detection limit (LOD) and quantification detection limit (QOD) of 3.3×10−10 and 1.0×10−9molL−1, respectively.","container-title":"Talanta","DOI":"10.1016/j.talanta.2010.11.071","ISSN":"0039-9140","issue":"1","journalAbbreviation":"Talanta","page":"27-33","source":"ScienceDirect","title":"Determination of melamine in different milk batches using a novel chemosensor based on the luminescence quenching of Ru(II) carbonyl complex","volume":"84","author":[{"family":"Attia","given":"M. S."},{"family":"Bakir","given":"E."},{"family":"Abdel-aziz","given":"Ayman A."},{"family":"Abdel-mottaleb","given":"M. S. A."}],"issued":{"date-parts":[["2011",3,15]]}}}],"schema":"https://github.com/citation-style-language/schema/raw/master/csl-citation.json"} </w:instrText>
      </w:r>
      <w:r w:rsidRPr="00CB37AB">
        <w:rPr>
          <w:rFonts w:ascii="Arial" w:hAnsi="Arial" w:cs="Arial"/>
          <w:b/>
          <w:bCs/>
          <w:color w:val="000000" w:themeColor="text1"/>
          <w:lang w:val="fr-CI"/>
        </w:rPr>
        <w:fldChar w:fldCharType="separate"/>
      </w:r>
      <w:r w:rsidRPr="00CB37AB">
        <w:rPr>
          <w:rFonts w:ascii="Arial" w:hAnsi="Arial" w:cs="Arial"/>
          <w:b/>
          <w:bCs/>
          <w:color w:val="000000" w:themeColor="text1"/>
        </w:rPr>
        <w:t>(Attia et al., 2011)</w:t>
      </w:r>
      <w:r w:rsidRPr="00CB37AB">
        <w:rPr>
          <w:rFonts w:ascii="Arial" w:hAnsi="Arial" w:cs="Arial"/>
          <w:b/>
          <w:bCs/>
          <w:color w:val="000000" w:themeColor="text1"/>
          <w:lang w:val="fr-CI"/>
        </w:rPr>
        <w:fldChar w:fldCharType="end"/>
      </w:r>
      <w:r w:rsidRPr="007D33A1">
        <w:rPr>
          <w:rFonts w:ascii="Arial" w:hAnsi="Arial" w:cs="Arial"/>
          <w:color w:val="000000" w:themeColor="text1"/>
        </w:rPr>
        <w:t xml:space="preserve">, gas chromatography-mass spectrometry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{"citationID":"qrd1s539","properties":{"formattedCitation":"(X. Xu et al., 2009)","plainCitation":"(X. Xu et al., 2009)","noteIndex":0},"citationItems":[{"id":68,"uris":["http://zotero.org/users/local/alnDPFsD/items/ZCL925YI"],"itemData":{"id":68,"type":"article-journal","abstract":"A coupled capillary column system was developed for the qualitative and quantitative determination of melamine with isotope internal standard in dairy products by gas chromatography/mass spectrometry (GC/MS) without derivatization. A 30m of DB-5ms ((5%-phenyl)-methylpolysiloxane, 0.25mm i.d., 0.25μm df) coupled with a 1.5m of Innowax (polyethylene glycol, 0.32mm i.d., 0.25μm df) by a quartz capillary column connector was introduced as separation column. Three advantages were discussed for the coupled system. The sample was fortified with a ring-labeled 13C315N3-melamine as an isotope internal standard and extracted by 1% of trichloroacetic acid aqueous solution. 2.2% of lead acetate solution was then added to deposit protein in the sample matrix. After purification by cation exchange cartridge, the sample solution was directly injected and detected by GC/MS. A six-point calibration curve ranging from 0.05 to 2mgkg−1 of melamine in sample was used to establish instrument response. The recovery was 93.9–102% with relative standard deviation from 3.1 to 8.7% when isotope internal standard used. The calculated method detection limit was 0.01mgkg−1.","collection-title":"Young Analytical Chemists in China","container-title":"Analytica Chimica Acta","DOI":"10.1016/j.aca.2009.04.026","ISSN":"0003-2670","issue":"1","journalAbbreviation":"Analytica Chimica Acta","page":"39-43","source":"ScienceDirect","title":"Direct determination of melamine in dairy products by gas chromatography/mass spectrometry with coupled column separation","volume":"650","author":[{"family":"Xu","given":"Xiao-min"},{"family":"Ren","given":"Yi-ping"},{"family":"Zhu","given":"Yun"},{"family":"Cai","given":"Zeng-xuan"},{"family":"Han","given":"Jian-long"},{"family":"Huang","given":"Bai-fen"},{"family":"Zhu","given":"Yan"}],"issued":{"date-parts":[["2009",9,14]]}}}],"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(X. Xu et al., 2009)</w:t>
      </w:r>
      <w:r w:rsidRPr="00CB37AB">
        <w:rPr>
          <w:rFonts w:ascii="Arial" w:hAnsi="Arial" w:cs="Arial"/>
          <w:b/>
          <w:bCs/>
          <w:color w:val="000000" w:themeColor="text1"/>
        </w:rPr>
        <w:fldChar w:fldCharType="end"/>
      </w:r>
      <w:r w:rsidRPr="007D33A1">
        <w:rPr>
          <w:rFonts w:ascii="Arial" w:hAnsi="Arial" w:cs="Arial"/>
          <w:color w:val="000000" w:themeColor="text1"/>
        </w:rPr>
        <w:t xml:space="preserve">, liquid chromatography-mass spectrometry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{"citationID":"ZtSkMCj5","properties":{"formattedCitation":"(Filigenzi et al., 2007)","plainCitation":"(Filigenzi et al., 2007)","noteIndex":0},"citationItems":[{"id":70,"uris":["http://zotero.org/users/local/alnDPFsD/items/FUYUU4RA"],"itemData":{"id":70,"type":"article-journal","abstract":"In early 2007 it was determined that the compound melamine, suspected of having been involved in the deaths of numerous pets, had been fed to hogs intended for human consumption. This report describes a method for the analysis of melamine in porcine muscle tissue using solid-phase extraction (SPE) and high-performance liquid chromatography/tandem mass spectrometry (HPLC/MS/MS). Melamine was extracted in 50% acetonitrile in water. Homogenates were centrifuged and supernatants were acidified and washed with methylene chloride. The aqueous extracts were cleaned up using mixed-mode C8/strong cation exchange SPE and then concentrated, fortified with a stable isotope-labeled analog of melamine, and analyzed by HPLC/MS/MS. Gradient HPLC separation was performed using an ether-linked phenyl column with ammonium acetate/acetic acid and acetonitrile as the mobile phase. Multiple reaction monitoring (MRM) mode of two precursor-product ion transitions for melamine and one for the internal standard was used. A five point calibration curve ranging from 50 to 2000 ng/mL of melamine in solvent was used to establish instrument response. The method was validated by analysis of seven replicate porcine muscle tissue samples fortified with 10 ng/g of melamine. The mean recovery for the seven replicates was 83% with 6.5% relative standard deviation and the calculated method detection limit was 1.7 ng/g. Copyright © 2007 John Wiley &amp; Sons, Ltd.","container-title":"Rapid Communications in Mass Spectrometry","DOI":"10.1002/rcm.3289","ISSN":"1097-0231","issue":"24","language":"en","license":"Copyright © 2007 John Wiley &amp; Sons, Ltd.","note":"_eprint: https://onlinelibrary.wiley.com/doi/pdf/10.1002/rcm.3289","page":"4027-4032","source":"Wiley Online Library","title":"The determination of melamine in muscle tissue by liquid chromatography/tandem mass spectrometry","volume":"21","author":[{"family":"Filigenzi","given":"Michael S."},{"family":"Tor","given":"Elizabeth R."},{"family":"Poppenga","given":"Robert H."},{"family":"Aston","given":"Linda A."},{"family":"Puschner","given":"Birgit"}],"issued":{"date-parts":[["2007"]]}}}],"schema":"https://github.com/citation-style-language/schema/raw/master/csl-citation.json"}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(Filigenzi et al., 2007)</w:t>
      </w:r>
      <w:r w:rsidRPr="00CB37AB">
        <w:rPr>
          <w:rFonts w:ascii="Arial" w:hAnsi="Arial" w:cs="Arial"/>
          <w:b/>
          <w:bCs/>
          <w:color w:val="000000" w:themeColor="text1"/>
        </w:rPr>
        <w:fldChar w:fldCharType="end"/>
      </w:r>
      <w:r w:rsidRPr="007D33A1">
        <w:rPr>
          <w:rFonts w:ascii="Arial" w:hAnsi="Arial" w:cs="Arial"/>
          <w:color w:val="000000" w:themeColor="text1"/>
        </w:rPr>
        <w:t xml:space="preserve">, high-performance liquid chromatography </w:t>
      </w:r>
      <w:r w:rsidRPr="007D33A1">
        <w:rPr>
          <w:rFonts w:ascii="Arial" w:hAnsi="Arial" w:cs="Arial"/>
          <w:b/>
          <w:bCs/>
          <w:color w:val="000000" w:themeColor="text1"/>
        </w:rPr>
        <w:fldChar w:fldCharType="begin"/>
      </w:r>
      <w:r w:rsidRPr="007D33A1">
        <w:rPr>
          <w:rFonts w:ascii="Arial" w:hAnsi="Arial" w:cs="Arial"/>
          <w:b/>
          <w:bCs/>
          <w:color w:val="000000" w:themeColor="text1"/>
        </w:rPr>
        <w:instrText xml:space="preserve"> ADDIN ZOTERO_ITEM CSL_CITATION {"citationID":"gI2NZmKO","properties":{"formattedCitation":"(Nong et al., 2014)","plainCitation":"(Nong et al., 2014)","noteIndex":0},"citationItems":[{"id":72,"uris":["http://zotero.org/users/local/alnDPFsD/items/E5DZYFEA"],"itemData":{"id":72,"type":"article-journal","abstract":"This paper describes a fast and low-cost method for determination of melamine, an emerging environmental contaminant, in soil and sediment using ultrasonic-assisted extraction coupled with high performance liquid chromatography. The parameters used for sample pretreatment and chromatographic analysis were tested and optimized. The samples were extracted by 5% (v/v) ammonia in methanol with ultrasonic assistance for 5 min, followed by centrifugation and nitrogen blowing, without a cleaning procedure such as solid phase extraction. Chromatographic separation was achieved by a cyano column using acetonitrile/water (5/95, v/v) as the mobile phase containing no ion-pair reagent, and the quantification was carried out by an external standard method. An excellent linearity for melamine was obtained over the concentration range of 0.05–5 mg kg−1 with a correlation coefficient of 0.9999. The limit of detection (S/N = 3) and the limit of quantification (S/N = 10) for melamine were 0.01 mg kg−1 and 0.04 mg kg−1, respectively. The recovery for melamine ranged from 95.0% to 105.9%, with relative standard deviations (RSDs) (n = 3) of 1.6–5.3%. The proposed method was shown to be simple, rapid, cheap, sensitive and accurate, and was applied to the analysis of melamine in soil and sediment samples with satisfactory results.","container-title":"Analytical Methods","DOI":"10.1039/C3AY42138D","ISSN":"1759-9679","issue":"12","journalAbbreviation":"Anal. Methods","language":"en","note":"publisher: The Royal Society of Chemistry","page":"4124-4129","source":"pubs.rsc.org","title":"A fast and low-cost method for determination of melamine in soil and sediment using high performance liquid chromatography","volume":"6","author":[{"family":"Nong","given":"Yanfeng"},{"family":"Ma","given":"Xiaoguo"},{"family":"Fan","given":"Shaofeng"},{"family":"Yu","given":"Yumian"}],"issued":{"date-parts":[["2014",5,29]]}}}],"schema":"https://github.com/citation-style-language/schema/raw/master/csl-citation.json"} </w:instrText>
      </w:r>
      <w:r w:rsidRPr="007D33A1">
        <w:rPr>
          <w:rFonts w:ascii="Arial" w:hAnsi="Arial" w:cs="Arial"/>
          <w:b/>
          <w:bCs/>
          <w:color w:val="000000" w:themeColor="text1"/>
        </w:rPr>
        <w:fldChar w:fldCharType="separate"/>
      </w:r>
      <w:r w:rsidRPr="007D33A1">
        <w:rPr>
          <w:rFonts w:ascii="Arial" w:hAnsi="Arial" w:cs="Arial"/>
          <w:color w:val="000000" w:themeColor="text1"/>
        </w:rPr>
        <w:t>(Nong et al., 2014)</w:t>
      </w:r>
      <w:r w:rsidRPr="007D33A1">
        <w:rPr>
          <w:rFonts w:ascii="Arial" w:hAnsi="Arial" w:cs="Arial"/>
          <w:b/>
          <w:bCs/>
          <w:color w:val="000000" w:themeColor="text1"/>
        </w:rPr>
        <w:fldChar w:fldCharType="end"/>
      </w:r>
      <w:r w:rsidRPr="007D33A1">
        <w:rPr>
          <w:rFonts w:ascii="Arial" w:hAnsi="Arial" w:cs="Arial"/>
          <w:color w:val="000000" w:themeColor="text1"/>
        </w:rPr>
        <w:t xml:space="preserve">, fluorescence resonance energy transfer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{"citationID":"fbwmv1SI","properties":{"formattedCitation":"(Du et al., 2015)","plainCitation":"(Du et al., 2015)","noteIndex":0},"citationItems":[{"id":73,"uris":["http://zotero.org/users/local/alnDPFsD/items/U3MMXNU8"],"itemData":{"id":73,"type":"article-journal","abstract":"A turn-on chemiluminescence resonance energy transfer method was fabricated for the determination of melamine by using bis(2,4,6-trichlorophenyl)oxalate–hydrogen peroxide–fluorescein chemiluminescence reaction as a donor and dispersed gold nanoparticles as an acceptor. The chemiluminescence signal of bis(2,4,6-trichlorophenyl)oxalate–hydrogen peroxide–fluorescein reaction decreased significantly in the presence of dispersed gold nanoparticles because the absorption band of dispersed gold nanoparticles perfectly overlapped with the chemiluminescence spectrum. Melamine could induce the aggregation of gold nanoparticles, leading to a dramatic red-shift of the absorption band of dispersed gold nanoparticles. The absorption band of the aggregated gold nanoparticles does not overlap with the chemiluminescence spectrum of the reaction. In such a case, chemiluminescence resonance energy transfer could not happen and the chemiluminescence signal was restored. The procedure allowed the measurement of 3.2×10−12–3.2×10−7mol/L melamine with a limit of detection of 3×10−13mol/L. The method was applied to the determination of melamine in spiked milk samples; with recoveries within the range 94.1–104.2%.","container-title":"Spectrochimica Acta Part A: Molecular and Biomolecular Spectroscopy","DOI":"10.1016/j.saa.2015.04.067","ISSN":"1386-1425","journalAbbreviation":"Spectrochimica Acta Part A: Molecular and Biomolecular Spectroscopy","page":"698-702","source":"ScienceDirect","title":"Gold nanoparticles-based chemiluminescence resonance energy transfer for ultrasensitive detection of melamine","volume":"149","author":[{"family":"Du","given":"Jianxiu"},{"family":"Wang","given":"Yadi"},{"family":"Zhang","given":"Weimin"}],"issued":{"date-parts":[["2015",10,5]]}}}],"schema":"https://github.com/citation-style-language/schema/raw/master/csl-citation.json"}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(Du et al., 2015)</w:t>
      </w:r>
      <w:r w:rsidRPr="00CB37AB">
        <w:rPr>
          <w:rFonts w:ascii="Arial" w:hAnsi="Arial" w:cs="Arial"/>
          <w:b/>
          <w:bCs/>
          <w:color w:val="000000" w:themeColor="text1"/>
        </w:rPr>
        <w:fldChar w:fldCharType="end"/>
      </w:r>
      <w:r w:rsidRPr="007D33A1">
        <w:rPr>
          <w:rFonts w:ascii="Arial" w:hAnsi="Arial" w:cs="Arial"/>
          <w:color w:val="000000" w:themeColor="text1"/>
        </w:rPr>
        <w:t xml:space="preserve">, mid- and near-infrared spectroscopy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{"citationID":"EkBrHVXC","properties":{"formattedCitation":"(Mauer et al., 2009)","plainCitation":"(Mauer et al., 2009)","noteIndex":0},"citationItems":[{"id":75,"uris":["http://zotero.org/users/local/alnDPFsD/items/WYTPK2KA"],"itemData":{"id":75,"type":"article-journal","abstract":"Near- and mid-infrared spectroscopy methods (NIR, FTIR-ATR, FTIR-DRIFT) were evaluated for the detection and quantification of melamine in infant formula powder. Partial least-squares (PLS) models were established for correlating spectral data to melamine concentration: R2 &gt; 0.99, RMSECV ≤ 0.9, and RPD ≥ 12. Factorization analysis of spectra was able to differentiate unadulterated infant formula powder from samples containing 1 ppm melamine with no misclassifications, a confidence level of 99.99%, and selectivity &gt; 2. These nondestructive methods require little or no sample preparation. The NIR method has an assay time of 1 min, and a 2 min total time to detection. The FTIR methods require up to 5 min for melamine detection. Therefore, NIR and FTIR methods enable rapid detection of 1 ppm melamine in infant formula powder.","container-title":"Journal of Agricultural and Food Chemistry","DOI":"10.1021/jf900587m","ISSN":"0021-8561","issue":"10","journalAbbreviation":"J. Agric. Food Chem.","note":"publisher: American Chemical Society","page":"3974-3980","source":"ACS Publications","title":"Melamine Detection in Infant Formula Powder Using Near- and Mid-Infrared Spectroscopy","volume":"57","author":[{"family":"Mauer","given":"Lisa J."},{"family":"Chernyshova","given":"Alona A."},{"family":"Hiatt","given":"Ashley"},{"family":"Deering","given":"Amanda"},{"family":"Davis","given":"Reeta"}],"issued":{"date-parts":[["2009",5,27]]}}}],"schema":"https://github.com/citation-style-language/schema/raw/master/csl-citation.json"}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(Mauer et al., 2009)</w:t>
      </w:r>
      <w:r w:rsidRPr="00CB37AB">
        <w:rPr>
          <w:rFonts w:ascii="Arial" w:hAnsi="Arial" w:cs="Arial"/>
          <w:b/>
          <w:bCs/>
          <w:color w:val="000000" w:themeColor="text1"/>
        </w:rPr>
        <w:fldChar w:fldCharType="end"/>
      </w:r>
      <w:r w:rsidRPr="007D33A1">
        <w:rPr>
          <w:rFonts w:ascii="Arial" w:hAnsi="Arial" w:cs="Arial"/>
          <w:color w:val="000000" w:themeColor="text1"/>
        </w:rPr>
        <w:t xml:space="preserve">, and enzyme-linked immunosorbent assay </w:t>
      </w:r>
      <w:r w:rsidRPr="00CB37AB">
        <w:rPr>
          <w:rFonts w:ascii="Arial" w:hAnsi="Arial" w:cs="Arial"/>
          <w:b/>
          <w:bCs/>
          <w:color w:val="000000" w:themeColor="text1"/>
        </w:rPr>
        <w:fldChar w:fldCharType="begin"/>
      </w:r>
      <w:r w:rsidRPr="00CB37AB">
        <w:rPr>
          <w:rFonts w:ascii="Arial" w:hAnsi="Arial" w:cs="Arial"/>
          <w:b/>
          <w:bCs/>
          <w:color w:val="000000" w:themeColor="text1"/>
        </w:rPr>
        <w:instrText xml:space="preserve"> ADDIN ZOTERO_ITEM CSL_CITATION {"citationID":"AjLoVRt8","properties":{"formattedCitation":"(Lei et al., 2011)","plainCitation":"(Lei et al., 2011)","noteIndex":0},"citationItems":[{"id":76,"uris":["http://zotero.org/users/local/alnDPFsD/items/T23AJN99"],"itemData":{"id":76,"type":"article-journal","abstract":"An indirect competitive enzyme-linked immunosorbent assay (icELISA) with enhanced specificity for melamine in milk was developed. Three haptens of melamine with different spacer-arms were used to prepare different plate coating antigens. It was found that the icELISA show best sensitivity and specificity to melamine when using the coating antigen prepared by coupling 3-(4,6-diamino-1,6-dihydro-1,3,5-triazin-2-ylthio)propanoic acid (Hapten C) with ovalbumin (OVA). The 50% inhibitory concentration (IC50) value was 35.4 ng·mL−1, the limit of detection (LOD) was 8.9 ng·mL−1 and the detectable working range (20–80% inhibitory concentration) was from 14.9 to 108.5 ng·mL−1, respectively. Compared to the ELISA results previously reported, the developed icELISA in the present study showed a much lower cross-reactivity to cyromazine, a fly-killing insecticide widely used in vegetables and stables. Recoveries obtained from milk samples in this study were in agreement with those obtained using the HPLC-MS method, indicating the detection performance of the icELISA could meet the requirement of the residue limit set by the Codex Alimentarius Commission. Therefore, the developed immunoassay can be applied for the analysis of melamine presented in milk.","container-title":"Molecules","DOI":"10.3390/molecules16075591","ISSN":"1420-3049","issue":"7","language":"en","license":"http://creativecommons.org/licenses/by/3.0/","note":"number: 7\npublisher: Molecular Diversity Preservation International","page":"5591-5603","source":"www.mdpi.com","title":"Development of a Specifically Enhanced Enzyme-Linked Immunosorbent Assay for the Detection of Melamine in Milk","volume":"16","author":[{"family":"Lei","given":"Hongtao"},{"family":"Su","given":"Rui"},{"family":"Haughey","given":"Simon A."},{"family":"Wang","given":"Qiang"},{"family":"Xu","given":"Zhenlin"},{"family":"Yang","given":"Jinyi"},{"family":"Shen","given":"Yudong"},{"family":"Wang","given":"Hong"},{"family":"Jiang","given":"Yueming"},{"family":"Sun","given":"Yuanming"}],"issued":{"date-parts":[["2011",7]]}}}],"schema":"https://github.com/citation-style-language/schema/raw/master/csl-citation.json"} </w:instrText>
      </w:r>
      <w:r w:rsidRPr="00CB37AB">
        <w:rPr>
          <w:rFonts w:ascii="Arial" w:hAnsi="Arial" w:cs="Arial"/>
          <w:b/>
          <w:bCs/>
          <w:color w:val="000000" w:themeColor="text1"/>
        </w:rPr>
        <w:fldChar w:fldCharType="separate"/>
      </w:r>
      <w:r w:rsidRPr="00CB37AB">
        <w:rPr>
          <w:rFonts w:ascii="Arial" w:hAnsi="Arial" w:cs="Arial"/>
          <w:b/>
          <w:bCs/>
          <w:color w:val="000000" w:themeColor="text1"/>
        </w:rPr>
        <w:t>(Lei et al., 2011)</w:t>
      </w:r>
      <w:r w:rsidRPr="00CB37AB">
        <w:rPr>
          <w:rFonts w:ascii="Arial" w:hAnsi="Arial" w:cs="Arial"/>
          <w:b/>
          <w:bCs/>
          <w:color w:val="000000" w:themeColor="text1"/>
        </w:rPr>
        <w:fldChar w:fldCharType="end"/>
      </w:r>
      <w:r w:rsidRPr="007D33A1">
        <w:rPr>
          <w:rFonts w:ascii="Arial" w:hAnsi="Arial" w:cs="Arial"/>
          <w:color w:val="000000" w:themeColor="text1"/>
        </w:rPr>
        <w:t>. Most of these methods present numerous difficulties and constraints related to the rigor of the sample preparation steps, the use of expensive and sometimes toxic solvents, skilled and quality labor, or the complexity of the instrumentation. Therefore, the implementation of simple, inexpensive, rapid, selective and highly reliable techniques for the detection and quantification of traces of melamine in food products is required and highly necessary. In this regard, electrochemical techniques appear to be a promising alternative for the design of reliable methods for monitoring traces of melamine in food products. Thus, in this work, an electrochemical sensor was designed by modifying the surface of a gold electrode with silver nanoparticles capped with carbon quantum dots functionalized with cysteine ​​(</w:t>
      </w:r>
      <w:proofErr w:type="spellStart"/>
      <w:r w:rsidRPr="007D33A1">
        <w:rPr>
          <w:rFonts w:ascii="Arial" w:hAnsi="Arial" w:cs="Arial"/>
          <w:color w:val="000000" w:themeColor="text1"/>
        </w:rPr>
        <w:t>cCDs</w:t>
      </w:r>
      <w:proofErr w:type="spellEnd"/>
      <w:r w:rsidRPr="007D33A1">
        <w:rPr>
          <w:rFonts w:ascii="Arial" w:hAnsi="Arial" w:cs="Arial"/>
          <w:color w:val="000000" w:themeColor="text1"/>
        </w:rPr>
        <w:t>/</w:t>
      </w:r>
      <w:proofErr w:type="spellStart"/>
      <w:r w:rsidRPr="007D33A1">
        <w:rPr>
          <w:rFonts w:ascii="Arial" w:hAnsi="Arial" w:cs="Arial"/>
          <w:color w:val="000000" w:themeColor="text1"/>
        </w:rPr>
        <w:t>AgNPs</w:t>
      </w:r>
      <w:proofErr w:type="spellEnd"/>
      <w:r w:rsidRPr="007D33A1">
        <w:rPr>
          <w:rFonts w:ascii="Arial" w:hAnsi="Arial" w:cs="Arial"/>
          <w:color w:val="000000" w:themeColor="text1"/>
        </w:rPr>
        <w:t>). This sensor was used in Na</w:t>
      </w:r>
      <w:r w:rsidRPr="007D33A1">
        <w:rPr>
          <w:rFonts w:ascii="Arial" w:hAnsi="Arial" w:cs="Arial"/>
          <w:color w:val="000000" w:themeColor="text1"/>
          <w:vertAlign w:val="subscript"/>
        </w:rPr>
        <w:t>2</w:t>
      </w:r>
      <w:r w:rsidRPr="007D33A1">
        <w:rPr>
          <w:rFonts w:ascii="Arial" w:hAnsi="Arial" w:cs="Arial"/>
          <w:color w:val="000000" w:themeColor="text1"/>
        </w:rPr>
        <w:t>SO</w:t>
      </w:r>
      <w:r w:rsidRPr="007D33A1">
        <w:rPr>
          <w:rFonts w:ascii="Arial" w:hAnsi="Arial" w:cs="Arial"/>
          <w:color w:val="000000" w:themeColor="text1"/>
          <w:vertAlign w:val="subscript"/>
        </w:rPr>
        <w:t>4</w:t>
      </w:r>
      <w:r w:rsidRPr="007D33A1">
        <w:rPr>
          <w:rFonts w:ascii="Arial" w:hAnsi="Arial" w:cs="Arial"/>
          <w:color w:val="000000" w:themeColor="text1"/>
        </w:rPr>
        <w:t xml:space="preserve"> medium for the determination of traces of melamine. </w:t>
      </w:r>
      <w:r w:rsidRPr="007D33A1">
        <w:rPr>
          <w:rFonts w:ascii="Arial" w:hAnsi="Arial" w:cs="Arial"/>
          <w:color w:val="000000" w:themeColor="text1"/>
        </w:rPr>
        <w:lastRenderedPageBreak/>
        <w:t xml:space="preserve">Furthermore, the designed electrochemical sensor exploits the high reactivity of </w:t>
      </w:r>
      <w:proofErr w:type="spellStart"/>
      <w:r w:rsidRPr="007D33A1">
        <w:rPr>
          <w:rFonts w:ascii="Arial" w:hAnsi="Arial" w:cs="Arial"/>
          <w:color w:val="000000" w:themeColor="text1"/>
        </w:rPr>
        <w:t>cCDs</w:t>
      </w:r>
      <w:proofErr w:type="spellEnd"/>
      <w:r w:rsidRPr="007D33A1">
        <w:rPr>
          <w:rFonts w:ascii="Arial" w:hAnsi="Arial" w:cs="Arial"/>
          <w:color w:val="000000" w:themeColor="text1"/>
        </w:rPr>
        <w:t>/</w:t>
      </w:r>
      <w:proofErr w:type="spellStart"/>
      <w:r w:rsidRPr="007D33A1">
        <w:rPr>
          <w:rFonts w:ascii="Arial" w:hAnsi="Arial" w:cs="Arial"/>
          <w:color w:val="000000" w:themeColor="text1"/>
        </w:rPr>
        <w:t>AgNPs</w:t>
      </w:r>
      <w:proofErr w:type="spellEnd"/>
      <w:r w:rsidRPr="007D33A1">
        <w:rPr>
          <w:rFonts w:ascii="Arial" w:hAnsi="Arial" w:cs="Arial"/>
          <w:color w:val="000000" w:themeColor="text1"/>
        </w:rPr>
        <w:t xml:space="preserve"> based on the creation of strong hydrogen bonds between the electroactive polymer of melamine (</w:t>
      </w:r>
      <w:proofErr w:type="spellStart"/>
      <w:r w:rsidRPr="007D33A1">
        <w:rPr>
          <w:rFonts w:ascii="Arial" w:hAnsi="Arial" w:cs="Arial"/>
          <w:color w:val="000000" w:themeColor="text1"/>
        </w:rPr>
        <w:t>pMelamine</w:t>
      </w:r>
      <w:proofErr w:type="spellEnd"/>
      <w:r w:rsidRPr="007D33A1">
        <w:rPr>
          <w:rFonts w:ascii="Arial" w:hAnsi="Arial" w:cs="Arial"/>
          <w:color w:val="000000" w:themeColor="text1"/>
        </w:rPr>
        <w:t xml:space="preserve">) and the carboxyl groups strongly present on the surface of </w:t>
      </w:r>
      <w:proofErr w:type="spellStart"/>
      <w:r w:rsidRPr="007D33A1">
        <w:rPr>
          <w:rFonts w:ascii="Arial" w:hAnsi="Arial" w:cs="Arial"/>
          <w:color w:val="000000" w:themeColor="text1"/>
        </w:rPr>
        <w:t>cCQDs</w:t>
      </w:r>
      <w:proofErr w:type="spellEnd"/>
      <w:r w:rsidRPr="007D33A1">
        <w:rPr>
          <w:rFonts w:ascii="Arial" w:hAnsi="Arial" w:cs="Arial"/>
          <w:color w:val="000000" w:themeColor="text1"/>
        </w:rPr>
        <w:t xml:space="preserve">. This strong presence of hydrogen bonding could induce the adsorption of </w:t>
      </w:r>
      <w:proofErr w:type="spellStart"/>
      <w:r w:rsidRPr="007D33A1">
        <w:rPr>
          <w:rFonts w:ascii="Arial" w:hAnsi="Arial" w:cs="Arial"/>
          <w:color w:val="000000" w:themeColor="text1"/>
        </w:rPr>
        <w:t>pMelamine</w:t>
      </w:r>
      <w:proofErr w:type="spellEnd"/>
      <w:r w:rsidRPr="007D33A1">
        <w:rPr>
          <w:rFonts w:ascii="Arial" w:hAnsi="Arial" w:cs="Arial"/>
          <w:color w:val="000000" w:themeColor="text1"/>
        </w:rPr>
        <w:t xml:space="preserve"> and its ability to bind to the oxo-surface groups of the electrochemical sensor. To highlight the performance of the electrochemical sensor and the reliability of the analytical method: first, a cycle voltammetry study was carried out to define the optimal conditions and parameters for detecting traces of melamine; then, a pulsed differential voltammetry treatment made it possible to highlight the validation parameters of the designed method.</w:t>
      </w:r>
    </w:p>
    <w:p w14:paraId="4E0F28A1" w14:textId="77777777" w:rsidR="00C30CAD" w:rsidRPr="00C56606" w:rsidRDefault="00C30CAD" w:rsidP="00C30CAD">
      <w:pPr>
        <w:pStyle w:val="Body"/>
        <w:spacing w:after="0"/>
        <w:rPr>
          <w:rFonts w:ascii="Arial" w:hAnsi="Arial" w:cs="Arial"/>
          <w:color w:val="000000" w:themeColor="text1"/>
        </w:rPr>
      </w:pPr>
    </w:p>
    <w:p w14:paraId="36968686" w14:textId="77777777" w:rsidR="00C30CAD" w:rsidRPr="00C56606" w:rsidRDefault="00C30CAD" w:rsidP="00C30CAD">
      <w:pPr>
        <w:pStyle w:val="AbstHead"/>
        <w:spacing w:after="0"/>
        <w:jc w:val="both"/>
        <w:rPr>
          <w:rFonts w:ascii="Arial" w:hAnsi="Arial" w:cs="Arial"/>
          <w:color w:val="000000" w:themeColor="text1"/>
        </w:rPr>
      </w:pPr>
      <w:r w:rsidRPr="00C56606">
        <w:rPr>
          <w:rFonts w:ascii="Arial" w:hAnsi="Arial" w:cs="Arial"/>
          <w:color w:val="000000" w:themeColor="text1"/>
        </w:rPr>
        <w:t xml:space="preserve">2. material and methods </w:t>
      </w:r>
    </w:p>
    <w:p w14:paraId="47B39AF2" w14:textId="77777777" w:rsidR="00C30CAD" w:rsidRPr="00C56606" w:rsidRDefault="00C30CAD" w:rsidP="00C30CAD">
      <w:pPr>
        <w:pStyle w:val="Body"/>
        <w:spacing w:after="0"/>
        <w:rPr>
          <w:rFonts w:ascii="Arial" w:hAnsi="Arial" w:cs="Arial"/>
          <w:color w:val="000000" w:themeColor="text1"/>
        </w:rPr>
      </w:pPr>
    </w:p>
    <w:p w14:paraId="504C0EB4" w14:textId="77777777" w:rsidR="00C30CAD" w:rsidRPr="00C56606" w:rsidRDefault="00C30CAD" w:rsidP="00C30CAD">
      <w:pPr>
        <w:spacing w:line="360" w:lineRule="auto"/>
        <w:jc w:val="both"/>
        <w:rPr>
          <w:rFonts w:ascii="Arial" w:hAnsi="Arial" w:cs="Arial"/>
          <w:color w:val="000000" w:themeColor="text1"/>
          <w:sz w:val="22"/>
          <w:szCs w:val="22"/>
        </w:rPr>
      </w:pPr>
      <w:r w:rsidRPr="00C56606">
        <w:rPr>
          <w:rFonts w:ascii="Arial" w:hAnsi="Arial" w:cs="Arial"/>
          <w:b/>
          <w:bCs/>
          <w:color w:val="000000" w:themeColor="text1"/>
          <w:sz w:val="22"/>
          <w:szCs w:val="22"/>
        </w:rPr>
        <w:t>2.1. Reagents</w:t>
      </w:r>
    </w:p>
    <w:p w14:paraId="10DCF299"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All chemicals were used without prior treatment. To carry out this work, silver nitrate (AgNO</w:t>
      </w:r>
      <w:r w:rsidRPr="00C56606">
        <w:rPr>
          <w:rFonts w:ascii="Arial" w:hAnsi="Arial" w:cs="Arial"/>
          <w:color w:val="000000" w:themeColor="text1"/>
          <w:vertAlign w:val="subscript"/>
        </w:rPr>
        <w:t>3</w:t>
      </w:r>
      <w:r w:rsidRPr="00C56606">
        <w:rPr>
          <w:rFonts w:ascii="Arial" w:hAnsi="Arial" w:cs="Arial"/>
          <w:color w:val="000000" w:themeColor="text1"/>
        </w:rPr>
        <w:t xml:space="preserve">, 99%) was purchased from </w:t>
      </w:r>
      <w:proofErr w:type="spellStart"/>
      <w:r w:rsidRPr="00C56606">
        <w:rPr>
          <w:rFonts w:ascii="Arial" w:hAnsi="Arial" w:cs="Arial"/>
          <w:color w:val="000000" w:themeColor="text1"/>
        </w:rPr>
        <w:t>Scharlab</w:t>
      </w:r>
      <w:proofErr w:type="spellEnd"/>
      <w:r w:rsidRPr="00C56606">
        <w:rPr>
          <w:rFonts w:ascii="Arial" w:hAnsi="Arial" w:cs="Arial"/>
          <w:color w:val="000000" w:themeColor="text1"/>
        </w:rPr>
        <w:t xml:space="preserve"> S.L. (Spain), glycine (C</w:t>
      </w:r>
      <w:r w:rsidRPr="00C56606">
        <w:rPr>
          <w:rFonts w:ascii="Arial" w:hAnsi="Arial" w:cs="Arial"/>
          <w:color w:val="000000" w:themeColor="text1"/>
          <w:vertAlign w:val="subscript"/>
        </w:rPr>
        <w:t>2</w:t>
      </w:r>
      <w:r w:rsidRPr="00C56606">
        <w:rPr>
          <w:rFonts w:ascii="Arial" w:hAnsi="Arial" w:cs="Arial"/>
          <w:color w:val="000000" w:themeColor="text1"/>
        </w:rPr>
        <w:t>H</w:t>
      </w:r>
      <w:r w:rsidRPr="00C56606">
        <w:rPr>
          <w:rFonts w:ascii="Arial" w:hAnsi="Arial" w:cs="Arial"/>
          <w:color w:val="000000" w:themeColor="text1"/>
          <w:vertAlign w:val="subscript"/>
        </w:rPr>
        <w:t>5</w:t>
      </w:r>
      <w:r w:rsidRPr="00C56606">
        <w:rPr>
          <w:rFonts w:ascii="Arial" w:hAnsi="Arial" w:cs="Arial"/>
          <w:color w:val="000000" w:themeColor="text1"/>
        </w:rPr>
        <w:t>O</w:t>
      </w:r>
      <w:r w:rsidRPr="00C56606">
        <w:rPr>
          <w:rFonts w:ascii="Arial" w:hAnsi="Arial" w:cs="Arial"/>
          <w:color w:val="000000" w:themeColor="text1"/>
          <w:vertAlign w:val="subscript"/>
        </w:rPr>
        <w:t>2</w:t>
      </w:r>
      <w:r w:rsidRPr="00C56606">
        <w:rPr>
          <w:rFonts w:ascii="Arial" w:hAnsi="Arial" w:cs="Arial"/>
          <w:color w:val="000000" w:themeColor="text1"/>
        </w:rPr>
        <w:t>N, 98%)) and cysteine (C</w:t>
      </w:r>
      <w:r w:rsidRPr="00C56606">
        <w:rPr>
          <w:rFonts w:ascii="Arial" w:hAnsi="Arial" w:cs="Arial"/>
          <w:color w:val="000000" w:themeColor="text1"/>
          <w:vertAlign w:val="subscript"/>
        </w:rPr>
        <w:t>3</w:t>
      </w:r>
      <w:r w:rsidRPr="00C56606">
        <w:rPr>
          <w:rFonts w:ascii="Arial" w:hAnsi="Arial" w:cs="Arial"/>
          <w:color w:val="000000" w:themeColor="text1"/>
        </w:rPr>
        <w:t>H</w:t>
      </w:r>
      <w:r w:rsidRPr="00C56606">
        <w:rPr>
          <w:rFonts w:ascii="Arial" w:hAnsi="Arial" w:cs="Arial"/>
          <w:color w:val="000000" w:themeColor="text1"/>
          <w:vertAlign w:val="subscript"/>
        </w:rPr>
        <w:t>7</w:t>
      </w:r>
      <w:r w:rsidRPr="00C56606">
        <w:rPr>
          <w:rFonts w:ascii="Arial" w:hAnsi="Arial" w:cs="Arial"/>
          <w:color w:val="000000" w:themeColor="text1"/>
        </w:rPr>
        <w:t>NO</w:t>
      </w:r>
      <w:r w:rsidRPr="00C56606">
        <w:rPr>
          <w:rFonts w:ascii="Arial" w:hAnsi="Arial" w:cs="Arial"/>
          <w:color w:val="000000" w:themeColor="text1"/>
          <w:vertAlign w:val="subscript"/>
        </w:rPr>
        <w:t>2</w:t>
      </w:r>
      <w:r w:rsidRPr="00C56606">
        <w:rPr>
          <w:rFonts w:ascii="Arial" w:hAnsi="Arial" w:cs="Arial"/>
          <w:color w:val="000000" w:themeColor="text1"/>
        </w:rPr>
        <w:t>S, 98%) were acquired from Merck (Darmstadt in Germany), melamine (C</w:t>
      </w:r>
      <w:r w:rsidRPr="00C56606">
        <w:rPr>
          <w:rFonts w:ascii="Arial" w:hAnsi="Arial" w:cs="Arial"/>
          <w:color w:val="000000" w:themeColor="text1"/>
          <w:vertAlign w:val="subscript"/>
        </w:rPr>
        <w:t>3</w:t>
      </w:r>
      <w:r w:rsidRPr="00C56606">
        <w:rPr>
          <w:rFonts w:ascii="Arial" w:hAnsi="Arial" w:cs="Arial"/>
          <w:color w:val="000000" w:themeColor="text1"/>
        </w:rPr>
        <w:t>H</w:t>
      </w:r>
      <w:r w:rsidRPr="00C56606">
        <w:rPr>
          <w:rFonts w:ascii="Arial" w:hAnsi="Arial" w:cs="Arial"/>
          <w:color w:val="000000" w:themeColor="text1"/>
          <w:vertAlign w:val="subscript"/>
        </w:rPr>
        <w:t>6</w:t>
      </w:r>
      <w:r w:rsidRPr="00C56606">
        <w:rPr>
          <w:rFonts w:ascii="Arial" w:hAnsi="Arial" w:cs="Arial"/>
          <w:color w:val="000000" w:themeColor="text1"/>
        </w:rPr>
        <w:t>N</w:t>
      </w:r>
      <w:r w:rsidRPr="00C56606">
        <w:rPr>
          <w:rFonts w:ascii="Arial" w:hAnsi="Arial" w:cs="Arial"/>
          <w:color w:val="000000" w:themeColor="text1"/>
          <w:vertAlign w:val="subscript"/>
        </w:rPr>
        <w:t>6</w:t>
      </w:r>
      <w:r w:rsidRPr="00C56606">
        <w:rPr>
          <w:rFonts w:ascii="Arial" w:hAnsi="Arial" w:cs="Arial"/>
          <w:color w:val="000000" w:themeColor="text1"/>
        </w:rPr>
        <w:t> , 99%) was supplied by DAMAS-BETA, magnesium chloride (MgCl</w:t>
      </w:r>
      <w:r w:rsidRPr="00C56606">
        <w:rPr>
          <w:rFonts w:ascii="Arial" w:hAnsi="Arial" w:cs="Arial"/>
          <w:color w:val="000000" w:themeColor="text1"/>
          <w:vertAlign w:val="subscript"/>
        </w:rPr>
        <w:t>2</w:t>
      </w:r>
      <w:r w:rsidRPr="00C56606">
        <w:rPr>
          <w:rFonts w:ascii="Arial" w:hAnsi="Arial" w:cs="Arial"/>
          <w:color w:val="000000" w:themeColor="text1"/>
        </w:rPr>
        <w:t xml:space="preserve"> , 99%), soluble starch ((C</w:t>
      </w:r>
      <w:r w:rsidRPr="00C56606">
        <w:rPr>
          <w:rFonts w:ascii="Arial" w:hAnsi="Arial" w:cs="Arial"/>
          <w:color w:val="000000" w:themeColor="text1"/>
          <w:vertAlign w:val="subscript"/>
        </w:rPr>
        <w:t>6</w:t>
      </w:r>
      <w:r w:rsidRPr="00C56606">
        <w:rPr>
          <w:rFonts w:ascii="Arial" w:hAnsi="Arial" w:cs="Arial"/>
          <w:color w:val="000000" w:themeColor="text1"/>
        </w:rPr>
        <w:t>H</w:t>
      </w:r>
      <w:r w:rsidRPr="00C56606">
        <w:rPr>
          <w:rFonts w:ascii="Arial" w:hAnsi="Arial" w:cs="Arial"/>
          <w:color w:val="000000" w:themeColor="text1"/>
          <w:vertAlign w:val="subscript"/>
        </w:rPr>
        <w:t>10</w:t>
      </w:r>
      <w:r w:rsidRPr="00C56606">
        <w:rPr>
          <w:rFonts w:ascii="Arial" w:hAnsi="Arial" w:cs="Arial"/>
          <w:color w:val="000000" w:themeColor="text1"/>
        </w:rPr>
        <w:t>O</w:t>
      </w:r>
      <w:r w:rsidRPr="00C56606">
        <w:rPr>
          <w:rFonts w:ascii="Arial" w:hAnsi="Arial" w:cs="Arial"/>
          <w:color w:val="000000" w:themeColor="text1"/>
          <w:vertAlign w:val="subscript"/>
        </w:rPr>
        <w:t>5</w:t>
      </w:r>
      <w:r w:rsidRPr="00C56606">
        <w:rPr>
          <w:rFonts w:ascii="Arial" w:hAnsi="Arial" w:cs="Arial"/>
          <w:color w:val="000000" w:themeColor="text1"/>
        </w:rPr>
        <w:t>)</w:t>
      </w:r>
      <w:r w:rsidRPr="00C56606">
        <w:rPr>
          <w:rFonts w:ascii="Arial" w:hAnsi="Arial" w:cs="Arial"/>
          <w:color w:val="000000" w:themeColor="text1"/>
          <w:vertAlign w:val="subscript"/>
        </w:rPr>
        <w:t>n</w:t>
      </w:r>
      <w:r w:rsidRPr="00C56606">
        <w:rPr>
          <w:rFonts w:ascii="Arial" w:hAnsi="Arial" w:cs="Arial"/>
          <w:color w:val="000000" w:themeColor="text1"/>
        </w:rPr>
        <w:t>, 90%)  were obtained from CHEM-LAB (Belgium), aluminum sulfate (Al</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r w:rsidRPr="00C56606">
        <w:rPr>
          <w:rFonts w:ascii="Arial" w:hAnsi="Arial" w:cs="Arial"/>
          <w:color w:val="000000" w:themeColor="text1"/>
          <w:vertAlign w:val="subscript"/>
        </w:rPr>
        <w:t xml:space="preserve">3, </w:t>
      </w:r>
      <w:r w:rsidRPr="00C56606">
        <w:rPr>
          <w:rFonts w:ascii="Arial" w:hAnsi="Arial" w:cs="Arial"/>
          <w:color w:val="000000" w:themeColor="text1"/>
        </w:rPr>
        <w:t>18H</w:t>
      </w:r>
      <w:r w:rsidRPr="00C56606">
        <w:rPr>
          <w:rFonts w:ascii="Arial" w:hAnsi="Arial" w:cs="Arial"/>
          <w:color w:val="000000" w:themeColor="text1"/>
          <w:vertAlign w:val="subscript"/>
        </w:rPr>
        <w:t>2</w:t>
      </w:r>
      <w:r w:rsidRPr="00C56606">
        <w:rPr>
          <w:rFonts w:ascii="Arial" w:hAnsi="Arial" w:cs="Arial"/>
          <w:color w:val="000000" w:themeColor="text1"/>
        </w:rPr>
        <w:t>O, 99%), sodium sulfate anhydrous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 xml:space="preserve">4 </w:t>
      </w:r>
      <w:r w:rsidRPr="00C56606">
        <w:rPr>
          <w:rFonts w:ascii="Arial" w:hAnsi="Arial" w:cs="Arial"/>
          <w:color w:val="000000" w:themeColor="text1"/>
        </w:rPr>
        <w:t>, 99%), iron sulfate (FeSO</w:t>
      </w:r>
      <w:r w:rsidRPr="00C56606">
        <w:rPr>
          <w:rFonts w:ascii="Arial" w:hAnsi="Arial" w:cs="Arial"/>
          <w:color w:val="000000" w:themeColor="text1"/>
          <w:vertAlign w:val="subscript"/>
        </w:rPr>
        <w:t>4</w:t>
      </w:r>
      <w:r w:rsidRPr="00C56606">
        <w:rPr>
          <w:rFonts w:ascii="Arial" w:hAnsi="Arial" w:cs="Arial"/>
          <w:color w:val="000000" w:themeColor="text1"/>
        </w:rPr>
        <w:t>,nH</w:t>
      </w:r>
      <w:r w:rsidRPr="00C56606">
        <w:rPr>
          <w:rFonts w:ascii="Arial" w:hAnsi="Arial" w:cs="Arial"/>
          <w:color w:val="000000" w:themeColor="text1"/>
          <w:vertAlign w:val="subscript"/>
        </w:rPr>
        <w:t>2</w:t>
      </w:r>
      <w:r w:rsidRPr="00C56606">
        <w:rPr>
          <w:rFonts w:ascii="Arial" w:hAnsi="Arial" w:cs="Arial"/>
          <w:color w:val="000000" w:themeColor="text1"/>
        </w:rPr>
        <w:t>O, 84%) were obtained from PROLABO (France), ascorbic acid (C</w:t>
      </w:r>
      <w:r w:rsidRPr="00C56606">
        <w:rPr>
          <w:rFonts w:ascii="Arial" w:hAnsi="Arial" w:cs="Arial"/>
          <w:color w:val="000000" w:themeColor="text1"/>
          <w:vertAlign w:val="subscript"/>
        </w:rPr>
        <w:t>6</w:t>
      </w:r>
      <w:r w:rsidRPr="00C56606">
        <w:rPr>
          <w:rFonts w:ascii="Arial" w:hAnsi="Arial" w:cs="Arial"/>
          <w:color w:val="000000" w:themeColor="text1"/>
        </w:rPr>
        <w:t>H</w:t>
      </w:r>
      <w:r w:rsidRPr="00C56606">
        <w:rPr>
          <w:rFonts w:ascii="Arial" w:hAnsi="Arial" w:cs="Arial"/>
          <w:color w:val="000000" w:themeColor="text1"/>
          <w:vertAlign w:val="subscript"/>
        </w:rPr>
        <w:t>8</w:t>
      </w:r>
      <w:r w:rsidRPr="00C56606">
        <w:rPr>
          <w:rFonts w:ascii="Arial" w:hAnsi="Arial" w:cs="Arial"/>
          <w:color w:val="000000" w:themeColor="text1"/>
        </w:rPr>
        <w:t>O</w:t>
      </w:r>
      <w:r w:rsidRPr="00C56606">
        <w:rPr>
          <w:rFonts w:ascii="Arial" w:hAnsi="Arial" w:cs="Arial"/>
          <w:color w:val="000000" w:themeColor="text1"/>
          <w:vertAlign w:val="subscript"/>
        </w:rPr>
        <w:t>6</w:t>
      </w:r>
      <w:r w:rsidRPr="00C56606">
        <w:rPr>
          <w:rFonts w:ascii="Arial" w:hAnsi="Arial" w:cs="Arial"/>
          <w:color w:val="000000" w:themeColor="text1"/>
        </w:rPr>
        <w:t>, 99%), sulfuric acid (H</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95%), anhydrous calcium sulfate (</w:t>
      </w:r>
      <w:bookmarkStart w:id="0" w:name="_Hlk185001610"/>
      <w:r w:rsidRPr="00C56606">
        <w:rPr>
          <w:rFonts w:ascii="Arial" w:hAnsi="Arial" w:cs="Arial"/>
          <w:color w:val="000000" w:themeColor="text1"/>
        </w:rPr>
        <w:t>CaSO</w:t>
      </w:r>
      <w:r w:rsidRPr="00C56606">
        <w:rPr>
          <w:rFonts w:ascii="Arial" w:hAnsi="Arial" w:cs="Arial"/>
          <w:color w:val="000000" w:themeColor="text1"/>
          <w:vertAlign w:val="subscript"/>
        </w:rPr>
        <w:t>4</w:t>
      </w:r>
      <w:bookmarkEnd w:id="0"/>
      <w:r w:rsidRPr="00C56606">
        <w:rPr>
          <w:rFonts w:ascii="Arial" w:hAnsi="Arial" w:cs="Arial"/>
          <w:color w:val="000000" w:themeColor="text1"/>
        </w:rPr>
        <w:t>, 98%) and anhydrous magnesium sulfate (MgSO</w:t>
      </w:r>
      <w:r w:rsidRPr="00C56606">
        <w:rPr>
          <w:rFonts w:ascii="Arial" w:hAnsi="Arial" w:cs="Arial"/>
          <w:color w:val="000000" w:themeColor="text1"/>
          <w:vertAlign w:val="subscript"/>
        </w:rPr>
        <w:t>4</w:t>
      </w:r>
      <w:r w:rsidRPr="00C56606">
        <w:rPr>
          <w:rFonts w:ascii="Arial" w:hAnsi="Arial" w:cs="Arial"/>
          <w:color w:val="000000" w:themeColor="text1"/>
        </w:rPr>
        <w:t xml:space="preserve">, 98%) were provided by Chem-Lab (Belgium), magnesium oxide (MgO) was synthesized according to the protocol of </w:t>
      </w:r>
      <w:proofErr w:type="spellStart"/>
      <w:r w:rsidRPr="00C56606">
        <w:rPr>
          <w:rFonts w:ascii="Arial" w:hAnsi="Arial" w:cs="Arial"/>
          <w:color w:val="000000" w:themeColor="text1"/>
        </w:rPr>
        <w:t>Ghorbani</w:t>
      </w:r>
      <w:proofErr w:type="spellEnd"/>
      <w:r w:rsidRPr="00C56606">
        <w:rPr>
          <w:rFonts w:ascii="Arial" w:hAnsi="Arial" w:cs="Arial"/>
          <w:color w:val="000000" w:themeColor="text1"/>
        </w:rPr>
        <w:t xml:space="preserve"> et al. </w:t>
      </w:r>
      <w:r w:rsidRPr="00964C40">
        <w:rPr>
          <w:rFonts w:ascii="Arial" w:hAnsi="Arial" w:cs="Arial"/>
          <w:b/>
          <w:bCs/>
          <w:color w:val="000000" w:themeColor="text1"/>
        </w:rPr>
        <w:fldChar w:fldCharType="begin"/>
      </w:r>
      <w:r w:rsidRPr="00964C40">
        <w:rPr>
          <w:rFonts w:ascii="Arial" w:hAnsi="Arial" w:cs="Arial"/>
          <w:b/>
          <w:bCs/>
          <w:color w:val="000000" w:themeColor="text1"/>
        </w:rPr>
        <w:instrText xml:space="preserve"> ADDIN ZOTERO_ITEM CSL_CITATION {"citationID":"GpJId90B","properties":{"formattedCitation":"(Ghorbani et al., 2015)","plainCitation":"(Ghorbani et al., 2015)","noteIndex":0},"citationItems":[{"id":46,"uris":["http://zotero.org/users/local/alnDPFsD/items/CM7WPXH8"],"itemData":{"id":46,"type":"article-journal","container-title":"Orient. J. Chem","issue":"2","page":"1219–1221","source":"Google Scholar","title":"Synthesis of ZnO nanoparticles by precipitation method","volume":"31","author":[{"family":"Ghorbani","given":"Hamid Reza"},{"family":"Mehr","given":"Ferdos Parsa"},{"family":"Pazoki","given":"Hossein"},{"family":"Rahmani","given":"Behrad Mosavar"}],"issued":{"date-parts":[["2015"]]}}}],"schema":"https://github.com/citation-style-language/schema/raw/master/csl-citation.json"} </w:instrText>
      </w:r>
      <w:r w:rsidRPr="00964C40">
        <w:rPr>
          <w:rFonts w:ascii="Arial" w:hAnsi="Arial" w:cs="Arial"/>
          <w:b/>
          <w:bCs/>
          <w:color w:val="000000" w:themeColor="text1"/>
        </w:rPr>
        <w:fldChar w:fldCharType="separate"/>
      </w:r>
      <w:r w:rsidRPr="00964C40">
        <w:rPr>
          <w:rFonts w:ascii="Arial" w:hAnsi="Arial" w:cs="Arial"/>
          <w:b/>
          <w:bCs/>
          <w:color w:val="000000" w:themeColor="text1"/>
        </w:rPr>
        <w:t>(Ghorbani et al., 2015)</w:t>
      </w:r>
      <w:r w:rsidRPr="00964C40">
        <w:rPr>
          <w:rFonts w:ascii="Arial" w:hAnsi="Arial" w:cs="Arial"/>
          <w:b/>
          <w:bCs/>
          <w:color w:val="000000" w:themeColor="text1"/>
        </w:rPr>
        <w:fldChar w:fldCharType="end"/>
      </w:r>
      <w:r w:rsidRPr="00C56606">
        <w:rPr>
          <w:rFonts w:ascii="Arial" w:hAnsi="Arial" w:cs="Arial"/>
          <w:color w:val="000000" w:themeColor="text1"/>
        </w:rPr>
        <w:t>; and lemon peel samples were obtained from the fruit purchased at the local market. All experiments were done using deionized (DI) water with a resistivity of 18.25 MΩ.cm. The pH was adjusted by using sulfuric acid solution (1M) and sodium hydroxide solution (1M).</w:t>
      </w:r>
    </w:p>
    <w:p w14:paraId="07539DF2" w14:textId="77777777" w:rsidR="00C30CAD" w:rsidRPr="00C56606" w:rsidRDefault="00C30CAD" w:rsidP="00C30CAD">
      <w:pPr>
        <w:pStyle w:val="Body"/>
        <w:spacing w:after="0"/>
        <w:rPr>
          <w:rFonts w:ascii="Arial" w:hAnsi="Arial" w:cs="Arial"/>
          <w:color w:val="000000" w:themeColor="text1"/>
        </w:rPr>
      </w:pPr>
      <w:r w:rsidRPr="00C56606">
        <w:rPr>
          <w:rFonts w:ascii="Arial" w:hAnsi="Arial" w:cs="Arial"/>
          <w:color w:val="000000" w:themeColor="text1"/>
        </w:rPr>
        <w:t xml:space="preserve"> </w:t>
      </w:r>
    </w:p>
    <w:p w14:paraId="2DDEEF88" w14:textId="77777777" w:rsidR="00C30CAD" w:rsidRPr="00C56606" w:rsidRDefault="00C30CAD" w:rsidP="00C30CAD">
      <w:pPr>
        <w:spacing w:line="360" w:lineRule="auto"/>
        <w:jc w:val="both"/>
        <w:rPr>
          <w:rFonts w:ascii="Times New Roman" w:hAnsi="Times New Roman"/>
          <w:b/>
          <w:bCs/>
          <w:color w:val="000000" w:themeColor="text1"/>
          <w:sz w:val="24"/>
          <w:szCs w:val="24"/>
        </w:rPr>
      </w:pPr>
      <w:r w:rsidRPr="00C56606">
        <w:rPr>
          <w:rFonts w:ascii="Times New Roman" w:hAnsi="Times New Roman"/>
          <w:b/>
          <w:bCs/>
          <w:color w:val="000000" w:themeColor="text1"/>
          <w:sz w:val="24"/>
          <w:szCs w:val="24"/>
        </w:rPr>
        <w:t>2.2. Apparatus and electrochemical measurements</w:t>
      </w:r>
    </w:p>
    <w:p w14:paraId="5C980B19"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Melamine detection was achieved by combining two electrochemical methods. First, a cyclic voltammetry (CV) study was performed to define the optimal conditions and parameters for melamine detection; And, a differential pulsed voltammetry (DPV) study was performed to identify the validation parameters for the proposed detection method. These various studies, conducted at room temperature, were carried out using a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electrochemical workstation from the Chinese company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Instruments based in Shanghai. In these studies, the </w:t>
      </w:r>
      <w:proofErr w:type="spellStart"/>
      <w:r w:rsidRPr="00C56606">
        <w:rPr>
          <w:rFonts w:ascii="Arial" w:hAnsi="Arial" w:cs="Arial"/>
          <w:color w:val="000000" w:themeColor="text1"/>
        </w:rPr>
        <w:t>MiniONE</w:t>
      </w:r>
      <w:proofErr w:type="spellEnd"/>
      <w:r w:rsidRPr="00C56606">
        <w:rPr>
          <w:rFonts w:ascii="Arial" w:hAnsi="Arial" w:cs="Arial"/>
          <w:color w:val="000000" w:themeColor="text1"/>
        </w:rPr>
        <w:t xml:space="preserve"> workstation was installed on a conventional three-electrode system, including a modified gold electrode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used as the working electrode (d = 1 mm), in the presence of a saturated calomel electrode (SCE) and a platinum wire, which </w:t>
      </w:r>
      <w:r w:rsidRPr="00C56606">
        <w:rPr>
          <w:rFonts w:ascii="Arial" w:hAnsi="Arial" w:cs="Arial"/>
          <w:color w:val="000000" w:themeColor="text1"/>
        </w:rPr>
        <w:lastRenderedPageBreak/>
        <w:t>served as the reference and counter electrodes, respectively. Furthermore, the study of the effect of the pH of the electrolyte was made using the HI2211 pH-meter equipped with a platinum probe.</w:t>
      </w:r>
    </w:p>
    <w:p w14:paraId="4FEE9DFD" w14:textId="77777777" w:rsidR="00C30CAD" w:rsidRPr="00C56606" w:rsidRDefault="00C30CAD" w:rsidP="00C30CAD">
      <w:pPr>
        <w:pStyle w:val="Body"/>
        <w:spacing w:after="0"/>
        <w:rPr>
          <w:rFonts w:ascii="Arial" w:hAnsi="Arial" w:cs="Arial"/>
          <w:color w:val="000000" w:themeColor="text1"/>
        </w:rPr>
      </w:pPr>
    </w:p>
    <w:p w14:paraId="102FDFEF"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2.3. Fabrication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w:t>
      </w:r>
    </w:p>
    <w:p w14:paraId="17AE9251" w14:textId="6E7FE947" w:rsidR="00C30CAD" w:rsidRPr="00C56606" w:rsidRDefault="00C30CAD" w:rsidP="00C30CAD">
      <w:pPr>
        <w:pStyle w:val="Body"/>
        <w:spacing w:after="0" w:line="360" w:lineRule="auto"/>
        <w:rPr>
          <w:rFonts w:ascii="Arial" w:hAnsi="Arial" w:cs="Arial"/>
          <w:color w:val="000000" w:themeColor="text1"/>
        </w:rPr>
      </w:pPr>
      <w:r w:rsidRPr="00C56606">
        <w:rPr>
          <w:rFonts w:ascii="Arial" w:hAnsi="Arial" w:cs="Arial"/>
          <w:b/>
          <w:bCs/>
          <w:color w:val="000000" w:themeColor="text1"/>
        </w:rPr>
        <w:t xml:space="preserve">Synthesis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color w:val="000000" w:themeColor="text1"/>
        </w:rPr>
        <w:t xml:space="preserve">: The </w:t>
      </w:r>
      <w:proofErr w:type="spellStart"/>
      <w:r w:rsidRPr="00C56606">
        <w:rPr>
          <w:rFonts w:ascii="Arial" w:hAnsi="Arial" w:cs="Arial"/>
          <w:color w:val="000000" w:themeColor="text1"/>
        </w:rPr>
        <w:t>Cys-AgNPs</w:t>
      </w:r>
      <w:proofErr w:type="spellEnd"/>
      <w:r w:rsidRPr="00C56606">
        <w:rPr>
          <w:rFonts w:ascii="Arial" w:hAnsi="Arial" w:cs="Arial"/>
          <w:color w:val="000000" w:themeColor="text1"/>
        </w:rPr>
        <w:t xml:space="preserve"> nanostructures were synthesized following the previously reported method </w:t>
      </w:r>
      <w:r w:rsidRPr="00964C40">
        <w:rPr>
          <w:rFonts w:ascii="Arial" w:hAnsi="Arial" w:cs="Arial"/>
          <w:b/>
          <w:bCs/>
          <w:color w:val="000000" w:themeColor="text1"/>
        </w:rPr>
        <w:t>(</w:t>
      </w:r>
      <w:proofErr w:type="spellStart"/>
      <w:r w:rsidRPr="00964C40">
        <w:rPr>
          <w:rFonts w:ascii="Arial" w:hAnsi="Arial" w:cs="Arial"/>
          <w:b/>
          <w:bCs/>
          <w:color w:val="000000" w:themeColor="text1"/>
        </w:rPr>
        <w:t>Sylvestre</w:t>
      </w:r>
      <w:proofErr w:type="spellEnd"/>
      <w:r w:rsidRPr="00964C40">
        <w:rPr>
          <w:rFonts w:ascii="Arial" w:hAnsi="Arial" w:cs="Arial"/>
          <w:b/>
          <w:bCs/>
          <w:color w:val="000000" w:themeColor="text1"/>
        </w:rPr>
        <w:t xml:space="preserve"> et al., 2025)</w:t>
      </w:r>
      <w:r w:rsidRPr="00C56606">
        <w:rPr>
          <w:rFonts w:ascii="Arial" w:hAnsi="Arial" w:cs="Arial"/>
          <w:color w:val="000000" w:themeColor="text1"/>
        </w:rPr>
        <w:t xml:space="preserve">. In this procedure, 250 µL of pre-prepared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 xml:space="preserve"> were dispersed in 200 mL of deionized water. Subsequently, 0.01 g of AgNO</w:t>
      </w:r>
      <w:r w:rsidRPr="00C56606">
        <w:rPr>
          <w:rFonts w:ascii="Arial" w:hAnsi="Arial" w:cs="Arial"/>
          <w:color w:val="000000" w:themeColor="text1"/>
          <w:vertAlign w:val="subscript"/>
        </w:rPr>
        <w:t>3</w:t>
      </w:r>
      <w:r w:rsidRPr="00C56606">
        <w:rPr>
          <w:rFonts w:ascii="Arial" w:hAnsi="Arial" w:cs="Arial"/>
          <w:color w:val="000000" w:themeColor="text1"/>
        </w:rPr>
        <w:t xml:space="preserve"> was dissolved in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 xml:space="preserve"> solution under continuous stirring. After complete dissolution of AgNO</w:t>
      </w:r>
      <w:r w:rsidRPr="00C56606">
        <w:rPr>
          <w:rFonts w:ascii="Arial" w:hAnsi="Arial" w:cs="Arial"/>
          <w:color w:val="000000" w:themeColor="text1"/>
          <w:vertAlign w:val="subscript"/>
        </w:rPr>
        <w:t>3</w:t>
      </w:r>
      <w:r w:rsidRPr="00C56606">
        <w:rPr>
          <w:rFonts w:ascii="Arial" w:hAnsi="Arial" w:cs="Arial"/>
          <w:color w:val="000000" w:themeColor="text1"/>
        </w:rPr>
        <w:t xml:space="preserve">, 0.025 g of NaOH was added to the mixture, which immediately developed a yellow-brown coloration. The reaction system was then maintained at 65°C with gentle magnetic stirring for 5 hours to obtain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nanostructures.</w:t>
      </w:r>
    </w:p>
    <w:p w14:paraId="1F2FF3A3" w14:textId="77777777" w:rsidR="00C30CAD" w:rsidRPr="00C56606" w:rsidRDefault="00C30CAD" w:rsidP="00C30CAD">
      <w:pPr>
        <w:pStyle w:val="Body"/>
        <w:spacing w:after="0" w:line="360" w:lineRule="auto"/>
        <w:rPr>
          <w:rFonts w:ascii="Arial" w:hAnsi="Arial" w:cs="Arial"/>
          <w:color w:val="000000" w:themeColor="text1"/>
        </w:rPr>
      </w:pPr>
    </w:p>
    <w:p w14:paraId="0DA26F43" w14:textId="0A49AC4B" w:rsidR="00C30CAD" w:rsidRPr="00C56606" w:rsidRDefault="00C30CAD" w:rsidP="00C30CAD">
      <w:pPr>
        <w:pStyle w:val="Body"/>
        <w:spacing w:after="0" w:line="360" w:lineRule="auto"/>
        <w:rPr>
          <w:rFonts w:ascii="Arial" w:hAnsi="Arial" w:cs="Arial"/>
          <w:color w:val="000000" w:themeColor="text1"/>
        </w:rPr>
      </w:pPr>
      <w:r w:rsidRPr="00C56606">
        <w:rPr>
          <w:rFonts w:ascii="Arial" w:hAnsi="Arial" w:cs="Arial"/>
          <w:b/>
          <w:bCs/>
          <w:color w:val="000000" w:themeColor="text1"/>
        </w:rPr>
        <w:t>Pretreatment of the Au electrode</w:t>
      </w:r>
      <w:r w:rsidRPr="00C56606">
        <w:rPr>
          <w:rFonts w:ascii="Arial" w:hAnsi="Arial" w:cs="Arial"/>
          <w:color w:val="000000" w:themeColor="text1"/>
        </w:rPr>
        <w:t>: Before using the Au electrode, the surface of the disc was polished with alumina (slurry diameter of 0.05 mm), followed by cleaning with DI water and then ethanol for two minutes at each step. Then, this electrode was electrochemically cleaned in a sulfuric acid solution (H</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1 M) for 60 s over a potential range of -500 mV to 0 mV.</w:t>
      </w:r>
    </w:p>
    <w:p w14:paraId="2B9315EA" w14:textId="77777777" w:rsidR="00C30CAD" w:rsidRPr="00C56606" w:rsidRDefault="00C30CAD" w:rsidP="00C30CAD">
      <w:pPr>
        <w:pStyle w:val="Body"/>
        <w:spacing w:after="0" w:line="360" w:lineRule="auto"/>
        <w:rPr>
          <w:rFonts w:ascii="Arial" w:hAnsi="Arial" w:cs="Arial"/>
          <w:color w:val="000000" w:themeColor="text1"/>
        </w:rPr>
      </w:pPr>
    </w:p>
    <w:p w14:paraId="44BC6ACE" w14:textId="512266D0" w:rsidR="00C30CAD" w:rsidRPr="00C56606" w:rsidRDefault="00C30CAD" w:rsidP="00C30CAD">
      <w:pPr>
        <w:spacing w:line="360" w:lineRule="auto"/>
        <w:jc w:val="both"/>
        <w:rPr>
          <w:rFonts w:ascii="Arial" w:hAnsi="Arial" w:cs="Arial"/>
          <w:color w:val="000000" w:themeColor="text1"/>
        </w:rPr>
      </w:pP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fabrication</w:t>
      </w:r>
      <w:r w:rsidRPr="00C56606">
        <w:rPr>
          <w:rFonts w:ascii="Arial" w:hAnsi="Arial" w:cs="Arial"/>
          <w:color w:val="000000" w:themeColor="text1"/>
        </w:rPr>
        <w:t xml:space="preserve">: Following the physical, chemical, and electrochemical pretreatment of the bare Au electrode, it was rinsed one final time with deionized water prior to the deposition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on its surface. After the application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colloidal solution, the modified gold electrode was dried at room temperature (28 °C). The resultant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subsequently employed for the electrochemical detection of melamine.</w:t>
      </w:r>
    </w:p>
    <w:p w14:paraId="0B5A2E8A" w14:textId="77777777" w:rsidR="00C30CAD" w:rsidRPr="00C56606" w:rsidRDefault="00C30CAD" w:rsidP="00C30CAD">
      <w:pPr>
        <w:pStyle w:val="Body"/>
        <w:spacing w:after="0" w:line="360" w:lineRule="auto"/>
        <w:rPr>
          <w:rFonts w:ascii="Arial" w:hAnsi="Arial" w:cs="Arial"/>
          <w:color w:val="000000" w:themeColor="text1"/>
        </w:rPr>
      </w:pPr>
    </w:p>
    <w:p w14:paraId="46993E39" w14:textId="60C71E0B" w:rsidR="00390DC0"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2.4. Electrochemical detection of melamine</w:t>
      </w:r>
    </w:p>
    <w:p w14:paraId="3C82556B"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2.4.1. Cyclic </w:t>
      </w:r>
      <w:proofErr w:type="spellStart"/>
      <w:r w:rsidRPr="00C56606">
        <w:rPr>
          <w:rFonts w:ascii="Arial" w:hAnsi="Arial" w:cs="Arial"/>
          <w:b/>
          <w:bCs/>
          <w:color w:val="000000" w:themeColor="text1"/>
        </w:rPr>
        <w:t>voltammetric</w:t>
      </w:r>
      <w:proofErr w:type="spellEnd"/>
      <w:r w:rsidRPr="00C56606">
        <w:rPr>
          <w:rFonts w:ascii="Arial" w:hAnsi="Arial" w:cs="Arial"/>
          <w:b/>
          <w:bCs/>
          <w:color w:val="000000" w:themeColor="text1"/>
        </w:rPr>
        <w:t xml:space="preserve"> (CV) study</w:t>
      </w:r>
    </w:p>
    <w:p w14:paraId="64F1872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technique enabled the investigation of the behavior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in the presence of melamine over a potential range from -500 mV to 1500 mV, determined by the electrode’s sensitivity to melamine, with a scanning rate fixed at 50 mV/s. The aim of this study was to identify the optimal electrolyte for the electrochemical detection of melamine and to determine key parameters that facilitate optimal detection. These parameters include the ideal concentration of the selected electrolyte, the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bare gold electrode surface to enhance modification, the optimal scanning rate, and the ideal pH of the electrolytic solution for effective detection.</w:t>
      </w:r>
    </w:p>
    <w:p w14:paraId="20DAFC66" w14:textId="77777777" w:rsidR="00C30CAD" w:rsidRPr="00C56606" w:rsidRDefault="00C30CAD" w:rsidP="00C30CAD">
      <w:pPr>
        <w:pStyle w:val="Body"/>
        <w:spacing w:after="0"/>
        <w:rPr>
          <w:rFonts w:ascii="Arial" w:hAnsi="Arial" w:cs="Arial"/>
          <w:color w:val="000000" w:themeColor="text1"/>
        </w:rPr>
      </w:pPr>
    </w:p>
    <w:p w14:paraId="0C1199F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lastRenderedPageBreak/>
        <w:t>2.4.2. Differential Pulsed Voltammetry (DPV) Study</w:t>
      </w:r>
    </w:p>
    <w:p w14:paraId="24F3882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based on the results obtained from the cyclic voltammetry (CV) analysis, aims to evaluate specific validation parameters of the developed analytical method. In particular, the objective is to demonstrate the linearity and selectivity of melamine detection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as well as to assess the limits of detection (LOD) and quantification (LOQ), accuracy (expressed as recovery rate), and precision. All differential pulse voltammetry (DPV) measurements were conducted over a potential range from -500 mV to 0 mV, with a scan rate of 50 mV/s, a pulse time of 50 </w:t>
      </w:r>
      <w:proofErr w:type="spellStart"/>
      <w:r w:rsidRPr="00C56606">
        <w:rPr>
          <w:rFonts w:ascii="Arial" w:hAnsi="Arial" w:cs="Arial"/>
          <w:color w:val="000000" w:themeColor="text1"/>
        </w:rPr>
        <w:t>ms</w:t>
      </w:r>
      <w:proofErr w:type="spellEnd"/>
      <w:r w:rsidRPr="00C56606">
        <w:rPr>
          <w:rFonts w:ascii="Arial" w:hAnsi="Arial" w:cs="Arial"/>
          <w:color w:val="000000" w:themeColor="text1"/>
        </w:rPr>
        <w:t xml:space="preserve">, a sampling time of 100 </w:t>
      </w:r>
      <w:proofErr w:type="spellStart"/>
      <w:r w:rsidRPr="00C56606">
        <w:rPr>
          <w:rFonts w:ascii="Arial" w:hAnsi="Arial" w:cs="Arial"/>
          <w:color w:val="000000" w:themeColor="text1"/>
        </w:rPr>
        <w:t>ms</w:t>
      </w:r>
      <w:proofErr w:type="spellEnd"/>
      <w:r w:rsidRPr="00C56606">
        <w:rPr>
          <w:rFonts w:ascii="Arial" w:hAnsi="Arial" w:cs="Arial"/>
          <w:color w:val="000000" w:themeColor="text1"/>
        </w:rPr>
        <w:t>, a rest time of 2 s, and an amplitude of 100 mV. The melamine concentration range tested was between 5 ng/mL and 50 ng/</w:t>
      </w:r>
      <w:proofErr w:type="spellStart"/>
      <w:r w:rsidRPr="00C56606">
        <w:rPr>
          <w:rFonts w:ascii="Arial" w:hAnsi="Arial" w:cs="Arial"/>
          <w:color w:val="000000" w:themeColor="text1"/>
        </w:rPr>
        <w:t>mL.</w:t>
      </w:r>
      <w:proofErr w:type="spellEnd"/>
    </w:p>
    <w:p w14:paraId="2DBC2581" w14:textId="77777777" w:rsidR="00C30CAD" w:rsidRPr="00C56606" w:rsidRDefault="00C30CAD" w:rsidP="00C30CAD">
      <w:pPr>
        <w:pStyle w:val="Body"/>
        <w:spacing w:after="0"/>
        <w:rPr>
          <w:rFonts w:ascii="Arial" w:hAnsi="Arial" w:cs="Arial"/>
          <w:color w:val="000000" w:themeColor="text1"/>
        </w:rPr>
      </w:pPr>
    </w:p>
    <w:p w14:paraId="25F782B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2.5. Application in a food matrix</w:t>
      </w:r>
    </w:p>
    <w:p w14:paraId="235E201D" w14:textId="0C3B3356"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For the purposes of these studies, various powdered milk samples were artificially contaminated with melamine in the laboratory. An extraction protocol, based on the method proposed by Kumar et al., was subsequently applied, followed by detection using the newly developed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The detection was carried out by differential pulse voltammetry (DPV) in 25 mL of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at pH 7.5, containing one milliliter (1 mL) of the extract from each powdered milk sample.</w:t>
      </w:r>
    </w:p>
    <w:p w14:paraId="6D02C183" w14:textId="77777777" w:rsidR="00C30CAD" w:rsidRPr="00C56606" w:rsidRDefault="00C30CAD" w:rsidP="00C30CAD">
      <w:pPr>
        <w:pStyle w:val="Body"/>
        <w:spacing w:after="0"/>
        <w:rPr>
          <w:rFonts w:ascii="Arial" w:hAnsi="Arial" w:cs="Arial"/>
          <w:color w:val="000000" w:themeColor="text1"/>
        </w:rPr>
      </w:pPr>
    </w:p>
    <w:p w14:paraId="6C1988EC" w14:textId="713B2007" w:rsidR="00C30CAD" w:rsidRDefault="00C30CAD" w:rsidP="00C30CAD">
      <w:pPr>
        <w:pStyle w:val="Head1"/>
        <w:spacing w:after="0"/>
        <w:jc w:val="both"/>
        <w:rPr>
          <w:rFonts w:ascii="Arial" w:hAnsi="Arial" w:cs="Arial"/>
          <w:color w:val="000000" w:themeColor="text1"/>
        </w:rPr>
      </w:pPr>
      <w:r w:rsidRPr="00C56606">
        <w:rPr>
          <w:rFonts w:ascii="Arial" w:hAnsi="Arial" w:cs="Arial"/>
          <w:color w:val="000000" w:themeColor="text1"/>
        </w:rPr>
        <w:t>3. results and discussion</w:t>
      </w:r>
    </w:p>
    <w:p w14:paraId="362273F4" w14:textId="77777777" w:rsidR="007E11D1" w:rsidRPr="00C56606" w:rsidRDefault="007E11D1" w:rsidP="00C30CAD">
      <w:pPr>
        <w:pStyle w:val="Head1"/>
        <w:spacing w:after="0"/>
        <w:jc w:val="both"/>
        <w:rPr>
          <w:rFonts w:ascii="Arial" w:hAnsi="Arial" w:cs="Arial"/>
          <w:color w:val="000000" w:themeColor="text1"/>
        </w:rPr>
      </w:pPr>
    </w:p>
    <w:p w14:paraId="2AA6B9BA"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3.1. Electrochemical behavior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in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w:t>
      </w:r>
    </w:p>
    <w:p w14:paraId="592FCEF0"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study of electrochemical behavior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by CV in 25 mL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(0.1 M, 5 &lt; pH &lt; 9) in the presence of melamine (0.24 µg/mL) with a scan rate of 50 mV/s in the spectrum of Fig.1.</w:t>
      </w:r>
    </w:p>
    <w:p w14:paraId="1A22BA23" w14:textId="381B7CF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In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(Fig.1. a), the Au electrode presents six characteristic peaks including three oxidation peaks (-30 mV; 486 mV; 1100 mV) and three reduction peaks (-114 mV; 166 mV and 66 mV). In this configuration of the Au electrode, the -114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w:t>
      </w:r>
      <w:r w:rsidRPr="00C56606">
        <w:rPr>
          <w:rFonts w:ascii="Arial" w:hAnsi="Arial" w:cs="Arial"/>
          <w:color w:val="000000" w:themeColor="text1"/>
        </w:rPr>
        <w:t xml:space="preserve">-30 mV and </w:t>
      </w:r>
      <w:r w:rsidR="002430EB" w:rsidRPr="00C56606">
        <w:rPr>
          <w:rFonts w:ascii="Arial" w:hAnsi="Arial" w:cs="Arial"/>
          <w:color w:val="000000" w:themeColor="text1"/>
        </w:rPr>
        <w:t>66</w:t>
      </w:r>
      <w:r w:rsidRPr="00C56606">
        <w:rPr>
          <w:rFonts w:ascii="Arial" w:hAnsi="Arial" w:cs="Arial"/>
          <w:color w:val="000000" w:themeColor="text1"/>
        </w:rPr>
        <w:t xml:space="preserve">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1100</w:t>
      </w:r>
      <w:r w:rsidRPr="00C56606">
        <w:rPr>
          <w:rFonts w:ascii="Arial" w:hAnsi="Arial" w:cs="Arial"/>
          <w:color w:val="000000" w:themeColor="text1"/>
        </w:rPr>
        <w:t xml:space="preserve"> mV peaks could correspond to surface redox reaction peaks but not detectable. And, the </w:t>
      </w:r>
      <w:r w:rsidR="002430EB" w:rsidRPr="00C56606">
        <w:rPr>
          <w:rFonts w:ascii="Arial" w:hAnsi="Arial" w:cs="Arial"/>
          <w:color w:val="000000" w:themeColor="text1"/>
        </w:rPr>
        <w:t>166</w:t>
      </w:r>
      <w:r w:rsidRPr="00C56606">
        <w:rPr>
          <w:rFonts w:ascii="Arial" w:hAnsi="Arial" w:cs="Arial"/>
          <w:color w:val="000000" w:themeColor="text1"/>
        </w:rPr>
        <w:t xml:space="preserve"> </w:t>
      </w:r>
      <w:r w:rsidR="002430EB" w:rsidRPr="00C56606">
        <w:rPr>
          <w:rFonts w:ascii="Arial" w:hAnsi="Arial" w:cs="Arial"/>
          <w:color w:val="000000" w:themeColor="text1"/>
        </w:rPr>
        <w:t xml:space="preserve">mV </w:t>
      </w:r>
      <w:r w:rsidRPr="00C56606">
        <w:rPr>
          <w:rFonts w:ascii="Arial" w:hAnsi="Arial" w:cs="Arial"/>
          <w:color w:val="000000" w:themeColor="text1"/>
        </w:rPr>
        <w:t>/</w:t>
      </w:r>
      <w:r w:rsidR="002430EB" w:rsidRPr="00C56606">
        <w:rPr>
          <w:rFonts w:ascii="Arial" w:hAnsi="Arial" w:cs="Arial"/>
          <w:color w:val="000000" w:themeColor="text1"/>
        </w:rPr>
        <w:t xml:space="preserve"> 468</w:t>
      </w:r>
      <w:r w:rsidRPr="00C56606">
        <w:rPr>
          <w:rFonts w:ascii="Arial" w:hAnsi="Arial" w:cs="Arial"/>
          <w:color w:val="000000" w:themeColor="text1"/>
        </w:rPr>
        <w:t xml:space="preserve"> mV peaks, representing the most important characteristics of the </w:t>
      </w:r>
      <w:proofErr w:type="spellStart"/>
      <w:r w:rsidRPr="00C56606">
        <w:rPr>
          <w:rFonts w:ascii="Arial" w:hAnsi="Arial" w:cs="Arial"/>
          <w:color w:val="000000" w:themeColor="text1"/>
        </w:rPr>
        <w:t>voltammetric</w:t>
      </w:r>
      <w:proofErr w:type="spellEnd"/>
      <w:r w:rsidRPr="00C56606">
        <w:rPr>
          <w:rFonts w:ascii="Arial" w:hAnsi="Arial" w:cs="Arial"/>
          <w:color w:val="000000" w:themeColor="text1"/>
        </w:rPr>
        <w:t xml:space="preserve"> cycle, could reflect the rapid loss of the most active Au atoms present on the surface of the Au electrode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{"citationID":"AdmYMfjt","properties":{"formattedCitation":"(Burke et al., 2003)","plainCitation":"(Burke et al., 2003)","noteIndex":0},"citationItems":[{"id":78,"uris":["http://zotero.org/users/local/alnDPFsD/items/FBG95W9Z"],"itemData":{"id":78,"type":"article-journal","abstract":"Gold is the noblest of metals and it is widely assumed that the surface of a gold electrode only begins to undergo oxidation in aqueous media at ca. 1.36 V (RHE) in acid or ca. 1.25 V in base. However, recent work in this laboratory has shown that, following thermal activation, gold atoms at the surface of a gold electrode may undergo oxidation in acid solution at potentials as low as 0.3 V. In the present work, in which the gold was allowed to cool rapidly from the molten state, oxidation responses were observed for gold in base at E&lt;0.0 V. Such unusual behaviour is attributed to low gold-atom lattice stabilization energy plus the operation of a super-Nernstian E/pH effect. It appears, as outlined recently for silver, that a range of surface active states are available for metals; these give rise to a range of premonolayer oxidation and multilayer hydrous oxide reduction responses; such non-equilibrium surface states are often quite important with regard to electrocatalysis.","container-title":"Journal of Solid State Electrochemistry","DOI":"10.1007/s10008-003-0359-y","ISSN":"1433-0768","issue":"9","journalAbbreviation":"J Solid State Electrochem","language":"en","page":"529-538","source":"Springer Link","title":"Cyclic voltammetry responses of metastable gold electrodes in aqueous media","volume":"7","author":[{"family":"Burke","given":"L. Declan"},{"family":"Moran","given":"Jean M."},{"family":"Nugent","given":"Patrick F."}],"issued":{"date-parts":[["2003",9,1]]}}}],"schema":"https://github.com/citation-style-language/schema/raw/master/csl-citation.json"}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(Burke et al., 2003)</w:t>
      </w:r>
      <w:r w:rsidRPr="00C56606">
        <w:rPr>
          <w:rFonts w:ascii="Arial" w:hAnsi="Arial" w:cs="Arial"/>
          <w:b/>
          <w:bCs/>
          <w:color w:val="000000" w:themeColor="text1"/>
        </w:rPr>
        <w:fldChar w:fldCharType="end"/>
      </w:r>
      <w:r w:rsidRPr="00C56606">
        <w:rPr>
          <w:rFonts w:ascii="Arial" w:hAnsi="Arial" w:cs="Arial"/>
          <w:i/>
          <w:iCs/>
          <w:color w:val="000000" w:themeColor="text1"/>
        </w:rPr>
        <w:t>.</w:t>
      </w:r>
      <w:r w:rsidRPr="00C56606">
        <w:rPr>
          <w:rFonts w:ascii="Arial" w:hAnsi="Arial" w:cs="Arial"/>
          <w:color w:val="000000" w:themeColor="text1"/>
        </w:rPr>
        <w:t xml:space="preserve"> Moreover, the fact that the I</w:t>
      </w:r>
      <w:r w:rsidRPr="00C56606">
        <w:rPr>
          <w:rFonts w:ascii="Arial" w:hAnsi="Arial" w:cs="Arial"/>
          <w:color w:val="000000" w:themeColor="text1"/>
          <w:vertAlign w:val="subscript"/>
        </w:rPr>
        <w:t>166</w:t>
      </w:r>
      <w:r w:rsidRPr="00C56606">
        <w:rPr>
          <w:rFonts w:ascii="Arial" w:hAnsi="Arial" w:cs="Arial"/>
          <w:color w:val="000000" w:themeColor="text1"/>
        </w:rPr>
        <w:t xml:space="preserve"> peak of the Au electrode is more intense than that of the I</w:t>
      </w:r>
      <w:r w:rsidRPr="00C56606">
        <w:rPr>
          <w:rFonts w:ascii="Arial" w:hAnsi="Arial" w:cs="Arial"/>
          <w:color w:val="000000" w:themeColor="text1"/>
          <w:vertAlign w:val="subscript"/>
        </w:rPr>
        <w:t>166</w:t>
      </w:r>
      <w:r w:rsidRPr="00C56606">
        <w:rPr>
          <w:rFonts w:ascii="Arial" w:hAnsi="Arial" w:cs="Arial"/>
          <w:color w:val="000000" w:themeColor="text1"/>
        </w:rPr>
        <w:t xml:space="preserve"> peak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could justify the surface modification of the Au electrode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This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layer would act as a surface protective layer preventing the unstable surface Au atoms. Moreover, Fig. 1.c and d which respectively describe the electrochemical behavior of the Au and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electrodes in the presence of melamine reveals a sensitivity of the </w:t>
      </w:r>
      <w:proofErr w:type="spellStart"/>
      <w:r w:rsidRPr="00C56606">
        <w:rPr>
          <w:rFonts w:ascii="Arial" w:hAnsi="Arial" w:cs="Arial"/>
          <w:color w:val="000000" w:themeColor="text1"/>
        </w:rPr>
        <w:lastRenderedPageBreak/>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with melamine unlike the bare gold electrode. Indeed, the cyclic voltammogram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presents an obvious increase at the reduction peak at 166 mV and a weak modification of the oxidation peaks at 468 mV (Fig. 1.d). It is therefore evident that the presence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enhances the sensitivity of the Au electrode by initiating an electron transfer process in the said reaction medium according to the studies carried out by Kar, P., et al.,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{"citationID":"ORcI8BxF","properties":{"formattedCitation":"(Kar et al., 2013)","plainCitation":"(Kar et al., 2013)","noteIndex":0},"citationItems":[{"id":79,"uris":["http://zotero.org/users/local/alnDPFsD/items/2TVTWREL"],"itemData":{"id":79,"type":"article-journal","abstract":"This paper investigates the effect of silver nanoparticles on the electron transfer at bio-functionalized gold electrode interfaces. In its first part, it describes synthesis of silver nanoparticles (Ag-NP) and their bioconjugation with biotin or avidin. Then, it presents modification of gold electrodes by self-assembled monolayer of mercaptopropionic acid (MPA) and subsequent crosslinking of biotin or avidin. Finally, the Ag-NP bioconjugated respectively with avidin or biotin were anchored via biorecognition on these layers. The stepwise electrode modification was confirmed by quartz crystal microbalance (QCM) and changes of interfacial electron transfer process were examined by cyclic voltammetry (CV) and electrochemical impedance spectroscopy (EIS) with [Fe(CN)6]3−/4− redox probe. For modified electrodes without Ag-NP, CV present high differences between anodic and cathodic peaks potentials (ΔEp=205 and 105mV) and high charge transfer resistance (Rct=8000 and 612Ω) are measured. On the other hand, modified electrodes with Ag-NP exhibit smaller ΔEp (80mV for both) and Rct (377 and 398Ω). This decrease in charge transfer resistance when the last layer of modified electrode contains Ag-NP indicates that silver nanoparticles enhance the electron transfer through the organic layer of modified gold electrode.","container-title":"Journal of Electroanalytical Chemistry","DOI":"10.1016/j.jelechem.2012.12.020","ISSN":"1572-6657","journalAbbreviation":"Journal of Electroanalytical Chemistry","page":"17-25","source":"ScienceDirect","title":"Silver nanoparticles to improve electron transfer at interfaces of gold electrodes modified by biotin or avidin","volume":"692","author":[{"family":"Kar","given":"P."},{"family":"Tatard","given":"F."},{"family":"Lamblin","given":"G."},{"family":"Banet","given":"P."},{"family":"Aubert","given":"P. H."},{"family":"Plesse","given":"C."},{"family":"Chevrot","given":"C."}],"issued":{"date-parts":[["2013",3,1]]}}}],"schema":"https://github.com/citation-style-language/schema/raw/master/csl-citation.json"}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(Kar et al., 2013)</w:t>
      </w:r>
      <w:r w:rsidRPr="00C56606">
        <w:rPr>
          <w:rFonts w:ascii="Arial" w:hAnsi="Arial" w:cs="Arial"/>
          <w:b/>
          <w:bCs/>
          <w:color w:val="000000" w:themeColor="text1"/>
        </w:rPr>
        <w:fldChar w:fldCharType="end"/>
      </w:r>
      <w:r w:rsidRPr="00C56606">
        <w:rPr>
          <w:rFonts w:ascii="Arial" w:hAnsi="Arial" w:cs="Arial"/>
          <w:color w:val="000000" w:themeColor="text1"/>
        </w:rPr>
        <w:t>. Thus, the new electrode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emits an electrochemical response in the presence of melamine in the neutral medium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Indeed, Guan-Ping has shown that in a neutral aqueous medium, melamine can undergo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to give a very electroactive product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{"citationID":"hZCFW00t","properties":{"formattedCitation":"(Guan-Ping et al., 2011)","plainCitation":"(Guan-Ping et al., 2011)","noteIndex":0},"citationItems":[{"id":81,"uris":["http://zotero.org/users/local/alnDPFsD/items/8Z6LUSBJ"],"itemData":{"id":81,"type":"article-journal","abstract":"The electrochemical behaviors of melamine (MEL) were studied at paraffin-impregnated graphite electrode in PBS (pH 7.0) and 0.5 M H2SO4. Various methods including UV–vis thin-layer spectroelectrochemistry, infrared spectra (IR) and electrochemicatry have been performed to investigate the characteristics. In 0.1 M PBS (pH 7.0), MEL loses two electrons to form a dication, which couples head-to-head with a neutral molecule of MEL to form a dimer accompanying the production of azocompound, the dimer plays a role of a monomer in the following polymerization. In 0.5 M H2SO4, unstable MEL mostly hydrolyzes to form ammeline, ammelide, s-triazine-2,4,6-trion, and tricyanic acid, respectively; The hydrolysis could be accelerated by electrochemical method; Meanwhile, MEL associates tricyanic acid to give a plane molecule cake by hydrogen bonding. The spectra responses of MEL at 205 and 234 nm are linearly increasing in a same concentration range of 1.0 × 10−7–1.0 × 10−5 M in 0.5 M H2SO4 (determination limit, 1 × 10−8 and 3 × 10−8 (3σ)). The proposed method was successfully applied to the determination of MEL in real sample.","container-title":"Journal of Solid State Electrochemistry","DOI":"10.1007/s10008-010-1249-8","ISSN":"1433-0768","issue":"11","journalAbbreviation":"J Solid State Electrochem","language":"en","page":"2653-2659","source":"Springer Link","title":"Electrochemical behaviors and determination of melamine in neutral and acid aqueous media","volume":"15","author":[{"family":"Guan-Ping","given":"Jin"},{"family":"Bo","given":"Yu"},{"family":"Zhen-Xin","given":"Chen"},{"family":"Xiu-Yu","given":"Chen"},{"family":"Ming","given":"Zhang"},{"family":"Chang","given":"Zhao"}],"issued":{"date-parts":[["2011",12,1]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(Guan-Ping et al., 2011)</w:t>
      </w:r>
      <w:r w:rsidRPr="00C56606">
        <w:rPr>
          <w:rFonts w:ascii="Arial" w:hAnsi="Arial" w:cs="Arial"/>
          <w:b/>
          <w:bCs/>
          <w:color w:val="000000" w:themeColor="text1"/>
        </w:rPr>
        <w:fldChar w:fldCharType="end"/>
      </w:r>
      <w:r w:rsidRPr="00C56606">
        <w:rPr>
          <w:rFonts w:ascii="Arial" w:hAnsi="Arial" w:cs="Arial"/>
          <w:color w:val="000000" w:themeColor="text1"/>
        </w:rPr>
        <w:t xml:space="preserve">. Moreover, this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of melamine necessarily requires the presence of traces of an active chlorine species (Cl , </w:t>
      </w:r>
      <w:proofErr w:type="spellStart"/>
      <w:r w:rsidRPr="00C56606">
        <w:rPr>
          <w:rFonts w:ascii="Arial" w:hAnsi="Arial" w:cs="Arial"/>
          <w:color w:val="000000" w:themeColor="text1"/>
        </w:rPr>
        <w:t>ClOH</w:t>
      </w:r>
      <w:proofErr w:type="spellEnd"/>
      <w:r w:rsidRPr="00C56606">
        <w:rPr>
          <w:rFonts w:ascii="Arial" w:hAnsi="Arial" w:cs="Arial"/>
          <w:color w:val="000000" w:themeColor="text1"/>
        </w:rPr>
        <w:t xml:space="preserve">, </w:t>
      </w:r>
      <w:proofErr w:type="spellStart"/>
      <w:r w:rsidRPr="00C56606">
        <w:rPr>
          <w:rFonts w:ascii="Arial" w:hAnsi="Arial" w:cs="Arial"/>
          <w:color w:val="000000" w:themeColor="text1"/>
        </w:rPr>
        <w:t>ClO</w:t>
      </w:r>
      <w:proofErr w:type="spellEnd"/>
      <w:r w:rsidRPr="00C56606">
        <w:rPr>
          <w:rFonts w:ascii="Arial" w:hAnsi="Arial" w:cs="Arial"/>
          <w:color w:val="000000" w:themeColor="text1"/>
          <w:vertAlign w:val="superscript"/>
        </w:rPr>
        <w:t xml:space="preserve"> ̶</w:t>
      </w:r>
      <w:r w:rsidRPr="00C56606">
        <w:rPr>
          <w:rFonts w:ascii="Arial" w:hAnsi="Arial" w:cs="Arial"/>
          <w:color w:val="000000" w:themeColor="text1"/>
        </w:rPr>
        <w:t xml:space="preserve"> ,…)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{"citationID":"fdyVOXEy","properties":{"formattedCitation":"(S. Chen et al., 2018)","plainCitation":"(S. Chen et al., 2018)","noteIndex":0},"citationItems":[{"id":82,"uris":["http://zotero.org/users/local/alnDPFsD/items/2PSKNGVP"],"itemData":{"id":82,"type":"article-journal","abstract":"Electropolymerization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ions. The key effects of the acidity of solution, potential window and concentration of Cl− ions and melamine monomer on the polymelamine (pMel) deposition have been further confirmed one by one, respectively. We proved that presence of Cl− ions is the necessary condition rather than H+. The electropolymerization of melamine is very sensitive to Cl−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platforms.","container-title":"Electrochimica Acta","DOI":"10.1016/j.electacta.2018.03.146","ISSN":"0013-4686","journalAbbreviation":"Electrochimica Acta","page":"312-318","source":"ScienceDirect","title":"New insight into electropolymerization of melamine. I: Chloride promoted growth of polymelamine in different pH medium","title-short":"New insight into electropolymerization of melamine. I","volume":"271","author":[{"family":"Chen","given":"Shu"},{"family":"Liu","given":"Siyuan"},{"family":"Wen","given":"Aoli"},{"family":"Zhang","given":"Jie"},{"family":"Nie","given":"Huidong"},{"family":"Chen","given":"Jian"},{"family":"Zeng","given":"Rongjin"},{"family":"Long","given":"Yunfei"},{"family":"Jin","given":"Yongxi"},{"family":"Mai","given":"Ruimin"}],"issued":{"date-parts":[["2018",5,1]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(S. Chen et al., 2018)</w:t>
      </w:r>
      <w:r w:rsidRPr="00C56606">
        <w:rPr>
          <w:rFonts w:ascii="Arial" w:hAnsi="Arial" w:cs="Arial"/>
          <w:b/>
          <w:bCs/>
          <w:color w:val="000000" w:themeColor="text1"/>
        </w:rPr>
        <w:fldChar w:fldCharType="end"/>
      </w:r>
      <w:r w:rsidRPr="00C56606">
        <w:rPr>
          <w:rFonts w:ascii="Arial" w:hAnsi="Arial" w:cs="Arial"/>
          <w:color w:val="000000" w:themeColor="text1"/>
        </w:rPr>
        <w:t>. Thus, the neutral medium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with a proportion of 0.001% chlorine was chosen as the ideal electrolytic medium for the detection of melamine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Under this condition, trace chlorine will have almost no effect on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present on the surface of the Au electrode.</w:t>
      </w:r>
    </w:p>
    <w:p w14:paraId="414B883D"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43AA8D5B" wp14:editId="00FDA664">
            <wp:extent cx="3611880" cy="2217420"/>
            <wp:effectExtent l="0" t="0" r="7620" b="0"/>
            <wp:docPr id="15183270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1880" cy="2217420"/>
                    </a:xfrm>
                    <a:prstGeom prst="rect">
                      <a:avLst/>
                    </a:prstGeom>
                    <a:noFill/>
                  </pic:spPr>
                </pic:pic>
              </a:graphicData>
            </a:graphic>
          </wp:inline>
        </w:drawing>
      </w:r>
    </w:p>
    <w:p w14:paraId="09B6567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b/>
          <w:bCs/>
          <w:color w:val="000000" w:themeColor="text1"/>
        </w:rPr>
        <w:t xml:space="preserve">Fig. 1. Cyclic voltammograms of bare Au and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in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 xml:space="preserve">4 </w:t>
      </w:r>
      <w:r w:rsidRPr="00C56606">
        <w:rPr>
          <w:rFonts w:ascii="Arial" w:hAnsi="Arial" w:cs="Arial"/>
          <w:b/>
          <w:bCs/>
          <w:color w:val="000000" w:themeColor="text1"/>
        </w:rPr>
        <w:t xml:space="preserve">solution. (a) bare Au and (b)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/Au without melamine; (c) bare Au and (d)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with melamine (2.4 µg/mL</w:t>
      </w:r>
      <w:r w:rsidRPr="00C56606">
        <w:rPr>
          <w:rFonts w:ascii="Arial" w:hAnsi="Arial" w:cs="Arial"/>
          <w:color w:val="000000" w:themeColor="text1"/>
        </w:rPr>
        <w:t xml:space="preserve">). </w:t>
      </w:r>
    </w:p>
    <w:p w14:paraId="0E690383"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 Optimization of Melamine Detection Conditions</w:t>
      </w:r>
    </w:p>
    <w:p w14:paraId="6DB85FA0"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To define optimal conditions for melamine detection in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optimization studies of certain performance parameters using cyclic voltammetry were conducted. These were the electrolyte concentration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the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Au electrode surface, the scanning speed during the tests, and the pH of the electrolyte solution. For each of these studies, the melamine concentration in the reaction medium was set at 0.240 µg/</w:t>
      </w:r>
      <w:proofErr w:type="spellStart"/>
      <w:r w:rsidRPr="00C56606">
        <w:rPr>
          <w:rFonts w:ascii="Arial" w:hAnsi="Arial" w:cs="Arial"/>
          <w:color w:val="000000" w:themeColor="text1"/>
        </w:rPr>
        <w:t>mL.</w:t>
      </w:r>
      <w:proofErr w:type="spellEnd"/>
    </w:p>
    <w:p w14:paraId="55396F51" w14:textId="77777777" w:rsidR="00C30CAD" w:rsidRPr="00C56606" w:rsidRDefault="00C30CAD" w:rsidP="00C30CAD">
      <w:pPr>
        <w:spacing w:line="360" w:lineRule="auto"/>
        <w:jc w:val="both"/>
        <w:rPr>
          <w:rFonts w:ascii="Arial" w:hAnsi="Arial" w:cs="Arial"/>
          <w:color w:val="000000" w:themeColor="text1"/>
        </w:rPr>
      </w:pPr>
    </w:p>
    <w:p w14:paraId="17704960"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3.2.1. Effect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Concentration</w:t>
      </w:r>
    </w:p>
    <w:p w14:paraId="49BB9E46" w14:textId="51D505A2"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In the presence of melamine, a study was conducted to determine the optimal concentration of the electrolytic solution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For this study, seven different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concentrations in the range from 0.005 M to 0.200 M were considered with a scan rate set at 50 mV/s. The results of this study are presented in Fig. </w:t>
      </w:r>
      <w:proofErr w:type="gramStart"/>
      <w:r w:rsidRPr="00C56606">
        <w:rPr>
          <w:rFonts w:ascii="Arial" w:hAnsi="Arial" w:cs="Arial"/>
          <w:color w:val="000000" w:themeColor="text1"/>
        </w:rPr>
        <w:t>2 :</w:t>
      </w:r>
      <w:proofErr w:type="gramEnd"/>
    </w:p>
    <w:p w14:paraId="3DB3B853" w14:textId="77777777" w:rsidR="00C30CAD" w:rsidRPr="00C56606" w:rsidRDefault="00C30CAD" w:rsidP="00C30CAD">
      <w:pPr>
        <w:pStyle w:val="Body"/>
        <w:spacing w:after="0"/>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1DE50500" wp14:editId="75FD8D17">
            <wp:extent cx="5227320" cy="1600200"/>
            <wp:effectExtent l="0" t="0" r="0" b="0"/>
            <wp:docPr id="16932413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7320" cy="1600200"/>
                    </a:xfrm>
                    <a:prstGeom prst="rect">
                      <a:avLst/>
                    </a:prstGeom>
                    <a:noFill/>
                  </pic:spPr>
                </pic:pic>
              </a:graphicData>
            </a:graphic>
          </wp:inline>
        </w:drawing>
      </w:r>
    </w:p>
    <w:p w14:paraId="32B31A46"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2.  A) Cyclic voltammograms of different concentrations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(a) 0.005 M, (b) 0.025 M, (c) 0.075 M, (d) 0.1 M, (e) 0.150 M, (f) 0.170 M and (g) 0.2 M. B): Trend curve of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concentrations as a function of reduction current.</w:t>
      </w:r>
    </w:p>
    <w:p w14:paraId="1C03CC45" w14:textId="77777777" w:rsidR="00C30CAD" w:rsidRPr="00C56606" w:rsidRDefault="00C30CAD" w:rsidP="00C30CAD">
      <w:pPr>
        <w:pStyle w:val="Body"/>
        <w:spacing w:after="0"/>
        <w:rPr>
          <w:rFonts w:ascii="Arial" w:hAnsi="Arial" w:cs="Arial"/>
          <w:color w:val="000000" w:themeColor="text1"/>
        </w:rPr>
      </w:pPr>
    </w:p>
    <w:p w14:paraId="58C02890"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The spectra obtained by CV present the evolution of the characteristic peak of the reduction current as a function of the variation of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concentration (Fig. 2.A). Moreover, the trend curve linking each concentration of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to its current peak shows that the maximum value of the reduction current peak is obtained for the 0.1 M concentration (Fig. 2.B). Thus, the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 is the reaction medium favorable to a more intense formation of the electroactive derivative of melamine because of the strong presence of the active species of chlorine. Moreover, at this concentration, the formation of hydrogen bonds becomes increased between the electroactive derivative of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via the hydroxyl, carbonyl, carboxyl or even amino groups present on the surface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This strong presence of hydrogen bonds could induce an intensification of electron transfers at the origin of the increase in the reduction current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It follows from this study that at 0.1M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the electrochemical activity between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is optimal.</w:t>
      </w:r>
    </w:p>
    <w:p w14:paraId="2A84CD79" w14:textId="77777777" w:rsidR="003552CC" w:rsidRPr="00C56606" w:rsidRDefault="003552CC" w:rsidP="00C30CAD">
      <w:pPr>
        <w:spacing w:line="360" w:lineRule="auto"/>
        <w:jc w:val="both"/>
        <w:rPr>
          <w:rFonts w:ascii="Arial" w:hAnsi="Arial" w:cs="Arial"/>
          <w:color w:val="000000" w:themeColor="text1"/>
        </w:rPr>
      </w:pPr>
    </w:p>
    <w:p w14:paraId="7B499A0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3.2.2. Effect of the number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deposits on the gold electrode</w:t>
      </w:r>
    </w:p>
    <w:p w14:paraId="51A809C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In this study, the surface of the gold electrode was successively coated with a number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ranging from 1 to 3. Then, after drying at room temperature, the electrochemical behavior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studied in the presence of melamine in a 0.1 M Na2SO4 solution. Fig. 3 presents the results of this study.</w:t>
      </w:r>
    </w:p>
    <w:p w14:paraId="368C6A3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1B1AAAA0" wp14:editId="69107059">
            <wp:extent cx="5212080" cy="1562100"/>
            <wp:effectExtent l="0" t="0" r="7620" b="0"/>
            <wp:docPr id="19579295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562100"/>
                    </a:xfrm>
                    <a:prstGeom prst="rect">
                      <a:avLst/>
                    </a:prstGeom>
                    <a:noFill/>
                  </pic:spPr>
                </pic:pic>
              </a:graphicData>
            </a:graphic>
          </wp:inline>
        </w:drawing>
      </w:r>
    </w:p>
    <w:p w14:paraId="43D3A608" w14:textId="5B37396D"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3. A) Cyclic voltammograms for (a) </w:t>
      </w:r>
      <w:r w:rsidR="00B84503" w:rsidRPr="00C56606">
        <w:rPr>
          <w:rFonts w:ascii="Arial" w:hAnsi="Arial" w:cs="Arial"/>
          <w:b/>
          <w:bCs/>
          <w:color w:val="000000" w:themeColor="text1"/>
        </w:rPr>
        <w:t>1</w:t>
      </w:r>
      <w:r w:rsidRPr="00C56606">
        <w:rPr>
          <w:rFonts w:ascii="Arial" w:hAnsi="Arial" w:cs="Arial"/>
          <w:b/>
          <w:bCs/>
          <w:color w:val="000000" w:themeColor="text1"/>
        </w:rPr>
        <w:t xml:space="preserve"> deposit, (b) 2 deposits and (c) 3 deposits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on the surface of the Au electrode; B) Trend curve of the number of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 xml:space="preserve"> deposition as a function of the maximum peak of the associated reduction current.</w:t>
      </w:r>
    </w:p>
    <w:p w14:paraId="299569E2" w14:textId="77777777" w:rsidR="00C30CAD" w:rsidRPr="00C56606" w:rsidRDefault="00C30CAD" w:rsidP="00C30CAD">
      <w:pPr>
        <w:spacing w:line="360" w:lineRule="auto"/>
        <w:jc w:val="both"/>
        <w:rPr>
          <w:rFonts w:ascii="Arial" w:hAnsi="Arial" w:cs="Arial"/>
          <w:color w:val="000000" w:themeColor="text1"/>
        </w:rPr>
      </w:pPr>
    </w:p>
    <w:p w14:paraId="640BC8EF" w14:textId="3004351B"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can be seen in (Fig. 3.A, b) the peak of the reduction current is maximum for a modification made with two deposits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on the surface of the Au electrode. It is therefore very likely that with two</w:t>
      </w:r>
      <w:r w:rsidR="00B84503" w:rsidRPr="00C56606">
        <w:rPr>
          <w:rFonts w:ascii="Arial" w:hAnsi="Arial" w:cs="Arial"/>
          <w:color w:val="000000" w:themeColor="text1"/>
        </w:rPr>
        <w:t xml:space="preserve"> </w:t>
      </w:r>
      <w:r w:rsidRPr="00C56606">
        <w:rPr>
          <w:rFonts w:ascii="Arial" w:hAnsi="Arial" w:cs="Arial"/>
          <w:color w:val="000000" w:themeColor="text1"/>
        </w:rPr>
        <w:t xml:space="preserve">deposits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the electrochemical response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seems to be more intense because of the increased availability of active sites which can strengthen the transfer of electrons in the reaction medium (Fig. 3.B). In addition, it is possible that beyond two deposits, congestion of active sites can reduce the performance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translated by a shoulder present on the spectrum corresponding to three deposits (Fig. 3.A, c). </w:t>
      </w:r>
      <w:r w:rsidR="002B179D" w:rsidRPr="00C56606">
        <w:rPr>
          <w:rFonts w:ascii="Arial" w:hAnsi="Arial" w:cs="Arial"/>
          <w:color w:val="000000" w:themeColor="text1"/>
        </w:rPr>
        <w:t xml:space="preserve">Therefore, we opted for a two-layer deposition of </w:t>
      </w:r>
      <w:proofErr w:type="spellStart"/>
      <w:r w:rsidR="002B179D" w:rsidRPr="00C56606">
        <w:rPr>
          <w:rFonts w:ascii="Arial" w:hAnsi="Arial" w:cs="Arial"/>
          <w:color w:val="000000" w:themeColor="text1"/>
        </w:rPr>
        <w:t>cCDs</w:t>
      </w:r>
      <w:proofErr w:type="spellEnd"/>
      <w:r w:rsidR="002B179D" w:rsidRPr="00C56606">
        <w:rPr>
          <w:rFonts w:ascii="Arial" w:hAnsi="Arial" w:cs="Arial"/>
          <w:color w:val="000000" w:themeColor="text1"/>
        </w:rPr>
        <w:t>/</w:t>
      </w:r>
      <w:proofErr w:type="spellStart"/>
      <w:r w:rsidR="002B179D" w:rsidRPr="00C56606">
        <w:rPr>
          <w:rFonts w:ascii="Arial" w:hAnsi="Arial" w:cs="Arial"/>
          <w:color w:val="000000" w:themeColor="text1"/>
        </w:rPr>
        <w:t>AgNPs</w:t>
      </w:r>
      <w:proofErr w:type="spellEnd"/>
      <w:r w:rsidR="002B179D" w:rsidRPr="00C56606">
        <w:rPr>
          <w:rFonts w:ascii="Arial" w:hAnsi="Arial" w:cs="Arial"/>
          <w:color w:val="000000" w:themeColor="text1"/>
        </w:rPr>
        <w:t xml:space="preserve"> for the fabrication of the </w:t>
      </w:r>
      <w:r w:rsidRPr="00C56606">
        <w:rPr>
          <w:rFonts w:ascii="Arial" w:hAnsi="Arial" w:cs="Arial"/>
          <w:color w:val="000000" w:themeColor="text1"/>
        </w:rPr>
        <w:t>working electrode</w:t>
      </w:r>
      <w:r w:rsidR="002B179D" w:rsidRPr="00C56606">
        <w:rPr>
          <w:rFonts w:ascii="Arial" w:hAnsi="Arial" w:cs="Arial"/>
          <w:color w:val="000000" w:themeColor="text1"/>
        </w:rPr>
        <w:t xml:space="preserve"> (</w:t>
      </w:r>
      <w:proofErr w:type="spellStart"/>
      <w:r w:rsidR="002B179D" w:rsidRPr="00C56606">
        <w:rPr>
          <w:rFonts w:ascii="Arial" w:hAnsi="Arial" w:cs="Arial"/>
          <w:color w:val="000000" w:themeColor="text1"/>
        </w:rPr>
        <w:t>cCDs</w:t>
      </w:r>
      <w:proofErr w:type="spellEnd"/>
      <w:r w:rsidR="002B179D" w:rsidRPr="00C56606">
        <w:rPr>
          <w:rFonts w:ascii="Arial" w:hAnsi="Arial" w:cs="Arial"/>
          <w:color w:val="000000" w:themeColor="text1"/>
        </w:rPr>
        <w:t>/</w:t>
      </w:r>
      <w:proofErr w:type="spellStart"/>
      <w:r w:rsidR="002B179D" w:rsidRPr="00C56606">
        <w:rPr>
          <w:rFonts w:ascii="Arial" w:hAnsi="Arial" w:cs="Arial"/>
          <w:color w:val="000000" w:themeColor="text1"/>
        </w:rPr>
        <w:t>AgNPs</w:t>
      </w:r>
      <w:proofErr w:type="spellEnd"/>
      <w:r w:rsidR="002B179D" w:rsidRPr="00C56606">
        <w:rPr>
          <w:rFonts w:ascii="Arial" w:hAnsi="Arial" w:cs="Arial"/>
          <w:color w:val="000000" w:themeColor="text1"/>
        </w:rPr>
        <w:t>/Au)</w:t>
      </w:r>
      <w:r w:rsidRPr="00C56606">
        <w:rPr>
          <w:rFonts w:ascii="Arial" w:hAnsi="Arial" w:cs="Arial"/>
          <w:color w:val="000000" w:themeColor="text1"/>
        </w:rPr>
        <w:t xml:space="preserve"> in a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solution.</w:t>
      </w:r>
    </w:p>
    <w:p w14:paraId="33285DC1" w14:textId="77777777" w:rsidR="00C30CAD" w:rsidRPr="00C56606" w:rsidRDefault="00C30CAD" w:rsidP="00C30CAD">
      <w:pPr>
        <w:spacing w:line="360" w:lineRule="auto"/>
        <w:jc w:val="both"/>
        <w:rPr>
          <w:rFonts w:ascii="Arial" w:hAnsi="Arial" w:cs="Arial"/>
          <w:color w:val="000000" w:themeColor="text1"/>
        </w:rPr>
      </w:pPr>
    </w:p>
    <w:p w14:paraId="2EA1824A"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3.2.3. Effect of Scanning rate</w:t>
      </w:r>
    </w:p>
    <w:p w14:paraId="05102E2C" w14:textId="43C65B4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A study was conducted to determine the optimal scanning speed and to better understand the electroreduction process undergone by melamine in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medium in the presence of the designed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For this study, seven scanning speeds in the range 50 mV/s - 200 mV/s were chosen. Fig. 4 presents the evolution of the CV spectrum for seven selected scanning speeds.</w:t>
      </w:r>
    </w:p>
    <w:p w14:paraId="58C806E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From this study, we find that the increase in the scanning speed is accompanied by a decreasing shift in the potential (E) and with an increase in the reduction current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w:t>
      </w:r>
    </w:p>
    <w:p w14:paraId="0CBEB41A"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36B2F753" wp14:editId="0AC701B3">
            <wp:extent cx="3497580" cy="2095500"/>
            <wp:effectExtent l="0" t="0" r="7620" b="0"/>
            <wp:docPr id="31733937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7580" cy="2095500"/>
                    </a:xfrm>
                    <a:prstGeom prst="rect">
                      <a:avLst/>
                    </a:prstGeom>
                    <a:noFill/>
                  </pic:spPr>
                </pic:pic>
              </a:graphicData>
            </a:graphic>
          </wp:inline>
        </w:drawing>
      </w:r>
    </w:p>
    <w:p w14:paraId="0B10028B" w14:textId="297FDEB8"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4. Cyclic voltammograms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for different scanning speeds (a) 50 mV/s, (b) 75 mV/s, (c) 100 mV/s, (d) 125 mV/s, (e) 150 mV/s, (f) 175 mV/s and (g) 200 mV/s in 0.1</w:t>
      </w:r>
      <w:r w:rsidR="00C00914" w:rsidRPr="00C56606">
        <w:rPr>
          <w:rFonts w:ascii="Arial" w:hAnsi="Arial" w:cs="Arial"/>
          <w:b/>
          <w:bCs/>
          <w:color w:val="000000" w:themeColor="text1"/>
        </w:rPr>
        <w:t xml:space="preserve"> </w:t>
      </w:r>
      <w:r w:rsidRPr="00C56606">
        <w:rPr>
          <w:rFonts w:ascii="Arial" w:hAnsi="Arial" w:cs="Arial"/>
          <w:b/>
          <w:bCs/>
          <w:color w:val="000000" w:themeColor="text1"/>
        </w:rPr>
        <w:t>M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in the presence of melamine (0.24µg/mL)</w:t>
      </w:r>
    </w:p>
    <w:p w14:paraId="003E51B6" w14:textId="77777777" w:rsidR="00C30CAD" w:rsidRPr="00C56606" w:rsidRDefault="00C30CAD" w:rsidP="00C30CAD">
      <w:pPr>
        <w:spacing w:line="360" w:lineRule="auto"/>
        <w:jc w:val="both"/>
        <w:rPr>
          <w:rFonts w:ascii="Arial" w:hAnsi="Arial" w:cs="Arial"/>
          <w:b/>
          <w:bCs/>
          <w:color w:val="000000" w:themeColor="text1"/>
        </w:rPr>
      </w:pPr>
    </w:p>
    <w:p w14:paraId="71D163F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From these two parameters, it is possible to develop approaches to define the reversibility and the type of control (adsorption or diffusion) governing the reactions of melamine in the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medium in the presence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Indeed, by establishing the mathematical relationships between the reduction current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and the scanning speed (v) through the equations </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 f(v</w:t>
      </w:r>
      <w:r w:rsidRPr="00C56606">
        <w:rPr>
          <w:rFonts w:ascii="Arial" w:hAnsi="Arial" w:cs="Arial"/>
          <w:color w:val="000000" w:themeColor="text1"/>
          <w:vertAlign w:val="superscript"/>
        </w:rPr>
        <w:t>1/2</w:t>
      </w:r>
      <w:r w:rsidRPr="00C56606">
        <w:rPr>
          <w:rFonts w:ascii="Arial" w:hAnsi="Arial" w:cs="Arial"/>
          <w:color w:val="000000" w:themeColor="text1"/>
        </w:rPr>
        <w:t>) and ln(</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xml:space="preserve">) = ln(v), it is possible to deduce the type of control that governs the movement of melamine towards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in the reaction medium. Thus, </w:t>
      </w:r>
      <w:r w:rsidRPr="00C56606">
        <w:rPr>
          <w:rFonts w:ascii="Arial" w:hAnsi="Arial" w:cs="Arial"/>
          <w:b/>
          <w:bCs/>
          <w:color w:val="000000" w:themeColor="text1"/>
        </w:rPr>
        <w:t>Fig.5</w:t>
      </w:r>
      <w:r w:rsidRPr="00C56606">
        <w:rPr>
          <w:rFonts w:ascii="Arial" w:hAnsi="Arial" w:cs="Arial"/>
          <w:color w:val="000000" w:themeColor="text1"/>
        </w:rPr>
        <w:t xml:space="preserve"> presents the shape and the relationship obtained in each case.</w:t>
      </w:r>
    </w:p>
    <w:p w14:paraId="08F50B6C"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0F98DBA4" wp14:editId="762ECB1D">
            <wp:extent cx="5204460" cy="1615440"/>
            <wp:effectExtent l="0" t="0" r="0" b="3810"/>
            <wp:docPr id="66805817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4460" cy="1615440"/>
                    </a:xfrm>
                    <a:prstGeom prst="rect">
                      <a:avLst/>
                    </a:prstGeom>
                    <a:noFill/>
                  </pic:spPr>
                </pic:pic>
              </a:graphicData>
            </a:graphic>
          </wp:inline>
        </w:drawing>
      </w:r>
    </w:p>
    <w:p w14:paraId="3BC3E682"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5.  A) Dependence of the reduction currents (</w:t>
      </w: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on the square root of the scanning speed (v</w:t>
      </w:r>
      <w:r w:rsidRPr="00C56606">
        <w:rPr>
          <w:rFonts w:ascii="Arial" w:hAnsi="Arial" w:cs="Arial"/>
          <w:b/>
          <w:bCs/>
          <w:color w:val="000000" w:themeColor="text1"/>
          <w:vertAlign w:val="superscript"/>
        </w:rPr>
        <w:t>1/2</w:t>
      </w:r>
      <w:r w:rsidRPr="00C56606">
        <w:rPr>
          <w:rFonts w:ascii="Arial" w:hAnsi="Arial" w:cs="Arial"/>
          <w:b/>
          <w:bCs/>
          <w:color w:val="000000" w:themeColor="text1"/>
        </w:rPr>
        <w:t>), B): Dependence of the logarithm of the absolute value of the reduction current on the logarithm of the scanning speed</w:t>
      </w:r>
    </w:p>
    <w:p w14:paraId="66A89BC6"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shown in Fig. 5.A, the graph representing the relationship </w:t>
      </w:r>
      <w:proofErr w:type="spellStart"/>
      <w:r w:rsidRPr="00C56606">
        <w:rPr>
          <w:rFonts w:ascii="Arial" w:hAnsi="Arial" w:cs="Arial"/>
          <w:color w:val="000000" w:themeColor="text1"/>
        </w:rPr>
        <w:t>ired</w:t>
      </w:r>
      <w:proofErr w:type="spellEnd"/>
      <w:r w:rsidRPr="00C56606">
        <w:rPr>
          <w:rFonts w:ascii="Arial" w:hAnsi="Arial" w:cs="Arial"/>
          <w:color w:val="000000" w:themeColor="text1"/>
        </w:rPr>
        <w:t xml:space="preserve"> = f(v</w:t>
      </w:r>
      <w:r w:rsidRPr="00C56606">
        <w:rPr>
          <w:rFonts w:ascii="Arial" w:hAnsi="Arial" w:cs="Arial"/>
          <w:color w:val="000000" w:themeColor="text1"/>
          <w:vertAlign w:val="superscript"/>
        </w:rPr>
        <w:t>1/2</w:t>
      </w:r>
      <w:r w:rsidRPr="00C56606">
        <w:rPr>
          <w:rFonts w:ascii="Arial" w:hAnsi="Arial" w:cs="Arial"/>
          <w:color w:val="000000" w:themeColor="text1"/>
        </w:rPr>
        <w:t>) is linear with a correlation coefficient R</w:t>
      </w:r>
      <w:r w:rsidRPr="00C56606">
        <w:rPr>
          <w:rFonts w:ascii="Arial" w:hAnsi="Arial" w:cs="Arial"/>
          <w:color w:val="000000" w:themeColor="text1"/>
          <w:vertAlign w:val="superscript"/>
        </w:rPr>
        <w:t>2</w:t>
      </w:r>
      <w:r w:rsidRPr="00C56606">
        <w:rPr>
          <w:rFonts w:ascii="Arial" w:hAnsi="Arial" w:cs="Arial"/>
          <w:color w:val="000000" w:themeColor="text1"/>
        </w:rPr>
        <w:t xml:space="preserve"> = 0.981. In addition, the graphical representation of the reduction current as a function of the square of the scanning speed is defined by the equation:</w:t>
      </w:r>
    </w:p>
    <w:p w14:paraId="6D6CE121" w14:textId="77777777" w:rsidR="00C30CAD" w:rsidRPr="00C56606" w:rsidRDefault="00C30CAD" w:rsidP="00C30CAD">
      <w:pPr>
        <w:spacing w:line="360" w:lineRule="auto"/>
        <w:jc w:val="center"/>
        <w:rPr>
          <w:rFonts w:ascii="Arial" w:hAnsi="Arial" w:cs="Arial"/>
          <w:b/>
          <w:bCs/>
          <w:color w:val="000000" w:themeColor="text1"/>
        </w:rPr>
      </w:pP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xml:space="preserve"> = - 1.199 v</w:t>
      </w:r>
      <w:r w:rsidRPr="00C56606">
        <w:rPr>
          <w:rFonts w:ascii="Arial" w:hAnsi="Arial" w:cs="Arial"/>
          <w:b/>
          <w:bCs/>
          <w:color w:val="000000" w:themeColor="text1"/>
          <w:vertAlign w:val="superscript"/>
        </w:rPr>
        <w:t>1/2</w:t>
      </w:r>
      <w:r w:rsidRPr="00C56606">
        <w:rPr>
          <w:rFonts w:ascii="Arial" w:hAnsi="Arial" w:cs="Arial"/>
          <w:b/>
          <w:bCs/>
          <w:color w:val="000000" w:themeColor="text1"/>
        </w:rPr>
        <w:t xml:space="preserve"> + 0.1607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E.1)</w:t>
      </w:r>
    </w:p>
    <w:p w14:paraId="0505A5E7"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lastRenderedPageBreak/>
        <w:t>While Fig.6B displays the representative graph of the relation ln(</w:t>
      </w:r>
      <w:proofErr w:type="spellStart"/>
      <w:r w:rsidRPr="00C56606">
        <w:rPr>
          <w:rFonts w:ascii="Arial" w:hAnsi="Arial" w:cs="Arial"/>
          <w:color w:val="000000" w:themeColor="text1"/>
        </w:rPr>
        <w:t>i</w:t>
      </w:r>
      <w:r w:rsidRPr="00C56606">
        <w:rPr>
          <w:rFonts w:ascii="Arial" w:hAnsi="Arial" w:cs="Arial"/>
          <w:color w:val="000000" w:themeColor="text1"/>
          <w:vertAlign w:val="subscript"/>
        </w:rPr>
        <w:t>red</w:t>
      </w:r>
      <w:proofErr w:type="spellEnd"/>
      <w:r w:rsidRPr="00C56606">
        <w:rPr>
          <w:rFonts w:ascii="Arial" w:hAnsi="Arial" w:cs="Arial"/>
          <w:color w:val="000000" w:themeColor="text1"/>
        </w:rPr>
        <w:t>) = ln(v), also linear (R</w:t>
      </w:r>
      <w:r w:rsidRPr="00C56606">
        <w:rPr>
          <w:rFonts w:ascii="Arial" w:hAnsi="Arial" w:cs="Arial"/>
          <w:color w:val="000000" w:themeColor="text1"/>
          <w:vertAlign w:val="superscript"/>
        </w:rPr>
        <w:t xml:space="preserve">2 </w:t>
      </w:r>
      <w:r w:rsidRPr="00C56606">
        <w:rPr>
          <w:rFonts w:ascii="Arial" w:hAnsi="Arial" w:cs="Arial"/>
          <w:color w:val="000000" w:themeColor="text1"/>
        </w:rPr>
        <w:t>=0.9919) and defined by the equation</w:t>
      </w:r>
      <w:r w:rsidRPr="00C56606">
        <w:rPr>
          <w:rFonts w:ascii="Arial" w:hAnsi="Arial" w:cs="Arial"/>
          <w:b/>
          <w:bCs/>
          <w:color w:val="000000" w:themeColor="text1"/>
        </w:rPr>
        <w:t>:</w:t>
      </w:r>
    </w:p>
    <w:p w14:paraId="44BA4C96"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t>Ln(|</w:t>
      </w:r>
      <w:proofErr w:type="spellStart"/>
      <w:r w:rsidRPr="00C56606">
        <w:rPr>
          <w:rFonts w:ascii="Arial" w:hAnsi="Arial" w:cs="Arial"/>
          <w:b/>
          <w:bCs/>
          <w:color w:val="000000" w:themeColor="text1"/>
        </w:rPr>
        <w:t>i</w:t>
      </w:r>
      <w:r w:rsidRPr="00C56606">
        <w:rPr>
          <w:rFonts w:ascii="Arial" w:hAnsi="Arial" w:cs="Arial"/>
          <w:b/>
          <w:bCs/>
          <w:color w:val="000000" w:themeColor="text1"/>
          <w:vertAlign w:val="subscript"/>
        </w:rPr>
        <w:t>red</w:t>
      </w:r>
      <w:proofErr w:type="spellEnd"/>
      <w:r w:rsidRPr="00C56606">
        <w:rPr>
          <w:rFonts w:ascii="Arial" w:hAnsi="Arial" w:cs="Arial"/>
          <w:b/>
          <w:bCs/>
          <w:color w:val="000000" w:themeColor="text1"/>
        </w:rPr>
        <w:t xml:space="preserve">|) = 0.8388Ln(v) - 0.806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E.2)</w:t>
      </w:r>
    </w:p>
    <w:p w14:paraId="3A18DCC7" w14:textId="77777777" w:rsidR="00C30CAD" w:rsidRPr="00C56606" w:rsidRDefault="00C30CAD" w:rsidP="00C30CAD">
      <w:pPr>
        <w:spacing w:line="360" w:lineRule="auto"/>
        <w:jc w:val="both"/>
        <w:rPr>
          <w:rFonts w:ascii="Arial" w:hAnsi="Arial" w:cs="Arial"/>
          <w:b/>
          <w:bCs/>
          <w:color w:val="000000" w:themeColor="text1"/>
        </w:rPr>
      </w:pPr>
    </w:p>
    <w:p w14:paraId="66DA804E"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According to equation (E1), the slope (|-1.199|) closer to 1, indicates a reaction controlled by an adsorption process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interface. Similarly, the slope (0.8388) of equation (E.2) close to 1 corroborates the fact that the reaction of melamine in the medium is controlled by an adsorption process. This result obtained is similar to that deduced by </w:t>
      </w:r>
      <w:proofErr w:type="spellStart"/>
      <w:r w:rsidRPr="00C56606">
        <w:rPr>
          <w:rFonts w:ascii="Arial" w:hAnsi="Arial" w:cs="Arial"/>
          <w:color w:val="000000" w:themeColor="text1"/>
        </w:rPr>
        <w:t>Zhe</w:t>
      </w:r>
      <w:proofErr w:type="spellEnd"/>
      <w:r w:rsidRPr="00C56606">
        <w:rPr>
          <w:rFonts w:ascii="Arial" w:hAnsi="Arial" w:cs="Arial"/>
          <w:color w:val="000000" w:themeColor="text1"/>
        </w:rPr>
        <w:t xml:space="preserve"> Ji and collaborators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{"citationID":"OsBEtgNq","properties":{"formattedCitation":"(Ji et al., 2017)","plainCitation":"(Ji et al., 2017)","noteIndex":0},"citationItems":[{"id":86,"uris":["http://zotero.org/users/local/alnDPFsD/items/JQQCNATY"],"itemData":{"id":86,"type":"article-journal","abstract":"A new method for the determination of melamine (MEL) indirectly by the changes of differential pulse voltammetry (DPV) current of K3[Fe(CN)6] probes after 10 min incubation (∆I) has been established. It’s based on the inhibitory effect of MEL on occupying the molecular recognition sites of surface of the electropolymerized molecular imprinting &amp; graphene modified glassy carbon electrode (MIPPy/GR/GCE). The MIPPy/GR/GCE was characterized by cyclic voltammetry (CV), electrochemical impedance spectrometry (EIS) and scanning electron microscopy (SEM). The ∆I is linearly proportional to the negative logarithmic concentration of MEL over the range of 3.0×10-8 ~1.0×10-4 mol•L-1 (R = 0.9948), the detection limit is 1.02×10-8 mol•L-1 (S/N =3). The recoveries of samples are from102.65% to 108.02%, the result is satisfactory when it is used to analyze the real samples.","container-title":"International Journal of Electrochemical Science","DOI":"10.20964/2017.12.34","ISSN":"1452-3981","issue":"12","journalAbbreviation":"International Journal of Electrochemical Science","page":"11942-11954","source":"ScienceDirect","title":"Electropolymerized Molecular Imprinting &amp; Graphene Modified Electrode for Detection of Melamine","volume":"12","author":[{"family":"Ji","given":"Zhe"},{"family":"Chen","given":"Wen"},{"family":"Wang","given":"Er"},{"family":"Deng","given":"Rongriu"}],"issued":{"date-parts":[["2017",12,1]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(Ji et al., 2017)</w:t>
      </w:r>
      <w:r w:rsidRPr="00C56606">
        <w:rPr>
          <w:rFonts w:ascii="Arial" w:hAnsi="Arial" w:cs="Arial"/>
          <w:b/>
          <w:bCs/>
          <w:color w:val="000000" w:themeColor="text1"/>
        </w:rPr>
        <w:fldChar w:fldCharType="end"/>
      </w:r>
      <w:r w:rsidRPr="00C56606">
        <w:rPr>
          <w:rFonts w:ascii="Arial" w:hAnsi="Arial" w:cs="Arial"/>
          <w:color w:val="000000" w:themeColor="text1"/>
        </w:rPr>
        <w:t>. Furthermore, the reversibility of this adsorption reaction undergone by melamine in the medium can be deduced through the graphs E = f(v) and E = f(ln(v)). The representative results of the two graphs are presented in Fig.6:</w:t>
      </w:r>
    </w:p>
    <w:p w14:paraId="67790B26"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7C32FBA3" wp14:editId="4AEC8FD4">
            <wp:extent cx="5135880" cy="1539240"/>
            <wp:effectExtent l="0" t="0" r="7620" b="3810"/>
            <wp:docPr id="1366929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880" cy="1539240"/>
                    </a:xfrm>
                    <a:prstGeom prst="rect">
                      <a:avLst/>
                    </a:prstGeom>
                    <a:noFill/>
                  </pic:spPr>
                </pic:pic>
              </a:graphicData>
            </a:graphic>
          </wp:inline>
        </w:drawing>
      </w:r>
    </w:p>
    <w:p w14:paraId="29AD9057"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6.  A) Dependence of the potential on the scanning speed, B): Dependence of the potential on the logarithm of the scanning speed</w:t>
      </w:r>
    </w:p>
    <w:p w14:paraId="028723CA" w14:textId="77777777" w:rsidR="00C30CAD" w:rsidRPr="00C56606" w:rsidRDefault="00C30CAD" w:rsidP="00C30CAD">
      <w:pPr>
        <w:spacing w:line="360" w:lineRule="auto"/>
        <w:jc w:val="both"/>
        <w:rPr>
          <w:rFonts w:ascii="Arial" w:hAnsi="Arial" w:cs="Arial"/>
          <w:b/>
          <w:bCs/>
          <w:color w:val="000000" w:themeColor="text1"/>
        </w:rPr>
      </w:pPr>
    </w:p>
    <w:p w14:paraId="1574A91E" w14:textId="4B3F2FB9"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Fig. 6.A shows the trend of the potential evolution as a function of the scanning speed. The shape of this trend curve indicates that the potential depends on the scanning speed with a strong linearity (R</w:t>
      </w:r>
      <w:r w:rsidRPr="007D33A1">
        <w:rPr>
          <w:rFonts w:ascii="Arial" w:hAnsi="Arial" w:cs="Arial"/>
          <w:color w:val="000000" w:themeColor="text1"/>
          <w:vertAlign w:val="superscript"/>
        </w:rPr>
        <w:t>2</w:t>
      </w:r>
      <w:r w:rsidRPr="00C56606">
        <w:rPr>
          <w:rFonts w:ascii="Arial" w:hAnsi="Arial" w:cs="Arial"/>
          <w:color w:val="000000" w:themeColor="text1"/>
        </w:rPr>
        <w:t xml:space="preserve"> = 0.9948) between the potential and the logarithm of the scanning speed (Fig. 6.B). According to the literature, only in reversible electrochemical phenomena is it possible to have a potential independent of the scanning rate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{"citationID":"5d0J9ZAU","properties":{"formattedCitation":"(Kamyabi &amp; Aghajanloo, 2008)","plainCitation":"(Kamyabi &amp; Aghajanloo, 2008)","noteIndex":0},"citationItems":[{"id":88,"uris":["http://zotero.org/users/local/alnDPFsD/items/9FJD5FF9"],"itemData":{"id":88,"type":"article-journal","abstract":"Electrocatalytic oxidation and detection of nitrite at a carbon paste electrode chemically modified with N,N′-bis(salicylaldehyde)-4-methyl-1,2-phenylenediimino oxovanadium(IV) as a Schiff base complex ([VO(SB)]), was thoroughly investigated. Anodic oxidation of nitrite (in pH 4) at the [VO(SB)]-modified carbon paste electrode occurred at low overpotential (0.87V versus Ag/AgCl), and treatment of the voltammetric data showed that it was a purely diffusion-controlled reaction involving one-electron in the rate-determining step. The mechanism for the interaction of nitrite with the vanadium(IV) Schiff base complex is proposed to involve the VIV(SB)2+/VIII(SB)+ redox process. The modified electrode exhibits good catalytic activity for the oxidation of nitrite with good sensitivity over the wide concentration range of 3.90×10−6–4.05×10−3M nitrite, and a detection limit of 6.13×10−7M (S/N=3). The heterogeneous rate constant, k′, and the standard heterogeneous rate constant, k0, for the oxidation of nitrite at the surface of the modified electrode were determined by rotating disk electrode voltammetry using the Koutecky–Levich plot. The transfer coefficient (α) for electrocatalytic oxidation of nitrite and the diffusion coefficient of this substance under the experimental conditions were also investigated in this study.","container-title":"Journal of Electroanalytical Chemistry","DOI":"10.1016/j.jelechem.2007.11.026","ISSN":"1572-6657","issue":"1","journalAbbreviation":"Journal of Electroanalytical Chemistry","page":"157-165","source":"ScienceDirect","title":"Electrocatalytic oxidation and determination of nitrite on carbon paste electrode modified with oxovanadium(IV)-4-methyl salophen","volume":"614","author":[{"family":"Kamyabi","given":"Mohammad Ali"},{"family":"Aghajanloo","given":"Firoozeh"}],"issued":{"date-parts":[["2008",3,15]]}}}],"schema":"https://github.com/citation-style-language/schema/raw/master/csl-citation.json"}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(Kamyabi &amp; Aghajanloo, 2008)</w:t>
      </w:r>
      <w:r w:rsidRPr="00C56606">
        <w:rPr>
          <w:rFonts w:ascii="Arial" w:hAnsi="Arial" w:cs="Arial"/>
          <w:b/>
          <w:bCs/>
          <w:color w:val="000000" w:themeColor="text1"/>
        </w:rPr>
        <w:fldChar w:fldCharType="end"/>
      </w:r>
      <w:r w:rsidRPr="00C56606">
        <w:rPr>
          <w:rFonts w:ascii="Arial" w:hAnsi="Arial" w:cs="Arial"/>
          <w:color w:val="000000" w:themeColor="text1"/>
        </w:rPr>
        <w:t xml:space="preserve"> ;</w:t>
      </w:r>
      <w:r w:rsidRPr="00C56606">
        <w:rPr>
          <w:rFonts w:ascii="Arial" w:hAnsi="Arial" w:cs="Arial"/>
          <w:i/>
          <w:iCs/>
          <w:color w:val="000000" w:themeColor="text1"/>
        </w:rPr>
        <w:t xml:space="preserve"> </w:t>
      </w:r>
      <w:r w:rsidRPr="00C56606">
        <w:rPr>
          <w:rFonts w:ascii="Arial" w:hAnsi="Arial" w:cs="Arial"/>
          <w:i/>
          <w:iCs/>
          <w:color w:val="000000" w:themeColor="text1"/>
        </w:rPr>
        <w:fldChar w:fldCharType="begin"/>
      </w:r>
      <w:r w:rsidRPr="00C56606">
        <w:rPr>
          <w:rFonts w:ascii="Arial" w:hAnsi="Arial" w:cs="Arial"/>
          <w:i/>
          <w:iCs/>
          <w:color w:val="000000" w:themeColor="text1"/>
        </w:rPr>
        <w:instrText xml:space="preserve"> ADDIN ZOTERO_ITEM CSL_CITATION {"citationID":"wt15Ljqp","properties":{"formattedCitation":"(Novak, 2022)","plainCitation":"(Novak, 2022)","noteIndex":0},"citationItems":[{"id":90,"uris":["http://zotero.org/users/local/alnDPFsD/items/NGDUF6NW"],"itemData":{"id":90,"type":"article-journal","abstract":"We describe simple, quantitative, graphical approach to solve chemical equilibrium problems and quantify how far the reversible reaction advances upon reaching equilibrium state at a given temperature. The same approach also gives the change in reaction advancement ratio (reaction efficiency; % completion of reaction) upon perturbation of equilibrium state by changing equilibrium concentrations (moles) of reactants or products. The approach is based on plotting two polynomial functions which represent how the numbers of moles of reactants and products vary with the advancement of reaction. The point of intersection of the two polynomial curves (functions) gives advancement ratio for a reversible reaction at equilibrium ( χ e ). In comparison, Le Chatelier’s principle is qualitative and tells us that equilibrium concentrations (moles) of products will increase (or decrease) once concentrations of reactants are made larger (or smaller), but does not predict the change in advancement of reversible reaction upon re-establishing the equilibrium state. In other words, it does not specify whether after perturbation the conversion to products will result in higher or lower reaction efficiency. Our quantitative approach is complementary to the qualitative Le Chatelier’s principle and is applicable to any single-equation equilibrium system. It can also be an alternative to ICE tables.","container-title":"Chemistry Teacher International","DOI":"10.1515/cti-2022-0004","ISSN":"2569-3263","issue":"3","language":"en","license":"De Gruyter expressly reserves the right to use all content for commercial text and data mining within the meaning of Section 44b of the German Copyright Act.","note":"publisher: De Gruyter\nsection: Chemistry Teacher International","page":"271-277","source":"www.degruyterbrill.com","title":"Efficiency of reversible reaction: a graphical approach","title-short":"Efficiency of reversible reaction","volume":"4","author":[{"family":"Novak","given":"Igor"}],"issued":{"date-parts":[["2022",9,1]]}}}],"schema":"https://github.com/citation-style-language/schema/raw/master/csl-citation.json"} </w:instrText>
      </w:r>
      <w:r w:rsidRPr="00C56606">
        <w:rPr>
          <w:rFonts w:ascii="Arial" w:hAnsi="Arial" w:cs="Arial"/>
          <w:i/>
          <w:iCs/>
          <w:color w:val="000000" w:themeColor="text1"/>
        </w:rPr>
        <w:fldChar w:fldCharType="separate"/>
      </w:r>
      <w:r w:rsidRPr="00C56606">
        <w:rPr>
          <w:rFonts w:ascii="Arial" w:hAnsi="Arial" w:cs="Arial"/>
          <w:color w:val="000000" w:themeColor="text1"/>
        </w:rPr>
        <w:t>(</w:t>
      </w:r>
      <w:r w:rsidRPr="00C56606">
        <w:rPr>
          <w:rFonts w:ascii="Arial" w:hAnsi="Arial" w:cs="Arial"/>
          <w:b/>
          <w:bCs/>
          <w:color w:val="000000" w:themeColor="text1"/>
        </w:rPr>
        <w:t>Novak, 2022)</w:t>
      </w:r>
      <w:r w:rsidRPr="00C56606">
        <w:rPr>
          <w:rFonts w:ascii="Arial" w:hAnsi="Arial" w:cs="Arial"/>
          <w:i/>
          <w:iCs/>
          <w:color w:val="000000" w:themeColor="text1"/>
        </w:rPr>
        <w:fldChar w:fldCharType="end"/>
      </w:r>
      <w:r w:rsidRPr="00C56606">
        <w:rPr>
          <w:rFonts w:ascii="Arial" w:hAnsi="Arial" w:cs="Arial"/>
          <w:color w:val="000000" w:themeColor="text1"/>
        </w:rPr>
        <w:t xml:space="preserve">. Thus, the adsorption-controlled reaction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/Au-Na</w:t>
      </w:r>
      <w:r w:rsidRPr="009A547F">
        <w:rPr>
          <w:rFonts w:ascii="Arial" w:hAnsi="Arial" w:cs="Arial"/>
          <w:color w:val="000000" w:themeColor="text1"/>
          <w:vertAlign w:val="subscript"/>
        </w:rPr>
        <w:t>2</w:t>
      </w:r>
      <w:r w:rsidRPr="00C56606">
        <w:rPr>
          <w:rFonts w:ascii="Arial" w:hAnsi="Arial" w:cs="Arial"/>
          <w:color w:val="000000" w:themeColor="text1"/>
        </w:rPr>
        <w:t>SO</w:t>
      </w:r>
      <w:r w:rsidRPr="009A547F">
        <w:rPr>
          <w:rFonts w:ascii="Arial" w:hAnsi="Arial" w:cs="Arial"/>
          <w:color w:val="000000" w:themeColor="text1"/>
          <w:vertAlign w:val="subscript"/>
        </w:rPr>
        <w:t>4</w:t>
      </w:r>
      <w:r w:rsidRPr="00C56606">
        <w:rPr>
          <w:rFonts w:ascii="Arial" w:hAnsi="Arial" w:cs="Arial"/>
          <w:color w:val="000000" w:themeColor="text1"/>
        </w:rPr>
        <w:t xml:space="preserve"> electrode interface is carried out following an irreversible process. In order to avoid any overload at our working electrode, the scanning speed of 50 mV/s was adopted as the optimal scanning speed for </w:t>
      </w:r>
      <w:r w:rsidR="0028627C" w:rsidRPr="00C56606">
        <w:rPr>
          <w:rFonts w:ascii="Arial" w:hAnsi="Arial" w:cs="Arial"/>
          <w:color w:val="000000" w:themeColor="text1"/>
        </w:rPr>
        <w:t>two-layer</w:t>
      </w:r>
      <w:r w:rsidRPr="00C56606">
        <w:rPr>
          <w:rFonts w:ascii="Arial" w:hAnsi="Arial" w:cs="Arial"/>
          <w:color w:val="000000" w:themeColor="text1"/>
        </w:rPr>
        <w:t xml:space="preserv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deposits on the surface of the gold electrode for the detection of melamine in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p>
    <w:p w14:paraId="10AAE974"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3.2.4. Effect of pH variation</w:t>
      </w:r>
    </w:p>
    <w:p w14:paraId="07CAD0F3" w14:textId="6888BF1F"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Like the scanning speed, the pH of the reaction medium is an important parameter for understanding the reaction mechanism that melamine could undergo with the </w:t>
      </w:r>
      <w:proofErr w:type="spellStart"/>
      <w:r w:rsidRPr="00C56606">
        <w:rPr>
          <w:rFonts w:ascii="Arial" w:hAnsi="Arial" w:cs="Arial"/>
          <w:color w:val="000000" w:themeColor="text1"/>
        </w:rPr>
        <w:lastRenderedPageBreak/>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For this study, eight </w:t>
      </w:r>
      <w:proofErr w:type="spellStart"/>
      <w:r w:rsidRPr="00C56606">
        <w:rPr>
          <w:rFonts w:ascii="Arial" w:hAnsi="Arial" w:cs="Arial"/>
          <w:color w:val="000000" w:themeColor="text1"/>
        </w:rPr>
        <w:t>pHs</w:t>
      </w:r>
      <w:proofErr w:type="spellEnd"/>
      <w:r w:rsidRPr="00C56606">
        <w:rPr>
          <w:rFonts w:ascii="Arial" w:hAnsi="Arial" w:cs="Arial"/>
          <w:color w:val="000000" w:themeColor="text1"/>
        </w:rPr>
        <w:t xml:space="preserve"> were chosen over the range of 5.0 to 11.5. Representative results are summarized in Fig. 7.</w:t>
      </w:r>
    </w:p>
    <w:p w14:paraId="0ABEAA89"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70569C58" wp14:editId="45B8BE20">
            <wp:extent cx="5181600" cy="1562100"/>
            <wp:effectExtent l="0" t="0" r="0" b="0"/>
            <wp:docPr id="128039564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1562100"/>
                    </a:xfrm>
                    <a:prstGeom prst="rect">
                      <a:avLst/>
                    </a:prstGeom>
                    <a:noFill/>
                  </pic:spPr>
                </pic:pic>
              </a:graphicData>
            </a:graphic>
          </wp:inline>
        </w:drawing>
      </w:r>
    </w:p>
    <w:p w14:paraId="4FA0FC58"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7.  A) Cyclic voltammogram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for different values ​​(a) pH5, (b) pH5.5, (c) pH6, (d) pH7.5, (e) pH8, (f) pH9, (g) pH10.5, (h) pH11.5 in a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4</w:t>
      </w:r>
      <w:r w:rsidRPr="00C56606">
        <w:rPr>
          <w:rFonts w:ascii="Arial" w:hAnsi="Arial" w:cs="Arial"/>
          <w:b/>
          <w:bCs/>
          <w:color w:val="000000" w:themeColor="text1"/>
        </w:rPr>
        <w:t xml:space="preserve"> solution (0.1 M) in the presence of melamine (0.24 µg/mL), B) pH curve as a function of current</w:t>
      </w:r>
    </w:p>
    <w:p w14:paraId="6DFDAD1C" w14:textId="77777777" w:rsidR="00C30CAD" w:rsidRPr="00C56606" w:rsidRDefault="00C30CAD" w:rsidP="00C30CAD">
      <w:pPr>
        <w:spacing w:line="360" w:lineRule="auto"/>
        <w:jc w:val="both"/>
        <w:rPr>
          <w:rFonts w:ascii="Arial" w:hAnsi="Arial" w:cs="Arial"/>
          <w:b/>
          <w:bCs/>
          <w:color w:val="000000" w:themeColor="text1"/>
        </w:rPr>
      </w:pPr>
    </w:p>
    <w:p w14:paraId="37E6EFA7"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As we can see in Fig. 7A, the reduction current reaches its maximum value at pH =7.5 with a decreasing shift of the potential (E). Furthermore, the study of the transfer of electrons and protons is done by establishing the relationships E = f(pH) and E1/2 = f(pH), allowing to determine the number of protons and electrons exchanged by melamine with the reaction medium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Fig.9 represents the results obtained from this study.</w:t>
      </w:r>
    </w:p>
    <w:p w14:paraId="3184A379"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noProof/>
          <w:color w:val="000000" w:themeColor="text1"/>
          <w:lang w:val="fr-FR" w:eastAsia="fr-FR"/>
        </w:rPr>
        <w:drawing>
          <wp:inline distT="0" distB="0" distL="0" distR="0" wp14:anchorId="5B62A9AA" wp14:editId="7313C901">
            <wp:extent cx="3980358" cy="2495550"/>
            <wp:effectExtent l="0" t="0" r="1270" b="0"/>
            <wp:docPr id="162687256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2525" cy="2503178"/>
                    </a:xfrm>
                    <a:prstGeom prst="rect">
                      <a:avLst/>
                    </a:prstGeom>
                    <a:noFill/>
                  </pic:spPr>
                </pic:pic>
              </a:graphicData>
            </a:graphic>
          </wp:inline>
        </w:drawing>
      </w:r>
    </w:p>
    <w:p w14:paraId="48802F93"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b/>
          <w:bCs/>
          <w:color w:val="000000" w:themeColor="text1"/>
        </w:rPr>
        <w:t>Fig. 8.  Effect of pH on potential (E) and half-wave potential (E</w:t>
      </w:r>
      <w:r w:rsidRPr="00C56606">
        <w:rPr>
          <w:rFonts w:ascii="Arial" w:hAnsi="Arial" w:cs="Arial"/>
          <w:b/>
          <w:bCs/>
          <w:color w:val="000000" w:themeColor="text1"/>
          <w:vertAlign w:val="subscript"/>
        </w:rPr>
        <w:t>1/2</w:t>
      </w:r>
      <w:r w:rsidRPr="00C56606">
        <w:rPr>
          <w:rFonts w:ascii="Arial" w:hAnsi="Arial" w:cs="Arial"/>
          <w:b/>
          <w:bCs/>
          <w:color w:val="000000" w:themeColor="text1"/>
        </w:rPr>
        <w:t>)</w:t>
      </w:r>
    </w:p>
    <w:p w14:paraId="445D41BF"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Thus, the graphs of dependence of the potentials E and E</w:t>
      </w:r>
      <w:r w:rsidRPr="00C56606">
        <w:rPr>
          <w:rFonts w:ascii="Arial" w:hAnsi="Arial" w:cs="Arial"/>
          <w:color w:val="000000" w:themeColor="text1"/>
          <w:vertAlign w:val="subscript"/>
        </w:rPr>
        <w:t>1/2</w:t>
      </w:r>
      <w:r w:rsidRPr="00C56606">
        <w:rPr>
          <w:rFonts w:ascii="Arial" w:hAnsi="Arial" w:cs="Arial"/>
          <w:color w:val="000000" w:themeColor="text1"/>
        </w:rPr>
        <w:t xml:space="preserve"> with the pH (Fig. 9) reveal two linear plots with the equations:</w:t>
      </w:r>
    </w:p>
    <w:p w14:paraId="48B02104"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t>E = 0,08462 -0,0617pH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0,9799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 xml:space="preserve">E.3) </w:t>
      </w:r>
    </w:p>
    <w:p w14:paraId="27EF6E1F" w14:textId="77777777" w:rsidR="00C30CAD" w:rsidRPr="00C56606" w:rsidRDefault="00C30CAD" w:rsidP="00C30CAD">
      <w:pPr>
        <w:spacing w:line="360" w:lineRule="auto"/>
        <w:jc w:val="center"/>
        <w:rPr>
          <w:rFonts w:ascii="Arial" w:hAnsi="Arial" w:cs="Arial"/>
          <w:b/>
          <w:bCs/>
          <w:color w:val="000000" w:themeColor="text1"/>
        </w:rPr>
      </w:pPr>
      <w:r w:rsidRPr="00C56606">
        <w:rPr>
          <w:rFonts w:ascii="Arial" w:hAnsi="Arial" w:cs="Arial"/>
          <w:b/>
          <w:bCs/>
          <w:color w:val="000000" w:themeColor="text1"/>
        </w:rPr>
        <w:lastRenderedPageBreak/>
        <w:t xml:space="preserve">             </w:t>
      </w:r>
    </w:p>
    <w:p w14:paraId="276062AC" w14:textId="77777777" w:rsidR="00C30CAD" w:rsidRPr="00C56606" w:rsidRDefault="00C30CAD" w:rsidP="00C30CAD">
      <w:pPr>
        <w:spacing w:line="360" w:lineRule="auto"/>
        <w:rPr>
          <w:rFonts w:ascii="Arial" w:hAnsi="Arial" w:cs="Arial"/>
          <w:b/>
          <w:bCs/>
          <w:color w:val="000000" w:themeColor="text1"/>
        </w:rPr>
      </w:pPr>
      <w:r w:rsidRPr="00C56606">
        <w:rPr>
          <w:rFonts w:ascii="Arial" w:hAnsi="Arial" w:cs="Arial"/>
          <w:b/>
          <w:bCs/>
          <w:color w:val="000000" w:themeColor="text1"/>
        </w:rPr>
        <w:t xml:space="preserve">                             E</w:t>
      </w:r>
      <w:r w:rsidRPr="00C56606">
        <w:rPr>
          <w:rFonts w:ascii="Arial" w:hAnsi="Arial" w:cs="Arial"/>
          <w:b/>
          <w:bCs/>
          <w:color w:val="000000" w:themeColor="text1"/>
          <w:vertAlign w:val="subscript"/>
        </w:rPr>
        <w:t>1/2</w:t>
      </w:r>
      <w:r w:rsidRPr="00C56606">
        <w:rPr>
          <w:rFonts w:ascii="Arial" w:hAnsi="Arial" w:cs="Arial"/>
          <w:b/>
          <w:bCs/>
          <w:color w:val="000000" w:themeColor="text1"/>
        </w:rPr>
        <w:t xml:space="preserve"> = 0,7010 – 0,0619pH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0,9787         </w:t>
      </w:r>
      <w:proofErr w:type="gramStart"/>
      <w:r w:rsidRPr="00C56606">
        <w:rPr>
          <w:rFonts w:ascii="Arial" w:hAnsi="Arial" w:cs="Arial"/>
          <w:b/>
          <w:bCs/>
          <w:color w:val="000000" w:themeColor="text1"/>
        </w:rPr>
        <w:t xml:space="preserve">   (</w:t>
      </w:r>
      <w:proofErr w:type="gramEnd"/>
      <w:r w:rsidRPr="00C56606">
        <w:rPr>
          <w:rFonts w:ascii="Arial" w:hAnsi="Arial" w:cs="Arial"/>
          <w:b/>
          <w:bCs/>
          <w:color w:val="000000" w:themeColor="text1"/>
        </w:rPr>
        <w:t>E.4)</w:t>
      </w:r>
    </w:p>
    <w:p w14:paraId="37B617EF" w14:textId="77777777" w:rsidR="00C30CAD" w:rsidRPr="00C56606" w:rsidRDefault="00C30CAD" w:rsidP="00C30CAD">
      <w:pPr>
        <w:spacing w:line="360" w:lineRule="auto"/>
        <w:jc w:val="center"/>
        <w:rPr>
          <w:rFonts w:ascii="Arial" w:hAnsi="Arial" w:cs="Arial"/>
          <w:b/>
          <w:bCs/>
          <w:color w:val="000000" w:themeColor="text1"/>
        </w:rPr>
      </w:pPr>
    </w:p>
    <w:p w14:paraId="5FC0EF2F" w14:textId="77777777" w:rsidR="00C30CAD" w:rsidRPr="00C56606" w:rsidRDefault="00C30CAD" w:rsidP="00C30CAD">
      <w:pPr>
        <w:spacing w:line="360" w:lineRule="auto"/>
        <w:rPr>
          <w:rFonts w:ascii="Arial" w:hAnsi="Arial" w:cs="Arial"/>
          <w:color w:val="000000" w:themeColor="text1"/>
        </w:rPr>
      </w:pPr>
      <w:r w:rsidRPr="00C56606">
        <w:rPr>
          <w:rFonts w:ascii="Arial" w:hAnsi="Arial" w:cs="Arial"/>
          <w:color w:val="000000" w:themeColor="text1"/>
        </w:rPr>
        <w:t>Considering Nernst's law translated by the relation:</w:t>
      </w:r>
    </w:p>
    <w:p w14:paraId="07A4C33B" w14:textId="77777777" w:rsidR="00C30CAD" w:rsidRPr="00C56606" w:rsidRDefault="00C30CAD" w:rsidP="00C30CAD">
      <w:pPr>
        <w:spacing w:line="360" w:lineRule="auto"/>
        <w:rPr>
          <w:rFonts w:ascii="Arial" w:hAnsi="Arial" w:cs="Arial"/>
          <w:color w:val="000000" w:themeColor="text1"/>
        </w:rPr>
      </w:pPr>
    </w:p>
    <w:p w14:paraId="56E26A26" w14:textId="77777777" w:rsidR="00C30CAD" w:rsidRPr="00C56606" w:rsidRDefault="00C30CAD" w:rsidP="00C30CAD">
      <w:pPr>
        <w:spacing w:line="360" w:lineRule="auto"/>
        <w:jc w:val="center"/>
        <w:rPr>
          <w:rFonts w:ascii="Arial" w:hAnsi="Arial" w:cs="Arial"/>
          <w:b/>
          <w:bCs/>
          <w:iCs/>
          <w:color w:val="000000" w:themeColor="text1"/>
        </w:rPr>
      </w:pPr>
      <w:r w:rsidRPr="00C56606">
        <w:rPr>
          <w:rFonts w:ascii="Arial" w:hAnsi="Arial" w:cs="Arial"/>
          <w:b/>
          <w:bCs/>
          <w:iCs/>
          <w:color w:val="000000" w:themeColor="text1"/>
        </w:rPr>
        <w:t>E = E</w:t>
      </w:r>
      <w:r w:rsidRPr="00C56606">
        <w:rPr>
          <w:rFonts w:ascii="Arial" w:hAnsi="Arial" w:cs="Arial"/>
          <w:b/>
          <w:bCs/>
          <w:iCs/>
          <w:color w:val="000000" w:themeColor="text1"/>
          <w:vertAlign w:val="superscript"/>
        </w:rPr>
        <w:t>0</w:t>
      </w:r>
      <w:r w:rsidRPr="00C56606">
        <w:rPr>
          <w:rFonts w:ascii="Arial" w:hAnsi="Arial" w:cs="Arial"/>
          <w:b/>
          <w:bCs/>
          <w:iCs/>
          <w:color w:val="000000" w:themeColor="text1"/>
        </w:rPr>
        <w:t xml:space="preserve"> - 0,059(m/</w:t>
      </w:r>
      <w:proofErr w:type="gramStart"/>
      <w:r w:rsidRPr="00C56606">
        <w:rPr>
          <w:rFonts w:ascii="Arial" w:hAnsi="Arial" w:cs="Arial"/>
          <w:b/>
          <w:bCs/>
          <w:iCs/>
          <w:color w:val="000000" w:themeColor="text1"/>
        </w:rPr>
        <w:t>n)pH</w:t>
      </w:r>
      <w:proofErr w:type="gramEnd"/>
      <w:r w:rsidRPr="00C56606">
        <w:rPr>
          <w:rFonts w:ascii="Arial" w:hAnsi="Arial" w:cs="Arial"/>
          <w:b/>
          <w:bCs/>
          <w:iCs/>
          <w:color w:val="000000" w:themeColor="text1"/>
        </w:rPr>
        <w:t xml:space="preserve">                                              (E.5)</w:t>
      </w:r>
    </w:p>
    <w:p w14:paraId="470F2B17" w14:textId="77777777" w:rsidR="00C30CAD" w:rsidRPr="00C56606" w:rsidRDefault="00C30CAD" w:rsidP="00C30CAD">
      <w:pPr>
        <w:spacing w:line="360" w:lineRule="auto"/>
        <w:jc w:val="center"/>
        <w:rPr>
          <w:rFonts w:ascii="Arial" w:hAnsi="Arial" w:cs="Arial"/>
          <w:color w:val="000000" w:themeColor="text1"/>
        </w:rPr>
      </w:pPr>
    </w:p>
    <w:p w14:paraId="2BF4F1C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Where the parameters </w:t>
      </w:r>
      <w:r w:rsidRPr="00C56606">
        <w:rPr>
          <w:rFonts w:ascii="Arial" w:hAnsi="Arial" w:cs="Arial"/>
          <w:b/>
          <w:bCs/>
          <w:color w:val="000000" w:themeColor="text1"/>
        </w:rPr>
        <w:t>m</w:t>
      </w:r>
      <w:r w:rsidRPr="00C56606">
        <w:rPr>
          <w:rFonts w:ascii="Arial" w:hAnsi="Arial" w:cs="Arial"/>
          <w:color w:val="000000" w:themeColor="text1"/>
        </w:rPr>
        <w:t xml:space="preserve"> and </w:t>
      </w:r>
      <w:r w:rsidRPr="00C56606">
        <w:rPr>
          <w:rFonts w:ascii="Arial" w:hAnsi="Arial" w:cs="Arial"/>
          <w:b/>
          <w:bCs/>
          <w:color w:val="000000" w:themeColor="text1"/>
        </w:rPr>
        <w:t>n</w:t>
      </w:r>
      <w:r w:rsidRPr="00C56606">
        <w:rPr>
          <w:rFonts w:ascii="Arial" w:hAnsi="Arial" w:cs="Arial"/>
          <w:color w:val="000000" w:themeColor="text1"/>
        </w:rPr>
        <w:t xml:space="preserve"> represent respectively the number of protons and electrons exchanged. By relating equation (E.5) to equations (E.3) and (E.4), the ratios (m/n) give 1.045 for E and 1.049 for E</w:t>
      </w:r>
      <w:r w:rsidRPr="00C56606">
        <w:rPr>
          <w:rFonts w:ascii="Arial" w:hAnsi="Arial" w:cs="Arial"/>
          <w:color w:val="000000" w:themeColor="text1"/>
          <w:vertAlign w:val="subscript"/>
        </w:rPr>
        <w:t>1/2</w:t>
      </w:r>
      <w:r w:rsidRPr="00C56606">
        <w:rPr>
          <w:rFonts w:ascii="Arial" w:hAnsi="Arial" w:cs="Arial"/>
          <w:color w:val="000000" w:themeColor="text1"/>
        </w:rPr>
        <w:t xml:space="preserve">. The fact that the ratios (m/n) are very close 1 reflects an equality between the parameters m and n. Thus, the electrochemical reaction between melamine and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is governed by a transfer of the same number of electrons and protons. This particularity of the electron-proton exchanges makes it possible to translate the mechanism of the </w:t>
      </w:r>
      <w:proofErr w:type="spellStart"/>
      <w:r w:rsidRPr="00C56606">
        <w:rPr>
          <w:rFonts w:ascii="Arial" w:hAnsi="Arial" w:cs="Arial"/>
          <w:color w:val="000000" w:themeColor="text1"/>
        </w:rPr>
        <w:t>electropolymerization</w:t>
      </w:r>
      <w:proofErr w:type="spellEnd"/>
      <w:r w:rsidRPr="00C56606">
        <w:rPr>
          <w:rFonts w:ascii="Arial" w:hAnsi="Arial" w:cs="Arial"/>
          <w:color w:val="000000" w:themeColor="text1"/>
        </w:rPr>
        <w:t xml:space="preserve"> reaction of melamine in the presence of active chlorine; as well as that of interaction with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w:t>
      </w:r>
    </w:p>
    <w:p w14:paraId="6EECA374"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59131AEE" wp14:editId="4CFD0822">
            <wp:extent cx="4495800" cy="3394788"/>
            <wp:effectExtent l="0" t="0" r="0" b="0"/>
            <wp:docPr id="52371840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6290" cy="3402709"/>
                    </a:xfrm>
                    <a:prstGeom prst="rect">
                      <a:avLst/>
                    </a:prstGeom>
                    <a:noFill/>
                  </pic:spPr>
                </pic:pic>
              </a:graphicData>
            </a:graphic>
          </wp:inline>
        </w:drawing>
      </w:r>
    </w:p>
    <w:p w14:paraId="07478784" w14:textId="1AC54B3B" w:rsidR="00C30CAD" w:rsidRPr="00C56606" w:rsidRDefault="00EA3700" w:rsidP="00C30CAD">
      <w:pPr>
        <w:spacing w:line="360" w:lineRule="auto"/>
        <w:jc w:val="center"/>
        <w:rPr>
          <w:rFonts w:ascii="Arial" w:hAnsi="Arial" w:cs="Arial"/>
          <w:b/>
          <w:bCs/>
          <w:color w:val="000000" w:themeColor="text1"/>
        </w:rPr>
      </w:pPr>
      <w:r w:rsidRPr="00EA3700">
        <w:rPr>
          <w:rFonts w:ascii="Arial" w:hAnsi="Arial" w:cs="Arial"/>
          <w:b/>
          <w:bCs/>
          <w:color w:val="000000" w:themeColor="text1"/>
        </w:rPr>
        <w:t xml:space="preserve">Fig. </w:t>
      </w:r>
      <w:r w:rsidR="001E6BA6">
        <w:rPr>
          <w:rFonts w:ascii="Arial" w:hAnsi="Arial" w:cs="Arial"/>
          <w:b/>
          <w:bCs/>
          <w:color w:val="000000" w:themeColor="text1"/>
        </w:rPr>
        <w:t>9</w:t>
      </w:r>
      <w:r w:rsidR="00C30CAD" w:rsidRPr="00C56606">
        <w:rPr>
          <w:rFonts w:ascii="Arial" w:hAnsi="Arial" w:cs="Arial"/>
          <w:b/>
          <w:bCs/>
          <w:color w:val="000000" w:themeColor="text1"/>
        </w:rPr>
        <w:t xml:space="preserve">: Probable pathway of melamine </w:t>
      </w:r>
      <w:proofErr w:type="spellStart"/>
      <w:r w:rsidR="00C30CAD" w:rsidRPr="00C56606">
        <w:rPr>
          <w:rFonts w:ascii="Arial" w:hAnsi="Arial" w:cs="Arial"/>
          <w:b/>
          <w:bCs/>
          <w:color w:val="000000" w:themeColor="text1"/>
        </w:rPr>
        <w:t>electropolymerization</w:t>
      </w:r>
      <w:proofErr w:type="spellEnd"/>
      <w:r w:rsidR="00C30CAD" w:rsidRPr="00C56606">
        <w:rPr>
          <w:rFonts w:ascii="Arial" w:hAnsi="Arial" w:cs="Arial"/>
          <w:b/>
          <w:bCs/>
          <w:color w:val="000000" w:themeColor="text1"/>
        </w:rPr>
        <w:t xml:space="preserve"> </w:t>
      </w:r>
      <w:r w:rsidR="00C30CAD" w:rsidRPr="009A547F">
        <w:rPr>
          <w:rFonts w:ascii="Arial" w:hAnsi="Arial" w:cs="Arial"/>
          <w:b/>
          <w:bCs/>
          <w:color w:val="000000" w:themeColor="text1"/>
        </w:rPr>
        <w:fldChar w:fldCharType="begin"/>
      </w:r>
      <w:r w:rsidR="00C30CAD" w:rsidRPr="009A547F">
        <w:rPr>
          <w:rFonts w:ascii="Arial" w:hAnsi="Arial" w:cs="Arial"/>
          <w:b/>
          <w:bCs/>
          <w:color w:val="000000" w:themeColor="text1"/>
        </w:rPr>
        <w:instrText xml:space="preserve"> ADDIN ZOTERO_ITEM CSL_CITATION {"citationID":"JSKKn6T0","properties":{"formattedCitation":"(Kanagavalli et al., 2023)","plainCitation":"(Kanagavalli et al., 2023)","noteIndex":0},"citationItems":[{"id":151,"uris":["http://zotero.org/users/local/alnDPFsD/items/GH33T8HM"],"itemData":{"id":151,"type":"article-journal","abstract":"Metal-free, cost-efficient, redox-active electrode materials, combining graphene derivatives with nitrogen-rich polymelamine (PM), are widely explored as an interface layer for electrocatalysis and an electrochemical sensor platform. However, conventional chemical routes often yield derivatives of PM suffering from impaired redox behavior, restricting their electron-transfer kinetics. Herein, an optimal potentiodynamic method has been established to electrodeposit PM on electrochemically reduced graphene oxide (ErGO). A supporting electrolyte, containing Cl–, enhances the formation of intermediates NH3+ and ═NH2+ at the monomeric melamine, eventually interacting with the residual oxygenated functional groups of ErGO to form PM. In situ Raman spectrum analysis revealed the influence of the defective area and the graphitization ratio on the ErGO surface during the course of electropolymerization of melamine. Under optimal electrodeposition conditions (E = 0–1.6 V; ν = 0.1 V/s), the amount of electrodeposited PM on the ErGO surface was determined to be 16.5 μg/(cycle·cm2), using electrochemical quartz crystal microbalance analysis. An ErGO-PM-modified glassy carbon electrode (GCE) and a screen-printed electrode exhibit the direct electrooxidation of acyclovir (ACV). Amperometric analyses of ErGO-PM-modified electrodes exhibited the lowest detection limit of 137.4 pM with analytical robustness, rapid steady state, and reproducibility promising for ACV detection in complex biological matrices.","container-title":"Langmuir","DOI":"10.1021/acs.langmuir.3c00128","ISSN":"0743-7463","issue":"9","journalAbbreviation":"Langmuir","note":"publisher: American Chemical Society","page":"3512-3525","source":"ACS Publications","title":"Electropolymerized Melamine on Electrochemically Reduced Graphene Oxide: Growth Mechanistics, Electrode Processing, and Amperometric Sensing of Acyclovir","title-short":"Electropolymerized Melamine on Electrochemically Reduced Graphene Oxide","volume":"39","author":[{"family":"Kanagavalli","given":"Pandiyaraj"},{"family":"Natchimuthu Karuppusamy","given":"Murugasenapathi"},{"family":"Ganesan","given":"Veka Sri"},{"family":"Saravanan","given":"Hari Prabhu"},{"family":"Palanisamy","given":"Tamilarasan"},{"family":"Veerapandian","given":"Murugan"}],"issued":{"date-parts":[["2023",3,7]]}}}],"schema":"https://github.com/citation-style-language/schema/raw/master/csl-citation.json"} </w:instrText>
      </w:r>
      <w:r w:rsidR="00C30CAD" w:rsidRPr="009A547F">
        <w:rPr>
          <w:rFonts w:ascii="Arial" w:hAnsi="Arial" w:cs="Arial"/>
          <w:b/>
          <w:bCs/>
          <w:color w:val="000000" w:themeColor="text1"/>
        </w:rPr>
        <w:fldChar w:fldCharType="separate"/>
      </w:r>
      <w:r w:rsidR="00C30CAD" w:rsidRPr="009A547F">
        <w:rPr>
          <w:rFonts w:ascii="Arial" w:hAnsi="Arial" w:cs="Arial"/>
          <w:b/>
          <w:bCs/>
          <w:color w:val="000000" w:themeColor="text1"/>
        </w:rPr>
        <w:t>(Kanagavalli et al., 2023)</w:t>
      </w:r>
      <w:r w:rsidR="00C30CAD" w:rsidRPr="009A547F">
        <w:rPr>
          <w:rFonts w:ascii="Arial" w:hAnsi="Arial" w:cs="Arial"/>
          <w:b/>
          <w:bCs/>
          <w:color w:val="000000" w:themeColor="text1"/>
        </w:rPr>
        <w:fldChar w:fldCharType="end"/>
      </w:r>
    </w:p>
    <w:p w14:paraId="5E26757E"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 Validation of the Melamine Detection Method</w:t>
      </w:r>
    </w:p>
    <w:p w14:paraId="047658DD"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part of the work focused on certain validation parameters applied to the designed analytical method. These parameters included: linearity, limits of detection (LOD) and quantification (LOQ), accuracy (or recovery rate), precision, and selectivity. These validation </w:t>
      </w:r>
      <w:r w:rsidRPr="00C56606">
        <w:rPr>
          <w:rFonts w:ascii="Arial" w:hAnsi="Arial" w:cs="Arial"/>
          <w:color w:val="000000" w:themeColor="text1"/>
        </w:rPr>
        <w:lastRenderedPageBreak/>
        <w:t xml:space="preserve">studies were conducted using the Differential Pulse </w:t>
      </w:r>
      <w:proofErr w:type="spellStart"/>
      <w:r w:rsidRPr="00C56606">
        <w:rPr>
          <w:rFonts w:ascii="Arial" w:hAnsi="Arial" w:cs="Arial"/>
          <w:color w:val="000000" w:themeColor="text1"/>
        </w:rPr>
        <w:t>Voltametry</w:t>
      </w:r>
      <w:proofErr w:type="spellEnd"/>
      <w:r w:rsidRPr="00C56606">
        <w:rPr>
          <w:rFonts w:ascii="Arial" w:hAnsi="Arial" w:cs="Arial"/>
          <w:color w:val="000000" w:themeColor="text1"/>
        </w:rPr>
        <w:t xml:space="preserve"> (DPV) technique under optimal melamine detection conditions with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 0.1 M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w:t>
      </w:r>
    </w:p>
    <w:p w14:paraId="4B3BD3F3" w14:textId="77777777" w:rsidR="00C30CAD" w:rsidRPr="00C56606" w:rsidRDefault="00C30CAD" w:rsidP="00C30CAD">
      <w:pPr>
        <w:spacing w:line="360" w:lineRule="auto"/>
        <w:jc w:val="both"/>
        <w:rPr>
          <w:rFonts w:ascii="Arial" w:hAnsi="Arial" w:cs="Arial"/>
          <w:color w:val="000000" w:themeColor="text1"/>
        </w:rPr>
      </w:pPr>
    </w:p>
    <w:p w14:paraId="513EFDEC"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3.3.1. Linearity Study</w:t>
      </w:r>
    </w:p>
    <w:p w14:paraId="78A02F1B"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In order to demonstrate the linearity of the implemented detection method, a calibration study was conducted in the range 0.5 ng/mL to 50 ng/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For this study, ten (10) different melamine concentrations were considered. Representative results are summarized in Fig. 10:</w:t>
      </w:r>
    </w:p>
    <w:p w14:paraId="343C1FFC"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222DDADE" wp14:editId="54323A4F">
            <wp:extent cx="5113020" cy="3070860"/>
            <wp:effectExtent l="0" t="0" r="0" b="0"/>
            <wp:docPr id="101381115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13020" cy="3070860"/>
                    </a:xfrm>
                    <a:prstGeom prst="rect">
                      <a:avLst/>
                    </a:prstGeom>
                    <a:noFill/>
                  </pic:spPr>
                </pic:pic>
              </a:graphicData>
            </a:graphic>
          </wp:inline>
        </w:drawing>
      </w:r>
    </w:p>
    <w:p w14:paraId="01A3E616"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Fig. 10.  A) DPV for (a) 00 ng/mL, (b) 05 ng/mL, (c) 10 ng/mL, (d) 15 ng/mL, (e) 20 ng/mL, (f) 25 ng/mL, (g) 30 ng/mL, (h) 35 ng/mL, (</w:t>
      </w:r>
      <w:proofErr w:type="spellStart"/>
      <w:r w:rsidRPr="00C56606">
        <w:rPr>
          <w:rFonts w:ascii="Arial" w:hAnsi="Arial" w:cs="Arial"/>
          <w:b/>
          <w:bCs/>
          <w:color w:val="000000" w:themeColor="text1"/>
        </w:rPr>
        <w:t>i</w:t>
      </w:r>
      <w:proofErr w:type="spellEnd"/>
      <w:r w:rsidRPr="00C56606">
        <w:rPr>
          <w:rFonts w:ascii="Arial" w:hAnsi="Arial" w:cs="Arial"/>
          <w:b/>
          <w:bCs/>
          <w:color w:val="000000" w:themeColor="text1"/>
        </w:rPr>
        <w:t>) 40 ng/mL, (j) 45 ng/mL and (k) 50 ng/mL of melamine in 0.1M Na</w:t>
      </w:r>
      <w:r w:rsidRPr="00C56606">
        <w:rPr>
          <w:rFonts w:ascii="Arial" w:hAnsi="Arial" w:cs="Arial"/>
          <w:b/>
          <w:bCs/>
          <w:color w:val="000000" w:themeColor="text1"/>
          <w:vertAlign w:val="subscript"/>
        </w:rPr>
        <w:t>2</w:t>
      </w:r>
      <w:r w:rsidRPr="00C56606">
        <w:rPr>
          <w:rFonts w:ascii="Arial" w:hAnsi="Arial" w:cs="Arial"/>
          <w:b/>
          <w:bCs/>
          <w:color w:val="000000" w:themeColor="text1"/>
        </w:rPr>
        <w:t>SO</w:t>
      </w:r>
      <w:r w:rsidRPr="00C56606">
        <w:rPr>
          <w:rFonts w:ascii="Arial" w:hAnsi="Arial" w:cs="Arial"/>
          <w:b/>
          <w:bCs/>
          <w:color w:val="000000" w:themeColor="text1"/>
          <w:vertAlign w:val="subscript"/>
        </w:rPr>
        <w:t xml:space="preserve">4 </w:t>
      </w:r>
      <w:r w:rsidRPr="00C56606">
        <w:rPr>
          <w:rFonts w:ascii="Arial" w:hAnsi="Arial" w:cs="Arial"/>
          <w:b/>
          <w:bCs/>
          <w:color w:val="000000" w:themeColor="text1"/>
        </w:rPr>
        <w:t xml:space="preserve">in the presence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 B) and C) Correlations between current and melamine concentration</w:t>
      </w:r>
    </w:p>
    <w:p w14:paraId="07BE7DD0" w14:textId="77777777" w:rsidR="00C30CAD" w:rsidRPr="00C56606" w:rsidRDefault="00C30CAD" w:rsidP="00C30CAD">
      <w:pPr>
        <w:spacing w:line="360" w:lineRule="auto"/>
        <w:jc w:val="both"/>
        <w:rPr>
          <w:rFonts w:ascii="Arial" w:hAnsi="Arial" w:cs="Arial"/>
          <w:color w:val="000000" w:themeColor="text1"/>
        </w:rPr>
      </w:pPr>
    </w:p>
    <w:p w14:paraId="75EED071" w14:textId="20691EC1"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Fig. 10.A shows the evolution of the DPV spectra of the current with the increase in the concentration of melamine in the detection medium. The observation is that the current seems to increase linearly with the concentration of melamine. Moreover, this hypothesis is confirmed by the extrapolation of the results of Fig. 10.B and 10.C which made it possible to obtain an equation defined by the expression:</w:t>
      </w:r>
    </w:p>
    <w:p w14:paraId="65BF80B6"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                         </w:t>
      </w:r>
      <w:proofErr w:type="spellStart"/>
      <w:r w:rsidRPr="00C56606">
        <w:rPr>
          <w:rFonts w:ascii="Arial" w:hAnsi="Arial" w:cs="Arial"/>
          <w:b/>
          <w:bCs/>
          <w:color w:val="000000" w:themeColor="text1"/>
        </w:rPr>
        <w:t>i</w:t>
      </w:r>
      <w:proofErr w:type="spellEnd"/>
      <w:r w:rsidRPr="00C56606">
        <w:rPr>
          <w:rFonts w:ascii="Arial" w:hAnsi="Arial" w:cs="Arial"/>
          <w:b/>
          <w:bCs/>
          <w:color w:val="000000" w:themeColor="text1"/>
        </w:rPr>
        <w:t xml:space="preserve"> (µA) = 0,1617C (ng/mL) + 2,6799 with R</w:t>
      </w:r>
      <w:r w:rsidRPr="00C56606">
        <w:rPr>
          <w:rFonts w:ascii="Arial" w:hAnsi="Arial" w:cs="Arial"/>
          <w:b/>
          <w:bCs/>
          <w:color w:val="000000" w:themeColor="text1"/>
          <w:vertAlign w:val="superscript"/>
        </w:rPr>
        <w:t>2</w:t>
      </w:r>
      <w:r w:rsidRPr="00C56606">
        <w:rPr>
          <w:rFonts w:ascii="Arial" w:hAnsi="Arial" w:cs="Arial"/>
          <w:b/>
          <w:bCs/>
          <w:color w:val="000000" w:themeColor="text1"/>
        </w:rPr>
        <w:t xml:space="preserve"> = 0,9838</w:t>
      </w:r>
      <w:r w:rsidRPr="00C56606">
        <w:rPr>
          <w:rFonts w:ascii="Arial" w:hAnsi="Arial" w:cs="Arial"/>
          <w:color w:val="000000" w:themeColor="text1"/>
        </w:rPr>
        <w:t xml:space="preserve">      </w:t>
      </w:r>
    </w:p>
    <w:p w14:paraId="7EB9BFDF"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 </w:t>
      </w:r>
    </w:p>
    <w:p w14:paraId="3702D495"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So, the implemented detection method has good linearity (R</w:t>
      </w:r>
      <w:r w:rsidRPr="00C56606">
        <w:rPr>
          <w:rFonts w:ascii="Arial" w:hAnsi="Arial" w:cs="Arial"/>
          <w:color w:val="000000" w:themeColor="text1"/>
          <w:vertAlign w:val="superscript"/>
        </w:rPr>
        <w:t xml:space="preserve">2 </w:t>
      </w:r>
      <w:r w:rsidRPr="00C56606">
        <w:rPr>
          <w:rFonts w:ascii="Arial" w:hAnsi="Arial" w:cs="Arial"/>
          <w:color w:val="000000" w:themeColor="text1"/>
        </w:rPr>
        <w:t xml:space="preserve">= 0.9838). And this result is corroborated by literature </w:t>
      </w:r>
      <w:r w:rsidRPr="00C56606">
        <w:rPr>
          <w:rFonts w:ascii="Arial" w:hAnsi="Arial" w:cs="Arial"/>
          <w:color w:val="000000" w:themeColor="text1"/>
        </w:rPr>
        <w:fldChar w:fldCharType="begin"/>
      </w:r>
      <w:r w:rsidRPr="00C56606">
        <w:rPr>
          <w:rFonts w:ascii="Arial" w:hAnsi="Arial" w:cs="Arial"/>
          <w:color w:val="000000" w:themeColor="text1"/>
        </w:rPr>
        <w:instrText xml:space="preserve"> ADDIN ZOTERO_ITEM CSL_CITATION {"citationID":"RiFHBojF","properties":{"formattedCitation":"(X. Liu et al., 2017)","plainCitation":"(X. Liu et al., 2017)","noteIndex":0},"citationItems":[{"id":92,"uris":["http://zotero.org/users/local/alnDPFsD/items/NRHXK4JW"],"itemData":{"id":92,"type":"article-journal","abstract":"Melamine detection has attracted much attention since the discovery of the damage of melamine to human health. Herein, we have developed a sensitive homogeneous electroanalytical platform for melamine detection, which is relied on the formation of triplex molecular beacon integrated with exonuclease III (Exo III)-mediated signal amplification. The formation of triplex molecular beacon was triggered by the recognition and incorporation of melamine to the abasic (AP) site contained in the triplex stem. The stem of the triplex molecular beacon was designed to have a protruding double-strand DNA, which can be recognized and hydrolyzed by Exo III for releasing methylene blue (MB)-labeled mononucleotide. These released MB molecules exhibit high diffusivity toward indium tin oxide electrode with negative charge, thus producing a significantly increased electrochemical response. Taking advantages of the high binding affinity of the DNA triplex structure containing AP sites towards melamine and the unique features of Exo III, this sensing platform is capable for sensitive and selective melamine assay with a detection limit as low as 8.7 nM. Furthermore, this strategy shows good applicability for melamine assay in real samples. Therefore, this strategy broadens the application of triplex DNA and presents a new method for sensitive detection of melamine.","container-title":"Scientific Reports","DOI":"10.1038/s41598-017-04812-4","ISSN":"2045-2322","issue":"1","journalAbbreviation":"Sci Rep","language":"en","license":"2017 The Author(s)","note":"publisher: Nature Publishing Group","page":"4490","source":"www.nature.com","title":"Triplex DNA-based Bioanalytical Platform for Highly Sensitive Homogeneous Electrochemical Detection of Melamine","volume":"7","author":[{"family":"Liu","given":"Xiaojuan"},{"family":"Song","given":"Mengmeng"},{"family":"Li","given":"Feng"}],"issued":{"date-parts":[["2017",7,3]]}}}],"schema":"https://github.com/citation-style-language/schema/raw/master/csl-citation.json"} </w:instrText>
      </w:r>
      <w:r w:rsidRPr="00C56606">
        <w:rPr>
          <w:rFonts w:ascii="Arial" w:hAnsi="Arial" w:cs="Arial"/>
          <w:color w:val="000000" w:themeColor="text1"/>
        </w:rPr>
        <w:fldChar w:fldCharType="separate"/>
      </w:r>
      <w:r w:rsidRPr="00C56606">
        <w:rPr>
          <w:rFonts w:ascii="Arial" w:hAnsi="Arial" w:cs="Arial"/>
          <w:color w:val="000000" w:themeColor="text1"/>
        </w:rPr>
        <w:t>(X. Liu et al., 2017)</w:t>
      </w:r>
      <w:r w:rsidRPr="00C56606">
        <w:rPr>
          <w:rFonts w:ascii="Arial" w:hAnsi="Arial" w:cs="Arial"/>
          <w:color w:val="000000" w:themeColor="text1"/>
        </w:rPr>
        <w:fldChar w:fldCharType="end"/>
      </w:r>
      <w:r w:rsidRPr="00C56606">
        <w:rPr>
          <w:rFonts w:ascii="Arial" w:hAnsi="Arial" w:cs="Arial"/>
          <w:color w:val="000000" w:themeColor="text1"/>
        </w:rPr>
        <w:t xml:space="preserve">. Using the slope (S) and standard deviation of </w:t>
      </w:r>
      <w:r w:rsidRPr="00C56606">
        <w:rPr>
          <w:rFonts w:ascii="Arial" w:hAnsi="Arial" w:cs="Arial"/>
          <w:color w:val="000000" w:themeColor="text1"/>
        </w:rPr>
        <w:lastRenderedPageBreak/>
        <w:t xml:space="preserve">deviation (s) of the calibration curve (E.7), the value obtained by calculation for the detection limit is 3.488 ng/mL and 11.627 ng/mL for the quantification limit. However, according to certain regulatory agencies working in the field of food safety, such as the FDA (Food and Drug Administration) in the USA, the recommended limit for excess melamine is 1 µg/mL in dairy foods for infants and 2.5 µg/mL for other individuals. As for the World Health Organization (WHO), it has set the limit for excess melamine at 0.2 µg/ml in dairy products </w:t>
      </w:r>
      <w:r w:rsidRPr="00711E46">
        <w:rPr>
          <w:rFonts w:ascii="Arial" w:hAnsi="Arial" w:cs="Arial"/>
          <w:b/>
          <w:bCs/>
          <w:color w:val="000000" w:themeColor="text1"/>
        </w:rPr>
        <w:fldChar w:fldCharType="begin"/>
      </w:r>
      <w:r w:rsidRPr="00711E46">
        <w:rPr>
          <w:rFonts w:ascii="Arial" w:hAnsi="Arial" w:cs="Arial"/>
          <w:b/>
          <w:bCs/>
          <w:color w:val="000000" w:themeColor="text1"/>
        </w:rPr>
        <w:instrText xml:space="preserve"> ADDIN ZOTERO_ITEM CSL_CITATION {"citationID":"76knjn3w","properties":{"formattedCitation":"(Ingelfinger, 2008)","plainCitation":"(Ingelfinger, 2008)","noteIndex":0},"citationItems":[{"id":96,"uris":["http://zotero.org/users/local/alnDPFsD/items/C4LRC4EH"],"itemData":{"id":96,"type":"article-journal","abstract":"More than 294,000 children in China have reportedly been affected by melamine contamination of tainted infant formula. Dr. Julie Ingelfinger writes that the contaminated formula was taken off the market, but the story of melamine contamination is far from over. Food contamination, whether accidental or intentional, has been a sad, recurrent theme throughout recorded history, going back some 8000 years and described in the Old Testament. However, a new dimension has been added in this new millennium: globalization and international agribusiness allow problems with the food supply to spread around the planet all too quickly. The most recent, and still evolving, example is the epidemic of melamine poisoning stemming from tainted infant formula in China. More than 294,000 children in China have reportedly been affected by adulterated formula. Over 50,000 were hospitalized, and at least 6 died. Some are said . . .","container-title":"New England Journal of Medicine","DOI":"10.1056/NEJMp0808410","ISSN":"0028-4793","issue":"26","note":"publisher: Massachusetts Medical Society\n_eprint: https://www.nejm.org/doi/pdf/10.1056/NEJMp0808410","page":"2745-2748","source":"Taylor and Francis+NEJM","title":"Melamine and the Global Implications of Food Contamination","volume":"359","author":[{"family":"Ingelfinger","given":"Julie R."}],"issued":{"date-parts":[["2008",12,25]]}}}],"schema":"https://github.com/citation-style-language/schema/raw/master/csl-citation.json"} </w:instrText>
      </w:r>
      <w:r w:rsidRPr="00711E46">
        <w:rPr>
          <w:rFonts w:ascii="Arial" w:hAnsi="Arial" w:cs="Arial"/>
          <w:b/>
          <w:bCs/>
          <w:color w:val="000000" w:themeColor="text1"/>
        </w:rPr>
        <w:fldChar w:fldCharType="separate"/>
      </w:r>
      <w:r w:rsidRPr="00711E46">
        <w:rPr>
          <w:rFonts w:ascii="Arial" w:hAnsi="Arial" w:cs="Arial"/>
          <w:b/>
          <w:bCs/>
          <w:color w:val="000000" w:themeColor="text1"/>
        </w:rPr>
        <w:t>(Ingelfinger, 2008)</w:t>
      </w:r>
      <w:r w:rsidRPr="00711E46">
        <w:rPr>
          <w:rFonts w:ascii="Arial" w:hAnsi="Arial" w:cs="Arial"/>
          <w:b/>
          <w:bCs/>
          <w:color w:val="000000" w:themeColor="text1"/>
        </w:rPr>
        <w:fldChar w:fldCharType="end"/>
      </w:r>
      <w:r w:rsidRPr="00C56606">
        <w:rPr>
          <w:rFonts w:ascii="Arial" w:hAnsi="Arial" w:cs="Arial"/>
          <w:color w:val="000000" w:themeColor="text1"/>
        </w:rPr>
        <w:t xml:space="preserve">. In the context of our work, the detection limit obtained is well below the limit values ​​adopted by the FDA and the WHO. And, given that in Côte d'Ivoire and in many countries in sub-Saharan Africa, legislation and analyses aimed at providing evidence of the presence of melamine in dairy products are very weak, the popularization of our work will therefore be a relief for many countries in sub-Saharan Africa </w:t>
      </w:r>
      <w:r w:rsidRPr="00200E0E">
        <w:rPr>
          <w:rFonts w:ascii="Arial" w:hAnsi="Arial" w:cs="Arial"/>
          <w:b/>
          <w:bCs/>
          <w:color w:val="000000" w:themeColor="text1"/>
        </w:rPr>
        <w:fldChar w:fldCharType="begin"/>
      </w:r>
      <w:r w:rsidRPr="00200E0E">
        <w:rPr>
          <w:rFonts w:ascii="Arial" w:hAnsi="Arial" w:cs="Arial"/>
          <w:b/>
          <w:bCs/>
          <w:color w:val="000000" w:themeColor="text1"/>
        </w:rPr>
        <w:instrText xml:space="preserve"> ADDIN ZOTERO_ITEM CSL_CITATION {"citationID":"KhzmyXSQ","properties":{"formattedCitation":"(Akinyemi et al., 2021)","plainCitation":"(Akinyemi et al., 2021)","noteIndex":0},"citationItems":[{"id":98,"uris":["http://zotero.org/users/local/alnDPFsD/items/AQSCJXHP"],"itemData":{"id":98,"type":"article-journal","abstract":"Animal milk types in sub-Saharan Africa (SSA) are processed into varieties of products using different traditional methods and are widely consumed by households to support nutritional intake and diet. Dairy products contain several microorganisms, their metabolites, and other chemical compounds, some with health benefits and many others considered as potential health hazards. Consumption of contaminated milk products could have serious health implications for consumers. To access the safety of milk products across SSA, studies in the region investigating the occurrences of pathogens as well as chemical compounds such as heat stable toxins and veterinary drug residues in animal milk and its products were reviewed. This is done with a holistic view in light of the emerging exposome paradigm for improving food safety and consumer health in the region. Herein, we showed that several published studies in SSA applied conventional and/or less sensitive methods in detecting microbial species and chemical contaminants. This has serious implications in food safety because the correct identity of a microbial species and accurate screening for chemical contaminants is crucial for predicting the potential human health effects that undermine the benefits from consumption of these foods. Furthermore, we highlighted gaps in determining the extent of viral and parasitic contamination of milk products across SSA as well as investigating multiple classes of chemical contaminants. Consequently, robust studies should be conducted in this regard. Also, efforts such as development cooperation projects should be initiated by all stakeholders including scientists, regulatory agencies, and policy makers to improve the dairy product chain in SSA in view of safeguarding consumer health.","container-title":"Comprehensive Reviews in Food Science and Food Safety","DOI":"10.1111/1541-4337.12712","ISSN":"1541-4337","issue":"2","language":"en","license":"© 2021 Institute of Food Technologists®","note":"_eprint: https://onlinelibrary.wiley.com/doi/pdf/10.1111/1541-4337.12712","page":"1188-1220","source":"Wiley Online Library","title":"A review of microbes and chemical contaminants in dairy products in sub-Saharan Africa","volume":"20","author":[{"family":"Akinyemi","given":"Muiz O."},{"family":"Ayeni","given":"Kolawole I."},{"family":"Ogunremi","given":"Omotade R."},{"family":"Adeleke","given":"Rasheed A."},{"family":"Oguntoyinbo","given":"Folarin A."},{"family":"Warth","given":"Benedikt"},{"family":"Ezekiel","given":"Chibundu N."}],"issued":{"date-parts":[["2021"]]}}}],"schema":"https://github.com/citation-style-language/schema/raw/master/csl-citation.json"} </w:instrText>
      </w:r>
      <w:r w:rsidRPr="00200E0E">
        <w:rPr>
          <w:rFonts w:ascii="Arial" w:hAnsi="Arial" w:cs="Arial"/>
          <w:b/>
          <w:bCs/>
          <w:color w:val="000000" w:themeColor="text1"/>
        </w:rPr>
        <w:fldChar w:fldCharType="separate"/>
      </w:r>
      <w:r w:rsidRPr="00200E0E">
        <w:rPr>
          <w:rFonts w:ascii="Arial" w:hAnsi="Arial" w:cs="Arial"/>
          <w:b/>
          <w:bCs/>
          <w:color w:val="000000" w:themeColor="text1"/>
        </w:rPr>
        <w:t>(Akinyemi et al., 2021)</w:t>
      </w:r>
      <w:r w:rsidRPr="00200E0E">
        <w:rPr>
          <w:rFonts w:ascii="Arial" w:hAnsi="Arial" w:cs="Arial"/>
          <w:b/>
          <w:bCs/>
          <w:color w:val="000000" w:themeColor="text1"/>
        </w:rPr>
        <w:fldChar w:fldCharType="end"/>
      </w:r>
      <w:r w:rsidRPr="00C56606">
        <w:rPr>
          <w:rFonts w:ascii="Arial" w:hAnsi="Arial" w:cs="Arial"/>
          <w:color w:val="000000" w:themeColor="text1"/>
        </w:rPr>
        <w:t xml:space="preserve">. </w:t>
      </w:r>
    </w:p>
    <w:p w14:paraId="02A23AAA" w14:textId="77777777" w:rsidR="00C30CAD" w:rsidRPr="00C56606" w:rsidRDefault="00C30CAD" w:rsidP="00C30CAD">
      <w:pPr>
        <w:spacing w:line="360" w:lineRule="auto"/>
        <w:jc w:val="both"/>
        <w:rPr>
          <w:rFonts w:ascii="Arial" w:hAnsi="Arial" w:cs="Arial"/>
          <w:color w:val="000000" w:themeColor="text1"/>
        </w:rPr>
      </w:pPr>
    </w:p>
    <w:p w14:paraId="24B139C4"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3.3.2. Detection Method Accuracy Study</w:t>
      </w:r>
    </w:p>
    <w:p w14:paraId="3E01DBE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demonstrate the reliability of the designed detection method, a study was conducted to evaluate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electrode's ability to recover melamine of known concentrations. This study involved the analysis of six melamine standard solutions with concentrations ranging from 0 to 50 ng/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The results are summarized in Table 1. It appears from this study that the melamine recovery rates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vary between 98.2% and 100.8%. Therefore, the </w:t>
      </w:r>
      <w:proofErr w:type="spellStart"/>
      <w:r w:rsidRPr="00C56606">
        <w:rPr>
          <w:rFonts w:ascii="Arial" w:hAnsi="Arial" w:cs="Arial"/>
          <w:color w:val="000000" w:themeColor="text1"/>
        </w:rPr>
        <w:t>cCQDs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has an excellent melamine recovery capacity which confirms the reliability of the analytical method.</w:t>
      </w:r>
    </w:p>
    <w:p w14:paraId="685E63F7" w14:textId="77777777" w:rsidR="00C30CAD" w:rsidRPr="00C56606" w:rsidRDefault="00C30CAD" w:rsidP="00C30CAD">
      <w:pPr>
        <w:spacing w:line="360" w:lineRule="auto"/>
        <w:jc w:val="both"/>
        <w:rPr>
          <w:rFonts w:ascii="Arial" w:hAnsi="Arial" w:cs="Arial"/>
          <w:color w:val="000000" w:themeColor="text1"/>
        </w:rPr>
      </w:pPr>
    </w:p>
    <w:p w14:paraId="082DF14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Table 1.   Recovery rates in different melamine solutions (n ​​= 3)   </w:t>
      </w:r>
    </w:p>
    <w:tbl>
      <w:tblPr>
        <w:tblStyle w:val="TableGrid"/>
        <w:tblW w:w="0" w:type="auto"/>
        <w:tblLook w:val="04A0" w:firstRow="1" w:lastRow="0" w:firstColumn="1" w:lastColumn="0" w:noHBand="0" w:noVBand="1"/>
      </w:tblPr>
      <w:tblGrid>
        <w:gridCol w:w="3440"/>
        <w:gridCol w:w="2016"/>
        <w:gridCol w:w="2752"/>
      </w:tblGrid>
      <w:tr w:rsidR="00C56606" w:rsidRPr="00C56606" w14:paraId="3427CE38" w14:textId="77777777" w:rsidTr="006A52C0">
        <w:tc>
          <w:tcPr>
            <w:tcW w:w="3828" w:type="dxa"/>
            <w:tcBorders>
              <w:left w:val="nil"/>
              <w:bottom w:val="single" w:sz="4" w:space="0" w:color="auto"/>
              <w:right w:val="nil"/>
            </w:tcBorders>
          </w:tcPr>
          <w:p w14:paraId="658DA52D"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Added (ng/mL)</w:t>
            </w:r>
          </w:p>
        </w:tc>
        <w:tc>
          <w:tcPr>
            <w:tcW w:w="2182" w:type="dxa"/>
            <w:tcBorders>
              <w:left w:val="nil"/>
              <w:bottom w:val="single" w:sz="4" w:space="0" w:color="auto"/>
              <w:right w:val="nil"/>
            </w:tcBorders>
          </w:tcPr>
          <w:p w14:paraId="0606A9A2"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Found (ng/mL)</w:t>
            </w:r>
          </w:p>
        </w:tc>
        <w:tc>
          <w:tcPr>
            <w:tcW w:w="3006" w:type="dxa"/>
            <w:tcBorders>
              <w:left w:val="nil"/>
              <w:bottom w:val="single" w:sz="4" w:space="0" w:color="auto"/>
              <w:right w:val="nil"/>
            </w:tcBorders>
          </w:tcPr>
          <w:p w14:paraId="48A6701C"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Recovery (%)</w:t>
            </w:r>
          </w:p>
        </w:tc>
      </w:tr>
      <w:tr w:rsidR="00C56606" w:rsidRPr="00C56606" w14:paraId="45F670D0" w14:textId="77777777" w:rsidTr="006A52C0">
        <w:tc>
          <w:tcPr>
            <w:tcW w:w="3828" w:type="dxa"/>
            <w:tcBorders>
              <w:left w:val="nil"/>
              <w:bottom w:val="nil"/>
              <w:right w:val="nil"/>
            </w:tcBorders>
          </w:tcPr>
          <w:p w14:paraId="761F1155"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07.3</w:t>
            </w:r>
          </w:p>
        </w:tc>
        <w:tc>
          <w:tcPr>
            <w:tcW w:w="2182" w:type="dxa"/>
            <w:tcBorders>
              <w:left w:val="nil"/>
              <w:bottom w:val="nil"/>
              <w:right w:val="nil"/>
            </w:tcBorders>
          </w:tcPr>
          <w:p w14:paraId="20E8E5A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07.28</w:t>
            </w:r>
          </w:p>
        </w:tc>
        <w:tc>
          <w:tcPr>
            <w:tcW w:w="3006" w:type="dxa"/>
            <w:tcBorders>
              <w:left w:val="nil"/>
              <w:bottom w:val="nil"/>
              <w:right w:val="nil"/>
            </w:tcBorders>
          </w:tcPr>
          <w:p w14:paraId="21BF60E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099.7 ± 1.9</w:t>
            </w:r>
          </w:p>
        </w:tc>
      </w:tr>
      <w:tr w:rsidR="00C56606" w:rsidRPr="00C56606" w14:paraId="1BE3AB43" w14:textId="77777777" w:rsidTr="006A52C0">
        <w:tc>
          <w:tcPr>
            <w:tcW w:w="3828" w:type="dxa"/>
            <w:tcBorders>
              <w:top w:val="nil"/>
              <w:left w:val="nil"/>
              <w:bottom w:val="nil"/>
              <w:right w:val="nil"/>
            </w:tcBorders>
          </w:tcPr>
          <w:p w14:paraId="1A52BA0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12.3</w:t>
            </w:r>
          </w:p>
        </w:tc>
        <w:tc>
          <w:tcPr>
            <w:tcW w:w="2182" w:type="dxa"/>
            <w:tcBorders>
              <w:top w:val="nil"/>
              <w:left w:val="nil"/>
              <w:bottom w:val="nil"/>
              <w:right w:val="nil"/>
            </w:tcBorders>
          </w:tcPr>
          <w:p w14:paraId="72B83A1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12.08</w:t>
            </w:r>
          </w:p>
        </w:tc>
        <w:tc>
          <w:tcPr>
            <w:tcW w:w="3006" w:type="dxa"/>
            <w:tcBorders>
              <w:top w:val="nil"/>
              <w:left w:val="nil"/>
              <w:bottom w:val="nil"/>
              <w:right w:val="nil"/>
            </w:tcBorders>
          </w:tcPr>
          <w:p w14:paraId="2098AAF8"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098.2 ± 2.4</w:t>
            </w:r>
          </w:p>
        </w:tc>
      </w:tr>
      <w:tr w:rsidR="00C56606" w:rsidRPr="00C56606" w14:paraId="6FA09074" w14:textId="77777777" w:rsidTr="006A52C0">
        <w:tc>
          <w:tcPr>
            <w:tcW w:w="3828" w:type="dxa"/>
            <w:tcBorders>
              <w:top w:val="nil"/>
              <w:left w:val="nil"/>
              <w:bottom w:val="nil"/>
              <w:right w:val="nil"/>
            </w:tcBorders>
          </w:tcPr>
          <w:p w14:paraId="082DE18A"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17.2</w:t>
            </w:r>
          </w:p>
        </w:tc>
        <w:tc>
          <w:tcPr>
            <w:tcW w:w="2182" w:type="dxa"/>
            <w:tcBorders>
              <w:top w:val="nil"/>
              <w:left w:val="nil"/>
              <w:bottom w:val="nil"/>
              <w:right w:val="nil"/>
            </w:tcBorders>
          </w:tcPr>
          <w:p w14:paraId="63322773"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17.02</w:t>
            </w:r>
          </w:p>
        </w:tc>
        <w:tc>
          <w:tcPr>
            <w:tcW w:w="3006" w:type="dxa"/>
            <w:tcBorders>
              <w:top w:val="nil"/>
              <w:left w:val="nil"/>
              <w:bottom w:val="nil"/>
              <w:right w:val="nil"/>
            </w:tcBorders>
          </w:tcPr>
          <w:p w14:paraId="16204916"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098.9 ± 2.3</w:t>
            </w:r>
          </w:p>
        </w:tc>
      </w:tr>
      <w:tr w:rsidR="00C56606" w:rsidRPr="00C56606" w14:paraId="63C30B5B" w14:textId="77777777" w:rsidTr="006A52C0">
        <w:tc>
          <w:tcPr>
            <w:tcW w:w="3828" w:type="dxa"/>
            <w:tcBorders>
              <w:top w:val="nil"/>
              <w:left w:val="nil"/>
              <w:bottom w:val="nil"/>
              <w:right w:val="nil"/>
            </w:tcBorders>
          </w:tcPr>
          <w:p w14:paraId="7DD2AC92"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22.2</w:t>
            </w:r>
          </w:p>
        </w:tc>
        <w:tc>
          <w:tcPr>
            <w:tcW w:w="2182" w:type="dxa"/>
            <w:tcBorders>
              <w:top w:val="nil"/>
              <w:left w:val="nil"/>
              <w:bottom w:val="nil"/>
              <w:right w:val="nil"/>
            </w:tcBorders>
          </w:tcPr>
          <w:p w14:paraId="163355C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22.04</w:t>
            </w:r>
          </w:p>
        </w:tc>
        <w:tc>
          <w:tcPr>
            <w:tcW w:w="3006" w:type="dxa"/>
            <w:tcBorders>
              <w:top w:val="nil"/>
              <w:left w:val="nil"/>
              <w:bottom w:val="nil"/>
              <w:right w:val="nil"/>
            </w:tcBorders>
          </w:tcPr>
          <w:p w14:paraId="4A6D723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099.3 ± 3.5</w:t>
            </w:r>
          </w:p>
        </w:tc>
      </w:tr>
      <w:tr w:rsidR="00C56606" w:rsidRPr="00C56606" w14:paraId="201AB6D7" w14:textId="77777777" w:rsidTr="006A52C0">
        <w:tc>
          <w:tcPr>
            <w:tcW w:w="3828" w:type="dxa"/>
            <w:tcBorders>
              <w:top w:val="nil"/>
              <w:left w:val="nil"/>
              <w:bottom w:val="nil"/>
              <w:right w:val="nil"/>
            </w:tcBorders>
          </w:tcPr>
          <w:p w14:paraId="4C97936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27.0</w:t>
            </w:r>
          </w:p>
        </w:tc>
        <w:tc>
          <w:tcPr>
            <w:tcW w:w="2182" w:type="dxa"/>
            <w:tcBorders>
              <w:top w:val="nil"/>
              <w:left w:val="nil"/>
              <w:bottom w:val="nil"/>
              <w:right w:val="nil"/>
            </w:tcBorders>
          </w:tcPr>
          <w:p w14:paraId="6DFF8F9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27.18</w:t>
            </w:r>
          </w:p>
        </w:tc>
        <w:tc>
          <w:tcPr>
            <w:tcW w:w="3006" w:type="dxa"/>
            <w:tcBorders>
              <w:top w:val="nil"/>
              <w:left w:val="nil"/>
              <w:bottom w:val="nil"/>
              <w:right w:val="nil"/>
            </w:tcBorders>
          </w:tcPr>
          <w:p w14:paraId="0035842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100.7 ± 1.9</w:t>
            </w:r>
          </w:p>
        </w:tc>
      </w:tr>
      <w:tr w:rsidR="00C56606" w:rsidRPr="00C56606" w14:paraId="7743AD80" w14:textId="77777777" w:rsidTr="006A52C0">
        <w:tc>
          <w:tcPr>
            <w:tcW w:w="3828" w:type="dxa"/>
            <w:tcBorders>
              <w:top w:val="nil"/>
              <w:left w:val="nil"/>
              <w:right w:val="nil"/>
            </w:tcBorders>
          </w:tcPr>
          <w:p w14:paraId="3BE50935"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32.0</w:t>
            </w:r>
          </w:p>
        </w:tc>
        <w:tc>
          <w:tcPr>
            <w:tcW w:w="2182" w:type="dxa"/>
            <w:tcBorders>
              <w:top w:val="nil"/>
              <w:left w:val="nil"/>
              <w:right w:val="nil"/>
            </w:tcBorders>
          </w:tcPr>
          <w:p w14:paraId="5C9F19D5"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32.25</w:t>
            </w:r>
          </w:p>
        </w:tc>
        <w:tc>
          <w:tcPr>
            <w:tcW w:w="3006" w:type="dxa"/>
            <w:tcBorders>
              <w:top w:val="nil"/>
              <w:left w:val="nil"/>
              <w:right w:val="nil"/>
            </w:tcBorders>
          </w:tcPr>
          <w:p w14:paraId="5EAEE99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100.8 ± 2.4</w:t>
            </w:r>
          </w:p>
        </w:tc>
      </w:tr>
    </w:tbl>
    <w:p w14:paraId="7A64066D" w14:textId="77777777" w:rsidR="00C30CAD" w:rsidRPr="00C56606" w:rsidRDefault="00C30CAD" w:rsidP="00C30CAD">
      <w:pPr>
        <w:spacing w:line="360" w:lineRule="auto"/>
        <w:jc w:val="both"/>
        <w:rPr>
          <w:rFonts w:ascii="Arial" w:hAnsi="Arial" w:cs="Arial"/>
          <w:color w:val="000000" w:themeColor="text1"/>
        </w:rPr>
      </w:pPr>
    </w:p>
    <w:p w14:paraId="5D98B999" w14:textId="77777777" w:rsidR="009410AE" w:rsidRDefault="009410AE" w:rsidP="00C30CAD">
      <w:pPr>
        <w:spacing w:line="360" w:lineRule="auto"/>
        <w:jc w:val="both"/>
        <w:rPr>
          <w:rFonts w:ascii="Arial" w:hAnsi="Arial" w:cs="Arial"/>
          <w:color w:val="000000" w:themeColor="text1"/>
        </w:rPr>
      </w:pPr>
    </w:p>
    <w:p w14:paraId="66C4EECB" w14:textId="77777777" w:rsidR="009410AE" w:rsidRDefault="009410AE" w:rsidP="00C30CAD">
      <w:pPr>
        <w:spacing w:line="360" w:lineRule="auto"/>
        <w:jc w:val="both"/>
        <w:rPr>
          <w:rFonts w:ascii="Arial" w:hAnsi="Arial" w:cs="Arial"/>
          <w:color w:val="000000" w:themeColor="text1"/>
        </w:rPr>
      </w:pPr>
    </w:p>
    <w:p w14:paraId="38B334E1" w14:textId="0EF1A148"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3.3.3. Detection Method Accuracy Study</w:t>
      </w:r>
    </w:p>
    <w:p w14:paraId="4E006252"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Following the optimized parameters, the accuracy of the designed detection method was evaluated through intra-/inter-day detection tests. This study aimed to evaluate the relative standard deviation (RSD) of the intra-day and inter-day detection tests of melamine. And for </w:t>
      </w:r>
      <w:r w:rsidRPr="00C56606">
        <w:rPr>
          <w:rFonts w:ascii="Arial" w:hAnsi="Arial" w:cs="Arial"/>
          <w:color w:val="000000" w:themeColor="text1"/>
        </w:rPr>
        <w:lastRenderedPageBreak/>
        <w:t xml:space="preserve">this study, the six melamine concentrations chosen for the accuracy study were repeated. Table 2 presents the summary of the results </w:t>
      </w:r>
      <w:proofErr w:type="gramStart"/>
      <w:r w:rsidRPr="00C56606">
        <w:rPr>
          <w:rFonts w:ascii="Arial" w:hAnsi="Arial" w:cs="Arial"/>
          <w:color w:val="000000" w:themeColor="text1"/>
        </w:rPr>
        <w:t>obtained :</w:t>
      </w:r>
      <w:proofErr w:type="gramEnd"/>
    </w:p>
    <w:p w14:paraId="7FC8C1AC" w14:textId="77777777" w:rsidR="00C30CAD" w:rsidRPr="00C56606" w:rsidRDefault="00C30CAD" w:rsidP="00C30CAD">
      <w:pPr>
        <w:spacing w:line="360" w:lineRule="auto"/>
        <w:jc w:val="both"/>
        <w:rPr>
          <w:rFonts w:ascii="Arial" w:hAnsi="Arial" w:cs="Arial"/>
          <w:color w:val="000000" w:themeColor="text1"/>
        </w:rPr>
      </w:pPr>
    </w:p>
    <w:p w14:paraId="53BAD42D"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Table 2.      Relative Standard Deviation (RSD)</w:t>
      </w:r>
    </w:p>
    <w:tbl>
      <w:tblPr>
        <w:tblStyle w:val="TableGrid"/>
        <w:tblW w:w="0" w:type="auto"/>
        <w:tblLook w:val="04A0" w:firstRow="1" w:lastRow="0" w:firstColumn="1" w:lastColumn="0" w:noHBand="0" w:noVBand="1"/>
      </w:tblPr>
      <w:tblGrid>
        <w:gridCol w:w="1105"/>
        <w:gridCol w:w="1606"/>
        <w:gridCol w:w="2818"/>
        <w:gridCol w:w="294"/>
        <w:gridCol w:w="1128"/>
        <w:gridCol w:w="1257"/>
      </w:tblGrid>
      <w:tr w:rsidR="00C56606" w:rsidRPr="00C56606" w14:paraId="0785E550" w14:textId="77777777" w:rsidTr="006A52C0">
        <w:tc>
          <w:tcPr>
            <w:tcW w:w="1105" w:type="dxa"/>
            <w:tcBorders>
              <w:left w:val="nil"/>
              <w:bottom w:val="nil"/>
              <w:right w:val="nil"/>
            </w:tcBorders>
          </w:tcPr>
          <w:p w14:paraId="416AA361"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b/>
                <w:bCs/>
                <w:color w:val="000000" w:themeColor="text1"/>
              </w:rPr>
              <w:t>Added (ng/mL)</w:t>
            </w:r>
          </w:p>
        </w:tc>
        <w:tc>
          <w:tcPr>
            <w:tcW w:w="4424" w:type="dxa"/>
            <w:gridSpan w:val="2"/>
            <w:tcBorders>
              <w:left w:val="nil"/>
              <w:bottom w:val="nil"/>
              <w:right w:val="nil"/>
            </w:tcBorders>
          </w:tcPr>
          <w:p w14:paraId="330AA2B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b/>
                <w:bCs/>
                <w:color w:val="000000" w:themeColor="text1"/>
              </w:rPr>
              <w:t>Found (ng/mL)</w:t>
            </w:r>
          </w:p>
        </w:tc>
        <w:tc>
          <w:tcPr>
            <w:tcW w:w="294" w:type="dxa"/>
            <w:tcBorders>
              <w:left w:val="nil"/>
              <w:bottom w:val="nil"/>
              <w:right w:val="nil"/>
            </w:tcBorders>
          </w:tcPr>
          <w:p w14:paraId="3A105411" w14:textId="77777777" w:rsidR="00C30CAD" w:rsidRPr="00C56606" w:rsidRDefault="00C30CAD" w:rsidP="006A52C0">
            <w:pPr>
              <w:spacing w:line="360" w:lineRule="auto"/>
              <w:jc w:val="center"/>
              <w:rPr>
                <w:rFonts w:ascii="Arial" w:hAnsi="Arial" w:cs="Arial"/>
                <w:b/>
                <w:bCs/>
                <w:color w:val="000000" w:themeColor="text1"/>
              </w:rPr>
            </w:pPr>
          </w:p>
        </w:tc>
        <w:tc>
          <w:tcPr>
            <w:tcW w:w="2385" w:type="dxa"/>
            <w:gridSpan w:val="2"/>
            <w:tcBorders>
              <w:left w:val="nil"/>
              <w:bottom w:val="nil"/>
              <w:right w:val="nil"/>
            </w:tcBorders>
          </w:tcPr>
          <w:p w14:paraId="1F75DC01"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RSD (%)</w:t>
            </w:r>
          </w:p>
        </w:tc>
      </w:tr>
      <w:tr w:rsidR="00C56606" w:rsidRPr="00C56606" w14:paraId="402E74BF" w14:textId="77777777" w:rsidTr="006A52C0">
        <w:tc>
          <w:tcPr>
            <w:tcW w:w="1105" w:type="dxa"/>
            <w:tcBorders>
              <w:top w:val="nil"/>
              <w:left w:val="nil"/>
              <w:bottom w:val="single" w:sz="4" w:space="0" w:color="auto"/>
              <w:right w:val="nil"/>
            </w:tcBorders>
          </w:tcPr>
          <w:p w14:paraId="36BAE476" w14:textId="77777777" w:rsidR="00C30CAD" w:rsidRPr="00C56606" w:rsidRDefault="00C30CAD" w:rsidP="006A52C0">
            <w:pPr>
              <w:spacing w:line="360" w:lineRule="auto"/>
              <w:jc w:val="both"/>
              <w:rPr>
                <w:rFonts w:ascii="Arial" w:hAnsi="Arial" w:cs="Arial"/>
                <w:color w:val="000000" w:themeColor="text1"/>
              </w:rPr>
            </w:pPr>
          </w:p>
        </w:tc>
        <w:tc>
          <w:tcPr>
            <w:tcW w:w="1606" w:type="dxa"/>
            <w:tcBorders>
              <w:top w:val="nil"/>
              <w:left w:val="nil"/>
              <w:bottom w:val="single" w:sz="4" w:space="0" w:color="auto"/>
              <w:right w:val="nil"/>
            </w:tcBorders>
          </w:tcPr>
          <w:p w14:paraId="3ADB57C3"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Intra-day ± SD</w:t>
            </w:r>
          </w:p>
        </w:tc>
        <w:tc>
          <w:tcPr>
            <w:tcW w:w="2818" w:type="dxa"/>
            <w:tcBorders>
              <w:top w:val="nil"/>
              <w:left w:val="nil"/>
              <w:bottom w:val="single" w:sz="4" w:space="0" w:color="auto"/>
              <w:right w:val="nil"/>
            </w:tcBorders>
          </w:tcPr>
          <w:p w14:paraId="0BC2A5F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Inter-day± SD</w:t>
            </w:r>
          </w:p>
        </w:tc>
        <w:tc>
          <w:tcPr>
            <w:tcW w:w="294" w:type="dxa"/>
            <w:tcBorders>
              <w:top w:val="nil"/>
              <w:left w:val="nil"/>
              <w:bottom w:val="single" w:sz="4" w:space="0" w:color="auto"/>
              <w:right w:val="nil"/>
            </w:tcBorders>
          </w:tcPr>
          <w:p w14:paraId="4565AB34"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single" w:sz="4" w:space="0" w:color="auto"/>
              <w:right w:val="nil"/>
            </w:tcBorders>
          </w:tcPr>
          <w:p w14:paraId="6865C5C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Intra-day</w:t>
            </w:r>
          </w:p>
        </w:tc>
        <w:tc>
          <w:tcPr>
            <w:tcW w:w="1257" w:type="dxa"/>
            <w:tcBorders>
              <w:top w:val="nil"/>
              <w:left w:val="nil"/>
              <w:bottom w:val="single" w:sz="4" w:space="0" w:color="auto"/>
              <w:right w:val="nil"/>
            </w:tcBorders>
          </w:tcPr>
          <w:p w14:paraId="23604B1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Inter-day</w:t>
            </w:r>
          </w:p>
        </w:tc>
      </w:tr>
      <w:tr w:rsidR="00C56606" w:rsidRPr="00C56606" w14:paraId="347D7FD2" w14:textId="77777777" w:rsidTr="006A52C0">
        <w:tc>
          <w:tcPr>
            <w:tcW w:w="1105" w:type="dxa"/>
            <w:tcBorders>
              <w:left w:val="nil"/>
              <w:bottom w:val="nil"/>
              <w:right w:val="nil"/>
            </w:tcBorders>
          </w:tcPr>
          <w:p w14:paraId="51419BBA"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07.3</w:t>
            </w:r>
          </w:p>
        </w:tc>
        <w:tc>
          <w:tcPr>
            <w:tcW w:w="1606" w:type="dxa"/>
            <w:tcBorders>
              <w:left w:val="nil"/>
              <w:bottom w:val="nil"/>
              <w:right w:val="nil"/>
            </w:tcBorders>
          </w:tcPr>
          <w:p w14:paraId="5D000E5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07.29 ± 0.31</w:t>
            </w:r>
          </w:p>
        </w:tc>
        <w:tc>
          <w:tcPr>
            <w:tcW w:w="2818" w:type="dxa"/>
            <w:tcBorders>
              <w:left w:val="nil"/>
              <w:bottom w:val="nil"/>
              <w:right w:val="nil"/>
            </w:tcBorders>
          </w:tcPr>
          <w:p w14:paraId="66328B9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07.30 ± 0.31</w:t>
            </w:r>
          </w:p>
        </w:tc>
        <w:tc>
          <w:tcPr>
            <w:tcW w:w="294" w:type="dxa"/>
            <w:tcBorders>
              <w:left w:val="nil"/>
              <w:bottom w:val="nil"/>
              <w:right w:val="nil"/>
            </w:tcBorders>
          </w:tcPr>
          <w:p w14:paraId="3C2259AE"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left w:val="nil"/>
              <w:bottom w:val="nil"/>
              <w:right w:val="nil"/>
            </w:tcBorders>
          </w:tcPr>
          <w:p w14:paraId="0CD72DA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4.2</w:t>
            </w:r>
          </w:p>
        </w:tc>
        <w:tc>
          <w:tcPr>
            <w:tcW w:w="1257" w:type="dxa"/>
            <w:tcBorders>
              <w:left w:val="nil"/>
              <w:bottom w:val="nil"/>
              <w:right w:val="nil"/>
            </w:tcBorders>
          </w:tcPr>
          <w:p w14:paraId="35FFE19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4.2</w:t>
            </w:r>
          </w:p>
        </w:tc>
      </w:tr>
      <w:tr w:rsidR="00C56606" w:rsidRPr="00C56606" w14:paraId="6E370BB6" w14:textId="77777777" w:rsidTr="006A52C0">
        <w:tc>
          <w:tcPr>
            <w:tcW w:w="1105" w:type="dxa"/>
            <w:tcBorders>
              <w:top w:val="nil"/>
              <w:left w:val="nil"/>
              <w:bottom w:val="nil"/>
              <w:right w:val="nil"/>
            </w:tcBorders>
          </w:tcPr>
          <w:p w14:paraId="4D9D76B3"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12.3</w:t>
            </w:r>
          </w:p>
        </w:tc>
        <w:tc>
          <w:tcPr>
            <w:tcW w:w="1606" w:type="dxa"/>
            <w:tcBorders>
              <w:top w:val="nil"/>
              <w:left w:val="nil"/>
              <w:bottom w:val="nil"/>
              <w:right w:val="nil"/>
            </w:tcBorders>
          </w:tcPr>
          <w:p w14:paraId="2CDFA1F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12.11 ± 0.96</w:t>
            </w:r>
          </w:p>
        </w:tc>
        <w:tc>
          <w:tcPr>
            <w:tcW w:w="2818" w:type="dxa"/>
            <w:tcBorders>
              <w:top w:val="nil"/>
              <w:left w:val="nil"/>
              <w:bottom w:val="nil"/>
              <w:right w:val="nil"/>
            </w:tcBorders>
          </w:tcPr>
          <w:p w14:paraId="1A54907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12.06 ± 0.31</w:t>
            </w:r>
          </w:p>
        </w:tc>
        <w:tc>
          <w:tcPr>
            <w:tcW w:w="294" w:type="dxa"/>
            <w:tcBorders>
              <w:top w:val="nil"/>
              <w:left w:val="nil"/>
              <w:bottom w:val="nil"/>
              <w:right w:val="nil"/>
            </w:tcBorders>
          </w:tcPr>
          <w:p w14:paraId="3937E181"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2FD2E06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7.9</w:t>
            </w:r>
          </w:p>
        </w:tc>
        <w:tc>
          <w:tcPr>
            <w:tcW w:w="1257" w:type="dxa"/>
            <w:tcBorders>
              <w:top w:val="nil"/>
              <w:left w:val="nil"/>
              <w:bottom w:val="nil"/>
              <w:right w:val="nil"/>
            </w:tcBorders>
          </w:tcPr>
          <w:p w14:paraId="47F71D9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2.6</w:t>
            </w:r>
          </w:p>
        </w:tc>
      </w:tr>
      <w:tr w:rsidR="00C56606" w:rsidRPr="00C56606" w14:paraId="6190B26D" w14:textId="77777777" w:rsidTr="006A52C0">
        <w:tc>
          <w:tcPr>
            <w:tcW w:w="1105" w:type="dxa"/>
            <w:tcBorders>
              <w:top w:val="nil"/>
              <w:left w:val="nil"/>
              <w:bottom w:val="nil"/>
              <w:right w:val="nil"/>
            </w:tcBorders>
          </w:tcPr>
          <w:p w14:paraId="50C9277F"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17.2</w:t>
            </w:r>
          </w:p>
        </w:tc>
        <w:tc>
          <w:tcPr>
            <w:tcW w:w="1606" w:type="dxa"/>
            <w:tcBorders>
              <w:top w:val="nil"/>
              <w:left w:val="nil"/>
              <w:bottom w:val="nil"/>
              <w:right w:val="nil"/>
            </w:tcBorders>
          </w:tcPr>
          <w:p w14:paraId="4FFD2002"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17.06 ± 1.20</w:t>
            </w:r>
          </w:p>
        </w:tc>
        <w:tc>
          <w:tcPr>
            <w:tcW w:w="2818" w:type="dxa"/>
            <w:tcBorders>
              <w:top w:val="nil"/>
              <w:left w:val="nil"/>
              <w:bottom w:val="nil"/>
              <w:right w:val="nil"/>
            </w:tcBorders>
          </w:tcPr>
          <w:p w14:paraId="3CC1C3A5"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17.00 ± 0.26</w:t>
            </w:r>
          </w:p>
        </w:tc>
        <w:tc>
          <w:tcPr>
            <w:tcW w:w="294" w:type="dxa"/>
            <w:tcBorders>
              <w:top w:val="nil"/>
              <w:left w:val="nil"/>
              <w:bottom w:val="nil"/>
              <w:right w:val="nil"/>
            </w:tcBorders>
          </w:tcPr>
          <w:p w14:paraId="707B5F64"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48075FF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7.0</w:t>
            </w:r>
          </w:p>
        </w:tc>
        <w:tc>
          <w:tcPr>
            <w:tcW w:w="1257" w:type="dxa"/>
            <w:tcBorders>
              <w:top w:val="nil"/>
              <w:left w:val="nil"/>
              <w:bottom w:val="nil"/>
              <w:right w:val="nil"/>
            </w:tcBorders>
          </w:tcPr>
          <w:p w14:paraId="5DFA2CA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1.5</w:t>
            </w:r>
          </w:p>
        </w:tc>
      </w:tr>
      <w:tr w:rsidR="00C56606" w:rsidRPr="00C56606" w14:paraId="6E9AE187" w14:textId="77777777" w:rsidTr="006A52C0">
        <w:tc>
          <w:tcPr>
            <w:tcW w:w="1105" w:type="dxa"/>
            <w:tcBorders>
              <w:top w:val="nil"/>
              <w:left w:val="nil"/>
              <w:bottom w:val="nil"/>
              <w:right w:val="nil"/>
            </w:tcBorders>
          </w:tcPr>
          <w:p w14:paraId="0719E7AD"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22.2</w:t>
            </w:r>
          </w:p>
        </w:tc>
        <w:tc>
          <w:tcPr>
            <w:tcW w:w="1606" w:type="dxa"/>
            <w:tcBorders>
              <w:top w:val="nil"/>
              <w:left w:val="nil"/>
              <w:bottom w:val="nil"/>
              <w:right w:val="nil"/>
            </w:tcBorders>
          </w:tcPr>
          <w:p w14:paraId="07D996C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22.05 ± 0.98</w:t>
            </w:r>
          </w:p>
        </w:tc>
        <w:tc>
          <w:tcPr>
            <w:tcW w:w="2818" w:type="dxa"/>
            <w:tcBorders>
              <w:top w:val="nil"/>
              <w:left w:val="nil"/>
              <w:bottom w:val="nil"/>
              <w:right w:val="nil"/>
            </w:tcBorders>
          </w:tcPr>
          <w:p w14:paraId="417A8D0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22.10 ± 0.85</w:t>
            </w:r>
          </w:p>
        </w:tc>
        <w:tc>
          <w:tcPr>
            <w:tcW w:w="294" w:type="dxa"/>
            <w:tcBorders>
              <w:top w:val="nil"/>
              <w:left w:val="nil"/>
              <w:bottom w:val="nil"/>
              <w:right w:val="nil"/>
            </w:tcBorders>
          </w:tcPr>
          <w:p w14:paraId="15818151"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244ABB3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4.4</w:t>
            </w:r>
          </w:p>
        </w:tc>
        <w:tc>
          <w:tcPr>
            <w:tcW w:w="1257" w:type="dxa"/>
            <w:tcBorders>
              <w:top w:val="nil"/>
              <w:left w:val="nil"/>
              <w:bottom w:val="nil"/>
              <w:right w:val="nil"/>
            </w:tcBorders>
          </w:tcPr>
          <w:p w14:paraId="61FE29E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3.8</w:t>
            </w:r>
          </w:p>
        </w:tc>
      </w:tr>
      <w:tr w:rsidR="00C56606" w:rsidRPr="00C56606" w14:paraId="18690B0B" w14:textId="77777777" w:rsidTr="006A52C0">
        <w:tc>
          <w:tcPr>
            <w:tcW w:w="1105" w:type="dxa"/>
            <w:tcBorders>
              <w:top w:val="nil"/>
              <w:left w:val="nil"/>
              <w:bottom w:val="nil"/>
              <w:right w:val="nil"/>
            </w:tcBorders>
          </w:tcPr>
          <w:p w14:paraId="46CAEAFC"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27.0</w:t>
            </w:r>
          </w:p>
        </w:tc>
        <w:tc>
          <w:tcPr>
            <w:tcW w:w="1606" w:type="dxa"/>
            <w:tcBorders>
              <w:top w:val="nil"/>
              <w:left w:val="nil"/>
              <w:bottom w:val="nil"/>
              <w:right w:val="nil"/>
            </w:tcBorders>
          </w:tcPr>
          <w:p w14:paraId="71A5919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27.10 ± 1.57</w:t>
            </w:r>
          </w:p>
        </w:tc>
        <w:tc>
          <w:tcPr>
            <w:tcW w:w="2818" w:type="dxa"/>
            <w:tcBorders>
              <w:top w:val="nil"/>
              <w:left w:val="nil"/>
              <w:bottom w:val="nil"/>
              <w:right w:val="nil"/>
            </w:tcBorders>
          </w:tcPr>
          <w:p w14:paraId="77CF826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27.19 ± 0.16</w:t>
            </w:r>
          </w:p>
        </w:tc>
        <w:tc>
          <w:tcPr>
            <w:tcW w:w="294" w:type="dxa"/>
            <w:tcBorders>
              <w:top w:val="nil"/>
              <w:left w:val="nil"/>
              <w:bottom w:val="nil"/>
              <w:right w:val="nil"/>
            </w:tcBorders>
          </w:tcPr>
          <w:p w14:paraId="6ECBACDF"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bottom w:val="nil"/>
              <w:right w:val="nil"/>
            </w:tcBorders>
          </w:tcPr>
          <w:p w14:paraId="16B3CB0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5.8</w:t>
            </w:r>
          </w:p>
        </w:tc>
        <w:tc>
          <w:tcPr>
            <w:tcW w:w="1257" w:type="dxa"/>
            <w:tcBorders>
              <w:top w:val="nil"/>
              <w:left w:val="nil"/>
              <w:bottom w:val="nil"/>
              <w:right w:val="nil"/>
            </w:tcBorders>
          </w:tcPr>
          <w:p w14:paraId="0A812B5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0.6</w:t>
            </w:r>
          </w:p>
        </w:tc>
      </w:tr>
      <w:tr w:rsidR="00C56606" w:rsidRPr="00C56606" w14:paraId="1DB0C5C8" w14:textId="77777777" w:rsidTr="006A52C0">
        <w:tc>
          <w:tcPr>
            <w:tcW w:w="1105" w:type="dxa"/>
            <w:tcBorders>
              <w:top w:val="nil"/>
              <w:left w:val="nil"/>
              <w:right w:val="nil"/>
            </w:tcBorders>
          </w:tcPr>
          <w:p w14:paraId="10D95554" w14:textId="77777777" w:rsidR="00C30CAD" w:rsidRPr="00C56606" w:rsidRDefault="00C30CAD" w:rsidP="006A52C0">
            <w:pPr>
              <w:spacing w:line="360" w:lineRule="auto"/>
              <w:rPr>
                <w:rFonts w:ascii="Arial" w:hAnsi="Arial" w:cs="Arial"/>
                <w:color w:val="000000" w:themeColor="text1"/>
              </w:rPr>
            </w:pPr>
            <w:r w:rsidRPr="00C56606">
              <w:rPr>
                <w:rFonts w:ascii="Arial" w:hAnsi="Arial" w:cs="Arial"/>
                <w:color w:val="000000" w:themeColor="text1"/>
              </w:rPr>
              <w:t>32.0</w:t>
            </w:r>
          </w:p>
        </w:tc>
        <w:tc>
          <w:tcPr>
            <w:tcW w:w="1606" w:type="dxa"/>
            <w:tcBorders>
              <w:top w:val="nil"/>
              <w:left w:val="nil"/>
              <w:right w:val="nil"/>
            </w:tcBorders>
          </w:tcPr>
          <w:p w14:paraId="7CAB310F"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32.09 ± 1.65</w:t>
            </w:r>
          </w:p>
        </w:tc>
        <w:tc>
          <w:tcPr>
            <w:tcW w:w="2818" w:type="dxa"/>
            <w:tcBorders>
              <w:top w:val="nil"/>
              <w:left w:val="nil"/>
              <w:right w:val="nil"/>
            </w:tcBorders>
          </w:tcPr>
          <w:p w14:paraId="4E85F978"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32.09 ± 2.32</w:t>
            </w:r>
          </w:p>
        </w:tc>
        <w:tc>
          <w:tcPr>
            <w:tcW w:w="294" w:type="dxa"/>
            <w:tcBorders>
              <w:top w:val="nil"/>
              <w:left w:val="nil"/>
              <w:right w:val="nil"/>
            </w:tcBorders>
          </w:tcPr>
          <w:p w14:paraId="04C05587" w14:textId="77777777" w:rsidR="00C30CAD" w:rsidRPr="00C56606" w:rsidRDefault="00C30CAD" w:rsidP="006A52C0">
            <w:pPr>
              <w:spacing w:line="360" w:lineRule="auto"/>
              <w:jc w:val="center"/>
              <w:rPr>
                <w:rFonts w:ascii="Arial" w:hAnsi="Arial" w:cs="Arial"/>
                <w:color w:val="000000" w:themeColor="text1"/>
              </w:rPr>
            </w:pPr>
          </w:p>
        </w:tc>
        <w:tc>
          <w:tcPr>
            <w:tcW w:w="1128" w:type="dxa"/>
            <w:tcBorders>
              <w:top w:val="nil"/>
              <w:left w:val="nil"/>
              <w:right w:val="nil"/>
            </w:tcBorders>
          </w:tcPr>
          <w:p w14:paraId="619DC2D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5.1</w:t>
            </w:r>
          </w:p>
        </w:tc>
        <w:tc>
          <w:tcPr>
            <w:tcW w:w="1257" w:type="dxa"/>
            <w:tcBorders>
              <w:top w:val="nil"/>
              <w:left w:val="nil"/>
              <w:right w:val="nil"/>
            </w:tcBorders>
          </w:tcPr>
          <w:p w14:paraId="7C4928D7"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7.2</w:t>
            </w:r>
          </w:p>
        </w:tc>
      </w:tr>
    </w:tbl>
    <w:p w14:paraId="21A03EEF" w14:textId="77777777" w:rsidR="00C30CAD" w:rsidRPr="00C56606" w:rsidRDefault="00C30CAD" w:rsidP="00C30CAD">
      <w:pPr>
        <w:spacing w:line="360" w:lineRule="auto"/>
        <w:jc w:val="both"/>
        <w:rPr>
          <w:rFonts w:ascii="Arial" w:hAnsi="Arial" w:cs="Arial"/>
          <w:color w:val="000000" w:themeColor="text1"/>
        </w:rPr>
      </w:pPr>
    </w:p>
    <w:p w14:paraId="1B9B0FEC"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shows that the RSD for intra-day detection tests varies between 4.2% and 7.9%; while that for inter-day detection tests vary between 0.6% and 7.2%. Thus, the detection of melamine using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has an overall RSD of less than 8%. This result therefore confirms the good accuracy of our method and its usability for the control and prevalence of melamine under the conditions established by our work.</w:t>
      </w:r>
    </w:p>
    <w:p w14:paraId="26BE93F2" w14:textId="77777777" w:rsidR="00C30CAD" w:rsidRPr="00C56606" w:rsidRDefault="00C30CAD" w:rsidP="00C30CAD">
      <w:pPr>
        <w:spacing w:line="360" w:lineRule="auto"/>
        <w:jc w:val="both"/>
        <w:rPr>
          <w:rFonts w:ascii="Arial" w:hAnsi="Arial" w:cs="Arial"/>
          <w:color w:val="000000" w:themeColor="text1"/>
        </w:rPr>
      </w:pPr>
    </w:p>
    <w:p w14:paraId="783E8221"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3.3.4. Detection Method Selectivity Study</w:t>
      </w:r>
    </w:p>
    <w:p w14:paraId="11131651" w14:textId="4324699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performance of the designed detection method is closely related to its ability to respond to melamine in a charged medium. Based on this principle,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used to detect and quantify melamine in the presence of interfering potentials commonly used to fortify commercial powdered milk. These interferents included inorganic compounds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FeSO</w:t>
      </w:r>
      <w:r w:rsidRPr="00C56606">
        <w:rPr>
          <w:rFonts w:ascii="Arial" w:hAnsi="Arial" w:cs="Arial"/>
          <w:color w:val="000000" w:themeColor="text1"/>
          <w:vertAlign w:val="subscript"/>
        </w:rPr>
        <w:t>4</w:t>
      </w:r>
      <w:r w:rsidRPr="00C56606">
        <w:rPr>
          <w:rFonts w:ascii="Arial" w:hAnsi="Arial" w:cs="Arial"/>
          <w:color w:val="000000" w:themeColor="text1"/>
        </w:rPr>
        <w:t>, CaSO</w:t>
      </w:r>
      <w:r w:rsidRPr="00C56606">
        <w:rPr>
          <w:rFonts w:ascii="Arial" w:hAnsi="Arial" w:cs="Arial"/>
          <w:color w:val="000000" w:themeColor="text1"/>
          <w:vertAlign w:val="subscript"/>
        </w:rPr>
        <w:t>4</w:t>
      </w:r>
      <w:r w:rsidRPr="00C56606">
        <w:rPr>
          <w:rFonts w:ascii="Arial" w:hAnsi="Arial" w:cs="Arial"/>
          <w:color w:val="000000" w:themeColor="text1"/>
        </w:rPr>
        <w:t>, MgSO</w:t>
      </w:r>
      <w:r w:rsidRPr="00C56606">
        <w:rPr>
          <w:rFonts w:ascii="Arial" w:hAnsi="Arial" w:cs="Arial"/>
          <w:color w:val="000000" w:themeColor="text1"/>
          <w:vertAlign w:val="subscript"/>
        </w:rPr>
        <w:t>4</w:t>
      </w:r>
      <w:r w:rsidRPr="00C56606">
        <w:rPr>
          <w:rFonts w:ascii="Arial" w:hAnsi="Arial" w:cs="Arial"/>
          <w:color w:val="000000" w:themeColor="text1"/>
        </w:rPr>
        <w:t xml:space="preserve">), protein-like substances (glycine, cysteine) or carbohydrate-like substances (starch), and vitamins (ascorbic acid (Vit C)). For this study, each of these interferents was added at a concentration 10 times higher than that of melamine. Representative results are summarized in </w:t>
      </w:r>
      <w:r w:rsidR="00A610CC" w:rsidRPr="00A610CC">
        <w:rPr>
          <w:rFonts w:ascii="Arial" w:hAnsi="Arial" w:cs="Arial"/>
          <w:color w:val="000000" w:themeColor="text1"/>
        </w:rPr>
        <w:t xml:space="preserve">CHART </w:t>
      </w:r>
      <w:r w:rsidRPr="00C56606">
        <w:rPr>
          <w:rFonts w:ascii="Arial" w:hAnsi="Arial" w:cs="Arial"/>
          <w:color w:val="000000" w:themeColor="text1"/>
        </w:rPr>
        <w:t>1:</w:t>
      </w:r>
    </w:p>
    <w:p w14:paraId="244BCB50"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lastRenderedPageBreak/>
        <w:drawing>
          <wp:inline distT="0" distB="0" distL="0" distR="0" wp14:anchorId="25F3C35D" wp14:editId="139A9863">
            <wp:extent cx="4069080" cy="2446020"/>
            <wp:effectExtent l="0" t="0" r="7620" b="0"/>
            <wp:docPr id="38591704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9080" cy="2446020"/>
                    </a:xfrm>
                    <a:prstGeom prst="rect">
                      <a:avLst/>
                    </a:prstGeom>
                    <a:noFill/>
                  </pic:spPr>
                </pic:pic>
              </a:graphicData>
            </a:graphic>
          </wp:inline>
        </w:drawing>
      </w:r>
    </w:p>
    <w:p w14:paraId="0AC38426" w14:textId="0117E09F" w:rsidR="00C30CAD" w:rsidRPr="00C56606" w:rsidRDefault="004C4FA1" w:rsidP="00C30CAD">
      <w:pPr>
        <w:spacing w:line="360" w:lineRule="auto"/>
        <w:jc w:val="both"/>
        <w:rPr>
          <w:rFonts w:ascii="Arial" w:hAnsi="Arial" w:cs="Arial"/>
          <w:b/>
          <w:bCs/>
          <w:color w:val="000000" w:themeColor="text1"/>
        </w:rPr>
      </w:pPr>
      <w:r>
        <w:rPr>
          <w:rFonts w:ascii="Arial" w:hAnsi="Arial" w:cs="Arial"/>
          <w:b/>
          <w:bCs/>
          <w:color w:val="000000" w:themeColor="text1"/>
        </w:rPr>
        <w:t>CHART</w:t>
      </w:r>
      <w:r w:rsidR="00C30CAD" w:rsidRPr="00C56606">
        <w:rPr>
          <w:rFonts w:ascii="Arial" w:hAnsi="Arial" w:cs="Arial"/>
          <w:b/>
          <w:bCs/>
          <w:color w:val="000000" w:themeColor="text1"/>
        </w:rPr>
        <w:t xml:space="preserve">. 1. Selectivity of the </w:t>
      </w:r>
      <w:proofErr w:type="spellStart"/>
      <w:r w:rsidR="00C30CAD" w:rsidRPr="00C56606">
        <w:rPr>
          <w:rFonts w:ascii="Arial" w:hAnsi="Arial" w:cs="Arial"/>
          <w:b/>
          <w:bCs/>
          <w:color w:val="000000" w:themeColor="text1"/>
        </w:rPr>
        <w:t>cCDs</w:t>
      </w:r>
      <w:proofErr w:type="spellEnd"/>
      <w:r w:rsidR="00C30CAD" w:rsidRPr="00C56606">
        <w:rPr>
          <w:rFonts w:ascii="Arial" w:hAnsi="Arial" w:cs="Arial"/>
          <w:b/>
          <w:bCs/>
          <w:color w:val="000000" w:themeColor="text1"/>
        </w:rPr>
        <w:t>/</w:t>
      </w:r>
      <w:proofErr w:type="spellStart"/>
      <w:r w:rsidR="00C30CAD" w:rsidRPr="00C56606">
        <w:rPr>
          <w:rFonts w:ascii="Arial" w:hAnsi="Arial" w:cs="Arial"/>
          <w:b/>
          <w:bCs/>
          <w:color w:val="000000" w:themeColor="text1"/>
        </w:rPr>
        <w:t>AgNPs</w:t>
      </w:r>
      <w:proofErr w:type="spellEnd"/>
      <w:r w:rsidR="00C30CAD" w:rsidRPr="00C56606">
        <w:rPr>
          <w:rFonts w:ascii="Arial" w:hAnsi="Arial" w:cs="Arial"/>
          <w:b/>
          <w:bCs/>
          <w:color w:val="000000" w:themeColor="text1"/>
        </w:rPr>
        <w:t>/Au electrode in the detection of 1 µg/mL of melamine in the presence of 10 µg/mL of interferent</w:t>
      </w:r>
    </w:p>
    <w:p w14:paraId="09B14F3E" w14:textId="77777777" w:rsidR="00C30CAD" w:rsidRPr="00C56606" w:rsidRDefault="00C30CAD" w:rsidP="00C30CAD">
      <w:pPr>
        <w:spacing w:line="360" w:lineRule="auto"/>
        <w:jc w:val="both"/>
        <w:rPr>
          <w:rFonts w:ascii="Arial" w:hAnsi="Arial" w:cs="Arial"/>
          <w:color w:val="000000" w:themeColor="text1"/>
        </w:rPr>
      </w:pPr>
    </w:p>
    <w:p w14:paraId="7239C228"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Overall, the melamine recovery rate by the </w:t>
      </w:r>
      <w:proofErr w:type="spellStart"/>
      <w:r w:rsidRPr="00C56606">
        <w:rPr>
          <w:rFonts w:ascii="Arial" w:hAnsi="Arial" w:cs="Arial"/>
          <w:color w:val="000000" w:themeColor="text1"/>
        </w:rPr>
        <w:t>cCQDs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in this charged medium varies between 95% and 100%, demonstrating the performance of the method. However, in the presence of ascorbic acid (97.9%) or starch (97.95%) or glycine (98.84%) or cysteine ​</w:t>
      </w:r>
      <w:proofErr w:type="gramStart"/>
      <w:r w:rsidRPr="00C56606">
        <w:rPr>
          <w:rFonts w:ascii="Arial" w:hAnsi="Arial" w:cs="Arial"/>
          <w:color w:val="000000" w:themeColor="text1"/>
        </w:rPr>
        <w:t>​(</w:t>
      </w:r>
      <w:proofErr w:type="gramEnd"/>
      <w:r w:rsidRPr="00C56606">
        <w:rPr>
          <w:rFonts w:ascii="Arial" w:hAnsi="Arial" w:cs="Arial"/>
          <w:color w:val="000000" w:themeColor="text1"/>
        </w:rPr>
        <w:t xml:space="preserve">95.65%), the melamine recovery rate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appears slightly impacted. This effect is explained by the fact that, firstly, in the presence of ascorbic acid, the hydroxyl groups ( ̶ OH) bind to melamine by the amine functions ( ̶ NH2) through strong hydrogen bonds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{"citationID":"rVbfY5wW","properties":{"formattedCitation":"(Li et al., 2012)","plainCitation":"(Li et al., 2012)","noteIndex":0},"citationItems":[{"id":100,"uris":["http://zotero.org/users/local/alnDPFsD/items/2CM4M5MS"],"itemData":{"id":100,"type":"article-journal","abstract":"A novel and convenient electrochemical method has been developed for sensitive determination of melamine (MEL) using ascorbic acid (AA) as the recognition element. The working electrode employed in this method was modified with the nanocomposite of hydroxyapatite/carbon nanotubes to enhance the current signal of recognition element. The interaction between MEL and AA was investigated by fourier transform infrared spectroscopy and cyclic voltammetry, and the experimental results indicated that hydrogen bonding was formed between MEL and AA. Because of the existing hydrogen bonding and electrostatic interaction, the anodic peak current of AA was decreased obviously while the non-electroactive MEL added in. It illustrated that the MEL acted as an inhibitor to the oxidation of AA and the decreasing signals can be used to detect MEL. Under the optimal conditions, the decrease in anodic peak current of AA was proportional to the MEL concentrations ranging from 10 to 350 nM, with a detection limit of 1.5 nM. Finally this newly-proposed method was successfully employed to detect MEL in infant formula and milk, and good recovery was achieved.","container-title":"Bulletin of the Korean Chemical Society","DOI":"10.5012/bkcs.2012.33.8.2499","ISSN":"0253-2964","issue":"8","language":"eng","note":"publisher: Korean Chemical Society","page":"2499-2507","source":"koreascience.kr","title":"A Novel Electrochemical Method for Sensitive Detection of Melamine in Infant Formula and Milk using Ascorbic Acid as Recognition Element","volume":"33","author":[{"family":"Li","given":"Junhua"},{"family":"Kuang","given":"Daizhi"},{"family":"Feng","given":"Yonglan"},{"family":"Zhang","given":"Fuxing"},{"family":"Xu","given":"Zhifeng"},{"family":"Liu","given":"Mengqin"}],"issued":{"date-parts":[["2012"]]}}}],"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(Li et al., 2012)</w:t>
      </w:r>
      <w:r w:rsidRPr="00C56606">
        <w:rPr>
          <w:rFonts w:ascii="Arial" w:hAnsi="Arial" w:cs="Arial"/>
          <w:b/>
          <w:bCs/>
          <w:color w:val="000000" w:themeColor="text1"/>
        </w:rPr>
        <w:fldChar w:fldCharType="end"/>
      </w:r>
      <w:r w:rsidRPr="00C56606">
        <w:rPr>
          <w:rFonts w:ascii="Arial" w:hAnsi="Arial" w:cs="Arial"/>
          <w:color w:val="000000" w:themeColor="text1"/>
        </w:rPr>
        <w:t xml:space="preserve">. This characteristic of ascorbic acid tends to reduce the availability of melamine and thus interferes with its detection. Second, in the presence of starch, melamine is able to release nitrogen in the form of ammonia by relying on the strong hydrogen bonds between the hydroxyl groups of starch and the amine functions of melamine </w:t>
      </w:r>
      <w:r w:rsidRPr="00964C40">
        <w:rPr>
          <w:rFonts w:ascii="Arial" w:hAnsi="Arial" w:cs="Arial"/>
          <w:b/>
          <w:bCs/>
          <w:color w:val="000000" w:themeColor="text1"/>
        </w:rPr>
        <w:fldChar w:fldCharType="begin"/>
      </w:r>
      <w:r w:rsidRPr="00964C40">
        <w:rPr>
          <w:rFonts w:ascii="Arial" w:hAnsi="Arial" w:cs="Arial"/>
          <w:b/>
          <w:bCs/>
          <w:color w:val="000000" w:themeColor="text1"/>
        </w:rPr>
        <w:instrText xml:space="preserve"> ADDIN ZOTERO_ITEM CSL_CITATION {"citationID":"KupEDVZc","properties":{"formattedCitation":"(Giroto et al., 2019)","plainCitation":"(Giroto et al., 2019)","noteIndex":0},"citationItems":[{"id":102,"uris":["http://zotero.org/users/local/alnDPFsD/items/XHY7BXQM"],"itemData":{"id":102,"type":"article-journal","abstract":"Herein we describe a new fertilizer delivery system made of a thermoplastic starch composite used to control the release of nitrogen in greenhouse trials. The innovative approach in this work is to use a natural matrix to disperse the N source using one extrusion processing step that is easily scalable. The extrudate was formed into a continuous strand using a rod die and was subsequently air-cooled and pelletized. The extrusion process yielded homogeneous pellets with high nitrogen content that could be applied directly to the soil. Melamine changed the structure of composites and increased the N final content of the fertilizers. Soil incubation experiments showed a more controlled N release by the matrix whereby the same proportion of N from urea was achieved after 28 days. Greenhouse trials revealed that melamine plays an important role as a structure modifier, increasing the effective use of available N from urea for maize in pot experiments. It was also verified that the Nmelamine was not available during the first 60 days of the trial experiment, showing that the lower amount of nitrogen released (only from urea) was better utilized by the plants treated with the composite material. The pelletized composite could be a prospective system for smart fertilization processing based on a renewable source (e.g. starch).","container-title":"Journal of Cleaner Production","DOI":"10.1016/j.jclepro.2019.01.275","ISSN":"0959-6526","journalAbbreviation":"Journal of Cleaner Production","page":"448-455","source":"ScienceDirect","title":"Controlled release of nitrogen using urea-melamine-starch composites","volume":"217","author":[{"family":"Giroto","given":"Amanda S."},{"family":"Guimarães","given":"Gelton G."},{"family":"Colnago","given":"Luiz A."},{"family":"Klamczynski","given":"Artur"},{"family":"Glenn","given":"Greg"},{"family":"Ribeiro","given":"Caue"}],"issued":{"date-parts":[["2019",4,20]]}}}],"schema":"https://github.com/citation-style-language/schema/raw/master/csl-citation.json"} </w:instrText>
      </w:r>
      <w:r w:rsidRPr="00964C40">
        <w:rPr>
          <w:rFonts w:ascii="Arial" w:hAnsi="Arial" w:cs="Arial"/>
          <w:b/>
          <w:bCs/>
          <w:color w:val="000000" w:themeColor="text1"/>
        </w:rPr>
        <w:fldChar w:fldCharType="separate"/>
      </w:r>
      <w:r w:rsidRPr="00964C40">
        <w:rPr>
          <w:rFonts w:ascii="Arial" w:hAnsi="Arial" w:cs="Arial"/>
          <w:b/>
          <w:bCs/>
          <w:color w:val="000000" w:themeColor="text1"/>
        </w:rPr>
        <w:t>(Giroto et al., 2019)</w:t>
      </w:r>
      <w:r w:rsidRPr="00964C40">
        <w:rPr>
          <w:rFonts w:ascii="Arial" w:hAnsi="Arial" w:cs="Arial"/>
          <w:b/>
          <w:bCs/>
          <w:color w:val="000000" w:themeColor="text1"/>
        </w:rPr>
        <w:fldChar w:fldCharType="end"/>
      </w:r>
      <w:r w:rsidRPr="00C56606">
        <w:rPr>
          <w:rFonts w:ascii="Arial" w:hAnsi="Arial" w:cs="Arial"/>
          <w:color w:val="000000" w:themeColor="text1"/>
        </w:rPr>
        <w:t xml:space="preserve">. In addition, starch has the ability to associate with melamine to form the resin via strong hydrogen bonds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{"citationID":"plDWmJ8L","properties":{"formattedCitation":"(Amanda S. Giroto et al., 2020)","plainCitation":"(Amanda S. Giroto et al., 2020)","noteIndex":0},"citationItems":[{"id":119,"uris":["http://zotero.org/users/local/alnDPFsD/items/FVUU957V"],"itemData":{"id":119,"type":"article-journal","abstract":"Herein we describe the interaction of starch, urea, and melamine (C3N6H6) in composite materials for use as controlled-release plant fertilizer. Slow-…","container-title":"International Journal of Biological Macromolecules","DOI":"10.1016/j.ijbiomac.2019.12.094","ISSN":"0141-8130","language":"fr","note":"publisher: Elsevier","page":"143-150","source":"www.sciencedirect.com","title":"Role of urea and melamine as synergic co-plasticizers for starch composites for fertilizer application","volume":"144","author":[{"literal":"Amanda S. Giroto"},{"literal":"Rodrigo H.S. Garcia"},{"literal":"Luiz A. Colnago"},{"literal":"Artur Klamczynski"},{"literal":"Greg M. Glenn"},{"literal":"Caue Ribeiro"}],"issued":{"date-parts":[["2020",2,1]]}}}],"schema":"https://github.com/citation-style-language/schema/raw/master/csl-citation.json"}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(Amanda S. Giroto et al., 2020)</w:t>
      </w:r>
      <w:r w:rsidRPr="00C56606">
        <w:rPr>
          <w:rFonts w:ascii="Arial" w:hAnsi="Arial" w:cs="Arial"/>
          <w:b/>
          <w:bCs/>
          <w:color w:val="000000" w:themeColor="text1"/>
        </w:rPr>
        <w:fldChar w:fldCharType="end"/>
      </w:r>
      <w:r w:rsidRPr="00C56606">
        <w:rPr>
          <w:rFonts w:ascii="Arial" w:hAnsi="Arial" w:cs="Arial"/>
          <w:color w:val="000000" w:themeColor="text1"/>
        </w:rPr>
        <w:t xml:space="preserve">. All these parasitic effects of starch impact the detection of melamine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Third, it is possible that under certain pH conditions (pH &gt; 7), glycine is able to associate with melamine to form a glycine-melamine network acting as an oxygen reduction However, the absence of ferric ion (Fe</w:t>
      </w:r>
      <w:r w:rsidRPr="00C56606">
        <w:rPr>
          <w:rFonts w:ascii="Arial" w:hAnsi="Arial" w:cs="Arial"/>
          <w:color w:val="000000" w:themeColor="text1"/>
          <w:vertAlign w:val="superscript"/>
        </w:rPr>
        <w:t>3+</w:t>
      </w:r>
      <w:r w:rsidRPr="00C56606">
        <w:rPr>
          <w:rFonts w:ascii="Arial" w:hAnsi="Arial" w:cs="Arial"/>
          <w:color w:val="000000" w:themeColor="text1"/>
        </w:rPr>
        <w:t xml:space="preserve">) reduces the parasitic nature of this network during melamine detection. Fourth, cysteine, unlike glycine, has an </w:t>
      </w:r>
      <w:proofErr w:type="spellStart"/>
      <w:r w:rsidRPr="00C56606">
        <w:rPr>
          <w:rFonts w:ascii="Arial" w:hAnsi="Arial" w:cs="Arial"/>
          <w:color w:val="000000" w:themeColor="text1"/>
        </w:rPr>
        <w:t>organothiol</w:t>
      </w:r>
      <w:proofErr w:type="spellEnd"/>
      <w:r w:rsidRPr="00C56606">
        <w:rPr>
          <w:rFonts w:ascii="Arial" w:hAnsi="Arial" w:cs="Arial"/>
          <w:color w:val="000000" w:themeColor="text1"/>
        </w:rPr>
        <w:t xml:space="preserve"> group (R-SH</w:t>
      </w:r>
      <w:r w:rsidRPr="00C56606">
        <w:rPr>
          <w:rFonts w:ascii="Arial" w:hAnsi="Arial" w:cs="Arial"/>
          <w:color w:val="000000" w:themeColor="text1"/>
          <w:vertAlign w:val="subscript"/>
        </w:rPr>
        <w:t>2</w:t>
      </w:r>
      <w:r w:rsidRPr="00C56606">
        <w:rPr>
          <w:rFonts w:ascii="Arial" w:hAnsi="Arial" w:cs="Arial"/>
          <w:color w:val="000000" w:themeColor="text1"/>
        </w:rPr>
        <w:t xml:space="preserve">) in its structure that can impact the stability of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present on the surface of the gold electrode </w:t>
      </w:r>
      <w:r w:rsidRPr="00964C40">
        <w:rPr>
          <w:rFonts w:ascii="Arial" w:hAnsi="Arial" w:cs="Arial"/>
          <w:b/>
          <w:bCs/>
          <w:color w:val="000000" w:themeColor="text1"/>
        </w:rPr>
        <w:fldChar w:fldCharType="begin"/>
      </w:r>
      <w:r w:rsidRPr="00964C40">
        <w:rPr>
          <w:rFonts w:ascii="Arial" w:hAnsi="Arial" w:cs="Arial"/>
          <w:b/>
          <w:bCs/>
          <w:color w:val="000000" w:themeColor="text1"/>
        </w:rPr>
        <w:instrText xml:space="preserve"> ADDIN ZOTERO_ITEM CSL_CITATION {"citationID":"syaWLUwC","properties":{"formattedCitation":"(Siriwardana et al., 2015)","plainCitation":"(Siriwardana et al., 2015)","noteIndex":0},"citationItems":[{"id":108,"uris":["http://zotero.org/users/local/alnDPFsD/items/PHFXSMM9"],"itemData":{"id":108,"type":"article-journal","abstract":"Studies of protein and organothiol interactions with silver nanoparticles (AgNPs) are important for understanding AgNP nanotoxicity, antimicrobial activity, and material fabrications. Reported herein is a systematic investigation of the effects of both reduced and oxidized protein cysteine residues on protein interactions with AgNPs. The model proteins included wild-type and mutated protein GB3 variants that contain 0, 1, or 2 reduced cysteine residues, respectively. Bovine serum albumin (BSA) that contains a total of 34 oxidized (disulfide-linked) cysteine residues and one reduced cysteine residue was also included. Protein cysteine content has no detectable effect on the kinetics of protein/AgNP binding. However, only proteins that contain reduced cysteine residues induce significant AgNP dissolution. Proteins can slow down, but do not prevent the AgNP dissolution induced by subsequently added organothiols. The insights provided in this work are important to the mechanistic understanding of AgNP stability in biofluids that are rich in proteins and amino acid thiols.","container-title":"The Journal of Physical Chemistry C","DOI":"10.1021/jp512440z","ISSN":"1932-7447","issue":"5","journalAbbreviation":"J. Phys. Chem. C","note":"publisher: American Chemical Society","page":"2910-2916","source":"ACS Publications","title":"Studying the Effects of Cysteine Residues on Protein Interactions with Silver Nanoparticles","volume":"119","author":[{"family":"Siriwardana","given":"Kumudu"},{"family":"Wang","given":"Ailin"},{"family":"Gadogbe","given":"Manuel"},{"family":"Collier","given":"Willard E."},{"family":"Fitzkee","given":"Nicholas C."},{"family":"Zhang","given":"Dongmao"}],"issued":{"date-parts":[["2015",2,5]]}}}],"schema":"https://github.com/citation-style-language/schema/raw/master/csl-citation.json"} </w:instrText>
      </w:r>
      <w:r w:rsidRPr="00964C40">
        <w:rPr>
          <w:rFonts w:ascii="Arial" w:hAnsi="Arial" w:cs="Arial"/>
          <w:b/>
          <w:bCs/>
          <w:color w:val="000000" w:themeColor="text1"/>
        </w:rPr>
        <w:fldChar w:fldCharType="separate"/>
      </w:r>
      <w:r w:rsidRPr="00964C40">
        <w:rPr>
          <w:rFonts w:ascii="Arial" w:hAnsi="Arial" w:cs="Arial"/>
          <w:b/>
          <w:bCs/>
          <w:color w:val="000000" w:themeColor="text1"/>
        </w:rPr>
        <w:t>(Siriwardana et al., 2015)</w:t>
      </w:r>
      <w:r w:rsidRPr="00964C40">
        <w:rPr>
          <w:rFonts w:ascii="Arial" w:hAnsi="Arial" w:cs="Arial"/>
          <w:b/>
          <w:bCs/>
          <w:color w:val="000000" w:themeColor="text1"/>
        </w:rPr>
        <w:fldChar w:fldCharType="end"/>
      </w:r>
      <w:r w:rsidRPr="00C56606">
        <w:rPr>
          <w:rFonts w:ascii="Arial" w:hAnsi="Arial" w:cs="Arial"/>
          <w:color w:val="000000" w:themeColor="text1"/>
        </w:rPr>
        <w:t xml:space="preserve">. This effect has the ability to deactivate the active sites available at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thus reducing its melamine detection capacity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{"citationID":"1V5nplur","properties":{"formattedCitation":"(Toh et al., 2014)","plainCitation":"(Toh et al., 2014)","noteIndex":0},"citationItems":[{"id":110,"uris":["http://zotero.org/users/local/alnDPFsD/items/DY6WTSLM"],"itemData":{"id":110,"type":"article-journal","abstract":"The interaction between citrate capped silver nanoparticles and two different thiols, mercaptohexanol (MH) and cysteine, was investigated. The thiols interacted with silver nanoparticles in a significantly contrasting manner. With MH, a sparingly soluble silver(I) thiolate complex AgSRm (Rm = −(CH2)6OH) was formed on the silver nanoparticle surface. Cyclic voltammograms and UV-vis spectra were used to infer that the AgSRm complex on the nanoparticle surface undergoes a phase transition to give a mixture of AgSRm and Ag2S-like complexes. In contrast, when silver nanoparticles were exposed to cysteine, the citrate capping agent on the silver nanoparticles was replaced by cysteine to give cysteine capped nanoparticles. As cysteine capped nanoparticles form, the electrochemical data displayed a decrease in oxidative peak charge but the UV-vis spectra showed a constant signal. Therefore, cysteine capped nanoparticles were suggested to have either inactivated the silver surface or else promoted detachment from the electrode surface.","container-title":"Science China Chemistry","DOI":"10.1007/s11426-014-5141-8","ISSN":"1869-1870","issue":"9","journalAbbreviation":"Sci. China Chem.","language":"en","page":"1199-1210","source":"Springer Link","title":"Chemical interactions between silver nanoparticles and thiols: a comparison of mercaptohexanol against cysteine","title-short":"Chemical interactions between silver nanoparticles and thiols","volume":"57","author":[{"family":"Toh","given":"Her Shuang"},{"family":"Batchelor-McAuley","given":"Christopher"},{"family":"Tschulik","given":"Kristina"},{"family":"Compton","given":"Richard G."}],"issued":{"date-parts":[["2014",9,1]]}}}],"schema":"https://github.com/citation-style-language/schema/raw/master/csl-citation.json"}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(Toh et al., 2014)</w:t>
      </w:r>
      <w:r w:rsidRPr="00C56606">
        <w:rPr>
          <w:rFonts w:ascii="Arial" w:hAnsi="Arial" w:cs="Arial"/>
          <w:b/>
          <w:bCs/>
          <w:color w:val="000000" w:themeColor="text1"/>
        </w:rPr>
        <w:fldChar w:fldCharType="end"/>
      </w:r>
      <w:r w:rsidRPr="00C56606">
        <w:rPr>
          <w:rFonts w:ascii="Arial" w:hAnsi="Arial" w:cs="Arial"/>
          <w:color w:val="000000" w:themeColor="text1"/>
        </w:rPr>
        <w:t>.</w:t>
      </w:r>
    </w:p>
    <w:p w14:paraId="2CDA610F"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lastRenderedPageBreak/>
        <w:t>Concerning inorganic interferents (CaSO</w:t>
      </w:r>
      <w:r w:rsidRPr="00C56606">
        <w:rPr>
          <w:rFonts w:ascii="Arial" w:hAnsi="Arial" w:cs="Arial"/>
          <w:color w:val="000000" w:themeColor="text1"/>
          <w:vertAlign w:val="subscript"/>
        </w:rPr>
        <w:t>4</w:t>
      </w:r>
      <w:r w:rsidRPr="00C56606">
        <w:rPr>
          <w:rFonts w:ascii="Arial" w:hAnsi="Arial" w:cs="Arial"/>
          <w:color w:val="000000" w:themeColor="text1"/>
        </w:rPr>
        <w:t>, MgSO</w:t>
      </w:r>
      <w:r w:rsidRPr="00C56606">
        <w:rPr>
          <w:rFonts w:ascii="Arial" w:hAnsi="Arial" w:cs="Arial"/>
          <w:color w:val="000000" w:themeColor="text1"/>
          <w:vertAlign w:val="subscript"/>
        </w:rPr>
        <w:t>4</w:t>
      </w:r>
      <w:r w:rsidRPr="00C56606">
        <w:rPr>
          <w:rFonts w:ascii="Arial" w:hAnsi="Arial" w:cs="Arial"/>
          <w:color w:val="000000" w:themeColor="text1"/>
        </w:rPr>
        <w:t>,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and FeSO</w:t>
      </w:r>
      <w:r w:rsidRPr="00C56606">
        <w:rPr>
          <w:rFonts w:ascii="Arial" w:hAnsi="Arial" w:cs="Arial"/>
          <w:color w:val="000000" w:themeColor="text1"/>
          <w:vertAlign w:val="subscript"/>
        </w:rPr>
        <w:t>4</w:t>
      </w:r>
      <w:r w:rsidRPr="00C56606">
        <w:rPr>
          <w:rFonts w:ascii="Arial" w:hAnsi="Arial" w:cs="Arial"/>
          <w:color w:val="000000" w:themeColor="text1"/>
        </w:rPr>
        <w:t xml:space="preserve">), frequently encountered in commercial powdered milk, our work presents very low interference of these substances in the detection of melamine by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This result is similar to some works in the literature </w:t>
      </w:r>
      <w:r w:rsidRPr="00C56606">
        <w:rPr>
          <w:rFonts w:ascii="Arial" w:hAnsi="Arial" w:cs="Arial"/>
          <w:b/>
          <w:bCs/>
          <w:color w:val="000000" w:themeColor="text1"/>
        </w:rPr>
        <w:fldChar w:fldCharType="begin"/>
      </w:r>
      <w:r w:rsidRPr="00C56606">
        <w:rPr>
          <w:rFonts w:ascii="Arial" w:hAnsi="Arial" w:cs="Arial"/>
          <w:b/>
          <w:bCs/>
          <w:color w:val="000000" w:themeColor="text1"/>
        </w:rPr>
        <w:instrText xml:space="preserve"> ADDIN ZOTERO_ITEM CSL_CITATION {"citationID":"zfJGTfAY","properties":{"formattedCitation":"(Gaucheron, 2005)","plainCitation":"(Gaucheron, 2005)","noteIndex":0},"citationItems":[{"id":125,"uris":["http://zotero.org/users/local/alnDPFsD/items/67WTLBRS"],"itemData":{"id":125,"type":"article-journal","abstract":"Reproduction Nutrition Development, formerly Annales de Biologie Animale Biochimie Biophysique","container-title":"Reproduction Nutrition Development","DOI":"10.1051/rnd:2005030","ISSN":"0926-5287, 1297-9708","issue":"4","journalAbbreviation":"Reprod. Nutr. Dev.","language":"en","license":"INRA, EDP Sciences","note":"publisher: EDP Sciences","page":"473-483","source":"rnd.edpsciences.org","title":"The minerals of milk","volume":"45","author":[{"family":"Gaucheron","given":"Frédéric"}],"issued":{"date-parts":[["2005",7,1]]}}}],"schema":"https://github.com/citation-style-language/schema/raw/master/csl-citation.json"} </w:instrText>
      </w:r>
      <w:r w:rsidRPr="00C56606">
        <w:rPr>
          <w:rFonts w:ascii="Arial" w:hAnsi="Arial" w:cs="Arial"/>
          <w:b/>
          <w:bCs/>
          <w:color w:val="000000" w:themeColor="text1"/>
        </w:rPr>
        <w:fldChar w:fldCharType="separate"/>
      </w:r>
      <w:r w:rsidRPr="00C56606">
        <w:rPr>
          <w:rFonts w:ascii="Arial" w:hAnsi="Arial" w:cs="Arial"/>
          <w:b/>
          <w:bCs/>
          <w:color w:val="000000" w:themeColor="text1"/>
        </w:rPr>
        <w:t>(Gaucheron, 2005)</w:t>
      </w:r>
      <w:r w:rsidRPr="00C56606">
        <w:rPr>
          <w:rFonts w:ascii="Arial" w:hAnsi="Arial" w:cs="Arial"/>
          <w:b/>
          <w:bCs/>
          <w:color w:val="000000" w:themeColor="text1"/>
        </w:rPr>
        <w:fldChar w:fldCharType="end"/>
      </w:r>
      <w:r w:rsidRPr="00C56606">
        <w:rPr>
          <w:rFonts w:ascii="Arial" w:hAnsi="Arial" w:cs="Arial"/>
          <w:color w:val="000000" w:themeColor="text1"/>
        </w:rPr>
        <w:t>. However, the presence of Fe</w:t>
      </w:r>
      <w:r w:rsidRPr="00C56606">
        <w:rPr>
          <w:rFonts w:ascii="Arial" w:hAnsi="Arial" w:cs="Arial"/>
          <w:color w:val="000000" w:themeColor="text1"/>
          <w:vertAlign w:val="superscript"/>
        </w:rPr>
        <w:t>3+</w:t>
      </w:r>
      <w:r w:rsidRPr="00C56606">
        <w:rPr>
          <w:rFonts w:ascii="Arial" w:hAnsi="Arial" w:cs="Arial"/>
          <w:color w:val="000000" w:themeColor="text1"/>
        </w:rPr>
        <w:t xml:space="preserve"> and Fe</w:t>
      </w:r>
      <w:r w:rsidRPr="00C56606">
        <w:rPr>
          <w:rFonts w:ascii="Arial" w:hAnsi="Arial" w:cs="Arial"/>
          <w:color w:val="000000" w:themeColor="text1"/>
          <w:vertAlign w:val="superscript"/>
        </w:rPr>
        <w:t>2+</w:t>
      </w:r>
      <w:r w:rsidRPr="00C56606">
        <w:rPr>
          <w:rFonts w:ascii="Arial" w:hAnsi="Arial" w:cs="Arial"/>
          <w:color w:val="000000" w:themeColor="text1"/>
        </w:rPr>
        <w:t xml:space="preserve"> ions in powdered milk suspected of containing melamine is considered because these ions have high sensitivity with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b/>
          <w:bCs/>
          <w:color w:val="000000" w:themeColor="text1"/>
        </w:rPr>
        <w:t>.</w:t>
      </w:r>
      <w:r w:rsidRPr="00C56606">
        <w:rPr>
          <w:rFonts w:ascii="Arial" w:hAnsi="Arial" w:cs="Arial"/>
          <w:color w:val="000000" w:themeColor="text1"/>
        </w:rPr>
        <w:t xml:space="preserve"> In summary,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shows good selectivity for melamine, however, it is necessary to perform melamine extraction before any detection in commercial powdered milk.</w:t>
      </w:r>
    </w:p>
    <w:p w14:paraId="50CA3EE9" w14:textId="77777777" w:rsidR="00C30CAD" w:rsidRPr="00C56606" w:rsidRDefault="00C30CAD" w:rsidP="00C30CAD">
      <w:pPr>
        <w:spacing w:line="360" w:lineRule="auto"/>
        <w:jc w:val="both"/>
        <w:rPr>
          <w:rFonts w:ascii="Arial" w:hAnsi="Arial" w:cs="Arial"/>
          <w:color w:val="000000" w:themeColor="text1"/>
        </w:rPr>
      </w:pPr>
    </w:p>
    <w:p w14:paraId="79DC4EE7"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3.3.5. Reusability of the </w:t>
      </w:r>
      <w:proofErr w:type="spellStart"/>
      <w:r w:rsidRPr="00C56606">
        <w:rPr>
          <w:rFonts w:ascii="Arial" w:hAnsi="Arial" w:cs="Arial"/>
          <w:b/>
          <w:bCs/>
          <w:color w:val="000000" w:themeColor="text1"/>
        </w:rPr>
        <w:t>cCDs</w:t>
      </w:r>
      <w:proofErr w:type="spellEnd"/>
      <w:r w:rsidRPr="00C56606">
        <w:rPr>
          <w:rFonts w:ascii="Arial" w:hAnsi="Arial" w:cs="Arial"/>
          <w:b/>
          <w:bCs/>
          <w:color w:val="000000" w:themeColor="text1"/>
        </w:rPr>
        <w:t>/</w:t>
      </w:r>
      <w:proofErr w:type="spellStart"/>
      <w:r w:rsidRPr="00C56606">
        <w:rPr>
          <w:rFonts w:ascii="Arial" w:hAnsi="Arial" w:cs="Arial"/>
          <w:b/>
          <w:bCs/>
          <w:color w:val="000000" w:themeColor="text1"/>
        </w:rPr>
        <w:t>AgNPs</w:t>
      </w:r>
      <w:proofErr w:type="spellEnd"/>
      <w:r w:rsidRPr="00C56606">
        <w:rPr>
          <w:rFonts w:ascii="Arial" w:hAnsi="Arial" w:cs="Arial"/>
          <w:b/>
          <w:bCs/>
          <w:color w:val="000000" w:themeColor="text1"/>
        </w:rPr>
        <w:t>/Au Electrode</w:t>
      </w:r>
    </w:p>
    <w:p w14:paraId="13CBE117" w14:textId="50E4B83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demonstrate the reusability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a detection series of </w:t>
      </w:r>
      <w:r w:rsidR="005D34BE" w:rsidRPr="00C56606">
        <w:rPr>
          <w:rFonts w:ascii="Arial" w:hAnsi="Arial" w:cs="Arial"/>
          <w:color w:val="000000" w:themeColor="text1"/>
        </w:rPr>
        <w:t>five</w:t>
      </w:r>
      <w:r w:rsidRPr="00C56606">
        <w:rPr>
          <w:rFonts w:ascii="Arial" w:hAnsi="Arial" w:cs="Arial"/>
          <w:color w:val="000000" w:themeColor="text1"/>
        </w:rPr>
        <w:t xml:space="preserve"> (05) tests was carried out under optimal melamine detection conditions. For each detection series, the melamine concentration was set at 0.246 µg/</w:t>
      </w:r>
      <w:proofErr w:type="spellStart"/>
      <w:r w:rsidRPr="00C56606">
        <w:rPr>
          <w:rFonts w:ascii="Arial" w:hAnsi="Arial" w:cs="Arial"/>
          <w:color w:val="000000" w:themeColor="text1"/>
        </w:rPr>
        <w:t>mL.</w:t>
      </w:r>
      <w:proofErr w:type="spellEnd"/>
      <w:r w:rsidRPr="00C56606">
        <w:rPr>
          <w:rFonts w:ascii="Arial" w:hAnsi="Arial" w:cs="Arial"/>
          <w:color w:val="000000" w:themeColor="text1"/>
        </w:rPr>
        <w:t xml:space="preserve"> In this study, the objective was to determine the recovery rate and the relative standard deviation for each test. During the process, the surface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washed with ultrapure water, then with ethanol before being dried for the next test. Table 3 shows representative results for each detection series.</w:t>
      </w:r>
    </w:p>
    <w:p w14:paraId="5D578A88" w14:textId="77777777" w:rsidR="009410AE" w:rsidRPr="00C56606" w:rsidRDefault="009410AE" w:rsidP="00C30CAD">
      <w:pPr>
        <w:spacing w:line="360" w:lineRule="auto"/>
        <w:jc w:val="both"/>
        <w:rPr>
          <w:rFonts w:ascii="Arial" w:hAnsi="Arial" w:cs="Arial"/>
          <w:color w:val="000000" w:themeColor="text1"/>
        </w:rPr>
      </w:pPr>
    </w:p>
    <w:p w14:paraId="0F86FBDC"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Table 3.      Recovery rate and relative standard deviation for a series of 5 tests</w:t>
      </w:r>
    </w:p>
    <w:tbl>
      <w:tblPr>
        <w:tblStyle w:val="TableGrid"/>
        <w:tblW w:w="0" w:type="auto"/>
        <w:tblLook w:val="04A0" w:firstRow="1" w:lastRow="0" w:firstColumn="1" w:lastColumn="0" w:noHBand="0" w:noVBand="1"/>
      </w:tblPr>
      <w:tblGrid>
        <w:gridCol w:w="1617"/>
        <w:gridCol w:w="1654"/>
        <w:gridCol w:w="1654"/>
        <w:gridCol w:w="1814"/>
        <w:gridCol w:w="1469"/>
      </w:tblGrid>
      <w:tr w:rsidR="00C56606" w:rsidRPr="00C56606" w14:paraId="7207F2A2" w14:textId="77777777" w:rsidTr="006A52C0">
        <w:tc>
          <w:tcPr>
            <w:tcW w:w="1617" w:type="dxa"/>
            <w:tcBorders>
              <w:left w:val="nil"/>
              <w:bottom w:val="single" w:sz="4" w:space="0" w:color="auto"/>
              <w:right w:val="nil"/>
            </w:tcBorders>
          </w:tcPr>
          <w:p w14:paraId="4878EBDB"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Essai</w:t>
            </w:r>
          </w:p>
        </w:tc>
        <w:tc>
          <w:tcPr>
            <w:tcW w:w="1654" w:type="dxa"/>
            <w:tcBorders>
              <w:left w:val="nil"/>
              <w:bottom w:val="single" w:sz="4" w:space="0" w:color="auto"/>
              <w:right w:val="nil"/>
            </w:tcBorders>
          </w:tcPr>
          <w:p w14:paraId="61FD0E98"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Added (</w:t>
            </w:r>
            <w:proofErr w:type="spellStart"/>
            <w:r w:rsidRPr="00C56606">
              <w:rPr>
                <w:rFonts w:ascii="Arial" w:hAnsi="Arial" w:cs="Arial"/>
                <w:b/>
                <w:bCs/>
                <w:color w:val="000000" w:themeColor="text1"/>
                <w:lang w:val="fr-CI"/>
              </w:rPr>
              <w:t>ng</w:t>
            </w:r>
            <w:proofErr w:type="spellEnd"/>
            <w:r w:rsidRPr="00C56606">
              <w:rPr>
                <w:rFonts w:ascii="Arial" w:hAnsi="Arial" w:cs="Arial"/>
                <w:b/>
                <w:bCs/>
                <w:color w:val="000000" w:themeColor="text1"/>
                <w:lang w:val="fr-CI"/>
              </w:rPr>
              <w:t>/</w:t>
            </w:r>
            <w:proofErr w:type="spellStart"/>
            <w:r w:rsidRPr="00C56606">
              <w:rPr>
                <w:rFonts w:ascii="Arial" w:hAnsi="Arial" w:cs="Arial"/>
                <w:b/>
                <w:bCs/>
                <w:color w:val="000000" w:themeColor="text1"/>
                <w:lang w:val="fr-CI"/>
              </w:rPr>
              <w:t>mL</w:t>
            </w:r>
            <w:proofErr w:type="spellEnd"/>
            <w:r w:rsidRPr="00C56606">
              <w:rPr>
                <w:rFonts w:ascii="Arial" w:hAnsi="Arial" w:cs="Arial"/>
                <w:b/>
                <w:bCs/>
                <w:color w:val="000000" w:themeColor="text1"/>
                <w:lang w:val="fr-CI"/>
              </w:rPr>
              <w:t>)</w:t>
            </w:r>
          </w:p>
        </w:tc>
        <w:tc>
          <w:tcPr>
            <w:tcW w:w="1654" w:type="dxa"/>
            <w:tcBorders>
              <w:left w:val="nil"/>
              <w:bottom w:val="single" w:sz="4" w:space="0" w:color="auto"/>
              <w:right w:val="nil"/>
            </w:tcBorders>
          </w:tcPr>
          <w:p w14:paraId="4425B57C" w14:textId="77777777" w:rsidR="00C30CAD" w:rsidRPr="00C56606" w:rsidRDefault="00C30CAD" w:rsidP="006A52C0">
            <w:pPr>
              <w:spacing w:line="360" w:lineRule="auto"/>
              <w:jc w:val="both"/>
              <w:rPr>
                <w:rFonts w:ascii="Arial" w:hAnsi="Arial" w:cs="Arial"/>
                <w:b/>
                <w:bCs/>
                <w:color w:val="000000" w:themeColor="text1"/>
                <w:lang w:val="fr-CI"/>
              </w:rPr>
            </w:pPr>
            <w:proofErr w:type="spellStart"/>
            <w:r w:rsidRPr="00C56606">
              <w:rPr>
                <w:rFonts w:ascii="Arial" w:hAnsi="Arial" w:cs="Arial"/>
                <w:b/>
                <w:bCs/>
                <w:color w:val="000000" w:themeColor="text1"/>
                <w:lang w:val="fr-CI"/>
              </w:rPr>
              <w:t>Found</w:t>
            </w:r>
            <w:proofErr w:type="spellEnd"/>
            <w:r w:rsidRPr="00C56606">
              <w:rPr>
                <w:rFonts w:ascii="Arial" w:hAnsi="Arial" w:cs="Arial"/>
                <w:b/>
                <w:bCs/>
                <w:color w:val="000000" w:themeColor="text1"/>
                <w:lang w:val="fr-CI"/>
              </w:rPr>
              <w:t xml:space="preserve"> (</w:t>
            </w:r>
            <w:proofErr w:type="spellStart"/>
            <w:r w:rsidRPr="00C56606">
              <w:rPr>
                <w:rFonts w:ascii="Arial" w:hAnsi="Arial" w:cs="Arial"/>
                <w:b/>
                <w:bCs/>
                <w:color w:val="000000" w:themeColor="text1"/>
                <w:lang w:val="fr-CI"/>
              </w:rPr>
              <w:t>ng</w:t>
            </w:r>
            <w:proofErr w:type="spellEnd"/>
            <w:r w:rsidRPr="00C56606">
              <w:rPr>
                <w:rFonts w:ascii="Arial" w:hAnsi="Arial" w:cs="Arial"/>
                <w:b/>
                <w:bCs/>
                <w:color w:val="000000" w:themeColor="text1"/>
                <w:lang w:val="fr-CI"/>
              </w:rPr>
              <w:t>/</w:t>
            </w:r>
            <w:proofErr w:type="spellStart"/>
            <w:r w:rsidRPr="00C56606">
              <w:rPr>
                <w:rFonts w:ascii="Arial" w:hAnsi="Arial" w:cs="Arial"/>
                <w:b/>
                <w:bCs/>
                <w:color w:val="000000" w:themeColor="text1"/>
                <w:lang w:val="fr-CI"/>
              </w:rPr>
              <w:t>mL</w:t>
            </w:r>
            <w:proofErr w:type="spellEnd"/>
            <w:r w:rsidRPr="00C56606">
              <w:rPr>
                <w:rFonts w:ascii="Arial" w:hAnsi="Arial" w:cs="Arial"/>
                <w:b/>
                <w:bCs/>
                <w:color w:val="000000" w:themeColor="text1"/>
                <w:lang w:val="fr-CI"/>
              </w:rPr>
              <w:t>)</w:t>
            </w:r>
          </w:p>
        </w:tc>
        <w:tc>
          <w:tcPr>
            <w:tcW w:w="1814" w:type="dxa"/>
            <w:tcBorders>
              <w:left w:val="nil"/>
              <w:bottom w:val="single" w:sz="4" w:space="0" w:color="auto"/>
              <w:right w:val="nil"/>
            </w:tcBorders>
          </w:tcPr>
          <w:p w14:paraId="75B02ED5" w14:textId="77777777" w:rsidR="00C30CAD" w:rsidRPr="00C56606" w:rsidRDefault="00C30CAD" w:rsidP="006A52C0">
            <w:pPr>
              <w:spacing w:line="360" w:lineRule="auto"/>
              <w:jc w:val="both"/>
              <w:rPr>
                <w:rFonts w:ascii="Arial" w:hAnsi="Arial" w:cs="Arial"/>
                <w:b/>
                <w:bCs/>
                <w:color w:val="000000" w:themeColor="text1"/>
                <w:lang w:val="fr-CI"/>
              </w:rPr>
            </w:pPr>
            <w:proofErr w:type="spellStart"/>
            <w:r w:rsidRPr="00C56606">
              <w:rPr>
                <w:rFonts w:ascii="Arial" w:hAnsi="Arial" w:cs="Arial"/>
                <w:b/>
                <w:bCs/>
                <w:color w:val="000000" w:themeColor="text1"/>
                <w:lang w:val="fr-CI"/>
              </w:rPr>
              <w:t>Recovery</w:t>
            </w:r>
            <w:proofErr w:type="spellEnd"/>
            <w:r w:rsidRPr="00C56606">
              <w:rPr>
                <w:rFonts w:ascii="Arial" w:hAnsi="Arial" w:cs="Arial"/>
                <w:b/>
                <w:bCs/>
                <w:color w:val="000000" w:themeColor="text1"/>
                <w:lang w:val="fr-CI"/>
              </w:rPr>
              <w:t xml:space="preserve"> (%)</w:t>
            </w:r>
          </w:p>
        </w:tc>
        <w:tc>
          <w:tcPr>
            <w:tcW w:w="1469" w:type="dxa"/>
            <w:tcBorders>
              <w:left w:val="nil"/>
              <w:bottom w:val="single" w:sz="4" w:space="0" w:color="auto"/>
              <w:right w:val="nil"/>
            </w:tcBorders>
          </w:tcPr>
          <w:p w14:paraId="0301AAF4" w14:textId="77777777" w:rsidR="00C30CAD" w:rsidRPr="00C56606" w:rsidRDefault="00C30CAD" w:rsidP="006A52C0">
            <w:pPr>
              <w:spacing w:line="360" w:lineRule="auto"/>
              <w:jc w:val="both"/>
              <w:rPr>
                <w:rFonts w:ascii="Arial" w:hAnsi="Arial" w:cs="Arial"/>
                <w:b/>
                <w:bCs/>
                <w:color w:val="000000" w:themeColor="text1"/>
                <w:lang w:val="fr-CI"/>
              </w:rPr>
            </w:pPr>
            <w:r w:rsidRPr="00C56606">
              <w:rPr>
                <w:rFonts w:ascii="Arial" w:hAnsi="Arial" w:cs="Arial"/>
                <w:b/>
                <w:bCs/>
                <w:color w:val="000000" w:themeColor="text1"/>
                <w:lang w:val="fr-CI"/>
              </w:rPr>
              <w:t>RSD % (n = 3)</w:t>
            </w:r>
          </w:p>
        </w:tc>
      </w:tr>
      <w:tr w:rsidR="00C56606" w:rsidRPr="00C56606" w14:paraId="619CD689" w14:textId="77777777" w:rsidTr="006A52C0">
        <w:tc>
          <w:tcPr>
            <w:tcW w:w="1617" w:type="dxa"/>
            <w:tcBorders>
              <w:left w:val="nil"/>
              <w:bottom w:val="nil"/>
              <w:right w:val="nil"/>
            </w:tcBorders>
          </w:tcPr>
          <w:p w14:paraId="35F4203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01</w:t>
            </w:r>
          </w:p>
        </w:tc>
        <w:tc>
          <w:tcPr>
            <w:tcW w:w="1654" w:type="dxa"/>
            <w:tcBorders>
              <w:left w:val="nil"/>
              <w:bottom w:val="nil"/>
              <w:right w:val="nil"/>
            </w:tcBorders>
          </w:tcPr>
          <w:p w14:paraId="71840BEE"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left w:val="nil"/>
              <w:bottom w:val="nil"/>
              <w:right w:val="nil"/>
            </w:tcBorders>
          </w:tcPr>
          <w:p w14:paraId="71CAADA2"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0.2457 ± 0.0043</w:t>
            </w:r>
          </w:p>
        </w:tc>
        <w:tc>
          <w:tcPr>
            <w:tcW w:w="1814" w:type="dxa"/>
            <w:tcBorders>
              <w:left w:val="nil"/>
              <w:bottom w:val="nil"/>
              <w:right w:val="nil"/>
            </w:tcBorders>
          </w:tcPr>
          <w:p w14:paraId="07740994"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99.9</w:t>
            </w:r>
          </w:p>
        </w:tc>
        <w:tc>
          <w:tcPr>
            <w:tcW w:w="1469" w:type="dxa"/>
            <w:tcBorders>
              <w:left w:val="nil"/>
              <w:bottom w:val="nil"/>
              <w:right w:val="nil"/>
            </w:tcBorders>
          </w:tcPr>
          <w:p w14:paraId="09A031A2"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1.7</w:t>
            </w:r>
          </w:p>
        </w:tc>
      </w:tr>
      <w:tr w:rsidR="00C56606" w:rsidRPr="00C56606" w14:paraId="2E2F1ECE" w14:textId="77777777" w:rsidTr="006A52C0">
        <w:tc>
          <w:tcPr>
            <w:tcW w:w="1617" w:type="dxa"/>
            <w:tcBorders>
              <w:top w:val="nil"/>
              <w:left w:val="nil"/>
              <w:bottom w:val="nil"/>
              <w:right w:val="nil"/>
            </w:tcBorders>
          </w:tcPr>
          <w:p w14:paraId="58DF38EF"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w:t>
            </w:r>
          </w:p>
        </w:tc>
        <w:tc>
          <w:tcPr>
            <w:tcW w:w="1654" w:type="dxa"/>
            <w:tcBorders>
              <w:top w:val="nil"/>
              <w:left w:val="nil"/>
              <w:bottom w:val="nil"/>
              <w:right w:val="nil"/>
            </w:tcBorders>
          </w:tcPr>
          <w:p w14:paraId="069809A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11B65968"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0.2402 ± 0.0218</w:t>
            </w:r>
          </w:p>
        </w:tc>
        <w:tc>
          <w:tcPr>
            <w:tcW w:w="1814" w:type="dxa"/>
            <w:tcBorders>
              <w:top w:val="nil"/>
              <w:left w:val="nil"/>
              <w:bottom w:val="nil"/>
              <w:right w:val="nil"/>
            </w:tcBorders>
          </w:tcPr>
          <w:p w14:paraId="1B909E2F"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97.6</w:t>
            </w:r>
          </w:p>
        </w:tc>
        <w:tc>
          <w:tcPr>
            <w:tcW w:w="1469" w:type="dxa"/>
            <w:tcBorders>
              <w:top w:val="nil"/>
              <w:left w:val="nil"/>
              <w:bottom w:val="nil"/>
              <w:right w:val="nil"/>
            </w:tcBorders>
          </w:tcPr>
          <w:p w14:paraId="16113BC8"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9.1</w:t>
            </w:r>
          </w:p>
        </w:tc>
      </w:tr>
      <w:tr w:rsidR="00C56606" w:rsidRPr="00C56606" w14:paraId="341B1623" w14:textId="77777777" w:rsidTr="006A52C0">
        <w:tc>
          <w:tcPr>
            <w:tcW w:w="1617" w:type="dxa"/>
            <w:tcBorders>
              <w:top w:val="nil"/>
              <w:left w:val="nil"/>
              <w:bottom w:val="nil"/>
              <w:right w:val="nil"/>
            </w:tcBorders>
          </w:tcPr>
          <w:p w14:paraId="60BD92AF"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03</w:t>
            </w:r>
          </w:p>
        </w:tc>
        <w:tc>
          <w:tcPr>
            <w:tcW w:w="1654" w:type="dxa"/>
            <w:tcBorders>
              <w:top w:val="nil"/>
              <w:left w:val="nil"/>
              <w:bottom w:val="nil"/>
              <w:right w:val="nil"/>
            </w:tcBorders>
          </w:tcPr>
          <w:p w14:paraId="63B13936"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20ECAD34"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0.2394 ± 0.0044</w:t>
            </w:r>
          </w:p>
        </w:tc>
        <w:tc>
          <w:tcPr>
            <w:tcW w:w="1814" w:type="dxa"/>
            <w:tcBorders>
              <w:top w:val="nil"/>
              <w:left w:val="nil"/>
              <w:bottom w:val="nil"/>
              <w:right w:val="nil"/>
            </w:tcBorders>
          </w:tcPr>
          <w:p w14:paraId="32BD5C8A"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97.3</w:t>
            </w:r>
          </w:p>
        </w:tc>
        <w:tc>
          <w:tcPr>
            <w:tcW w:w="1469" w:type="dxa"/>
            <w:tcBorders>
              <w:top w:val="nil"/>
              <w:left w:val="nil"/>
              <w:bottom w:val="nil"/>
              <w:right w:val="nil"/>
            </w:tcBorders>
          </w:tcPr>
          <w:p w14:paraId="2593D9E6"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1.8</w:t>
            </w:r>
          </w:p>
        </w:tc>
      </w:tr>
      <w:tr w:rsidR="00C56606" w:rsidRPr="00C56606" w14:paraId="59D460A2" w14:textId="77777777" w:rsidTr="006A52C0">
        <w:tc>
          <w:tcPr>
            <w:tcW w:w="1617" w:type="dxa"/>
            <w:tcBorders>
              <w:top w:val="nil"/>
              <w:left w:val="nil"/>
              <w:bottom w:val="nil"/>
              <w:right w:val="nil"/>
            </w:tcBorders>
          </w:tcPr>
          <w:p w14:paraId="0E2CFE6E"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04</w:t>
            </w:r>
          </w:p>
        </w:tc>
        <w:tc>
          <w:tcPr>
            <w:tcW w:w="1654" w:type="dxa"/>
            <w:tcBorders>
              <w:top w:val="nil"/>
              <w:left w:val="nil"/>
              <w:bottom w:val="nil"/>
              <w:right w:val="nil"/>
            </w:tcBorders>
          </w:tcPr>
          <w:p w14:paraId="6F2980E6"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nil"/>
              <w:right w:val="nil"/>
            </w:tcBorders>
          </w:tcPr>
          <w:p w14:paraId="2642E793"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0.2453 ± 0.0175</w:t>
            </w:r>
          </w:p>
        </w:tc>
        <w:tc>
          <w:tcPr>
            <w:tcW w:w="1814" w:type="dxa"/>
            <w:tcBorders>
              <w:top w:val="nil"/>
              <w:left w:val="nil"/>
              <w:bottom w:val="nil"/>
              <w:right w:val="nil"/>
            </w:tcBorders>
          </w:tcPr>
          <w:p w14:paraId="6FBABB28"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99.7</w:t>
            </w:r>
          </w:p>
        </w:tc>
        <w:tc>
          <w:tcPr>
            <w:tcW w:w="1469" w:type="dxa"/>
            <w:tcBorders>
              <w:top w:val="nil"/>
              <w:left w:val="nil"/>
              <w:bottom w:val="nil"/>
              <w:right w:val="nil"/>
            </w:tcBorders>
          </w:tcPr>
          <w:p w14:paraId="69AAD5AE"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7.1</w:t>
            </w:r>
          </w:p>
        </w:tc>
      </w:tr>
      <w:tr w:rsidR="00C56606" w:rsidRPr="00C56606" w14:paraId="15D45DD3" w14:textId="77777777" w:rsidTr="006A52C0">
        <w:tc>
          <w:tcPr>
            <w:tcW w:w="1617" w:type="dxa"/>
            <w:tcBorders>
              <w:top w:val="nil"/>
              <w:left w:val="nil"/>
              <w:bottom w:val="single" w:sz="4" w:space="0" w:color="auto"/>
              <w:right w:val="nil"/>
            </w:tcBorders>
          </w:tcPr>
          <w:p w14:paraId="438BFA52"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05</w:t>
            </w:r>
          </w:p>
        </w:tc>
        <w:tc>
          <w:tcPr>
            <w:tcW w:w="1654" w:type="dxa"/>
            <w:tcBorders>
              <w:top w:val="nil"/>
              <w:left w:val="nil"/>
              <w:bottom w:val="single" w:sz="4" w:space="0" w:color="auto"/>
              <w:right w:val="nil"/>
            </w:tcBorders>
          </w:tcPr>
          <w:p w14:paraId="6C0F02F7"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0.246</w:t>
            </w:r>
          </w:p>
        </w:tc>
        <w:tc>
          <w:tcPr>
            <w:tcW w:w="1654" w:type="dxa"/>
            <w:tcBorders>
              <w:top w:val="nil"/>
              <w:left w:val="nil"/>
              <w:bottom w:val="single" w:sz="4" w:space="0" w:color="auto"/>
              <w:right w:val="nil"/>
            </w:tcBorders>
          </w:tcPr>
          <w:p w14:paraId="16F19C25" w14:textId="77777777" w:rsidR="00C30CAD" w:rsidRPr="00C56606" w:rsidRDefault="00C30CAD" w:rsidP="006A52C0">
            <w:pPr>
              <w:spacing w:line="360" w:lineRule="auto"/>
              <w:jc w:val="both"/>
              <w:rPr>
                <w:rFonts w:ascii="Arial" w:hAnsi="Arial" w:cs="Arial"/>
                <w:color w:val="000000" w:themeColor="text1"/>
                <w:lang w:val="fr-CI"/>
              </w:rPr>
            </w:pPr>
            <w:r w:rsidRPr="00C56606">
              <w:rPr>
                <w:rFonts w:ascii="Arial" w:hAnsi="Arial" w:cs="Arial"/>
                <w:color w:val="000000" w:themeColor="text1"/>
                <w:lang w:val="fr-CI"/>
              </w:rPr>
              <w:t>0.2414 ± 0.0087</w:t>
            </w:r>
          </w:p>
        </w:tc>
        <w:tc>
          <w:tcPr>
            <w:tcW w:w="1814" w:type="dxa"/>
            <w:tcBorders>
              <w:top w:val="nil"/>
              <w:left w:val="nil"/>
              <w:bottom w:val="single" w:sz="4" w:space="0" w:color="auto"/>
              <w:right w:val="nil"/>
            </w:tcBorders>
          </w:tcPr>
          <w:p w14:paraId="4DFFE5D2"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98.1</w:t>
            </w:r>
          </w:p>
        </w:tc>
        <w:tc>
          <w:tcPr>
            <w:tcW w:w="1469" w:type="dxa"/>
            <w:tcBorders>
              <w:top w:val="nil"/>
              <w:left w:val="nil"/>
              <w:bottom w:val="single" w:sz="4" w:space="0" w:color="auto"/>
              <w:right w:val="nil"/>
            </w:tcBorders>
          </w:tcPr>
          <w:p w14:paraId="6D2093D6" w14:textId="77777777" w:rsidR="00C30CAD" w:rsidRPr="00C56606" w:rsidRDefault="00C30CAD" w:rsidP="006A52C0">
            <w:pPr>
              <w:spacing w:line="360" w:lineRule="auto"/>
              <w:jc w:val="center"/>
              <w:rPr>
                <w:rFonts w:ascii="Arial" w:hAnsi="Arial" w:cs="Arial"/>
                <w:color w:val="000000" w:themeColor="text1"/>
                <w:lang w:val="fr-CI"/>
              </w:rPr>
            </w:pPr>
            <w:r w:rsidRPr="00C56606">
              <w:rPr>
                <w:rFonts w:ascii="Arial" w:hAnsi="Arial" w:cs="Arial"/>
                <w:color w:val="000000" w:themeColor="text1"/>
                <w:lang w:val="fr-CI"/>
              </w:rPr>
              <w:t>3.6</w:t>
            </w:r>
          </w:p>
        </w:tc>
      </w:tr>
    </w:tbl>
    <w:p w14:paraId="0F201C7B" w14:textId="77777777" w:rsidR="00C30CAD" w:rsidRPr="00C56606" w:rsidRDefault="00C30CAD" w:rsidP="00C30CAD">
      <w:pPr>
        <w:spacing w:line="360" w:lineRule="auto"/>
        <w:jc w:val="both"/>
        <w:rPr>
          <w:rFonts w:ascii="Arial" w:hAnsi="Arial" w:cs="Arial"/>
          <w:color w:val="000000" w:themeColor="text1"/>
        </w:rPr>
      </w:pPr>
    </w:p>
    <w:p w14:paraId="5DF15055" w14:textId="11984D3A"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This study shows that for all </w:t>
      </w:r>
      <w:r w:rsidR="005D34BE" w:rsidRPr="00C56606">
        <w:rPr>
          <w:rFonts w:ascii="Arial" w:hAnsi="Arial" w:cs="Arial"/>
          <w:color w:val="000000" w:themeColor="text1"/>
        </w:rPr>
        <w:t>five</w:t>
      </w:r>
      <w:r w:rsidRPr="00C56606">
        <w:rPr>
          <w:rFonts w:ascii="Arial" w:hAnsi="Arial" w:cs="Arial"/>
          <w:color w:val="000000" w:themeColor="text1"/>
        </w:rPr>
        <w:t xml:space="preserve"> tests, the recovery rate ranges between 9</w:t>
      </w:r>
      <w:r w:rsidR="005D34BE" w:rsidRPr="00C56606">
        <w:rPr>
          <w:rFonts w:ascii="Arial" w:hAnsi="Arial" w:cs="Arial"/>
          <w:color w:val="000000" w:themeColor="text1"/>
        </w:rPr>
        <w:t>7</w:t>
      </w:r>
      <w:r w:rsidRPr="00C56606">
        <w:rPr>
          <w:rFonts w:ascii="Arial" w:hAnsi="Arial" w:cs="Arial"/>
          <w:color w:val="000000" w:themeColor="text1"/>
        </w:rPr>
        <w:t xml:space="preserve">% and 99%, with a relative standard deviation ranging from </w:t>
      </w:r>
      <w:r w:rsidR="005D34BE" w:rsidRPr="00C56606">
        <w:rPr>
          <w:rFonts w:ascii="Arial" w:hAnsi="Arial" w:cs="Arial"/>
          <w:color w:val="000000" w:themeColor="text1"/>
        </w:rPr>
        <w:t>1</w:t>
      </w:r>
      <w:r w:rsidRPr="00C56606">
        <w:rPr>
          <w:rFonts w:ascii="Arial" w:hAnsi="Arial" w:cs="Arial"/>
          <w:color w:val="000000" w:themeColor="text1"/>
        </w:rPr>
        <w:t>.</w:t>
      </w:r>
      <w:r w:rsidR="005D34BE" w:rsidRPr="00C56606">
        <w:rPr>
          <w:rFonts w:ascii="Arial" w:hAnsi="Arial" w:cs="Arial"/>
          <w:color w:val="000000" w:themeColor="text1"/>
        </w:rPr>
        <w:t>8</w:t>
      </w:r>
      <w:r w:rsidRPr="00C56606">
        <w:rPr>
          <w:rFonts w:ascii="Arial" w:hAnsi="Arial" w:cs="Arial"/>
          <w:color w:val="000000" w:themeColor="text1"/>
        </w:rPr>
        <w:t xml:space="preserve">% to 9.1%. Overall,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exhibits an excellent recovery rate with an RSD of less than 10%. Thus, the reusability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is confirmed for to melamine detection tests under the conditions established in this work.</w:t>
      </w:r>
    </w:p>
    <w:p w14:paraId="0DA3A8D2" w14:textId="77777777" w:rsidR="00C30CAD" w:rsidRPr="00C56606" w:rsidRDefault="00C30CAD" w:rsidP="00C30CAD">
      <w:pPr>
        <w:spacing w:line="360" w:lineRule="auto"/>
        <w:jc w:val="both"/>
        <w:rPr>
          <w:rFonts w:ascii="Arial" w:hAnsi="Arial" w:cs="Arial"/>
          <w:color w:val="000000" w:themeColor="text1"/>
        </w:rPr>
      </w:pPr>
    </w:p>
    <w:p w14:paraId="5A902EE5"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3.3.6. Detection of melamine in a real environment</w:t>
      </w:r>
    </w:p>
    <w:p w14:paraId="6863E047" w14:textId="34E90666"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The new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/Au electrode was used to determine traces of melamine in powdered milk extracts. To do this, five samples of powdered milk (Bonnet Rouge, </w:t>
      </w:r>
      <w:proofErr w:type="spellStart"/>
      <w:r w:rsidRPr="00C56606">
        <w:rPr>
          <w:rFonts w:ascii="Arial" w:hAnsi="Arial" w:cs="Arial"/>
          <w:color w:val="000000" w:themeColor="text1"/>
        </w:rPr>
        <w:t>Nido</w:t>
      </w:r>
      <w:proofErr w:type="spellEnd"/>
      <w:r w:rsidRPr="00C56606">
        <w:rPr>
          <w:rFonts w:ascii="Arial" w:hAnsi="Arial" w:cs="Arial"/>
          <w:color w:val="000000" w:themeColor="text1"/>
        </w:rPr>
        <w:t xml:space="preserve">, Lait </w:t>
      </w:r>
      <w:proofErr w:type="spellStart"/>
      <w:r w:rsidRPr="00C56606">
        <w:rPr>
          <w:rFonts w:ascii="Arial" w:hAnsi="Arial" w:cs="Arial"/>
          <w:color w:val="000000" w:themeColor="text1"/>
        </w:rPr>
        <w:t>en</w:t>
      </w:r>
      <w:proofErr w:type="spellEnd"/>
      <w:r w:rsidRPr="00C56606">
        <w:rPr>
          <w:rFonts w:ascii="Arial" w:hAnsi="Arial" w:cs="Arial"/>
          <w:color w:val="000000" w:themeColor="text1"/>
        </w:rPr>
        <w:t xml:space="preserve"> Poudre (</w:t>
      </w:r>
      <w:proofErr w:type="spellStart"/>
      <w:r w:rsidRPr="00C56606">
        <w:rPr>
          <w:rFonts w:ascii="Arial" w:hAnsi="Arial" w:cs="Arial"/>
          <w:color w:val="000000" w:themeColor="text1"/>
        </w:rPr>
        <w:t>Lp</w:t>
      </w:r>
      <w:proofErr w:type="spellEnd"/>
      <w:r w:rsidRPr="00C56606">
        <w:rPr>
          <w:rFonts w:ascii="Arial" w:hAnsi="Arial" w:cs="Arial"/>
          <w:color w:val="000000" w:themeColor="text1"/>
        </w:rPr>
        <w:t xml:space="preserve">), Laity, and Top-Lait), widely marketed on national and international markets, were </w:t>
      </w:r>
      <w:r w:rsidRPr="00C56606">
        <w:rPr>
          <w:rFonts w:ascii="Arial" w:hAnsi="Arial" w:cs="Arial"/>
          <w:color w:val="000000" w:themeColor="text1"/>
        </w:rPr>
        <w:lastRenderedPageBreak/>
        <w:t>recollected, then were contaminated in the laboratory (5 mg melamine added to 2.5 g milk powdered, or 2 mg/g) for the purposes of this study. The detection of melamine was done using the liquid extracts of each of the powdered milk samples mentioned above. Fig. 1</w:t>
      </w:r>
      <w:r w:rsidR="00D61D23">
        <w:rPr>
          <w:rFonts w:ascii="Arial" w:hAnsi="Arial" w:cs="Arial"/>
          <w:color w:val="000000" w:themeColor="text1"/>
        </w:rPr>
        <w:t>1</w:t>
      </w:r>
      <w:r w:rsidRPr="00C56606">
        <w:rPr>
          <w:rFonts w:ascii="Arial" w:hAnsi="Arial" w:cs="Arial"/>
          <w:color w:val="000000" w:themeColor="text1"/>
        </w:rPr>
        <w:t xml:space="preserve"> presents the results of this study.</w:t>
      </w:r>
    </w:p>
    <w:p w14:paraId="5AA002DF" w14:textId="77777777" w:rsidR="00C30CAD" w:rsidRPr="00C56606" w:rsidRDefault="00C30CAD" w:rsidP="00C30CAD">
      <w:pPr>
        <w:spacing w:line="360" w:lineRule="auto"/>
        <w:jc w:val="center"/>
        <w:rPr>
          <w:rFonts w:ascii="Arial" w:hAnsi="Arial" w:cs="Arial"/>
          <w:color w:val="000000" w:themeColor="text1"/>
        </w:rPr>
      </w:pPr>
      <w:r w:rsidRPr="00C56606">
        <w:rPr>
          <w:rFonts w:ascii="Arial" w:hAnsi="Arial" w:cs="Arial"/>
          <w:noProof/>
          <w:color w:val="000000" w:themeColor="text1"/>
          <w:lang w:val="fr-FR" w:eastAsia="fr-FR"/>
        </w:rPr>
        <w:drawing>
          <wp:inline distT="0" distB="0" distL="0" distR="0" wp14:anchorId="2CD4BA06" wp14:editId="77F14A86">
            <wp:extent cx="4823193" cy="2895600"/>
            <wp:effectExtent l="0" t="0" r="0" b="0"/>
            <wp:docPr id="17040555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9700" cy="2899507"/>
                    </a:xfrm>
                    <a:prstGeom prst="rect">
                      <a:avLst/>
                    </a:prstGeom>
                    <a:noFill/>
                  </pic:spPr>
                </pic:pic>
              </a:graphicData>
            </a:graphic>
          </wp:inline>
        </w:drawing>
      </w:r>
    </w:p>
    <w:p w14:paraId="479B0140"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 xml:space="preserve">Fig. 11.  Melamine recovery diagram in different milk powder samples with S1: extract from Bonnet rouge sample, S2: extract from </w:t>
      </w:r>
      <w:proofErr w:type="spellStart"/>
      <w:r w:rsidRPr="00C56606">
        <w:rPr>
          <w:rFonts w:ascii="Arial" w:hAnsi="Arial" w:cs="Arial"/>
          <w:b/>
          <w:bCs/>
          <w:color w:val="000000" w:themeColor="text1"/>
        </w:rPr>
        <w:t>Nido</w:t>
      </w:r>
      <w:proofErr w:type="spellEnd"/>
      <w:r w:rsidRPr="00C56606">
        <w:rPr>
          <w:rFonts w:ascii="Arial" w:hAnsi="Arial" w:cs="Arial"/>
          <w:b/>
          <w:bCs/>
          <w:color w:val="000000" w:themeColor="text1"/>
        </w:rPr>
        <w:t xml:space="preserve"> sample, S3: extract from Lait </w:t>
      </w:r>
      <w:proofErr w:type="spellStart"/>
      <w:r w:rsidRPr="00C56606">
        <w:rPr>
          <w:rFonts w:ascii="Arial" w:hAnsi="Arial" w:cs="Arial"/>
          <w:b/>
          <w:bCs/>
          <w:color w:val="000000" w:themeColor="text1"/>
        </w:rPr>
        <w:t>en</w:t>
      </w:r>
      <w:proofErr w:type="spellEnd"/>
      <w:r w:rsidRPr="00C56606">
        <w:rPr>
          <w:rFonts w:ascii="Arial" w:hAnsi="Arial" w:cs="Arial"/>
          <w:b/>
          <w:bCs/>
          <w:color w:val="000000" w:themeColor="text1"/>
        </w:rPr>
        <w:t xml:space="preserve"> Poudre </w:t>
      </w:r>
      <w:proofErr w:type="spellStart"/>
      <w:r w:rsidRPr="00C56606">
        <w:rPr>
          <w:rFonts w:ascii="Arial" w:hAnsi="Arial" w:cs="Arial"/>
          <w:b/>
          <w:bCs/>
          <w:color w:val="000000" w:themeColor="text1"/>
        </w:rPr>
        <w:t>Lp</w:t>
      </w:r>
      <w:proofErr w:type="spellEnd"/>
      <w:r w:rsidRPr="00C56606">
        <w:rPr>
          <w:rFonts w:ascii="Arial" w:hAnsi="Arial" w:cs="Arial"/>
          <w:b/>
          <w:bCs/>
          <w:color w:val="000000" w:themeColor="text1"/>
        </w:rPr>
        <w:t xml:space="preserve"> sample, S4: extract from Laity sample and S5: extract from Top-Lait sample</w:t>
      </w:r>
    </w:p>
    <w:p w14:paraId="208BBEBB" w14:textId="77777777" w:rsidR="00C30CAD" w:rsidRPr="00C56606" w:rsidRDefault="00C30CAD" w:rsidP="00C30CAD">
      <w:pPr>
        <w:spacing w:line="360" w:lineRule="auto"/>
        <w:jc w:val="both"/>
        <w:rPr>
          <w:rFonts w:ascii="Arial" w:hAnsi="Arial" w:cs="Arial"/>
          <w:color w:val="000000" w:themeColor="text1"/>
        </w:rPr>
      </w:pPr>
    </w:p>
    <w:p w14:paraId="2C20D48A"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This study shows that the powdered milks present on the Ivorian market and subjected to the detection test do not contain any traces of melamine. This result provides proof of the credibility of the various manufacturers and suppliers of powdered milk in Côte d'Ivoire and the good quality of the powdered milk made available to consumers. Furthermore, in the event of accidental or intentional contamination of these powdered milks with melamine, the method implemented by this work is capable of revealing its presence and assessing its quantity with a recovery rate of between 90% and 98%. Thus, the proposed method is a promising alternative for monitoring and prevalence of melamine contamination. However, it is necessary to establish legislation to restrict the addition of certain vitamins such as vitamins A and D whose hydroxyl or carboxyl groups could interfere with the detection process and reduce the recovery capacity of the proposed method; or vitamins B2 (C</w:t>
      </w:r>
      <w:r w:rsidRPr="00C56606">
        <w:rPr>
          <w:rFonts w:ascii="Arial" w:hAnsi="Arial" w:cs="Arial"/>
          <w:color w:val="000000" w:themeColor="text1"/>
          <w:vertAlign w:val="subscript"/>
        </w:rPr>
        <w:t>17</w:t>
      </w:r>
      <w:r w:rsidRPr="00C56606">
        <w:rPr>
          <w:rFonts w:ascii="Arial" w:hAnsi="Arial" w:cs="Arial"/>
          <w:color w:val="000000" w:themeColor="text1"/>
        </w:rPr>
        <w:t>H</w:t>
      </w:r>
      <w:r w:rsidRPr="00C56606">
        <w:rPr>
          <w:rFonts w:ascii="Arial" w:hAnsi="Arial" w:cs="Arial"/>
          <w:color w:val="000000" w:themeColor="text1"/>
          <w:vertAlign w:val="subscript"/>
        </w:rPr>
        <w:t>20</w:t>
      </w:r>
      <w:r w:rsidRPr="00C56606">
        <w:rPr>
          <w:rFonts w:ascii="Arial" w:hAnsi="Arial" w:cs="Arial"/>
          <w:color w:val="000000" w:themeColor="text1"/>
        </w:rPr>
        <w:t>N</w:t>
      </w:r>
      <w:r w:rsidRPr="00C56606">
        <w:rPr>
          <w:rFonts w:ascii="Arial" w:hAnsi="Arial" w:cs="Arial"/>
          <w:color w:val="000000" w:themeColor="text1"/>
          <w:vertAlign w:val="subscript"/>
        </w:rPr>
        <w:t>4</w:t>
      </w:r>
      <w:r w:rsidRPr="00C56606">
        <w:rPr>
          <w:rFonts w:ascii="Arial" w:hAnsi="Arial" w:cs="Arial"/>
          <w:color w:val="000000" w:themeColor="text1"/>
        </w:rPr>
        <w:t>O</w:t>
      </w:r>
      <w:r w:rsidRPr="00C56606">
        <w:rPr>
          <w:rFonts w:ascii="Arial" w:hAnsi="Arial" w:cs="Arial"/>
          <w:color w:val="000000" w:themeColor="text1"/>
          <w:vertAlign w:val="subscript"/>
        </w:rPr>
        <w:t>6</w:t>
      </w:r>
      <w:r w:rsidRPr="00C56606">
        <w:rPr>
          <w:rFonts w:ascii="Arial" w:hAnsi="Arial" w:cs="Arial"/>
          <w:color w:val="000000" w:themeColor="text1"/>
        </w:rPr>
        <w:t>) and B12 (C</w:t>
      </w:r>
      <w:r w:rsidRPr="00C56606">
        <w:rPr>
          <w:rFonts w:ascii="Arial" w:hAnsi="Arial" w:cs="Arial"/>
          <w:color w:val="000000" w:themeColor="text1"/>
          <w:vertAlign w:val="subscript"/>
        </w:rPr>
        <w:t>63</w:t>
      </w:r>
      <w:r w:rsidRPr="00C56606">
        <w:rPr>
          <w:rFonts w:ascii="Arial" w:hAnsi="Arial" w:cs="Arial"/>
          <w:color w:val="000000" w:themeColor="text1"/>
        </w:rPr>
        <w:t>H</w:t>
      </w:r>
      <w:r w:rsidRPr="00C56606">
        <w:rPr>
          <w:rFonts w:ascii="Arial" w:hAnsi="Arial" w:cs="Arial"/>
          <w:color w:val="000000" w:themeColor="text1"/>
          <w:vertAlign w:val="subscript"/>
        </w:rPr>
        <w:t>88</w:t>
      </w:r>
      <w:r w:rsidRPr="00C56606">
        <w:rPr>
          <w:rFonts w:ascii="Arial" w:hAnsi="Arial" w:cs="Arial"/>
          <w:color w:val="000000" w:themeColor="text1"/>
        </w:rPr>
        <w:t>CoN</w:t>
      </w:r>
      <w:r w:rsidRPr="00C56606">
        <w:rPr>
          <w:rFonts w:ascii="Arial" w:hAnsi="Arial" w:cs="Arial"/>
          <w:color w:val="000000" w:themeColor="text1"/>
          <w:vertAlign w:val="subscript"/>
        </w:rPr>
        <w:t>14</w:t>
      </w:r>
      <w:r w:rsidRPr="00C56606">
        <w:rPr>
          <w:rFonts w:ascii="Arial" w:hAnsi="Arial" w:cs="Arial"/>
          <w:color w:val="000000" w:themeColor="text1"/>
        </w:rPr>
        <w:t>O</w:t>
      </w:r>
      <w:r w:rsidRPr="00C56606">
        <w:rPr>
          <w:rFonts w:ascii="Arial" w:hAnsi="Arial" w:cs="Arial"/>
          <w:color w:val="000000" w:themeColor="text1"/>
          <w:vertAlign w:val="subscript"/>
        </w:rPr>
        <w:t>14</w:t>
      </w:r>
      <w:r w:rsidRPr="00C56606">
        <w:rPr>
          <w:rFonts w:ascii="Arial" w:hAnsi="Arial" w:cs="Arial"/>
          <w:color w:val="000000" w:themeColor="text1"/>
        </w:rPr>
        <w:t xml:space="preserve">P), whose structures contain nitrogen atoms that could be used as a shield to cover the presence of melamine by reducing the sensitivity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w:t>
      </w:r>
    </w:p>
    <w:p w14:paraId="7EC3007B"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lastRenderedPageBreak/>
        <w:t>3.3.7. Comparative Study</w:t>
      </w:r>
    </w:p>
    <w:p w14:paraId="19F659D6" w14:textId="77777777" w:rsidR="00C30CAD"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To reaffirm the reliability of the melamine detection method implemented, a comparative study was conducted with other melamine detection methods already made public and validated by the scientific community. This comparative study is summarized in Table </w:t>
      </w:r>
      <w:proofErr w:type="gramStart"/>
      <w:r w:rsidRPr="00C56606">
        <w:rPr>
          <w:rFonts w:ascii="Arial" w:hAnsi="Arial" w:cs="Arial"/>
          <w:color w:val="000000" w:themeColor="text1"/>
        </w:rPr>
        <w:t>4 :</w:t>
      </w:r>
      <w:proofErr w:type="gramEnd"/>
    </w:p>
    <w:p w14:paraId="7F5CB156" w14:textId="77777777" w:rsidR="009410AE" w:rsidRPr="00C56606" w:rsidRDefault="009410AE" w:rsidP="00C30CAD">
      <w:pPr>
        <w:spacing w:line="360" w:lineRule="auto"/>
        <w:jc w:val="both"/>
        <w:rPr>
          <w:rFonts w:ascii="Arial" w:hAnsi="Arial" w:cs="Arial"/>
          <w:color w:val="000000" w:themeColor="text1"/>
        </w:rPr>
      </w:pPr>
    </w:p>
    <w:p w14:paraId="1AE1278F" w14:textId="77777777" w:rsidR="00C30CAD" w:rsidRPr="00C56606" w:rsidRDefault="00C30CAD" w:rsidP="00C30CAD">
      <w:pPr>
        <w:spacing w:line="360" w:lineRule="auto"/>
        <w:jc w:val="both"/>
        <w:rPr>
          <w:rFonts w:ascii="Arial" w:hAnsi="Arial" w:cs="Arial"/>
          <w:b/>
          <w:bCs/>
          <w:color w:val="000000" w:themeColor="text1"/>
        </w:rPr>
      </w:pPr>
      <w:r w:rsidRPr="00C56606">
        <w:rPr>
          <w:rFonts w:ascii="Arial" w:hAnsi="Arial" w:cs="Arial"/>
          <w:b/>
          <w:bCs/>
          <w:color w:val="000000" w:themeColor="text1"/>
        </w:rPr>
        <w:t>Table 4. Comparison with other published methods for the detection of melamine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42"/>
        <w:gridCol w:w="2340"/>
        <w:gridCol w:w="1561"/>
        <w:gridCol w:w="2365"/>
      </w:tblGrid>
      <w:tr w:rsidR="00C56606" w:rsidRPr="00C56606" w14:paraId="70329FEF" w14:textId="77777777" w:rsidTr="006A52C0">
        <w:tc>
          <w:tcPr>
            <w:tcW w:w="1985" w:type="dxa"/>
            <w:tcBorders>
              <w:bottom w:val="single" w:sz="4" w:space="0" w:color="auto"/>
              <w:right w:val="nil"/>
            </w:tcBorders>
          </w:tcPr>
          <w:p w14:paraId="4AB750FF" w14:textId="77777777" w:rsidR="00C30CAD" w:rsidRPr="00C56606" w:rsidRDefault="00C30CAD" w:rsidP="006A52C0">
            <w:pPr>
              <w:spacing w:line="360" w:lineRule="auto"/>
              <w:rPr>
                <w:rFonts w:ascii="Arial" w:hAnsi="Arial" w:cs="Arial"/>
                <w:b/>
                <w:bCs/>
                <w:color w:val="000000" w:themeColor="text1"/>
              </w:rPr>
            </w:pPr>
            <w:r w:rsidRPr="00C56606">
              <w:rPr>
                <w:rFonts w:ascii="Arial" w:hAnsi="Arial" w:cs="Arial"/>
                <w:b/>
                <w:bCs/>
                <w:color w:val="000000" w:themeColor="text1"/>
              </w:rPr>
              <w:t>Electrode</w:t>
            </w:r>
          </w:p>
        </w:tc>
        <w:tc>
          <w:tcPr>
            <w:tcW w:w="2693" w:type="dxa"/>
            <w:tcBorders>
              <w:left w:val="nil"/>
              <w:bottom w:val="single" w:sz="4" w:space="0" w:color="auto"/>
              <w:right w:val="nil"/>
            </w:tcBorders>
          </w:tcPr>
          <w:p w14:paraId="75AB1B61" w14:textId="77777777" w:rsidR="00C30CAD" w:rsidRPr="00C56606" w:rsidRDefault="00C30CAD" w:rsidP="006A52C0">
            <w:pPr>
              <w:spacing w:line="360" w:lineRule="auto"/>
              <w:jc w:val="center"/>
              <w:rPr>
                <w:rFonts w:ascii="Arial" w:hAnsi="Arial" w:cs="Arial"/>
                <w:b/>
                <w:bCs/>
                <w:color w:val="000000" w:themeColor="text1"/>
              </w:rPr>
            </w:pPr>
            <w:proofErr w:type="spellStart"/>
            <w:r w:rsidRPr="00C56606">
              <w:rPr>
                <w:rFonts w:ascii="Arial" w:hAnsi="Arial" w:cs="Arial"/>
                <w:b/>
                <w:bCs/>
                <w:color w:val="000000" w:themeColor="text1"/>
              </w:rPr>
              <w:t>Plage</w:t>
            </w:r>
            <w:proofErr w:type="spellEnd"/>
            <w:r w:rsidRPr="00C56606">
              <w:rPr>
                <w:rFonts w:ascii="Arial" w:hAnsi="Arial" w:cs="Arial"/>
                <w:b/>
                <w:bCs/>
                <w:color w:val="000000" w:themeColor="text1"/>
              </w:rPr>
              <w:t xml:space="preserve"> de Conc.</w:t>
            </w:r>
          </w:p>
        </w:tc>
        <w:tc>
          <w:tcPr>
            <w:tcW w:w="1701" w:type="dxa"/>
            <w:tcBorders>
              <w:left w:val="nil"/>
              <w:bottom w:val="single" w:sz="4" w:space="0" w:color="auto"/>
              <w:right w:val="nil"/>
            </w:tcBorders>
          </w:tcPr>
          <w:p w14:paraId="404642C9"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LOD*</w:t>
            </w:r>
          </w:p>
        </w:tc>
        <w:tc>
          <w:tcPr>
            <w:tcW w:w="2647" w:type="dxa"/>
            <w:tcBorders>
              <w:left w:val="nil"/>
              <w:bottom w:val="single" w:sz="4" w:space="0" w:color="auto"/>
            </w:tcBorders>
          </w:tcPr>
          <w:p w14:paraId="627CFE3F"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Reference</w:t>
            </w:r>
          </w:p>
        </w:tc>
      </w:tr>
      <w:tr w:rsidR="00C56606" w:rsidRPr="00C56606" w14:paraId="6343E769" w14:textId="77777777" w:rsidTr="006A52C0">
        <w:tc>
          <w:tcPr>
            <w:tcW w:w="1985" w:type="dxa"/>
            <w:tcBorders>
              <w:bottom w:val="nil"/>
              <w:right w:val="nil"/>
            </w:tcBorders>
          </w:tcPr>
          <w:p w14:paraId="612E86FD" w14:textId="77777777" w:rsidR="00C30CAD" w:rsidRPr="00C56606" w:rsidRDefault="00C30CAD" w:rsidP="006A52C0">
            <w:pPr>
              <w:spacing w:line="360" w:lineRule="auto"/>
              <w:jc w:val="both"/>
              <w:rPr>
                <w:rFonts w:ascii="Arial" w:hAnsi="Arial" w:cs="Arial"/>
                <w:color w:val="000000" w:themeColor="text1"/>
              </w:rPr>
            </w:pPr>
            <w:proofErr w:type="spellStart"/>
            <w:r w:rsidRPr="00C56606">
              <w:rPr>
                <w:rFonts w:ascii="Arial" w:hAnsi="Arial" w:cs="Arial"/>
                <w:color w:val="000000" w:themeColor="text1"/>
              </w:rPr>
              <w:t>pCAF</w:t>
            </w:r>
            <w:proofErr w:type="spellEnd"/>
            <w:r w:rsidRPr="00C56606">
              <w:rPr>
                <w:rFonts w:ascii="Arial" w:hAnsi="Arial" w:cs="Arial"/>
                <w:color w:val="000000" w:themeColor="text1"/>
              </w:rPr>
              <w:t>-GCE</w:t>
            </w:r>
          </w:p>
        </w:tc>
        <w:tc>
          <w:tcPr>
            <w:tcW w:w="2693" w:type="dxa"/>
            <w:tcBorders>
              <w:left w:val="nil"/>
              <w:bottom w:val="nil"/>
              <w:right w:val="nil"/>
            </w:tcBorders>
          </w:tcPr>
          <w:p w14:paraId="50FD78C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-8</w:t>
            </w:r>
            <w:r w:rsidRPr="00C56606">
              <w:rPr>
                <w:rFonts w:ascii="Arial" w:hAnsi="Arial" w:cs="Arial"/>
                <w:color w:val="000000" w:themeColor="text1"/>
              </w:rPr>
              <w:t xml:space="preserve"> – 1.0x10</w:t>
            </w:r>
            <w:r w:rsidRPr="00C56606">
              <w:rPr>
                <w:rFonts w:ascii="Arial" w:hAnsi="Arial" w:cs="Arial"/>
                <w:color w:val="000000" w:themeColor="text1"/>
                <w:vertAlign w:val="superscript"/>
              </w:rPr>
              <w:t>-3</w:t>
            </w:r>
            <w:r w:rsidRPr="00C56606">
              <w:rPr>
                <w:rFonts w:ascii="Arial" w:hAnsi="Arial" w:cs="Arial"/>
                <w:color w:val="000000" w:themeColor="text1"/>
              </w:rPr>
              <w:t xml:space="preserve"> M</w:t>
            </w:r>
          </w:p>
        </w:tc>
        <w:tc>
          <w:tcPr>
            <w:tcW w:w="1701" w:type="dxa"/>
            <w:tcBorders>
              <w:left w:val="nil"/>
              <w:bottom w:val="nil"/>
              <w:right w:val="nil"/>
            </w:tcBorders>
          </w:tcPr>
          <w:p w14:paraId="270FD84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163.96 µg/L</w:t>
            </w:r>
          </w:p>
        </w:tc>
        <w:tc>
          <w:tcPr>
            <w:tcW w:w="2647" w:type="dxa"/>
            <w:tcBorders>
              <w:left w:val="nil"/>
              <w:bottom w:val="nil"/>
            </w:tcBorders>
          </w:tcPr>
          <w:p w14:paraId="25E87E59"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{"citationID":"g3OfuGpL","properties":{"formattedCitation":"(Xue et al., 2014)","plainCitation":"(Xue et al., 2014)","noteIndex":0},"citationItems":[{"id":127,"uris":["http://zotero.org/users/local/alnDPFsD/items/H2KG235A"],"itemData":{"id":127,"type":"article-journal","abstract":"Poly(caffeic acid) polymer was immobilized onto the surface of a glassy carbon electrode via electropolymerization. Voltammetry shows a signal related to the two-electron oxidation of the immobilized hydroquinone groups in the caffeic acid monomer units. The modified electrode in aqueous solution shows complexation of the electrogenerated o-quinone species with melamine thus allowing in the electrochemical detection of melamine by recording the shift in potential of the oxidation signal of the polymer. Melamine detection was investigated in pure aqueous solutions and in the presence of milk powder solutions and the proposed analytical method of melamine detection in milk powder was applied successfully with an average recovery of ca. (91±7.9)%.","container-title":"Electroanalysis","DOI":"10.1002/elan.201400166","ISSN":"1521-4109","issue":"7","language":"en","license":"© 2014 WILEY-VCH Verlag GmbH &amp; Co. KGaA, Weinheim","note":"_eprint: https://onlinelibrary.wiley.com/doi/pdf/10.1002/elan.201400166","page":"1454-1460","source":"Wiley Online Library","title":"Electrochemical Detection of Melamine","volume":"26","author":[{"family":"Xue","given":"J."},{"family":"Lee","given":"P. T."},{"family":"Compton","given":"R. G."}],"issued":{"date-parts":[["2014"]]}}}],"schema":"https://github.com/citation-style-language/schema/raw/master/csl-citation.json"}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(Xue et al., 2014)</w:t>
            </w:r>
            <w:r w:rsidRPr="0079189C">
              <w:rPr>
                <w:rFonts w:ascii="Arial" w:hAnsi="Arial" w:cs="Arial"/>
                <w:b/>
                <w:bCs/>
                <w:color w:val="000000" w:themeColor="text1"/>
              </w:rPr>
              <w:fldChar w:fldCharType="end"/>
            </w:r>
          </w:p>
        </w:tc>
      </w:tr>
      <w:tr w:rsidR="00C56606" w:rsidRPr="00C56606" w14:paraId="7345AF2B" w14:textId="77777777" w:rsidTr="006A52C0">
        <w:tc>
          <w:tcPr>
            <w:tcW w:w="1985" w:type="dxa"/>
            <w:tcBorders>
              <w:top w:val="nil"/>
              <w:bottom w:val="nil"/>
              <w:right w:val="nil"/>
            </w:tcBorders>
          </w:tcPr>
          <w:p w14:paraId="3F118122"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OMC/GCE</w:t>
            </w:r>
          </w:p>
        </w:tc>
        <w:tc>
          <w:tcPr>
            <w:tcW w:w="2693" w:type="dxa"/>
            <w:tcBorders>
              <w:top w:val="nil"/>
              <w:left w:val="nil"/>
              <w:bottom w:val="nil"/>
              <w:right w:val="nil"/>
            </w:tcBorders>
          </w:tcPr>
          <w:p w14:paraId="1D93D4F6"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-8</w:t>
            </w:r>
            <w:r w:rsidRPr="00C56606">
              <w:rPr>
                <w:rFonts w:ascii="Arial" w:hAnsi="Arial" w:cs="Arial"/>
                <w:color w:val="000000" w:themeColor="text1"/>
              </w:rPr>
              <w:t xml:space="preserve"> – 2.0x10</w:t>
            </w:r>
            <w:r w:rsidRPr="00C56606">
              <w:rPr>
                <w:rFonts w:ascii="Arial" w:hAnsi="Arial" w:cs="Arial"/>
                <w:color w:val="000000" w:themeColor="text1"/>
                <w:vertAlign w:val="superscript"/>
              </w:rPr>
              <w:t>-5</w:t>
            </w:r>
            <w:r w:rsidRPr="00C56606">
              <w:rPr>
                <w:rFonts w:ascii="Arial" w:hAnsi="Arial" w:cs="Arial"/>
                <w:color w:val="000000" w:themeColor="text1"/>
              </w:rPr>
              <w:t xml:space="preserve"> M</w:t>
            </w:r>
          </w:p>
        </w:tc>
        <w:tc>
          <w:tcPr>
            <w:tcW w:w="1701" w:type="dxa"/>
            <w:tcBorders>
              <w:top w:val="nil"/>
              <w:left w:val="nil"/>
              <w:bottom w:val="nil"/>
              <w:right w:val="nil"/>
            </w:tcBorders>
          </w:tcPr>
          <w:p w14:paraId="4B5DB284"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0.252 µg/L</w:t>
            </w:r>
          </w:p>
        </w:tc>
        <w:tc>
          <w:tcPr>
            <w:tcW w:w="2647" w:type="dxa"/>
            <w:tcBorders>
              <w:top w:val="nil"/>
              <w:left w:val="nil"/>
              <w:bottom w:val="nil"/>
            </w:tcBorders>
          </w:tcPr>
          <w:p w14:paraId="649640ED"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{"citationID":"W8wtG1zM","properties":{"formattedCitation":"(Guo et al., 2018)","plainCitation":"(Guo et al., 2018)","noteIndex":0},"citationItems":[{"id":28,"uris":["http://zotero.org/users/local/alnDPFsD/items/JZQ5ZUE9"],"itemData":{"id":28,"type":"article-journal","container-title":"Food Analytical Methods","DOI":"10.1007/s12161-017-1025-9","ISSN":"1936-9751, 1936-976X","issue":"2","language":"en","page":"546-555","source":"CrossRef","title":"A Electrochemical Sensor for Melamine Detection Based on Copper-Melamine Complex Using OMC Modified Glassy Carbon Electrode","volume":"11","author":[{"family":"Guo","given":"Zhuo"},{"family":"Zhao","given":"Yang-ting"},{"family":"Li","given":"Ya-hui"},{"family":"Bao","given":"Tong"},{"family":"Sun","given":"Tian-shuai"},{"family":"Li","given":"Dong-di"},{"family":"Luo","given":"Xian-ke"},{"family":"Fan","given":"Hong-tao"}],"issued":{"date-parts":[["2018",2]]}}}],"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(Guo et al., 2018)</w:t>
            </w:r>
            <w:r w:rsidRPr="0079189C">
              <w:rPr>
                <w:rFonts w:ascii="Arial" w:hAnsi="Arial" w:cs="Arial"/>
                <w:b/>
                <w:bCs/>
                <w:color w:val="000000" w:themeColor="text1"/>
              </w:rPr>
              <w:fldChar w:fldCharType="end"/>
            </w:r>
          </w:p>
        </w:tc>
      </w:tr>
      <w:tr w:rsidR="00C56606" w:rsidRPr="00C56606" w14:paraId="09CB88AD" w14:textId="77777777" w:rsidTr="006A52C0">
        <w:tc>
          <w:tcPr>
            <w:tcW w:w="1985" w:type="dxa"/>
            <w:tcBorders>
              <w:top w:val="nil"/>
              <w:bottom w:val="nil"/>
              <w:right w:val="nil"/>
            </w:tcBorders>
          </w:tcPr>
          <w:p w14:paraId="535DF41D" w14:textId="77777777" w:rsidR="00C30CAD" w:rsidRPr="00C56606" w:rsidRDefault="00C30CAD" w:rsidP="006A52C0">
            <w:pPr>
              <w:spacing w:line="360" w:lineRule="auto"/>
              <w:jc w:val="both"/>
              <w:rPr>
                <w:rFonts w:ascii="Arial" w:hAnsi="Arial" w:cs="Arial"/>
                <w:color w:val="000000" w:themeColor="text1"/>
              </w:rPr>
            </w:pPr>
            <w:proofErr w:type="spellStart"/>
            <w:r w:rsidRPr="00C56606">
              <w:rPr>
                <w:rFonts w:ascii="Arial" w:hAnsi="Arial" w:cs="Arial"/>
                <w:color w:val="000000" w:themeColor="text1"/>
              </w:rPr>
              <w:t>Au@PANI</w:t>
            </w:r>
            <w:proofErr w:type="spellEnd"/>
            <w:r w:rsidRPr="00C56606">
              <w:rPr>
                <w:rFonts w:ascii="Arial" w:hAnsi="Arial" w:cs="Arial"/>
                <w:color w:val="000000" w:themeColor="text1"/>
              </w:rPr>
              <w:t>/GCE</w:t>
            </w:r>
          </w:p>
        </w:tc>
        <w:tc>
          <w:tcPr>
            <w:tcW w:w="2693" w:type="dxa"/>
            <w:tcBorders>
              <w:top w:val="nil"/>
              <w:left w:val="nil"/>
              <w:bottom w:val="nil"/>
              <w:right w:val="nil"/>
            </w:tcBorders>
          </w:tcPr>
          <w:p w14:paraId="566AE12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-11</w:t>
            </w:r>
            <w:r w:rsidRPr="00C56606">
              <w:rPr>
                <w:rFonts w:ascii="Arial" w:hAnsi="Arial" w:cs="Arial"/>
                <w:color w:val="000000" w:themeColor="text1"/>
              </w:rPr>
              <w:t xml:space="preserve"> – 1.0x10</w:t>
            </w:r>
            <w:r w:rsidRPr="00C56606">
              <w:rPr>
                <w:rFonts w:ascii="Arial" w:hAnsi="Arial" w:cs="Arial"/>
                <w:color w:val="000000" w:themeColor="text1"/>
                <w:vertAlign w:val="superscript"/>
              </w:rPr>
              <w:t>-5</w:t>
            </w:r>
            <w:r w:rsidRPr="00C56606">
              <w:rPr>
                <w:rFonts w:ascii="Arial" w:hAnsi="Arial" w:cs="Arial"/>
                <w:color w:val="000000" w:themeColor="text1"/>
              </w:rPr>
              <w:t xml:space="preserve"> M</w:t>
            </w:r>
          </w:p>
        </w:tc>
        <w:tc>
          <w:tcPr>
            <w:tcW w:w="1701" w:type="dxa"/>
            <w:tcBorders>
              <w:top w:val="nil"/>
              <w:left w:val="nil"/>
              <w:bottom w:val="nil"/>
              <w:right w:val="nil"/>
            </w:tcBorders>
          </w:tcPr>
          <w:p w14:paraId="5D4CDFEC"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1.75x10</w:t>
            </w:r>
            <w:r w:rsidRPr="00C56606">
              <w:rPr>
                <w:rFonts w:ascii="Arial" w:hAnsi="Arial" w:cs="Arial"/>
                <w:color w:val="000000" w:themeColor="text1"/>
                <w:vertAlign w:val="superscript"/>
              </w:rPr>
              <w:t>-4</w:t>
            </w:r>
            <w:r w:rsidRPr="00C56606">
              <w:rPr>
                <w:rFonts w:ascii="Arial" w:hAnsi="Arial" w:cs="Arial"/>
                <w:color w:val="000000" w:themeColor="text1"/>
              </w:rPr>
              <w:t xml:space="preserve"> µg/L</w:t>
            </w:r>
          </w:p>
        </w:tc>
        <w:tc>
          <w:tcPr>
            <w:tcW w:w="2647" w:type="dxa"/>
            <w:tcBorders>
              <w:top w:val="nil"/>
              <w:left w:val="nil"/>
              <w:bottom w:val="nil"/>
            </w:tcBorders>
          </w:tcPr>
          <w:p w14:paraId="69374E81"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{"citationID":"umMG0ygB","properties":{"formattedCitation":"(Rao et al., 2017)","plainCitation":"(Rao et al., 2017)","noteIndex":0},"citationItems":[{"id":130,"uris":["http://zotero.org/users/local/alnDPFsD/items/RWUV2N4Z"],"itemData":{"id":130,"type":"article-journal","container-title":"Biosensors and Bioelectronics","DOI":"10.1016/j.bios.2016.09.074","ISSN":"09565663","journalAbbreviation":"Biosensors and Bioelectronics","language":"en","page":"1029-1035","source":"DOI.org (Crossref)","title":"A novel electrochemical sensor based on Au@PANI composites film modified glassy carbon electrode binding molecular imprinting technique for the determination of melamine","volume":"87","author":[{"family":"Rao","given":"Hanbing"},{"family":"Chen","given":"Min"},{"family":"Ge","given":"Hongwei"},{"family":"Lu","given":"Zhiwei"},{"family":"Liu","given":"Xin"},{"family":"Zou","given":"Ping"},{"family":"Wang","given":"Xianxiang"},{"family":"He","given":"Hua"},{"family":"Zeng","given":"Xianyin"},{"family":"Wang","given":"Yanying"}],"issued":{"date-parts":[["2017",1]]}}}],"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(Rao et al., 2017)</w:t>
            </w:r>
            <w:r w:rsidRPr="0079189C">
              <w:rPr>
                <w:rFonts w:ascii="Arial" w:hAnsi="Arial" w:cs="Arial"/>
                <w:b/>
                <w:bCs/>
                <w:color w:val="000000" w:themeColor="text1"/>
              </w:rPr>
              <w:fldChar w:fldCharType="end"/>
            </w:r>
          </w:p>
        </w:tc>
      </w:tr>
      <w:tr w:rsidR="00C56606" w:rsidRPr="00C56606" w14:paraId="47BDD9B0" w14:textId="77777777" w:rsidTr="006A52C0">
        <w:tc>
          <w:tcPr>
            <w:tcW w:w="1985" w:type="dxa"/>
            <w:tcBorders>
              <w:top w:val="nil"/>
              <w:bottom w:val="nil"/>
              <w:right w:val="nil"/>
            </w:tcBorders>
          </w:tcPr>
          <w:p w14:paraId="60471835"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MIP/GCE</w:t>
            </w:r>
          </w:p>
        </w:tc>
        <w:tc>
          <w:tcPr>
            <w:tcW w:w="2693" w:type="dxa"/>
            <w:tcBorders>
              <w:top w:val="nil"/>
              <w:left w:val="nil"/>
              <w:bottom w:val="nil"/>
              <w:right w:val="nil"/>
            </w:tcBorders>
          </w:tcPr>
          <w:p w14:paraId="22788E6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4.0x10</w:t>
            </w:r>
            <w:r w:rsidRPr="00C56606">
              <w:rPr>
                <w:rFonts w:ascii="Arial" w:hAnsi="Arial" w:cs="Arial"/>
                <w:color w:val="000000" w:themeColor="text1"/>
                <w:vertAlign w:val="superscript"/>
              </w:rPr>
              <w:t>-6</w:t>
            </w:r>
            <w:r w:rsidRPr="00C56606">
              <w:rPr>
                <w:rFonts w:ascii="Arial" w:hAnsi="Arial" w:cs="Arial"/>
                <w:color w:val="000000" w:themeColor="text1"/>
              </w:rPr>
              <w:t xml:space="preserve"> – 4.5x10</w:t>
            </w:r>
            <w:r w:rsidRPr="00C56606">
              <w:rPr>
                <w:rFonts w:ascii="Arial" w:hAnsi="Arial" w:cs="Arial"/>
                <w:color w:val="000000" w:themeColor="text1"/>
                <w:vertAlign w:val="superscript"/>
              </w:rPr>
              <w:t>-4</w:t>
            </w:r>
            <w:r w:rsidRPr="00C56606">
              <w:rPr>
                <w:rFonts w:ascii="Arial" w:hAnsi="Arial" w:cs="Arial"/>
                <w:color w:val="000000" w:themeColor="text1"/>
              </w:rPr>
              <w:t xml:space="preserve"> M</w:t>
            </w:r>
          </w:p>
        </w:tc>
        <w:tc>
          <w:tcPr>
            <w:tcW w:w="1701" w:type="dxa"/>
            <w:tcBorders>
              <w:top w:val="nil"/>
              <w:left w:val="nil"/>
              <w:bottom w:val="nil"/>
              <w:right w:val="nil"/>
            </w:tcBorders>
          </w:tcPr>
          <w:p w14:paraId="05FC0DDE"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45.4 µg/L</w:t>
            </w:r>
          </w:p>
        </w:tc>
        <w:tc>
          <w:tcPr>
            <w:tcW w:w="2647" w:type="dxa"/>
            <w:tcBorders>
              <w:top w:val="nil"/>
              <w:left w:val="nil"/>
              <w:bottom w:val="nil"/>
            </w:tcBorders>
          </w:tcPr>
          <w:p w14:paraId="31ACA835"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{"citationID":"7RSBn3aX","properties":{"formattedCitation":"(Y. T. Liu et al., 2011)","plainCitation":"(Y. T. Liu et al., 2011)","noteIndex":0},"citationItems":[{"id":131,"uris":["http://zotero.org/users/local/alnDPFsD/items/628ZLBDB"],"itemData":{"id":131,"type":"article-journal","container-title":"Electrochimica Acta","DOI":"10.1016/j.electacta.2011.02.088","ISSN":"00134686","issue":"12","journalAbbreviation":"Electrochimica Acta","language":"en","license":"https://www.elsevier.com/tdm/userlicense/1.0/","page":"4595-4602","source":"DOI.org (Crossref)","title":"Electrochemical sensor based on a poly(para-aminobenzoic acid) film modified glassy carbon electrode for the determination of melamine in milk","volume":"56","author":[{"family":"Liu","given":"Ya Ting"},{"family":"Deng","given":"Jian"},{"family":"Xiao","given":"Xi Lin"},{"family":"Ding","given":"Li"},{"family":"Yuan","given":"Ya Li"},{"family":"Li","given":"Hui"},{"family":"Li","given":"Xiu Ting"},{"family":"Yan","given":"Xiao Na"},{"family":"Wang","given":"Li Li"}],"issued":{"date-parts":[["2011",4]]}}}],"schema":"https://github.com/citation-style-language/schema/raw/master/csl-citation.json"}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(Y. T. Liu et al., 2011)</w:t>
            </w:r>
            <w:r w:rsidRPr="0079189C">
              <w:rPr>
                <w:rFonts w:ascii="Arial" w:hAnsi="Arial" w:cs="Arial"/>
                <w:b/>
                <w:bCs/>
                <w:color w:val="000000" w:themeColor="text1"/>
              </w:rPr>
              <w:fldChar w:fldCharType="end"/>
            </w:r>
          </w:p>
        </w:tc>
      </w:tr>
      <w:tr w:rsidR="00C56606" w:rsidRPr="00C56606" w14:paraId="249501FE" w14:textId="77777777" w:rsidTr="006A52C0">
        <w:tc>
          <w:tcPr>
            <w:tcW w:w="1985" w:type="dxa"/>
            <w:tcBorders>
              <w:top w:val="nil"/>
              <w:bottom w:val="nil"/>
              <w:right w:val="nil"/>
            </w:tcBorders>
          </w:tcPr>
          <w:p w14:paraId="59550602"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GCE</w:t>
            </w:r>
          </w:p>
        </w:tc>
        <w:tc>
          <w:tcPr>
            <w:tcW w:w="2693" w:type="dxa"/>
            <w:tcBorders>
              <w:top w:val="nil"/>
              <w:left w:val="nil"/>
              <w:bottom w:val="nil"/>
              <w:right w:val="nil"/>
            </w:tcBorders>
          </w:tcPr>
          <w:p w14:paraId="2DD4691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-8</w:t>
            </w:r>
            <w:r w:rsidRPr="00C56606">
              <w:rPr>
                <w:rFonts w:ascii="Arial" w:hAnsi="Arial" w:cs="Arial"/>
                <w:color w:val="000000" w:themeColor="text1"/>
              </w:rPr>
              <w:t xml:space="preserve"> – 2.0x10</w:t>
            </w:r>
            <w:r w:rsidRPr="00C56606">
              <w:rPr>
                <w:rFonts w:ascii="Arial" w:hAnsi="Arial" w:cs="Arial"/>
                <w:color w:val="000000" w:themeColor="text1"/>
                <w:vertAlign w:val="superscript"/>
              </w:rPr>
              <w:t>-5</w:t>
            </w:r>
            <w:r w:rsidRPr="00C56606">
              <w:rPr>
                <w:rFonts w:ascii="Arial" w:hAnsi="Arial" w:cs="Arial"/>
                <w:color w:val="000000" w:themeColor="text1"/>
              </w:rPr>
              <w:t xml:space="preserve"> M</w:t>
            </w:r>
          </w:p>
        </w:tc>
        <w:tc>
          <w:tcPr>
            <w:tcW w:w="1701" w:type="dxa"/>
            <w:tcBorders>
              <w:top w:val="nil"/>
              <w:left w:val="nil"/>
              <w:bottom w:val="nil"/>
              <w:right w:val="nil"/>
            </w:tcBorders>
          </w:tcPr>
          <w:p w14:paraId="48D0ACE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0.189 µg/L</w:t>
            </w:r>
          </w:p>
        </w:tc>
        <w:tc>
          <w:tcPr>
            <w:tcW w:w="2647" w:type="dxa"/>
            <w:tcBorders>
              <w:top w:val="nil"/>
              <w:left w:val="nil"/>
              <w:bottom w:val="nil"/>
            </w:tcBorders>
          </w:tcPr>
          <w:p w14:paraId="088655C4"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{"citationID":"Atw78wnP","properties":{"formattedCitation":"(Li et al., 2012)","plainCitation":"(Li et al., 2012)","noteIndex":0},"citationItems":[{"id":100,"uris":["http://zotero.org/users/local/alnDPFsD/items/2CM4M5MS"],"itemData":{"id":100,"type":"article-journal","abstract":"A novel and convenient electrochemical method has been developed for sensitive determination of melamine (MEL) using ascorbic acid (AA) as the recognition element. The working electrode employed in this method was modified with the nanocomposite of hydroxyapatite/carbon nanotubes to enhance the current signal of recognition element. The interaction between MEL and AA was investigated by fourier transform infrared spectroscopy and cyclic voltammetry, and the experimental results indicated that hydrogen bonding was formed between MEL and AA. Because of the existing hydrogen bonding and electrostatic interaction, the anodic peak current of AA was decreased obviously while the non-electroactive MEL added in. It illustrated that the MEL acted as an inhibitor to the oxidation of AA and the decreasing signals can be used to detect MEL. Under the optimal conditions, the decrease in anodic peak current of AA was proportional to the MEL concentrations ranging from 10 to 350 nM, with a detection limit of 1.5 nM. Finally this newly-proposed method was successfully employed to detect MEL in infant formula and milk, and good recovery was achieved.","container-title":"Bulletin of the Korean Chemical Society","DOI":"10.5012/bkcs.2012.33.8.2499","ISSN":"0253-2964","issue":"8","language":"eng","note":"publisher: Korean Chemical Society","page":"2499-2507","source":"koreascience.kr","title":"A Novel Electrochemical Method for Sensitive Detection of Melamine in Infant Formula and Milk using Ascorbic Acid as Recognition Element","volume":"33","author":[{"family":"Li","given":"Junhua"},{"family":"Kuang","given":"Daizhi"},{"family":"Feng","given":"Yonglan"},{"family":"Zhang","given":"Fuxing"},{"family":"Xu","given":"Zhifeng"},{"family":"Liu","given":"Mengqin"}],"issued":{"date-parts":[["2012"]]}}}],"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(Li et al., 2012)</w:t>
            </w:r>
            <w:r w:rsidRPr="0079189C">
              <w:rPr>
                <w:rFonts w:ascii="Arial" w:hAnsi="Arial" w:cs="Arial"/>
                <w:b/>
                <w:bCs/>
                <w:color w:val="000000" w:themeColor="text1"/>
              </w:rPr>
              <w:fldChar w:fldCharType="end"/>
            </w:r>
          </w:p>
        </w:tc>
      </w:tr>
      <w:tr w:rsidR="00C56606" w:rsidRPr="00C56606" w14:paraId="70C55739" w14:textId="77777777" w:rsidTr="006A52C0">
        <w:tc>
          <w:tcPr>
            <w:tcW w:w="1985" w:type="dxa"/>
            <w:tcBorders>
              <w:top w:val="nil"/>
              <w:bottom w:val="nil"/>
              <w:right w:val="nil"/>
            </w:tcBorders>
          </w:tcPr>
          <w:p w14:paraId="037A3330"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AuNPs/</w:t>
            </w:r>
            <w:proofErr w:type="spellStart"/>
            <w:r w:rsidRPr="00C56606">
              <w:rPr>
                <w:rFonts w:ascii="Arial" w:hAnsi="Arial" w:cs="Arial"/>
                <w:color w:val="000000" w:themeColor="text1"/>
              </w:rPr>
              <w:t>rGO</w:t>
            </w:r>
            <w:proofErr w:type="spellEnd"/>
            <w:r w:rsidRPr="00C56606">
              <w:rPr>
                <w:rFonts w:ascii="Arial" w:hAnsi="Arial" w:cs="Arial"/>
                <w:color w:val="000000" w:themeColor="text1"/>
              </w:rPr>
              <w:t>/GCE</w:t>
            </w:r>
          </w:p>
        </w:tc>
        <w:tc>
          <w:tcPr>
            <w:tcW w:w="2693" w:type="dxa"/>
            <w:tcBorders>
              <w:top w:val="nil"/>
              <w:left w:val="nil"/>
              <w:bottom w:val="nil"/>
              <w:right w:val="nil"/>
            </w:tcBorders>
          </w:tcPr>
          <w:p w14:paraId="020A579D"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5.0x10</w:t>
            </w:r>
            <w:r w:rsidRPr="00C56606">
              <w:rPr>
                <w:rFonts w:ascii="Arial" w:hAnsi="Arial" w:cs="Arial"/>
                <w:color w:val="000000" w:themeColor="text1"/>
                <w:vertAlign w:val="superscript"/>
              </w:rPr>
              <w:t>-9</w:t>
            </w:r>
            <w:r w:rsidRPr="00C56606">
              <w:rPr>
                <w:rFonts w:ascii="Arial" w:hAnsi="Arial" w:cs="Arial"/>
                <w:color w:val="000000" w:themeColor="text1"/>
              </w:rPr>
              <w:t xml:space="preserve"> – 5.0x10</w:t>
            </w:r>
            <w:r w:rsidRPr="00C56606">
              <w:rPr>
                <w:rFonts w:ascii="Arial" w:hAnsi="Arial" w:cs="Arial"/>
                <w:color w:val="000000" w:themeColor="text1"/>
                <w:vertAlign w:val="superscript"/>
              </w:rPr>
              <w:t>-8</w:t>
            </w:r>
            <w:r w:rsidRPr="00C56606">
              <w:rPr>
                <w:rFonts w:ascii="Arial" w:hAnsi="Arial" w:cs="Arial"/>
                <w:color w:val="000000" w:themeColor="text1"/>
              </w:rPr>
              <w:t xml:space="preserve"> M</w:t>
            </w:r>
          </w:p>
        </w:tc>
        <w:tc>
          <w:tcPr>
            <w:tcW w:w="1701" w:type="dxa"/>
            <w:tcBorders>
              <w:top w:val="nil"/>
              <w:left w:val="nil"/>
              <w:bottom w:val="nil"/>
              <w:right w:val="nil"/>
            </w:tcBorders>
          </w:tcPr>
          <w:p w14:paraId="61CFC4B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0.126 µg/L</w:t>
            </w:r>
          </w:p>
        </w:tc>
        <w:tc>
          <w:tcPr>
            <w:tcW w:w="2647" w:type="dxa"/>
            <w:tcBorders>
              <w:top w:val="nil"/>
              <w:left w:val="nil"/>
              <w:bottom w:val="nil"/>
            </w:tcBorders>
          </w:tcPr>
          <w:p w14:paraId="7ABAF13B"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{"citationID":"XqQJ8mOL","properties":{"formattedCitation":"(N. Chen et al., 2015)","plainCitation":"(N. Chen et al., 2015)","noteIndex":0},"citationItems":[{"id":135,"uris":["http://zotero.org/users/local/alnDPFsD/items/52SPBX5F"],"itemData":{"id":135,"type":"article-journal","abstract":"We describe an electrochemical sensor for melamine based on a glassy carbon electrode (GCE) modified with reduced graphene oxide that was decorated with gold nanoparticles (AuNP/rGO). The AuNPs/rGO nanocomposite was synthesized by co-reduction of Au(III) and graphene oxide and characterized by transmission electron microscopy, Raman spectroscopy, X-ray diffraction and X-ray photoelectron spectroscopy. The response of the modified GCE to melamine was investigated by using hexacyanoferrate as an electrochemical reporter. It is found that the electrochemical response to hexacyanoferrate is increasingly suppressed by increasing concentration of melamine. This is attributed to competitive adsorption of melamine at the AuNP/rGO composite through the interaction between the amino groups of melamine and the AuNPs. The presence of rGO, in turn, provides a platform for a more uniform distribution of the AuNPs and enhances the electron transfer rate of the redox reaction. The findings were used to develop a sensitive method for the determination of melamine. Under optimized conditions, the redox peak current of hexacyanoferrate at a working voltage of 171 mV (vs. SCE) is linearly related to the concentration of melamine in 5.0 to 50 nM range. The method was successfully applied to the determination of melamine in food contact materials.","container-title":"Microchimica Acta","DOI":"10.1007/s00604-015-1533-5","ISSN":"1436-5073","issue":"11","journalAbbreviation":"Microchim Acta","language":"en","page":"1967-1975","source":"Springer Link","title":"Determination of melamine in food contact materials using an electrode modified with gold nanoparticles and reduced graphene oxide","volume":"182","author":[{"family":"Chen","given":"Ningning"},{"family":"Cheng","given":"Yuxiao"},{"family":"Li","given":"Chen"},{"family":"Zhang","given":"Cuiling"},{"family":"Zhao","given":"Kai"},{"family":"Xian","given":"Yuezhong"}],"issued":{"date-parts":[["2015",8,1]]}}}],"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(N. Chen et al., 2015)</w:t>
            </w:r>
            <w:r w:rsidRPr="0079189C">
              <w:rPr>
                <w:rFonts w:ascii="Arial" w:hAnsi="Arial" w:cs="Arial"/>
                <w:b/>
                <w:bCs/>
                <w:color w:val="000000" w:themeColor="text1"/>
              </w:rPr>
              <w:fldChar w:fldCharType="end"/>
            </w:r>
          </w:p>
        </w:tc>
      </w:tr>
      <w:tr w:rsidR="00C56606" w:rsidRPr="00C56606" w14:paraId="67975BDB" w14:textId="77777777" w:rsidTr="006A52C0">
        <w:tc>
          <w:tcPr>
            <w:tcW w:w="1985" w:type="dxa"/>
            <w:tcBorders>
              <w:top w:val="nil"/>
              <w:bottom w:val="nil"/>
              <w:right w:val="nil"/>
            </w:tcBorders>
          </w:tcPr>
          <w:p w14:paraId="5DB00A09"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d(T)</w:t>
            </w:r>
            <w:r w:rsidRPr="00C56606">
              <w:rPr>
                <w:rFonts w:ascii="Arial" w:hAnsi="Arial" w:cs="Arial"/>
                <w:color w:val="000000" w:themeColor="text1"/>
                <w:vertAlign w:val="subscript"/>
              </w:rPr>
              <w:t>20</w:t>
            </w:r>
            <w:r w:rsidRPr="00C56606">
              <w:rPr>
                <w:rFonts w:ascii="Arial" w:hAnsi="Arial" w:cs="Arial"/>
                <w:color w:val="000000" w:themeColor="text1"/>
              </w:rPr>
              <w:t>/Au</w:t>
            </w:r>
          </w:p>
        </w:tc>
        <w:tc>
          <w:tcPr>
            <w:tcW w:w="2693" w:type="dxa"/>
            <w:tcBorders>
              <w:top w:val="nil"/>
              <w:left w:val="nil"/>
              <w:bottom w:val="nil"/>
              <w:right w:val="nil"/>
            </w:tcBorders>
          </w:tcPr>
          <w:p w14:paraId="457DDD8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3.9x10</w:t>
            </w:r>
            <w:r w:rsidRPr="00C56606">
              <w:rPr>
                <w:rFonts w:ascii="Arial" w:hAnsi="Arial" w:cs="Arial"/>
                <w:color w:val="000000" w:themeColor="text1"/>
                <w:vertAlign w:val="superscript"/>
              </w:rPr>
              <w:t>-8</w:t>
            </w:r>
            <w:r w:rsidRPr="00C56606">
              <w:rPr>
                <w:rFonts w:ascii="Arial" w:hAnsi="Arial" w:cs="Arial"/>
                <w:color w:val="000000" w:themeColor="text1"/>
              </w:rPr>
              <w:t xml:space="preserve"> – 3.5x10</w:t>
            </w:r>
            <w:r w:rsidRPr="00C56606">
              <w:rPr>
                <w:rFonts w:ascii="Arial" w:hAnsi="Arial" w:cs="Arial"/>
                <w:color w:val="000000" w:themeColor="text1"/>
                <w:vertAlign w:val="superscript"/>
              </w:rPr>
              <w:t>-7</w:t>
            </w:r>
            <w:r w:rsidRPr="00C56606">
              <w:rPr>
                <w:rFonts w:ascii="Arial" w:hAnsi="Arial" w:cs="Arial"/>
                <w:color w:val="000000" w:themeColor="text1"/>
              </w:rPr>
              <w:t xml:space="preserve"> M</w:t>
            </w:r>
          </w:p>
        </w:tc>
        <w:tc>
          <w:tcPr>
            <w:tcW w:w="1701" w:type="dxa"/>
            <w:tcBorders>
              <w:top w:val="nil"/>
              <w:left w:val="nil"/>
              <w:bottom w:val="nil"/>
              <w:right w:val="nil"/>
            </w:tcBorders>
          </w:tcPr>
          <w:p w14:paraId="08A7565D"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1.21 µg/L</w:t>
            </w:r>
          </w:p>
        </w:tc>
        <w:tc>
          <w:tcPr>
            <w:tcW w:w="2647" w:type="dxa"/>
            <w:tcBorders>
              <w:top w:val="nil"/>
              <w:left w:val="nil"/>
              <w:bottom w:val="nil"/>
            </w:tcBorders>
          </w:tcPr>
          <w:p w14:paraId="16A8DF9E"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{"citationID":"3qlPNUid","properties":{"formattedCitation":"(Cao et al., 2009)","plainCitation":"(Cao et al., 2009)","noteIndex":0},"citationItems":[{"id":136,"uris":["http://zotero.org/users/local/alnDPFsD/items/EFAKL27L"],"itemData":{"id":136,"type":"article-journal","abstract":"A novel and simple electrochemical method for determination of melamine is developed based on oligonucleotides film modified gold electrodes. The electrochemical probe of ferricyanide was used to investigate the interactions between oligonucleotides and melamine. Results of cyclic voltammetries, differential pulse stripping voltammetries, electrochemical impedance spectrometry and atomic force microscope, proved that melamine might interact with oligonucleotides mainly through electrostatic and hydrogen-bonding interactions. The interactions between oligonucleotides and melamine lead to the increase in the peak currents of ferricyanide, which could be used for electrochemical sensing of melamine. The redox peak currents of ferricyanide were linear with the concentration of melamine in the range from 3.9×10−8 to 3.3×10−6M with a linear coefficiency of 0.990. The detection limit was 9.6×10−9M. The proposed electrochemical biosensor is rapid, convenient and low-cost for effective sensing of melamine. Particularly, the proposed method was applied successfully to the determination of melamine in milk products, and the recovery was 95%.","container-title":"Talanta","DOI":"10.1016/j.talanta.2009.07.006","ISSN":"0039-9140","issue":"2","journalAbbreviation":"Talanta","page":"484-488","source":"ScienceDirect","title":"Electrochemical determination of melamine using oligonucleotides modified gold electrodes","volume":"80","author":[{"family":"Cao","given":"Qian"},{"family":"Zhao","given":"Hong"},{"family":"Zeng","given":"Lixi"},{"family":"Wang","given":"Jian"},{"family":"Wang","given":"Rui"},{"family":"Qiu","given":"Xiaohui"},{"family":"He","given":"Yujian"}],"issued":{"date-parts":[["2009",12,15]]}}}],"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(Cao et al., 2009)</w:t>
            </w:r>
            <w:r w:rsidRPr="0079189C">
              <w:rPr>
                <w:rFonts w:ascii="Arial" w:hAnsi="Arial" w:cs="Arial"/>
                <w:b/>
                <w:bCs/>
                <w:color w:val="000000" w:themeColor="text1"/>
              </w:rPr>
              <w:fldChar w:fldCharType="end"/>
            </w:r>
          </w:p>
        </w:tc>
      </w:tr>
      <w:tr w:rsidR="00C56606" w:rsidRPr="00C56606" w14:paraId="715DF463" w14:textId="77777777" w:rsidTr="006A52C0">
        <w:tc>
          <w:tcPr>
            <w:tcW w:w="1985" w:type="dxa"/>
            <w:tcBorders>
              <w:top w:val="nil"/>
              <w:bottom w:val="nil"/>
              <w:right w:val="nil"/>
            </w:tcBorders>
          </w:tcPr>
          <w:p w14:paraId="34ABC7E3"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DMEs</w:t>
            </w:r>
          </w:p>
        </w:tc>
        <w:tc>
          <w:tcPr>
            <w:tcW w:w="2693" w:type="dxa"/>
            <w:tcBorders>
              <w:top w:val="nil"/>
              <w:left w:val="nil"/>
              <w:bottom w:val="nil"/>
              <w:right w:val="nil"/>
            </w:tcBorders>
          </w:tcPr>
          <w:p w14:paraId="3D201573"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1.0x10</w:t>
            </w:r>
            <w:r w:rsidRPr="00C56606">
              <w:rPr>
                <w:rFonts w:ascii="Arial" w:hAnsi="Arial" w:cs="Arial"/>
                <w:color w:val="000000" w:themeColor="text1"/>
                <w:vertAlign w:val="superscript"/>
              </w:rPr>
              <w:t>-6</w:t>
            </w:r>
            <w:r w:rsidRPr="00C56606">
              <w:rPr>
                <w:rFonts w:ascii="Arial" w:hAnsi="Arial" w:cs="Arial"/>
                <w:color w:val="000000" w:themeColor="text1"/>
              </w:rPr>
              <w:t xml:space="preserve"> – 6.6x10</w:t>
            </w:r>
            <w:r w:rsidRPr="00C56606">
              <w:rPr>
                <w:rFonts w:ascii="Arial" w:hAnsi="Arial" w:cs="Arial"/>
                <w:color w:val="000000" w:themeColor="text1"/>
                <w:vertAlign w:val="superscript"/>
              </w:rPr>
              <w:t>-5</w:t>
            </w:r>
            <w:r w:rsidRPr="00C56606">
              <w:rPr>
                <w:rFonts w:ascii="Arial" w:hAnsi="Arial" w:cs="Arial"/>
                <w:color w:val="000000" w:themeColor="text1"/>
              </w:rPr>
              <w:t xml:space="preserve"> M</w:t>
            </w:r>
          </w:p>
        </w:tc>
        <w:tc>
          <w:tcPr>
            <w:tcW w:w="1701" w:type="dxa"/>
            <w:tcBorders>
              <w:top w:val="nil"/>
              <w:left w:val="nil"/>
              <w:bottom w:val="nil"/>
              <w:right w:val="nil"/>
            </w:tcBorders>
          </w:tcPr>
          <w:p w14:paraId="12E3A948"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37.84 µg/L</w:t>
            </w:r>
          </w:p>
        </w:tc>
        <w:tc>
          <w:tcPr>
            <w:tcW w:w="2647" w:type="dxa"/>
            <w:tcBorders>
              <w:top w:val="nil"/>
              <w:left w:val="nil"/>
              <w:bottom w:val="nil"/>
            </w:tcBorders>
          </w:tcPr>
          <w:p w14:paraId="42E1F417"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{"citationID":"Yk3Hbghy","properties":{"formattedCitation":"(Yilmaz &amp; Yazar, 2012)","plainCitation":"(Yilmaz &amp; Yazar, 2012)","noteIndex":0},"citationItems":[{"id":138,"uris":["http://zotero.org/users/local/alnDPFsD/items/MKBMJ284"],"itemData":{"id":138,"type":"article-journal","abstract":"Melamine made headlines in September 2008 because it was found to be the contaminant responsible for the deaths of several infants and making many more sick. Determination of trace melamine is very important. Therefore, in this work a novel, sensitive and reliable method was developed using differential pulse polarography. The most suitable buffer system was found to be Britton–Robinson (B–R) buffer, pH 11.2. The melamine peak in this medium appeared at about −50 mV, it responded well to standard additions and high reproducibility was obtained. The calibration graph was linear in the concentration range of melamine from 1.0 to 66.4 μM with a correlation coefficient of 0.999. The limit of detection (LOD) and limit of quantification (LOQ) were obtained as 0.3 and 1.0 μM, respectively. The current was characterized as being adsorption-controlled process. The proposed method was successfully applied to the determination of melamine in spiked milk and milk powder. The linear dynamic ranges observed for melamine concentration in milk and milk powder samples were between 1–58 and 10–57 μM, respectively. The sufficiently good recoveries and low standard deviations for the data reflect the high accuracy and precision of proposed differential pulse polarographic method.","container-title":"Food Analytical Methods","DOI":"10.1007/s12161-011-9214-4","ISSN":"1936-976X","issue":"1","journalAbbreviation":"Food Anal. Methods","language":"en","page":"119-125","source":"Springer Link","title":"Determination of Melamine by Differential Pulse Polarography/Application to Milk and Milk Powder","volume":"5","author":[{"family":"Yilmaz","given":"Ümmihan T."},{"family":"Yazar","given":"Zehra"}],"issued":{"date-parts":[["2012",2,1]]}}}],"schema":"https://github.com/citation-style-language/schema/raw/master/csl-citation.json"}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(Yilmaz &amp; Yazar, 2012)</w:t>
            </w:r>
            <w:r w:rsidRPr="0079189C">
              <w:rPr>
                <w:rFonts w:ascii="Arial" w:hAnsi="Arial" w:cs="Arial"/>
                <w:b/>
                <w:bCs/>
                <w:color w:val="000000" w:themeColor="text1"/>
              </w:rPr>
              <w:fldChar w:fldCharType="end"/>
            </w:r>
          </w:p>
        </w:tc>
      </w:tr>
      <w:tr w:rsidR="00C56606" w:rsidRPr="00C56606" w14:paraId="1EAB5A13" w14:textId="77777777" w:rsidTr="006A52C0">
        <w:tc>
          <w:tcPr>
            <w:tcW w:w="1985" w:type="dxa"/>
            <w:tcBorders>
              <w:top w:val="nil"/>
              <w:bottom w:val="nil"/>
              <w:right w:val="nil"/>
            </w:tcBorders>
          </w:tcPr>
          <w:p w14:paraId="3C757898" w14:textId="77777777" w:rsidR="00C30CAD" w:rsidRPr="00C56606" w:rsidRDefault="00C30CAD" w:rsidP="006A52C0">
            <w:pPr>
              <w:spacing w:line="360" w:lineRule="auto"/>
              <w:jc w:val="both"/>
              <w:rPr>
                <w:rFonts w:ascii="Arial" w:hAnsi="Arial" w:cs="Arial"/>
                <w:color w:val="000000" w:themeColor="text1"/>
              </w:rPr>
            </w:pPr>
            <w:r w:rsidRPr="00C56606">
              <w:rPr>
                <w:rFonts w:ascii="Arial" w:hAnsi="Arial" w:cs="Arial"/>
                <w:color w:val="000000" w:themeColor="text1"/>
              </w:rPr>
              <w:t>MIPs/GCE</w:t>
            </w:r>
          </w:p>
        </w:tc>
        <w:tc>
          <w:tcPr>
            <w:tcW w:w="2693" w:type="dxa"/>
            <w:tcBorders>
              <w:top w:val="nil"/>
              <w:left w:val="nil"/>
              <w:bottom w:val="nil"/>
              <w:right w:val="nil"/>
            </w:tcBorders>
          </w:tcPr>
          <w:p w14:paraId="01A0382A"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6.3x10</w:t>
            </w:r>
            <w:r w:rsidRPr="00C56606">
              <w:rPr>
                <w:rFonts w:ascii="Arial" w:hAnsi="Arial" w:cs="Arial"/>
                <w:color w:val="000000" w:themeColor="text1"/>
                <w:vertAlign w:val="superscript"/>
              </w:rPr>
              <w:t>-7</w:t>
            </w:r>
            <w:r w:rsidRPr="00C56606">
              <w:rPr>
                <w:rFonts w:ascii="Arial" w:hAnsi="Arial" w:cs="Arial"/>
                <w:color w:val="000000" w:themeColor="text1"/>
              </w:rPr>
              <w:t xml:space="preserve"> – 1.1x10</w:t>
            </w:r>
            <w:r w:rsidRPr="00C56606">
              <w:rPr>
                <w:rFonts w:ascii="Arial" w:hAnsi="Arial" w:cs="Arial"/>
                <w:color w:val="000000" w:themeColor="text1"/>
                <w:vertAlign w:val="superscript"/>
              </w:rPr>
              <w:t>-4</w:t>
            </w:r>
            <w:r w:rsidRPr="00C56606">
              <w:rPr>
                <w:rFonts w:ascii="Arial" w:hAnsi="Arial" w:cs="Arial"/>
                <w:color w:val="000000" w:themeColor="text1"/>
              </w:rPr>
              <w:t xml:space="preserve"> M</w:t>
            </w:r>
          </w:p>
        </w:tc>
        <w:tc>
          <w:tcPr>
            <w:tcW w:w="1701" w:type="dxa"/>
            <w:tcBorders>
              <w:top w:val="nil"/>
              <w:left w:val="nil"/>
              <w:bottom w:val="nil"/>
              <w:right w:val="nil"/>
            </w:tcBorders>
          </w:tcPr>
          <w:p w14:paraId="7A9747AB"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8.58 µg/L</w:t>
            </w:r>
          </w:p>
        </w:tc>
        <w:tc>
          <w:tcPr>
            <w:tcW w:w="2647" w:type="dxa"/>
            <w:tcBorders>
              <w:top w:val="nil"/>
              <w:left w:val="nil"/>
              <w:bottom w:val="nil"/>
            </w:tcBorders>
          </w:tcPr>
          <w:p w14:paraId="18A575F8" w14:textId="77777777" w:rsidR="00C30CAD" w:rsidRPr="0079189C" w:rsidRDefault="00C30CAD" w:rsidP="006A52C0">
            <w:pPr>
              <w:spacing w:line="360" w:lineRule="auto"/>
              <w:jc w:val="center"/>
              <w:rPr>
                <w:rFonts w:ascii="Arial" w:hAnsi="Arial" w:cs="Arial"/>
                <w:b/>
                <w:bCs/>
                <w:color w:val="000000" w:themeColor="text1"/>
              </w:rPr>
            </w:pPr>
            <w:r w:rsidRPr="0079189C">
              <w:rPr>
                <w:rFonts w:ascii="Arial" w:hAnsi="Arial" w:cs="Arial"/>
                <w:b/>
                <w:bCs/>
                <w:color w:val="000000" w:themeColor="text1"/>
              </w:rPr>
              <w:fldChar w:fldCharType="begin"/>
            </w:r>
            <w:r w:rsidRPr="0079189C">
              <w:rPr>
                <w:rFonts w:ascii="Arial" w:hAnsi="Arial" w:cs="Arial"/>
                <w:b/>
                <w:bCs/>
                <w:color w:val="000000" w:themeColor="text1"/>
              </w:rPr>
              <w:instrText xml:space="preserve"> ADDIN ZOTERO_ITEM CSL_CITATION {"citationID":"2W4hKrGm","properties":{"formattedCitation":"(G. Xu et al., 2014)","plainCitation":"(G. Xu et al., 2014)","noteIndex":0},"citationItems":[{"id":139,"uris":["http://zotero.org/users/local/alnDPFsD/items/FR8XJXMV"],"itemData":{"id":139,"type":"article-journal","abstract":"A sol–gel based electrochemical sensor was developed for melamine (Mel) direct and selective detection in real samples. Thin film of molecularly imprinted sol–gel polymers with specific binding sites for Mel was fabricated on glassy carbon electrode surface by electropolymerization method. Oxidation peak of Mel was chosen as a detected signal for the properties study of the sensor. The molecularly imprinted polymers film modified method, electropolymerization scan rate, scan cycles, potential range, amount of Mel and extraction conditions for sensor preparation were optimized. Under the optimized conditions, the sensor displayed an excellent recognition capacity towards Mel compared with other structural similar molecules. With acceptable regeneration and stability the sensor could detect Mel in the range of 6.3×10−7–1.1×10−4molL−1 with a detected limit of 6.8×10−8molL−1 (S/N=3). The result of real samples detection indicated that the proposed low cost electrochemical sensor might be potential to determine Mel in real samples to ensure food safety.","container-title":"Journal of Electroanalytical Chemistry","DOI":"10.1016/j.jelechem.2013.12.004","ISSN":"1572-6657","journalAbbreviation":"Journal of Electroanalytical Chemistry","page":"112-118","source":"ScienceDirect","title":"Imprinted sol–gel electrochemical sensor for melamine direct recognition and detection","volume":"713","author":[{"family":"Xu","given":"Guilin"},{"family":"Zhang","given":"Hongli"},{"family":"Zhong","given":"Min"},{"family":"Zhang","given":"Tingting"},{"family":"Lu","given":"Xiaojing"},{"family":"Kan","given":"Xianwen"}],"issued":{"date-parts":[["2014",1,15]]}}}],"schema":"https://github.com/citation-style-language/schema/raw/master/csl-citation.json"} </w:instrText>
            </w:r>
            <w:r w:rsidRPr="0079189C">
              <w:rPr>
                <w:rFonts w:ascii="Arial" w:hAnsi="Arial" w:cs="Arial"/>
                <w:b/>
                <w:bCs/>
                <w:color w:val="000000" w:themeColor="text1"/>
              </w:rPr>
              <w:fldChar w:fldCharType="separate"/>
            </w:r>
            <w:r w:rsidRPr="0079189C">
              <w:rPr>
                <w:rFonts w:ascii="Arial" w:hAnsi="Arial" w:cs="Arial"/>
                <w:b/>
                <w:bCs/>
                <w:color w:val="000000" w:themeColor="text1"/>
              </w:rPr>
              <w:t>(G. Xu et al., 2014)</w:t>
            </w:r>
            <w:r w:rsidRPr="0079189C">
              <w:rPr>
                <w:rFonts w:ascii="Arial" w:hAnsi="Arial" w:cs="Arial"/>
                <w:b/>
                <w:bCs/>
                <w:color w:val="000000" w:themeColor="text1"/>
              </w:rPr>
              <w:fldChar w:fldCharType="end"/>
            </w:r>
          </w:p>
        </w:tc>
      </w:tr>
      <w:tr w:rsidR="00C56606" w:rsidRPr="00C56606" w14:paraId="7CBA0BC7" w14:textId="77777777" w:rsidTr="006A52C0">
        <w:tc>
          <w:tcPr>
            <w:tcW w:w="1985" w:type="dxa"/>
            <w:tcBorders>
              <w:top w:val="nil"/>
              <w:right w:val="nil"/>
            </w:tcBorders>
          </w:tcPr>
          <w:p w14:paraId="2EAB6079" w14:textId="77777777" w:rsidR="00C30CAD" w:rsidRPr="00C56606" w:rsidRDefault="00C30CAD" w:rsidP="006A52C0">
            <w:pPr>
              <w:spacing w:line="360" w:lineRule="auto"/>
              <w:jc w:val="both"/>
              <w:rPr>
                <w:rFonts w:ascii="Arial" w:hAnsi="Arial" w:cs="Arial"/>
                <w:color w:val="000000" w:themeColor="text1"/>
              </w:rPr>
            </w:pP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w:t>
            </w:r>
          </w:p>
        </w:tc>
        <w:tc>
          <w:tcPr>
            <w:tcW w:w="2693" w:type="dxa"/>
            <w:tcBorders>
              <w:top w:val="nil"/>
              <w:left w:val="nil"/>
              <w:right w:val="nil"/>
            </w:tcBorders>
          </w:tcPr>
          <w:p w14:paraId="7FA0C610"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4.0x10</w:t>
            </w:r>
            <w:r w:rsidRPr="00C56606">
              <w:rPr>
                <w:rFonts w:ascii="Arial" w:hAnsi="Arial" w:cs="Arial"/>
                <w:color w:val="000000" w:themeColor="text1"/>
                <w:vertAlign w:val="superscript"/>
              </w:rPr>
              <w:t>-9</w:t>
            </w:r>
            <w:r w:rsidRPr="00C56606">
              <w:rPr>
                <w:rFonts w:ascii="Arial" w:hAnsi="Arial" w:cs="Arial"/>
                <w:color w:val="000000" w:themeColor="text1"/>
              </w:rPr>
              <w:t xml:space="preserve"> – 4.0x10</w:t>
            </w:r>
            <w:r w:rsidRPr="00C56606">
              <w:rPr>
                <w:rFonts w:ascii="Arial" w:hAnsi="Arial" w:cs="Arial"/>
                <w:color w:val="000000" w:themeColor="text1"/>
                <w:vertAlign w:val="superscript"/>
              </w:rPr>
              <w:t>-6</w:t>
            </w:r>
            <w:r w:rsidRPr="00C56606">
              <w:rPr>
                <w:rFonts w:ascii="Arial" w:hAnsi="Arial" w:cs="Arial"/>
                <w:color w:val="000000" w:themeColor="text1"/>
              </w:rPr>
              <w:t xml:space="preserve"> M</w:t>
            </w:r>
          </w:p>
        </w:tc>
        <w:tc>
          <w:tcPr>
            <w:tcW w:w="1701" w:type="dxa"/>
            <w:tcBorders>
              <w:top w:val="nil"/>
              <w:left w:val="nil"/>
              <w:right w:val="nil"/>
            </w:tcBorders>
          </w:tcPr>
          <w:p w14:paraId="55DB5849" w14:textId="77777777" w:rsidR="00C30CAD" w:rsidRPr="00C56606" w:rsidRDefault="00C30CAD" w:rsidP="006A52C0">
            <w:pPr>
              <w:spacing w:line="360" w:lineRule="auto"/>
              <w:jc w:val="center"/>
              <w:rPr>
                <w:rFonts w:ascii="Arial" w:hAnsi="Arial" w:cs="Arial"/>
                <w:color w:val="000000" w:themeColor="text1"/>
              </w:rPr>
            </w:pPr>
            <w:r w:rsidRPr="00C56606">
              <w:rPr>
                <w:rFonts w:ascii="Arial" w:hAnsi="Arial" w:cs="Arial"/>
                <w:color w:val="000000" w:themeColor="text1"/>
              </w:rPr>
              <w:t>3.488 µg/L</w:t>
            </w:r>
          </w:p>
        </w:tc>
        <w:tc>
          <w:tcPr>
            <w:tcW w:w="2647" w:type="dxa"/>
            <w:tcBorders>
              <w:top w:val="nil"/>
              <w:left w:val="nil"/>
            </w:tcBorders>
          </w:tcPr>
          <w:p w14:paraId="5AD6C7C1" w14:textId="77777777" w:rsidR="00C30CAD" w:rsidRPr="00C56606" w:rsidRDefault="00C30CAD" w:rsidP="006A52C0">
            <w:pPr>
              <w:spacing w:line="360" w:lineRule="auto"/>
              <w:jc w:val="center"/>
              <w:rPr>
                <w:rFonts w:ascii="Arial" w:hAnsi="Arial" w:cs="Arial"/>
                <w:b/>
                <w:bCs/>
                <w:color w:val="000000" w:themeColor="text1"/>
              </w:rPr>
            </w:pPr>
            <w:r w:rsidRPr="00C56606">
              <w:rPr>
                <w:rFonts w:ascii="Arial" w:hAnsi="Arial" w:cs="Arial"/>
                <w:b/>
                <w:bCs/>
                <w:color w:val="000000" w:themeColor="text1"/>
              </w:rPr>
              <w:t>This work</w:t>
            </w:r>
          </w:p>
        </w:tc>
      </w:tr>
    </w:tbl>
    <w:p w14:paraId="0862DB3D" w14:textId="77777777" w:rsidR="00C30CAD" w:rsidRPr="00C56606" w:rsidRDefault="00C30CAD" w:rsidP="00C30CAD">
      <w:pPr>
        <w:spacing w:line="360" w:lineRule="auto"/>
        <w:jc w:val="both"/>
        <w:rPr>
          <w:rFonts w:ascii="Arial" w:hAnsi="Arial" w:cs="Arial"/>
          <w:color w:val="000000" w:themeColor="text1"/>
        </w:rPr>
      </w:pPr>
    </w:p>
    <w:p w14:paraId="53817612"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It follows from this study that the detection method proposed by this work proves to be an advantageous alternative due to the simplicity of design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and application of the method. In addition, the limit of detection (LOD) obtained is in the order of magnitude of the methods already proposed and validated. It even proves to be lower than the LOD of some of them. Furthermore, the method implemented does not require any derivatization and contributes to sustainable development through its green analytical character based on the recovery of lemon zest, waste from agriculture. In addition, this fast and efficient method is based on an electrochemical sensor, highly sensitive and selective, easy to design at low cost.</w:t>
      </w:r>
    </w:p>
    <w:p w14:paraId="289B723F" w14:textId="77777777" w:rsidR="00C30CAD" w:rsidRPr="00C56606" w:rsidRDefault="00C30CAD" w:rsidP="00C30CAD">
      <w:pPr>
        <w:pStyle w:val="Body"/>
        <w:spacing w:after="0"/>
        <w:rPr>
          <w:rFonts w:ascii="Arial" w:hAnsi="Arial" w:cs="Arial"/>
          <w:color w:val="000000" w:themeColor="text1"/>
        </w:rPr>
      </w:pPr>
    </w:p>
    <w:p w14:paraId="6E7AAF54" w14:textId="77777777" w:rsidR="00C30CAD" w:rsidRPr="00C56606" w:rsidRDefault="00C30CAD" w:rsidP="00C30CAD">
      <w:pPr>
        <w:pStyle w:val="ConcHead"/>
        <w:spacing w:after="0"/>
        <w:jc w:val="both"/>
        <w:rPr>
          <w:rFonts w:ascii="Arial" w:hAnsi="Arial" w:cs="Arial"/>
          <w:color w:val="000000" w:themeColor="text1"/>
          <w:sz w:val="20"/>
        </w:rPr>
      </w:pPr>
      <w:r w:rsidRPr="00C56606">
        <w:rPr>
          <w:rFonts w:ascii="Arial" w:hAnsi="Arial" w:cs="Arial"/>
          <w:color w:val="000000" w:themeColor="text1"/>
          <w:sz w:val="20"/>
        </w:rPr>
        <w:t>4. Conclusion</w:t>
      </w:r>
    </w:p>
    <w:p w14:paraId="73A51E8D" w14:textId="77777777" w:rsidR="00C30CAD" w:rsidRPr="00C56606" w:rsidRDefault="00C30CAD" w:rsidP="00C30CAD">
      <w:pPr>
        <w:pStyle w:val="ConcHead"/>
        <w:spacing w:after="0"/>
        <w:jc w:val="both"/>
        <w:rPr>
          <w:rFonts w:ascii="Arial" w:hAnsi="Arial" w:cs="Arial"/>
          <w:color w:val="000000" w:themeColor="text1"/>
        </w:rPr>
      </w:pPr>
    </w:p>
    <w:p w14:paraId="2091FCF0" w14:textId="77777777" w:rsidR="00C30CAD" w:rsidRPr="00C56606" w:rsidRDefault="00C30CAD" w:rsidP="00C30CAD">
      <w:pPr>
        <w:spacing w:line="360" w:lineRule="auto"/>
        <w:jc w:val="both"/>
        <w:rPr>
          <w:rFonts w:ascii="Arial" w:hAnsi="Arial" w:cs="Arial"/>
          <w:color w:val="000000" w:themeColor="text1"/>
        </w:rPr>
      </w:pPr>
      <w:r w:rsidRPr="00C56606">
        <w:rPr>
          <w:rFonts w:ascii="Arial" w:hAnsi="Arial" w:cs="Arial"/>
          <w:color w:val="000000" w:themeColor="text1"/>
        </w:rPr>
        <w:t xml:space="preserve">In the search for new green analytical methods,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/Au electrode was designed and used for the detection and quantification of melamine in aqueous media. The performance of this electrode is linked, on the one hand, to the strong presence of carboxyl groups on the surface of cysteine-functionalized carbon quantum dots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 whose reactivity is enhanced by the presence of silver nanoparticles (</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and, on the other hand, to the stability of the </w:t>
      </w:r>
      <w:proofErr w:type="spellStart"/>
      <w:r w:rsidRPr="00C56606">
        <w:rPr>
          <w:rFonts w:ascii="Arial" w:hAnsi="Arial" w:cs="Arial"/>
          <w:color w:val="000000" w:themeColor="text1"/>
        </w:rPr>
        <w:t>cCDs</w:t>
      </w:r>
      <w:proofErr w:type="spellEnd"/>
      <w:r w:rsidRPr="00C56606">
        <w:rPr>
          <w:rFonts w:ascii="Arial" w:hAnsi="Arial" w:cs="Arial"/>
          <w:color w:val="000000" w:themeColor="text1"/>
        </w:rPr>
        <w:t>/</w:t>
      </w:r>
      <w:proofErr w:type="spellStart"/>
      <w:r w:rsidRPr="00C56606">
        <w:rPr>
          <w:rFonts w:ascii="Arial" w:hAnsi="Arial" w:cs="Arial"/>
          <w:color w:val="000000" w:themeColor="text1"/>
        </w:rPr>
        <w:t>AgNPs</w:t>
      </w:r>
      <w:proofErr w:type="spellEnd"/>
      <w:r w:rsidRPr="00C56606">
        <w:rPr>
          <w:rFonts w:ascii="Arial" w:hAnsi="Arial" w:cs="Arial"/>
          <w:color w:val="000000" w:themeColor="text1"/>
        </w:rPr>
        <w:t xml:space="preserve"> nanocomposite on the surface of the gold electrode (Au electrode) in sodium sulfate (Na</w:t>
      </w:r>
      <w:r w:rsidRPr="00C56606">
        <w:rPr>
          <w:rFonts w:ascii="Arial" w:hAnsi="Arial" w:cs="Arial"/>
          <w:color w:val="000000" w:themeColor="text1"/>
          <w:vertAlign w:val="subscript"/>
        </w:rPr>
        <w:t>2</w:t>
      </w:r>
      <w:r w:rsidRPr="00C56606">
        <w:rPr>
          <w:rFonts w:ascii="Arial" w:hAnsi="Arial" w:cs="Arial"/>
          <w:color w:val="000000" w:themeColor="text1"/>
        </w:rPr>
        <w:t>SO</w:t>
      </w:r>
      <w:r w:rsidRPr="00C56606">
        <w:rPr>
          <w:rFonts w:ascii="Arial" w:hAnsi="Arial" w:cs="Arial"/>
          <w:color w:val="000000" w:themeColor="text1"/>
          <w:vertAlign w:val="subscript"/>
        </w:rPr>
        <w:t>4</w:t>
      </w:r>
      <w:r w:rsidRPr="00C56606">
        <w:rPr>
          <w:rFonts w:ascii="Arial" w:hAnsi="Arial" w:cs="Arial"/>
          <w:color w:val="000000" w:themeColor="text1"/>
        </w:rPr>
        <w:t xml:space="preserve">) media. The detection limit of this method under optimal detection conditions </w:t>
      </w:r>
      <w:r w:rsidRPr="00C56606">
        <w:rPr>
          <w:rFonts w:ascii="Arial" w:hAnsi="Arial" w:cs="Arial"/>
          <w:color w:val="000000" w:themeColor="text1"/>
        </w:rPr>
        <w:lastRenderedPageBreak/>
        <w:t>is 3.488 ng/mL, of the same order of magnitude (or even lower) as those of other proposed, validated, and frequently used methods for melamine detection. This LOD, lower than the limit values ​​imposed by certain international (WHO) and national (USFDA) institutions in milk and milk products for infants and young children, suggests that the method implemented can also be used on a large scale for the detection and quantification of melamine. Thus, this method appears to be a reliable alternative in the fight against food insecurity through the monitoring of melamine fraudulently used as an additive in powdered milk in order to improve its non-protein nitrogen content. In addition, the low cost, simplicity of implementation, high sensitivity and excellent reproducibility make it a method of choice to prevent the world from another scandal related to the consumption of powdered milk contaminated by the addition of melamine.</w:t>
      </w:r>
    </w:p>
    <w:p w14:paraId="1BA14474" w14:textId="77777777" w:rsidR="00C30CAD" w:rsidRPr="00C56606" w:rsidRDefault="00C30CAD" w:rsidP="00C30CAD">
      <w:pPr>
        <w:pStyle w:val="Body"/>
        <w:spacing w:after="0"/>
        <w:rPr>
          <w:rFonts w:ascii="Arial" w:hAnsi="Arial" w:cs="Arial"/>
          <w:color w:val="000000" w:themeColor="text1"/>
        </w:rPr>
      </w:pPr>
    </w:p>
    <w:p w14:paraId="53B0B0F7" w14:textId="77777777" w:rsidR="000D1F80" w:rsidRDefault="000D1F80" w:rsidP="000C1FA9">
      <w:pPr>
        <w:pStyle w:val="Body"/>
        <w:spacing w:line="360" w:lineRule="auto"/>
        <w:rPr>
          <w:rFonts w:ascii="Arial" w:hAnsi="Arial" w:cs="Arial"/>
          <w:color w:val="000000" w:themeColor="text1"/>
        </w:rPr>
      </w:pPr>
    </w:p>
    <w:p w14:paraId="6B4DD146" w14:textId="18A381A1" w:rsidR="000C1FA9" w:rsidRPr="000C1FA9" w:rsidRDefault="000C1FA9" w:rsidP="000C1FA9">
      <w:pPr>
        <w:pStyle w:val="Body"/>
        <w:spacing w:line="360" w:lineRule="auto"/>
        <w:rPr>
          <w:rFonts w:ascii="Arial" w:hAnsi="Arial" w:cs="Arial"/>
          <w:color w:val="000000" w:themeColor="text1"/>
        </w:rPr>
      </w:pPr>
      <w:bookmarkStart w:id="1" w:name="_GoBack"/>
      <w:bookmarkEnd w:id="1"/>
      <w:r w:rsidRPr="000C1FA9">
        <w:rPr>
          <w:rFonts w:ascii="Arial" w:hAnsi="Arial" w:cs="Arial"/>
          <w:color w:val="000000" w:themeColor="text1"/>
        </w:rPr>
        <w:t>COMPETING INTERESTS DISCLAIMER:</w:t>
      </w:r>
    </w:p>
    <w:p w14:paraId="66ADA416" w14:textId="23625A60" w:rsidR="000C1FA9" w:rsidRPr="00C56606" w:rsidRDefault="000C1FA9" w:rsidP="000C1FA9">
      <w:pPr>
        <w:pStyle w:val="Body"/>
        <w:spacing w:after="0" w:line="360" w:lineRule="auto"/>
        <w:rPr>
          <w:rFonts w:ascii="Arial" w:hAnsi="Arial" w:cs="Arial"/>
          <w:color w:val="000000" w:themeColor="text1"/>
        </w:rPr>
      </w:pPr>
      <w:r w:rsidRPr="000C1FA9">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355061EB" w14:textId="77777777" w:rsidR="00C30CAD" w:rsidRPr="00C56606" w:rsidRDefault="00C30CAD" w:rsidP="00C30CAD">
      <w:pPr>
        <w:pStyle w:val="ReferHead"/>
        <w:spacing w:after="0"/>
        <w:jc w:val="both"/>
        <w:rPr>
          <w:rFonts w:ascii="Arial" w:hAnsi="Arial" w:cs="Arial"/>
          <w:color w:val="000000" w:themeColor="text1"/>
        </w:rPr>
      </w:pPr>
    </w:p>
    <w:p w14:paraId="67C93781" w14:textId="77777777" w:rsidR="00C30CAD" w:rsidRPr="00C56606" w:rsidRDefault="00C30CAD" w:rsidP="00C30CAD">
      <w:pPr>
        <w:pStyle w:val="ReferHead"/>
        <w:spacing w:after="0"/>
        <w:jc w:val="both"/>
        <w:rPr>
          <w:rFonts w:ascii="Arial" w:hAnsi="Arial" w:cs="Arial"/>
          <w:color w:val="000000" w:themeColor="text1"/>
        </w:rPr>
      </w:pPr>
      <w:r w:rsidRPr="00C56606">
        <w:rPr>
          <w:rFonts w:ascii="Arial" w:hAnsi="Arial" w:cs="Arial"/>
          <w:color w:val="000000" w:themeColor="text1"/>
        </w:rPr>
        <w:t>References</w:t>
      </w:r>
    </w:p>
    <w:p w14:paraId="2D63467A" w14:textId="77777777" w:rsidR="00C30CAD" w:rsidRPr="00C56606" w:rsidRDefault="00C30CAD" w:rsidP="00C30CAD">
      <w:pPr>
        <w:pStyle w:val="ReferHead"/>
        <w:spacing w:after="0"/>
        <w:jc w:val="both"/>
        <w:rPr>
          <w:rFonts w:ascii="Arial" w:hAnsi="Arial" w:cs="Arial"/>
          <w:color w:val="000000" w:themeColor="text1"/>
        </w:rPr>
      </w:pPr>
    </w:p>
    <w:p w14:paraId="54937E67" w14:textId="77777777" w:rsidR="00C30CAD" w:rsidRPr="007268A5" w:rsidRDefault="00C30CAD" w:rsidP="00010D60">
      <w:pPr>
        <w:pStyle w:val="Bibliography"/>
        <w:jc w:val="both"/>
        <w:rPr>
          <w:rFonts w:ascii="Arial" w:hAnsi="Arial" w:cs="Arial"/>
          <w:color w:val="000000" w:themeColor="text1"/>
        </w:rPr>
      </w:pPr>
      <w:r w:rsidRPr="007268A5">
        <w:rPr>
          <w:rFonts w:ascii="Arial" w:eastAsiaTheme="minorEastAsia" w:hAnsi="Arial" w:cs="Arial"/>
          <w:color w:val="000000" w:themeColor="text1"/>
        </w:rPr>
        <w:fldChar w:fldCharType="begin"/>
      </w:r>
      <w:r w:rsidRPr="007268A5">
        <w:rPr>
          <w:rFonts w:ascii="Arial" w:hAnsi="Arial" w:cs="Arial"/>
          <w:color w:val="000000" w:themeColor="text1"/>
        </w:rPr>
        <w:instrText xml:space="preserve"> ADDIN ZOTERO_BIBL {"uncited":[],"omitted":[],"custom":[]} CSL_BIBLIOGRAPHY </w:instrText>
      </w:r>
      <w:r w:rsidRPr="007268A5">
        <w:rPr>
          <w:rFonts w:ascii="Arial" w:eastAsiaTheme="minorEastAsia" w:hAnsi="Arial" w:cs="Arial"/>
          <w:color w:val="000000" w:themeColor="text1"/>
        </w:rPr>
        <w:fldChar w:fldCharType="separate"/>
      </w:r>
      <w:r w:rsidRPr="007268A5">
        <w:rPr>
          <w:rFonts w:ascii="Arial" w:hAnsi="Arial" w:cs="Arial"/>
          <w:color w:val="000000" w:themeColor="text1"/>
        </w:rPr>
        <w:t>Akinyemi, M. O., Ayeni, K. I., Ogunremi, O. R., Adeleke, R. A., Oguntoyinbo, F. A., Warth, B., &amp; Ezekiel, C. N. (2021). A review of microbes and chemical contaminants in dairy products in sub-Saharan Africa. Comprehensive Reviews in Food Science and Food Safety, 20(2), 1188</w:t>
      </w:r>
      <w:r w:rsidRPr="007268A5">
        <w:rPr>
          <w:rFonts w:ascii="Cambria Math" w:hAnsi="Cambria Math" w:cs="Cambria Math"/>
          <w:color w:val="000000" w:themeColor="text1"/>
        </w:rPr>
        <w:t>‑</w:t>
      </w:r>
      <w:r w:rsidRPr="007268A5">
        <w:rPr>
          <w:rFonts w:ascii="Arial" w:hAnsi="Arial" w:cs="Arial"/>
          <w:color w:val="000000" w:themeColor="text1"/>
        </w:rPr>
        <w:t>1220. https://doi.org/10.1111/1541-4337.12712</w:t>
      </w:r>
    </w:p>
    <w:p w14:paraId="39650538"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Amanda S. Giroto, Rodrigo H.S. Garcia, Luiz A. Colnago, Artur Klamczynski, Greg M. Glenn, &amp; Caue Ribeiro. (2020). Role of urea and melamine as synergic co-plasticizers for starch composites for fertilizer application. International Journal of Biological Macromolecules, 144, 143</w:t>
      </w:r>
      <w:r w:rsidRPr="007268A5">
        <w:rPr>
          <w:rFonts w:ascii="Cambria Math" w:hAnsi="Cambria Math" w:cs="Cambria Math"/>
          <w:color w:val="000000" w:themeColor="text1"/>
        </w:rPr>
        <w:t>‑</w:t>
      </w:r>
      <w:r w:rsidRPr="007268A5">
        <w:rPr>
          <w:rFonts w:ascii="Arial" w:hAnsi="Arial" w:cs="Arial"/>
          <w:color w:val="000000" w:themeColor="text1"/>
        </w:rPr>
        <w:t>150. https://doi.org/10.1016/j.ijbiomac.2019.12.094</w:t>
      </w:r>
    </w:p>
    <w:p w14:paraId="7385F9FA"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Attia, M. S., Bakir, E., Abdel-aziz, A. A., &amp; Abdel-mottaleb, M. S. A. (2011). Determination of melamine in different milk batches using a novel chemosensor based on the luminescence quenching of Ru(II) carbonyl complex. Talanta, 84(1), 27</w:t>
      </w:r>
      <w:r w:rsidRPr="007268A5">
        <w:rPr>
          <w:rFonts w:ascii="Cambria Math" w:hAnsi="Cambria Math" w:cs="Cambria Math"/>
          <w:color w:val="000000" w:themeColor="text1"/>
        </w:rPr>
        <w:t>‑</w:t>
      </w:r>
      <w:r w:rsidRPr="007268A5">
        <w:rPr>
          <w:rFonts w:ascii="Arial" w:hAnsi="Arial" w:cs="Arial"/>
          <w:color w:val="000000" w:themeColor="text1"/>
        </w:rPr>
        <w:t>33. https://doi.org/10.1016/j.talanta.2010.11.071</w:t>
      </w:r>
    </w:p>
    <w:p w14:paraId="75D3D458"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lastRenderedPageBreak/>
        <w:t>Burke, L. D., Moran, J. M., &amp; Nugent, P. F. (2003). Cyclic voltammetry responses of metastable gold electrodes in aqueous media. Journal of Solid State Electrochemistry, 7(9), 529</w:t>
      </w:r>
      <w:r w:rsidRPr="007268A5">
        <w:rPr>
          <w:rFonts w:ascii="Cambria Math" w:hAnsi="Cambria Math" w:cs="Cambria Math"/>
          <w:color w:val="000000" w:themeColor="text1"/>
        </w:rPr>
        <w:t>‑</w:t>
      </w:r>
      <w:r w:rsidRPr="007268A5">
        <w:rPr>
          <w:rFonts w:ascii="Arial" w:hAnsi="Arial" w:cs="Arial"/>
          <w:color w:val="000000" w:themeColor="text1"/>
        </w:rPr>
        <w:t>538. https://doi.org/10.1007/s10008-003-0359-y</w:t>
      </w:r>
    </w:p>
    <w:p w14:paraId="5A861CCB"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Cao, Q., Zhao, H., Zeng, L., Wang, J., Wang, R., Qiu, X., &amp; He, Y. (2009). Electrochemical determination of melamine using oligonucleotides modified gold electrodes. Talanta, 80(2), 484</w:t>
      </w:r>
      <w:r w:rsidRPr="007268A5">
        <w:rPr>
          <w:rFonts w:ascii="Cambria Math" w:hAnsi="Cambria Math" w:cs="Cambria Math"/>
          <w:color w:val="000000" w:themeColor="text1"/>
        </w:rPr>
        <w:t>‑</w:t>
      </w:r>
      <w:r w:rsidRPr="007268A5">
        <w:rPr>
          <w:rFonts w:ascii="Arial" w:hAnsi="Arial" w:cs="Arial"/>
          <w:color w:val="000000" w:themeColor="text1"/>
        </w:rPr>
        <w:t>488. https://doi.org/10.1016/j.talanta.2009.07.006</w:t>
      </w:r>
    </w:p>
    <w:p w14:paraId="660B7614"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Chansuvarn, W., Panich, S., &amp; Imyim, A. (2013). Simple spectrophotometric method for determination of melamine in liquid milks based on green Mannich reaction. Spectrochimica Acta Part A: Molecular and Biomolecular Spectroscopy, 113, 154</w:t>
      </w:r>
      <w:r w:rsidRPr="007268A5">
        <w:rPr>
          <w:rFonts w:ascii="Cambria Math" w:hAnsi="Cambria Math" w:cs="Cambria Math"/>
          <w:color w:val="000000" w:themeColor="text1"/>
        </w:rPr>
        <w:t>‑</w:t>
      </w:r>
      <w:r w:rsidRPr="007268A5">
        <w:rPr>
          <w:rFonts w:ascii="Arial" w:hAnsi="Arial" w:cs="Arial"/>
          <w:color w:val="000000" w:themeColor="text1"/>
        </w:rPr>
        <w:t>158. https://doi.org/10.1016/j.saa.2013.04.019</w:t>
      </w:r>
    </w:p>
    <w:p w14:paraId="60BDD167"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Chen, N., Cheng, Y., Li, C., Zhang, C., Zhao, K., &amp; Xian, Y. (2015). Determination of melamine in food contact materials using an electrode modified with gold nanoparticles and reduced graphene oxide. Microchimica Acta, 182(11), 1967</w:t>
      </w:r>
      <w:r w:rsidRPr="007268A5">
        <w:rPr>
          <w:rFonts w:ascii="Cambria Math" w:hAnsi="Cambria Math" w:cs="Cambria Math"/>
          <w:color w:val="000000" w:themeColor="text1"/>
        </w:rPr>
        <w:t>‑</w:t>
      </w:r>
      <w:r w:rsidRPr="007268A5">
        <w:rPr>
          <w:rFonts w:ascii="Arial" w:hAnsi="Arial" w:cs="Arial"/>
          <w:color w:val="000000" w:themeColor="text1"/>
        </w:rPr>
        <w:t>1975. https://doi.org/10.1007/s00604-015-1533-5</w:t>
      </w:r>
    </w:p>
    <w:p w14:paraId="6D174B16"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Chen, S., Liu, S., Wen, A., Zhang, J., Nie, H., Chen, J., Zeng, R., Long, Y., Jin, Y., &amp; Mai, R. (2018). New insight into electropolymerization of melamine. I : Chloride promoted growth of polymelamine in different pH medium. Electrochimica Acta, 271, 312</w:t>
      </w:r>
      <w:r w:rsidRPr="007268A5">
        <w:rPr>
          <w:rFonts w:ascii="Cambria Math" w:hAnsi="Cambria Math" w:cs="Cambria Math"/>
          <w:color w:val="000000" w:themeColor="text1"/>
        </w:rPr>
        <w:t>‑</w:t>
      </w:r>
      <w:r w:rsidRPr="007268A5">
        <w:rPr>
          <w:rFonts w:ascii="Arial" w:hAnsi="Arial" w:cs="Arial"/>
          <w:color w:val="000000" w:themeColor="text1"/>
        </w:rPr>
        <w:t>318. https://doi.org/10.1016/j.electacta.2018.03.146</w:t>
      </w:r>
    </w:p>
    <w:p w14:paraId="31A86FB2"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Du, J., Wang, Y., &amp; Zhang, W. (2015). Gold nanoparticles-based chemiluminescence resonance energy transfer for ultrasensitive detection of melamine. Spectrochimica Acta Part A: Molecular and Biomolecular Spectroscopy, 149, 698</w:t>
      </w:r>
      <w:r w:rsidRPr="007268A5">
        <w:rPr>
          <w:rFonts w:ascii="Cambria Math" w:hAnsi="Cambria Math" w:cs="Cambria Math"/>
          <w:color w:val="000000" w:themeColor="text1"/>
        </w:rPr>
        <w:t>‑</w:t>
      </w:r>
      <w:r w:rsidRPr="007268A5">
        <w:rPr>
          <w:rFonts w:ascii="Arial" w:hAnsi="Arial" w:cs="Arial"/>
          <w:color w:val="000000" w:themeColor="text1"/>
        </w:rPr>
        <w:t>702. https://doi.org/10.1016/j.saa.2015.04.067</w:t>
      </w:r>
    </w:p>
    <w:p w14:paraId="25D1DE4D"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Filigenzi, M. S., Tor, E. R., Poppenga, R. H., Aston, L. A., &amp; Puschner, B. (2007). The determination of melamine in muscle tissue by liquid chromatography/tandem mass spectrometry. Rapid Communications in Mass Spectrometry, 21(24), 4027</w:t>
      </w:r>
      <w:r w:rsidRPr="007268A5">
        <w:rPr>
          <w:rFonts w:ascii="Cambria Math" w:hAnsi="Cambria Math" w:cs="Cambria Math"/>
          <w:color w:val="000000" w:themeColor="text1"/>
        </w:rPr>
        <w:t>‑</w:t>
      </w:r>
      <w:r w:rsidRPr="007268A5">
        <w:rPr>
          <w:rFonts w:ascii="Arial" w:hAnsi="Arial" w:cs="Arial"/>
          <w:color w:val="000000" w:themeColor="text1"/>
        </w:rPr>
        <w:t>4032. https://doi.org/10.1002/rcm.3289</w:t>
      </w:r>
    </w:p>
    <w:p w14:paraId="7F49F341"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lastRenderedPageBreak/>
        <w:t>Gaucheron, F. (2005). The minerals of milk. Reproduction Nutrition Development, 45(4), 473</w:t>
      </w:r>
      <w:r w:rsidRPr="007268A5">
        <w:rPr>
          <w:rFonts w:ascii="Cambria Math" w:hAnsi="Cambria Math" w:cs="Cambria Math"/>
          <w:color w:val="000000" w:themeColor="text1"/>
        </w:rPr>
        <w:t>‑</w:t>
      </w:r>
      <w:r w:rsidRPr="007268A5">
        <w:rPr>
          <w:rFonts w:ascii="Arial" w:hAnsi="Arial" w:cs="Arial"/>
          <w:color w:val="000000" w:themeColor="text1"/>
        </w:rPr>
        <w:t>483. https://doi.org/10.1051/rnd:2005030</w:t>
      </w:r>
    </w:p>
    <w:p w14:paraId="53060929"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lang w:val="fr-CI"/>
        </w:rPr>
        <w:t xml:space="preserve">Ghorbani, H. R., Mehr, F. P., Pazoki, H., &amp; Rahmani, B. M. (2015). </w:t>
      </w:r>
      <w:r w:rsidRPr="007268A5">
        <w:rPr>
          <w:rFonts w:ascii="Arial" w:hAnsi="Arial" w:cs="Arial"/>
          <w:color w:val="000000" w:themeColor="text1"/>
        </w:rPr>
        <w:t>Synthesis of ZnO nanoparticles by precipitation method. Orient. J. Chem, 31(2), 1219</w:t>
      </w:r>
      <w:r w:rsidRPr="007268A5">
        <w:rPr>
          <w:rFonts w:ascii="Cambria Math" w:hAnsi="Cambria Math" w:cs="Cambria Math"/>
          <w:color w:val="000000" w:themeColor="text1"/>
        </w:rPr>
        <w:t>‑</w:t>
      </w:r>
      <w:r w:rsidRPr="007268A5">
        <w:rPr>
          <w:rFonts w:ascii="Arial" w:hAnsi="Arial" w:cs="Arial"/>
          <w:color w:val="000000" w:themeColor="text1"/>
        </w:rPr>
        <w:t>1221.</w:t>
      </w:r>
    </w:p>
    <w:p w14:paraId="299A502C"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Giroto, A. S., Guimarães, G. G., Colnago, L. A., Klamczynski, A., Glenn, G., &amp; Ribeiro, C. (2019). Controlled release of nitrogen using urea-melamine-starch composites. Journal of Cleaner Production, 217, 448</w:t>
      </w:r>
      <w:r w:rsidRPr="007268A5">
        <w:rPr>
          <w:rFonts w:ascii="Cambria Math" w:hAnsi="Cambria Math" w:cs="Cambria Math"/>
          <w:color w:val="000000" w:themeColor="text1"/>
        </w:rPr>
        <w:t>‑</w:t>
      </w:r>
      <w:r w:rsidRPr="007268A5">
        <w:rPr>
          <w:rFonts w:ascii="Arial" w:hAnsi="Arial" w:cs="Arial"/>
          <w:color w:val="000000" w:themeColor="text1"/>
        </w:rPr>
        <w:t>455. https://doi.org/10.1016/j.jclepro.2019.01.275</w:t>
      </w:r>
    </w:p>
    <w:p w14:paraId="20027F81"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Guan-Ping, J., Bo, Y., Zhen-Xin, C., Xiu-Yu, C., Ming, Z., &amp; Chang, Z. (2011). Electrochemical behaviors and determination of melamine in neutral and acid aqueous media. Journal of Solid State Electrochemistry, 15(11), 2653</w:t>
      </w:r>
      <w:r w:rsidRPr="007268A5">
        <w:rPr>
          <w:rFonts w:ascii="Cambria Math" w:hAnsi="Cambria Math" w:cs="Cambria Math"/>
          <w:color w:val="000000" w:themeColor="text1"/>
        </w:rPr>
        <w:t>‑</w:t>
      </w:r>
      <w:r w:rsidRPr="007268A5">
        <w:rPr>
          <w:rFonts w:ascii="Arial" w:hAnsi="Arial" w:cs="Arial"/>
          <w:color w:val="000000" w:themeColor="text1"/>
        </w:rPr>
        <w:t>2659. https://doi.org/10.1007/s10008-010-1249-8</w:t>
      </w:r>
    </w:p>
    <w:p w14:paraId="1AE23156"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Guo, Z., Zhao, Y., Li, Y., Bao, T., Sun, T., Li, D., Luo, X., &amp; Fan, H. (2018). A Electrochemical Sensor for Melamine Detection Based on Copper-Melamine Complex Using OMC Modified Glassy Carbon Electrode. Food Analytical Methods, 11(2), 546</w:t>
      </w:r>
      <w:r w:rsidRPr="007268A5">
        <w:rPr>
          <w:rFonts w:ascii="Cambria Math" w:hAnsi="Cambria Math" w:cs="Cambria Math"/>
          <w:color w:val="000000" w:themeColor="text1"/>
        </w:rPr>
        <w:t>‑</w:t>
      </w:r>
      <w:r w:rsidRPr="007268A5">
        <w:rPr>
          <w:rFonts w:ascii="Arial" w:hAnsi="Arial" w:cs="Arial"/>
          <w:color w:val="000000" w:themeColor="text1"/>
        </w:rPr>
        <w:t>555. https://doi.org/10.1007/s12161-017-1025-9</w:t>
      </w:r>
    </w:p>
    <w:p w14:paraId="728B6FEE"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Ingelfinger, J. R. (2008). Melamine and the Global Implications of Food Contamination. New England Journal of Medicine, 359(26), 2745</w:t>
      </w:r>
      <w:r w:rsidRPr="007268A5">
        <w:rPr>
          <w:rFonts w:ascii="Cambria Math" w:hAnsi="Cambria Math" w:cs="Cambria Math"/>
          <w:color w:val="000000" w:themeColor="text1"/>
        </w:rPr>
        <w:t>‑</w:t>
      </w:r>
      <w:r w:rsidRPr="007268A5">
        <w:rPr>
          <w:rFonts w:ascii="Arial" w:hAnsi="Arial" w:cs="Arial"/>
          <w:color w:val="000000" w:themeColor="text1"/>
        </w:rPr>
        <w:t>2748. https://doi.org/10.1056/NEJMp0808410</w:t>
      </w:r>
    </w:p>
    <w:p w14:paraId="6A51E66F"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Ji, Z., Chen, W., Wang, E., &amp; Deng, R. (2017). Electropolymerized Molecular Imprinting &amp; Graphene Modified Electrode for Detection of Melamine. International Journal of Electrochemical Science, 12(12), 11942</w:t>
      </w:r>
      <w:r w:rsidRPr="007268A5">
        <w:rPr>
          <w:rFonts w:ascii="Cambria Math" w:hAnsi="Cambria Math" w:cs="Cambria Math"/>
          <w:color w:val="000000" w:themeColor="text1"/>
        </w:rPr>
        <w:t>‑</w:t>
      </w:r>
      <w:r w:rsidRPr="007268A5">
        <w:rPr>
          <w:rFonts w:ascii="Arial" w:hAnsi="Arial" w:cs="Arial"/>
          <w:color w:val="000000" w:themeColor="text1"/>
        </w:rPr>
        <w:t>11954. https://doi.org/10.20964/2017.12.34</w:t>
      </w:r>
    </w:p>
    <w:p w14:paraId="63021C98"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Kamyabi, M. A., &amp; Aghajanloo, F. (2008). Electrocatalytic oxidation and determination of nitrite on carbon paste electrode modified with oxovanadium(IV)-4-methyl salophen. Journal of Electroanalytical Chemistry, 614(1), 157</w:t>
      </w:r>
      <w:r w:rsidRPr="007268A5">
        <w:rPr>
          <w:rFonts w:ascii="Cambria Math" w:hAnsi="Cambria Math" w:cs="Cambria Math"/>
          <w:color w:val="000000" w:themeColor="text1"/>
        </w:rPr>
        <w:t>‑</w:t>
      </w:r>
      <w:r w:rsidRPr="007268A5">
        <w:rPr>
          <w:rFonts w:ascii="Arial" w:hAnsi="Arial" w:cs="Arial"/>
          <w:color w:val="000000" w:themeColor="text1"/>
        </w:rPr>
        <w:t>165. https://doi.org/10.1016/j.jelechem.2007.11.026</w:t>
      </w:r>
    </w:p>
    <w:p w14:paraId="630FDF1D" w14:textId="77777777" w:rsidR="00C30CAD" w:rsidRPr="007268A5" w:rsidRDefault="00C30CAD" w:rsidP="00010D60">
      <w:pPr>
        <w:pStyle w:val="Bibliography"/>
        <w:jc w:val="both"/>
        <w:rPr>
          <w:rFonts w:ascii="Arial" w:hAnsi="Arial" w:cs="Arial"/>
          <w:color w:val="000000" w:themeColor="text1"/>
          <w:lang w:val="fr-CI"/>
        </w:rPr>
      </w:pPr>
      <w:r w:rsidRPr="007268A5">
        <w:rPr>
          <w:rFonts w:ascii="Arial" w:hAnsi="Arial" w:cs="Arial"/>
          <w:color w:val="000000" w:themeColor="text1"/>
        </w:rPr>
        <w:lastRenderedPageBreak/>
        <w:t xml:space="preserve">Kanagavalli, P., Natchimuthu Karuppusamy, M., Ganesan, V. S., Saravanan, H. P., Palanisamy, T., &amp; Veerapandian, M. (2023). Electropolymerized Melamine on Electrochemically Reduced Graphene Oxide : Growth Mechanistics, Electrode Processing, and Amperometric Sensing of Acyclovir. </w:t>
      </w:r>
      <w:r w:rsidRPr="007268A5">
        <w:rPr>
          <w:rFonts w:ascii="Arial" w:hAnsi="Arial" w:cs="Arial"/>
          <w:color w:val="000000" w:themeColor="text1"/>
          <w:lang w:val="fr-CI"/>
        </w:rPr>
        <w:t>Langmuir, 39(9), 3512</w:t>
      </w:r>
      <w:r w:rsidRPr="007268A5">
        <w:rPr>
          <w:rFonts w:ascii="Cambria Math" w:hAnsi="Cambria Math" w:cs="Cambria Math"/>
          <w:color w:val="000000" w:themeColor="text1"/>
          <w:lang w:val="fr-CI"/>
        </w:rPr>
        <w:t>‑</w:t>
      </w:r>
      <w:r w:rsidRPr="007268A5">
        <w:rPr>
          <w:rFonts w:ascii="Arial" w:hAnsi="Arial" w:cs="Arial"/>
          <w:color w:val="000000" w:themeColor="text1"/>
          <w:lang w:val="fr-CI"/>
        </w:rPr>
        <w:t>3525. https://doi.org/10.1021/acs.langmuir.3c00128</w:t>
      </w:r>
    </w:p>
    <w:p w14:paraId="72EF4AF3"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lang w:val="fr-CI"/>
        </w:rPr>
        <w:t xml:space="preserve">Kar, P., Tatard, F., Lamblin, G., Banet, P., Aubert, P. H., Plesse, C., &amp; Chevrot, C. (2013). </w:t>
      </w:r>
      <w:r w:rsidRPr="007268A5">
        <w:rPr>
          <w:rFonts w:ascii="Arial" w:hAnsi="Arial" w:cs="Arial"/>
          <w:color w:val="000000" w:themeColor="text1"/>
        </w:rPr>
        <w:t>Silver nanoparticles to improve electron transfer at interfaces of gold electrodes modified by biotin or avidin. Journal of Electroanalytical Chemistry, 692, 17</w:t>
      </w:r>
      <w:r w:rsidRPr="007268A5">
        <w:rPr>
          <w:rFonts w:ascii="Cambria Math" w:hAnsi="Cambria Math" w:cs="Cambria Math"/>
          <w:color w:val="000000" w:themeColor="text1"/>
        </w:rPr>
        <w:t>‑</w:t>
      </w:r>
      <w:r w:rsidRPr="007268A5">
        <w:rPr>
          <w:rFonts w:ascii="Arial" w:hAnsi="Arial" w:cs="Arial"/>
          <w:color w:val="000000" w:themeColor="text1"/>
        </w:rPr>
        <w:t>25. https://doi.org/10.1016/j.jelechem.2012.12.020</w:t>
      </w:r>
    </w:p>
    <w:p w14:paraId="611B504D" w14:textId="77777777" w:rsidR="00C30CAD" w:rsidRPr="007268A5" w:rsidRDefault="00C30CAD" w:rsidP="00010D60">
      <w:pPr>
        <w:pStyle w:val="Bibliography"/>
        <w:jc w:val="both"/>
        <w:rPr>
          <w:rFonts w:ascii="Arial" w:hAnsi="Arial" w:cs="Arial"/>
          <w:color w:val="000000" w:themeColor="text1"/>
          <w:lang w:val="fr-CI"/>
        </w:rPr>
      </w:pPr>
      <w:r w:rsidRPr="007268A5">
        <w:rPr>
          <w:rFonts w:ascii="Arial" w:hAnsi="Arial" w:cs="Arial"/>
          <w:color w:val="000000" w:themeColor="text1"/>
        </w:rPr>
        <w:t xml:space="preserve">Lei, H., Su, R., Haughey, S. A., Wang, Q., Xu, Z., Yang, J., Shen, Y., Wang, H., Jiang, Y., &amp; Sun, Y. (2011). Development of a Specifically Enhanced Enzyme-Linked Immunosorbent Assay for the Detection of Melamine in Milk. </w:t>
      </w:r>
      <w:r w:rsidRPr="007268A5">
        <w:rPr>
          <w:rFonts w:ascii="Arial" w:hAnsi="Arial" w:cs="Arial"/>
          <w:color w:val="000000" w:themeColor="text1"/>
          <w:lang w:val="fr-CI"/>
        </w:rPr>
        <w:t>Molecules, 16(7), Article 7. https://doi.org/10.3390/molecules16075591</w:t>
      </w:r>
    </w:p>
    <w:p w14:paraId="6FE475E8"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lang w:val="fr-CI"/>
        </w:rPr>
        <w:t xml:space="preserve">Li, J., Kuang, D., Feng, Y., Zhang, F., Xu, Z., &amp; Liu, M. (2012). </w:t>
      </w:r>
      <w:r w:rsidRPr="007268A5">
        <w:rPr>
          <w:rFonts w:ascii="Arial" w:hAnsi="Arial" w:cs="Arial"/>
          <w:color w:val="000000" w:themeColor="text1"/>
        </w:rPr>
        <w:t>A Novel Electrochemical Method for Sensitive Detection of Melamine in Infant Formula and Milk using Ascorbic Acid as Recognition Element. Bulletin of the Korean Chemical Society, 33(8), 2499</w:t>
      </w:r>
      <w:r w:rsidRPr="007268A5">
        <w:rPr>
          <w:rFonts w:ascii="Cambria Math" w:hAnsi="Cambria Math" w:cs="Cambria Math"/>
          <w:color w:val="000000" w:themeColor="text1"/>
        </w:rPr>
        <w:t>‑</w:t>
      </w:r>
      <w:r w:rsidRPr="007268A5">
        <w:rPr>
          <w:rFonts w:ascii="Arial" w:hAnsi="Arial" w:cs="Arial"/>
          <w:color w:val="000000" w:themeColor="text1"/>
        </w:rPr>
        <w:t>2507. https://doi.org/10.5012/bkcs.2012.33.8.2499</w:t>
      </w:r>
    </w:p>
    <w:p w14:paraId="2A8C409D"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lang w:val="fr-CI"/>
        </w:rPr>
        <w:t xml:space="preserve">Liu, X., Song, M., &amp; Li, F. (2017). </w:t>
      </w:r>
      <w:r w:rsidRPr="007268A5">
        <w:rPr>
          <w:rFonts w:ascii="Arial" w:hAnsi="Arial" w:cs="Arial"/>
          <w:color w:val="000000" w:themeColor="text1"/>
        </w:rPr>
        <w:t>Triplex DNA-based Bioanalytical Platform for Highly Sensitive Homogeneous Electrochemical Detection of Melamine. Scientific Reports, 7(1), 4490. https://doi.org/10.1038/s41598-017-04812-4</w:t>
      </w:r>
    </w:p>
    <w:p w14:paraId="6197A046"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Liu, Y. T., Deng, J., Xiao, X. L., Ding, L., Yuan, Y. L., Li, H., Li, X. T., Yan, X. N., &amp; Wang, L. L. (2011). Electrochemical sensor based on a poly(para-aminobenzoic acid) film modified glassy carbon electrode for the determination of melamine in milk. Electrochimica Acta, 56(12), 4595</w:t>
      </w:r>
      <w:r w:rsidRPr="007268A5">
        <w:rPr>
          <w:rFonts w:ascii="Cambria Math" w:hAnsi="Cambria Math" w:cs="Cambria Math"/>
          <w:color w:val="000000" w:themeColor="text1"/>
        </w:rPr>
        <w:t>‑</w:t>
      </w:r>
      <w:r w:rsidRPr="007268A5">
        <w:rPr>
          <w:rFonts w:ascii="Arial" w:hAnsi="Arial" w:cs="Arial"/>
          <w:color w:val="000000" w:themeColor="text1"/>
        </w:rPr>
        <w:t>4602. https://doi.org/10.1016/j.electacta.2011.02.088</w:t>
      </w:r>
    </w:p>
    <w:p w14:paraId="10EC8416"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 xml:space="preserve">Mauer, L. J., Chernyshova, A. A., Hiatt, A., Deering, A., &amp; Davis, R. (2009). Melamine Detection in Infant Formula Powder Using Near- and Mid-Infrared Spectroscopy. </w:t>
      </w:r>
      <w:r w:rsidRPr="007268A5">
        <w:rPr>
          <w:rFonts w:ascii="Arial" w:hAnsi="Arial" w:cs="Arial"/>
          <w:color w:val="000000" w:themeColor="text1"/>
        </w:rPr>
        <w:lastRenderedPageBreak/>
        <w:t>Journal of Agricultural and Food Chemistry, 57(10), 3974</w:t>
      </w:r>
      <w:r w:rsidRPr="007268A5">
        <w:rPr>
          <w:rFonts w:ascii="Cambria Math" w:hAnsi="Cambria Math" w:cs="Cambria Math"/>
          <w:color w:val="000000" w:themeColor="text1"/>
        </w:rPr>
        <w:t>‑</w:t>
      </w:r>
      <w:r w:rsidRPr="007268A5">
        <w:rPr>
          <w:rFonts w:ascii="Arial" w:hAnsi="Arial" w:cs="Arial"/>
          <w:color w:val="000000" w:themeColor="text1"/>
        </w:rPr>
        <w:t>3980. https://doi.org/10.1021/jf900587m</w:t>
      </w:r>
    </w:p>
    <w:p w14:paraId="5C93ED9F"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Nong, Y., Ma, X., Fan, S., &amp; Yu, Y. (2014). A fast and low-cost method for determination of melamine in soil and sediment using high performance liquid chromatography. Analytical Methods, 6(12), 4124</w:t>
      </w:r>
      <w:r w:rsidRPr="007268A5">
        <w:rPr>
          <w:rFonts w:ascii="Cambria Math" w:hAnsi="Cambria Math" w:cs="Cambria Math"/>
          <w:color w:val="000000" w:themeColor="text1"/>
        </w:rPr>
        <w:t>‑</w:t>
      </w:r>
      <w:r w:rsidRPr="007268A5">
        <w:rPr>
          <w:rFonts w:ascii="Arial" w:hAnsi="Arial" w:cs="Arial"/>
          <w:color w:val="000000" w:themeColor="text1"/>
        </w:rPr>
        <w:t>4129. https://doi.org/10.1039/C3AY42138D</w:t>
      </w:r>
    </w:p>
    <w:p w14:paraId="320FDE5B"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Novak, I. (2022). Efficiency of reversible reaction : A graphical approach. Chemistry Teacher International, 4(3), 271</w:t>
      </w:r>
      <w:r w:rsidRPr="007268A5">
        <w:rPr>
          <w:rFonts w:ascii="Cambria Math" w:hAnsi="Cambria Math" w:cs="Cambria Math"/>
          <w:color w:val="000000" w:themeColor="text1"/>
        </w:rPr>
        <w:t>‑</w:t>
      </w:r>
      <w:r w:rsidRPr="007268A5">
        <w:rPr>
          <w:rFonts w:ascii="Arial" w:hAnsi="Arial" w:cs="Arial"/>
          <w:color w:val="000000" w:themeColor="text1"/>
        </w:rPr>
        <w:t>277. https://doi.org/10.1515/cti-2022-0004</w:t>
      </w:r>
    </w:p>
    <w:p w14:paraId="25D20A9F"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Othman, A. M. (2012). Spectrofluorimetric determination of melamine formaldehyde in solid and liquid forms and in wastewater. Journal of Analytical Chemistry, 67(4), 349</w:t>
      </w:r>
      <w:r w:rsidRPr="007268A5">
        <w:rPr>
          <w:rFonts w:ascii="Cambria Math" w:hAnsi="Cambria Math" w:cs="Cambria Math"/>
          <w:color w:val="000000" w:themeColor="text1"/>
        </w:rPr>
        <w:t>‑</w:t>
      </w:r>
      <w:r w:rsidRPr="007268A5">
        <w:rPr>
          <w:rFonts w:ascii="Arial" w:hAnsi="Arial" w:cs="Arial"/>
          <w:color w:val="000000" w:themeColor="text1"/>
        </w:rPr>
        <w:t>353. https://doi.org/10.1134/S1061934812020098</w:t>
      </w:r>
    </w:p>
    <w:p w14:paraId="05EE4D22"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Qin, Y., Lv, X., Li, J., Qi, G., Diao, Q., Liu, G., Xue, M., Wang, J., Tong, J., Zhang, L., &amp; Zhang, K. (2010). Assessment of melamine contamination in crop, soil and water in China and risks of melamine accumulation in animal tissues and products. Environment International, 36(5), 446</w:t>
      </w:r>
      <w:r w:rsidRPr="007268A5">
        <w:rPr>
          <w:rFonts w:ascii="Cambria Math" w:hAnsi="Cambria Math" w:cs="Cambria Math"/>
          <w:color w:val="000000" w:themeColor="text1"/>
        </w:rPr>
        <w:t>‑</w:t>
      </w:r>
      <w:r w:rsidRPr="007268A5">
        <w:rPr>
          <w:rFonts w:ascii="Arial" w:hAnsi="Arial" w:cs="Arial"/>
          <w:color w:val="000000" w:themeColor="text1"/>
        </w:rPr>
        <w:t>452. https://doi.org/10.1016/j.envint.2010.03.006</w:t>
      </w:r>
    </w:p>
    <w:p w14:paraId="2211BCE3"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Rao, H., Chen, M., Ge, H., Lu, Z., Liu, X., Zou, P., Wang, X., He, H., Zeng, X., &amp; Wang, Y. (2017). A novel electrochemical sensor based on Au@PANI composites film modified glassy carbon electrode binding molecular imprinting technique for the determination of melamine. Biosensors and Bioelectronics, 87, 1029</w:t>
      </w:r>
      <w:r w:rsidRPr="007268A5">
        <w:rPr>
          <w:rFonts w:ascii="Cambria Math" w:hAnsi="Cambria Math" w:cs="Cambria Math"/>
          <w:color w:val="000000" w:themeColor="text1"/>
        </w:rPr>
        <w:t>‑</w:t>
      </w:r>
      <w:r w:rsidRPr="007268A5">
        <w:rPr>
          <w:rFonts w:ascii="Arial" w:hAnsi="Arial" w:cs="Arial"/>
          <w:color w:val="000000" w:themeColor="text1"/>
        </w:rPr>
        <w:t>1035. https://doi.org/10.1016/j.bios.2016.09.074</w:t>
      </w:r>
    </w:p>
    <w:p w14:paraId="1D881866"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Siriwardana, K., Wang, A., Gadogbe, M., Collier, W. E., Fitzkee, N. C., &amp; Zhang, D. (2015). Studying the Effects of Cysteine Residues on Protein Interactions with Silver Nanoparticles. The Journal of Physical Chemistry C, 119(5), 2910</w:t>
      </w:r>
      <w:r w:rsidRPr="007268A5">
        <w:rPr>
          <w:rFonts w:ascii="Cambria Math" w:hAnsi="Cambria Math" w:cs="Cambria Math"/>
          <w:color w:val="000000" w:themeColor="text1"/>
        </w:rPr>
        <w:t>‑</w:t>
      </w:r>
      <w:r w:rsidRPr="007268A5">
        <w:rPr>
          <w:rFonts w:ascii="Arial" w:hAnsi="Arial" w:cs="Arial"/>
          <w:color w:val="000000" w:themeColor="text1"/>
        </w:rPr>
        <w:t>2916. https://doi.org/10.1021/jp512440z</w:t>
      </w:r>
    </w:p>
    <w:p w14:paraId="091CC2EC"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Skinner, C. G., Thomas, J. D., &amp; Osterloh, J. D. (2010). Melamine Toxicity. Journal of Medical Toxicology, 6(1), 50</w:t>
      </w:r>
      <w:r w:rsidRPr="007268A5">
        <w:rPr>
          <w:rFonts w:ascii="Cambria Math" w:hAnsi="Cambria Math" w:cs="Cambria Math"/>
          <w:color w:val="000000" w:themeColor="text1"/>
        </w:rPr>
        <w:t>‑</w:t>
      </w:r>
      <w:r w:rsidRPr="007268A5">
        <w:rPr>
          <w:rFonts w:ascii="Arial" w:hAnsi="Arial" w:cs="Arial"/>
          <w:color w:val="000000" w:themeColor="text1"/>
        </w:rPr>
        <w:t>55. https://doi.org/10.1007/s13181-010-0038-1</w:t>
      </w:r>
    </w:p>
    <w:p w14:paraId="2F6E7E40"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 xml:space="preserve">Sylvestre, K. K. K., Li, D., Fodjo, E. K., Alla Martin, A., Narcisse, P. B. B., &amp; Williams, I. B. I. (2025). Fast detection of melamine using silver nanoparticles capped with l -cysteine </w:t>
      </w:r>
      <w:r w:rsidRPr="007268A5">
        <w:rPr>
          <w:rFonts w:ascii="Arial" w:hAnsi="Arial" w:cs="Arial"/>
          <w:color w:val="000000" w:themeColor="text1"/>
        </w:rPr>
        <w:lastRenderedPageBreak/>
        <w:t>functionalized carbon dots. RSC Advances, 15(39), 32031</w:t>
      </w:r>
      <w:r w:rsidRPr="007268A5">
        <w:rPr>
          <w:rFonts w:ascii="Cambria Math" w:hAnsi="Cambria Math" w:cs="Cambria Math"/>
          <w:color w:val="000000" w:themeColor="text1"/>
        </w:rPr>
        <w:t>‑</w:t>
      </w:r>
      <w:r w:rsidRPr="007268A5">
        <w:rPr>
          <w:rFonts w:ascii="Arial" w:hAnsi="Arial" w:cs="Arial"/>
          <w:color w:val="000000" w:themeColor="text1"/>
        </w:rPr>
        <w:t>32040. https://doi.org/10.1039/D5RA03280F</w:t>
      </w:r>
    </w:p>
    <w:p w14:paraId="3CEE1EAA"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Toh, H. S., Batchelor-McAuley, C., Tschulik, K., &amp; Compton, R. G. (2014). Chemical interactions between silver nanoparticles and thiols : A comparison of mercaptohexanol against cysteine. Science China Chemistry, 57(9), 1199</w:t>
      </w:r>
      <w:r w:rsidRPr="007268A5">
        <w:rPr>
          <w:rFonts w:ascii="Cambria Math" w:hAnsi="Cambria Math" w:cs="Cambria Math"/>
          <w:color w:val="000000" w:themeColor="text1"/>
        </w:rPr>
        <w:t>‑</w:t>
      </w:r>
      <w:r w:rsidRPr="007268A5">
        <w:rPr>
          <w:rFonts w:ascii="Arial" w:hAnsi="Arial" w:cs="Arial"/>
          <w:color w:val="000000" w:themeColor="text1"/>
        </w:rPr>
        <w:t>1210. https://doi.org/10.1007/s11426-014-5141-8</w:t>
      </w:r>
    </w:p>
    <w:p w14:paraId="161B2931"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Xiu, C., &amp; Klein, K. K. (2010). Melamine in milk products in China : Examining the factors that led to deliberate use of the contaminant. Food Policy, 35(5), 463</w:t>
      </w:r>
      <w:r w:rsidRPr="007268A5">
        <w:rPr>
          <w:rFonts w:ascii="Cambria Math" w:hAnsi="Cambria Math" w:cs="Cambria Math"/>
          <w:color w:val="000000" w:themeColor="text1"/>
        </w:rPr>
        <w:t>‑</w:t>
      </w:r>
      <w:r w:rsidRPr="007268A5">
        <w:rPr>
          <w:rFonts w:ascii="Arial" w:hAnsi="Arial" w:cs="Arial"/>
          <w:color w:val="000000" w:themeColor="text1"/>
        </w:rPr>
        <w:t>470. https://doi.org/10.1016/j.foodpol.2010.05.001</w:t>
      </w:r>
    </w:p>
    <w:p w14:paraId="2B07F094"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Xu, G., Zhang, H., Zhong, M., Zhang, T., Lu, X., &amp; Kan, X. (2014). Imprinted sol–gel electrochemical sensor for melamine direct recognition and detection. Journal of Electroanalytical Chemistry, 713, 112</w:t>
      </w:r>
      <w:r w:rsidRPr="007268A5">
        <w:rPr>
          <w:rFonts w:ascii="Cambria Math" w:hAnsi="Cambria Math" w:cs="Cambria Math"/>
          <w:color w:val="000000" w:themeColor="text1"/>
        </w:rPr>
        <w:t>‑</w:t>
      </w:r>
      <w:r w:rsidRPr="007268A5">
        <w:rPr>
          <w:rFonts w:ascii="Arial" w:hAnsi="Arial" w:cs="Arial"/>
          <w:color w:val="000000" w:themeColor="text1"/>
        </w:rPr>
        <w:t>118. https://doi.org/10.1016/j.jelechem.2013.12.004</w:t>
      </w:r>
    </w:p>
    <w:p w14:paraId="6AA524F2"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Xu, X., Ren, Y., Zhu, Y., Cai, Z., Han, J., Huang, B., &amp; Zhu, Y. (2009). Direct determination of melamine in dairy products by gas chromatography/mass spectrometry with coupled column separation. Analytica Chimica Acta, 650(1), 39</w:t>
      </w:r>
      <w:r w:rsidRPr="007268A5">
        <w:rPr>
          <w:rFonts w:ascii="Cambria Math" w:hAnsi="Cambria Math" w:cs="Cambria Math"/>
          <w:color w:val="000000" w:themeColor="text1"/>
        </w:rPr>
        <w:t>‑</w:t>
      </w:r>
      <w:r w:rsidRPr="007268A5">
        <w:rPr>
          <w:rFonts w:ascii="Arial" w:hAnsi="Arial" w:cs="Arial"/>
          <w:color w:val="000000" w:themeColor="text1"/>
        </w:rPr>
        <w:t>43. https://doi.org/10.1016/j.aca.2009.04.026</w:t>
      </w:r>
    </w:p>
    <w:p w14:paraId="5C87472E"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Xue, J., Lee, P. T., &amp; Compton, R. G. (2014). Electrochemical Detection of Melamine. Electroanalysis, 26(7), 1454</w:t>
      </w:r>
      <w:r w:rsidRPr="007268A5">
        <w:rPr>
          <w:rFonts w:ascii="Cambria Math" w:hAnsi="Cambria Math" w:cs="Cambria Math"/>
          <w:color w:val="000000" w:themeColor="text1"/>
        </w:rPr>
        <w:t>‑</w:t>
      </w:r>
      <w:r w:rsidRPr="007268A5">
        <w:rPr>
          <w:rFonts w:ascii="Arial" w:hAnsi="Arial" w:cs="Arial"/>
          <w:color w:val="000000" w:themeColor="text1"/>
        </w:rPr>
        <w:t>1460. https://doi.org/10.1002/elan.201400166</w:t>
      </w:r>
    </w:p>
    <w:p w14:paraId="4CC2A5CC" w14:textId="77777777" w:rsidR="00C30CAD" w:rsidRPr="007268A5" w:rsidRDefault="00C30CAD" w:rsidP="00010D60">
      <w:pPr>
        <w:pStyle w:val="Bibliography"/>
        <w:jc w:val="both"/>
        <w:rPr>
          <w:rFonts w:ascii="Arial" w:hAnsi="Arial" w:cs="Arial"/>
          <w:color w:val="000000" w:themeColor="text1"/>
        </w:rPr>
      </w:pPr>
      <w:r w:rsidRPr="007268A5">
        <w:rPr>
          <w:rFonts w:ascii="Arial" w:hAnsi="Arial" w:cs="Arial"/>
          <w:color w:val="000000" w:themeColor="text1"/>
        </w:rPr>
        <w:t>Yilmaz, Ü. T., &amp; Yazar, Z. (2012). Determination of Melamine by Differential Pulse Polarography/Application to Milk and Milk Powder. Food Analytical Methods, 5(1), 119</w:t>
      </w:r>
      <w:r w:rsidRPr="007268A5">
        <w:rPr>
          <w:rFonts w:ascii="Cambria Math" w:hAnsi="Cambria Math" w:cs="Cambria Math"/>
          <w:color w:val="000000" w:themeColor="text1"/>
        </w:rPr>
        <w:t>‑</w:t>
      </w:r>
      <w:r w:rsidRPr="007268A5">
        <w:rPr>
          <w:rFonts w:ascii="Arial" w:hAnsi="Arial" w:cs="Arial"/>
          <w:color w:val="000000" w:themeColor="text1"/>
        </w:rPr>
        <w:t>125. https://doi.org/10.1007/s12161-011-9214-4</w:t>
      </w:r>
    </w:p>
    <w:p w14:paraId="625F6723" w14:textId="77777777" w:rsidR="00C30CAD" w:rsidRPr="00C56606" w:rsidRDefault="00C30CAD" w:rsidP="00010D60">
      <w:pPr>
        <w:pStyle w:val="Body"/>
        <w:spacing w:after="0"/>
        <w:rPr>
          <w:rFonts w:ascii="Arial" w:hAnsi="Arial" w:cs="Arial"/>
          <w:color w:val="000000" w:themeColor="text1"/>
        </w:rPr>
        <w:sectPr w:rsidR="00C30CAD" w:rsidRPr="00C56606" w:rsidSect="000D1F80">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r w:rsidRPr="007268A5">
        <w:rPr>
          <w:rFonts w:ascii="Arial" w:hAnsi="Arial" w:cs="Arial"/>
          <w:color w:val="000000" w:themeColor="text1"/>
        </w:rPr>
        <w:fldChar w:fldCharType="end"/>
      </w:r>
    </w:p>
    <w:p w14:paraId="0104965D" w14:textId="77777777" w:rsidR="00C30CAD" w:rsidRPr="00C56606" w:rsidRDefault="00C30CAD" w:rsidP="00C30CAD">
      <w:pPr>
        <w:pStyle w:val="Appendix"/>
        <w:spacing w:after="0"/>
        <w:jc w:val="both"/>
        <w:rPr>
          <w:rFonts w:ascii="Arial" w:hAnsi="Arial" w:cs="Arial"/>
          <w:b w:val="0"/>
          <w:color w:val="000000" w:themeColor="text1"/>
        </w:rPr>
      </w:pPr>
    </w:p>
    <w:p w14:paraId="28092FCC" w14:textId="77777777" w:rsidR="00C30CAD" w:rsidRPr="00C56606" w:rsidRDefault="00C30CAD" w:rsidP="00C30CAD">
      <w:pPr>
        <w:rPr>
          <w:color w:val="000000" w:themeColor="text1"/>
        </w:rPr>
      </w:pPr>
    </w:p>
    <w:p w14:paraId="037B7FED" w14:textId="77777777" w:rsidR="00007741" w:rsidRPr="00C56606" w:rsidRDefault="00007741">
      <w:pPr>
        <w:rPr>
          <w:color w:val="000000" w:themeColor="text1"/>
        </w:rPr>
      </w:pPr>
    </w:p>
    <w:sectPr w:rsidR="00007741" w:rsidRPr="00C56606" w:rsidSect="000D1F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CECBD" w14:textId="77777777" w:rsidR="001C0DA4" w:rsidRDefault="001C0DA4">
      <w:r>
        <w:separator/>
      </w:r>
    </w:p>
  </w:endnote>
  <w:endnote w:type="continuationSeparator" w:id="0">
    <w:p w14:paraId="0FE9ED04" w14:textId="77777777" w:rsidR="001C0DA4" w:rsidRDefault="001C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E03D" w14:textId="77777777" w:rsidR="000D1F80" w:rsidRDefault="000D1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C7F8" w14:textId="77777777" w:rsidR="000D1F80" w:rsidRDefault="000D1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F81" w14:textId="77777777" w:rsidR="00550B13" w:rsidRDefault="00550B13">
    <w:pPr>
      <w:pStyle w:val="Footer"/>
      <w:rPr>
        <w:rFonts w:ascii="Arial" w:hAnsi="Arial" w:cs="Arial"/>
        <w:sz w:val="16"/>
      </w:rPr>
    </w:pPr>
  </w:p>
  <w:p w14:paraId="3534FCB0" w14:textId="77777777" w:rsidR="00550B13" w:rsidRDefault="001C0DA4" w:rsidP="00F355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CEC7F3" w14:textId="77777777" w:rsidR="00550B13" w:rsidRDefault="00550B13">
    <w:pPr>
      <w:pStyle w:val="Footer"/>
      <w:rPr>
        <w:rFonts w:ascii="Arial" w:hAnsi="Arial" w:cs="Arial"/>
        <w:sz w:val="16"/>
      </w:rPr>
    </w:pPr>
  </w:p>
  <w:p w14:paraId="33D99137" w14:textId="77777777" w:rsidR="00550B13" w:rsidRPr="009E048A" w:rsidRDefault="001C0DA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A65F" w14:textId="77777777" w:rsidR="00550B13" w:rsidRPr="00C37E61" w:rsidRDefault="00550B13" w:rsidP="00F35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D790E" w14:textId="77777777" w:rsidR="001C0DA4" w:rsidRDefault="001C0DA4">
      <w:r>
        <w:separator/>
      </w:r>
    </w:p>
  </w:footnote>
  <w:footnote w:type="continuationSeparator" w:id="0">
    <w:p w14:paraId="04F7BD0A" w14:textId="77777777" w:rsidR="001C0DA4" w:rsidRDefault="001C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D9CE" w14:textId="060AC257" w:rsidR="000D1F80" w:rsidRDefault="000D1F80">
    <w:pPr>
      <w:pStyle w:val="Header"/>
    </w:pPr>
    <w:r>
      <w:rPr>
        <w:noProof/>
      </w:rPr>
      <w:pict w14:anchorId="3B820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295A" w14:textId="3735BB49" w:rsidR="000D1F80" w:rsidRDefault="000D1F80">
    <w:pPr>
      <w:pStyle w:val="Header"/>
    </w:pPr>
    <w:r>
      <w:rPr>
        <w:noProof/>
      </w:rPr>
      <w:pict w14:anchorId="4DBBC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E9F4" w14:textId="25FA96C7" w:rsidR="00550B13" w:rsidRPr="00296529" w:rsidRDefault="000D1F80" w:rsidP="00F3558B">
    <w:pPr>
      <w:ind w:left="2160"/>
      <w:jc w:val="center"/>
      <w:rPr>
        <w:rFonts w:ascii="Times New Roman" w:eastAsia="Calibri" w:hAnsi="Times New Roman"/>
        <w:i/>
        <w:sz w:val="18"/>
        <w:szCs w:val="22"/>
      </w:rPr>
    </w:pPr>
    <w:r>
      <w:rPr>
        <w:noProof/>
      </w:rPr>
      <w:pict w14:anchorId="3F4DC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BA1C24" w14:textId="77777777" w:rsidR="00550B13" w:rsidRPr="00296529" w:rsidRDefault="001C0DA4" w:rsidP="00F3558B">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D67D80" w14:textId="77777777" w:rsidR="00550B13" w:rsidRPr="00296529" w:rsidRDefault="001C0DA4" w:rsidP="00F3558B">
    <w:pPr>
      <w:jc w:val="center"/>
      <w:rPr>
        <w:rFonts w:ascii="Times New Roman" w:eastAsia="Calibri" w:hAnsi="Times New Roman"/>
        <w:i/>
        <w:sz w:val="18"/>
        <w:szCs w:val="22"/>
      </w:rPr>
    </w:pPr>
    <w:r>
      <w:rPr>
        <w:rFonts w:ascii="Times New Roman" w:eastAsia="Calibri" w:hAnsi="Times New Roman"/>
        <w:i/>
        <w:sz w:val="18"/>
        <w:szCs w:val="22"/>
      </w:rPr>
      <w:t>.</w:t>
    </w:r>
  </w:p>
  <w:p w14:paraId="66996AF8" w14:textId="77777777" w:rsidR="00550B13" w:rsidRPr="00296529" w:rsidRDefault="001C0DA4" w:rsidP="00F3558B">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A99346" w14:textId="77777777" w:rsidR="00550B13" w:rsidRDefault="001C0DA4" w:rsidP="00F3558B">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39C7A" w14:textId="77777777" w:rsidR="00550B13" w:rsidRDefault="001C0DA4" w:rsidP="00F355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16C911" w14:textId="77777777" w:rsidR="00550B13" w:rsidRDefault="001C0D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A164" w14:textId="194A6954" w:rsidR="000D1F80" w:rsidRDefault="000D1F80">
    <w:pPr>
      <w:pStyle w:val="Header"/>
    </w:pPr>
    <w:r>
      <w:rPr>
        <w:noProof/>
      </w:rPr>
      <w:pict w14:anchorId="3D44F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3E8A" w14:textId="5C369A74" w:rsidR="000D1F80" w:rsidRDefault="000D1F80">
    <w:pPr>
      <w:pStyle w:val="Header"/>
    </w:pPr>
    <w:r>
      <w:rPr>
        <w:noProof/>
      </w:rPr>
      <w:pict w14:anchorId="3ADA1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03E2" w14:textId="0DA67E37" w:rsidR="000D1F80" w:rsidRDefault="000D1F80">
    <w:pPr>
      <w:pStyle w:val="Header"/>
    </w:pPr>
    <w:r>
      <w:rPr>
        <w:noProof/>
      </w:rPr>
      <w:pict w14:anchorId="115B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75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AD"/>
    <w:rsid w:val="00007741"/>
    <w:rsid w:val="00010D60"/>
    <w:rsid w:val="00081C1A"/>
    <w:rsid w:val="000C1FA9"/>
    <w:rsid w:val="000D1F80"/>
    <w:rsid w:val="00163DFA"/>
    <w:rsid w:val="0019100C"/>
    <w:rsid w:val="001C0DA4"/>
    <w:rsid w:val="001E643E"/>
    <w:rsid w:val="001E6BA6"/>
    <w:rsid w:val="00200E0E"/>
    <w:rsid w:val="002430EB"/>
    <w:rsid w:val="0028627C"/>
    <w:rsid w:val="002B179D"/>
    <w:rsid w:val="003552CC"/>
    <w:rsid w:val="003754E8"/>
    <w:rsid w:val="00390DC0"/>
    <w:rsid w:val="00474E7D"/>
    <w:rsid w:val="004823AF"/>
    <w:rsid w:val="00483BBC"/>
    <w:rsid w:val="00493CDB"/>
    <w:rsid w:val="004C4FA1"/>
    <w:rsid w:val="004E496E"/>
    <w:rsid w:val="00550B13"/>
    <w:rsid w:val="005C0D17"/>
    <w:rsid w:val="005D34BE"/>
    <w:rsid w:val="0061718E"/>
    <w:rsid w:val="006A0259"/>
    <w:rsid w:val="00711E46"/>
    <w:rsid w:val="007268A5"/>
    <w:rsid w:val="0079189C"/>
    <w:rsid w:val="007A0BDE"/>
    <w:rsid w:val="007A42F7"/>
    <w:rsid w:val="007C30F2"/>
    <w:rsid w:val="007D33A1"/>
    <w:rsid w:val="007E11D1"/>
    <w:rsid w:val="008205B3"/>
    <w:rsid w:val="009410AE"/>
    <w:rsid w:val="00946B2F"/>
    <w:rsid w:val="00964C40"/>
    <w:rsid w:val="009A547F"/>
    <w:rsid w:val="009C31AB"/>
    <w:rsid w:val="00A37307"/>
    <w:rsid w:val="00A610CC"/>
    <w:rsid w:val="00A83734"/>
    <w:rsid w:val="00A86F7F"/>
    <w:rsid w:val="00B41223"/>
    <w:rsid w:val="00B84503"/>
    <w:rsid w:val="00C00914"/>
    <w:rsid w:val="00C30CAD"/>
    <w:rsid w:val="00C318D1"/>
    <w:rsid w:val="00C56606"/>
    <w:rsid w:val="00CB37AB"/>
    <w:rsid w:val="00D53BB0"/>
    <w:rsid w:val="00D61D23"/>
    <w:rsid w:val="00E94B3E"/>
    <w:rsid w:val="00E9763F"/>
    <w:rsid w:val="00EA3700"/>
    <w:rsid w:val="00F859CD"/>
    <w:rsid w:val="00FB78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1F2541"/>
  <w15:chartTrackingRefBased/>
  <w15:docId w15:val="{A3486D2C-DCEB-429E-8FE2-CEE6EF3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CAD"/>
    <w:pPr>
      <w:spacing w:after="0" w:line="240" w:lineRule="auto"/>
    </w:pPr>
    <w:rPr>
      <w:rFonts w:ascii="Helvetica" w:eastAsia="Times New Roman" w:hAnsi="Helvetica" w:cs="Times New Roman"/>
      <w:sz w:val="20"/>
      <w:szCs w:val="20"/>
      <w:lang w:val="en-US" w:eastAsia="en-US"/>
    </w:rPr>
  </w:style>
  <w:style w:type="paragraph" w:styleId="Heading1">
    <w:name w:val="heading 1"/>
    <w:basedOn w:val="Normal"/>
    <w:next w:val="Normal"/>
    <w:link w:val="Heading1Char"/>
    <w:uiPriority w:val="9"/>
    <w:qFormat/>
    <w:rsid w:val="00C30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C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C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C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C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CAD"/>
    <w:rPr>
      <w:rFonts w:eastAsiaTheme="majorEastAsia" w:cstheme="majorBidi"/>
      <w:color w:val="272727" w:themeColor="text1" w:themeTint="D8"/>
    </w:rPr>
  </w:style>
  <w:style w:type="paragraph" w:styleId="Title">
    <w:name w:val="Title"/>
    <w:basedOn w:val="Normal"/>
    <w:next w:val="Normal"/>
    <w:link w:val="TitleChar"/>
    <w:qFormat/>
    <w:rsid w:val="00C30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CAD"/>
    <w:pPr>
      <w:spacing w:before="160"/>
      <w:jc w:val="center"/>
    </w:pPr>
    <w:rPr>
      <w:i/>
      <w:iCs/>
      <w:color w:val="404040" w:themeColor="text1" w:themeTint="BF"/>
    </w:rPr>
  </w:style>
  <w:style w:type="character" w:customStyle="1" w:styleId="QuoteChar">
    <w:name w:val="Quote Char"/>
    <w:basedOn w:val="DefaultParagraphFont"/>
    <w:link w:val="Quote"/>
    <w:uiPriority w:val="29"/>
    <w:rsid w:val="00C30CAD"/>
    <w:rPr>
      <w:i/>
      <w:iCs/>
      <w:color w:val="404040" w:themeColor="text1" w:themeTint="BF"/>
    </w:rPr>
  </w:style>
  <w:style w:type="paragraph" w:styleId="ListParagraph">
    <w:name w:val="List Paragraph"/>
    <w:basedOn w:val="Normal"/>
    <w:uiPriority w:val="34"/>
    <w:qFormat/>
    <w:rsid w:val="00C30CAD"/>
    <w:pPr>
      <w:ind w:left="720"/>
      <w:contextualSpacing/>
    </w:pPr>
  </w:style>
  <w:style w:type="character" w:styleId="IntenseEmphasis">
    <w:name w:val="Intense Emphasis"/>
    <w:basedOn w:val="DefaultParagraphFont"/>
    <w:uiPriority w:val="21"/>
    <w:qFormat/>
    <w:rsid w:val="00C30CAD"/>
    <w:rPr>
      <w:i/>
      <w:iCs/>
      <w:color w:val="2F5496" w:themeColor="accent1" w:themeShade="BF"/>
    </w:rPr>
  </w:style>
  <w:style w:type="paragraph" w:styleId="IntenseQuote">
    <w:name w:val="Intense Quote"/>
    <w:basedOn w:val="Normal"/>
    <w:next w:val="Normal"/>
    <w:link w:val="IntenseQuoteChar"/>
    <w:uiPriority w:val="30"/>
    <w:qFormat/>
    <w:rsid w:val="00C30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CAD"/>
    <w:rPr>
      <w:i/>
      <w:iCs/>
      <w:color w:val="2F5496" w:themeColor="accent1" w:themeShade="BF"/>
    </w:rPr>
  </w:style>
  <w:style w:type="character" w:styleId="IntenseReference">
    <w:name w:val="Intense Reference"/>
    <w:basedOn w:val="DefaultParagraphFont"/>
    <w:uiPriority w:val="32"/>
    <w:qFormat/>
    <w:rsid w:val="00C30CAD"/>
    <w:rPr>
      <w:b/>
      <w:bCs/>
      <w:smallCaps/>
      <w:color w:val="2F5496" w:themeColor="accent1" w:themeShade="BF"/>
      <w:spacing w:val="5"/>
    </w:rPr>
  </w:style>
  <w:style w:type="paragraph" w:customStyle="1" w:styleId="Author">
    <w:name w:val="Author"/>
    <w:basedOn w:val="Normal"/>
    <w:rsid w:val="00C30CAD"/>
    <w:pPr>
      <w:spacing w:line="280" w:lineRule="exact"/>
      <w:jc w:val="right"/>
    </w:pPr>
    <w:rPr>
      <w:b/>
      <w:sz w:val="24"/>
    </w:rPr>
  </w:style>
  <w:style w:type="paragraph" w:customStyle="1" w:styleId="Affiliation">
    <w:name w:val="Affiliation"/>
    <w:basedOn w:val="Normal"/>
    <w:rsid w:val="00C30CAD"/>
    <w:pPr>
      <w:spacing w:after="240" w:line="240" w:lineRule="exact"/>
      <w:jc w:val="right"/>
    </w:pPr>
  </w:style>
  <w:style w:type="paragraph" w:customStyle="1" w:styleId="Body">
    <w:name w:val="Body"/>
    <w:basedOn w:val="Normal"/>
    <w:rsid w:val="00C30CAD"/>
    <w:pPr>
      <w:spacing w:after="240"/>
      <w:jc w:val="both"/>
    </w:pPr>
  </w:style>
  <w:style w:type="paragraph" w:customStyle="1" w:styleId="AbstHead">
    <w:name w:val="Abst Head"/>
    <w:basedOn w:val="Normal"/>
    <w:rsid w:val="00C30CAD"/>
    <w:pPr>
      <w:keepNext/>
      <w:spacing w:after="240"/>
    </w:pPr>
    <w:rPr>
      <w:b/>
      <w:caps/>
      <w:sz w:val="22"/>
    </w:rPr>
  </w:style>
  <w:style w:type="paragraph" w:customStyle="1" w:styleId="ConcHead">
    <w:name w:val="Conc Head"/>
    <w:basedOn w:val="Normal"/>
    <w:rsid w:val="00C30CAD"/>
    <w:pPr>
      <w:keepNext/>
      <w:spacing w:after="240"/>
    </w:pPr>
    <w:rPr>
      <w:b/>
      <w:caps/>
      <w:sz w:val="22"/>
    </w:rPr>
  </w:style>
  <w:style w:type="paragraph" w:customStyle="1" w:styleId="AcknHead">
    <w:name w:val="Ackn Head"/>
    <w:basedOn w:val="Normal"/>
    <w:rsid w:val="00C30CAD"/>
    <w:pPr>
      <w:keepNext/>
      <w:spacing w:after="240"/>
    </w:pPr>
    <w:rPr>
      <w:b/>
      <w:caps/>
      <w:sz w:val="22"/>
    </w:rPr>
  </w:style>
  <w:style w:type="paragraph" w:customStyle="1" w:styleId="ReferHead">
    <w:name w:val="Refer Head"/>
    <w:basedOn w:val="Normal"/>
    <w:rsid w:val="00C30CAD"/>
    <w:pPr>
      <w:keepNext/>
      <w:spacing w:after="240"/>
    </w:pPr>
    <w:rPr>
      <w:b/>
      <w:caps/>
      <w:sz w:val="22"/>
    </w:rPr>
  </w:style>
  <w:style w:type="paragraph" w:customStyle="1" w:styleId="DefAcrHead">
    <w:name w:val="DefAcrHead"/>
    <w:basedOn w:val="Normal"/>
    <w:rsid w:val="00C30CAD"/>
    <w:pPr>
      <w:keepNext/>
      <w:spacing w:after="240"/>
    </w:pPr>
    <w:rPr>
      <w:b/>
      <w:caps/>
      <w:sz w:val="22"/>
    </w:rPr>
  </w:style>
  <w:style w:type="paragraph" w:customStyle="1" w:styleId="Copyright">
    <w:name w:val="Copyright"/>
    <w:basedOn w:val="Normal"/>
    <w:rsid w:val="00C30CAD"/>
    <w:pPr>
      <w:spacing w:after="960" w:line="200" w:lineRule="exact"/>
    </w:pPr>
    <w:rPr>
      <w:sz w:val="16"/>
    </w:rPr>
  </w:style>
  <w:style w:type="paragraph" w:customStyle="1" w:styleId="Reference">
    <w:name w:val="Reference"/>
    <w:basedOn w:val="Body"/>
    <w:rsid w:val="00C30CAD"/>
    <w:pPr>
      <w:numPr>
        <w:numId w:val="1"/>
      </w:numPr>
      <w:spacing w:after="0" w:line="240" w:lineRule="exact"/>
    </w:pPr>
  </w:style>
  <w:style w:type="paragraph" w:customStyle="1" w:styleId="Head1">
    <w:name w:val="Head1"/>
    <w:basedOn w:val="Normal"/>
    <w:rsid w:val="00C30CAD"/>
    <w:pPr>
      <w:keepNext/>
      <w:spacing w:after="240"/>
    </w:pPr>
    <w:rPr>
      <w:b/>
      <w:caps/>
      <w:sz w:val="22"/>
    </w:rPr>
  </w:style>
  <w:style w:type="paragraph" w:customStyle="1" w:styleId="Appendix">
    <w:name w:val="Appendix"/>
    <w:basedOn w:val="Normal"/>
    <w:rsid w:val="00C30CAD"/>
    <w:pPr>
      <w:keepNext/>
      <w:spacing w:after="240"/>
    </w:pPr>
    <w:rPr>
      <w:b/>
      <w:caps/>
      <w:sz w:val="22"/>
    </w:rPr>
  </w:style>
  <w:style w:type="paragraph" w:styleId="Footer">
    <w:name w:val="footer"/>
    <w:basedOn w:val="Normal"/>
    <w:link w:val="FooterChar"/>
    <w:rsid w:val="00C30CAD"/>
    <w:pPr>
      <w:tabs>
        <w:tab w:val="center" w:pos="4320"/>
        <w:tab w:val="right" w:pos="8640"/>
      </w:tabs>
    </w:pPr>
  </w:style>
  <w:style w:type="character" w:customStyle="1" w:styleId="FooterChar">
    <w:name w:val="Footer Char"/>
    <w:basedOn w:val="DefaultParagraphFont"/>
    <w:link w:val="Footer"/>
    <w:rsid w:val="00C30CAD"/>
    <w:rPr>
      <w:rFonts w:ascii="Helvetica" w:eastAsia="Times New Roman" w:hAnsi="Helvetica" w:cs="Times New Roman"/>
      <w:sz w:val="20"/>
      <w:szCs w:val="20"/>
      <w:lang w:val="en-US" w:eastAsia="en-US"/>
    </w:rPr>
  </w:style>
  <w:style w:type="paragraph" w:styleId="Header">
    <w:name w:val="header"/>
    <w:basedOn w:val="Normal"/>
    <w:link w:val="HeaderChar"/>
    <w:rsid w:val="00C30CAD"/>
    <w:pPr>
      <w:tabs>
        <w:tab w:val="center" w:pos="4320"/>
        <w:tab w:val="right" w:pos="8640"/>
      </w:tabs>
    </w:pPr>
  </w:style>
  <w:style w:type="character" w:customStyle="1" w:styleId="HeaderChar">
    <w:name w:val="Header Char"/>
    <w:basedOn w:val="DefaultParagraphFont"/>
    <w:link w:val="Header"/>
    <w:rsid w:val="00C30CAD"/>
    <w:rPr>
      <w:rFonts w:ascii="Helvetica" w:eastAsia="Times New Roman" w:hAnsi="Helvetica" w:cs="Times New Roman"/>
      <w:sz w:val="20"/>
      <w:szCs w:val="20"/>
      <w:lang w:val="en-US" w:eastAsia="en-US"/>
    </w:rPr>
  </w:style>
  <w:style w:type="character" w:styleId="Hyperlink">
    <w:name w:val="Hyperlink"/>
    <w:basedOn w:val="DefaultParagraphFont"/>
    <w:rsid w:val="00C30CAD"/>
    <w:rPr>
      <w:color w:val="FF0080"/>
      <w:u w:val="single"/>
    </w:rPr>
  </w:style>
  <w:style w:type="paragraph" w:styleId="BodyText3">
    <w:name w:val="Body Text 3"/>
    <w:basedOn w:val="Normal"/>
    <w:link w:val="BodyText3Char"/>
    <w:rsid w:val="00C30CAD"/>
    <w:pPr>
      <w:spacing w:after="120"/>
    </w:pPr>
    <w:rPr>
      <w:sz w:val="16"/>
      <w:szCs w:val="16"/>
    </w:rPr>
  </w:style>
  <w:style w:type="character" w:customStyle="1" w:styleId="BodyText3Char">
    <w:name w:val="Body Text 3 Char"/>
    <w:basedOn w:val="DefaultParagraphFont"/>
    <w:link w:val="BodyText3"/>
    <w:rsid w:val="00C30CAD"/>
    <w:rPr>
      <w:rFonts w:ascii="Helvetica" w:eastAsia="Times New Roman" w:hAnsi="Helvetica" w:cs="Times New Roman"/>
      <w:sz w:val="16"/>
      <w:szCs w:val="16"/>
      <w:lang w:val="en-US" w:eastAsia="en-US"/>
    </w:rPr>
  </w:style>
  <w:style w:type="character" w:styleId="LineNumber">
    <w:name w:val="line number"/>
    <w:basedOn w:val="DefaultParagraphFont"/>
    <w:uiPriority w:val="99"/>
    <w:semiHidden/>
    <w:unhideWhenUsed/>
    <w:rsid w:val="00C30CAD"/>
  </w:style>
  <w:style w:type="table" w:styleId="TableGrid">
    <w:name w:val="Table Grid"/>
    <w:basedOn w:val="TableNormal"/>
    <w:uiPriority w:val="39"/>
    <w:rsid w:val="00C30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30CAD"/>
    <w:pPr>
      <w:spacing w:line="480" w:lineRule="auto"/>
      <w:ind w:left="720" w:hanging="720"/>
    </w:pPr>
  </w:style>
  <w:style w:type="character" w:styleId="CommentReference">
    <w:name w:val="annotation reference"/>
    <w:basedOn w:val="DefaultParagraphFont"/>
    <w:uiPriority w:val="99"/>
    <w:semiHidden/>
    <w:unhideWhenUsed/>
    <w:rsid w:val="00C30CAD"/>
    <w:rPr>
      <w:sz w:val="16"/>
      <w:szCs w:val="16"/>
    </w:rPr>
  </w:style>
  <w:style w:type="paragraph" w:styleId="CommentText">
    <w:name w:val="annotation text"/>
    <w:basedOn w:val="Normal"/>
    <w:link w:val="CommentTextChar"/>
    <w:uiPriority w:val="99"/>
    <w:semiHidden/>
    <w:unhideWhenUsed/>
    <w:rsid w:val="00C30CAD"/>
  </w:style>
  <w:style w:type="character" w:customStyle="1" w:styleId="CommentTextChar">
    <w:name w:val="Comment Text Char"/>
    <w:basedOn w:val="DefaultParagraphFont"/>
    <w:link w:val="CommentText"/>
    <w:uiPriority w:val="99"/>
    <w:semiHidden/>
    <w:rsid w:val="00C30CAD"/>
    <w:rPr>
      <w:rFonts w:ascii="Helvetica" w:eastAsia="Times New Roman" w:hAnsi="Helvetica"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30CAD"/>
    <w:rPr>
      <w:b/>
      <w:bCs/>
    </w:rPr>
  </w:style>
  <w:style w:type="character" w:customStyle="1" w:styleId="CommentSubjectChar">
    <w:name w:val="Comment Subject Char"/>
    <w:basedOn w:val="CommentTextChar"/>
    <w:link w:val="CommentSubject"/>
    <w:uiPriority w:val="99"/>
    <w:semiHidden/>
    <w:rsid w:val="00C30CAD"/>
    <w:rPr>
      <w:rFonts w:ascii="Helvetica" w:eastAsia="Times New Roman" w:hAnsi="Helvetica" w:cs="Times New Roman"/>
      <w:b/>
      <w:bCs/>
      <w:sz w:val="20"/>
      <w:szCs w:val="20"/>
      <w:lang w:val="en-US" w:eastAsia="en-US"/>
    </w:rPr>
  </w:style>
  <w:style w:type="paragraph" w:styleId="BalloonText">
    <w:name w:val="Balloon Text"/>
    <w:basedOn w:val="Normal"/>
    <w:link w:val="BalloonTextChar"/>
    <w:uiPriority w:val="99"/>
    <w:semiHidden/>
    <w:unhideWhenUsed/>
    <w:rsid w:val="00C30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CAD"/>
    <w:rPr>
      <w:rFonts w:ascii="Segoe UI" w:eastAsia="Times New Roman" w:hAnsi="Segoe UI" w:cs="Segoe UI"/>
      <w:sz w:val="18"/>
      <w:szCs w:val="18"/>
      <w:lang w:val="en-US" w:eastAsia="en-US"/>
    </w:rPr>
  </w:style>
  <w:style w:type="character" w:styleId="UnresolvedMention">
    <w:name w:val="Unresolved Mention"/>
    <w:basedOn w:val="DefaultParagraphFont"/>
    <w:uiPriority w:val="99"/>
    <w:semiHidden/>
    <w:unhideWhenUsed/>
    <w:rsid w:val="0082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25</Pages>
  <Words>18447</Words>
  <Characters>105153</Characters>
  <Application>Microsoft Office Word</Application>
  <DocSecurity>0</DocSecurity>
  <Lines>876</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kkrasylvestre1990@gmail.com</dc:creator>
  <cp:keywords/>
  <dc:description/>
  <cp:lastModifiedBy>SDI 1084</cp:lastModifiedBy>
  <cp:revision>56</cp:revision>
  <dcterms:created xsi:type="dcterms:W3CDTF">2026-01-22T08:31:00Z</dcterms:created>
  <dcterms:modified xsi:type="dcterms:W3CDTF">2026-01-24T06:56:00Z</dcterms:modified>
</cp:coreProperties>
</file>