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EE55C" w14:textId="77777777" w:rsidR="009B45DB" w:rsidRPr="009E7A97" w:rsidRDefault="00412180">
      <w:pPr>
        <w:spacing w:after="0" w:line="240" w:lineRule="auto"/>
        <w:jc w:val="center"/>
        <w:rPr>
          <w:rFonts w:ascii="Times New Roman" w:hAnsi="Times New Roman" w:cs="Times New Roman"/>
          <w:b/>
          <w:sz w:val="28"/>
          <w:szCs w:val="28"/>
        </w:rPr>
      </w:pPr>
      <w:r w:rsidRPr="009E7A97">
        <w:rPr>
          <w:rFonts w:ascii="Times New Roman" w:hAnsi="Times New Roman" w:cs="Times New Roman"/>
          <w:b/>
          <w:sz w:val="28"/>
          <w:szCs w:val="28"/>
        </w:rPr>
        <w:t xml:space="preserve">Evaluation of </w:t>
      </w:r>
      <w:r w:rsidRPr="009E7A97">
        <w:rPr>
          <w:rFonts w:ascii="Times New Roman" w:eastAsia="Times New Roman" w:hAnsi="Times New Roman" w:cs="Times New Roman"/>
          <w:b/>
          <w:i/>
          <w:iCs/>
          <w:sz w:val="24"/>
          <w:szCs w:val="24"/>
        </w:rPr>
        <w:t>Psidium Guajava</w:t>
      </w:r>
      <w:r w:rsidRPr="009E7A97">
        <w:rPr>
          <w:rFonts w:ascii="Times New Roman" w:eastAsia="Times New Roman" w:hAnsi="Times New Roman" w:cs="Times New Roman"/>
          <w:sz w:val="24"/>
          <w:szCs w:val="24"/>
        </w:rPr>
        <w:t xml:space="preserve"> </w:t>
      </w:r>
      <w:r w:rsidRPr="009E7A97">
        <w:rPr>
          <w:rFonts w:ascii="Times New Roman" w:hAnsi="Times New Roman" w:cs="Times New Roman"/>
          <w:b/>
          <w:sz w:val="28"/>
          <w:szCs w:val="28"/>
        </w:rPr>
        <w:t>Leaf Extract on Cognitive and Oxidative Functions in Alzheimer’s disease</w:t>
      </w:r>
    </w:p>
    <w:p w14:paraId="3421BDB5" w14:textId="77777777" w:rsidR="009B45DB" w:rsidRPr="009E7A97" w:rsidRDefault="009B45DB">
      <w:pPr>
        <w:spacing w:after="0" w:line="240" w:lineRule="auto"/>
        <w:jc w:val="center"/>
        <w:rPr>
          <w:sz w:val="24"/>
          <w:szCs w:val="24"/>
        </w:rPr>
      </w:pPr>
    </w:p>
    <w:p w14:paraId="5C85173D" w14:textId="77777777" w:rsidR="001E6858" w:rsidRPr="009E7A97" w:rsidRDefault="001E6858">
      <w:pPr>
        <w:rPr>
          <w:rFonts w:ascii="Times New Roman" w:hAnsi="Times New Roman" w:cs="Times New Roman"/>
          <w:sz w:val="24"/>
          <w:szCs w:val="24"/>
        </w:rPr>
      </w:pPr>
    </w:p>
    <w:p w14:paraId="20DC0058" w14:textId="77777777" w:rsidR="009B45DB" w:rsidRPr="009E7A97" w:rsidRDefault="00412180">
      <w:pPr>
        <w:rPr>
          <w:rFonts w:ascii="Times New Roman" w:eastAsia="Times New Roman" w:hAnsi="Times New Roman" w:cs="Times New Roman"/>
          <w:sz w:val="24"/>
          <w:szCs w:val="24"/>
        </w:rPr>
      </w:pPr>
      <w:r w:rsidRPr="009E7A97">
        <w:rPr>
          <w:rFonts w:ascii="Times New Roman" w:eastAsia="Times New Roman" w:hAnsi="Times New Roman" w:cs="Times New Roman"/>
          <w:b/>
          <w:bCs/>
          <w:sz w:val="24"/>
          <w:szCs w:val="24"/>
        </w:rPr>
        <w:t>ABSTRACT</w:t>
      </w:r>
    </w:p>
    <w:p w14:paraId="3306041D" w14:textId="77777777" w:rsidR="009B45DB" w:rsidRPr="009E7A97" w:rsidRDefault="00412180">
      <w:pPr>
        <w:spacing w:before="100" w:beforeAutospacing="1" w:after="100" w:afterAutospacing="1" w:line="240" w:lineRule="auto"/>
        <w:jc w:val="both"/>
        <w:rPr>
          <w:rFonts w:ascii="Times New Roman" w:eastAsia="Times New Roman" w:hAnsi="Times New Roman" w:cs="Times New Roman"/>
          <w:sz w:val="24"/>
          <w:szCs w:val="24"/>
        </w:rPr>
      </w:pPr>
      <w:r w:rsidRPr="009E7A97">
        <w:rPr>
          <w:rFonts w:ascii="Times New Roman" w:eastAsia="Times New Roman" w:hAnsi="Times New Roman" w:cs="Times New Roman"/>
          <w:sz w:val="24"/>
          <w:szCs w:val="24"/>
        </w:rPr>
        <w:t xml:space="preserve">Alzheimer’s disease is a progressive neurodegenerative disorder characterized by cognitive decline, memory impairment, and oxidative damage. This study assessed the neuroprotective potential of </w:t>
      </w:r>
      <w:r w:rsidRPr="009E7A97">
        <w:rPr>
          <w:rFonts w:ascii="Times New Roman" w:eastAsia="Times New Roman" w:hAnsi="Times New Roman" w:cs="Times New Roman"/>
          <w:i/>
          <w:iCs/>
          <w:sz w:val="24"/>
          <w:szCs w:val="24"/>
        </w:rPr>
        <w:t>Psidium guajava</w:t>
      </w:r>
      <w:r w:rsidRPr="009E7A97">
        <w:rPr>
          <w:rFonts w:ascii="Times New Roman" w:eastAsia="Times New Roman" w:hAnsi="Times New Roman" w:cs="Times New Roman"/>
          <w:sz w:val="24"/>
          <w:szCs w:val="24"/>
        </w:rPr>
        <w:t xml:space="preserve"> (guava) leaf extract in a scopolamine-induced </w:t>
      </w:r>
      <w:r w:rsidRPr="009E7A97">
        <w:rPr>
          <w:rFonts w:ascii="Times New Roman" w:eastAsia="Times New Roman" w:hAnsi="Times New Roman" w:cs="Times New Roman"/>
          <w:sz w:val="24"/>
          <w:szCs w:val="24"/>
        </w:rPr>
        <w:t>rat model of Alzheimer’s disease. Forty-two Wistar rats were assigned to six groups: control, scopolamine-</w:t>
      </w:r>
      <w:bookmarkStart w:id="0" w:name="_Hlk218249408"/>
      <w:r w:rsidRPr="009E7A97">
        <w:rPr>
          <w:rFonts w:ascii="Times New Roman" w:eastAsia="Times New Roman" w:hAnsi="Times New Roman" w:cs="Times New Roman"/>
          <w:sz w:val="24"/>
          <w:szCs w:val="24"/>
        </w:rPr>
        <w:t>only, Donepezil (5 mg/kg), and guava extract-treated groups at 100 mg/kg and 300 mg/kg. Behavioral evaluations were carried out over 12 weeks using th</w:t>
      </w:r>
      <w:r w:rsidRPr="009E7A97">
        <w:rPr>
          <w:rFonts w:ascii="Times New Roman" w:eastAsia="Times New Roman" w:hAnsi="Times New Roman" w:cs="Times New Roman"/>
          <w:sz w:val="24"/>
          <w:szCs w:val="24"/>
        </w:rPr>
        <w:t>e navigation test (to assess spatial learning and memory) and the beam walk test (to assess motor coordination</w:t>
      </w:r>
      <w:proofErr w:type="gramStart"/>
      <w:r w:rsidRPr="009E7A97">
        <w:rPr>
          <w:rFonts w:ascii="Times New Roman" w:eastAsia="Times New Roman" w:hAnsi="Times New Roman" w:cs="Times New Roman"/>
          <w:sz w:val="24"/>
          <w:szCs w:val="24"/>
        </w:rPr>
        <w:t>).</w:t>
      </w:r>
      <w:r w:rsidRPr="009E7A97">
        <w:rPr>
          <w:rFonts w:ascii="Times New Roman" w:eastAsia="Times New Roman" w:hAnsi="Times New Roman" w:cs="Times New Roman"/>
          <w:b/>
          <w:bCs/>
          <w:sz w:val="24"/>
          <w:szCs w:val="24"/>
        </w:rPr>
        <w:t>Cognitive</w:t>
      </w:r>
      <w:proofErr w:type="gramEnd"/>
      <w:r w:rsidRPr="009E7A97">
        <w:rPr>
          <w:rFonts w:ascii="Times New Roman" w:eastAsia="Times New Roman" w:hAnsi="Times New Roman" w:cs="Times New Roman"/>
          <w:b/>
          <w:bCs/>
          <w:sz w:val="24"/>
          <w:szCs w:val="24"/>
        </w:rPr>
        <w:t xml:space="preserve"> results</w:t>
      </w:r>
      <w:r w:rsidRPr="009E7A97">
        <w:rPr>
          <w:rFonts w:ascii="Times New Roman" w:eastAsia="Times New Roman" w:hAnsi="Times New Roman" w:cs="Times New Roman"/>
          <w:sz w:val="24"/>
          <w:szCs w:val="24"/>
        </w:rPr>
        <w:t xml:space="preserve"> revealed that scopolamine significantly impaired spatial memory and motor coordination, as shown by a 448.6% increase in navig</w:t>
      </w:r>
      <w:r w:rsidRPr="009E7A97">
        <w:rPr>
          <w:rFonts w:ascii="Times New Roman" w:eastAsia="Times New Roman" w:hAnsi="Times New Roman" w:cs="Times New Roman"/>
          <w:sz w:val="24"/>
          <w:szCs w:val="24"/>
        </w:rPr>
        <w:t xml:space="preserve">ation escape time and a 291.1% rise in beam walk time. Treatment with 100 mg/kg </w:t>
      </w:r>
      <w:r w:rsidRPr="009E7A97">
        <w:rPr>
          <w:rFonts w:ascii="Times New Roman" w:eastAsia="Times New Roman" w:hAnsi="Times New Roman" w:cs="Times New Roman"/>
          <w:i/>
          <w:iCs/>
          <w:sz w:val="24"/>
          <w:szCs w:val="24"/>
        </w:rPr>
        <w:t>Psidium guajava</w:t>
      </w:r>
      <w:r w:rsidRPr="009E7A97">
        <w:rPr>
          <w:rFonts w:ascii="Times New Roman" w:eastAsia="Times New Roman" w:hAnsi="Times New Roman" w:cs="Times New Roman"/>
          <w:sz w:val="24"/>
          <w:szCs w:val="24"/>
        </w:rPr>
        <w:t xml:space="preserve"> extract improved cognitive function, reducing navigation latency by 272.9% and beam walk time by 93.0%. The 300 mg/kg dose resulted </w:t>
      </w:r>
      <w:bookmarkEnd w:id="0"/>
      <w:r w:rsidRPr="009E7A97">
        <w:rPr>
          <w:rFonts w:ascii="Times New Roman" w:eastAsia="Times New Roman" w:hAnsi="Times New Roman" w:cs="Times New Roman"/>
          <w:sz w:val="24"/>
          <w:szCs w:val="24"/>
        </w:rPr>
        <w:t>in less improvement (navigat</w:t>
      </w:r>
      <w:r w:rsidRPr="009E7A97">
        <w:rPr>
          <w:rFonts w:ascii="Times New Roman" w:eastAsia="Times New Roman" w:hAnsi="Times New Roman" w:cs="Times New Roman"/>
          <w:sz w:val="24"/>
          <w:szCs w:val="24"/>
        </w:rPr>
        <w:t xml:space="preserve">ion 148.6%; beam walk 346.5%), suggesting cognitive effect at higher concentrations. </w:t>
      </w:r>
      <w:bookmarkStart w:id="1" w:name="_Hlk218249416"/>
      <w:r w:rsidRPr="009E7A97">
        <w:rPr>
          <w:rFonts w:ascii="Times New Roman" w:eastAsia="Times New Roman" w:hAnsi="Times New Roman" w:cs="Times New Roman"/>
          <w:sz w:val="24"/>
          <w:szCs w:val="24"/>
        </w:rPr>
        <w:t>Donepezil treatment produced the most favorable cognitive outcomes (Barnes maze 132.4%; beam walk 120.9%</w:t>
      </w:r>
      <w:proofErr w:type="gramStart"/>
      <w:r w:rsidRPr="009E7A97">
        <w:rPr>
          <w:rFonts w:ascii="Times New Roman" w:eastAsia="Times New Roman" w:hAnsi="Times New Roman" w:cs="Times New Roman"/>
          <w:sz w:val="24"/>
          <w:szCs w:val="24"/>
        </w:rPr>
        <w:t>).Biomarker</w:t>
      </w:r>
      <w:proofErr w:type="gramEnd"/>
      <w:r w:rsidRPr="009E7A97">
        <w:rPr>
          <w:rFonts w:ascii="Times New Roman" w:eastAsia="Times New Roman" w:hAnsi="Times New Roman" w:cs="Times New Roman"/>
          <w:b/>
          <w:bCs/>
          <w:sz w:val="24"/>
          <w:szCs w:val="24"/>
        </w:rPr>
        <w:t xml:space="preserve"> </w:t>
      </w:r>
      <w:r w:rsidRPr="009E7A97">
        <w:rPr>
          <w:rFonts w:ascii="Times New Roman" w:eastAsia="Times New Roman" w:hAnsi="Times New Roman" w:cs="Times New Roman"/>
          <w:bCs/>
          <w:sz w:val="24"/>
          <w:szCs w:val="24"/>
        </w:rPr>
        <w:t>results</w:t>
      </w:r>
      <w:r w:rsidRPr="009E7A97">
        <w:rPr>
          <w:rFonts w:ascii="Times New Roman" w:eastAsia="Times New Roman" w:hAnsi="Times New Roman" w:cs="Times New Roman"/>
          <w:sz w:val="24"/>
          <w:szCs w:val="24"/>
        </w:rPr>
        <w:t xml:space="preserve"> showed that scopolamine induced significant oxi</w:t>
      </w:r>
      <w:r w:rsidRPr="009E7A97">
        <w:rPr>
          <w:rFonts w:ascii="Times New Roman" w:eastAsia="Times New Roman" w:hAnsi="Times New Roman" w:cs="Times New Roman"/>
          <w:sz w:val="24"/>
          <w:szCs w:val="24"/>
        </w:rPr>
        <w:t>dative damage, with a 62.5% decrease in SOD, a 16.1% reduction in CAT, and an 86.2% increase in MDA at 90 days. The 100 mg/kg guava extract dose reversed these effects, increasing SOD by 37.2%, CAT by 24.5%, and reducing MDA by 62%. In contrast, the 300 mg</w:t>
      </w:r>
      <w:r w:rsidRPr="009E7A97">
        <w:rPr>
          <w:rFonts w:ascii="Times New Roman" w:eastAsia="Times New Roman" w:hAnsi="Times New Roman" w:cs="Times New Roman"/>
          <w:sz w:val="24"/>
          <w:szCs w:val="24"/>
        </w:rPr>
        <w:t>/kg dose showed weaker antioxidant effects</w:t>
      </w:r>
      <w:bookmarkEnd w:id="1"/>
      <w:r w:rsidRPr="009E7A97">
        <w:rPr>
          <w:rFonts w:ascii="Times New Roman" w:eastAsia="Times New Roman" w:hAnsi="Times New Roman" w:cs="Times New Roman"/>
          <w:sz w:val="24"/>
          <w:szCs w:val="24"/>
        </w:rPr>
        <w:t xml:space="preserve">, with SOD rising only 6.7%, CAT 16.7%, and MDA reducing by 13.7%. </w:t>
      </w:r>
      <w:bookmarkStart w:id="2" w:name="_Hlk218249423"/>
      <w:r w:rsidRPr="009E7A97">
        <w:rPr>
          <w:rFonts w:ascii="Times New Roman" w:eastAsia="Times New Roman" w:hAnsi="Times New Roman" w:cs="Times New Roman"/>
          <w:sz w:val="24"/>
          <w:szCs w:val="24"/>
        </w:rPr>
        <w:t>Donepezil treatment demonstrated strong antioxidant protection (CAT 143.8%, SOD 4.6%, MDA 10.3%</w:t>
      </w:r>
      <w:proofErr w:type="gramStart"/>
      <w:r w:rsidRPr="009E7A97">
        <w:rPr>
          <w:rFonts w:ascii="Times New Roman" w:eastAsia="Times New Roman" w:hAnsi="Times New Roman" w:cs="Times New Roman"/>
          <w:sz w:val="24"/>
          <w:szCs w:val="24"/>
        </w:rPr>
        <w:t>).In</w:t>
      </w:r>
      <w:proofErr w:type="gramEnd"/>
      <w:r w:rsidRPr="009E7A97">
        <w:rPr>
          <w:rFonts w:ascii="Times New Roman" w:eastAsia="Times New Roman" w:hAnsi="Times New Roman" w:cs="Times New Roman"/>
          <w:sz w:val="24"/>
          <w:szCs w:val="24"/>
        </w:rPr>
        <w:t xml:space="preserve"> conclusion</w:t>
      </w:r>
      <w:bookmarkEnd w:id="2"/>
      <w:r w:rsidRPr="009E7A97">
        <w:rPr>
          <w:rFonts w:ascii="Times New Roman" w:eastAsia="Times New Roman" w:hAnsi="Times New Roman" w:cs="Times New Roman"/>
          <w:sz w:val="24"/>
          <w:szCs w:val="24"/>
        </w:rPr>
        <w:t xml:space="preserve">, </w:t>
      </w:r>
      <w:r w:rsidRPr="009E7A97">
        <w:rPr>
          <w:rFonts w:ascii="Times New Roman" w:eastAsia="Times New Roman" w:hAnsi="Times New Roman" w:cs="Times New Roman"/>
          <w:i/>
          <w:iCs/>
          <w:sz w:val="24"/>
          <w:szCs w:val="24"/>
        </w:rPr>
        <w:t>Psidium guajava</w:t>
      </w:r>
      <w:r w:rsidRPr="009E7A97">
        <w:rPr>
          <w:rFonts w:ascii="Times New Roman" w:eastAsia="Times New Roman" w:hAnsi="Times New Roman" w:cs="Times New Roman"/>
          <w:sz w:val="24"/>
          <w:szCs w:val="24"/>
        </w:rPr>
        <w:t xml:space="preserve"> extract at 100 mg/k</w:t>
      </w:r>
      <w:r w:rsidRPr="009E7A97">
        <w:rPr>
          <w:rFonts w:ascii="Times New Roman" w:eastAsia="Times New Roman" w:hAnsi="Times New Roman" w:cs="Times New Roman"/>
          <w:sz w:val="24"/>
          <w:szCs w:val="24"/>
        </w:rPr>
        <w:t xml:space="preserve">g exhibited both cognitive enhancement and antioxidant potential in scopolamine-induced </w:t>
      </w:r>
      <w:proofErr w:type="spellStart"/>
      <w:r w:rsidRPr="009E7A97">
        <w:rPr>
          <w:rFonts w:ascii="Times New Roman" w:eastAsia="Times New Roman" w:hAnsi="Times New Roman" w:cs="Times New Roman"/>
          <w:sz w:val="24"/>
          <w:szCs w:val="24"/>
        </w:rPr>
        <w:t>alzheimer’s</w:t>
      </w:r>
      <w:proofErr w:type="spellEnd"/>
      <w:r w:rsidRPr="009E7A97">
        <w:rPr>
          <w:rFonts w:ascii="Times New Roman" w:eastAsia="Times New Roman" w:hAnsi="Times New Roman" w:cs="Times New Roman"/>
          <w:sz w:val="24"/>
          <w:szCs w:val="24"/>
        </w:rPr>
        <w:t xml:space="preserve"> disease in rats. </w:t>
      </w:r>
      <w:r w:rsidRPr="009E7A97">
        <w:rPr>
          <w:rFonts w:ascii="Times New Roman" w:eastAsia="Times New Roman" w:hAnsi="Times New Roman" w:cs="Times New Roman"/>
          <w:bCs/>
          <w:sz w:val="24"/>
          <w:szCs w:val="24"/>
        </w:rPr>
        <w:t>Keywords</w:t>
      </w:r>
      <w:r w:rsidRPr="009E7A97">
        <w:rPr>
          <w:rFonts w:ascii="Times New Roman" w:eastAsia="Times New Roman" w:hAnsi="Times New Roman" w:cs="Times New Roman"/>
          <w:sz w:val="24"/>
          <w:szCs w:val="24"/>
        </w:rPr>
        <w:t xml:space="preserve">: </w:t>
      </w:r>
      <w:r w:rsidRPr="009E7A97">
        <w:rPr>
          <w:rFonts w:ascii="Times New Roman" w:eastAsia="Times New Roman" w:hAnsi="Times New Roman" w:cs="Times New Roman"/>
          <w:i/>
          <w:iCs/>
          <w:sz w:val="24"/>
          <w:szCs w:val="24"/>
        </w:rPr>
        <w:t>Psidium guajava</w:t>
      </w:r>
      <w:r w:rsidRPr="009E7A97">
        <w:rPr>
          <w:rFonts w:ascii="Times New Roman" w:eastAsia="Times New Roman" w:hAnsi="Times New Roman" w:cs="Times New Roman"/>
          <w:sz w:val="24"/>
          <w:szCs w:val="24"/>
        </w:rPr>
        <w:t>, Alzheimer’s disease, cognitive function, Brain markers.</w:t>
      </w:r>
    </w:p>
    <w:p w14:paraId="08D8A5B4" w14:textId="77777777" w:rsidR="009B45DB" w:rsidRPr="009E7A97" w:rsidRDefault="00412180">
      <w:pPr>
        <w:spacing w:before="100" w:beforeAutospacing="1" w:after="100" w:afterAutospacing="1" w:line="240" w:lineRule="auto"/>
        <w:jc w:val="both"/>
        <w:rPr>
          <w:rFonts w:ascii="Times New Roman" w:eastAsia="Times New Roman" w:hAnsi="Times New Roman" w:cs="Times New Roman"/>
          <w:b/>
          <w:bCs/>
          <w:sz w:val="24"/>
          <w:szCs w:val="24"/>
        </w:rPr>
      </w:pPr>
      <w:r w:rsidRPr="009E7A97">
        <w:rPr>
          <w:rFonts w:ascii="Times New Roman" w:eastAsia="Times New Roman" w:hAnsi="Times New Roman" w:cs="Times New Roman"/>
          <w:b/>
          <w:bCs/>
          <w:sz w:val="24"/>
          <w:szCs w:val="24"/>
        </w:rPr>
        <w:t xml:space="preserve">Keywords: </w:t>
      </w:r>
      <w:r w:rsidRPr="009E7A97">
        <w:rPr>
          <w:rFonts w:ascii="Times New Roman" w:eastAsia="Times New Roman" w:hAnsi="Times New Roman"/>
          <w:sz w:val="24"/>
          <w:szCs w:val="24"/>
        </w:rPr>
        <w:t>Psidium guajava, Alzheimer’s disease, oxidativ</w:t>
      </w:r>
      <w:r w:rsidRPr="009E7A97">
        <w:rPr>
          <w:rFonts w:ascii="Times New Roman" w:eastAsia="Times New Roman" w:hAnsi="Times New Roman"/>
          <w:sz w:val="24"/>
          <w:szCs w:val="24"/>
        </w:rPr>
        <w:t>e stress, cognitive function, neuroprotection.</w:t>
      </w:r>
    </w:p>
    <w:p w14:paraId="7A59A3B5" w14:textId="77777777" w:rsidR="009B45DB" w:rsidRPr="009E7A97" w:rsidRDefault="009B45DB">
      <w:pPr>
        <w:spacing w:after="0" w:line="360" w:lineRule="auto"/>
        <w:jc w:val="both"/>
        <w:rPr>
          <w:rFonts w:ascii="Times New Roman" w:hAnsi="Times New Roman" w:cs="Times New Roman"/>
          <w:b/>
          <w:sz w:val="24"/>
          <w:szCs w:val="24"/>
          <w:shd w:val="clear" w:color="auto" w:fill="FFFFFF"/>
        </w:rPr>
      </w:pPr>
    </w:p>
    <w:p w14:paraId="5BEA553B" w14:textId="77777777" w:rsidR="009B45DB" w:rsidRPr="009E7A97" w:rsidRDefault="009B45DB">
      <w:pPr>
        <w:spacing w:after="0" w:line="360" w:lineRule="auto"/>
        <w:jc w:val="both"/>
        <w:rPr>
          <w:rFonts w:ascii="Times New Roman" w:hAnsi="Times New Roman" w:cs="Times New Roman"/>
          <w:b/>
          <w:sz w:val="24"/>
          <w:szCs w:val="24"/>
          <w:shd w:val="clear" w:color="auto" w:fill="FFFFFF"/>
        </w:rPr>
      </w:pPr>
    </w:p>
    <w:p w14:paraId="47D4A9A6" w14:textId="77777777" w:rsidR="009B45DB" w:rsidRPr="009E7A97" w:rsidRDefault="009B45DB">
      <w:pPr>
        <w:spacing w:after="0" w:line="360" w:lineRule="auto"/>
        <w:jc w:val="both"/>
        <w:rPr>
          <w:rFonts w:ascii="Times New Roman" w:hAnsi="Times New Roman" w:cs="Times New Roman"/>
          <w:b/>
          <w:sz w:val="24"/>
          <w:szCs w:val="24"/>
          <w:shd w:val="clear" w:color="auto" w:fill="FFFFFF"/>
        </w:rPr>
      </w:pPr>
    </w:p>
    <w:p w14:paraId="447D30C0" w14:textId="77777777" w:rsidR="009B45DB" w:rsidRPr="009E7A97" w:rsidRDefault="009B45DB">
      <w:pPr>
        <w:spacing w:after="0" w:line="360" w:lineRule="auto"/>
        <w:jc w:val="both"/>
        <w:rPr>
          <w:rFonts w:ascii="Times New Roman" w:hAnsi="Times New Roman" w:cs="Times New Roman"/>
          <w:b/>
          <w:sz w:val="24"/>
          <w:szCs w:val="24"/>
          <w:shd w:val="clear" w:color="auto" w:fill="FFFFFF"/>
        </w:rPr>
      </w:pPr>
    </w:p>
    <w:p w14:paraId="11C421BA" w14:textId="77777777" w:rsidR="009B45DB" w:rsidRPr="009E7A97" w:rsidRDefault="009B45DB">
      <w:pPr>
        <w:spacing w:after="0" w:line="360" w:lineRule="auto"/>
        <w:jc w:val="both"/>
        <w:rPr>
          <w:rFonts w:ascii="Times New Roman" w:hAnsi="Times New Roman" w:cs="Times New Roman"/>
          <w:b/>
          <w:sz w:val="24"/>
          <w:szCs w:val="24"/>
          <w:shd w:val="clear" w:color="auto" w:fill="FFFFFF"/>
        </w:rPr>
      </w:pPr>
    </w:p>
    <w:p w14:paraId="2C4E863B" w14:textId="77777777" w:rsidR="009B45DB" w:rsidRPr="009E7A97" w:rsidRDefault="00412180">
      <w:pPr>
        <w:spacing w:after="0" w:line="360" w:lineRule="auto"/>
        <w:jc w:val="both"/>
        <w:rPr>
          <w:rFonts w:ascii="Times New Roman" w:hAnsi="Times New Roman" w:cs="Times New Roman"/>
          <w:b/>
          <w:sz w:val="24"/>
          <w:szCs w:val="24"/>
          <w:shd w:val="clear" w:color="auto" w:fill="FFFFFF"/>
        </w:rPr>
      </w:pPr>
      <w:r w:rsidRPr="009E7A97">
        <w:rPr>
          <w:rFonts w:ascii="Times New Roman" w:hAnsi="Times New Roman" w:cs="Times New Roman"/>
          <w:b/>
          <w:sz w:val="24"/>
          <w:szCs w:val="24"/>
          <w:shd w:val="clear" w:color="auto" w:fill="FFFFFF"/>
        </w:rPr>
        <w:t>INTRODUCTION</w:t>
      </w:r>
    </w:p>
    <w:p w14:paraId="5B805EF9" w14:textId="77777777" w:rsidR="009B45DB" w:rsidRPr="009E7A97" w:rsidRDefault="00412180">
      <w:pPr>
        <w:pStyle w:val="NormalWeb"/>
        <w:spacing w:line="360" w:lineRule="auto"/>
        <w:jc w:val="both"/>
      </w:pPr>
      <w:r w:rsidRPr="009E7A97">
        <w:t xml:space="preserve">Alzheimer’s disease is a chronic, progressive, and debilitating neurodegenerative disorder characterized by cognitive impairment, memory loss, and functional decline, predominantly affecting the elderly. It is the most common cause of dementia, accounting </w:t>
      </w:r>
      <w:r w:rsidRPr="009E7A97">
        <w:t xml:space="preserve">for 60% to 80% of </w:t>
      </w:r>
      <w:r w:rsidRPr="009E7A97">
        <w:lastRenderedPageBreak/>
        <w:t>cases of late-life cognitive dysfunction (</w:t>
      </w:r>
      <w:proofErr w:type="spellStart"/>
      <w:r w:rsidRPr="009E7A97">
        <w:t>Satizabal</w:t>
      </w:r>
      <w:proofErr w:type="spellEnd"/>
      <w:r w:rsidRPr="009E7A97">
        <w:t xml:space="preserve">, </w:t>
      </w:r>
      <w:proofErr w:type="spellStart"/>
      <w:r w:rsidRPr="009E7A97">
        <w:t>Beiser</w:t>
      </w:r>
      <w:proofErr w:type="spellEnd"/>
      <w:r w:rsidRPr="009E7A97">
        <w:t xml:space="preserve"> &amp; </w:t>
      </w:r>
      <w:proofErr w:type="spellStart"/>
      <w:r w:rsidRPr="009E7A97">
        <w:t>Chouraki</w:t>
      </w:r>
      <w:proofErr w:type="spellEnd"/>
      <w:r w:rsidRPr="009E7A97">
        <w:t>, 2016). As the disease advances, individuals experience severe disruption in memory, communication, orientation, and the ability to perform daily activities, ultimatel</w:t>
      </w:r>
      <w:r w:rsidRPr="009E7A97">
        <w:t>y becoming completely dependent on caregivers (Alzheimer’s Association, 2016). Despite decades of extensive research, there is no definitive cure for Alzheimer’s disease. Current pharmacological interventions provide only temporary symptomatic relief and d</w:t>
      </w:r>
      <w:r w:rsidRPr="009E7A97">
        <w:t xml:space="preserve">o not halt or reverse disease progression (Castellani, Raj &amp; Mark, 2010; </w:t>
      </w:r>
      <w:proofErr w:type="spellStart"/>
      <w:r w:rsidRPr="009E7A97">
        <w:t>Kosteniuk</w:t>
      </w:r>
      <w:proofErr w:type="spellEnd"/>
      <w:r w:rsidRPr="009E7A97">
        <w:t xml:space="preserve"> </w:t>
      </w:r>
      <w:r w:rsidRPr="009E7A97">
        <w:rPr>
          <w:i/>
        </w:rPr>
        <w:t>et al.,</w:t>
      </w:r>
      <w:r w:rsidRPr="009E7A97">
        <w:t xml:space="preserve"> 2017). With the global population aging rapidly and the number of Alzheimer’s cases projected to increase dramatically, there is an urgent need for alternative and m</w:t>
      </w:r>
      <w:r w:rsidRPr="009E7A97">
        <w:t>ore effective therapeutic strategies.</w:t>
      </w:r>
    </w:p>
    <w:p w14:paraId="66C8529E" w14:textId="77777777" w:rsidR="009B45DB" w:rsidRPr="009E7A97" w:rsidRDefault="00412180">
      <w:pPr>
        <w:pStyle w:val="NormalWeb"/>
        <w:spacing w:line="360" w:lineRule="auto"/>
        <w:jc w:val="both"/>
      </w:pPr>
      <w:r w:rsidRPr="009E7A97">
        <w:t>Natural compounds and medicinal plant extracts have gained research interest due to their antioxidant, anti-inflammatory, and neuroprotective properties (</w:t>
      </w:r>
      <w:r w:rsidRPr="009E7A97">
        <w:rPr>
          <w:rStyle w:val="Strong"/>
          <w:b w:val="0"/>
        </w:rPr>
        <w:t xml:space="preserve">Hen et al., </w:t>
      </w:r>
      <w:r w:rsidRPr="009E7A97">
        <w:t xml:space="preserve">2023). In particular, </w:t>
      </w:r>
      <w:r w:rsidRPr="009E7A97">
        <w:rPr>
          <w:rStyle w:val="Emphasis"/>
        </w:rPr>
        <w:t>Psidium guajava</w:t>
      </w:r>
      <w:r w:rsidRPr="009E7A97">
        <w:t xml:space="preserve"> (guava) leaf e</w:t>
      </w:r>
      <w:r w:rsidRPr="009E7A97">
        <w:t xml:space="preserve">xtract have demonstrated promising effects in preliminary studies. However, there is a significant lack of experimental data evaluating their specific impact on cognitive function, neurotransmitter regulation, oxidative stress markers, and motor abilities </w:t>
      </w:r>
      <w:r w:rsidRPr="009E7A97">
        <w:t xml:space="preserve">in Alzheimer’s disease </w:t>
      </w:r>
      <w:proofErr w:type="gramStart"/>
      <w:r w:rsidRPr="009E7A97">
        <w:t>models(</w:t>
      </w:r>
      <w:proofErr w:type="gramEnd"/>
      <w:r w:rsidRPr="009E7A97">
        <w:rPr>
          <w:rStyle w:val="Strong"/>
          <w:b w:val="0"/>
        </w:rPr>
        <w:t xml:space="preserve">Hen et al., </w:t>
      </w:r>
      <w:r w:rsidRPr="009E7A97">
        <w:t xml:space="preserve">2023). This study seeks to address this gap by investigating the neuroprotective effects of </w:t>
      </w:r>
      <w:r w:rsidRPr="009E7A97">
        <w:rPr>
          <w:rStyle w:val="Emphasis"/>
        </w:rPr>
        <w:t>Psidium guajava</w:t>
      </w:r>
      <w:r w:rsidRPr="009E7A97">
        <w:t xml:space="preserve"> leaf extract in a scopolamine-induced rat model of Alzheimer’s disease.</w:t>
      </w:r>
    </w:p>
    <w:p w14:paraId="2E166146" w14:textId="77777777" w:rsidR="009B45DB" w:rsidRPr="009E7A97" w:rsidRDefault="00412180">
      <w:pPr>
        <w:spacing w:after="0" w:line="360" w:lineRule="auto"/>
        <w:rPr>
          <w:rFonts w:ascii="Times New Roman" w:hAnsi="Times New Roman" w:cs="Times New Roman"/>
          <w:b/>
          <w:sz w:val="24"/>
          <w:szCs w:val="24"/>
        </w:rPr>
      </w:pPr>
      <w:r w:rsidRPr="009E7A97">
        <w:rPr>
          <w:rFonts w:ascii="Times New Roman" w:hAnsi="Times New Roman" w:cs="Times New Roman"/>
          <w:b/>
          <w:sz w:val="24"/>
          <w:szCs w:val="24"/>
        </w:rPr>
        <w:t xml:space="preserve">MATERIALS AND METHODS  </w:t>
      </w:r>
    </w:p>
    <w:p w14:paraId="2B9E8728" w14:textId="77777777" w:rsidR="009B45DB" w:rsidRPr="009E7A97" w:rsidRDefault="00412180">
      <w:pPr>
        <w:pStyle w:val="ListParagraph"/>
        <w:tabs>
          <w:tab w:val="left" w:pos="0"/>
        </w:tabs>
        <w:spacing w:after="0" w:line="360" w:lineRule="auto"/>
        <w:ind w:left="0"/>
        <w:rPr>
          <w:rFonts w:ascii="Times New Roman" w:hAnsi="Times New Roman" w:cs="Times New Roman"/>
          <w:b/>
          <w:sz w:val="24"/>
          <w:szCs w:val="24"/>
        </w:rPr>
      </w:pPr>
      <w:r w:rsidRPr="009E7A97">
        <w:rPr>
          <w:rFonts w:ascii="Times New Roman" w:hAnsi="Times New Roman" w:cs="Times New Roman"/>
          <w:b/>
          <w:sz w:val="24"/>
          <w:szCs w:val="24"/>
        </w:rPr>
        <w:t xml:space="preserve">Study Design </w:t>
      </w:r>
    </w:p>
    <w:p w14:paraId="7BB3E35E" w14:textId="77777777" w:rsidR="009B45DB" w:rsidRPr="009E7A97" w:rsidRDefault="00412180">
      <w:pPr>
        <w:tabs>
          <w:tab w:val="left" w:pos="0"/>
        </w:tabs>
        <w:spacing w:after="0" w:line="360" w:lineRule="auto"/>
        <w:jc w:val="both"/>
        <w:rPr>
          <w:rFonts w:ascii="Times New Roman" w:hAnsi="Times New Roman" w:cs="Times New Roman"/>
          <w:sz w:val="24"/>
          <w:szCs w:val="24"/>
        </w:rPr>
      </w:pPr>
      <w:r w:rsidRPr="009E7A97">
        <w:rPr>
          <w:rFonts w:ascii="Times New Roman" w:hAnsi="Times New Roman" w:cs="Times New Roman"/>
          <w:sz w:val="24"/>
          <w:szCs w:val="24"/>
        </w:rPr>
        <w:t>A total of 42 healthy Wistar rats will be weighed. The animals were acclimatized for a period of two weeks. These animals were gotten from the experimental animal unit of Department of Human Physiology, Rivers State. This research study was c</w:t>
      </w:r>
      <w:r w:rsidRPr="009E7A97">
        <w:rPr>
          <w:rFonts w:ascii="Times New Roman" w:hAnsi="Times New Roman" w:cs="Times New Roman"/>
          <w:sz w:val="24"/>
          <w:szCs w:val="24"/>
        </w:rPr>
        <w:t xml:space="preserve">onducted at </w:t>
      </w:r>
      <w:proofErr w:type="spellStart"/>
      <w:r w:rsidRPr="009E7A97">
        <w:rPr>
          <w:rFonts w:ascii="Times New Roman" w:hAnsi="Times New Roman" w:cs="Times New Roman"/>
          <w:sz w:val="24"/>
          <w:szCs w:val="24"/>
        </w:rPr>
        <w:t>neurolaboratory</w:t>
      </w:r>
      <w:proofErr w:type="spellEnd"/>
      <w:r w:rsidRPr="009E7A97">
        <w:rPr>
          <w:rFonts w:ascii="Times New Roman" w:hAnsi="Times New Roman" w:cs="Times New Roman"/>
          <w:sz w:val="24"/>
          <w:szCs w:val="24"/>
        </w:rPr>
        <w:t>, Sport Center, University of Port Harcourt, Rivers State, Nigeria</w:t>
      </w:r>
    </w:p>
    <w:p w14:paraId="3F26852F" w14:textId="77777777" w:rsidR="009B45DB" w:rsidRPr="009E7A97" w:rsidRDefault="00412180">
      <w:pPr>
        <w:pStyle w:val="ListParagraph"/>
        <w:tabs>
          <w:tab w:val="left" w:pos="0"/>
        </w:tabs>
        <w:spacing w:after="0" w:line="360" w:lineRule="auto"/>
        <w:ind w:left="0"/>
        <w:jc w:val="both"/>
        <w:rPr>
          <w:rFonts w:ascii="Times New Roman" w:hAnsi="Times New Roman" w:cs="Times New Roman"/>
          <w:b/>
          <w:bCs/>
          <w:sz w:val="24"/>
          <w:szCs w:val="24"/>
        </w:rPr>
      </w:pPr>
      <w:r w:rsidRPr="009E7A97">
        <w:rPr>
          <w:rFonts w:ascii="Times New Roman" w:hAnsi="Times New Roman" w:cs="Times New Roman"/>
          <w:b/>
          <w:bCs/>
          <w:sz w:val="24"/>
          <w:szCs w:val="24"/>
        </w:rPr>
        <w:t xml:space="preserve">Collection and extraction of plants </w:t>
      </w:r>
    </w:p>
    <w:p w14:paraId="43D0359D" w14:textId="77777777" w:rsidR="009B45DB" w:rsidRPr="009E7A97" w:rsidRDefault="00412180">
      <w:pPr>
        <w:spacing w:after="0" w:line="360" w:lineRule="auto"/>
        <w:jc w:val="both"/>
        <w:rPr>
          <w:rFonts w:ascii="Times New Roman" w:hAnsi="Times New Roman" w:cs="Times New Roman"/>
          <w:bCs/>
          <w:sz w:val="24"/>
          <w:szCs w:val="24"/>
        </w:rPr>
      </w:pPr>
      <w:proofErr w:type="spellStart"/>
      <w:r w:rsidRPr="009E7A97">
        <w:rPr>
          <w:rFonts w:ascii="Times New Roman" w:hAnsi="Times New Roman" w:cs="Times New Roman"/>
          <w:sz w:val="24"/>
          <w:szCs w:val="24"/>
        </w:rPr>
        <w:t>Psiduim</w:t>
      </w:r>
      <w:proofErr w:type="spellEnd"/>
      <w:r w:rsidRPr="009E7A97">
        <w:rPr>
          <w:rFonts w:ascii="Times New Roman" w:hAnsi="Times New Roman" w:cs="Times New Roman"/>
          <w:sz w:val="24"/>
          <w:szCs w:val="24"/>
        </w:rPr>
        <w:t xml:space="preserve"> </w:t>
      </w:r>
      <w:proofErr w:type="spellStart"/>
      <w:r w:rsidRPr="009E7A97">
        <w:rPr>
          <w:rFonts w:ascii="Times New Roman" w:hAnsi="Times New Roman" w:cs="Times New Roman"/>
          <w:sz w:val="24"/>
          <w:szCs w:val="24"/>
        </w:rPr>
        <w:t>quajava</w:t>
      </w:r>
      <w:proofErr w:type="spellEnd"/>
      <w:r w:rsidRPr="009E7A97">
        <w:rPr>
          <w:rFonts w:ascii="Times New Roman" w:hAnsi="Times New Roman" w:cs="Times New Roman"/>
          <w:sz w:val="24"/>
          <w:szCs w:val="24"/>
        </w:rPr>
        <w:t xml:space="preserve"> was obtained from </w:t>
      </w:r>
      <w:proofErr w:type="spellStart"/>
      <w:r w:rsidRPr="009E7A97">
        <w:rPr>
          <w:rFonts w:ascii="Times New Roman" w:hAnsi="Times New Roman" w:cs="Times New Roman"/>
          <w:sz w:val="24"/>
          <w:szCs w:val="24"/>
        </w:rPr>
        <w:t>choba</w:t>
      </w:r>
      <w:proofErr w:type="spellEnd"/>
      <w:r w:rsidRPr="009E7A97">
        <w:rPr>
          <w:rFonts w:ascii="Times New Roman" w:hAnsi="Times New Roman" w:cs="Times New Roman"/>
          <w:sz w:val="24"/>
          <w:szCs w:val="24"/>
        </w:rPr>
        <w:t xml:space="preserve"> market Port Harcourt, Rivers State, Nigeria.  It was identified in the plant science </w:t>
      </w:r>
      <w:r w:rsidRPr="009E7A97">
        <w:rPr>
          <w:rFonts w:ascii="Times New Roman" w:hAnsi="Times New Roman" w:cs="Times New Roman"/>
          <w:sz w:val="24"/>
          <w:szCs w:val="24"/>
        </w:rPr>
        <w:t xml:space="preserve">and Biotechnology green house, Port Harcourt, Rivers State, Nigeria. </w:t>
      </w:r>
    </w:p>
    <w:p w14:paraId="25A5A433" w14:textId="77777777" w:rsidR="009B45DB" w:rsidRPr="009E7A97" w:rsidRDefault="00412180">
      <w:pPr>
        <w:pStyle w:val="ListParagraph"/>
        <w:tabs>
          <w:tab w:val="left" w:pos="0"/>
        </w:tabs>
        <w:spacing w:after="0" w:line="360" w:lineRule="auto"/>
        <w:ind w:left="0"/>
        <w:jc w:val="both"/>
        <w:rPr>
          <w:rFonts w:ascii="Times New Roman" w:hAnsi="Times New Roman" w:cs="Times New Roman"/>
          <w:b/>
          <w:sz w:val="24"/>
          <w:szCs w:val="24"/>
        </w:rPr>
      </w:pPr>
      <w:r w:rsidRPr="009E7A97">
        <w:rPr>
          <w:rFonts w:ascii="Times New Roman" w:hAnsi="Times New Roman" w:cs="Times New Roman"/>
          <w:b/>
          <w:sz w:val="24"/>
          <w:szCs w:val="24"/>
        </w:rPr>
        <w:t xml:space="preserve">Collection of animals </w:t>
      </w:r>
    </w:p>
    <w:p w14:paraId="5E98FC09" w14:textId="77777777" w:rsidR="009B45DB" w:rsidRPr="009E7A97" w:rsidRDefault="00412180">
      <w:pPr>
        <w:tabs>
          <w:tab w:val="left" w:pos="0"/>
        </w:tabs>
        <w:spacing w:after="0" w:line="360" w:lineRule="auto"/>
        <w:jc w:val="both"/>
        <w:rPr>
          <w:rFonts w:ascii="Times New Roman" w:hAnsi="Times New Roman" w:cs="Times New Roman"/>
          <w:sz w:val="24"/>
          <w:szCs w:val="24"/>
        </w:rPr>
      </w:pPr>
      <w:r w:rsidRPr="009E7A97">
        <w:rPr>
          <w:rFonts w:ascii="Times New Roman" w:hAnsi="Times New Roman" w:cs="Times New Roman"/>
          <w:sz w:val="24"/>
          <w:szCs w:val="24"/>
        </w:rPr>
        <w:t xml:space="preserve">The animals were obtained from the Animals house University </w:t>
      </w:r>
      <w:proofErr w:type="gramStart"/>
      <w:r w:rsidRPr="009E7A97">
        <w:rPr>
          <w:rFonts w:ascii="Times New Roman" w:hAnsi="Times New Roman" w:cs="Times New Roman"/>
          <w:sz w:val="24"/>
          <w:szCs w:val="24"/>
        </w:rPr>
        <w:t>Of</w:t>
      </w:r>
      <w:proofErr w:type="gramEnd"/>
      <w:r w:rsidRPr="009E7A97">
        <w:rPr>
          <w:rFonts w:ascii="Times New Roman" w:hAnsi="Times New Roman" w:cs="Times New Roman"/>
          <w:sz w:val="24"/>
          <w:szCs w:val="24"/>
        </w:rPr>
        <w:t xml:space="preserve"> Port Harcourt, Rivers State, Nigeria before been used for experiment</w:t>
      </w:r>
    </w:p>
    <w:p w14:paraId="2E09D85C" w14:textId="77777777" w:rsidR="009B45DB" w:rsidRPr="009E7A97" w:rsidRDefault="00412180">
      <w:pPr>
        <w:pStyle w:val="ListParagraph"/>
        <w:tabs>
          <w:tab w:val="left" w:pos="0"/>
        </w:tabs>
        <w:spacing w:after="0" w:line="360" w:lineRule="auto"/>
        <w:ind w:left="0"/>
        <w:jc w:val="both"/>
        <w:rPr>
          <w:rFonts w:ascii="Times New Roman" w:hAnsi="Times New Roman" w:cs="Times New Roman"/>
          <w:b/>
          <w:bCs/>
          <w:sz w:val="24"/>
          <w:szCs w:val="24"/>
        </w:rPr>
      </w:pPr>
      <w:r w:rsidRPr="009E7A97">
        <w:rPr>
          <w:rFonts w:ascii="Times New Roman" w:hAnsi="Times New Roman" w:cs="Times New Roman"/>
          <w:b/>
          <w:bCs/>
          <w:sz w:val="24"/>
          <w:szCs w:val="24"/>
        </w:rPr>
        <w:t>Drugs administration</w:t>
      </w:r>
    </w:p>
    <w:p w14:paraId="4ABE1B43" w14:textId="77777777" w:rsidR="009B45DB" w:rsidRPr="009E7A97" w:rsidRDefault="00412180">
      <w:pPr>
        <w:pStyle w:val="ListParagraph"/>
        <w:tabs>
          <w:tab w:val="left" w:pos="0"/>
        </w:tabs>
        <w:spacing w:after="0" w:line="360" w:lineRule="auto"/>
        <w:ind w:left="0"/>
        <w:jc w:val="both"/>
        <w:rPr>
          <w:rFonts w:ascii="Times New Roman" w:hAnsi="Times New Roman" w:cs="Times New Roman"/>
          <w:b/>
          <w:bCs/>
          <w:sz w:val="24"/>
          <w:szCs w:val="24"/>
        </w:rPr>
      </w:pPr>
      <w:r w:rsidRPr="009E7A97">
        <w:rPr>
          <w:rFonts w:ascii="Times New Roman" w:hAnsi="Times New Roman" w:cs="Times New Roman"/>
          <w:bCs/>
          <w:sz w:val="24"/>
          <w:szCs w:val="24"/>
        </w:rPr>
        <w:lastRenderedPageBreak/>
        <w:t>1m</w:t>
      </w:r>
      <w:r w:rsidRPr="009E7A97">
        <w:rPr>
          <w:rFonts w:ascii="Times New Roman" w:hAnsi="Times New Roman" w:cs="Times New Roman"/>
          <w:sz w:val="24"/>
          <w:szCs w:val="24"/>
        </w:rPr>
        <w:t>g</w:t>
      </w:r>
      <w:r w:rsidRPr="009E7A97">
        <w:rPr>
          <w:rFonts w:ascii="Times New Roman" w:hAnsi="Times New Roman" w:cs="Times New Roman"/>
          <w:bCs/>
          <w:sz w:val="24"/>
          <w:szCs w:val="24"/>
        </w:rPr>
        <w:t>/k</w:t>
      </w:r>
      <w:r w:rsidRPr="009E7A97">
        <w:rPr>
          <w:rFonts w:ascii="Times New Roman" w:hAnsi="Times New Roman" w:cs="Times New Roman"/>
          <w:sz w:val="24"/>
          <w:szCs w:val="24"/>
        </w:rPr>
        <w:t xml:space="preserve">g of </w:t>
      </w:r>
      <w:r w:rsidRPr="009E7A97">
        <w:rPr>
          <w:rFonts w:ascii="Times New Roman" w:hAnsi="Times New Roman" w:cs="Times New Roman"/>
          <w:bCs/>
          <w:sz w:val="24"/>
          <w:szCs w:val="24"/>
        </w:rPr>
        <w:t xml:space="preserve">Scopolamine was obtained from </w:t>
      </w:r>
      <w:proofErr w:type="spellStart"/>
      <w:r w:rsidRPr="009E7A97">
        <w:rPr>
          <w:rFonts w:ascii="Times New Roman" w:hAnsi="Times New Roman" w:cs="Times New Roman"/>
          <w:bCs/>
          <w:sz w:val="24"/>
          <w:szCs w:val="24"/>
        </w:rPr>
        <w:t>simson</w:t>
      </w:r>
      <w:proofErr w:type="spellEnd"/>
      <w:r w:rsidRPr="009E7A97">
        <w:rPr>
          <w:rFonts w:ascii="Times New Roman" w:hAnsi="Times New Roman" w:cs="Times New Roman"/>
          <w:bCs/>
          <w:sz w:val="24"/>
          <w:szCs w:val="24"/>
        </w:rPr>
        <w:t xml:space="preserve"> limited pharmaceutical, India and 5 m</w:t>
      </w:r>
      <w:r w:rsidRPr="009E7A97">
        <w:rPr>
          <w:rFonts w:ascii="Times New Roman" w:hAnsi="Times New Roman" w:cs="Times New Roman"/>
          <w:sz w:val="24"/>
          <w:szCs w:val="24"/>
        </w:rPr>
        <w:t>g</w:t>
      </w:r>
      <w:r w:rsidRPr="009E7A97">
        <w:rPr>
          <w:rFonts w:ascii="Times New Roman" w:hAnsi="Times New Roman" w:cs="Times New Roman"/>
          <w:bCs/>
          <w:sz w:val="24"/>
          <w:szCs w:val="24"/>
        </w:rPr>
        <w:t>/k</w:t>
      </w:r>
      <w:r w:rsidRPr="009E7A97">
        <w:rPr>
          <w:rFonts w:ascii="Times New Roman" w:hAnsi="Times New Roman" w:cs="Times New Roman"/>
          <w:sz w:val="24"/>
          <w:szCs w:val="24"/>
        </w:rPr>
        <w:t xml:space="preserve">g of </w:t>
      </w:r>
      <w:r w:rsidRPr="009E7A97">
        <w:rPr>
          <w:rFonts w:ascii="Times New Roman" w:hAnsi="Times New Roman" w:cs="Times New Roman"/>
          <w:bCs/>
          <w:sz w:val="24"/>
          <w:szCs w:val="24"/>
        </w:rPr>
        <w:t xml:space="preserve">donepezil was obtained from </w:t>
      </w:r>
      <w:proofErr w:type="spellStart"/>
      <w:r w:rsidRPr="009E7A97">
        <w:rPr>
          <w:rFonts w:ascii="Times New Roman" w:hAnsi="Times New Roman" w:cs="Times New Roman"/>
          <w:bCs/>
          <w:sz w:val="24"/>
          <w:szCs w:val="24"/>
        </w:rPr>
        <w:t>niksan</w:t>
      </w:r>
      <w:proofErr w:type="spellEnd"/>
      <w:r w:rsidRPr="009E7A97">
        <w:rPr>
          <w:rFonts w:ascii="Times New Roman" w:hAnsi="Times New Roman" w:cs="Times New Roman"/>
          <w:bCs/>
          <w:sz w:val="24"/>
          <w:szCs w:val="24"/>
        </w:rPr>
        <w:t xml:space="preserve"> pharmaceutical, India. T</w:t>
      </w:r>
      <w:r w:rsidRPr="009E7A97">
        <w:rPr>
          <w:rFonts w:ascii="Times New Roman" w:hAnsi="Times New Roman" w:cs="Times New Roman"/>
          <w:sz w:val="24"/>
          <w:szCs w:val="24"/>
        </w:rPr>
        <w:t>h</w:t>
      </w:r>
      <w:r w:rsidRPr="009E7A97">
        <w:rPr>
          <w:rFonts w:ascii="Times New Roman" w:hAnsi="Times New Roman" w:cs="Times New Roman"/>
          <w:bCs/>
          <w:sz w:val="24"/>
          <w:szCs w:val="24"/>
        </w:rPr>
        <w:t>e drugs were induced into the animals’ intra peritoneal</w:t>
      </w:r>
    </w:p>
    <w:p w14:paraId="7A28AB02" w14:textId="77777777" w:rsidR="009B45DB" w:rsidRPr="009E7A97" w:rsidRDefault="00412180">
      <w:pPr>
        <w:pStyle w:val="ListParagraph"/>
        <w:spacing w:after="0" w:line="360" w:lineRule="auto"/>
        <w:ind w:left="0"/>
        <w:jc w:val="both"/>
        <w:rPr>
          <w:rFonts w:ascii="Times New Roman" w:hAnsi="Times New Roman" w:cs="Times New Roman"/>
          <w:bCs/>
          <w:sz w:val="24"/>
          <w:szCs w:val="24"/>
        </w:rPr>
      </w:pPr>
      <w:r w:rsidRPr="009E7A97">
        <w:rPr>
          <w:rFonts w:ascii="Times New Roman" w:hAnsi="Times New Roman" w:cs="Times New Roman"/>
          <w:b/>
          <w:bCs/>
          <w:sz w:val="24"/>
          <w:szCs w:val="24"/>
        </w:rPr>
        <w:t>Cognitive activities</w:t>
      </w:r>
      <w:r w:rsidRPr="009E7A97">
        <w:rPr>
          <w:rFonts w:ascii="Times New Roman" w:hAnsi="Times New Roman" w:cs="Times New Roman"/>
          <w:bCs/>
          <w:sz w:val="24"/>
          <w:szCs w:val="24"/>
        </w:rPr>
        <w:t xml:space="preserve"> </w:t>
      </w:r>
    </w:p>
    <w:p w14:paraId="05356B7C" w14:textId="77777777" w:rsidR="009B45DB" w:rsidRPr="009E7A97" w:rsidRDefault="00412180">
      <w:pPr>
        <w:spacing w:after="0" w:line="360" w:lineRule="auto"/>
        <w:jc w:val="both"/>
        <w:rPr>
          <w:rFonts w:ascii="Times New Roman" w:hAnsi="Times New Roman" w:cs="Times New Roman"/>
          <w:bCs/>
          <w:sz w:val="24"/>
          <w:szCs w:val="24"/>
        </w:rPr>
      </w:pPr>
      <w:r w:rsidRPr="009E7A97">
        <w:rPr>
          <w:rFonts w:ascii="Times New Roman" w:hAnsi="Times New Roman" w:cs="Times New Roman"/>
          <w:bCs/>
          <w:sz w:val="24"/>
          <w:szCs w:val="24"/>
        </w:rPr>
        <w:t>Cognitive and psychomotor activities</w:t>
      </w:r>
      <w:r w:rsidRPr="009E7A97">
        <w:rPr>
          <w:rFonts w:ascii="Times New Roman" w:hAnsi="Times New Roman" w:cs="Times New Roman"/>
          <w:bCs/>
          <w:sz w:val="24"/>
          <w:szCs w:val="24"/>
        </w:rPr>
        <w:t xml:space="preserve"> was conducted using navigation, and beam walk test</w:t>
      </w:r>
    </w:p>
    <w:p w14:paraId="6D691BFB" w14:textId="77777777" w:rsidR="009B45DB" w:rsidRPr="009E7A97" w:rsidRDefault="00412180">
      <w:pPr>
        <w:numPr>
          <w:ilvl w:val="0"/>
          <w:numId w:val="1"/>
        </w:numPr>
        <w:spacing w:after="0" w:line="360" w:lineRule="auto"/>
        <w:jc w:val="both"/>
        <w:rPr>
          <w:rFonts w:ascii="Times New Roman" w:hAnsi="Times New Roman" w:cs="Times New Roman"/>
          <w:sz w:val="24"/>
          <w:szCs w:val="24"/>
        </w:rPr>
      </w:pPr>
      <w:r w:rsidRPr="009E7A97">
        <w:rPr>
          <w:rFonts w:ascii="Times New Roman" w:hAnsi="Times New Roman" w:cs="Times New Roman"/>
          <w:b/>
          <w:bCs/>
          <w:sz w:val="24"/>
          <w:szCs w:val="24"/>
        </w:rPr>
        <w:t>Navigation:</w:t>
      </w:r>
      <w:r w:rsidRPr="009E7A97">
        <w:rPr>
          <w:rFonts w:ascii="Times New Roman" w:hAnsi="Times New Roman" w:cs="Times New Roman"/>
          <w:color w:val="001D35"/>
          <w:sz w:val="24"/>
          <w:szCs w:val="24"/>
          <w:shd w:val="clear" w:color="auto" w:fill="FFFFFF"/>
        </w:rPr>
        <w:t xml:space="preserve"> </w:t>
      </w:r>
      <w:r w:rsidRPr="009E7A97">
        <w:rPr>
          <w:rFonts w:ascii="Times New Roman" w:hAnsi="Times New Roman" w:cs="Times New Roman"/>
          <w:sz w:val="24"/>
          <w:szCs w:val="24"/>
          <w:shd w:val="clear" w:color="auto" w:fill="FFFFFF"/>
        </w:rPr>
        <w:t>navigation test is use to assesses spatial learning and memory</w:t>
      </w:r>
      <w:r w:rsidRPr="009E7A97">
        <w:rPr>
          <w:rFonts w:ascii="Times New Roman" w:hAnsi="Times New Roman" w:cs="Times New Roman"/>
          <w:color w:val="001D35"/>
          <w:sz w:val="24"/>
          <w:szCs w:val="24"/>
          <w:shd w:val="clear" w:color="auto" w:fill="FFFFFF"/>
        </w:rPr>
        <w:t>.</w:t>
      </w:r>
      <w:r w:rsidRPr="009E7A97">
        <w:rPr>
          <w:rFonts w:ascii="Times New Roman" w:hAnsi="Times New Roman" w:cs="Times New Roman"/>
          <w:sz w:val="24"/>
          <w:szCs w:val="24"/>
        </w:rPr>
        <w:t xml:space="preserve"> which depends on distal cues to </w:t>
      </w:r>
      <w:proofErr w:type="spellStart"/>
      <w:r w:rsidRPr="009E7A97">
        <w:rPr>
          <w:rFonts w:ascii="Times New Roman" w:hAnsi="Times New Roman" w:cs="Times New Roman"/>
          <w:sz w:val="24"/>
          <w:szCs w:val="24"/>
        </w:rPr>
        <w:t>na</w:t>
      </w:r>
      <w:proofErr w:type="spellEnd"/>
      <w:r w:rsidRPr="009E7A97">
        <w:rPr>
          <w:rFonts w:ascii="Times New Roman" w:hAnsi="Times New Roman" w:cs="Times New Roman"/>
          <w:sz w:val="24"/>
          <w:szCs w:val="24"/>
        </w:rPr>
        <w:t xml:space="preserve"> </w:t>
      </w:r>
      <w:proofErr w:type="spellStart"/>
      <w:r w:rsidRPr="009E7A97">
        <w:rPr>
          <w:rFonts w:ascii="Times New Roman" w:hAnsi="Times New Roman" w:cs="Times New Roman"/>
          <w:sz w:val="24"/>
          <w:szCs w:val="24"/>
        </w:rPr>
        <w:t>vigate</w:t>
      </w:r>
      <w:proofErr w:type="spellEnd"/>
      <w:r w:rsidRPr="009E7A97">
        <w:rPr>
          <w:rFonts w:ascii="Times New Roman" w:hAnsi="Times New Roman" w:cs="Times New Roman"/>
          <w:sz w:val="24"/>
          <w:szCs w:val="24"/>
        </w:rPr>
        <w:t xml:space="preserve"> from start location a tour puzzle which seems like a posh branching passage via which </w:t>
      </w:r>
      <w:r w:rsidRPr="009E7A97">
        <w:rPr>
          <w:rFonts w:ascii="Times New Roman" w:hAnsi="Times New Roman" w:cs="Times New Roman"/>
          <w:sz w:val="24"/>
          <w:szCs w:val="24"/>
        </w:rPr>
        <w:t xml:space="preserve">the rats </w:t>
      </w:r>
      <w:proofErr w:type="gramStart"/>
      <w:r w:rsidRPr="009E7A97">
        <w:rPr>
          <w:rFonts w:ascii="Times New Roman" w:hAnsi="Times New Roman" w:cs="Times New Roman"/>
          <w:sz w:val="24"/>
          <w:szCs w:val="24"/>
        </w:rPr>
        <w:t>is</w:t>
      </w:r>
      <w:proofErr w:type="gramEnd"/>
      <w:r w:rsidRPr="009E7A97">
        <w:rPr>
          <w:rFonts w:ascii="Times New Roman" w:hAnsi="Times New Roman" w:cs="Times New Roman"/>
          <w:sz w:val="24"/>
          <w:szCs w:val="24"/>
        </w:rPr>
        <w:t xml:space="preserve"> predicted to seek out a route (</w:t>
      </w:r>
      <w:proofErr w:type="spellStart"/>
      <w:r w:rsidRPr="009E7A97">
        <w:rPr>
          <w:rFonts w:ascii="Times New Roman" w:hAnsi="Times New Roman" w:cs="Times New Roman"/>
          <w:sz w:val="24"/>
          <w:szCs w:val="24"/>
        </w:rPr>
        <w:t>svaz</w:t>
      </w:r>
      <w:proofErr w:type="spellEnd"/>
      <w:r w:rsidRPr="009E7A97">
        <w:rPr>
          <w:rFonts w:ascii="Times New Roman" w:hAnsi="Times New Roman" w:cs="Times New Roman"/>
          <w:sz w:val="24"/>
          <w:szCs w:val="24"/>
        </w:rPr>
        <w:t xml:space="preserve"> 2021).</w:t>
      </w:r>
    </w:p>
    <w:p w14:paraId="74636544" w14:textId="77777777" w:rsidR="009B45DB" w:rsidRPr="009E7A97" w:rsidRDefault="00412180">
      <w:pPr>
        <w:numPr>
          <w:ilvl w:val="0"/>
          <w:numId w:val="1"/>
        </w:numPr>
        <w:spacing w:after="0" w:line="360" w:lineRule="auto"/>
        <w:jc w:val="both"/>
        <w:rPr>
          <w:rFonts w:ascii="Times New Roman" w:hAnsi="Times New Roman" w:cs="Times New Roman"/>
          <w:bCs/>
          <w:sz w:val="24"/>
          <w:szCs w:val="24"/>
        </w:rPr>
      </w:pPr>
      <w:r w:rsidRPr="009E7A97">
        <w:rPr>
          <w:rStyle w:val="Strong"/>
          <w:rFonts w:ascii="Times New Roman" w:hAnsi="Times New Roman" w:cs="Times New Roman"/>
          <w:sz w:val="24"/>
          <w:szCs w:val="24"/>
        </w:rPr>
        <w:t>Beam Walk Test</w:t>
      </w:r>
      <w:r w:rsidRPr="009E7A97">
        <w:rPr>
          <w:rFonts w:ascii="Times New Roman" w:hAnsi="Times New Roman" w:cs="Times New Roman"/>
          <w:sz w:val="24"/>
          <w:szCs w:val="24"/>
        </w:rPr>
        <w:t xml:space="preserve"> (also known as the beam walking or balance beam test) is a </w:t>
      </w:r>
      <w:r w:rsidRPr="009E7A97">
        <w:rPr>
          <w:rStyle w:val="Strong"/>
          <w:rFonts w:ascii="Times New Roman" w:hAnsi="Times New Roman" w:cs="Times New Roman"/>
          <w:b w:val="0"/>
          <w:sz w:val="24"/>
          <w:szCs w:val="24"/>
        </w:rPr>
        <w:t>behavioral assessment</w:t>
      </w:r>
      <w:r w:rsidRPr="009E7A97">
        <w:rPr>
          <w:rFonts w:ascii="Times New Roman" w:hAnsi="Times New Roman" w:cs="Times New Roman"/>
          <w:sz w:val="24"/>
          <w:szCs w:val="24"/>
        </w:rPr>
        <w:t xml:space="preserve"> used primarily in </w:t>
      </w:r>
      <w:r w:rsidRPr="009E7A97">
        <w:rPr>
          <w:rStyle w:val="Strong"/>
          <w:rFonts w:ascii="Times New Roman" w:hAnsi="Times New Roman" w:cs="Times New Roman"/>
          <w:b w:val="0"/>
          <w:sz w:val="24"/>
          <w:szCs w:val="24"/>
        </w:rPr>
        <w:t>rodent studies</w:t>
      </w:r>
      <w:r w:rsidRPr="009E7A97">
        <w:rPr>
          <w:rFonts w:ascii="Times New Roman" w:hAnsi="Times New Roman" w:cs="Times New Roman"/>
          <w:sz w:val="24"/>
          <w:szCs w:val="24"/>
        </w:rPr>
        <w:t xml:space="preserve"> (such as mice and rats) to evaluate </w:t>
      </w:r>
      <w:r w:rsidRPr="009E7A97">
        <w:rPr>
          <w:rStyle w:val="Strong"/>
          <w:rFonts w:ascii="Times New Roman" w:hAnsi="Times New Roman" w:cs="Times New Roman"/>
          <w:b w:val="0"/>
          <w:sz w:val="24"/>
          <w:szCs w:val="24"/>
        </w:rPr>
        <w:t>motor coordination, balance, and sen</w:t>
      </w:r>
      <w:r w:rsidRPr="009E7A97">
        <w:rPr>
          <w:rStyle w:val="Strong"/>
          <w:rFonts w:ascii="Times New Roman" w:hAnsi="Times New Roman" w:cs="Times New Roman"/>
          <w:b w:val="0"/>
          <w:sz w:val="24"/>
          <w:szCs w:val="24"/>
        </w:rPr>
        <w:t>sorimotor function</w:t>
      </w:r>
      <w:r w:rsidRPr="009E7A97">
        <w:rPr>
          <w:rFonts w:ascii="Times New Roman" w:hAnsi="Times New Roman" w:cs="Times New Roman"/>
          <w:sz w:val="24"/>
          <w:szCs w:val="24"/>
        </w:rPr>
        <w:t xml:space="preserve">, especially following </w:t>
      </w:r>
      <w:r w:rsidRPr="009E7A97">
        <w:rPr>
          <w:rStyle w:val="Strong"/>
          <w:rFonts w:ascii="Times New Roman" w:hAnsi="Times New Roman" w:cs="Times New Roman"/>
          <w:b w:val="0"/>
          <w:sz w:val="24"/>
          <w:szCs w:val="24"/>
        </w:rPr>
        <w:t>neurological disorders</w:t>
      </w:r>
      <w:r w:rsidRPr="009E7A97">
        <w:rPr>
          <w:rFonts w:ascii="Times New Roman" w:hAnsi="Times New Roman" w:cs="Times New Roman"/>
          <w:b/>
          <w:sz w:val="24"/>
          <w:szCs w:val="24"/>
        </w:rPr>
        <w:t xml:space="preserve"> </w:t>
      </w:r>
      <w:r w:rsidRPr="009E7A97">
        <w:rPr>
          <w:rFonts w:ascii="Times New Roman" w:hAnsi="Times New Roman" w:cs="Times New Roman"/>
          <w:sz w:val="24"/>
          <w:szCs w:val="24"/>
        </w:rPr>
        <w:t>such as</w:t>
      </w:r>
      <w:r w:rsidRPr="009E7A97">
        <w:rPr>
          <w:rFonts w:ascii="Times New Roman" w:hAnsi="Times New Roman" w:cs="Times New Roman"/>
          <w:b/>
          <w:sz w:val="24"/>
          <w:szCs w:val="24"/>
        </w:rPr>
        <w:t xml:space="preserve"> </w:t>
      </w:r>
      <w:r w:rsidRPr="009E7A97">
        <w:rPr>
          <w:rStyle w:val="Strong"/>
          <w:rFonts w:ascii="Times New Roman" w:hAnsi="Times New Roman" w:cs="Times New Roman"/>
          <w:b w:val="0"/>
          <w:sz w:val="24"/>
          <w:szCs w:val="24"/>
        </w:rPr>
        <w:t>Alzheimer's disease, Parkinson’s disease, traumatic brain injury, and stroke</w:t>
      </w:r>
      <w:r w:rsidRPr="009E7A97">
        <w:rPr>
          <w:rFonts w:ascii="Times New Roman" w:hAnsi="Times New Roman" w:cs="Times New Roman"/>
          <w:sz w:val="24"/>
          <w:szCs w:val="24"/>
        </w:rPr>
        <w:t xml:space="preserve"> (Chen et al., 2023; Adeyemi et al., 2024; Gupta &amp; Nwosu, 2025).</w:t>
      </w:r>
    </w:p>
    <w:p w14:paraId="2430CFED" w14:textId="77777777" w:rsidR="009B45DB" w:rsidRPr="009E7A97" w:rsidRDefault="00412180">
      <w:pPr>
        <w:pStyle w:val="ListParagraph"/>
        <w:spacing w:after="0" w:line="360" w:lineRule="auto"/>
        <w:ind w:left="0"/>
        <w:jc w:val="both"/>
        <w:rPr>
          <w:rFonts w:ascii="Times New Roman" w:hAnsi="Times New Roman" w:cs="Times New Roman"/>
          <w:sz w:val="24"/>
          <w:szCs w:val="24"/>
        </w:rPr>
      </w:pPr>
      <w:r w:rsidRPr="009E7A97">
        <w:rPr>
          <w:rFonts w:ascii="Times New Roman" w:hAnsi="Times New Roman" w:cs="Times New Roman"/>
          <w:b/>
          <w:sz w:val="24"/>
          <w:szCs w:val="24"/>
        </w:rPr>
        <w:t xml:space="preserve">Procedures for determining brain biomarkers </w:t>
      </w:r>
    </w:p>
    <w:p w14:paraId="7FA57210" w14:textId="77777777" w:rsidR="009B45DB" w:rsidRPr="009E7A97" w:rsidRDefault="00412180">
      <w:pPr>
        <w:numPr>
          <w:ilvl w:val="0"/>
          <w:numId w:val="1"/>
        </w:numPr>
        <w:spacing w:after="0" w:line="360" w:lineRule="auto"/>
        <w:jc w:val="both"/>
        <w:rPr>
          <w:rFonts w:ascii="Times New Roman" w:hAnsi="Times New Roman" w:cs="Times New Roman"/>
          <w:b/>
          <w:bCs/>
          <w:sz w:val="24"/>
          <w:szCs w:val="24"/>
        </w:rPr>
      </w:pPr>
      <w:r w:rsidRPr="009E7A97">
        <w:rPr>
          <w:rFonts w:ascii="Times New Roman" w:hAnsi="Times New Roman" w:cs="Times New Roman"/>
          <w:b/>
          <w:sz w:val="24"/>
          <w:szCs w:val="24"/>
        </w:rPr>
        <w:t>The SOD</w:t>
      </w:r>
      <w:r w:rsidRPr="009E7A97">
        <w:rPr>
          <w:rFonts w:ascii="Times New Roman" w:hAnsi="Times New Roman" w:cs="Times New Roman"/>
          <w:sz w:val="24"/>
          <w:szCs w:val="24"/>
        </w:rPr>
        <w:t xml:space="preserve"> assay is based on the enzyme’s ability to inhibit the reduction of </w:t>
      </w:r>
      <w:proofErr w:type="spellStart"/>
      <w:r w:rsidRPr="009E7A97">
        <w:rPr>
          <w:rFonts w:ascii="Times New Roman" w:hAnsi="Times New Roman" w:cs="Times New Roman"/>
          <w:sz w:val="24"/>
          <w:szCs w:val="24"/>
        </w:rPr>
        <w:t>nitroblue</w:t>
      </w:r>
      <w:proofErr w:type="spellEnd"/>
      <w:r w:rsidRPr="009E7A97">
        <w:rPr>
          <w:rFonts w:ascii="Times New Roman" w:hAnsi="Times New Roman" w:cs="Times New Roman"/>
          <w:sz w:val="24"/>
          <w:szCs w:val="24"/>
        </w:rPr>
        <w:t xml:space="preserve"> tetrazolium (NBT) by superoxide radicals generated from a xanthine–xanthine oxidase system (Bibi </w:t>
      </w:r>
      <w:r w:rsidRPr="009E7A97">
        <w:rPr>
          <w:rFonts w:ascii="Times New Roman" w:hAnsi="Times New Roman" w:cs="Times New Roman"/>
          <w:i/>
          <w:sz w:val="24"/>
          <w:szCs w:val="24"/>
        </w:rPr>
        <w:t>et al.</w:t>
      </w:r>
      <w:r w:rsidRPr="009E7A97">
        <w:rPr>
          <w:rFonts w:ascii="Times New Roman" w:hAnsi="Times New Roman" w:cs="Times New Roman"/>
          <w:sz w:val="24"/>
          <w:szCs w:val="24"/>
        </w:rPr>
        <w:t xml:space="preserve"> 2023). The reduction o</w:t>
      </w:r>
      <w:r w:rsidRPr="009E7A97">
        <w:rPr>
          <w:rFonts w:ascii="Times New Roman" w:hAnsi="Times New Roman" w:cs="Times New Roman"/>
          <w:sz w:val="24"/>
          <w:szCs w:val="24"/>
        </w:rPr>
        <w:t xml:space="preserve">f NBT forms a blue-colored formazan measurable at </w:t>
      </w:r>
      <w:r w:rsidRPr="009E7A97">
        <w:rPr>
          <w:rStyle w:val="Strong"/>
          <w:rFonts w:ascii="Times New Roman" w:hAnsi="Times New Roman" w:cs="Times New Roman"/>
          <w:sz w:val="24"/>
          <w:szCs w:val="24"/>
        </w:rPr>
        <w:t>560 nm (</w:t>
      </w:r>
      <w:r w:rsidRPr="009E7A97">
        <w:rPr>
          <w:rFonts w:ascii="Times New Roman" w:hAnsi="Times New Roman" w:cs="Times New Roman"/>
          <w:sz w:val="24"/>
          <w:szCs w:val="24"/>
        </w:rPr>
        <w:t xml:space="preserve">Bakhtiari </w:t>
      </w:r>
      <w:r w:rsidRPr="009E7A97">
        <w:rPr>
          <w:rFonts w:ascii="Times New Roman" w:hAnsi="Times New Roman" w:cs="Times New Roman"/>
          <w:i/>
          <w:sz w:val="24"/>
          <w:szCs w:val="24"/>
        </w:rPr>
        <w:t>et al</w:t>
      </w:r>
      <w:r w:rsidRPr="009E7A97">
        <w:rPr>
          <w:rFonts w:ascii="Times New Roman" w:hAnsi="Times New Roman" w:cs="Times New Roman"/>
          <w:sz w:val="24"/>
          <w:szCs w:val="24"/>
        </w:rPr>
        <w:t>. 2021). The presence of SOD reduces the intensity of the blue color, and the activity is calculated based on the percentage inhibition of absorbance. One unit of SOD is defined as th</w:t>
      </w:r>
      <w:r w:rsidRPr="009E7A97">
        <w:rPr>
          <w:rFonts w:ascii="Times New Roman" w:hAnsi="Times New Roman" w:cs="Times New Roman"/>
          <w:sz w:val="24"/>
          <w:szCs w:val="24"/>
        </w:rPr>
        <w:t>e amount that inhibits NBT reduction by 50% (</w:t>
      </w:r>
      <w:r w:rsidRPr="009E7A97">
        <w:rPr>
          <w:rStyle w:val="Strong"/>
          <w:rFonts w:ascii="Times New Roman" w:hAnsi="Times New Roman" w:cs="Times New Roman"/>
          <w:b w:val="0"/>
          <w:sz w:val="24"/>
          <w:szCs w:val="24"/>
        </w:rPr>
        <w:t xml:space="preserve">Jahan </w:t>
      </w:r>
      <w:r w:rsidRPr="009E7A97">
        <w:rPr>
          <w:rStyle w:val="Strong"/>
          <w:rFonts w:ascii="Times New Roman" w:hAnsi="Times New Roman" w:cs="Times New Roman"/>
          <w:b w:val="0"/>
          <w:i/>
          <w:sz w:val="24"/>
          <w:szCs w:val="24"/>
        </w:rPr>
        <w:t>et al.</w:t>
      </w:r>
      <w:r w:rsidRPr="009E7A97">
        <w:rPr>
          <w:rStyle w:val="Strong"/>
          <w:rFonts w:ascii="Times New Roman" w:hAnsi="Times New Roman" w:cs="Times New Roman"/>
          <w:b w:val="0"/>
          <w:sz w:val="24"/>
          <w:szCs w:val="24"/>
        </w:rPr>
        <w:t xml:space="preserve"> 2022</w:t>
      </w:r>
      <w:r w:rsidRPr="009E7A97">
        <w:rPr>
          <w:rStyle w:val="Strong"/>
          <w:rFonts w:ascii="Times New Roman" w:hAnsi="Times New Roman" w:cs="Times New Roman"/>
          <w:sz w:val="24"/>
          <w:szCs w:val="24"/>
        </w:rPr>
        <w:t>).</w:t>
      </w:r>
    </w:p>
    <w:p w14:paraId="0915CE25" w14:textId="77777777" w:rsidR="009B45DB" w:rsidRPr="009E7A97" w:rsidRDefault="00412180">
      <w:pPr>
        <w:numPr>
          <w:ilvl w:val="0"/>
          <w:numId w:val="1"/>
        </w:numPr>
        <w:spacing w:after="0" w:line="360" w:lineRule="auto"/>
        <w:jc w:val="both"/>
        <w:rPr>
          <w:rFonts w:ascii="Times New Roman" w:hAnsi="Times New Roman" w:cs="Times New Roman"/>
          <w:b/>
          <w:sz w:val="24"/>
          <w:szCs w:val="24"/>
        </w:rPr>
      </w:pPr>
      <w:r w:rsidRPr="009E7A97">
        <w:rPr>
          <w:rFonts w:ascii="Times New Roman" w:hAnsi="Times New Roman" w:cs="Times New Roman"/>
          <w:b/>
          <w:sz w:val="24"/>
          <w:szCs w:val="24"/>
        </w:rPr>
        <w:t>MDA</w:t>
      </w:r>
      <w:r w:rsidRPr="009E7A97">
        <w:rPr>
          <w:rFonts w:ascii="Times New Roman" w:hAnsi="Times New Roman" w:cs="Times New Roman"/>
          <w:sz w:val="24"/>
          <w:szCs w:val="24"/>
        </w:rPr>
        <w:t xml:space="preserve"> is a key marker of </w:t>
      </w:r>
      <w:r w:rsidRPr="009E7A97">
        <w:rPr>
          <w:rStyle w:val="Strong"/>
          <w:rFonts w:ascii="Times New Roman" w:hAnsi="Times New Roman" w:cs="Times New Roman"/>
          <w:sz w:val="24"/>
          <w:szCs w:val="24"/>
        </w:rPr>
        <w:t>lipid peroxidation</w:t>
      </w:r>
      <w:r w:rsidRPr="009E7A97">
        <w:rPr>
          <w:rFonts w:ascii="Times New Roman" w:hAnsi="Times New Roman" w:cs="Times New Roman"/>
          <w:sz w:val="24"/>
          <w:szCs w:val="24"/>
        </w:rPr>
        <w:t xml:space="preserve">. It is typically quantified using the </w:t>
      </w:r>
      <w:proofErr w:type="spellStart"/>
      <w:r w:rsidRPr="009E7A97">
        <w:rPr>
          <w:rStyle w:val="Strong"/>
          <w:rFonts w:ascii="Times New Roman" w:hAnsi="Times New Roman" w:cs="Times New Roman"/>
          <w:b w:val="0"/>
          <w:sz w:val="24"/>
          <w:szCs w:val="24"/>
        </w:rPr>
        <w:t>thiobarbituric</w:t>
      </w:r>
      <w:proofErr w:type="spellEnd"/>
      <w:r w:rsidRPr="009E7A97">
        <w:rPr>
          <w:rStyle w:val="Strong"/>
          <w:rFonts w:ascii="Times New Roman" w:hAnsi="Times New Roman" w:cs="Times New Roman"/>
          <w:b w:val="0"/>
          <w:sz w:val="24"/>
          <w:szCs w:val="24"/>
        </w:rPr>
        <w:t xml:space="preserve"> acid reactive substances (TBARS)</w:t>
      </w:r>
      <w:r w:rsidRPr="009E7A97">
        <w:rPr>
          <w:rFonts w:ascii="Times New Roman" w:hAnsi="Times New Roman" w:cs="Times New Roman"/>
          <w:sz w:val="24"/>
          <w:szCs w:val="24"/>
        </w:rPr>
        <w:t xml:space="preserve"> assay (Khan </w:t>
      </w:r>
      <w:r w:rsidRPr="009E7A97">
        <w:rPr>
          <w:rFonts w:ascii="Times New Roman" w:hAnsi="Times New Roman" w:cs="Times New Roman"/>
          <w:i/>
          <w:sz w:val="24"/>
          <w:szCs w:val="24"/>
        </w:rPr>
        <w:t>et al.</w:t>
      </w:r>
      <w:r w:rsidRPr="009E7A97">
        <w:rPr>
          <w:rFonts w:ascii="Times New Roman" w:hAnsi="Times New Roman" w:cs="Times New Roman"/>
          <w:sz w:val="24"/>
          <w:szCs w:val="24"/>
        </w:rPr>
        <w:t xml:space="preserve"> 2022). In this method, MDA reacts with </w:t>
      </w:r>
      <w:proofErr w:type="spellStart"/>
      <w:r w:rsidRPr="009E7A97">
        <w:rPr>
          <w:rFonts w:ascii="Times New Roman" w:hAnsi="Times New Roman" w:cs="Times New Roman"/>
          <w:sz w:val="24"/>
          <w:szCs w:val="24"/>
        </w:rPr>
        <w:t>thiob</w:t>
      </w:r>
      <w:r w:rsidRPr="009E7A97">
        <w:rPr>
          <w:rFonts w:ascii="Times New Roman" w:hAnsi="Times New Roman" w:cs="Times New Roman"/>
          <w:sz w:val="24"/>
          <w:szCs w:val="24"/>
        </w:rPr>
        <w:t>arbituric</w:t>
      </w:r>
      <w:proofErr w:type="spellEnd"/>
      <w:r w:rsidRPr="009E7A97">
        <w:rPr>
          <w:rFonts w:ascii="Times New Roman" w:hAnsi="Times New Roman" w:cs="Times New Roman"/>
          <w:sz w:val="24"/>
          <w:szCs w:val="24"/>
        </w:rPr>
        <w:t xml:space="preserve"> acid (TBA) under acidic and high-temperature conditions (boiling water bath) to form a pink chromogen. The resulting MDA-TBA adduct is measured spectrophotometrically at </w:t>
      </w:r>
      <w:r w:rsidRPr="009E7A97">
        <w:rPr>
          <w:rStyle w:val="Strong"/>
          <w:rFonts w:ascii="Times New Roman" w:hAnsi="Times New Roman" w:cs="Times New Roman"/>
          <w:b w:val="0"/>
          <w:sz w:val="24"/>
          <w:szCs w:val="24"/>
        </w:rPr>
        <w:t>532 nm</w:t>
      </w:r>
      <w:r w:rsidRPr="009E7A97">
        <w:rPr>
          <w:rFonts w:ascii="Times New Roman" w:hAnsi="Times New Roman" w:cs="Times New Roman"/>
          <w:sz w:val="24"/>
          <w:szCs w:val="24"/>
        </w:rPr>
        <w:t>. The concentration of MDA is then derived from a standard curve or ex</w:t>
      </w:r>
      <w:r w:rsidRPr="009E7A97">
        <w:rPr>
          <w:rFonts w:ascii="Times New Roman" w:hAnsi="Times New Roman" w:cs="Times New Roman"/>
          <w:sz w:val="24"/>
          <w:szCs w:val="24"/>
        </w:rPr>
        <w:t>tinction coefficient (</w:t>
      </w:r>
      <w:proofErr w:type="spellStart"/>
      <w:r w:rsidRPr="009E7A97">
        <w:rPr>
          <w:rFonts w:ascii="Times New Roman" w:hAnsi="Times New Roman" w:cs="Times New Roman"/>
          <w:sz w:val="24"/>
          <w:szCs w:val="24"/>
        </w:rPr>
        <w:t>Alsubaie</w:t>
      </w:r>
      <w:proofErr w:type="spellEnd"/>
      <w:r w:rsidRPr="009E7A97">
        <w:rPr>
          <w:rFonts w:ascii="Times New Roman" w:hAnsi="Times New Roman" w:cs="Times New Roman"/>
          <w:sz w:val="24"/>
          <w:szCs w:val="24"/>
        </w:rPr>
        <w:t xml:space="preserve"> et al. (2023)</w:t>
      </w:r>
    </w:p>
    <w:p w14:paraId="24921E83" w14:textId="77777777" w:rsidR="009B45DB" w:rsidRPr="009E7A97" w:rsidRDefault="00412180">
      <w:pPr>
        <w:numPr>
          <w:ilvl w:val="0"/>
          <w:numId w:val="1"/>
        </w:numPr>
        <w:spacing w:after="0" w:line="360" w:lineRule="auto"/>
        <w:jc w:val="both"/>
        <w:rPr>
          <w:rFonts w:ascii="Times New Roman" w:hAnsi="Times New Roman" w:cs="Times New Roman"/>
          <w:b/>
          <w:bCs/>
          <w:sz w:val="24"/>
          <w:szCs w:val="24"/>
        </w:rPr>
      </w:pPr>
      <w:r w:rsidRPr="009E7A97">
        <w:rPr>
          <w:rFonts w:ascii="Times New Roman" w:hAnsi="Times New Roman" w:cs="Times New Roman"/>
          <w:b/>
          <w:sz w:val="24"/>
          <w:szCs w:val="24"/>
        </w:rPr>
        <w:t xml:space="preserve">Catalase: </w:t>
      </w:r>
      <w:r w:rsidRPr="009E7A97">
        <w:rPr>
          <w:rFonts w:ascii="Times New Roman" w:hAnsi="Times New Roman" w:cs="Times New Roman"/>
          <w:sz w:val="24"/>
          <w:szCs w:val="24"/>
        </w:rPr>
        <w:t xml:space="preserve">The catalase assay is used to measure the enzymatic breakdown of hydrogen peroxide (H₂O₂) into water and oxygen. The decomposition of H₂O₂ results in a decline in absorbance at </w:t>
      </w:r>
      <w:r w:rsidRPr="009E7A97">
        <w:rPr>
          <w:rStyle w:val="Strong"/>
          <w:rFonts w:ascii="Times New Roman" w:hAnsi="Times New Roman" w:cs="Times New Roman"/>
          <w:sz w:val="24"/>
          <w:szCs w:val="24"/>
        </w:rPr>
        <w:t>240 nm</w:t>
      </w:r>
      <w:r w:rsidRPr="009E7A97">
        <w:rPr>
          <w:rFonts w:ascii="Times New Roman" w:hAnsi="Times New Roman" w:cs="Times New Roman"/>
          <w:sz w:val="24"/>
          <w:szCs w:val="24"/>
        </w:rPr>
        <w:t>, which is monitor</w:t>
      </w:r>
      <w:r w:rsidRPr="009E7A97">
        <w:rPr>
          <w:rFonts w:ascii="Times New Roman" w:hAnsi="Times New Roman" w:cs="Times New Roman"/>
          <w:sz w:val="24"/>
          <w:szCs w:val="24"/>
        </w:rPr>
        <w:t xml:space="preserve">ed spectrophotometrically. The rate of decrease is proportional to catalase activity, expressed as units per mg of protein (Adejumo </w:t>
      </w:r>
      <w:r w:rsidRPr="009E7A97">
        <w:rPr>
          <w:rFonts w:ascii="Times New Roman" w:hAnsi="Times New Roman" w:cs="Times New Roman"/>
          <w:i/>
          <w:sz w:val="24"/>
          <w:szCs w:val="24"/>
        </w:rPr>
        <w:t>et al.</w:t>
      </w:r>
      <w:r w:rsidRPr="009E7A97">
        <w:rPr>
          <w:rFonts w:ascii="Times New Roman" w:hAnsi="Times New Roman" w:cs="Times New Roman"/>
          <w:sz w:val="24"/>
          <w:szCs w:val="24"/>
        </w:rPr>
        <w:t xml:space="preserve"> 2021)</w:t>
      </w:r>
    </w:p>
    <w:p w14:paraId="14A93C7E" w14:textId="77777777" w:rsidR="009B45DB" w:rsidRPr="009E7A97" w:rsidRDefault="00412180">
      <w:pPr>
        <w:tabs>
          <w:tab w:val="left" w:pos="420"/>
        </w:tabs>
        <w:spacing w:line="360" w:lineRule="auto"/>
        <w:rPr>
          <w:rFonts w:ascii="Times New Roman" w:hAnsi="Times New Roman" w:cs="Times New Roman"/>
          <w:b/>
          <w:bCs/>
          <w:sz w:val="24"/>
          <w:szCs w:val="24"/>
        </w:rPr>
      </w:pPr>
      <w:r w:rsidRPr="009E7A97">
        <w:rPr>
          <w:rFonts w:ascii="Times New Roman" w:hAnsi="Times New Roman" w:cs="Times New Roman"/>
          <w:b/>
          <w:bCs/>
          <w:sz w:val="24"/>
          <w:szCs w:val="24"/>
        </w:rPr>
        <w:t>Ethnics Approval</w:t>
      </w:r>
    </w:p>
    <w:p w14:paraId="3B826A64" w14:textId="77777777" w:rsidR="009B45DB" w:rsidRPr="009E7A97" w:rsidRDefault="00412180">
      <w:pPr>
        <w:spacing w:line="360" w:lineRule="auto"/>
        <w:jc w:val="both"/>
        <w:rPr>
          <w:rFonts w:ascii="Times New Roman" w:hAnsi="Times New Roman" w:cs="Times New Roman"/>
          <w:bCs/>
          <w:sz w:val="24"/>
          <w:szCs w:val="24"/>
        </w:rPr>
      </w:pPr>
      <w:r w:rsidRPr="009E7A97">
        <w:rPr>
          <w:rFonts w:ascii="Times New Roman" w:hAnsi="Times New Roman" w:cs="Times New Roman"/>
          <w:bCs/>
          <w:sz w:val="24"/>
          <w:szCs w:val="24"/>
        </w:rPr>
        <w:lastRenderedPageBreak/>
        <w:t xml:space="preserve">Ethics Was Approved </w:t>
      </w:r>
      <w:proofErr w:type="gramStart"/>
      <w:r w:rsidRPr="009E7A97">
        <w:rPr>
          <w:rFonts w:ascii="Times New Roman" w:hAnsi="Times New Roman" w:cs="Times New Roman"/>
          <w:bCs/>
          <w:sz w:val="24"/>
          <w:szCs w:val="24"/>
        </w:rPr>
        <w:t>By</w:t>
      </w:r>
      <w:proofErr w:type="gramEnd"/>
      <w:r w:rsidRPr="009E7A97">
        <w:rPr>
          <w:rFonts w:ascii="Times New Roman" w:hAnsi="Times New Roman" w:cs="Times New Roman"/>
          <w:bCs/>
          <w:sz w:val="24"/>
          <w:szCs w:val="24"/>
        </w:rPr>
        <w:t xml:space="preserve"> the Ethics Committee with Ethics Number UPH/CEREMAD/REC/MMIII/089</w:t>
      </w:r>
    </w:p>
    <w:p w14:paraId="15385626" w14:textId="77777777" w:rsidR="009B45DB" w:rsidRPr="009E7A97" w:rsidRDefault="00412180">
      <w:pPr>
        <w:pStyle w:val="ListParagraph"/>
        <w:spacing w:after="0" w:line="360" w:lineRule="auto"/>
        <w:ind w:left="0"/>
        <w:jc w:val="both"/>
        <w:rPr>
          <w:rFonts w:ascii="Times New Roman" w:hAnsi="Times New Roman" w:cs="Times New Roman"/>
          <w:b/>
          <w:sz w:val="24"/>
          <w:szCs w:val="24"/>
        </w:rPr>
      </w:pPr>
      <w:r w:rsidRPr="009E7A97">
        <w:rPr>
          <w:rFonts w:ascii="Times New Roman" w:hAnsi="Times New Roman" w:cs="Times New Roman"/>
          <w:b/>
          <w:bCs/>
          <w:sz w:val="24"/>
          <w:szCs w:val="24"/>
        </w:rPr>
        <w:t>Statistical Analysis</w:t>
      </w:r>
      <w:r w:rsidRPr="009E7A97">
        <w:rPr>
          <w:rFonts w:ascii="Times New Roman" w:hAnsi="Times New Roman" w:cs="Times New Roman"/>
          <w:b/>
          <w:sz w:val="24"/>
          <w:szCs w:val="24"/>
        </w:rPr>
        <w:t xml:space="preserve"> </w:t>
      </w:r>
    </w:p>
    <w:p w14:paraId="2D4D9EC9" w14:textId="77777777" w:rsidR="009B45DB" w:rsidRPr="009E7A97" w:rsidRDefault="00412180">
      <w:pPr>
        <w:spacing w:line="360" w:lineRule="auto"/>
        <w:jc w:val="both"/>
        <w:rPr>
          <w:rFonts w:ascii="Times New Roman" w:hAnsi="Times New Roman" w:cs="Times New Roman"/>
          <w:sz w:val="24"/>
          <w:szCs w:val="24"/>
        </w:rPr>
      </w:pPr>
      <w:r w:rsidRPr="009E7A97">
        <w:rPr>
          <w:rFonts w:ascii="Times New Roman" w:hAnsi="Times New Roman" w:cs="Times New Roman"/>
          <w:sz w:val="24"/>
          <w:szCs w:val="24"/>
        </w:rPr>
        <w:t xml:space="preserve">SPPSS version 20.0 was adopted to </w:t>
      </w:r>
      <w:proofErr w:type="gramStart"/>
      <w:r w:rsidRPr="009E7A97">
        <w:rPr>
          <w:rFonts w:ascii="Times New Roman" w:hAnsi="Times New Roman" w:cs="Times New Roman"/>
          <w:sz w:val="24"/>
          <w:szCs w:val="24"/>
        </w:rPr>
        <w:t>examine  the</w:t>
      </w:r>
      <w:proofErr w:type="gramEnd"/>
      <w:r w:rsidRPr="009E7A97">
        <w:rPr>
          <w:rFonts w:ascii="Times New Roman" w:hAnsi="Times New Roman" w:cs="Times New Roman"/>
          <w:sz w:val="24"/>
          <w:szCs w:val="24"/>
        </w:rPr>
        <w:t xml:space="preserve"> numerical data got from the study, the result were presented as, mean plus or minus (± ) SEM. Comparison of mean values was achieved by carrying out the  analysis of variance—ANOVA, and p</w:t>
      </w:r>
      <w:r w:rsidRPr="009E7A97">
        <w:rPr>
          <w:rFonts w:ascii="Times New Roman" w:hAnsi="Times New Roman" w:cs="Times New Roman"/>
          <w:sz w:val="24"/>
          <w:szCs w:val="24"/>
        </w:rPr>
        <w:t xml:space="preserve">osts Hoc tests were wont to compare the mean and p &lt; 0.05 was considered statistically significant. Results were tabulated Tables </w:t>
      </w:r>
    </w:p>
    <w:p w14:paraId="15D15A97" w14:textId="77777777" w:rsidR="009B45DB" w:rsidRPr="009E7A97" w:rsidRDefault="009B45DB">
      <w:pPr>
        <w:spacing w:line="360" w:lineRule="auto"/>
        <w:rPr>
          <w:rFonts w:ascii="Times New Roman" w:hAnsi="Times New Roman" w:cs="Times New Roman"/>
          <w:b/>
          <w:sz w:val="24"/>
          <w:szCs w:val="24"/>
        </w:rPr>
      </w:pPr>
    </w:p>
    <w:p w14:paraId="1B8D16F8" w14:textId="77777777" w:rsidR="009B45DB" w:rsidRPr="009E7A97" w:rsidRDefault="009B45DB">
      <w:pPr>
        <w:spacing w:line="360" w:lineRule="auto"/>
        <w:rPr>
          <w:rFonts w:ascii="Times New Roman" w:hAnsi="Times New Roman" w:cs="Times New Roman"/>
          <w:b/>
          <w:sz w:val="24"/>
          <w:szCs w:val="24"/>
        </w:rPr>
      </w:pPr>
    </w:p>
    <w:p w14:paraId="0EB6DFD8" w14:textId="77777777" w:rsidR="009B45DB" w:rsidRPr="009E7A97" w:rsidRDefault="009B45DB">
      <w:pPr>
        <w:rPr>
          <w:rFonts w:ascii="Times New Roman" w:hAnsi="Times New Roman" w:cs="Times New Roman"/>
          <w:b/>
          <w:sz w:val="24"/>
          <w:szCs w:val="24"/>
        </w:rPr>
      </w:pPr>
    </w:p>
    <w:p w14:paraId="18B61A58" w14:textId="77777777" w:rsidR="009B45DB" w:rsidRPr="009E7A97" w:rsidRDefault="009B45DB">
      <w:pPr>
        <w:rPr>
          <w:rFonts w:ascii="Times New Roman" w:hAnsi="Times New Roman" w:cs="Times New Roman"/>
          <w:b/>
          <w:sz w:val="24"/>
          <w:szCs w:val="24"/>
        </w:rPr>
      </w:pPr>
    </w:p>
    <w:p w14:paraId="1D1D5047" w14:textId="77777777" w:rsidR="009B45DB" w:rsidRPr="009E7A97" w:rsidRDefault="009B45DB">
      <w:pPr>
        <w:rPr>
          <w:rFonts w:ascii="Times New Roman" w:hAnsi="Times New Roman" w:cs="Times New Roman"/>
          <w:b/>
          <w:sz w:val="24"/>
          <w:szCs w:val="24"/>
        </w:rPr>
      </w:pPr>
    </w:p>
    <w:p w14:paraId="089D7103" w14:textId="77777777" w:rsidR="009B45DB" w:rsidRPr="009E7A97" w:rsidRDefault="009B45DB">
      <w:pPr>
        <w:rPr>
          <w:rFonts w:ascii="Times New Roman" w:hAnsi="Times New Roman" w:cs="Times New Roman"/>
          <w:b/>
          <w:sz w:val="24"/>
          <w:szCs w:val="24"/>
        </w:rPr>
      </w:pPr>
    </w:p>
    <w:p w14:paraId="1B0542EE" w14:textId="77777777" w:rsidR="009B45DB" w:rsidRPr="009E7A97" w:rsidRDefault="009B45DB">
      <w:pPr>
        <w:rPr>
          <w:rFonts w:ascii="Times New Roman" w:hAnsi="Times New Roman" w:cs="Times New Roman"/>
          <w:b/>
          <w:sz w:val="24"/>
          <w:szCs w:val="24"/>
        </w:rPr>
      </w:pPr>
    </w:p>
    <w:p w14:paraId="33E558D6" w14:textId="77777777" w:rsidR="009B45DB" w:rsidRPr="009E7A97" w:rsidRDefault="009B45DB">
      <w:pPr>
        <w:rPr>
          <w:rFonts w:ascii="Times New Roman" w:hAnsi="Times New Roman" w:cs="Times New Roman"/>
          <w:b/>
          <w:sz w:val="24"/>
          <w:szCs w:val="24"/>
        </w:rPr>
      </w:pPr>
    </w:p>
    <w:p w14:paraId="008DE250" w14:textId="77777777" w:rsidR="009B45DB" w:rsidRPr="009E7A97" w:rsidRDefault="009B45DB">
      <w:pPr>
        <w:rPr>
          <w:rFonts w:ascii="Times New Roman" w:hAnsi="Times New Roman" w:cs="Times New Roman"/>
          <w:b/>
          <w:sz w:val="24"/>
          <w:szCs w:val="24"/>
        </w:rPr>
      </w:pPr>
    </w:p>
    <w:p w14:paraId="5E2FBEFF" w14:textId="77777777" w:rsidR="009B45DB" w:rsidRPr="009E7A97" w:rsidRDefault="009B45DB">
      <w:pPr>
        <w:rPr>
          <w:rFonts w:ascii="Times New Roman" w:hAnsi="Times New Roman" w:cs="Times New Roman"/>
          <w:b/>
          <w:sz w:val="24"/>
          <w:szCs w:val="24"/>
        </w:rPr>
      </w:pPr>
    </w:p>
    <w:p w14:paraId="68BF35B8" w14:textId="77777777" w:rsidR="009B45DB" w:rsidRPr="009E7A97" w:rsidRDefault="009B45DB">
      <w:pPr>
        <w:rPr>
          <w:rFonts w:ascii="Times New Roman" w:hAnsi="Times New Roman" w:cs="Times New Roman"/>
          <w:b/>
          <w:sz w:val="24"/>
          <w:szCs w:val="24"/>
        </w:rPr>
      </w:pPr>
    </w:p>
    <w:p w14:paraId="0A7CCD88" w14:textId="77777777" w:rsidR="009B45DB" w:rsidRPr="009E7A97" w:rsidRDefault="009B45DB">
      <w:pPr>
        <w:rPr>
          <w:rFonts w:ascii="Times New Roman" w:hAnsi="Times New Roman" w:cs="Times New Roman"/>
          <w:b/>
          <w:sz w:val="24"/>
          <w:szCs w:val="24"/>
        </w:rPr>
      </w:pPr>
    </w:p>
    <w:p w14:paraId="70E58D48" w14:textId="77777777" w:rsidR="009B45DB" w:rsidRPr="009E7A97" w:rsidRDefault="009B45DB">
      <w:pPr>
        <w:rPr>
          <w:rFonts w:ascii="Times New Roman" w:hAnsi="Times New Roman" w:cs="Times New Roman"/>
          <w:b/>
          <w:sz w:val="24"/>
          <w:szCs w:val="24"/>
        </w:rPr>
      </w:pPr>
    </w:p>
    <w:p w14:paraId="3169E9CF" w14:textId="3E000786" w:rsidR="009B45DB" w:rsidRDefault="009B45DB">
      <w:pPr>
        <w:rPr>
          <w:rFonts w:ascii="Times New Roman" w:hAnsi="Times New Roman" w:cs="Times New Roman"/>
          <w:b/>
          <w:sz w:val="24"/>
          <w:szCs w:val="24"/>
        </w:rPr>
      </w:pPr>
    </w:p>
    <w:p w14:paraId="222D7074" w14:textId="443FE4A3" w:rsidR="00B21F02" w:rsidRDefault="00B21F02">
      <w:pPr>
        <w:rPr>
          <w:rFonts w:ascii="Times New Roman" w:hAnsi="Times New Roman" w:cs="Times New Roman"/>
          <w:b/>
          <w:sz w:val="24"/>
          <w:szCs w:val="24"/>
        </w:rPr>
      </w:pPr>
    </w:p>
    <w:p w14:paraId="62331A87" w14:textId="77777777" w:rsidR="00B21F02" w:rsidRPr="009E7A97" w:rsidRDefault="00B21F02">
      <w:pPr>
        <w:rPr>
          <w:rFonts w:ascii="Times New Roman" w:hAnsi="Times New Roman" w:cs="Times New Roman"/>
          <w:b/>
          <w:sz w:val="24"/>
          <w:szCs w:val="24"/>
        </w:rPr>
      </w:pPr>
      <w:bookmarkStart w:id="3" w:name="_GoBack"/>
      <w:bookmarkEnd w:id="3"/>
    </w:p>
    <w:p w14:paraId="473B7E58" w14:textId="77777777" w:rsidR="009B45DB" w:rsidRPr="009E7A97" w:rsidRDefault="009B45DB">
      <w:pPr>
        <w:rPr>
          <w:rFonts w:ascii="Times New Roman" w:hAnsi="Times New Roman" w:cs="Times New Roman"/>
          <w:b/>
          <w:sz w:val="24"/>
          <w:szCs w:val="24"/>
        </w:rPr>
      </w:pPr>
    </w:p>
    <w:p w14:paraId="506ACF22" w14:textId="77777777" w:rsidR="009B45DB" w:rsidRPr="009E7A97" w:rsidRDefault="009B45DB">
      <w:pPr>
        <w:rPr>
          <w:rFonts w:ascii="Times New Roman" w:hAnsi="Times New Roman" w:cs="Times New Roman"/>
          <w:b/>
          <w:sz w:val="24"/>
          <w:szCs w:val="24"/>
        </w:rPr>
      </w:pPr>
    </w:p>
    <w:p w14:paraId="2C992B09" w14:textId="77777777" w:rsidR="009B45DB" w:rsidRPr="009E7A97" w:rsidRDefault="009B45DB">
      <w:pPr>
        <w:rPr>
          <w:rFonts w:ascii="Times New Roman" w:hAnsi="Times New Roman" w:cs="Times New Roman"/>
          <w:b/>
          <w:sz w:val="24"/>
          <w:szCs w:val="24"/>
        </w:rPr>
      </w:pPr>
    </w:p>
    <w:p w14:paraId="2EF181EF" w14:textId="77777777" w:rsidR="002E4F23" w:rsidRPr="009E7A97" w:rsidRDefault="00412180" w:rsidP="002E4F23">
      <w:pPr>
        <w:pStyle w:val="NormalWeb"/>
        <w:spacing w:after="0" w:afterAutospacing="0" w:line="360" w:lineRule="auto"/>
        <w:jc w:val="both"/>
        <w:rPr>
          <w:b/>
        </w:rPr>
      </w:pPr>
      <w:proofErr w:type="gramStart"/>
      <w:r w:rsidRPr="009E7A97">
        <w:rPr>
          <w:b/>
        </w:rPr>
        <w:lastRenderedPageBreak/>
        <w:t xml:space="preserve">RESULTS </w:t>
      </w:r>
      <w:r w:rsidR="002E4F23" w:rsidRPr="009E7A97">
        <w:rPr>
          <w:b/>
        </w:rPr>
        <w:t xml:space="preserve"> AND</w:t>
      </w:r>
      <w:proofErr w:type="gramEnd"/>
      <w:r w:rsidR="002E4F23" w:rsidRPr="009E7A97">
        <w:rPr>
          <w:b/>
        </w:rPr>
        <w:t xml:space="preserve"> DISCUSSION </w:t>
      </w:r>
    </w:p>
    <w:p w14:paraId="0B14D064" w14:textId="02126EA4" w:rsidR="009B45DB" w:rsidRPr="009E7A97" w:rsidRDefault="009B45DB">
      <w:pPr>
        <w:rPr>
          <w:rFonts w:ascii="Times New Roman" w:hAnsi="Times New Roman" w:cs="Times New Roman"/>
          <w:b/>
          <w:sz w:val="24"/>
          <w:szCs w:val="24"/>
        </w:rPr>
      </w:pPr>
    </w:p>
    <w:p w14:paraId="388B30D2" w14:textId="77777777" w:rsidR="009B45DB" w:rsidRPr="009E7A97" w:rsidRDefault="00412180">
      <w:pPr>
        <w:shd w:val="clear" w:color="auto" w:fill="FFFFFF"/>
        <w:spacing w:line="480" w:lineRule="auto"/>
        <w:jc w:val="both"/>
        <w:rPr>
          <w:rFonts w:ascii="Times New Roman" w:hAnsi="Times New Roman" w:cs="Times New Roman"/>
          <w:b/>
          <w:sz w:val="24"/>
          <w:szCs w:val="24"/>
        </w:rPr>
      </w:pPr>
      <w:r w:rsidRPr="009E7A97">
        <w:rPr>
          <w:rFonts w:ascii="Times New Roman" w:hAnsi="Times New Roman" w:cs="Times New Roman"/>
          <w:b/>
          <w:sz w:val="24"/>
          <w:szCs w:val="24"/>
        </w:rPr>
        <w:t xml:space="preserve">Table 1: Pattern of Spatial Memory and Learning Using the Navigational Maze Week </w:t>
      </w:r>
      <w:r w:rsidRPr="009E7A97">
        <w:rPr>
          <w:rFonts w:ascii="Times New Roman" w:hAnsi="Times New Roman" w:cs="Times New Roman"/>
          <w:b/>
          <w:sz w:val="24"/>
          <w:szCs w:val="24"/>
        </w:rPr>
        <w:t>1-5</w:t>
      </w:r>
    </w:p>
    <w:tbl>
      <w:tblPr>
        <w:tblStyle w:val="LightShading1"/>
        <w:tblpPr w:leftFromText="180" w:rightFromText="180" w:vertAnchor="text" w:horzAnchor="margin" w:tblpXSpec="center" w:tblpY="154"/>
        <w:tblW w:w="5000" w:type="pct"/>
        <w:tblLook w:val="04A0" w:firstRow="1" w:lastRow="0" w:firstColumn="1" w:lastColumn="0" w:noHBand="0" w:noVBand="1"/>
      </w:tblPr>
      <w:tblGrid>
        <w:gridCol w:w="1097"/>
        <w:gridCol w:w="860"/>
        <w:gridCol w:w="836"/>
        <w:gridCol w:w="933"/>
        <w:gridCol w:w="727"/>
        <w:gridCol w:w="933"/>
        <w:gridCol w:w="727"/>
        <w:gridCol w:w="933"/>
        <w:gridCol w:w="727"/>
        <w:gridCol w:w="860"/>
        <w:gridCol w:w="727"/>
      </w:tblGrid>
      <w:tr w:rsidR="009B45DB" w:rsidRPr="009E7A97" w14:paraId="601FB4F4" w14:textId="77777777" w:rsidTr="00170EF7">
        <w:trPr>
          <w:cnfStyle w:val="100000000000" w:firstRow="1" w:lastRow="0" w:firstColumn="0" w:lastColumn="0" w:oddVBand="0" w:evenVBand="0" w:oddHBand="0" w:evenHBand="0" w:firstRowFirstColumn="0" w:firstRowLastColumn="0" w:lastRowFirstColumn="0" w:lastRowLastColumn="0"/>
          <w:trHeight w:val="10"/>
        </w:trPr>
        <w:tc>
          <w:tcPr>
            <w:cnfStyle w:val="001000000000" w:firstRow="0" w:lastRow="0" w:firstColumn="1" w:lastColumn="0" w:oddVBand="0" w:evenVBand="0" w:oddHBand="0" w:evenHBand="0" w:firstRowFirstColumn="0" w:firstRowLastColumn="0" w:lastRowFirstColumn="0" w:lastRowLastColumn="0"/>
            <w:tcW w:w="571" w:type="pct"/>
          </w:tcPr>
          <w:p w14:paraId="4EDCAD5F"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Groups/Treatment</w:t>
            </w:r>
          </w:p>
        </w:tc>
        <w:tc>
          <w:tcPr>
            <w:tcW w:w="566" w:type="pct"/>
          </w:tcPr>
          <w:p w14:paraId="02F4017D"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Week1</w:t>
            </w:r>
          </w:p>
          <w:p w14:paraId="65E9C211"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402" w:type="pct"/>
          </w:tcPr>
          <w:p w14:paraId="53C70614"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xml:space="preserve">%differences </w:t>
            </w:r>
          </w:p>
        </w:tc>
        <w:tc>
          <w:tcPr>
            <w:tcW w:w="568" w:type="pct"/>
          </w:tcPr>
          <w:p w14:paraId="1541206F"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Week2</w:t>
            </w:r>
          </w:p>
          <w:p w14:paraId="7E85FCC4"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370" w:type="pct"/>
          </w:tcPr>
          <w:p w14:paraId="753EDF1D"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501" w:type="pct"/>
          </w:tcPr>
          <w:p w14:paraId="08025BBE"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Week3</w:t>
            </w:r>
          </w:p>
          <w:p w14:paraId="5D863368"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405" w:type="pct"/>
          </w:tcPr>
          <w:p w14:paraId="006EFD25"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428" w:type="pct"/>
          </w:tcPr>
          <w:p w14:paraId="3CF2182F"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Week4</w:t>
            </w:r>
          </w:p>
          <w:p w14:paraId="2E968F34"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400" w:type="pct"/>
          </w:tcPr>
          <w:p w14:paraId="610091CF"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420" w:type="pct"/>
          </w:tcPr>
          <w:p w14:paraId="6DE69CD2"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Week5</w:t>
            </w:r>
          </w:p>
          <w:p w14:paraId="431B1056"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368" w:type="pct"/>
          </w:tcPr>
          <w:p w14:paraId="004E8A63"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r>
      <w:tr w:rsidR="00170EF7" w:rsidRPr="009E7A97" w14:paraId="6D334606" w14:textId="77777777" w:rsidTr="00170EF7">
        <w:trPr>
          <w:trHeight w:val="9"/>
        </w:trPr>
        <w:tc>
          <w:tcPr>
            <w:cnfStyle w:val="001000000000" w:firstRow="0" w:lastRow="0" w:firstColumn="1" w:lastColumn="0" w:oddVBand="0" w:evenVBand="0" w:oddHBand="0" w:evenHBand="0" w:firstRowFirstColumn="0" w:firstRowLastColumn="0" w:lastRowFirstColumn="0" w:lastRowLastColumn="0"/>
            <w:tcW w:w="571" w:type="pct"/>
            <w:tcBorders>
              <w:left w:val="nil"/>
              <w:right w:val="nil"/>
            </w:tcBorders>
            <w:shd w:val="clear" w:color="auto" w:fill="C0C0C0"/>
          </w:tcPr>
          <w:p w14:paraId="3B6DEF4D"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Group1</w:t>
            </w:r>
          </w:p>
          <w:p w14:paraId="03822C1A"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(control group)</w:t>
            </w:r>
          </w:p>
        </w:tc>
        <w:tc>
          <w:tcPr>
            <w:tcW w:w="566" w:type="pct"/>
            <w:tcBorders>
              <w:right w:val="nil"/>
            </w:tcBorders>
            <w:shd w:val="clear" w:color="auto" w:fill="C0C0C0"/>
          </w:tcPr>
          <w:p w14:paraId="33E28DBB"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136.60±41.93</w:t>
            </w:r>
          </w:p>
        </w:tc>
        <w:tc>
          <w:tcPr>
            <w:tcW w:w="402" w:type="pct"/>
            <w:tcBorders>
              <w:right w:val="nil"/>
            </w:tcBorders>
            <w:shd w:val="clear" w:color="auto" w:fill="C0C0C0"/>
          </w:tcPr>
          <w:p w14:paraId="1563FFD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568" w:type="pct"/>
            <w:tcBorders>
              <w:right w:val="nil"/>
            </w:tcBorders>
            <w:shd w:val="clear" w:color="auto" w:fill="C0C0C0"/>
          </w:tcPr>
          <w:p w14:paraId="385A00AB"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82.20±23.65</w:t>
            </w:r>
          </w:p>
        </w:tc>
        <w:tc>
          <w:tcPr>
            <w:tcW w:w="370" w:type="pct"/>
            <w:tcBorders>
              <w:right w:val="nil"/>
            </w:tcBorders>
            <w:shd w:val="clear" w:color="auto" w:fill="C0C0C0"/>
          </w:tcPr>
          <w:p w14:paraId="6FD870BE"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501" w:type="pct"/>
            <w:tcBorders>
              <w:right w:val="nil"/>
            </w:tcBorders>
            <w:shd w:val="clear" w:color="auto" w:fill="C0C0C0"/>
          </w:tcPr>
          <w:p w14:paraId="5D6A13F2"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43.60±20.99</w:t>
            </w:r>
          </w:p>
        </w:tc>
        <w:tc>
          <w:tcPr>
            <w:tcW w:w="405" w:type="pct"/>
            <w:tcBorders>
              <w:right w:val="nil"/>
            </w:tcBorders>
            <w:shd w:val="clear" w:color="auto" w:fill="C0C0C0"/>
          </w:tcPr>
          <w:p w14:paraId="498C0C8C"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428" w:type="pct"/>
            <w:tcBorders>
              <w:right w:val="nil"/>
            </w:tcBorders>
            <w:shd w:val="clear" w:color="auto" w:fill="C0C0C0"/>
          </w:tcPr>
          <w:p w14:paraId="1CCA2456"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85.20±37.49</w:t>
            </w:r>
          </w:p>
        </w:tc>
        <w:tc>
          <w:tcPr>
            <w:tcW w:w="400" w:type="pct"/>
            <w:tcBorders>
              <w:right w:val="nil"/>
            </w:tcBorders>
            <w:shd w:val="clear" w:color="auto" w:fill="C0C0C0"/>
          </w:tcPr>
          <w:p w14:paraId="11E0CA0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420" w:type="pct"/>
            <w:tcBorders>
              <w:right w:val="nil"/>
            </w:tcBorders>
            <w:shd w:val="clear" w:color="auto" w:fill="C0C0C0"/>
          </w:tcPr>
          <w:p w14:paraId="77B3B074"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90.60±32.28</w:t>
            </w:r>
          </w:p>
        </w:tc>
        <w:tc>
          <w:tcPr>
            <w:tcW w:w="368" w:type="pct"/>
            <w:tcBorders>
              <w:right w:val="nil"/>
            </w:tcBorders>
            <w:shd w:val="clear" w:color="auto" w:fill="C0C0C0"/>
          </w:tcPr>
          <w:p w14:paraId="438555A4"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r>
      <w:tr w:rsidR="009B45DB" w:rsidRPr="009E7A97" w14:paraId="62AAC2E7" w14:textId="77777777" w:rsidTr="00170EF7">
        <w:trPr>
          <w:trHeight w:val="9"/>
        </w:trPr>
        <w:tc>
          <w:tcPr>
            <w:cnfStyle w:val="001000000000" w:firstRow="0" w:lastRow="0" w:firstColumn="1" w:lastColumn="0" w:oddVBand="0" w:evenVBand="0" w:oddHBand="0" w:evenHBand="0" w:firstRowFirstColumn="0" w:firstRowLastColumn="0" w:lastRowFirstColumn="0" w:lastRowLastColumn="0"/>
            <w:tcW w:w="571" w:type="pct"/>
          </w:tcPr>
          <w:p w14:paraId="63123F07"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Group2 (Scopolamine only)</w:t>
            </w:r>
          </w:p>
        </w:tc>
        <w:tc>
          <w:tcPr>
            <w:tcW w:w="566" w:type="pct"/>
          </w:tcPr>
          <w:p w14:paraId="4E08CA4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172.80±32.64</w:t>
            </w:r>
          </w:p>
        </w:tc>
        <w:tc>
          <w:tcPr>
            <w:tcW w:w="402" w:type="pct"/>
          </w:tcPr>
          <w:p w14:paraId="424504B9"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FF0000"/>
                <w:sz w:val="18"/>
                <w:szCs w:val="18"/>
              </w:rPr>
              <w:t>26</w:t>
            </w:r>
          </w:p>
        </w:tc>
        <w:tc>
          <w:tcPr>
            <w:tcW w:w="568" w:type="pct"/>
          </w:tcPr>
          <w:p w14:paraId="6CD2FB81"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213.80±5.79*</w:t>
            </w:r>
          </w:p>
        </w:tc>
        <w:tc>
          <w:tcPr>
            <w:tcW w:w="370" w:type="pct"/>
          </w:tcPr>
          <w:p w14:paraId="75077CF2"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159</w:t>
            </w:r>
          </w:p>
        </w:tc>
        <w:tc>
          <w:tcPr>
            <w:tcW w:w="501" w:type="pct"/>
          </w:tcPr>
          <w:p w14:paraId="3B513E22"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248.00±40.17</w:t>
            </w:r>
          </w:p>
        </w:tc>
        <w:tc>
          <w:tcPr>
            <w:tcW w:w="405" w:type="pct"/>
          </w:tcPr>
          <w:p w14:paraId="36C97FAF"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476</w:t>
            </w:r>
          </w:p>
        </w:tc>
        <w:tc>
          <w:tcPr>
            <w:tcW w:w="428" w:type="pct"/>
          </w:tcPr>
          <w:p w14:paraId="6B34348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251.40±50.49</w:t>
            </w:r>
          </w:p>
        </w:tc>
        <w:tc>
          <w:tcPr>
            <w:tcW w:w="400" w:type="pct"/>
          </w:tcPr>
          <w:p w14:paraId="4CD0756A"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195</w:t>
            </w:r>
          </w:p>
        </w:tc>
        <w:tc>
          <w:tcPr>
            <w:tcW w:w="420" w:type="pct"/>
          </w:tcPr>
          <w:p w14:paraId="743530E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258.00±38.83</w:t>
            </w:r>
          </w:p>
        </w:tc>
        <w:tc>
          <w:tcPr>
            <w:tcW w:w="368" w:type="pct"/>
          </w:tcPr>
          <w:p w14:paraId="37A22679"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176</w:t>
            </w:r>
          </w:p>
        </w:tc>
      </w:tr>
      <w:tr w:rsidR="00170EF7" w:rsidRPr="009E7A97" w14:paraId="66F385E7" w14:textId="77777777" w:rsidTr="00170EF7">
        <w:trPr>
          <w:trHeight w:val="9"/>
        </w:trPr>
        <w:tc>
          <w:tcPr>
            <w:cnfStyle w:val="001000000000" w:firstRow="0" w:lastRow="0" w:firstColumn="1" w:lastColumn="0" w:oddVBand="0" w:evenVBand="0" w:oddHBand="0" w:evenHBand="0" w:firstRowFirstColumn="0" w:firstRowLastColumn="0" w:lastRowFirstColumn="0" w:lastRowLastColumn="0"/>
            <w:tcW w:w="571" w:type="pct"/>
            <w:tcBorders>
              <w:left w:val="nil"/>
              <w:right w:val="nil"/>
            </w:tcBorders>
            <w:shd w:val="clear" w:color="auto" w:fill="C0C0C0"/>
          </w:tcPr>
          <w:p w14:paraId="4C03F4AE"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Group3</w:t>
            </w:r>
          </w:p>
          <w:p w14:paraId="4ECE8C1B"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 xml:space="preserve">(Scopolamine &amp;5 mg/kg </w:t>
            </w:r>
            <w:proofErr w:type="spellStart"/>
            <w:r w:rsidRPr="009E7A97">
              <w:rPr>
                <w:rFonts w:ascii="Times New Roman" w:hAnsi="Times New Roman" w:cs="Times New Roman"/>
                <w:sz w:val="18"/>
                <w:szCs w:val="18"/>
              </w:rPr>
              <w:t>Donpezil</w:t>
            </w:r>
            <w:proofErr w:type="spellEnd"/>
            <w:r w:rsidRPr="009E7A97">
              <w:rPr>
                <w:rFonts w:ascii="Times New Roman" w:hAnsi="Times New Roman" w:cs="Times New Roman"/>
                <w:sz w:val="18"/>
                <w:szCs w:val="18"/>
              </w:rPr>
              <w:t>)</w:t>
            </w:r>
          </w:p>
        </w:tc>
        <w:tc>
          <w:tcPr>
            <w:tcW w:w="566" w:type="pct"/>
            <w:tcBorders>
              <w:right w:val="nil"/>
            </w:tcBorders>
            <w:shd w:val="clear" w:color="auto" w:fill="C0C0C0"/>
          </w:tcPr>
          <w:p w14:paraId="64E1B9EE"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202.00±55.03</w:t>
            </w:r>
          </w:p>
        </w:tc>
        <w:tc>
          <w:tcPr>
            <w:tcW w:w="402" w:type="pct"/>
            <w:tcBorders>
              <w:right w:val="nil"/>
            </w:tcBorders>
            <w:shd w:val="clear" w:color="auto" w:fill="C0C0C0"/>
          </w:tcPr>
          <w:p w14:paraId="42A6BC4C"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48</w:t>
            </w:r>
          </w:p>
        </w:tc>
        <w:tc>
          <w:tcPr>
            <w:tcW w:w="568" w:type="pct"/>
            <w:tcBorders>
              <w:right w:val="nil"/>
            </w:tcBorders>
            <w:shd w:val="clear" w:color="auto" w:fill="C0C0C0"/>
          </w:tcPr>
          <w:p w14:paraId="11928B7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292.00*#±8.00</w:t>
            </w:r>
          </w:p>
        </w:tc>
        <w:tc>
          <w:tcPr>
            <w:tcW w:w="370" w:type="pct"/>
            <w:tcBorders>
              <w:right w:val="nil"/>
            </w:tcBorders>
            <w:shd w:val="clear" w:color="auto" w:fill="C0C0C0"/>
          </w:tcPr>
          <w:p w14:paraId="3DFD6EF5"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256</w:t>
            </w:r>
          </w:p>
        </w:tc>
        <w:tc>
          <w:tcPr>
            <w:tcW w:w="501" w:type="pct"/>
            <w:tcBorders>
              <w:right w:val="nil"/>
            </w:tcBorders>
            <w:shd w:val="clear" w:color="auto" w:fill="C0C0C0"/>
          </w:tcPr>
          <w:p w14:paraId="3E968A3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137.40±14.39</w:t>
            </w:r>
          </w:p>
        </w:tc>
        <w:tc>
          <w:tcPr>
            <w:tcW w:w="405" w:type="pct"/>
            <w:tcBorders>
              <w:right w:val="nil"/>
            </w:tcBorders>
            <w:shd w:val="clear" w:color="auto" w:fill="C0C0C0"/>
          </w:tcPr>
          <w:p w14:paraId="30413852"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218</w:t>
            </w:r>
          </w:p>
        </w:tc>
        <w:tc>
          <w:tcPr>
            <w:tcW w:w="428" w:type="pct"/>
            <w:tcBorders>
              <w:right w:val="nil"/>
            </w:tcBorders>
            <w:shd w:val="clear" w:color="auto" w:fill="C0C0C0"/>
          </w:tcPr>
          <w:p w14:paraId="511A818C"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200.00*±50.07</w:t>
            </w:r>
          </w:p>
        </w:tc>
        <w:tc>
          <w:tcPr>
            <w:tcW w:w="400" w:type="pct"/>
            <w:tcBorders>
              <w:right w:val="nil"/>
            </w:tcBorders>
            <w:shd w:val="clear" w:color="auto" w:fill="C0C0C0"/>
          </w:tcPr>
          <w:p w14:paraId="00E8B6F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135</w:t>
            </w:r>
          </w:p>
        </w:tc>
        <w:tc>
          <w:tcPr>
            <w:tcW w:w="420" w:type="pct"/>
            <w:tcBorders>
              <w:right w:val="nil"/>
            </w:tcBorders>
            <w:shd w:val="clear" w:color="auto" w:fill="C0C0C0"/>
          </w:tcPr>
          <w:p w14:paraId="7ABF28A5"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88.20±53.45</w:t>
            </w:r>
          </w:p>
        </w:tc>
        <w:tc>
          <w:tcPr>
            <w:tcW w:w="368" w:type="pct"/>
            <w:tcBorders>
              <w:right w:val="nil"/>
            </w:tcBorders>
            <w:shd w:val="clear" w:color="auto" w:fill="C0C0C0"/>
          </w:tcPr>
          <w:p w14:paraId="12872DC4"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-2.2</w:t>
            </w:r>
          </w:p>
        </w:tc>
      </w:tr>
      <w:tr w:rsidR="009B45DB" w:rsidRPr="009E7A97" w14:paraId="7426F96A" w14:textId="77777777" w:rsidTr="00170EF7">
        <w:trPr>
          <w:trHeight w:val="7"/>
        </w:trPr>
        <w:tc>
          <w:tcPr>
            <w:cnfStyle w:val="001000000000" w:firstRow="0" w:lastRow="0" w:firstColumn="1" w:lastColumn="0" w:oddVBand="0" w:evenVBand="0" w:oddHBand="0" w:evenHBand="0" w:firstRowFirstColumn="0" w:firstRowLastColumn="0" w:lastRowFirstColumn="0" w:lastRowLastColumn="0"/>
            <w:tcW w:w="571" w:type="pct"/>
          </w:tcPr>
          <w:p w14:paraId="2764D69F"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Group4</w:t>
            </w:r>
          </w:p>
          <w:p w14:paraId="628A5439"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(Scopolamine &amp; 100 mg/kg guava)</w:t>
            </w:r>
          </w:p>
        </w:tc>
        <w:tc>
          <w:tcPr>
            <w:tcW w:w="566" w:type="pct"/>
          </w:tcPr>
          <w:p w14:paraId="6FCDECF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120.60±45.72</w:t>
            </w:r>
          </w:p>
        </w:tc>
        <w:tc>
          <w:tcPr>
            <w:tcW w:w="402" w:type="pct"/>
          </w:tcPr>
          <w:p w14:paraId="4A08ACE7"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1.17</w:t>
            </w:r>
          </w:p>
        </w:tc>
        <w:tc>
          <w:tcPr>
            <w:tcW w:w="568" w:type="pct"/>
          </w:tcPr>
          <w:p w14:paraId="49DDE66B"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99.00±52.16#</w:t>
            </w:r>
          </w:p>
        </w:tc>
        <w:tc>
          <w:tcPr>
            <w:tcW w:w="370" w:type="pct"/>
          </w:tcPr>
          <w:p w14:paraId="60DD822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w:t>
            </w:r>
          </w:p>
        </w:tc>
        <w:tc>
          <w:tcPr>
            <w:tcW w:w="501" w:type="pct"/>
          </w:tcPr>
          <w:p w14:paraId="2CD789A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132.20±50.61</w:t>
            </w:r>
          </w:p>
        </w:tc>
        <w:tc>
          <w:tcPr>
            <w:tcW w:w="405" w:type="pct"/>
          </w:tcPr>
          <w:p w14:paraId="63C8CA4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206</w:t>
            </w:r>
          </w:p>
        </w:tc>
        <w:tc>
          <w:tcPr>
            <w:tcW w:w="428" w:type="pct"/>
          </w:tcPr>
          <w:p w14:paraId="29059E6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212.20*±47.71</w:t>
            </w:r>
          </w:p>
        </w:tc>
        <w:tc>
          <w:tcPr>
            <w:tcW w:w="400" w:type="pct"/>
          </w:tcPr>
          <w:p w14:paraId="579A9242"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149</w:t>
            </w:r>
          </w:p>
        </w:tc>
        <w:tc>
          <w:tcPr>
            <w:tcW w:w="420" w:type="pct"/>
          </w:tcPr>
          <w:p w14:paraId="5FE9DAB2"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192.00±66.14</w:t>
            </w:r>
          </w:p>
        </w:tc>
        <w:tc>
          <w:tcPr>
            <w:tcW w:w="368" w:type="pct"/>
          </w:tcPr>
          <w:p w14:paraId="2977CE02"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113</w:t>
            </w:r>
          </w:p>
        </w:tc>
      </w:tr>
      <w:tr w:rsidR="00170EF7" w:rsidRPr="009E7A97" w14:paraId="13D04BA2" w14:textId="77777777" w:rsidTr="00170EF7">
        <w:trPr>
          <w:trHeight w:val="9"/>
        </w:trPr>
        <w:tc>
          <w:tcPr>
            <w:cnfStyle w:val="001000000000" w:firstRow="0" w:lastRow="0" w:firstColumn="1" w:lastColumn="0" w:oddVBand="0" w:evenVBand="0" w:oddHBand="0" w:evenHBand="0" w:firstRowFirstColumn="0" w:firstRowLastColumn="0" w:lastRowFirstColumn="0" w:lastRowLastColumn="0"/>
            <w:tcW w:w="571" w:type="pct"/>
            <w:tcBorders>
              <w:left w:val="nil"/>
              <w:right w:val="nil"/>
            </w:tcBorders>
            <w:shd w:val="clear" w:color="auto" w:fill="C0C0C0"/>
          </w:tcPr>
          <w:p w14:paraId="163B5DC8"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Group5</w:t>
            </w:r>
          </w:p>
          <w:p w14:paraId="7E89884F"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(Scopolamine &amp; 300mg/kg guava)</w:t>
            </w:r>
          </w:p>
        </w:tc>
        <w:tc>
          <w:tcPr>
            <w:tcW w:w="566" w:type="pct"/>
            <w:tcBorders>
              <w:right w:val="nil"/>
            </w:tcBorders>
            <w:shd w:val="clear" w:color="auto" w:fill="C0C0C0"/>
          </w:tcPr>
          <w:p w14:paraId="7D3F49E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192.80±56.67</w:t>
            </w:r>
          </w:p>
        </w:tc>
        <w:tc>
          <w:tcPr>
            <w:tcW w:w="402" w:type="pct"/>
            <w:tcBorders>
              <w:right w:val="nil"/>
            </w:tcBorders>
            <w:shd w:val="clear" w:color="auto" w:fill="C0C0C0"/>
          </w:tcPr>
          <w:p w14:paraId="000382BC"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41</w:t>
            </w:r>
          </w:p>
        </w:tc>
        <w:tc>
          <w:tcPr>
            <w:tcW w:w="568" w:type="pct"/>
            <w:tcBorders>
              <w:right w:val="nil"/>
            </w:tcBorders>
            <w:shd w:val="clear" w:color="auto" w:fill="C0C0C0"/>
          </w:tcPr>
          <w:p w14:paraId="21BB08FE"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243.00</w:t>
            </w:r>
            <w:r w:rsidRPr="009E7A97">
              <w:rPr>
                <w:rFonts w:ascii="Times New Roman" w:hAnsi="Times New Roman" w:cs="Times New Roman"/>
                <w:color w:val="FF0000"/>
                <w:sz w:val="18"/>
                <w:szCs w:val="18"/>
                <w:vertAlign w:val="superscript"/>
              </w:rPr>
              <w:t>*#</w:t>
            </w:r>
            <w:r w:rsidRPr="009E7A97">
              <w:rPr>
                <w:rFonts w:ascii="Times New Roman" w:hAnsi="Times New Roman" w:cs="Times New Roman"/>
                <w:color w:val="FF0000"/>
                <w:sz w:val="18"/>
                <w:szCs w:val="18"/>
              </w:rPr>
              <w:t>±57.00</w:t>
            </w:r>
          </w:p>
        </w:tc>
        <w:tc>
          <w:tcPr>
            <w:tcW w:w="370" w:type="pct"/>
            <w:tcBorders>
              <w:right w:val="nil"/>
            </w:tcBorders>
            <w:shd w:val="clear" w:color="auto" w:fill="C0C0C0"/>
          </w:tcPr>
          <w:p w14:paraId="1F54AF9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196</w:t>
            </w:r>
          </w:p>
        </w:tc>
        <w:tc>
          <w:tcPr>
            <w:tcW w:w="501" w:type="pct"/>
            <w:tcBorders>
              <w:right w:val="nil"/>
            </w:tcBorders>
            <w:shd w:val="clear" w:color="auto" w:fill="C0C0C0"/>
          </w:tcPr>
          <w:p w14:paraId="0EE05DA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288.60</w:t>
            </w:r>
            <w:r w:rsidRPr="009E7A97">
              <w:rPr>
                <w:rFonts w:ascii="Times New Roman" w:hAnsi="Times New Roman" w:cs="Times New Roman"/>
                <w:color w:val="FF0000"/>
                <w:sz w:val="18"/>
                <w:szCs w:val="18"/>
                <w:vertAlign w:val="superscript"/>
              </w:rPr>
              <w:t>*#</w:t>
            </w:r>
            <w:r w:rsidRPr="009E7A97">
              <w:rPr>
                <w:rFonts w:ascii="Times New Roman" w:hAnsi="Times New Roman" w:cs="Times New Roman"/>
                <w:color w:val="FF0000"/>
                <w:sz w:val="18"/>
                <w:szCs w:val="18"/>
              </w:rPr>
              <w:t>±11.40</w:t>
            </w:r>
          </w:p>
        </w:tc>
        <w:tc>
          <w:tcPr>
            <w:tcW w:w="405" w:type="pct"/>
            <w:tcBorders>
              <w:right w:val="nil"/>
            </w:tcBorders>
            <w:shd w:val="clear" w:color="auto" w:fill="C0C0C0"/>
          </w:tcPr>
          <w:p w14:paraId="50759730"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569</w:t>
            </w:r>
          </w:p>
        </w:tc>
        <w:tc>
          <w:tcPr>
            <w:tcW w:w="428" w:type="pct"/>
            <w:tcBorders>
              <w:right w:val="nil"/>
            </w:tcBorders>
            <w:shd w:val="clear" w:color="auto" w:fill="C0C0C0"/>
          </w:tcPr>
          <w:p w14:paraId="4A35E185"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287.60</w:t>
            </w:r>
            <w:r w:rsidRPr="009E7A97">
              <w:rPr>
                <w:rFonts w:ascii="Times New Roman" w:hAnsi="Times New Roman" w:cs="Times New Roman"/>
                <w:color w:val="FF0000"/>
                <w:sz w:val="18"/>
                <w:szCs w:val="18"/>
                <w:vertAlign w:val="superscript"/>
              </w:rPr>
              <w:t>*#</w:t>
            </w:r>
            <w:r w:rsidRPr="009E7A97">
              <w:rPr>
                <w:rFonts w:ascii="Times New Roman" w:hAnsi="Times New Roman" w:cs="Times New Roman"/>
                <w:color w:val="FF0000"/>
                <w:sz w:val="18"/>
                <w:szCs w:val="18"/>
              </w:rPr>
              <w:t>±12.40</w:t>
            </w:r>
          </w:p>
        </w:tc>
        <w:tc>
          <w:tcPr>
            <w:tcW w:w="400" w:type="pct"/>
            <w:tcBorders>
              <w:right w:val="nil"/>
            </w:tcBorders>
            <w:shd w:val="clear" w:color="auto" w:fill="C0C0C0"/>
          </w:tcPr>
          <w:p w14:paraId="10197BA5"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237</w:t>
            </w:r>
          </w:p>
        </w:tc>
        <w:tc>
          <w:tcPr>
            <w:tcW w:w="420" w:type="pct"/>
            <w:tcBorders>
              <w:right w:val="nil"/>
            </w:tcBorders>
            <w:shd w:val="clear" w:color="auto" w:fill="C0C0C0"/>
          </w:tcPr>
          <w:p w14:paraId="3CA911A1"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197.20±42.12</w:t>
            </w:r>
          </w:p>
        </w:tc>
        <w:tc>
          <w:tcPr>
            <w:tcW w:w="368" w:type="pct"/>
            <w:tcBorders>
              <w:right w:val="nil"/>
            </w:tcBorders>
            <w:shd w:val="clear" w:color="auto" w:fill="C0C0C0"/>
          </w:tcPr>
          <w:p w14:paraId="3D16192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118</w:t>
            </w:r>
          </w:p>
        </w:tc>
      </w:tr>
    </w:tbl>
    <w:p w14:paraId="38F2447E" w14:textId="77777777" w:rsidR="009B45DB" w:rsidRPr="009E7A97" w:rsidRDefault="00412180">
      <w:pPr>
        <w:spacing w:after="0"/>
        <w:rPr>
          <w:rFonts w:ascii="Times New Roman" w:hAnsi="Times New Roman" w:cs="Times New Roman"/>
          <w:b/>
          <w:sz w:val="24"/>
          <w:szCs w:val="24"/>
        </w:rPr>
      </w:pPr>
      <w:r w:rsidRPr="009E7A97">
        <w:rPr>
          <w:rFonts w:ascii="Times New Roman" w:hAnsi="Times New Roman" w:cs="Times New Roman"/>
          <w:sz w:val="24"/>
          <w:szCs w:val="24"/>
        </w:rPr>
        <w:t>Means values are statistically significant (p≤0.05) when compared to the control group</w:t>
      </w:r>
    </w:p>
    <w:p w14:paraId="413A69EB"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78FE3588"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4B58A874"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23434255"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665488B3"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540D225A"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16EBC30B"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6DA6497F"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1F5E7870"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063F185D"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3D9659B0"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4BFB8DBA"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0C78FBC7"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185FC7A7"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2D7B1AA6"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66BA28FF"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0EC39E8C"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01A62785"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5E46D7CE"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5ED1E668"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358110A7"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3368AD96"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51D821F1" w14:textId="77777777" w:rsidR="009B45DB" w:rsidRPr="009E7A97" w:rsidRDefault="009B45DB">
      <w:pPr>
        <w:shd w:val="clear" w:color="auto" w:fill="FFFFFF"/>
        <w:spacing w:after="0" w:line="240" w:lineRule="auto"/>
        <w:jc w:val="both"/>
        <w:rPr>
          <w:rFonts w:ascii="Times New Roman" w:hAnsi="Times New Roman" w:cs="Times New Roman"/>
          <w:b/>
          <w:sz w:val="24"/>
          <w:szCs w:val="24"/>
        </w:rPr>
      </w:pPr>
    </w:p>
    <w:p w14:paraId="6B9AFB35" w14:textId="77777777" w:rsidR="009B45DB" w:rsidRPr="009E7A97" w:rsidRDefault="00412180">
      <w:pPr>
        <w:shd w:val="clear" w:color="auto" w:fill="FFFFFF"/>
        <w:spacing w:after="0" w:line="240" w:lineRule="auto"/>
        <w:jc w:val="both"/>
        <w:rPr>
          <w:rFonts w:ascii="Times New Roman" w:hAnsi="Times New Roman" w:cs="Times New Roman"/>
          <w:b/>
          <w:sz w:val="24"/>
          <w:szCs w:val="24"/>
        </w:rPr>
      </w:pPr>
      <w:r w:rsidRPr="009E7A97">
        <w:rPr>
          <w:rFonts w:ascii="Times New Roman" w:hAnsi="Times New Roman" w:cs="Times New Roman"/>
          <w:b/>
          <w:sz w:val="24"/>
          <w:szCs w:val="24"/>
        </w:rPr>
        <w:t>Table 2: Pattern of Spatial Memory and Learning Using the Navigational Maze Week 6 - 8</w:t>
      </w:r>
    </w:p>
    <w:p w14:paraId="33A4063B" w14:textId="77777777" w:rsidR="009B45DB" w:rsidRPr="009E7A97" w:rsidRDefault="009B45DB">
      <w:pPr>
        <w:spacing w:after="0" w:line="240" w:lineRule="auto"/>
        <w:rPr>
          <w:rFonts w:ascii="Times New Roman" w:hAnsi="Times New Roman" w:cs="Times New Roman"/>
          <w:b/>
          <w:sz w:val="24"/>
          <w:szCs w:val="24"/>
        </w:rPr>
      </w:pPr>
    </w:p>
    <w:tbl>
      <w:tblPr>
        <w:tblStyle w:val="LightShading2"/>
        <w:tblpPr w:leftFromText="180" w:rightFromText="180" w:vertAnchor="text" w:horzAnchor="margin" w:tblpXSpec="center" w:tblpY="189"/>
        <w:tblW w:w="5000" w:type="pct"/>
        <w:tblLook w:val="04A0" w:firstRow="1" w:lastRow="0" w:firstColumn="1" w:lastColumn="0" w:noHBand="0" w:noVBand="1"/>
      </w:tblPr>
      <w:tblGrid>
        <w:gridCol w:w="889"/>
        <w:gridCol w:w="900"/>
        <w:gridCol w:w="759"/>
        <w:gridCol w:w="900"/>
        <w:gridCol w:w="759"/>
        <w:gridCol w:w="1017"/>
        <w:gridCol w:w="759"/>
        <w:gridCol w:w="900"/>
        <w:gridCol w:w="759"/>
        <w:gridCol w:w="959"/>
        <w:gridCol w:w="759"/>
      </w:tblGrid>
      <w:tr w:rsidR="009B45DB" w:rsidRPr="009E7A97" w14:paraId="3BF325D8" w14:textId="77777777" w:rsidTr="00170EF7">
        <w:trPr>
          <w:cnfStyle w:val="100000000000" w:firstRow="1" w:lastRow="0" w:firstColumn="0" w:lastColumn="0" w:oddVBand="0" w:evenVBand="0" w:oddHBand="0" w:evenHBand="0" w:firstRowFirstColumn="0" w:firstRowLastColumn="0" w:lastRowFirstColumn="0" w:lastRowLastColumn="0"/>
          <w:trHeight w:val="158"/>
        </w:trPr>
        <w:tc>
          <w:tcPr>
            <w:cnfStyle w:val="001000000000" w:firstRow="0" w:lastRow="0" w:firstColumn="1" w:lastColumn="0" w:oddVBand="0" w:evenVBand="0" w:oddHBand="0" w:evenHBand="0" w:firstRowFirstColumn="0" w:firstRowLastColumn="0" w:lastRowFirstColumn="0" w:lastRowLastColumn="0"/>
            <w:tcW w:w="556" w:type="pct"/>
          </w:tcPr>
          <w:p w14:paraId="368FE784" w14:textId="77777777" w:rsidR="009B45DB" w:rsidRPr="009E7A97" w:rsidRDefault="00412180">
            <w:pPr>
              <w:spacing w:after="0"/>
              <w:jc w:val="center"/>
              <w:rPr>
                <w:rFonts w:ascii="Times New Roman" w:hAnsi="Times New Roman" w:cs="Times New Roman"/>
                <w:color w:val="auto"/>
                <w:sz w:val="18"/>
                <w:szCs w:val="18"/>
              </w:rPr>
            </w:pPr>
            <w:r w:rsidRPr="009E7A97">
              <w:rPr>
                <w:rFonts w:ascii="Times New Roman" w:hAnsi="Times New Roman" w:cs="Times New Roman"/>
                <w:color w:val="auto"/>
                <w:sz w:val="18"/>
                <w:szCs w:val="18"/>
              </w:rPr>
              <w:t>Groups</w:t>
            </w:r>
          </w:p>
        </w:tc>
        <w:tc>
          <w:tcPr>
            <w:tcW w:w="485" w:type="pct"/>
          </w:tcPr>
          <w:p w14:paraId="49B183E0"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Week6</w:t>
            </w:r>
          </w:p>
          <w:p w14:paraId="3A1D08CF"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Time (Sec.)</w:t>
            </w:r>
          </w:p>
        </w:tc>
        <w:tc>
          <w:tcPr>
            <w:tcW w:w="501" w:type="pct"/>
          </w:tcPr>
          <w:p w14:paraId="06E7BE47"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430" w:type="pct"/>
          </w:tcPr>
          <w:p w14:paraId="037B4B71"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Week7</w:t>
            </w:r>
          </w:p>
          <w:p w14:paraId="2C09D085"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Time (Sec.)</w:t>
            </w:r>
          </w:p>
        </w:tc>
        <w:tc>
          <w:tcPr>
            <w:tcW w:w="433" w:type="pct"/>
          </w:tcPr>
          <w:p w14:paraId="0F914713" w14:textId="77777777" w:rsidR="009B45DB" w:rsidRPr="009E7A97" w:rsidRDefault="00412180">
            <w:pPr>
              <w:tabs>
                <w:tab w:val="right" w:pos="176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540" w:type="pct"/>
          </w:tcPr>
          <w:p w14:paraId="536065B0" w14:textId="77777777" w:rsidR="009B45DB" w:rsidRPr="009E7A97" w:rsidRDefault="00412180">
            <w:pPr>
              <w:tabs>
                <w:tab w:val="right" w:pos="1765"/>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Week8</w:t>
            </w:r>
          </w:p>
          <w:p w14:paraId="3429FD36" w14:textId="77777777" w:rsidR="009B45DB" w:rsidRPr="009E7A97" w:rsidRDefault="00412180">
            <w:pPr>
              <w:tabs>
                <w:tab w:val="right" w:pos="1765"/>
              </w:tabs>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Time (Sec.)</w:t>
            </w:r>
          </w:p>
        </w:tc>
        <w:tc>
          <w:tcPr>
            <w:tcW w:w="364" w:type="pct"/>
          </w:tcPr>
          <w:p w14:paraId="49E3C626"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514" w:type="pct"/>
          </w:tcPr>
          <w:p w14:paraId="42358F39"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Week9</w:t>
            </w:r>
          </w:p>
          <w:p w14:paraId="1BC45B5F"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Time (Sec.)</w:t>
            </w:r>
          </w:p>
        </w:tc>
        <w:tc>
          <w:tcPr>
            <w:tcW w:w="352" w:type="pct"/>
          </w:tcPr>
          <w:p w14:paraId="56F200EF"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421" w:type="pct"/>
          </w:tcPr>
          <w:p w14:paraId="1D1ABE39"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Week10</w:t>
            </w:r>
          </w:p>
          <w:p w14:paraId="26004BAD"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Time (Sec.)</w:t>
            </w:r>
          </w:p>
        </w:tc>
        <w:tc>
          <w:tcPr>
            <w:tcW w:w="405" w:type="pct"/>
          </w:tcPr>
          <w:p w14:paraId="746403D0"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r>
      <w:tr w:rsidR="00170EF7" w:rsidRPr="009E7A97" w14:paraId="30400A88" w14:textId="77777777" w:rsidTr="00170EF7">
        <w:trPr>
          <w:trHeight w:val="233"/>
        </w:trPr>
        <w:tc>
          <w:tcPr>
            <w:cnfStyle w:val="001000000000" w:firstRow="0" w:lastRow="0" w:firstColumn="1" w:lastColumn="0" w:oddVBand="0" w:evenVBand="0" w:oddHBand="0" w:evenHBand="0" w:firstRowFirstColumn="0" w:firstRowLastColumn="0" w:lastRowFirstColumn="0" w:lastRowLastColumn="0"/>
            <w:tcW w:w="556" w:type="pct"/>
            <w:tcBorders>
              <w:left w:val="nil"/>
              <w:right w:val="nil"/>
            </w:tcBorders>
            <w:shd w:val="clear" w:color="auto" w:fill="C0C0C0"/>
          </w:tcPr>
          <w:p w14:paraId="79FF9CDE"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Group1</w:t>
            </w:r>
          </w:p>
          <w:p w14:paraId="5E31E2D6" w14:textId="77777777" w:rsidR="009B45DB" w:rsidRPr="009E7A97" w:rsidRDefault="00412180">
            <w:pPr>
              <w:spacing w:after="0"/>
              <w:jc w:val="center"/>
              <w:rPr>
                <w:rFonts w:ascii="Times New Roman" w:hAnsi="Times New Roman" w:cs="Times New Roman"/>
                <w:color w:val="auto"/>
                <w:sz w:val="18"/>
                <w:szCs w:val="18"/>
              </w:rPr>
            </w:pPr>
            <w:r w:rsidRPr="009E7A97">
              <w:rPr>
                <w:rFonts w:ascii="Times New Roman" w:hAnsi="Times New Roman" w:cs="Times New Roman"/>
                <w:sz w:val="18"/>
                <w:szCs w:val="18"/>
              </w:rPr>
              <w:t>(control group)</w:t>
            </w:r>
          </w:p>
        </w:tc>
        <w:tc>
          <w:tcPr>
            <w:tcW w:w="485" w:type="pct"/>
            <w:tcBorders>
              <w:right w:val="nil"/>
            </w:tcBorders>
            <w:shd w:val="clear" w:color="auto" w:fill="C0C0C0"/>
          </w:tcPr>
          <w:p w14:paraId="3AD8250D"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192.20±66.05</w:t>
            </w:r>
          </w:p>
        </w:tc>
        <w:tc>
          <w:tcPr>
            <w:tcW w:w="501" w:type="pct"/>
            <w:tcBorders>
              <w:right w:val="nil"/>
            </w:tcBorders>
            <w:shd w:val="clear" w:color="auto" w:fill="C0C0C0"/>
          </w:tcPr>
          <w:p w14:paraId="1112407D"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430" w:type="pct"/>
            <w:tcBorders>
              <w:right w:val="nil"/>
            </w:tcBorders>
            <w:shd w:val="clear" w:color="auto" w:fill="C0C0C0"/>
          </w:tcPr>
          <w:p w14:paraId="0440A9F2"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188.20±11.80</w:t>
            </w:r>
          </w:p>
        </w:tc>
        <w:tc>
          <w:tcPr>
            <w:tcW w:w="433" w:type="pct"/>
            <w:tcBorders>
              <w:right w:val="nil"/>
            </w:tcBorders>
            <w:shd w:val="clear" w:color="auto" w:fill="C0C0C0"/>
          </w:tcPr>
          <w:p w14:paraId="3FC454AC"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540" w:type="pct"/>
            <w:tcBorders>
              <w:right w:val="nil"/>
            </w:tcBorders>
            <w:shd w:val="clear" w:color="auto" w:fill="C0C0C0"/>
          </w:tcPr>
          <w:p w14:paraId="69F12751"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155.20±44.80</w:t>
            </w:r>
          </w:p>
        </w:tc>
        <w:tc>
          <w:tcPr>
            <w:tcW w:w="364" w:type="pct"/>
            <w:tcBorders>
              <w:right w:val="nil"/>
            </w:tcBorders>
            <w:shd w:val="clear" w:color="auto" w:fill="C0C0C0"/>
          </w:tcPr>
          <w:p w14:paraId="637E50A6"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514" w:type="pct"/>
            <w:tcBorders>
              <w:right w:val="nil"/>
            </w:tcBorders>
            <w:shd w:val="clear" w:color="auto" w:fill="C0C0C0"/>
          </w:tcPr>
          <w:p w14:paraId="7FE8E4A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171.40±28.60</w:t>
            </w:r>
          </w:p>
        </w:tc>
        <w:tc>
          <w:tcPr>
            <w:tcW w:w="352" w:type="pct"/>
            <w:tcBorders>
              <w:right w:val="nil"/>
            </w:tcBorders>
            <w:shd w:val="clear" w:color="auto" w:fill="C0C0C0"/>
          </w:tcPr>
          <w:p w14:paraId="24995155"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421" w:type="pct"/>
            <w:tcBorders>
              <w:right w:val="nil"/>
            </w:tcBorders>
            <w:shd w:val="clear" w:color="auto" w:fill="C0C0C0"/>
          </w:tcPr>
          <w:p w14:paraId="28D20239"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126.40±45.76</w:t>
            </w:r>
          </w:p>
        </w:tc>
        <w:tc>
          <w:tcPr>
            <w:tcW w:w="405" w:type="pct"/>
            <w:tcBorders>
              <w:right w:val="nil"/>
            </w:tcBorders>
            <w:shd w:val="clear" w:color="auto" w:fill="C0C0C0"/>
          </w:tcPr>
          <w:p w14:paraId="1BABFE1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r>
      <w:tr w:rsidR="009B45DB" w:rsidRPr="009E7A97" w14:paraId="5BE68720" w14:textId="77777777" w:rsidTr="00170EF7">
        <w:trPr>
          <w:trHeight w:val="233"/>
        </w:trPr>
        <w:tc>
          <w:tcPr>
            <w:cnfStyle w:val="001000000000" w:firstRow="0" w:lastRow="0" w:firstColumn="1" w:lastColumn="0" w:oddVBand="0" w:evenVBand="0" w:oddHBand="0" w:evenHBand="0" w:firstRowFirstColumn="0" w:firstRowLastColumn="0" w:lastRowFirstColumn="0" w:lastRowLastColumn="0"/>
            <w:tcW w:w="556" w:type="pct"/>
          </w:tcPr>
          <w:p w14:paraId="23E0CA24" w14:textId="77777777" w:rsidR="009B45DB" w:rsidRPr="009E7A97" w:rsidRDefault="00412180">
            <w:pPr>
              <w:spacing w:after="0"/>
              <w:jc w:val="center"/>
              <w:rPr>
                <w:rFonts w:ascii="Times New Roman" w:hAnsi="Times New Roman" w:cs="Times New Roman"/>
                <w:color w:val="auto"/>
                <w:sz w:val="18"/>
                <w:szCs w:val="18"/>
              </w:rPr>
            </w:pPr>
            <w:r w:rsidRPr="009E7A97">
              <w:rPr>
                <w:rFonts w:ascii="Times New Roman" w:hAnsi="Times New Roman" w:cs="Times New Roman"/>
                <w:sz w:val="18"/>
                <w:szCs w:val="18"/>
              </w:rPr>
              <w:t>Group2 (Scopolamine only)</w:t>
            </w:r>
          </w:p>
        </w:tc>
        <w:tc>
          <w:tcPr>
            <w:tcW w:w="485" w:type="pct"/>
          </w:tcPr>
          <w:p w14:paraId="01B78C8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268.80±54.11</w:t>
            </w:r>
          </w:p>
        </w:tc>
        <w:tc>
          <w:tcPr>
            <w:tcW w:w="501" w:type="pct"/>
          </w:tcPr>
          <w:p w14:paraId="79974C37"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39</w:t>
            </w:r>
          </w:p>
        </w:tc>
        <w:tc>
          <w:tcPr>
            <w:tcW w:w="430" w:type="pct"/>
          </w:tcPr>
          <w:p w14:paraId="3C53E221"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272.00±59.36</w:t>
            </w:r>
          </w:p>
        </w:tc>
        <w:tc>
          <w:tcPr>
            <w:tcW w:w="433" w:type="pct"/>
          </w:tcPr>
          <w:p w14:paraId="7916D80A"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44</w:t>
            </w:r>
          </w:p>
        </w:tc>
        <w:tc>
          <w:tcPr>
            <w:tcW w:w="540" w:type="pct"/>
          </w:tcPr>
          <w:p w14:paraId="7C6ADF7B"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297.40±2.60</w:t>
            </w:r>
          </w:p>
        </w:tc>
        <w:tc>
          <w:tcPr>
            <w:tcW w:w="364" w:type="pct"/>
          </w:tcPr>
          <w:p w14:paraId="2B0C6899"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91</w:t>
            </w:r>
          </w:p>
        </w:tc>
        <w:tc>
          <w:tcPr>
            <w:tcW w:w="514" w:type="pct"/>
          </w:tcPr>
          <w:p w14:paraId="16157340"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261.00±39.00</w:t>
            </w:r>
          </w:p>
        </w:tc>
        <w:tc>
          <w:tcPr>
            <w:tcW w:w="352" w:type="pct"/>
          </w:tcPr>
          <w:p w14:paraId="4FF32488"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52</w:t>
            </w:r>
          </w:p>
        </w:tc>
        <w:tc>
          <w:tcPr>
            <w:tcW w:w="421" w:type="pct"/>
          </w:tcPr>
          <w:p w14:paraId="3DCD5DC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296.60±42.95</w:t>
            </w:r>
          </w:p>
        </w:tc>
        <w:tc>
          <w:tcPr>
            <w:tcW w:w="405" w:type="pct"/>
          </w:tcPr>
          <w:p w14:paraId="0A939C79"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134</w:t>
            </w:r>
          </w:p>
        </w:tc>
      </w:tr>
      <w:tr w:rsidR="00170EF7" w:rsidRPr="009E7A97" w14:paraId="1ECDDDDB" w14:textId="77777777" w:rsidTr="00170EF7">
        <w:trPr>
          <w:trHeight w:val="233"/>
        </w:trPr>
        <w:tc>
          <w:tcPr>
            <w:cnfStyle w:val="001000000000" w:firstRow="0" w:lastRow="0" w:firstColumn="1" w:lastColumn="0" w:oddVBand="0" w:evenVBand="0" w:oddHBand="0" w:evenHBand="0" w:firstRowFirstColumn="0" w:firstRowLastColumn="0" w:lastRowFirstColumn="0" w:lastRowLastColumn="0"/>
            <w:tcW w:w="556" w:type="pct"/>
            <w:tcBorders>
              <w:left w:val="nil"/>
              <w:right w:val="nil"/>
            </w:tcBorders>
            <w:shd w:val="clear" w:color="auto" w:fill="C0C0C0"/>
          </w:tcPr>
          <w:p w14:paraId="35DAC72B"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Group3</w:t>
            </w:r>
          </w:p>
          <w:p w14:paraId="25178FB8" w14:textId="77777777" w:rsidR="009B45DB" w:rsidRPr="009E7A97" w:rsidRDefault="00412180">
            <w:pPr>
              <w:spacing w:after="0"/>
              <w:jc w:val="center"/>
              <w:rPr>
                <w:rFonts w:ascii="Times New Roman" w:hAnsi="Times New Roman" w:cs="Times New Roman"/>
                <w:color w:val="auto"/>
                <w:sz w:val="18"/>
                <w:szCs w:val="18"/>
              </w:rPr>
            </w:pPr>
            <w:r w:rsidRPr="009E7A97">
              <w:rPr>
                <w:rFonts w:ascii="Times New Roman" w:hAnsi="Times New Roman" w:cs="Times New Roman"/>
                <w:sz w:val="18"/>
                <w:szCs w:val="18"/>
              </w:rPr>
              <w:t xml:space="preserve">(Scopolamine &amp;5 mg/kg </w:t>
            </w:r>
            <w:proofErr w:type="spellStart"/>
            <w:r w:rsidRPr="009E7A97">
              <w:rPr>
                <w:rFonts w:ascii="Times New Roman" w:hAnsi="Times New Roman" w:cs="Times New Roman"/>
                <w:sz w:val="18"/>
                <w:szCs w:val="18"/>
              </w:rPr>
              <w:t>Donpezil</w:t>
            </w:r>
            <w:proofErr w:type="spellEnd"/>
            <w:r w:rsidRPr="009E7A97">
              <w:rPr>
                <w:rFonts w:ascii="Times New Roman" w:hAnsi="Times New Roman" w:cs="Times New Roman"/>
                <w:sz w:val="18"/>
                <w:szCs w:val="18"/>
              </w:rPr>
              <w:t>)</w:t>
            </w:r>
          </w:p>
        </w:tc>
        <w:tc>
          <w:tcPr>
            <w:tcW w:w="485" w:type="pct"/>
            <w:tcBorders>
              <w:right w:val="nil"/>
            </w:tcBorders>
            <w:shd w:val="clear" w:color="auto" w:fill="C0C0C0"/>
          </w:tcPr>
          <w:p w14:paraId="13F14A2E"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190.00±50.23</w:t>
            </w:r>
          </w:p>
        </w:tc>
        <w:tc>
          <w:tcPr>
            <w:tcW w:w="501" w:type="pct"/>
            <w:tcBorders>
              <w:right w:val="nil"/>
            </w:tcBorders>
            <w:shd w:val="clear" w:color="auto" w:fill="C0C0C0"/>
          </w:tcPr>
          <w:p w14:paraId="2AB7935D"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-1.0</w:t>
            </w:r>
          </w:p>
        </w:tc>
        <w:tc>
          <w:tcPr>
            <w:tcW w:w="430" w:type="pct"/>
            <w:tcBorders>
              <w:right w:val="nil"/>
            </w:tcBorders>
            <w:shd w:val="clear" w:color="auto" w:fill="C0C0C0"/>
          </w:tcPr>
          <w:p w14:paraId="5F9D29A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165.60±39.08</w:t>
            </w:r>
          </w:p>
        </w:tc>
        <w:tc>
          <w:tcPr>
            <w:tcW w:w="433" w:type="pct"/>
            <w:tcBorders>
              <w:right w:val="nil"/>
            </w:tcBorders>
            <w:shd w:val="clear" w:color="auto" w:fill="C0C0C0"/>
          </w:tcPr>
          <w:p w14:paraId="2B53E7D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-12</w:t>
            </w:r>
          </w:p>
        </w:tc>
        <w:tc>
          <w:tcPr>
            <w:tcW w:w="540" w:type="pct"/>
            <w:tcBorders>
              <w:right w:val="nil"/>
            </w:tcBorders>
            <w:shd w:val="clear" w:color="auto" w:fill="C0C0C0"/>
          </w:tcPr>
          <w:p w14:paraId="4CF162AB"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165.40*#±50.07</w:t>
            </w:r>
          </w:p>
        </w:tc>
        <w:tc>
          <w:tcPr>
            <w:tcW w:w="364" w:type="pct"/>
            <w:tcBorders>
              <w:right w:val="nil"/>
            </w:tcBorders>
            <w:shd w:val="clear" w:color="auto" w:fill="C0C0C0"/>
          </w:tcPr>
          <w:p w14:paraId="63630BDE"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w:t>
            </w:r>
          </w:p>
        </w:tc>
        <w:tc>
          <w:tcPr>
            <w:tcW w:w="514" w:type="pct"/>
            <w:tcBorders>
              <w:right w:val="nil"/>
            </w:tcBorders>
            <w:shd w:val="clear" w:color="auto" w:fill="C0C0C0"/>
          </w:tcPr>
          <w:p w14:paraId="69CB2401"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178.20±46.28</w:t>
            </w:r>
          </w:p>
        </w:tc>
        <w:tc>
          <w:tcPr>
            <w:tcW w:w="352" w:type="pct"/>
            <w:tcBorders>
              <w:right w:val="nil"/>
            </w:tcBorders>
            <w:shd w:val="clear" w:color="auto" w:fill="C0C0C0"/>
          </w:tcPr>
          <w:p w14:paraId="31312AD5"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w:t>
            </w:r>
          </w:p>
        </w:tc>
        <w:tc>
          <w:tcPr>
            <w:tcW w:w="421" w:type="pct"/>
            <w:tcBorders>
              <w:right w:val="nil"/>
            </w:tcBorders>
            <w:shd w:val="clear" w:color="auto" w:fill="C0C0C0"/>
          </w:tcPr>
          <w:p w14:paraId="4644F982"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154.60#±50.07</w:t>
            </w:r>
          </w:p>
        </w:tc>
        <w:tc>
          <w:tcPr>
            <w:tcW w:w="405" w:type="pct"/>
            <w:tcBorders>
              <w:right w:val="nil"/>
            </w:tcBorders>
            <w:shd w:val="clear" w:color="auto" w:fill="C0C0C0"/>
          </w:tcPr>
          <w:p w14:paraId="5F24B8AE"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22</w:t>
            </w:r>
          </w:p>
        </w:tc>
      </w:tr>
      <w:tr w:rsidR="009B45DB" w:rsidRPr="009E7A97" w14:paraId="3940DAC4" w14:textId="77777777" w:rsidTr="00170EF7">
        <w:trPr>
          <w:trHeight w:val="1098"/>
        </w:trPr>
        <w:tc>
          <w:tcPr>
            <w:cnfStyle w:val="001000000000" w:firstRow="0" w:lastRow="0" w:firstColumn="1" w:lastColumn="0" w:oddVBand="0" w:evenVBand="0" w:oddHBand="0" w:evenHBand="0" w:firstRowFirstColumn="0" w:firstRowLastColumn="0" w:lastRowFirstColumn="0" w:lastRowLastColumn="0"/>
            <w:tcW w:w="556" w:type="pct"/>
          </w:tcPr>
          <w:p w14:paraId="5AC4CA96"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Group4</w:t>
            </w:r>
          </w:p>
          <w:p w14:paraId="4A9CC6E4" w14:textId="77777777" w:rsidR="009B45DB" w:rsidRPr="009E7A97" w:rsidRDefault="00412180">
            <w:pPr>
              <w:spacing w:after="0"/>
              <w:jc w:val="center"/>
              <w:rPr>
                <w:rFonts w:ascii="Times New Roman" w:hAnsi="Times New Roman" w:cs="Times New Roman"/>
                <w:color w:val="auto"/>
                <w:sz w:val="18"/>
                <w:szCs w:val="18"/>
              </w:rPr>
            </w:pPr>
            <w:r w:rsidRPr="009E7A97">
              <w:rPr>
                <w:rFonts w:ascii="Times New Roman" w:hAnsi="Times New Roman" w:cs="Times New Roman"/>
                <w:sz w:val="18"/>
                <w:szCs w:val="18"/>
              </w:rPr>
              <w:t>(Scopolamine &amp; 100 mg/kg guava)</w:t>
            </w:r>
          </w:p>
        </w:tc>
        <w:tc>
          <w:tcPr>
            <w:tcW w:w="485" w:type="pct"/>
          </w:tcPr>
          <w:p w14:paraId="7B86EFF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244.80±33.88</w:t>
            </w:r>
          </w:p>
        </w:tc>
        <w:tc>
          <w:tcPr>
            <w:tcW w:w="501" w:type="pct"/>
          </w:tcPr>
          <w:p w14:paraId="02B0E074"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27</w:t>
            </w:r>
          </w:p>
        </w:tc>
        <w:tc>
          <w:tcPr>
            <w:tcW w:w="430" w:type="pct"/>
          </w:tcPr>
          <w:p w14:paraId="569F703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235.40±56.26</w:t>
            </w:r>
          </w:p>
        </w:tc>
        <w:tc>
          <w:tcPr>
            <w:tcW w:w="433" w:type="pct"/>
          </w:tcPr>
          <w:p w14:paraId="3DA10962"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25</w:t>
            </w:r>
          </w:p>
        </w:tc>
        <w:tc>
          <w:tcPr>
            <w:tcW w:w="540" w:type="pct"/>
          </w:tcPr>
          <w:p w14:paraId="65F1DACD"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200.00±0.00</w:t>
            </w:r>
          </w:p>
        </w:tc>
        <w:tc>
          <w:tcPr>
            <w:tcW w:w="364" w:type="pct"/>
          </w:tcPr>
          <w:p w14:paraId="0A63E16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29</w:t>
            </w:r>
          </w:p>
        </w:tc>
        <w:tc>
          <w:tcPr>
            <w:tcW w:w="514" w:type="pct"/>
          </w:tcPr>
          <w:p w14:paraId="34CA508F"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243.80±56.20</w:t>
            </w:r>
          </w:p>
        </w:tc>
        <w:tc>
          <w:tcPr>
            <w:tcW w:w="352" w:type="pct"/>
          </w:tcPr>
          <w:p w14:paraId="50813D4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42</w:t>
            </w:r>
          </w:p>
        </w:tc>
        <w:tc>
          <w:tcPr>
            <w:tcW w:w="421" w:type="pct"/>
          </w:tcPr>
          <w:p w14:paraId="09181FD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208.40±50.03</w:t>
            </w:r>
          </w:p>
        </w:tc>
        <w:tc>
          <w:tcPr>
            <w:tcW w:w="405" w:type="pct"/>
          </w:tcPr>
          <w:p w14:paraId="7D8A2F2D"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65</w:t>
            </w:r>
          </w:p>
        </w:tc>
      </w:tr>
      <w:tr w:rsidR="00170EF7" w:rsidRPr="009E7A97" w14:paraId="09E7C767" w14:textId="77777777" w:rsidTr="00170EF7">
        <w:trPr>
          <w:trHeight w:val="149"/>
        </w:trPr>
        <w:tc>
          <w:tcPr>
            <w:cnfStyle w:val="001000000000" w:firstRow="0" w:lastRow="0" w:firstColumn="1" w:lastColumn="0" w:oddVBand="0" w:evenVBand="0" w:oddHBand="0" w:evenHBand="0" w:firstRowFirstColumn="0" w:firstRowLastColumn="0" w:lastRowFirstColumn="0" w:lastRowLastColumn="0"/>
            <w:tcW w:w="556" w:type="pct"/>
            <w:tcBorders>
              <w:left w:val="nil"/>
              <w:right w:val="nil"/>
            </w:tcBorders>
            <w:shd w:val="clear" w:color="auto" w:fill="C0C0C0"/>
          </w:tcPr>
          <w:p w14:paraId="08157024"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Group5</w:t>
            </w:r>
          </w:p>
          <w:p w14:paraId="397BCDE0" w14:textId="77777777" w:rsidR="009B45DB" w:rsidRPr="009E7A97" w:rsidRDefault="00412180">
            <w:pPr>
              <w:spacing w:after="0"/>
              <w:jc w:val="center"/>
              <w:rPr>
                <w:rFonts w:ascii="Times New Roman" w:hAnsi="Times New Roman" w:cs="Times New Roman"/>
                <w:color w:val="auto"/>
                <w:sz w:val="18"/>
                <w:szCs w:val="18"/>
              </w:rPr>
            </w:pPr>
            <w:r w:rsidRPr="009E7A97">
              <w:rPr>
                <w:rFonts w:ascii="Times New Roman" w:hAnsi="Times New Roman" w:cs="Times New Roman"/>
                <w:sz w:val="18"/>
                <w:szCs w:val="18"/>
              </w:rPr>
              <w:t>(Scopolamine &amp; 300mg/kg guava)</w:t>
            </w:r>
          </w:p>
        </w:tc>
        <w:tc>
          <w:tcPr>
            <w:tcW w:w="485" w:type="pct"/>
            <w:tcBorders>
              <w:right w:val="nil"/>
            </w:tcBorders>
            <w:shd w:val="clear" w:color="auto" w:fill="C0C0C0"/>
          </w:tcPr>
          <w:p w14:paraId="5D95D813"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291.60±8.40</w:t>
            </w:r>
          </w:p>
        </w:tc>
        <w:tc>
          <w:tcPr>
            <w:tcW w:w="501" w:type="pct"/>
            <w:tcBorders>
              <w:right w:val="nil"/>
            </w:tcBorders>
            <w:shd w:val="clear" w:color="auto" w:fill="C0C0C0"/>
          </w:tcPr>
          <w:p w14:paraId="588F389A"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51</w:t>
            </w:r>
          </w:p>
        </w:tc>
        <w:tc>
          <w:tcPr>
            <w:tcW w:w="430" w:type="pct"/>
            <w:tcBorders>
              <w:right w:val="nil"/>
            </w:tcBorders>
            <w:shd w:val="clear" w:color="auto" w:fill="C0C0C0"/>
          </w:tcPr>
          <w:p w14:paraId="097B54C6"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285.40±56.26</w:t>
            </w:r>
          </w:p>
        </w:tc>
        <w:tc>
          <w:tcPr>
            <w:tcW w:w="433" w:type="pct"/>
            <w:tcBorders>
              <w:right w:val="nil"/>
            </w:tcBorders>
            <w:shd w:val="clear" w:color="auto" w:fill="C0C0C0"/>
          </w:tcPr>
          <w:p w14:paraId="5B6FE7D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51</w:t>
            </w:r>
          </w:p>
        </w:tc>
        <w:tc>
          <w:tcPr>
            <w:tcW w:w="540" w:type="pct"/>
            <w:tcBorders>
              <w:right w:val="nil"/>
            </w:tcBorders>
            <w:shd w:val="clear" w:color="auto" w:fill="C0C0C0"/>
          </w:tcPr>
          <w:p w14:paraId="6F1D76D2"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300.00±0.00</w:t>
            </w:r>
          </w:p>
        </w:tc>
        <w:tc>
          <w:tcPr>
            <w:tcW w:w="364" w:type="pct"/>
            <w:tcBorders>
              <w:right w:val="nil"/>
            </w:tcBorders>
            <w:shd w:val="clear" w:color="auto" w:fill="C0C0C0"/>
          </w:tcPr>
          <w:p w14:paraId="58644914"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93</w:t>
            </w:r>
          </w:p>
        </w:tc>
        <w:tc>
          <w:tcPr>
            <w:tcW w:w="514" w:type="pct"/>
            <w:tcBorders>
              <w:right w:val="nil"/>
            </w:tcBorders>
            <w:shd w:val="clear" w:color="auto" w:fill="C0C0C0"/>
          </w:tcPr>
          <w:p w14:paraId="1A546899"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294.80±56.20</w:t>
            </w:r>
          </w:p>
        </w:tc>
        <w:tc>
          <w:tcPr>
            <w:tcW w:w="352" w:type="pct"/>
            <w:tcBorders>
              <w:right w:val="nil"/>
            </w:tcBorders>
            <w:shd w:val="clear" w:color="auto" w:fill="C0C0C0"/>
          </w:tcPr>
          <w:p w14:paraId="333D7160"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71</w:t>
            </w:r>
          </w:p>
        </w:tc>
        <w:tc>
          <w:tcPr>
            <w:tcW w:w="421" w:type="pct"/>
            <w:tcBorders>
              <w:right w:val="nil"/>
            </w:tcBorders>
            <w:shd w:val="clear" w:color="auto" w:fill="C0C0C0"/>
          </w:tcPr>
          <w:p w14:paraId="573347C4"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9E7A97">
              <w:rPr>
                <w:rFonts w:ascii="Times New Roman" w:hAnsi="Times New Roman" w:cs="Times New Roman"/>
                <w:color w:val="auto"/>
                <w:sz w:val="18"/>
                <w:szCs w:val="18"/>
              </w:rPr>
              <w:t>300.00±50.03</w:t>
            </w:r>
          </w:p>
        </w:tc>
        <w:tc>
          <w:tcPr>
            <w:tcW w:w="405" w:type="pct"/>
            <w:tcBorders>
              <w:right w:val="nil"/>
            </w:tcBorders>
            <w:shd w:val="clear" w:color="auto" w:fill="C0C0C0"/>
          </w:tcPr>
          <w:p w14:paraId="6555068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138</w:t>
            </w:r>
          </w:p>
        </w:tc>
      </w:tr>
    </w:tbl>
    <w:p w14:paraId="1BD97EE8" w14:textId="77777777" w:rsidR="009B45DB" w:rsidRPr="009E7A97" w:rsidRDefault="00412180">
      <w:pPr>
        <w:rPr>
          <w:rFonts w:ascii="Times New Roman" w:hAnsi="Times New Roman" w:cs="Times New Roman"/>
          <w:b/>
          <w:sz w:val="24"/>
          <w:szCs w:val="24"/>
        </w:rPr>
      </w:pPr>
      <w:r w:rsidRPr="009E7A97">
        <w:rPr>
          <w:rFonts w:ascii="Times New Roman" w:hAnsi="Times New Roman" w:cs="Times New Roman"/>
          <w:sz w:val="24"/>
          <w:szCs w:val="24"/>
        </w:rPr>
        <w:t xml:space="preserve">Means values are statistically significant (p≤0.05) when compared to </w:t>
      </w:r>
      <w:r w:rsidRPr="009E7A97">
        <w:rPr>
          <w:rFonts w:ascii="Times New Roman" w:hAnsi="Times New Roman" w:cs="Times New Roman"/>
          <w:sz w:val="24"/>
          <w:szCs w:val="24"/>
        </w:rPr>
        <w:t>the control group</w:t>
      </w:r>
    </w:p>
    <w:p w14:paraId="01E63E83" w14:textId="77777777" w:rsidR="009B45DB" w:rsidRPr="009E7A97" w:rsidRDefault="009B45DB">
      <w:pPr>
        <w:spacing w:after="0" w:line="240" w:lineRule="auto"/>
        <w:rPr>
          <w:rFonts w:ascii="Times New Roman" w:hAnsi="Times New Roman" w:cs="Times New Roman"/>
          <w:b/>
          <w:sz w:val="24"/>
          <w:szCs w:val="24"/>
        </w:rPr>
      </w:pPr>
    </w:p>
    <w:p w14:paraId="78F8CBDA" w14:textId="77777777" w:rsidR="009B45DB" w:rsidRPr="009E7A97" w:rsidRDefault="009B45DB">
      <w:pPr>
        <w:spacing w:after="0" w:line="240" w:lineRule="auto"/>
        <w:rPr>
          <w:rFonts w:ascii="Times New Roman" w:hAnsi="Times New Roman" w:cs="Times New Roman"/>
          <w:b/>
          <w:sz w:val="24"/>
          <w:szCs w:val="24"/>
        </w:rPr>
      </w:pPr>
    </w:p>
    <w:p w14:paraId="7BB1671A" w14:textId="77777777" w:rsidR="009B45DB" w:rsidRPr="009E7A97" w:rsidRDefault="009B45DB">
      <w:pPr>
        <w:spacing w:after="0" w:line="240" w:lineRule="auto"/>
        <w:rPr>
          <w:rFonts w:ascii="Times New Roman" w:hAnsi="Times New Roman" w:cs="Times New Roman"/>
          <w:b/>
          <w:sz w:val="24"/>
          <w:szCs w:val="24"/>
        </w:rPr>
      </w:pPr>
    </w:p>
    <w:p w14:paraId="5FCD396B" w14:textId="77777777" w:rsidR="009B45DB" w:rsidRPr="009E7A97" w:rsidRDefault="009B45DB">
      <w:pPr>
        <w:spacing w:after="0" w:line="240" w:lineRule="auto"/>
        <w:rPr>
          <w:rFonts w:ascii="Times New Roman" w:hAnsi="Times New Roman" w:cs="Times New Roman"/>
          <w:b/>
          <w:sz w:val="24"/>
          <w:szCs w:val="24"/>
        </w:rPr>
      </w:pPr>
    </w:p>
    <w:p w14:paraId="5F20AA24" w14:textId="77777777" w:rsidR="009B45DB" w:rsidRPr="009E7A97" w:rsidRDefault="009B45DB">
      <w:pPr>
        <w:spacing w:after="0" w:line="240" w:lineRule="auto"/>
        <w:rPr>
          <w:rFonts w:ascii="Times New Roman" w:hAnsi="Times New Roman" w:cs="Times New Roman"/>
          <w:b/>
          <w:sz w:val="24"/>
          <w:szCs w:val="24"/>
        </w:rPr>
      </w:pPr>
    </w:p>
    <w:p w14:paraId="032C12FB" w14:textId="77777777" w:rsidR="009B45DB" w:rsidRPr="009E7A97" w:rsidRDefault="009B45DB">
      <w:pPr>
        <w:spacing w:after="0" w:line="240" w:lineRule="auto"/>
        <w:rPr>
          <w:rFonts w:ascii="Times New Roman" w:hAnsi="Times New Roman" w:cs="Times New Roman"/>
          <w:b/>
          <w:sz w:val="24"/>
          <w:szCs w:val="24"/>
        </w:rPr>
      </w:pPr>
    </w:p>
    <w:p w14:paraId="4CE0C9E0" w14:textId="77777777" w:rsidR="009B45DB" w:rsidRPr="009E7A97" w:rsidRDefault="009B45DB">
      <w:pPr>
        <w:spacing w:after="0" w:line="240" w:lineRule="auto"/>
        <w:rPr>
          <w:rFonts w:ascii="Times New Roman" w:hAnsi="Times New Roman" w:cs="Times New Roman"/>
          <w:b/>
          <w:sz w:val="24"/>
          <w:szCs w:val="24"/>
        </w:rPr>
      </w:pPr>
    </w:p>
    <w:p w14:paraId="66AD7409" w14:textId="77777777" w:rsidR="009B45DB" w:rsidRPr="009E7A97" w:rsidRDefault="009B45DB">
      <w:pPr>
        <w:spacing w:after="0" w:line="240" w:lineRule="auto"/>
        <w:rPr>
          <w:rFonts w:ascii="Times New Roman" w:hAnsi="Times New Roman" w:cs="Times New Roman"/>
          <w:b/>
          <w:sz w:val="24"/>
          <w:szCs w:val="24"/>
        </w:rPr>
      </w:pPr>
    </w:p>
    <w:p w14:paraId="27497010" w14:textId="77777777" w:rsidR="009B45DB" w:rsidRPr="009E7A97" w:rsidRDefault="009B45DB">
      <w:pPr>
        <w:spacing w:after="0" w:line="240" w:lineRule="auto"/>
        <w:rPr>
          <w:rFonts w:ascii="Times New Roman" w:hAnsi="Times New Roman" w:cs="Times New Roman"/>
          <w:b/>
          <w:sz w:val="24"/>
          <w:szCs w:val="24"/>
        </w:rPr>
      </w:pPr>
    </w:p>
    <w:p w14:paraId="475CD3C7" w14:textId="77777777" w:rsidR="009B45DB" w:rsidRPr="009E7A97" w:rsidRDefault="009B45DB">
      <w:pPr>
        <w:spacing w:after="0" w:line="240" w:lineRule="auto"/>
        <w:rPr>
          <w:rFonts w:ascii="Times New Roman" w:hAnsi="Times New Roman" w:cs="Times New Roman"/>
          <w:b/>
          <w:sz w:val="24"/>
          <w:szCs w:val="24"/>
        </w:rPr>
      </w:pPr>
    </w:p>
    <w:p w14:paraId="4F355B73" w14:textId="77777777" w:rsidR="009B45DB" w:rsidRPr="009E7A97" w:rsidRDefault="009B45DB">
      <w:pPr>
        <w:spacing w:after="0" w:line="240" w:lineRule="auto"/>
        <w:rPr>
          <w:rFonts w:ascii="Times New Roman" w:hAnsi="Times New Roman" w:cs="Times New Roman"/>
          <w:b/>
          <w:sz w:val="24"/>
          <w:szCs w:val="24"/>
        </w:rPr>
      </w:pPr>
    </w:p>
    <w:p w14:paraId="4D0222AB" w14:textId="77777777" w:rsidR="009B45DB" w:rsidRPr="009E7A97" w:rsidRDefault="009B45DB">
      <w:pPr>
        <w:spacing w:after="0" w:line="240" w:lineRule="auto"/>
        <w:rPr>
          <w:rFonts w:ascii="Times New Roman" w:hAnsi="Times New Roman" w:cs="Times New Roman"/>
          <w:b/>
          <w:sz w:val="24"/>
          <w:szCs w:val="24"/>
        </w:rPr>
      </w:pPr>
    </w:p>
    <w:p w14:paraId="65F8D66E" w14:textId="77777777" w:rsidR="009B45DB" w:rsidRPr="009E7A97" w:rsidRDefault="009B45DB">
      <w:pPr>
        <w:spacing w:after="0" w:line="240" w:lineRule="auto"/>
        <w:rPr>
          <w:rFonts w:ascii="Times New Roman" w:hAnsi="Times New Roman" w:cs="Times New Roman"/>
          <w:b/>
          <w:sz w:val="24"/>
          <w:szCs w:val="24"/>
        </w:rPr>
      </w:pPr>
    </w:p>
    <w:p w14:paraId="164731C6" w14:textId="77777777" w:rsidR="009B45DB" w:rsidRPr="009E7A97" w:rsidRDefault="009B45DB">
      <w:pPr>
        <w:spacing w:after="0" w:line="240" w:lineRule="auto"/>
        <w:rPr>
          <w:rFonts w:ascii="Times New Roman" w:hAnsi="Times New Roman" w:cs="Times New Roman"/>
          <w:b/>
          <w:sz w:val="24"/>
          <w:szCs w:val="24"/>
        </w:rPr>
      </w:pPr>
    </w:p>
    <w:p w14:paraId="444D3D6A" w14:textId="77777777" w:rsidR="009B45DB" w:rsidRPr="009E7A97" w:rsidRDefault="009B45DB">
      <w:pPr>
        <w:spacing w:after="0" w:line="240" w:lineRule="auto"/>
        <w:rPr>
          <w:rFonts w:ascii="Times New Roman" w:hAnsi="Times New Roman" w:cs="Times New Roman"/>
          <w:b/>
          <w:sz w:val="24"/>
          <w:szCs w:val="24"/>
        </w:rPr>
      </w:pPr>
    </w:p>
    <w:p w14:paraId="6239E618" w14:textId="77777777" w:rsidR="009B45DB" w:rsidRPr="009E7A97" w:rsidRDefault="009B45DB">
      <w:pPr>
        <w:spacing w:after="0" w:line="240" w:lineRule="auto"/>
        <w:rPr>
          <w:rFonts w:ascii="Times New Roman" w:hAnsi="Times New Roman" w:cs="Times New Roman"/>
          <w:b/>
          <w:sz w:val="24"/>
          <w:szCs w:val="24"/>
        </w:rPr>
      </w:pPr>
    </w:p>
    <w:p w14:paraId="623D17B5" w14:textId="77777777" w:rsidR="009B45DB" w:rsidRPr="009E7A97" w:rsidRDefault="009B45DB">
      <w:pPr>
        <w:spacing w:after="0" w:line="240" w:lineRule="auto"/>
        <w:rPr>
          <w:rFonts w:ascii="Times New Roman" w:hAnsi="Times New Roman" w:cs="Times New Roman"/>
          <w:b/>
          <w:sz w:val="24"/>
          <w:szCs w:val="24"/>
        </w:rPr>
      </w:pPr>
    </w:p>
    <w:p w14:paraId="5CC377A8" w14:textId="77777777" w:rsidR="009B45DB" w:rsidRPr="009E7A97" w:rsidRDefault="009B45DB">
      <w:pPr>
        <w:spacing w:after="0" w:line="240" w:lineRule="auto"/>
        <w:rPr>
          <w:rFonts w:ascii="Times New Roman" w:hAnsi="Times New Roman" w:cs="Times New Roman"/>
          <w:b/>
          <w:sz w:val="24"/>
          <w:szCs w:val="24"/>
        </w:rPr>
      </w:pPr>
    </w:p>
    <w:p w14:paraId="51D2605E" w14:textId="77777777" w:rsidR="009B45DB" w:rsidRPr="009E7A97" w:rsidRDefault="009B45DB">
      <w:pPr>
        <w:spacing w:after="0" w:line="240" w:lineRule="auto"/>
        <w:rPr>
          <w:rFonts w:ascii="Times New Roman" w:hAnsi="Times New Roman" w:cs="Times New Roman"/>
          <w:b/>
          <w:sz w:val="24"/>
          <w:szCs w:val="24"/>
        </w:rPr>
      </w:pPr>
    </w:p>
    <w:p w14:paraId="0EC7C50D" w14:textId="77777777" w:rsidR="009B45DB" w:rsidRPr="009E7A97" w:rsidRDefault="009B45DB">
      <w:pPr>
        <w:spacing w:after="0" w:line="240" w:lineRule="auto"/>
        <w:rPr>
          <w:rFonts w:ascii="Times New Roman" w:hAnsi="Times New Roman" w:cs="Times New Roman"/>
          <w:b/>
          <w:sz w:val="24"/>
          <w:szCs w:val="24"/>
        </w:rPr>
      </w:pPr>
    </w:p>
    <w:p w14:paraId="20DF4177" w14:textId="77777777" w:rsidR="009B45DB" w:rsidRPr="009E7A97" w:rsidRDefault="009B45DB">
      <w:pPr>
        <w:spacing w:after="0" w:line="240" w:lineRule="auto"/>
        <w:rPr>
          <w:rFonts w:ascii="Times New Roman" w:hAnsi="Times New Roman" w:cs="Times New Roman"/>
          <w:b/>
          <w:sz w:val="24"/>
          <w:szCs w:val="24"/>
        </w:rPr>
      </w:pPr>
    </w:p>
    <w:p w14:paraId="2FDF3F7C" w14:textId="77777777" w:rsidR="009B45DB" w:rsidRPr="009E7A97" w:rsidRDefault="009B45DB">
      <w:pPr>
        <w:spacing w:after="0" w:line="240" w:lineRule="auto"/>
        <w:rPr>
          <w:rFonts w:ascii="Times New Roman" w:hAnsi="Times New Roman" w:cs="Times New Roman"/>
          <w:b/>
          <w:sz w:val="24"/>
          <w:szCs w:val="24"/>
        </w:rPr>
      </w:pPr>
    </w:p>
    <w:p w14:paraId="229335F1" w14:textId="77777777" w:rsidR="009B45DB" w:rsidRPr="009E7A97" w:rsidRDefault="009B45DB">
      <w:pPr>
        <w:spacing w:after="0" w:line="240" w:lineRule="auto"/>
        <w:rPr>
          <w:rFonts w:ascii="Times New Roman" w:hAnsi="Times New Roman" w:cs="Times New Roman"/>
          <w:b/>
          <w:sz w:val="24"/>
          <w:szCs w:val="24"/>
        </w:rPr>
      </w:pPr>
    </w:p>
    <w:p w14:paraId="04891361" w14:textId="77777777" w:rsidR="009B45DB" w:rsidRPr="009E7A97" w:rsidRDefault="009B45DB">
      <w:pPr>
        <w:spacing w:after="0" w:line="240" w:lineRule="auto"/>
        <w:rPr>
          <w:rFonts w:ascii="Times New Roman" w:hAnsi="Times New Roman" w:cs="Times New Roman"/>
          <w:b/>
          <w:sz w:val="24"/>
          <w:szCs w:val="24"/>
        </w:rPr>
      </w:pPr>
    </w:p>
    <w:p w14:paraId="19B925E4" w14:textId="77777777" w:rsidR="009B45DB" w:rsidRPr="009E7A97" w:rsidRDefault="009B45DB">
      <w:pPr>
        <w:spacing w:after="0" w:line="240" w:lineRule="auto"/>
        <w:rPr>
          <w:rFonts w:ascii="Times New Roman" w:hAnsi="Times New Roman" w:cs="Times New Roman"/>
          <w:b/>
          <w:sz w:val="24"/>
          <w:szCs w:val="24"/>
        </w:rPr>
      </w:pPr>
    </w:p>
    <w:p w14:paraId="6EEF5166" w14:textId="77777777" w:rsidR="009B45DB" w:rsidRPr="009E7A97" w:rsidRDefault="00412180">
      <w:pPr>
        <w:spacing w:after="0" w:line="240" w:lineRule="auto"/>
        <w:rPr>
          <w:rFonts w:ascii="Times New Roman" w:hAnsi="Times New Roman" w:cs="Times New Roman"/>
          <w:b/>
          <w:sz w:val="24"/>
          <w:szCs w:val="24"/>
        </w:rPr>
      </w:pPr>
      <w:r w:rsidRPr="009E7A97">
        <w:rPr>
          <w:rFonts w:ascii="Times New Roman" w:hAnsi="Times New Roman" w:cs="Times New Roman"/>
          <w:b/>
          <w:sz w:val="24"/>
          <w:szCs w:val="24"/>
        </w:rPr>
        <w:t>Table 3: Pattern of Motor coordination and Balance using Beam Walk test week 1-5</w:t>
      </w:r>
    </w:p>
    <w:tbl>
      <w:tblPr>
        <w:tblStyle w:val="LightShading1"/>
        <w:tblpPr w:leftFromText="180" w:rightFromText="180" w:vertAnchor="text" w:horzAnchor="margin" w:tblpXSpec="center" w:tblpY="517"/>
        <w:tblW w:w="5000" w:type="pct"/>
        <w:tblLook w:val="04A0" w:firstRow="1" w:lastRow="0" w:firstColumn="1" w:lastColumn="0" w:noHBand="0" w:noVBand="1"/>
      </w:tblPr>
      <w:tblGrid>
        <w:gridCol w:w="929"/>
        <w:gridCol w:w="880"/>
        <w:gridCol w:w="793"/>
        <w:gridCol w:w="943"/>
        <w:gridCol w:w="793"/>
        <w:gridCol w:w="881"/>
        <w:gridCol w:w="793"/>
        <w:gridCol w:w="881"/>
        <w:gridCol w:w="793"/>
        <w:gridCol w:w="881"/>
        <w:gridCol w:w="793"/>
      </w:tblGrid>
      <w:tr w:rsidR="009B45DB" w:rsidRPr="009E7A97" w14:paraId="65E14D89" w14:textId="77777777" w:rsidTr="002E4F23">
        <w:trPr>
          <w:cnfStyle w:val="100000000000" w:firstRow="1" w:lastRow="0" w:firstColumn="0" w:lastColumn="0" w:oddVBand="0" w:evenVBand="0" w:oddHBand="0"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584" w:type="pct"/>
          </w:tcPr>
          <w:p w14:paraId="6E12B162"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Groups</w:t>
            </w:r>
          </w:p>
        </w:tc>
        <w:tc>
          <w:tcPr>
            <w:tcW w:w="560" w:type="pct"/>
          </w:tcPr>
          <w:p w14:paraId="5E2BFC34"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Week1</w:t>
            </w:r>
          </w:p>
          <w:p w14:paraId="58773D9E"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491" w:type="pct"/>
          </w:tcPr>
          <w:p w14:paraId="7183B15C"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508" w:type="pct"/>
          </w:tcPr>
          <w:p w14:paraId="643803E4"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Week2</w:t>
            </w:r>
          </w:p>
          <w:p w14:paraId="53FA2A34"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355" w:type="pct"/>
          </w:tcPr>
          <w:p w14:paraId="3F31E7B4"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484" w:type="pct"/>
          </w:tcPr>
          <w:p w14:paraId="7892C3EC"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Week3</w:t>
            </w:r>
          </w:p>
          <w:p w14:paraId="31732547"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336" w:type="pct"/>
          </w:tcPr>
          <w:p w14:paraId="2969E80A"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523" w:type="pct"/>
          </w:tcPr>
          <w:p w14:paraId="5EF799E7"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Week4</w:t>
            </w:r>
          </w:p>
          <w:p w14:paraId="5BD81DB0"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336" w:type="pct"/>
          </w:tcPr>
          <w:p w14:paraId="0CF7E2ED"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xml:space="preserve">% </w:t>
            </w:r>
            <w:r w:rsidRPr="009E7A97">
              <w:rPr>
                <w:rFonts w:ascii="Times New Roman" w:hAnsi="Times New Roman" w:cs="Times New Roman"/>
                <w:sz w:val="18"/>
                <w:szCs w:val="18"/>
              </w:rPr>
              <w:t>differences</w:t>
            </w:r>
          </w:p>
        </w:tc>
        <w:tc>
          <w:tcPr>
            <w:tcW w:w="448" w:type="pct"/>
          </w:tcPr>
          <w:p w14:paraId="1CC9467D"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Week5</w:t>
            </w:r>
          </w:p>
          <w:p w14:paraId="70A1D936" w14:textId="77777777" w:rsidR="009B45DB" w:rsidRPr="009E7A97" w:rsidRDefault="00412180">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374" w:type="pct"/>
          </w:tcPr>
          <w:p w14:paraId="0C16E87A" w14:textId="77777777" w:rsidR="009B45DB" w:rsidRPr="009E7A97" w:rsidRDefault="0041218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r>
      <w:tr w:rsidR="002E4F23" w:rsidRPr="009E7A97" w14:paraId="069D837C" w14:textId="77777777" w:rsidTr="002E4F23">
        <w:trPr>
          <w:trHeight w:val="51"/>
        </w:trPr>
        <w:tc>
          <w:tcPr>
            <w:cnfStyle w:val="001000000000" w:firstRow="0" w:lastRow="0" w:firstColumn="1" w:lastColumn="0" w:oddVBand="0" w:evenVBand="0" w:oddHBand="0" w:evenHBand="0" w:firstRowFirstColumn="0" w:firstRowLastColumn="0" w:lastRowFirstColumn="0" w:lastRowLastColumn="0"/>
            <w:tcW w:w="584" w:type="pct"/>
            <w:tcBorders>
              <w:left w:val="nil"/>
              <w:right w:val="nil"/>
            </w:tcBorders>
            <w:shd w:val="clear" w:color="auto" w:fill="C0C0C0"/>
          </w:tcPr>
          <w:p w14:paraId="0F6869F9"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Group1</w:t>
            </w:r>
          </w:p>
          <w:p w14:paraId="33B629D5"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(control group)</w:t>
            </w:r>
          </w:p>
        </w:tc>
        <w:tc>
          <w:tcPr>
            <w:tcW w:w="560" w:type="pct"/>
            <w:tcBorders>
              <w:right w:val="nil"/>
            </w:tcBorders>
            <w:shd w:val="clear" w:color="auto" w:fill="C0C0C0"/>
          </w:tcPr>
          <w:p w14:paraId="6E6FA8F1"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133.60±6.08</w:t>
            </w:r>
          </w:p>
        </w:tc>
        <w:tc>
          <w:tcPr>
            <w:tcW w:w="491" w:type="pct"/>
            <w:tcBorders>
              <w:right w:val="nil"/>
            </w:tcBorders>
            <w:shd w:val="clear" w:color="auto" w:fill="C0C0C0"/>
          </w:tcPr>
          <w:p w14:paraId="4CB11A37"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508" w:type="pct"/>
            <w:tcBorders>
              <w:right w:val="nil"/>
            </w:tcBorders>
            <w:shd w:val="clear" w:color="auto" w:fill="C0C0C0"/>
          </w:tcPr>
          <w:p w14:paraId="414782C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66.20±3.24</w:t>
            </w:r>
          </w:p>
        </w:tc>
        <w:tc>
          <w:tcPr>
            <w:tcW w:w="355" w:type="pct"/>
            <w:tcBorders>
              <w:right w:val="nil"/>
            </w:tcBorders>
            <w:shd w:val="clear" w:color="auto" w:fill="C0C0C0"/>
          </w:tcPr>
          <w:p w14:paraId="6F70DB1D"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484" w:type="pct"/>
            <w:tcBorders>
              <w:right w:val="nil"/>
            </w:tcBorders>
            <w:shd w:val="clear" w:color="auto" w:fill="C0C0C0"/>
          </w:tcPr>
          <w:p w14:paraId="5792EB0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37.80±5.17</w:t>
            </w:r>
          </w:p>
        </w:tc>
        <w:tc>
          <w:tcPr>
            <w:tcW w:w="336" w:type="pct"/>
            <w:tcBorders>
              <w:right w:val="nil"/>
            </w:tcBorders>
            <w:shd w:val="clear" w:color="auto" w:fill="C0C0C0"/>
          </w:tcPr>
          <w:p w14:paraId="3A4F89B8"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523" w:type="pct"/>
            <w:tcBorders>
              <w:right w:val="nil"/>
            </w:tcBorders>
            <w:shd w:val="clear" w:color="auto" w:fill="C0C0C0"/>
          </w:tcPr>
          <w:p w14:paraId="18631C55"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60.00±6.77</w:t>
            </w:r>
          </w:p>
        </w:tc>
        <w:tc>
          <w:tcPr>
            <w:tcW w:w="336" w:type="pct"/>
            <w:tcBorders>
              <w:right w:val="nil"/>
            </w:tcBorders>
            <w:shd w:val="clear" w:color="auto" w:fill="C0C0C0"/>
          </w:tcPr>
          <w:p w14:paraId="2D429D1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448" w:type="pct"/>
            <w:tcBorders>
              <w:right w:val="nil"/>
            </w:tcBorders>
            <w:shd w:val="clear" w:color="auto" w:fill="C0C0C0"/>
          </w:tcPr>
          <w:p w14:paraId="6F91DF6F"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68.40±6.82</w:t>
            </w:r>
          </w:p>
        </w:tc>
        <w:tc>
          <w:tcPr>
            <w:tcW w:w="374" w:type="pct"/>
            <w:tcBorders>
              <w:right w:val="nil"/>
            </w:tcBorders>
            <w:shd w:val="clear" w:color="auto" w:fill="C0C0C0"/>
          </w:tcPr>
          <w:p w14:paraId="4A35A23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r>
      <w:tr w:rsidR="009B45DB" w:rsidRPr="009E7A97" w14:paraId="5E939DE7" w14:textId="77777777" w:rsidTr="002E4F23">
        <w:trPr>
          <w:trHeight w:val="51"/>
        </w:trPr>
        <w:tc>
          <w:tcPr>
            <w:cnfStyle w:val="001000000000" w:firstRow="0" w:lastRow="0" w:firstColumn="1" w:lastColumn="0" w:oddVBand="0" w:evenVBand="0" w:oddHBand="0" w:evenHBand="0" w:firstRowFirstColumn="0" w:firstRowLastColumn="0" w:lastRowFirstColumn="0" w:lastRowLastColumn="0"/>
            <w:tcW w:w="584" w:type="pct"/>
          </w:tcPr>
          <w:p w14:paraId="63C9DB8D"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Group2 (Scopolamine only)</w:t>
            </w:r>
          </w:p>
        </w:tc>
        <w:tc>
          <w:tcPr>
            <w:tcW w:w="560" w:type="pct"/>
          </w:tcPr>
          <w:p w14:paraId="51F89034"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204.20±5.43</w:t>
            </w:r>
          </w:p>
        </w:tc>
        <w:tc>
          <w:tcPr>
            <w:tcW w:w="491" w:type="pct"/>
          </w:tcPr>
          <w:p w14:paraId="47C10EE1"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53.3</w:t>
            </w:r>
          </w:p>
        </w:tc>
        <w:tc>
          <w:tcPr>
            <w:tcW w:w="508" w:type="pct"/>
          </w:tcPr>
          <w:p w14:paraId="5464AE7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201.40±5.71</w:t>
            </w:r>
          </w:p>
        </w:tc>
        <w:tc>
          <w:tcPr>
            <w:tcW w:w="355" w:type="pct"/>
          </w:tcPr>
          <w:p w14:paraId="35861E8A"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204.5</w:t>
            </w:r>
          </w:p>
        </w:tc>
        <w:tc>
          <w:tcPr>
            <w:tcW w:w="484" w:type="pct"/>
          </w:tcPr>
          <w:p w14:paraId="754E7204"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203.20±3.25</w:t>
            </w:r>
          </w:p>
        </w:tc>
        <w:tc>
          <w:tcPr>
            <w:tcW w:w="336" w:type="pct"/>
          </w:tcPr>
          <w:p w14:paraId="5D78F425"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448.6</w:t>
            </w:r>
          </w:p>
        </w:tc>
        <w:tc>
          <w:tcPr>
            <w:tcW w:w="523" w:type="pct"/>
          </w:tcPr>
          <w:p w14:paraId="043B107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235.20±5.43</w:t>
            </w:r>
          </w:p>
        </w:tc>
        <w:tc>
          <w:tcPr>
            <w:tcW w:w="336" w:type="pct"/>
          </w:tcPr>
          <w:p w14:paraId="68F3D469"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291.6</w:t>
            </w:r>
          </w:p>
        </w:tc>
        <w:tc>
          <w:tcPr>
            <w:tcW w:w="448" w:type="pct"/>
          </w:tcPr>
          <w:p w14:paraId="6D28B3E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266.60±6.51</w:t>
            </w:r>
          </w:p>
        </w:tc>
        <w:tc>
          <w:tcPr>
            <w:tcW w:w="374" w:type="pct"/>
          </w:tcPr>
          <w:p w14:paraId="4D8ABD79"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291.1</w:t>
            </w:r>
          </w:p>
        </w:tc>
      </w:tr>
      <w:tr w:rsidR="002E4F23" w:rsidRPr="009E7A97" w14:paraId="06DEB2F5" w14:textId="77777777" w:rsidTr="002E4F23">
        <w:trPr>
          <w:trHeight w:val="51"/>
        </w:trPr>
        <w:tc>
          <w:tcPr>
            <w:cnfStyle w:val="001000000000" w:firstRow="0" w:lastRow="0" w:firstColumn="1" w:lastColumn="0" w:oddVBand="0" w:evenVBand="0" w:oddHBand="0" w:evenHBand="0" w:firstRowFirstColumn="0" w:firstRowLastColumn="0" w:lastRowFirstColumn="0" w:lastRowLastColumn="0"/>
            <w:tcW w:w="584" w:type="pct"/>
            <w:tcBorders>
              <w:left w:val="nil"/>
              <w:right w:val="nil"/>
            </w:tcBorders>
            <w:shd w:val="clear" w:color="auto" w:fill="C0C0C0"/>
          </w:tcPr>
          <w:p w14:paraId="601D83AD"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Group3</w:t>
            </w:r>
          </w:p>
          <w:p w14:paraId="67517F1A"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 xml:space="preserve">(Scopolamine &amp;5 mg/kg </w:t>
            </w:r>
            <w:proofErr w:type="spellStart"/>
            <w:r w:rsidRPr="009E7A97">
              <w:rPr>
                <w:rFonts w:ascii="Times New Roman" w:hAnsi="Times New Roman" w:cs="Times New Roman"/>
                <w:sz w:val="18"/>
                <w:szCs w:val="18"/>
              </w:rPr>
              <w:t>Donpezil</w:t>
            </w:r>
            <w:proofErr w:type="spellEnd"/>
            <w:r w:rsidRPr="009E7A97">
              <w:rPr>
                <w:rFonts w:ascii="Times New Roman" w:hAnsi="Times New Roman" w:cs="Times New Roman"/>
                <w:sz w:val="18"/>
                <w:szCs w:val="18"/>
              </w:rPr>
              <w:t>)</w:t>
            </w:r>
          </w:p>
        </w:tc>
        <w:tc>
          <w:tcPr>
            <w:tcW w:w="560" w:type="pct"/>
            <w:tcBorders>
              <w:right w:val="nil"/>
            </w:tcBorders>
            <w:shd w:val="clear" w:color="auto" w:fill="C0C0C0"/>
          </w:tcPr>
          <w:p w14:paraId="3C8600EE"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26.80#±2.75</w:t>
            </w:r>
          </w:p>
        </w:tc>
        <w:tc>
          <w:tcPr>
            <w:tcW w:w="491" w:type="pct"/>
            <w:tcBorders>
              <w:right w:val="nil"/>
            </w:tcBorders>
            <w:shd w:val="clear" w:color="auto" w:fill="C0C0C0"/>
          </w:tcPr>
          <w:p w14:paraId="7BDE874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-80.4</w:t>
            </w:r>
          </w:p>
        </w:tc>
        <w:tc>
          <w:tcPr>
            <w:tcW w:w="508" w:type="pct"/>
            <w:tcBorders>
              <w:right w:val="nil"/>
            </w:tcBorders>
            <w:shd w:val="clear" w:color="auto" w:fill="C0C0C0"/>
          </w:tcPr>
          <w:p w14:paraId="22F94A79"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51.40*#±4.60</w:t>
            </w:r>
          </w:p>
        </w:tc>
        <w:tc>
          <w:tcPr>
            <w:tcW w:w="355" w:type="pct"/>
            <w:tcBorders>
              <w:right w:val="nil"/>
            </w:tcBorders>
            <w:shd w:val="clear" w:color="auto" w:fill="C0C0C0"/>
          </w:tcPr>
          <w:p w14:paraId="50AAD21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-22.7</w:t>
            </w:r>
          </w:p>
        </w:tc>
        <w:tc>
          <w:tcPr>
            <w:tcW w:w="484" w:type="pct"/>
            <w:tcBorders>
              <w:right w:val="nil"/>
            </w:tcBorders>
            <w:shd w:val="clear" w:color="auto" w:fill="C0C0C0"/>
          </w:tcPr>
          <w:p w14:paraId="444B40F5"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86.20#±5.96</w:t>
            </w:r>
          </w:p>
        </w:tc>
        <w:tc>
          <w:tcPr>
            <w:tcW w:w="336" w:type="pct"/>
            <w:tcBorders>
              <w:right w:val="nil"/>
            </w:tcBorders>
            <w:shd w:val="clear" w:color="auto" w:fill="C0C0C0"/>
          </w:tcPr>
          <w:p w14:paraId="1607C71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132.4</w:t>
            </w:r>
          </w:p>
        </w:tc>
        <w:tc>
          <w:tcPr>
            <w:tcW w:w="523" w:type="pct"/>
            <w:tcBorders>
              <w:right w:val="nil"/>
            </w:tcBorders>
            <w:shd w:val="clear" w:color="auto" w:fill="C0C0C0"/>
          </w:tcPr>
          <w:p w14:paraId="436E10F4"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65.40±5.19</w:t>
            </w:r>
          </w:p>
        </w:tc>
        <w:tc>
          <w:tcPr>
            <w:tcW w:w="336" w:type="pct"/>
            <w:tcBorders>
              <w:right w:val="nil"/>
            </w:tcBorders>
            <w:shd w:val="clear" w:color="auto" w:fill="C0C0C0"/>
          </w:tcPr>
          <w:p w14:paraId="708D38AE"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8.3</w:t>
            </w:r>
          </w:p>
        </w:tc>
        <w:tc>
          <w:tcPr>
            <w:tcW w:w="448" w:type="pct"/>
            <w:tcBorders>
              <w:right w:val="nil"/>
            </w:tcBorders>
            <w:shd w:val="clear" w:color="auto" w:fill="C0C0C0"/>
          </w:tcPr>
          <w:p w14:paraId="74C45575"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76.00±5.26</w:t>
            </w:r>
          </w:p>
        </w:tc>
        <w:tc>
          <w:tcPr>
            <w:tcW w:w="374" w:type="pct"/>
            <w:tcBorders>
              <w:right w:val="nil"/>
            </w:tcBorders>
            <w:shd w:val="clear" w:color="auto" w:fill="C0C0C0"/>
          </w:tcPr>
          <w:p w14:paraId="2B0F5939"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11.7</w:t>
            </w:r>
          </w:p>
        </w:tc>
      </w:tr>
      <w:tr w:rsidR="009B45DB" w:rsidRPr="009E7A97" w14:paraId="0863430E" w14:textId="77777777" w:rsidTr="002E4F23">
        <w:trPr>
          <w:trHeight w:val="49"/>
        </w:trPr>
        <w:tc>
          <w:tcPr>
            <w:cnfStyle w:val="001000000000" w:firstRow="0" w:lastRow="0" w:firstColumn="1" w:lastColumn="0" w:oddVBand="0" w:evenVBand="0" w:oddHBand="0" w:evenHBand="0" w:firstRowFirstColumn="0" w:firstRowLastColumn="0" w:lastRowFirstColumn="0" w:lastRowLastColumn="0"/>
            <w:tcW w:w="584" w:type="pct"/>
          </w:tcPr>
          <w:p w14:paraId="28840CEA"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Group4</w:t>
            </w:r>
          </w:p>
          <w:p w14:paraId="6CF0316A"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(Scopolamine &amp; 100 mg/kg guava)</w:t>
            </w:r>
          </w:p>
        </w:tc>
        <w:tc>
          <w:tcPr>
            <w:tcW w:w="560" w:type="pct"/>
          </w:tcPr>
          <w:p w14:paraId="55A4A97D"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134.40±6.15</w:t>
            </w:r>
          </w:p>
        </w:tc>
        <w:tc>
          <w:tcPr>
            <w:tcW w:w="491" w:type="pct"/>
          </w:tcPr>
          <w:p w14:paraId="29071586"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0.75</w:t>
            </w:r>
          </w:p>
        </w:tc>
        <w:tc>
          <w:tcPr>
            <w:tcW w:w="508" w:type="pct"/>
          </w:tcPr>
          <w:p w14:paraId="0FD18BD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130.80±6.11</w:t>
            </w:r>
          </w:p>
        </w:tc>
        <w:tc>
          <w:tcPr>
            <w:tcW w:w="355" w:type="pct"/>
          </w:tcPr>
          <w:p w14:paraId="74EED95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91.0</w:t>
            </w:r>
          </w:p>
        </w:tc>
        <w:tc>
          <w:tcPr>
            <w:tcW w:w="484" w:type="pct"/>
          </w:tcPr>
          <w:p w14:paraId="0A1428A9"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138.80±6.89</w:t>
            </w:r>
          </w:p>
        </w:tc>
        <w:tc>
          <w:tcPr>
            <w:tcW w:w="336" w:type="pct"/>
          </w:tcPr>
          <w:p w14:paraId="42689743"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272.9</w:t>
            </w:r>
          </w:p>
        </w:tc>
        <w:tc>
          <w:tcPr>
            <w:tcW w:w="523" w:type="pct"/>
          </w:tcPr>
          <w:p w14:paraId="417FC433"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199.20±5.04</w:t>
            </w:r>
          </w:p>
        </w:tc>
        <w:tc>
          <w:tcPr>
            <w:tcW w:w="336" w:type="pct"/>
          </w:tcPr>
          <w:p w14:paraId="5D96B0B7"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231.6</w:t>
            </w:r>
          </w:p>
        </w:tc>
        <w:tc>
          <w:tcPr>
            <w:tcW w:w="448" w:type="pct"/>
          </w:tcPr>
          <w:p w14:paraId="790654AA"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74.80±6.74</w:t>
            </w:r>
          </w:p>
        </w:tc>
        <w:tc>
          <w:tcPr>
            <w:tcW w:w="374" w:type="pct"/>
          </w:tcPr>
          <w:p w14:paraId="02EAE517"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8.8</w:t>
            </w:r>
          </w:p>
        </w:tc>
      </w:tr>
      <w:tr w:rsidR="002E4F23" w:rsidRPr="009E7A97" w14:paraId="0CC378CB" w14:textId="77777777" w:rsidTr="002E4F23">
        <w:trPr>
          <w:trHeight w:val="51"/>
        </w:trPr>
        <w:tc>
          <w:tcPr>
            <w:cnfStyle w:val="001000000000" w:firstRow="0" w:lastRow="0" w:firstColumn="1" w:lastColumn="0" w:oddVBand="0" w:evenVBand="0" w:oddHBand="0" w:evenHBand="0" w:firstRowFirstColumn="0" w:firstRowLastColumn="0" w:lastRowFirstColumn="0" w:lastRowLastColumn="0"/>
            <w:tcW w:w="584" w:type="pct"/>
            <w:tcBorders>
              <w:left w:val="nil"/>
              <w:right w:val="nil"/>
            </w:tcBorders>
            <w:shd w:val="clear" w:color="auto" w:fill="C0C0C0"/>
          </w:tcPr>
          <w:p w14:paraId="63101D31"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Group5</w:t>
            </w:r>
          </w:p>
          <w:p w14:paraId="7C3CDEF8"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(Scopolamine &amp; 300mg/kg guava)</w:t>
            </w:r>
          </w:p>
        </w:tc>
        <w:tc>
          <w:tcPr>
            <w:tcW w:w="560" w:type="pct"/>
            <w:tcBorders>
              <w:right w:val="nil"/>
            </w:tcBorders>
            <w:shd w:val="clear" w:color="auto" w:fill="C0C0C0"/>
          </w:tcPr>
          <w:p w14:paraId="4642BC84"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130.80±6.19</w:t>
            </w:r>
          </w:p>
        </w:tc>
        <w:tc>
          <w:tcPr>
            <w:tcW w:w="491" w:type="pct"/>
            <w:tcBorders>
              <w:right w:val="nil"/>
            </w:tcBorders>
            <w:shd w:val="clear" w:color="auto" w:fill="C0C0C0"/>
          </w:tcPr>
          <w:p w14:paraId="0946E780"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-2.2</w:t>
            </w:r>
          </w:p>
        </w:tc>
        <w:tc>
          <w:tcPr>
            <w:tcW w:w="508" w:type="pct"/>
            <w:tcBorders>
              <w:right w:val="nil"/>
            </w:tcBorders>
            <w:shd w:val="clear" w:color="auto" w:fill="C0C0C0"/>
          </w:tcPr>
          <w:p w14:paraId="002BE149"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148.60±6.58</w:t>
            </w:r>
          </w:p>
        </w:tc>
        <w:tc>
          <w:tcPr>
            <w:tcW w:w="355" w:type="pct"/>
            <w:tcBorders>
              <w:right w:val="nil"/>
            </w:tcBorders>
            <w:shd w:val="clear" w:color="auto" w:fill="C0C0C0"/>
          </w:tcPr>
          <w:p w14:paraId="2E6E6172"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124.2</w:t>
            </w:r>
          </w:p>
        </w:tc>
        <w:tc>
          <w:tcPr>
            <w:tcW w:w="484" w:type="pct"/>
            <w:tcBorders>
              <w:right w:val="nil"/>
            </w:tcBorders>
            <w:shd w:val="clear" w:color="auto" w:fill="C0C0C0"/>
          </w:tcPr>
          <w:p w14:paraId="5B9D2788"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92.00±5.63</w:t>
            </w:r>
          </w:p>
        </w:tc>
        <w:tc>
          <w:tcPr>
            <w:tcW w:w="336" w:type="pct"/>
            <w:tcBorders>
              <w:right w:val="nil"/>
            </w:tcBorders>
            <w:shd w:val="clear" w:color="auto" w:fill="C0C0C0"/>
          </w:tcPr>
          <w:p w14:paraId="370281D2"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148.6</w:t>
            </w:r>
          </w:p>
        </w:tc>
        <w:tc>
          <w:tcPr>
            <w:tcW w:w="523" w:type="pct"/>
            <w:tcBorders>
              <w:right w:val="nil"/>
            </w:tcBorders>
            <w:shd w:val="clear" w:color="auto" w:fill="C0C0C0"/>
          </w:tcPr>
          <w:p w14:paraId="763B20F7"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89.40±5.23</w:t>
            </w:r>
          </w:p>
        </w:tc>
        <w:tc>
          <w:tcPr>
            <w:tcW w:w="336" w:type="pct"/>
            <w:tcBorders>
              <w:right w:val="nil"/>
            </w:tcBorders>
            <w:shd w:val="clear" w:color="auto" w:fill="C0C0C0"/>
          </w:tcPr>
          <w:p w14:paraId="556C8F1A"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48.3</w:t>
            </w:r>
          </w:p>
        </w:tc>
        <w:tc>
          <w:tcPr>
            <w:tcW w:w="448" w:type="pct"/>
            <w:tcBorders>
              <w:right w:val="nil"/>
            </w:tcBorders>
            <w:shd w:val="clear" w:color="auto" w:fill="C0C0C0"/>
          </w:tcPr>
          <w:p w14:paraId="40BABD86" w14:textId="77777777" w:rsidR="009B45DB" w:rsidRPr="009E7A97" w:rsidRDefault="00412180">
            <w:pPr>
              <w:spacing w:after="0"/>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74.40±3.69</w:t>
            </w:r>
          </w:p>
        </w:tc>
        <w:tc>
          <w:tcPr>
            <w:tcW w:w="374" w:type="pct"/>
            <w:tcBorders>
              <w:right w:val="nil"/>
            </w:tcBorders>
            <w:shd w:val="clear" w:color="auto" w:fill="C0C0C0"/>
          </w:tcPr>
          <w:p w14:paraId="570598CB" w14:textId="77777777" w:rsidR="009B45DB" w:rsidRPr="009E7A97" w:rsidRDefault="00412180">
            <w:pPr>
              <w:spacing w:after="0" w:line="240" w:lineRule="auto"/>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8.8</w:t>
            </w:r>
          </w:p>
        </w:tc>
      </w:tr>
    </w:tbl>
    <w:p w14:paraId="41FDBD71" w14:textId="77777777" w:rsidR="009B45DB" w:rsidRPr="009E7A97" w:rsidRDefault="009B45DB">
      <w:pPr>
        <w:spacing w:after="0" w:line="240" w:lineRule="auto"/>
        <w:rPr>
          <w:rFonts w:ascii="Times New Roman" w:hAnsi="Times New Roman" w:cs="Times New Roman"/>
          <w:b/>
          <w:sz w:val="24"/>
          <w:szCs w:val="24"/>
        </w:rPr>
      </w:pPr>
    </w:p>
    <w:p w14:paraId="3E596CA5" w14:textId="77777777" w:rsidR="009B45DB" w:rsidRPr="009E7A97" w:rsidRDefault="009B45DB">
      <w:pPr>
        <w:spacing w:after="0" w:line="240" w:lineRule="auto"/>
        <w:rPr>
          <w:rFonts w:ascii="Times New Roman" w:hAnsi="Times New Roman" w:cs="Times New Roman"/>
          <w:b/>
          <w:sz w:val="24"/>
          <w:szCs w:val="24"/>
        </w:rPr>
      </w:pPr>
    </w:p>
    <w:p w14:paraId="07A9D28E" w14:textId="77777777" w:rsidR="009B45DB" w:rsidRPr="009E7A97" w:rsidRDefault="009B45DB">
      <w:pPr>
        <w:spacing w:after="0" w:line="240" w:lineRule="auto"/>
        <w:rPr>
          <w:rFonts w:ascii="Times New Roman" w:hAnsi="Times New Roman" w:cs="Times New Roman"/>
          <w:b/>
          <w:sz w:val="24"/>
          <w:szCs w:val="24"/>
        </w:rPr>
      </w:pPr>
    </w:p>
    <w:p w14:paraId="18FF588C" w14:textId="77777777" w:rsidR="009B45DB" w:rsidRPr="009E7A97" w:rsidRDefault="009B45DB">
      <w:pPr>
        <w:spacing w:after="0" w:line="240" w:lineRule="auto"/>
        <w:rPr>
          <w:rFonts w:ascii="Times New Roman" w:hAnsi="Times New Roman" w:cs="Times New Roman"/>
          <w:b/>
          <w:sz w:val="24"/>
          <w:szCs w:val="24"/>
        </w:rPr>
      </w:pPr>
    </w:p>
    <w:p w14:paraId="16F4A6DD" w14:textId="77777777" w:rsidR="009B45DB" w:rsidRPr="009E7A97" w:rsidRDefault="009B45DB">
      <w:pPr>
        <w:spacing w:after="0" w:line="240" w:lineRule="auto"/>
        <w:rPr>
          <w:rFonts w:ascii="Times New Roman" w:hAnsi="Times New Roman" w:cs="Times New Roman"/>
          <w:b/>
          <w:sz w:val="24"/>
          <w:szCs w:val="24"/>
        </w:rPr>
      </w:pPr>
    </w:p>
    <w:p w14:paraId="42B22202" w14:textId="77777777" w:rsidR="009B45DB" w:rsidRPr="009E7A97" w:rsidRDefault="009B45DB">
      <w:pPr>
        <w:spacing w:after="0" w:line="240" w:lineRule="auto"/>
        <w:rPr>
          <w:rFonts w:ascii="Times New Roman" w:hAnsi="Times New Roman" w:cs="Times New Roman"/>
          <w:b/>
          <w:sz w:val="24"/>
          <w:szCs w:val="24"/>
        </w:rPr>
      </w:pPr>
    </w:p>
    <w:p w14:paraId="46CF89A2" w14:textId="77777777" w:rsidR="009B45DB" w:rsidRPr="009E7A97" w:rsidRDefault="009B45DB">
      <w:pPr>
        <w:spacing w:after="0" w:line="240" w:lineRule="auto"/>
        <w:rPr>
          <w:rFonts w:ascii="Times New Roman" w:hAnsi="Times New Roman" w:cs="Times New Roman"/>
          <w:b/>
          <w:sz w:val="24"/>
          <w:szCs w:val="24"/>
        </w:rPr>
      </w:pPr>
    </w:p>
    <w:p w14:paraId="22DFDCB4" w14:textId="77777777" w:rsidR="009B45DB" w:rsidRPr="009E7A97" w:rsidRDefault="009B45DB">
      <w:pPr>
        <w:spacing w:after="0" w:line="240" w:lineRule="auto"/>
        <w:rPr>
          <w:rFonts w:ascii="Times New Roman" w:hAnsi="Times New Roman" w:cs="Times New Roman"/>
          <w:b/>
          <w:sz w:val="24"/>
          <w:szCs w:val="24"/>
        </w:rPr>
      </w:pPr>
    </w:p>
    <w:p w14:paraId="0122987F" w14:textId="77777777" w:rsidR="009B45DB" w:rsidRPr="009E7A97" w:rsidRDefault="009B45DB">
      <w:pPr>
        <w:spacing w:after="0" w:line="240" w:lineRule="auto"/>
        <w:rPr>
          <w:rFonts w:ascii="Times New Roman" w:hAnsi="Times New Roman" w:cs="Times New Roman"/>
          <w:b/>
          <w:sz w:val="24"/>
          <w:szCs w:val="24"/>
        </w:rPr>
      </w:pPr>
    </w:p>
    <w:p w14:paraId="2740EEF8" w14:textId="77777777" w:rsidR="009B45DB" w:rsidRPr="009E7A97" w:rsidRDefault="009B45DB">
      <w:pPr>
        <w:spacing w:after="0" w:line="240" w:lineRule="auto"/>
        <w:rPr>
          <w:rFonts w:ascii="Times New Roman" w:hAnsi="Times New Roman" w:cs="Times New Roman"/>
          <w:b/>
          <w:sz w:val="24"/>
          <w:szCs w:val="24"/>
        </w:rPr>
      </w:pPr>
    </w:p>
    <w:p w14:paraId="011C67BB" w14:textId="77777777" w:rsidR="009B45DB" w:rsidRPr="009E7A97" w:rsidRDefault="009B45DB">
      <w:pPr>
        <w:spacing w:after="0" w:line="240" w:lineRule="auto"/>
        <w:rPr>
          <w:rFonts w:ascii="Times New Roman" w:hAnsi="Times New Roman" w:cs="Times New Roman"/>
          <w:b/>
          <w:sz w:val="24"/>
          <w:szCs w:val="24"/>
        </w:rPr>
      </w:pPr>
    </w:p>
    <w:p w14:paraId="39C4226D" w14:textId="77777777" w:rsidR="009B45DB" w:rsidRPr="009E7A97" w:rsidRDefault="009B45DB">
      <w:pPr>
        <w:spacing w:after="0" w:line="240" w:lineRule="auto"/>
        <w:rPr>
          <w:rFonts w:ascii="Times New Roman" w:hAnsi="Times New Roman" w:cs="Times New Roman"/>
          <w:b/>
          <w:sz w:val="24"/>
          <w:szCs w:val="24"/>
        </w:rPr>
      </w:pPr>
    </w:p>
    <w:p w14:paraId="3469753F" w14:textId="77777777" w:rsidR="009B45DB" w:rsidRPr="009E7A97" w:rsidRDefault="009B45DB">
      <w:pPr>
        <w:spacing w:after="0" w:line="240" w:lineRule="auto"/>
        <w:rPr>
          <w:rFonts w:ascii="Times New Roman" w:hAnsi="Times New Roman" w:cs="Times New Roman"/>
          <w:b/>
          <w:sz w:val="24"/>
          <w:szCs w:val="24"/>
        </w:rPr>
      </w:pPr>
    </w:p>
    <w:p w14:paraId="4CC3BDB7" w14:textId="77777777" w:rsidR="009B45DB" w:rsidRPr="009E7A97" w:rsidRDefault="009B45DB">
      <w:pPr>
        <w:spacing w:after="0" w:line="240" w:lineRule="auto"/>
        <w:rPr>
          <w:rFonts w:ascii="Times New Roman" w:hAnsi="Times New Roman" w:cs="Times New Roman"/>
          <w:b/>
          <w:sz w:val="24"/>
          <w:szCs w:val="24"/>
        </w:rPr>
      </w:pPr>
    </w:p>
    <w:p w14:paraId="0C51E86E" w14:textId="77777777" w:rsidR="009B45DB" w:rsidRPr="009E7A97" w:rsidRDefault="009B45DB">
      <w:pPr>
        <w:spacing w:after="0" w:line="240" w:lineRule="auto"/>
        <w:rPr>
          <w:rFonts w:ascii="Times New Roman" w:hAnsi="Times New Roman" w:cs="Times New Roman"/>
          <w:b/>
          <w:sz w:val="24"/>
          <w:szCs w:val="24"/>
        </w:rPr>
      </w:pPr>
    </w:p>
    <w:p w14:paraId="3D4E7A5C" w14:textId="77777777" w:rsidR="009B45DB" w:rsidRPr="009E7A97" w:rsidRDefault="009B45DB">
      <w:pPr>
        <w:spacing w:after="0" w:line="240" w:lineRule="auto"/>
        <w:rPr>
          <w:rFonts w:ascii="Times New Roman" w:hAnsi="Times New Roman" w:cs="Times New Roman"/>
          <w:b/>
          <w:sz w:val="24"/>
          <w:szCs w:val="24"/>
        </w:rPr>
      </w:pPr>
    </w:p>
    <w:p w14:paraId="06B8F052" w14:textId="77777777" w:rsidR="009B45DB" w:rsidRPr="009E7A97" w:rsidRDefault="009B45DB">
      <w:pPr>
        <w:spacing w:after="0" w:line="240" w:lineRule="auto"/>
        <w:rPr>
          <w:rFonts w:ascii="Times New Roman" w:hAnsi="Times New Roman" w:cs="Times New Roman"/>
          <w:b/>
          <w:sz w:val="24"/>
          <w:szCs w:val="24"/>
        </w:rPr>
      </w:pPr>
    </w:p>
    <w:p w14:paraId="7FE8258B" w14:textId="77777777" w:rsidR="009B45DB" w:rsidRPr="009E7A97" w:rsidRDefault="009B45DB">
      <w:pPr>
        <w:spacing w:after="0" w:line="240" w:lineRule="auto"/>
        <w:rPr>
          <w:rFonts w:ascii="Times New Roman" w:hAnsi="Times New Roman" w:cs="Times New Roman"/>
          <w:b/>
          <w:sz w:val="24"/>
          <w:szCs w:val="24"/>
        </w:rPr>
      </w:pPr>
    </w:p>
    <w:p w14:paraId="07F548B3" w14:textId="77777777" w:rsidR="009B45DB" w:rsidRPr="009E7A97" w:rsidRDefault="009B45DB">
      <w:pPr>
        <w:spacing w:after="0" w:line="240" w:lineRule="auto"/>
        <w:rPr>
          <w:rFonts w:ascii="Times New Roman" w:hAnsi="Times New Roman" w:cs="Times New Roman"/>
          <w:b/>
          <w:sz w:val="24"/>
          <w:szCs w:val="24"/>
        </w:rPr>
      </w:pPr>
    </w:p>
    <w:p w14:paraId="67F2B099" w14:textId="77777777" w:rsidR="009B45DB" w:rsidRPr="009E7A97" w:rsidRDefault="009B45DB">
      <w:pPr>
        <w:spacing w:after="0" w:line="240" w:lineRule="auto"/>
        <w:rPr>
          <w:rFonts w:ascii="Times New Roman" w:hAnsi="Times New Roman" w:cs="Times New Roman"/>
          <w:b/>
          <w:sz w:val="24"/>
          <w:szCs w:val="24"/>
        </w:rPr>
      </w:pPr>
    </w:p>
    <w:p w14:paraId="646DD8E9" w14:textId="77777777" w:rsidR="009B45DB" w:rsidRPr="009E7A97" w:rsidRDefault="009B45DB">
      <w:pPr>
        <w:spacing w:after="0" w:line="240" w:lineRule="auto"/>
        <w:rPr>
          <w:rFonts w:ascii="Times New Roman" w:hAnsi="Times New Roman" w:cs="Times New Roman"/>
          <w:b/>
          <w:sz w:val="24"/>
          <w:szCs w:val="24"/>
        </w:rPr>
      </w:pPr>
    </w:p>
    <w:p w14:paraId="65276218" w14:textId="77777777" w:rsidR="009B45DB" w:rsidRPr="009E7A97" w:rsidRDefault="009B45DB">
      <w:pPr>
        <w:spacing w:after="0" w:line="240" w:lineRule="auto"/>
        <w:rPr>
          <w:rFonts w:ascii="Times New Roman" w:hAnsi="Times New Roman" w:cs="Times New Roman"/>
          <w:b/>
          <w:sz w:val="24"/>
          <w:szCs w:val="24"/>
        </w:rPr>
      </w:pPr>
    </w:p>
    <w:p w14:paraId="32EB31CC" w14:textId="77777777" w:rsidR="009B45DB" w:rsidRPr="009E7A97" w:rsidRDefault="009B45DB">
      <w:pPr>
        <w:spacing w:after="0" w:line="240" w:lineRule="auto"/>
        <w:rPr>
          <w:rFonts w:ascii="Times New Roman" w:hAnsi="Times New Roman" w:cs="Times New Roman"/>
          <w:b/>
          <w:sz w:val="24"/>
          <w:szCs w:val="24"/>
        </w:rPr>
      </w:pPr>
    </w:p>
    <w:p w14:paraId="03E23B5A" w14:textId="77777777" w:rsidR="009B45DB" w:rsidRPr="009E7A97" w:rsidRDefault="009B45DB">
      <w:pPr>
        <w:spacing w:after="0" w:line="240" w:lineRule="auto"/>
        <w:rPr>
          <w:rFonts w:ascii="Times New Roman" w:hAnsi="Times New Roman" w:cs="Times New Roman"/>
          <w:b/>
          <w:sz w:val="24"/>
          <w:szCs w:val="24"/>
        </w:rPr>
      </w:pPr>
    </w:p>
    <w:p w14:paraId="190B8FD0" w14:textId="77777777" w:rsidR="009B45DB" w:rsidRPr="009E7A97" w:rsidRDefault="009B45DB">
      <w:pPr>
        <w:spacing w:after="0" w:line="240" w:lineRule="auto"/>
        <w:rPr>
          <w:rFonts w:ascii="Times New Roman" w:hAnsi="Times New Roman" w:cs="Times New Roman"/>
          <w:b/>
          <w:sz w:val="24"/>
          <w:szCs w:val="24"/>
        </w:rPr>
      </w:pPr>
    </w:p>
    <w:p w14:paraId="6B98E72A" w14:textId="77777777" w:rsidR="009B45DB" w:rsidRPr="009E7A97" w:rsidRDefault="009B45DB">
      <w:pPr>
        <w:spacing w:after="0" w:line="240" w:lineRule="auto"/>
        <w:rPr>
          <w:rFonts w:ascii="Times New Roman" w:hAnsi="Times New Roman" w:cs="Times New Roman"/>
          <w:b/>
          <w:sz w:val="24"/>
          <w:szCs w:val="24"/>
        </w:rPr>
      </w:pPr>
    </w:p>
    <w:p w14:paraId="63E936D5" w14:textId="77777777" w:rsidR="009B45DB" w:rsidRPr="009E7A97" w:rsidRDefault="009B45DB">
      <w:pPr>
        <w:spacing w:after="0" w:line="240" w:lineRule="auto"/>
        <w:rPr>
          <w:rFonts w:ascii="Times New Roman" w:hAnsi="Times New Roman" w:cs="Times New Roman"/>
          <w:b/>
          <w:sz w:val="24"/>
          <w:szCs w:val="24"/>
        </w:rPr>
      </w:pPr>
    </w:p>
    <w:p w14:paraId="04E97DE5" w14:textId="77777777" w:rsidR="009B45DB" w:rsidRPr="009E7A97" w:rsidRDefault="009B45DB">
      <w:pPr>
        <w:spacing w:after="0" w:line="240" w:lineRule="auto"/>
        <w:rPr>
          <w:rFonts w:ascii="Times New Roman" w:hAnsi="Times New Roman" w:cs="Times New Roman"/>
          <w:b/>
          <w:sz w:val="24"/>
          <w:szCs w:val="24"/>
        </w:rPr>
      </w:pPr>
    </w:p>
    <w:p w14:paraId="0C8F7EFB" w14:textId="77777777" w:rsidR="009B45DB" w:rsidRPr="009E7A97" w:rsidRDefault="00412180">
      <w:pPr>
        <w:rPr>
          <w:rFonts w:ascii="Times New Roman" w:hAnsi="Times New Roman" w:cs="Times New Roman"/>
          <w:b/>
          <w:sz w:val="24"/>
          <w:szCs w:val="24"/>
        </w:rPr>
      </w:pPr>
      <w:r w:rsidRPr="009E7A97">
        <w:rPr>
          <w:rFonts w:ascii="Times New Roman" w:hAnsi="Times New Roman" w:cs="Times New Roman"/>
          <w:b/>
          <w:sz w:val="24"/>
          <w:szCs w:val="24"/>
        </w:rPr>
        <w:t>Table 4: Pattern of Motor Coordination and Balance Using Beam Walk Test Week 8-12</w:t>
      </w:r>
    </w:p>
    <w:tbl>
      <w:tblPr>
        <w:tblStyle w:val="LightShading2"/>
        <w:tblpPr w:leftFromText="180" w:rightFromText="180" w:vertAnchor="text" w:horzAnchor="page" w:tblpX="704" w:tblpY="578"/>
        <w:tblOverlap w:val="never"/>
        <w:tblW w:w="11371" w:type="dxa"/>
        <w:tblLayout w:type="fixed"/>
        <w:tblLook w:val="04A0" w:firstRow="1" w:lastRow="0" w:firstColumn="1" w:lastColumn="0" w:noHBand="0" w:noVBand="1"/>
      </w:tblPr>
      <w:tblGrid>
        <w:gridCol w:w="1400"/>
        <w:gridCol w:w="1206"/>
        <w:gridCol w:w="836"/>
        <w:gridCol w:w="928"/>
        <w:gridCol w:w="1021"/>
        <w:gridCol w:w="928"/>
        <w:gridCol w:w="928"/>
        <w:gridCol w:w="1206"/>
        <w:gridCol w:w="928"/>
        <w:gridCol w:w="1114"/>
        <w:gridCol w:w="876"/>
      </w:tblGrid>
      <w:tr w:rsidR="009B45DB" w:rsidRPr="009E7A97" w14:paraId="1375F0A2" w14:textId="77777777" w:rsidTr="009B45DB">
        <w:trPr>
          <w:cnfStyle w:val="100000000000" w:firstRow="1" w:lastRow="0" w:firstColumn="0" w:lastColumn="0" w:oddVBand="0" w:evenVBand="0" w:oddHBand="0"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400" w:type="dxa"/>
          </w:tcPr>
          <w:p w14:paraId="78070CEA" w14:textId="77777777" w:rsidR="009B45DB" w:rsidRPr="009E7A97" w:rsidRDefault="00412180">
            <w:pPr>
              <w:spacing w:after="0"/>
              <w:rPr>
                <w:rFonts w:ascii="Times New Roman" w:hAnsi="Times New Roman" w:cs="Times New Roman"/>
                <w:sz w:val="18"/>
                <w:szCs w:val="18"/>
              </w:rPr>
            </w:pPr>
            <w:r w:rsidRPr="009E7A97">
              <w:rPr>
                <w:rFonts w:ascii="Times New Roman" w:hAnsi="Times New Roman" w:cs="Times New Roman"/>
                <w:sz w:val="18"/>
                <w:szCs w:val="18"/>
              </w:rPr>
              <w:t xml:space="preserve">Groups </w:t>
            </w:r>
          </w:p>
        </w:tc>
        <w:tc>
          <w:tcPr>
            <w:tcW w:w="1206" w:type="dxa"/>
          </w:tcPr>
          <w:p w14:paraId="418773E1"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Week8</w:t>
            </w:r>
          </w:p>
          <w:p w14:paraId="047556C8"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xml:space="preserve">Time </w:t>
            </w:r>
            <w:r w:rsidRPr="009E7A97">
              <w:rPr>
                <w:rFonts w:ascii="Times New Roman" w:hAnsi="Times New Roman" w:cs="Times New Roman"/>
                <w:sz w:val="18"/>
                <w:szCs w:val="18"/>
              </w:rPr>
              <w:t>(Sec.)</w:t>
            </w:r>
          </w:p>
        </w:tc>
        <w:tc>
          <w:tcPr>
            <w:tcW w:w="836" w:type="dxa"/>
          </w:tcPr>
          <w:p w14:paraId="248EFA8B"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928" w:type="dxa"/>
          </w:tcPr>
          <w:p w14:paraId="1C2E6FB4"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Week9</w:t>
            </w:r>
          </w:p>
          <w:p w14:paraId="3C8011A0"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1021" w:type="dxa"/>
          </w:tcPr>
          <w:p w14:paraId="1830FAAC"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928" w:type="dxa"/>
          </w:tcPr>
          <w:p w14:paraId="2A0D6044"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Week10</w:t>
            </w:r>
          </w:p>
          <w:p w14:paraId="5E32EAFD"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928" w:type="dxa"/>
          </w:tcPr>
          <w:p w14:paraId="626DE764"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1206" w:type="dxa"/>
          </w:tcPr>
          <w:p w14:paraId="2D52CE5B"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Week11</w:t>
            </w:r>
          </w:p>
          <w:p w14:paraId="5CC34988"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928" w:type="dxa"/>
          </w:tcPr>
          <w:p w14:paraId="4AE8C364"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c>
          <w:tcPr>
            <w:tcW w:w="1114" w:type="dxa"/>
          </w:tcPr>
          <w:p w14:paraId="5E9CBD20"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Week12</w:t>
            </w:r>
          </w:p>
          <w:p w14:paraId="3E1060BF" w14:textId="77777777" w:rsidR="009B45DB" w:rsidRPr="009E7A97" w:rsidRDefault="00412180">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Time (Sec.)</w:t>
            </w:r>
          </w:p>
        </w:tc>
        <w:tc>
          <w:tcPr>
            <w:tcW w:w="876" w:type="dxa"/>
          </w:tcPr>
          <w:p w14:paraId="155C5D5A"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differences</w:t>
            </w:r>
          </w:p>
        </w:tc>
      </w:tr>
      <w:tr w:rsidR="009B45DB" w:rsidRPr="009E7A97" w14:paraId="4BE58885" w14:textId="77777777" w:rsidTr="009B45DB">
        <w:trPr>
          <w:trHeight w:val="385"/>
        </w:trPr>
        <w:tc>
          <w:tcPr>
            <w:cnfStyle w:val="001000000000" w:firstRow="0" w:lastRow="0" w:firstColumn="1" w:lastColumn="0" w:oddVBand="0" w:evenVBand="0" w:oddHBand="0" w:evenHBand="0" w:firstRowFirstColumn="0" w:firstRowLastColumn="0" w:lastRowFirstColumn="0" w:lastRowLastColumn="0"/>
            <w:tcW w:w="1400" w:type="dxa"/>
            <w:tcBorders>
              <w:left w:val="nil"/>
              <w:right w:val="nil"/>
            </w:tcBorders>
            <w:shd w:val="clear" w:color="auto" w:fill="C0C0C0"/>
          </w:tcPr>
          <w:p w14:paraId="2E9D2D67"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Group1</w:t>
            </w:r>
          </w:p>
          <w:p w14:paraId="5EE384E2"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(control group)</w:t>
            </w:r>
          </w:p>
        </w:tc>
        <w:tc>
          <w:tcPr>
            <w:tcW w:w="1206" w:type="dxa"/>
            <w:tcBorders>
              <w:right w:val="nil"/>
            </w:tcBorders>
            <w:shd w:val="clear" w:color="auto" w:fill="C0C0C0"/>
          </w:tcPr>
          <w:p w14:paraId="596DC258"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38.00±5.64</w:t>
            </w:r>
          </w:p>
        </w:tc>
        <w:tc>
          <w:tcPr>
            <w:tcW w:w="836" w:type="dxa"/>
            <w:tcBorders>
              <w:right w:val="nil"/>
            </w:tcBorders>
            <w:shd w:val="clear" w:color="auto" w:fill="C0C0C0"/>
          </w:tcPr>
          <w:p w14:paraId="62C5878D"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928" w:type="dxa"/>
            <w:tcBorders>
              <w:right w:val="nil"/>
            </w:tcBorders>
            <w:shd w:val="clear" w:color="auto" w:fill="C0C0C0"/>
          </w:tcPr>
          <w:p w14:paraId="4EEE2767"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31.60±6.41</w:t>
            </w:r>
          </w:p>
        </w:tc>
        <w:tc>
          <w:tcPr>
            <w:tcW w:w="1021" w:type="dxa"/>
            <w:tcBorders>
              <w:right w:val="nil"/>
            </w:tcBorders>
            <w:shd w:val="clear" w:color="auto" w:fill="C0C0C0"/>
          </w:tcPr>
          <w:p w14:paraId="216A8BF0"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928" w:type="dxa"/>
            <w:tcBorders>
              <w:right w:val="nil"/>
            </w:tcBorders>
            <w:shd w:val="clear" w:color="auto" w:fill="C0C0C0"/>
          </w:tcPr>
          <w:p w14:paraId="0F8730C9"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43.00±0.00</w:t>
            </w:r>
          </w:p>
        </w:tc>
        <w:tc>
          <w:tcPr>
            <w:tcW w:w="928" w:type="dxa"/>
            <w:tcBorders>
              <w:right w:val="nil"/>
            </w:tcBorders>
            <w:shd w:val="clear" w:color="auto" w:fill="C0C0C0"/>
          </w:tcPr>
          <w:p w14:paraId="50674425"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1206" w:type="dxa"/>
            <w:tcBorders>
              <w:right w:val="nil"/>
            </w:tcBorders>
            <w:shd w:val="clear" w:color="auto" w:fill="C0C0C0"/>
          </w:tcPr>
          <w:p w14:paraId="24AE10F7"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24.40±4.63</w:t>
            </w:r>
          </w:p>
        </w:tc>
        <w:tc>
          <w:tcPr>
            <w:tcW w:w="928" w:type="dxa"/>
            <w:tcBorders>
              <w:right w:val="nil"/>
            </w:tcBorders>
            <w:shd w:val="clear" w:color="auto" w:fill="C0C0C0"/>
          </w:tcPr>
          <w:p w14:paraId="44CD9F2F"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1114" w:type="dxa"/>
            <w:tcBorders>
              <w:right w:val="nil"/>
            </w:tcBorders>
            <w:shd w:val="clear" w:color="auto" w:fill="C0C0C0"/>
          </w:tcPr>
          <w:p w14:paraId="1F60A48B"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25.80±8.20</w:t>
            </w:r>
          </w:p>
        </w:tc>
        <w:tc>
          <w:tcPr>
            <w:tcW w:w="876" w:type="dxa"/>
            <w:tcBorders>
              <w:right w:val="nil"/>
            </w:tcBorders>
            <w:shd w:val="clear" w:color="auto" w:fill="C0C0C0"/>
          </w:tcPr>
          <w:p w14:paraId="59953380"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r>
      <w:tr w:rsidR="009B45DB" w:rsidRPr="009E7A97" w14:paraId="2CCCB4D3" w14:textId="77777777" w:rsidTr="009B45DB">
        <w:trPr>
          <w:trHeight w:val="385"/>
        </w:trPr>
        <w:tc>
          <w:tcPr>
            <w:cnfStyle w:val="001000000000" w:firstRow="0" w:lastRow="0" w:firstColumn="1" w:lastColumn="0" w:oddVBand="0" w:evenVBand="0" w:oddHBand="0" w:evenHBand="0" w:firstRowFirstColumn="0" w:firstRowLastColumn="0" w:lastRowFirstColumn="0" w:lastRowLastColumn="0"/>
            <w:tcW w:w="1400" w:type="dxa"/>
          </w:tcPr>
          <w:p w14:paraId="3FB33A0C"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 xml:space="preserve">Group2 </w:t>
            </w:r>
            <w:r w:rsidRPr="009E7A97">
              <w:rPr>
                <w:rFonts w:ascii="Times New Roman" w:hAnsi="Times New Roman" w:cs="Times New Roman"/>
                <w:sz w:val="18"/>
                <w:szCs w:val="18"/>
              </w:rPr>
              <w:t>(Scopolamine only)</w:t>
            </w:r>
          </w:p>
        </w:tc>
        <w:tc>
          <w:tcPr>
            <w:tcW w:w="1206" w:type="dxa"/>
          </w:tcPr>
          <w:p w14:paraId="59C6AF21"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170.80±5.33</w:t>
            </w:r>
          </w:p>
        </w:tc>
        <w:tc>
          <w:tcPr>
            <w:tcW w:w="836" w:type="dxa"/>
          </w:tcPr>
          <w:p w14:paraId="36397DD9"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347.3</w:t>
            </w:r>
          </w:p>
        </w:tc>
        <w:tc>
          <w:tcPr>
            <w:tcW w:w="928" w:type="dxa"/>
          </w:tcPr>
          <w:p w14:paraId="569DC725"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208.60±5.32</w:t>
            </w:r>
          </w:p>
        </w:tc>
        <w:tc>
          <w:tcPr>
            <w:tcW w:w="1021" w:type="dxa"/>
          </w:tcPr>
          <w:p w14:paraId="7DEDC40F"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570</w:t>
            </w:r>
          </w:p>
        </w:tc>
        <w:tc>
          <w:tcPr>
            <w:tcW w:w="928" w:type="dxa"/>
          </w:tcPr>
          <w:p w14:paraId="258769B0"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199.60±6.53</w:t>
            </w:r>
          </w:p>
        </w:tc>
        <w:tc>
          <w:tcPr>
            <w:tcW w:w="928" w:type="dxa"/>
          </w:tcPr>
          <w:p w14:paraId="56EE50B0"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362.7</w:t>
            </w:r>
          </w:p>
        </w:tc>
        <w:tc>
          <w:tcPr>
            <w:tcW w:w="1206" w:type="dxa"/>
          </w:tcPr>
          <w:p w14:paraId="0F9A6248"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285.20±7.30</w:t>
            </w:r>
          </w:p>
        </w:tc>
        <w:tc>
          <w:tcPr>
            <w:tcW w:w="928" w:type="dxa"/>
          </w:tcPr>
          <w:p w14:paraId="30B91EAD"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1087.5</w:t>
            </w:r>
          </w:p>
        </w:tc>
        <w:tc>
          <w:tcPr>
            <w:tcW w:w="1114" w:type="dxa"/>
          </w:tcPr>
          <w:p w14:paraId="48DAA75E"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300.00±0.0</w:t>
            </w:r>
          </w:p>
        </w:tc>
        <w:tc>
          <w:tcPr>
            <w:tcW w:w="876" w:type="dxa"/>
          </w:tcPr>
          <w:p w14:paraId="075396CC"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1100</w:t>
            </w:r>
          </w:p>
        </w:tc>
      </w:tr>
      <w:tr w:rsidR="009B45DB" w:rsidRPr="009E7A97" w14:paraId="0780B640" w14:textId="77777777" w:rsidTr="009B45DB">
        <w:trPr>
          <w:trHeight w:val="385"/>
        </w:trPr>
        <w:tc>
          <w:tcPr>
            <w:cnfStyle w:val="001000000000" w:firstRow="0" w:lastRow="0" w:firstColumn="1" w:lastColumn="0" w:oddVBand="0" w:evenVBand="0" w:oddHBand="0" w:evenHBand="0" w:firstRowFirstColumn="0" w:firstRowLastColumn="0" w:lastRowFirstColumn="0" w:lastRowLastColumn="0"/>
            <w:tcW w:w="1400" w:type="dxa"/>
            <w:tcBorders>
              <w:left w:val="nil"/>
              <w:right w:val="nil"/>
            </w:tcBorders>
            <w:shd w:val="clear" w:color="auto" w:fill="C0C0C0"/>
          </w:tcPr>
          <w:p w14:paraId="4441DCA4"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Group3</w:t>
            </w:r>
          </w:p>
          <w:p w14:paraId="2DBA5F30"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 xml:space="preserve">(Scopolamine &amp; 5 mg/kg </w:t>
            </w:r>
            <w:proofErr w:type="spellStart"/>
            <w:r w:rsidRPr="009E7A97">
              <w:rPr>
                <w:rFonts w:ascii="Times New Roman" w:hAnsi="Times New Roman" w:cs="Times New Roman"/>
                <w:sz w:val="18"/>
                <w:szCs w:val="18"/>
              </w:rPr>
              <w:t>Donpezil</w:t>
            </w:r>
            <w:proofErr w:type="spellEnd"/>
            <w:r w:rsidRPr="009E7A97">
              <w:rPr>
                <w:rFonts w:ascii="Times New Roman" w:hAnsi="Times New Roman" w:cs="Times New Roman"/>
                <w:sz w:val="18"/>
                <w:szCs w:val="18"/>
              </w:rPr>
              <w:t>)</w:t>
            </w:r>
          </w:p>
        </w:tc>
        <w:tc>
          <w:tcPr>
            <w:tcW w:w="1206" w:type="dxa"/>
            <w:tcBorders>
              <w:right w:val="nil"/>
            </w:tcBorders>
            <w:shd w:val="clear" w:color="auto" w:fill="C0C0C0"/>
          </w:tcPr>
          <w:p w14:paraId="61E28595"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190.80±8.12</w:t>
            </w:r>
          </w:p>
        </w:tc>
        <w:tc>
          <w:tcPr>
            <w:tcW w:w="836" w:type="dxa"/>
            <w:tcBorders>
              <w:right w:val="nil"/>
            </w:tcBorders>
            <w:shd w:val="clear" w:color="auto" w:fill="C0C0C0"/>
          </w:tcPr>
          <w:p w14:paraId="4A2B9A77"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400</w:t>
            </w:r>
          </w:p>
        </w:tc>
        <w:tc>
          <w:tcPr>
            <w:tcW w:w="928" w:type="dxa"/>
            <w:tcBorders>
              <w:right w:val="nil"/>
            </w:tcBorders>
            <w:shd w:val="clear" w:color="auto" w:fill="C0C0C0"/>
          </w:tcPr>
          <w:p w14:paraId="05D1B24F"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115.20±8.55</w:t>
            </w:r>
          </w:p>
        </w:tc>
        <w:tc>
          <w:tcPr>
            <w:tcW w:w="1021" w:type="dxa"/>
            <w:tcBorders>
              <w:right w:val="nil"/>
            </w:tcBorders>
            <w:shd w:val="clear" w:color="auto" w:fill="C0C0C0"/>
          </w:tcPr>
          <w:p w14:paraId="58B22377"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270.9</w:t>
            </w:r>
          </w:p>
        </w:tc>
        <w:tc>
          <w:tcPr>
            <w:tcW w:w="928" w:type="dxa"/>
            <w:tcBorders>
              <w:right w:val="nil"/>
            </w:tcBorders>
            <w:shd w:val="clear" w:color="auto" w:fill="C0C0C0"/>
          </w:tcPr>
          <w:p w14:paraId="450770DC"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95.80*±3.62</w:t>
            </w:r>
          </w:p>
        </w:tc>
        <w:tc>
          <w:tcPr>
            <w:tcW w:w="928" w:type="dxa"/>
            <w:tcBorders>
              <w:right w:val="nil"/>
            </w:tcBorders>
            <w:shd w:val="clear" w:color="auto" w:fill="C0C0C0"/>
          </w:tcPr>
          <w:p w14:paraId="49817F96"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120.9</w:t>
            </w:r>
          </w:p>
        </w:tc>
        <w:tc>
          <w:tcPr>
            <w:tcW w:w="1206" w:type="dxa"/>
            <w:tcBorders>
              <w:right w:val="nil"/>
            </w:tcBorders>
            <w:shd w:val="clear" w:color="auto" w:fill="C0C0C0"/>
          </w:tcPr>
          <w:p w14:paraId="08088B44"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300.00±0.00</w:t>
            </w:r>
          </w:p>
        </w:tc>
        <w:tc>
          <w:tcPr>
            <w:tcW w:w="928" w:type="dxa"/>
            <w:tcBorders>
              <w:right w:val="nil"/>
            </w:tcBorders>
            <w:shd w:val="clear" w:color="auto" w:fill="C0C0C0"/>
          </w:tcPr>
          <w:p w14:paraId="4AD36726"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1150</w:t>
            </w:r>
          </w:p>
        </w:tc>
        <w:tc>
          <w:tcPr>
            <w:tcW w:w="1114" w:type="dxa"/>
            <w:tcBorders>
              <w:right w:val="nil"/>
            </w:tcBorders>
            <w:shd w:val="clear" w:color="auto" w:fill="C0C0C0"/>
          </w:tcPr>
          <w:p w14:paraId="2B290688"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300.00±0.000</w:t>
            </w:r>
          </w:p>
        </w:tc>
        <w:tc>
          <w:tcPr>
            <w:tcW w:w="876" w:type="dxa"/>
            <w:tcBorders>
              <w:right w:val="nil"/>
            </w:tcBorders>
            <w:shd w:val="clear" w:color="auto" w:fill="C0C0C0"/>
          </w:tcPr>
          <w:p w14:paraId="5FEC4E32"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1100</w:t>
            </w:r>
          </w:p>
        </w:tc>
      </w:tr>
      <w:tr w:rsidR="009B45DB" w:rsidRPr="009E7A97" w14:paraId="2B003633" w14:textId="77777777" w:rsidTr="009B45DB">
        <w:trPr>
          <w:trHeight w:val="361"/>
        </w:trPr>
        <w:tc>
          <w:tcPr>
            <w:cnfStyle w:val="001000000000" w:firstRow="0" w:lastRow="0" w:firstColumn="1" w:lastColumn="0" w:oddVBand="0" w:evenVBand="0" w:oddHBand="0" w:evenHBand="0" w:firstRowFirstColumn="0" w:firstRowLastColumn="0" w:lastRowFirstColumn="0" w:lastRowLastColumn="0"/>
            <w:tcW w:w="1400" w:type="dxa"/>
          </w:tcPr>
          <w:p w14:paraId="6FDC5FCF"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Group4</w:t>
            </w:r>
          </w:p>
          <w:p w14:paraId="745468A1"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(Scopolamine &amp;</w:t>
            </w:r>
            <w:r w:rsidRPr="009E7A97">
              <w:rPr>
                <w:rFonts w:ascii="Times New Roman" w:hAnsi="Times New Roman" w:cs="Times New Roman"/>
                <w:sz w:val="18"/>
                <w:szCs w:val="18"/>
              </w:rPr>
              <w:t xml:space="preserve"> 100 mg/kg guava)</w:t>
            </w:r>
          </w:p>
        </w:tc>
        <w:tc>
          <w:tcPr>
            <w:tcW w:w="1206" w:type="dxa"/>
          </w:tcPr>
          <w:p w14:paraId="653EDFFF"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53.00±7.99</w:t>
            </w:r>
          </w:p>
        </w:tc>
        <w:tc>
          <w:tcPr>
            <w:tcW w:w="836" w:type="dxa"/>
          </w:tcPr>
          <w:p w14:paraId="38242F0D"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39.4</w:t>
            </w:r>
          </w:p>
        </w:tc>
        <w:tc>
          <w:tcPr>
            <w:tcW w:w="928" w:type="dxa"/>
          </w:tcPr>
          <w:p w14:paraId="5F2DD166"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74.40±6.43</w:t>
            </w:r>
          </w:p>
        </w:tc>
        <w:tc>
          <w:tcPr>
            <w:tcW w:w="1021" w:type="dxa"/>
          </w:tcPr>
          <w:p w14:paraId="7BC7216C"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138.7</w:t>
            </w:r>
          </w:p>
        </w:tc>
        <w:tc>
          <w:tcPr>
            <w:tcW w:w="928" w:type="dxa"/>
          </w:tcPr>
          <w:p w14:paraId="215A379A"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83.60*±5.74</w:t>
            </w:r>
          </w:p>
        </w:tc>
        <w:tc>
          <w:tcPr>
            <w:tcW w:w="928" w:type="dxa"/>
          </w:tcPr>
          <w:p w14:paraId="1D13E318"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93.0</w:t>
            </w:r>
          </w:p>
        </w:tc>
        <w:tc>
          <w:tcPr>
            <w:tcW w:w="1206" w:type="dxa"/>
          </w:tcPr>
          <w:p w14:paraId="1EFBC286"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162.00±7.13</w:t>
            </w:r>
          </w:p>
        </w:tc>
        <w:tc>
          <w:tcPr>
            <w:tcW w:w="928" w:type="dxa"/>
          </w:tcPr>
          <w:p w14:paraId="3B624800"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575</w:t>
            </w:r>
          </w:p>
        </w:tc>
        <w:tc>
          <w:tcPr>
            <w:tcW w:w="1114" w:type="dxa"/>
          </w:tcPr>
          <w:p w14:paraId="4471001E"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200.80±6.34</w:t>
            </w:r>
          </w:p>
        </w:tc>
        <w:tc>
          <w:tcPr>
            <w:tcW w:w="876" w:type="dxa"/>
          </w:tcPr>
          <w:p w14:paraId="3E1E49C1"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700</w:t>
            </w:r>
          </w:p>
        </w:tc>
      </w:tr>
      <w:tr w:rsidR="009B45DB" w:rsidRPr="009E7A97" w14:paraId="66888583" w14:textId="77777777" w:rsidTr="009B45DB">
        <w:trPr>
          <w:trHeight w:val="385"/>
        </w:trPr>
        <w:tc>
          <w:tcPr>
            <w:cnfStyle w:val="001000000000" w:firstRow="0" w:lastRow="0" w:firstColumn="1" w:lastColumn="0" w:oddVBand="0" w:evenVBand="0" w:oddHBand="0" w:evenHBand="0" w:firstRowFirstColumn="0" w:firstRowLastColumn="0" w:lastRowFirstColumn="0" w:lastRowLastColumn="0"/>
            <w:tcW w:w="1400" w:type="dxa"/>
            <w:tcBorders>
              <w:left w:val="nil"/>
              <w:right w:val="nil"/>
            </w:tcBorders>
            <w:shd w:val="clear" w:color="auto" w:fill="C0C0C0"/>
          </w:tcPr>
          <w:p w14:paraId="422C0823"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Group5</w:t>
            </w:r>
          </w:p>
          <w:p w14:paraId="2E40F6BD" w14:textId="77777777" w:rsidR="009B45DB" w:rsidRPr="009E7A97" w:rsidRDefault="00412180">
            <w:pPr>
              <w:spacing w:after="0"/>
              <w:jc w:val="center"/>
              <w:rPr>
                <w:rFonts w:ascii="Times New Roman" w:hAnsi="Times New Roman" w:cs="Times New Roman"/>
                <w:sz w:val="18"/>
                <w:szCs w:val="18"/>
              </w:rPr>
            </w:pPr>
            <w:r w:rsidRPr="009E7A97">
              <w:rPr>
                <w:rFonts w:ascii="Times New Roman" w:hAnsi="Times New Roman" w:cs="Times New Roman"/>
                <w:sz w:val="18"/>
                <w:szCs w:val="18"/>
              </w:rPr>
              <w:t>(Scopolamine &amp; 300mg/kg guava)</w:t>
            </w:r>
          </w:p>
        </w:tc>
        <w:tc>
          <w:tcPr>
            <w:tcW w:w="1206" w:type="dxa"/>
            <w:tcBorders>
              <w:right w:val="nil"/>
            </w:tcBorders>
            <w:shd w:val="clear" w:color="auto" w:fill="C0C0C0"/>
          </w:tcPr>
          <w:p w14:paraId="0D468A34"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89.80±5.93</w:t>
            </w:r>
          </w:p>
        </w:tc>
        <w:tc>
          <w:tcPr>
            <w:tcW w:w="836" w:type="dxa"/>
            <w:tcBorders>
              <w:right w:val="nil"/>
            </w:tcBorders>
            <w:shd w:val="clear" w:color="auto" w:fill="C0C0C0"/>
          </w:tcPr>
          <w:p w14:paraId="6630A2B0"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134.2</w:t>
            </w:r>
          </w:p>
        </w:tc>
        <w:tc>
          <w:tcPr>
            <w:tcW w:w="928" w:type="dxa"/>
            <w:tcBorders>
              <w:right w:val="nil"/>
            </w:tcBorders>
            <w:shd w:val="clear" w:color="auto" w:fill="C0C0C0"/>
          </w:tcPr>
          <w:p w14:paraId="72DE23CF"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184.60±7.67</w:t>
            </w:r>
          </w:p>
        </w:tc>
        <w:tc>
          <w:tcPr>
            <w:tcW w:w="1021" w:type="dxa"/>
            <w:tcBorders>
              <w:right w:val="nil"/>
            </w:tcBorders>
            <w:shd w:val="clear" w:color="auto" w:fill="C0C0C0"/>
          </w:tcPr>
          <w:p w14:paraId="4F10AF4A"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493.5</w:t>
            </w:r>
          </w:p>
        </w:tc>
        <w:tc>
          <w:tcPr>
            <w:tcW w:w="928" w:type="dxa"/>
            <w:tcBorders>
              <w:right w:val="nil"/>
            </w:tcBorders>
            <w:shd w:val="clear" w:color="auto" w:fill="C0C0C0"/>
          </w:tcPr>
          <w:p w14:paraId="4E2183B9"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192.20±6.21</w:t>
            </w:r>
          </w:p>
        </w:tc>
        <w:tc>
          <w:tcPr>
            <w:tcW w:w="928" w:type="dxa"/>
            <w:tcBorders>
              <w:right w:val="nil"/>
            </w:tcBorders>
            <w:shd w:val="clear" w:color="auto" w:fill="C0C0C0"/>
          </w:tcPr>
          <w:p w14:paraId="76C721E0"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346.5</w:t>
            </w:r>
          </w:p>
        </w:tc>
        <w:tc>
          <w:tcPr>
            <w:tcW w:w="1206" w:type="dxa"/>
            <w:tcBorders>
              <w:right w:val="nil"/>
            </w:tcBorders>
            <w:shd w:val="clear" w:color="auto" w:fill="C0C0C0"/>
          </w:tcPr>
          <w:p w14:paraId="506B8E21"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189.20±8.15</w:t>
            </w:r>
          </w:p>
        </w:tc>
        <w:tc>
          <w:tcPr>
            <w:tcW w:w="928" w:type="dxa"/>
            <w:tcBorders>
              <w:right w:val="nil"/>
            </w:tcBorders>
            <w:shd w:val="clear" w:color="auto" w:fill="C0C0C0"/>
          </w:tcPr>
          <w:p w14:paraId="4938564A"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687.5</w:t>
            </w:r>
          </w:p>
        </w:tc>
        <w:tc>
          <w:tcPr>
            <w:tcW w:w="1114" w:type="dxa"/>
            <w:tcBorders>
              <w:right w:val="nil"/>
            </w:tcBorders>
            <w:shd w:val="clear" w:color="auto" w:fill="C0C0C0"/>
          </w:tcPr>
          <w:p w14:paraId="1153279B" w14:textId="77777777" w:rsidR="009B45DB" w:rsidRPr="009E7A97" w:rsidRDefault="00412180">
            <w:pPr>
              <w:spacing w:after="0"/>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212.60±5.69</w:t>
            </w:r>
          </w:p>
        </w:tc>
        <w:tc>
          <w:tcPr>
            <w:tcW w:w="876" w:type="dxa"/>
            <w:tcBorders>
              <w:right w:val="nil"/>
            </w:tcBorders>
            <w:shd w:val="clear" w:color="auto" w:fill="C0C0C0"/>
          </w:tcPr>
          <w:p w14:paraId="3E232D2A" w14:textId="77777777" w:rsidR="009B45DB" w:rsidRPr="009E7A97" w:rsidRDefault="00412180">
            <w:pPr>
              <w:spacing w:after="0"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748</w:t>
            </w:r>
          </w:p>
        </w:tc>
      </w:tr>
    </w:tbl>
    <w:p w14:paraId="1E76E9F4" w14:textId="77777777" w:rsidR="009B45DB" w:rsidRPr="009E7A97" w:rsidRDefault="00412180">
      <w:pPr>
        <w:spacing w:after="0"/>
        <w:rPr>
          <w:rFonts w:ascii="Times New Roman" w:hAnsi="Times New Roman" w:cs="Times New Roman"/>
          <w:b/>
          <w:sz w:val="24"/>
          <w:szCs w:val="24"/>
        </w:rPr>
      </w:pPr>
      <w:r w:rsidRPr="009E7A97">
        <w:rPr>
          <w:rFonts w:ascii="Times New Roman" w:hAnsi="Times New Roman" w:cs="Times New Roman"/>
          <w:sz w:val="24"/>
          <w:szCs w:val="24"/>
        </w:rPr>
        <w:t xml:space="preserve">Means values are </w:t>
      </w:r>
      <w:r w:rsidRPr="009E7A97">
        <w:rPr>
          <w:rFonts w:ascii="Times New Roman" w:hAnsi="Times New Roman" w:cs="Times New Roman"/>
          <w:sz w:val="24"/>
          <w:szCs w:val="24"/>
        </w:rPr>
        <w:t>statistically significant (p≤0.05) when compared to the control group</w:t>
      </w:r>
    </w:p>
    <w:p w14:paraId="52F9F6AD" w14:textId="77777777" w:rsidR="009B45DB" w:rsidRPr="009E7A97" w:rsidRDefault="009B45DB">
      <w:pPr>
        <w:spacing w:after="0"/>
        <w:rPr>
          <w:rFonts w:ascii="Times New Roman" w:hAnsi="Times New Roman" w:cs="Times New Roman"/>
          <w:b/>
          <w:sz w:val="24"/>
          <w:szCs w:val="24"/>
        </w:rPr>
      </w:pPr>
    </w:p>
    <w:p w14:paraId="5A793E29" w14:textId="77777777" w:rsidR="009B45DB" w:rsidRPr="009E7A97" w:rsidRDefault="009B45DB">
      <w:pPr>
        <w:spacing w:after="0"/>
        <w:rPr>
          <w:rFonts w:ascii="Times New Roman" w:hAnsi="Times New Roman" w:cs="Times New Roman"/>
          <w:b/>
          <w:sz w:val="24"/>
          <w:szCs w:val="24"/>
        </w:rPr>
      </w:pPr>
    </w:p>
    <w:p w14:paraId="785299A3" w14:textId="77777777" w:rsidR="009B45DB" w:rsidRPr="009E7A97" w:rsidRDefault="009B45DB">
      <w:pPr>
        <w:spacing w:after="0"/>
        <w:rPr>
          <w:rFonts w:ascii="Times New Roman" w:hAnsi="Times New Roman" w:cs="Times New Roman"/>
          <w:b/>
          <w:sz w:val="24"/>
          <w:szCs w:val="24"/>
        </w:rPr>
      </w:pPr>
    </w:p>
    <w:p w14:paraId="13DCEDE4" w14:textId="77777777" w:rsidR="009B45DB" w:rsidRPr="009E7A97" w:rsidRDefault="009B45DB">
      <w:pPr>
        <w:spacing w:after="0"/>
        <w:rPr>
          <w:rFonts w:ascii="Times New Roman" w:hAnsi="Times New Roman" w:cs="Times New Roman"/>
          <w:b/>
          <w:sz w:val="24"/>
          <w:szCs w:val="24"/>
        </w:rPr>
      </w:pPr>
    </w:p>
    <w:p w14:paraId="1D9EF80E" w14:textId="77777777" w:rsidR="009B45DB" w:rsidRPr="009E7A97" w:rsidRDefault="009B45DB">
      <w:pPr>
        <w:spacing w:after="0"/>
        <w:rPr>
          <w:rFonts w:ascii="Times New Roman" w:hAnsi="Times New Roman" w:cs="Times New Roman"/>
          <w:b/>
          <w:sz w:val="24"/>
          <w:szCs w:val="24"/>
        </w:rPr>
      </w:pPr>
    </w:p>
    <w:p w14:paraId="769EFBB6" w14:textId="77777777" w:rsidR="009B45DB" w:rsidRPr="009E7A97" w:rsidRDefault="009B45DB">
      <w:pPr>
        <w:spacing w:after="0"/>
        <w:rPr>
          <w:rFonts w:ascii="Times New Roman" w:hAnsi="Times New Roman" w:cs="Times New Roman"/>
          <w:b/>
          <w:sz w:val="24"/>
          <w:szCs w:val="24"/>
        </w:rPr>
      </w:pPr>
    </w:p>
    <w:p w14:paraId="4C2B7206" w14:textId="77777777" w:rsidR="009B45DB" w:rsidRPr="009E7A97" w:rsidRDefault="009B45DB">
      <w:pPr>
        <w:spacing w:after="0"/>
        <w:rPr>
          <w:rFonts w:ascii="Times New Roman" w:hAnsi="Times New Roman" w:cs="Times New Roman"/>
          <w:b/>
          <w:sz w:val="24"/>
          <w:szCs w:val="24"/>
        </w:rPr>
      </w:pPr>
    </w:p>
    <w:p w14:paraId="39C2223A" w14:textId="77777777" w:rsidR="009B45DB" w:rsidRPr="009E7A97" w:rsidRDefault="009B45DB">
      <w:pPr>
        <w:spacing w:after="0"/>
        <w:rPr>
          <w:rFonts w:ascii="Times New Roman" w:hAnsi="Times New Roman" w:cs="Times New Roman"/>
          <w:b/>
          <w:sz w:val="24"/>
          <w:szCs w:val="24"/>
        </w:rPr>
      </w:pPr>
    </w:p>
    <w:p w14:paraId="67A7E0F0" w14:textId="77777777" w:rsidR="009B45DB" w:rsidRPr="009E7A97" w:rsidRDefault="009B45DB">
      <w:pPr>
        <w:spacing w:after="0"/>
        <w:rPr>
          <w:rFonts w:ascii="Times New Roman" w:hAnsi="Times New Roman" w:cs="Times New Roman"/>
          <w:b/>
          <w:sz w:val="24"/>
          <w:szCs w:val="24"/>
        </w:rPr>
      </w:pPr>
    </w:p>
    <w:p w14:paraId="2E6D372C" w14:textId="77777777" w:rsidR="009B45DB" w:rsidRPr="009E7A97" w:rsidRDefault="009B45DB">
      <w:pPr>
        <w:spacing w:after="0"/>
        <w:rPr>
          <w:rFonts w:ascii="Times New Roman" w:hAnsi="Times New Roman" w:cs="Times New Roman"/>
          <w:b/>
          <w:sz w:val="24"/>
          <w:szCs w:val="24"/>
        </w:rPr>
      </w:pPr>
    </w:p>
    <w:p w14:paraId="2EEA609D" w14:textId="77777777" w:rsidR="009B45DB" w:rsidRPr="009E7A97" w:rsidRDefault="009B45DB">
      <w:pPr>
        <w:spacing w:after="0"/>
        <w:rPr>
          <w:rFonts w:ascii="Times New Roman" w:hAnsi="Times New Roman" w:cs="Times New Roman"/>
          <w:b/>
          <w:sz w:val="24"/>
          <w:szCs w:val="24"/>
        </w:rPr>
      </w:pPr>
    </w:p>
    <w:p w14:paraId="70892167" w14:textId="77777777" w:rsidR="009B45DB" w:rsidRPr="009E7A97" w:rsidRDefault="009B45DB">
      <w:pPr>
        <w:spacing w:after="0"/>
        <w:rPr>
          <w:rFonts w:ascii="Times New Roman" w:hAnsi="Times New Roman" w:cs="Times New Roman"/>
          <w:b/>
          <w:sz w:val="24"/>
          <w:szCs w:val="24"/>
        </w:rPr>
      </w:pPr>
    </w:p>
    <w:p w14:paraId="57D3595D" w14:textId="77777777" w:rsidR="009B45DB" w:rsidRPr="009E7A97" w:rsidRDefault="009B45DB">
      <w:pPr>
        <w:spacing w:after="0"/>
        <w:rPr>
          <w:rFonts w:ascii="Times New Roman" w:hAnsi="Times New Roman" w:cs="Times New Roman"/>
          <w:b/>
          <w:sz w:val="24"/>
          <w:szCs w:val="24"/>
        </w:rPr>
      </w:pPr>
    </w:p>
    <w:p w14:paraId="621822D2" w14:textId="77777777" w:rsidR="009B45DB" w:rsidRPr="009E7A97" w:rsidRDefault="009B45DB">
      <w:pPr>
        <w:spacing w:after="0"/>
        <w:rPr>
          <w:rFonts w:ascii="Times New Roman" w:hAnsi="Times New Roman" w:cs="Times New Roman"/>
          <w:b/>
          <w:sz w:val="24"/>
          <w:szCs w:val="24"/>
        </w:rPr>
      </w:pPr>
    </w:p>
    <w:p w14:paraId="52FCAA8E" w14:textId="77777777" w:rsidR="009B45DB" w:rsidRPr="009E7A97" w:rsidRDefault="009B45DB">
      <w:pPr>
        <w:spacing w:after="0"/>
        <w:rPr>
          <w:rFonts w:ascii="Times New Roman" w:hAnsi="Times New Roman" w:cs="Times New Roman"/>
          <w:b/>
          <w:sz w:val="24"/>
          <w:szCs w:val="24"/>
        </w:rPr>
      </w:pPr>
    </w:p>
    <w:p w14:paraId="4227E260" w14:textId="77777777" w:rsidR="009B45DB" w:rsidRPr="009E7A97" w:rsidRDefault="009B45DB">
      <w:pPr>
        <w:spacing w:after="0"/>
        <w:rPr>
          <w:rFonts w:ascii="Times New Roman" w:hAnsi="Times New Roman" w:cs="Times New Roman"/>
          <w:b/>
          <w:sz w:val="24"/>
          <w:szCs w:val="24"/>
        </w:rPr>
      </w:pPr>
    </w:p>
    <w:p w14:paraId="0F246015" w14:textId="77777777" w:rsidR="009B45DB" w:rsidRPr="009E7A97" w:rsidRDefault="009B45DB">
      <w:pPr>
        <w:spacing w:after="0"/>
        <w:rPr>
          <w:rFonts w:ascii="Times New Roman" w:hAnsi="Times New Roman" w:cs="Times New Roman"/>
          <w:b/>
          <w:sz w:val="24"/>
          <w:szCs w:val="24"/>
        </w:rPr>
      </w:pPr>
    </w:p>
    <w:p w14:paraId="0186CBFE" w14:textId="77777777" w:rsidR="009B45DB" w:rsidRPr="009E7A97" w:rsidRDefault="009B45DB">
      <w:pPr>
        <w:spacing w:after="0"/>
        <w:rPr>
          <w:rFonts w:ascii="Times New Roman" w:hAnsi="Times New Roman" w:cs="Times New Roman"/>
          <w:b/>
          <w:sz w:val="24"/>
          <w:szCs w:val="24"/>
        </w:rPr>
      </w:pPr>
    </w:p>
    <w:p w14:paraId="2B4C71E4" w14:textId="77777777" w:rsidR="009B45DB" w:rsidRPr="009E7A97" w:rsidRDefault="009B45DB">
      <w:pPr>
        <w:spacing w:after="0"/>
        <w:rPr>
          <w:rFonts w:ascii="Times New Roman" w:hAnsi="Times New Roman" w:cs="Times New Roman"/>
          <w:b/>
          <w:sz w:val="24"/>
          <w:szCs w:val="24"/>
        </w:rPr>
      </w:pPr>
    </w:p>
    <w:p w14:paraId="2EBA0E86" w14:textId="77777777" w:rsidR="009B45DB" w:rsidRPr="009E7A97" w:rsidRDefault="009B45DB">
      <w:pPr>
        <w:spacing w:after="0"/>
        <w:rPr>
          <w:rFonts w:ascii="Times New Roman" w:hAnsi="Times New Roman" w:cs="Times New Roman"/>
          <w:b/>
          <w:sz w:val="24"/>
          <w:szCs w:val="24"/>
        </w:rPr>
      </w:pPr>
    </w:p>
    <w:p w14:paraId="32CBEFBA" w14:textId="77777777" w:rsidR="009B45DB" w:rsidRPr="009E7A97" w:rsidRDefault="009B45DB">
      <w:pPr>
        <w:spacing w:after="0"/>
        <w:rPr>
          <w:rFonts w:ascii="Times New Roman" w:hAnsi="Times New Roman" w:cs="Times New Roman"/>
          <w:b/>
          <w:sz w:val="24"/>
          <w:szCs w:val="24"/>
        </w:rPr>
      </w:pPr>
    </w:p>
    <w:p w14:paraId="54B887E0" w14:textId="77777777" w:rsidR="009B45DB" w:rsidRPr="009E7A97" w:rsidRDefault="009B45DB">
      <w:pPr>
        <w:spacing w:after="0"/>
        <w:rPr>
          <w:rFonts w:ascii="Times New Roman" w:hAnsi="Times New Roman" w:cs="Times New Roman"/>
          <w:b/>
          <w:sz w:val="24"/>
          <w:szCs w:val="24"/>
        </w:rPr>
      </w:pPr>
    </w:p>
    <w:p w14:paraId="464181A4" w14:textId="77777777" w:rsidR="009B45DB" w:rsidRPr="009E7A97" w:rsidRDefault="009B45DB">
      <w:pPr>
        <w:spacing w:after="0"/>
        <w:rPr>
          <w:rFonts w:ascii="Times New Roman" w:hAnsi="Times New Roman" w:cs="Times New Roman"/>
          <w:b/>
          <w:sz w:val="24"/>
          <w:szCs w:val="24"/>
        </w:rPr>
      </w:pPr>
    </w:p>
    <w:p w14:paraId="5A1749E4" w14:textId="77777777" w:rsidR="009B45DB" w:rsidRPr="009E7A97" w:rsidRDefault="00412180">
      <w:pPr>
        <w:spacing w:after="0"/>
        <w:rPr>
          <w:rFonts w:ascii="Times New Roman" w:hAnsi="Times New Roman" w:cs="Times New Roman"/>
          <w:b/>
          <w:sz w:val="24"/>
          <w:szCs w:val="24"/>
        </w:rPr>
      </w:pPr>
      <w:r w:rsidRPr="009E7A97">
        <w:rPr>
          <w:rFonts w:ascii="Times New Roman" w:hAnsi="Times New Roman" w:cs="Times New Roman"/>
          <w:b/>
          <w:sz w:val="24"/>
          <w:szCs w:val="24"/>
        </w:rPr>
        <w:t xml:space="preserve">Brains biomarkers of </w:t>
      </w:r>
      <w:proofErr w:type="spellStart"/>
      <w:r w:rsidRPr="009E7A97">
        <w:rPr>
          <w:rFonts w:ascii="Times New Roman" w:hAnsi="Times New Roman" w:cs="Times New Roman"/>
          <w:b/>
          <w:sz w:val="24"/>
          <w:szCs w:val="24"/>
        </w:rPr>
        <w:t>psiduim</w:t>
      </w:r>
      <w:proofErr w:type="spellEnd"/>
      <w:r w:rsidRPr="009E7A97">
        <w:rPr>
          <w:rFonts w:ascii="Times New Roman" w:hAnsi="Times New Roman" w:cs="Times New Roman"/>
          <w:b/>
          <w:sz w:val="24"/>
          <w:szCs w:val="24"/>
        </w:rPr>
        <w:t xml:space="preserve"> </w:t>
      </w:r>
      <w:proofErr w:type="spellStart"/>
      <w:r w:rsidRPr="009E7A97">
        <w:rPr>
          <w:rFonts w:ascii="Times New Roman" w:hAnsi="Times New Roman" w:cs="Times New Roman"/>
          <w:b/>
          <w:sz w:val="24"/>
          <w:szCs w:val="24"/>
        </w:rPr>
        <w:t>quavaja</w:t>
      </w:r>
      <w:proofErr w:type="spellEnd"/>
      <w:r w:rsidRPr="009E7A97">
        <w:rPr>
          <w:rFonts w:ascii="Times New Roman" w:hAnsi="Times New Roman" w:cs="Times New Roman"/>
          <w:b/>
          <w:sz w:val="24"/>
          <w:szCs w:val="24"/>
        </w:rPr>
        <w:t xml:space="preserve"> </w:t>
      </w:r>
    </w:p>
    <w:tbl>
      <w:tblPr>
        <w:tblStyle w:val="LightGrid1"/>
        <w:tblpPr w:leftFromText="180" w:rightFromText="180" w:vertAnchor="text" w:horzAnchor="margin" w:tblpXSpec="center" w:tblpY="151"/>
        <w:tblW w:w="11980" w:type="dxa"/>
        <w:tblLayout w:type="fixed"/>
        <w:tblLook w:val="04A0" w:firstRow="1" w:lastRow="0" w:firstColumn="1" w:lastColumn="0" w:noHBand="0" w:noVBand="1"/>
      </w:tblPr>
      <w:tblGrid>
        <w:gridCol w:w="1211"/>
        <w:gridCol w:w="1000"/>
        <w:gridCol w:w="679"/>
        <w:gridCol w:w="1021"/>
        <w:gridCol w:w="779"/>
        <w:gridCol w:w="900"/>
        <w:gridCol w:w="900"/>
        <w:gridCol w:w="990"/>
        <w:gridCol w:w="900"/>
        <w:gridCol w:w="1131"/>
        <w:gridCol w:w="759"/>
        <w:gridCol w:w="900"/>
        <w:gridCol w:w="810"/>
      </w:tblGrid>
      <w:tr w:rsidR="009B45DB" w:rsidRPr="009E7A97" w14:paraId="77F94969" w14:textId="77777777" w:rsidTr="009B45DB">
        <w:trPr>
          <w:cnfStyle w:val="100000000000" w:firstRow="1" w:lastRow="0"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11" w:type="dxa"/>
            <w:tcBorders>
              <w:right w:val="single" w:sz="8" w:space="0" w:color="000000"/>
            </w:tcBorders>
          </w:tcPr>
          <w:p w14:paraId="4A7A9D73" w14:textId="77777777" w:rsidR="009B45DB" w:rsidRPr="009E7A97" w:rsidRDefault="009B45DB">
            <w:pPr>
              <w:spacing w:after="0" w:line="240" w:lineRule="auto"/>
              <w:jc w:val="center"/>
              <w:rPr>
                <w:rFonts w:ascii="Times New Roman" w:eastAsia="SimSun" w:hAnsi="Times New Roman" w:cs="Times New Roman"/>
                <w:sz w:val="18"/>
                <w:szCs w:val="18"/>
              </w:rPr>
            </w:pPr>
          </w:p>
          <w:p w14:paraId="5CF714A6"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Groups/Treatment</w:t>
            </w:r>
          </w:p>
        </w:tc>
        <w:tc>
          <w:tcPr>
            <w:tcW w:w="1000" w:type="dxa"/>
            <w:tcBorders>
              <w:right w:val="single" w:sz="8" w:space="0" w:color="000000"/>
            </w:tcBorders>
          </w:tcPr>
          <w:p w14:paraId="0DE01646"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14 da </w:t>
            </w:r>
            <w:proofErr w:type="spellStart"/>
            <w:r w:rsidRPr="009E7A97">
              <w:rPr>
                <w:rFonts w:ascii="Times New Roman" w:eastAsia="SimSun" w:hAnsi="Times New Roman" w:cs="Times New Roman"/>
                <w:sz w:val="18"/>
                <w:szCs w:val="18"/>
              </w:rPr>
              <w:t>ys</w:t>
            </w:r>
            <w:proofErr w:type="spellEnd"/>
          </w:p>
          <w:p w14:paraId="68C33978"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CAT</w:t>
            </w:r>
          </w:p>
          <w:p w14:paraId="248099B8"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(u/g)</w:t>
            </w:r>
          </w:p>
          <w:p w14:paraId="7495FB9C" w14:textId="77777777" w:rsidR="009B45DB" w:rsidRPr="009E7A97" w:rsidRDefault="009B45D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679" w:type="dxa"/>
            <w:tcBorders>
              <w:right w:val="single" w:sz="8" w:space="0" w:color="000000"/>
            </w:tcBorders>
          </w:tcPr>
          <w:p w14:paraId="38E292B9"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 differences </w:t>
            </w:r>
          </w:p>
        </w:tc>
        <w:tc>
          <w:tcPr>
            <w:tcW w:w="1021" w:type="dxa"/>
            <w:tcBorders>
              <w:right w:val="single" w:sz="8" w:space="0" w:color="000000"/>
            </w:tcBorders>
          </w:tcPr>
          <w:p w14:paraId="67239135"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90 days</w:t>
            </w:r>
          </w:p>
          <w:p w14:paraId="5A867B77"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CAT </w:t>
            </w:r>
          </w:p>
          <w:p w14:paraId="743B5C91"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(u/g)</w:t>
            </w:r>
          </w:p>
          <w:p w14:paraId="245B2CCD" w14:textId="77777777" w:rsidR="009B45DB" w:rsidRPr="009E7A97" w:rsidRDefault="009B45D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779" w:type="dxa"/>
            <w:tcBorders>
              <w:right w:val="single" w:sz="8" w:space="0" w:color="000000"/>
            </w:tcBorders>
          </w:tcPr>
          <w:p w14:paraId="58D26D58"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%differences </w:t>
            </w:r>
          </w:p>
        </w:tc>
        <w:tc>
          <w:tcPr>
            <w:tcW w:w="900" w:type="dxa"/>
            <w:tcBorders>
              <w:right w:val="single" w:sz="8" w:space="0" w:color="000000"/>
            </w:tcBorders>
          </w:tcPr>
          <w:p w14:paraId="1BB99DA4"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14 Days</w:t>
            </w:r>
          </w:p>
          <w:p w14:paraId="3AE159CC"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SOD</w:t>
            </w:r>
          </w:p>
          <w:p w14:paraId="723EA9F1"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(u/ml)</w:t>
            </w:r>
          </w:p>
          <w:p w14:paraId="690A83A6" w14:textId="77777777" w:rsidR="009B45DB" w:rsidRPr="009E7A97" w:rsidRDefault="009B45D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900" w:type="dxa"/>
            <w:tcBorders>
              <w:right w:val="single" w:sz="8" w:space="0" w:color="000000"/>
            </w:tcBorders>
          </w:tcPr>
          <w:p w14:paraId="5369764F"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 differences </w:t>
            </w:r>
          </w:p>
        </w:tc>
        <w:tc>
          <w:tcPr>
            <w:tcW w:w="990" w:type="dxa"/>
            <w:tcBorders>
              <w:right w:val="single" w:sz="8" w:space="0" w:color="000000"/>
            </w:tcBorders>
          </w:tcPr>
          <w:p w14:paraId="0FEC89F9"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90 </w:t>
            </w:r>
            <w:r w:rsidRPr="009E7A97">
              <w:rPr>
                <w:rFonts w:ascii="Times New Roman" w:eastAsia="SimSun" w:hAnsi="Times New Roman" w:cs="Times New Roman"/>
                <w:sz w:val="18"/>
                <w:szCs w:val="18"/>
              </w:rPr>
              <w:t>days</w:t>
            </w:r>
          </w:p>
          <w:p w14:paraId="0075BDB3"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SOD</w:t>
            </w:r>
          </w:p>
          <w:p w14:paraId="3FFB1DE5"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(u/ml)</w:t>
            </w:r>
          </w:p>
          <w:p w14:paraId="1FB6B7EE" w14:textId="77777777" w:rsidR="009B45DB" w:rsidRPr="009E7A97" w:rsidRDefault="009B45DB">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p>
        </w:tc>
        <w:tc>
          <w:tcPr>
            <w:tcW w:w="900" w:type="dxa"/>
            <w:tcBorders>
              <w:right w:val="single" w:sz="8" w:space="0" w:color="000000"/>
            </w:tcBorders>
          </w:tcPr>
          <w:p w14:paraId="3FBAED51"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 differences </w:t>
            </w:r>
          </w:p>
        </w:tc>
        <w:tc>
          <w:tcPr>
            <w:tcW w:w="1131" w:type="dxa"/>
            <w:tcBorders>
              <w:right w:val="single" w:sz="8" w:space="0" w:color="000000"/>
            </w:tcBorders>
          </w:tcPr>
          <w:p w14:paraId="012F1DB0"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14 Days</w:t>
            </w:r>
          </w:p>
          <w:p w14:paraId="07929393"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MDA</w:t>
            </w:r>
          </w:p>
          <w:p w14:paraId="1D342F72"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(U/ml)</w:t>
            </w:r>
          </w:p>
        </w:tc>
        <w:tc>
          <w:tcPr>
            <w:tcW w:w="759" w:type="dxa"/>
            <w:tcBorders>
              <w:right w:val="single" w:sz="8" w:space="0" w:color="000000"/>
            </w:tcBorders>
          </w:tcPr>
          <w:p w14:paraId="760CDA80"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%differences </w:t>
            </w:r>
          </w:p>
        </w:tc>
        <w:tc>
          <w:tcPr>
            <w:tcW w:w="900" w:type="dxa"/>
            <w:tcBorders>
              <w:right w:val="single" w:sz="8" w:space="0" w:color="000000"/>
            </w:tcBorders>
          </w:tcPr>
          <w:p w14:paraId="66275DE4"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90 days</w:t>
            </w:r>
          </w:p>
          <w:p w14:paraId="0F49DFF4"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MDA</w:t>
            </w:r>
          </w:p>
          <w:p w14:paraId="20214B3D"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(Ul/ml)</w:t>
            </w:r>
          </w:p>
        </w:tc>
        <w:tc>
          <w:tcPr>
            <w:tcW w:w="810" w:type="dxa"/>
          </w:tcPr>
          <w:p w14:paraId="38503475" w14:textId="77777777" w:rsidR="009B45DB" w:rsidRPr="009E7A97" w:rsidRDefault="00412180">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 differences </w:t>
            </w:r>
          </w:p>
        </w:tc>
      </w:tr>
      <w:tr w:rsidR="009B45DB" w:rsidRPr="009E7A97" w14:paraId="1391B40A" w14:textId="77777777" w:rsidTr="009B45DB">
        <w:trPr>
          <w:trHeight w:val="498"/>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shd w:val="clear" w:color="auto" w:fill="C0C0C0"/>
          </w:tcPr>
          <w:p w14:paraId="31824A57"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Group1</w:t>
            </w:r>
          </w:p>
          <w:p w14:paraId="6E6AB58F"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(control group)</w:t>
            </w:r>
          </w:p>
        </w:tc>
        <w:tc>
          <w:tcPr>
            <w:tcW w:w="1000" w:type="dxa"/>
            <w:tcBorders>
              <w:top w:val="single" w:sz="8" w:space="0" w:color="000000"/>
              <w:bottom w:val="single" w:sz="8" w:space="0" w:color="000000"/>
              <w:right w:val="single" w:sz="8" w:space="0" w:color="000000"/>
            </w:tcBorders>
            <w:shd w:val="clear" w:color="auto" w:fill="C0C0C0"/>
          </w:tcPr>
          <w:p w14:paraId="0EC41382"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2.38±0.38</w:t>
            </w:r>
          </w:p>
        </w:tc>
        <w:tc>
          <w:tcPr>
            <w:tcW w:w="679" w:type="dxa"/>
            <w:tcBorders>
              <w:top w:val="single" w:sz="8" w:space="0" w:color="000000"/>
              <w:bottom w:val="single" w:sz="8" w:space="0" w:color="000000"/>
              <w:right w:val="single" w:sz="8" w:space="0" w:color="000000"/>
            </w:tcBorders>
            <w:shd w:val="clear" w:color="auto" w:fill="C0C0C0"/>
          </w:tcPr>
          <w:p w14:paraId="132D0CB7"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1021" w:type="dxa"/>
            <w:tcBorders>
              <w:top w:val="single" w:sz="8" w:space="0" w:color="000000"/>
              <w:bottom w:val="single" w:sz="8" w:space="0" w:color="000000"/>
              <w:right w:val="single" w:sz="8" w:space="0" w:color="000000"/>
            </w:tcBorders>
            <w:shd w:val="clear" w:color="auto" w:fill="C0C0C0"/>
          </w:tcPr>
          <w:p w14:paraId="424D7B95"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1.55±0.18</w:t>
            </w:r>
          </w:p>
        </w:tc>
        <w:tc>
          <w:tcPr>
            <w:tcW w:w="779" w:type="dxa"/>
            <w:tcBorders>
              <w:top w:val="single" w:sz="8" w:space="0" w:color="000000"/>
              <w:bottom w:val="single" w:sz="8" w:space="0" w:color="000000"/>
              <w:right w:val="single" w:sz="8" w:space="0" w:color="000000"/>
            </w:tcBorders>
            <w:shd w:val="clear" w:color="auto" w:fill="C0C0C0"/>
          </w:tcPr>
          <w:p w14:paraId="318AD853"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900" w:type="dxa"/>
            <w:tcBorders>
              <w:top w:val="single" w:sz="8" w:space="0" w:color="000000"/>
              <w:bottom w:val="single" w:sz="8" w:space="0" w:color="000000"/>
              <w:right w:val="single" w:sz="8" w:space="0" w:color="000000"/>
            </w:tcBorders>
            <w:shd w:val="clear" w:color="auto" w:fill="C0C0C0"/>
          </w:tcPr>
          <w:p w14:paraId="3699AFC9"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0.41±0.03</w:t>
            </w:r>
          </w:p>
        </w:tc>
        <w:tc>
          <w:tcPr>
            <w:tcW w:w="900" w:type="dxa"/>
            <w:tcBorders>
              <w:top w:val="single" w:sz="8" w:space="0" w:color="000000"/>
              <w:bottom w:val="single" w:sz="8" w:space="0" w:color="000000"/>
              <w:right w:val="single" w:sz="8" w:space="0" w:color="000000"/>
            </w:tcBorders>
            <w:shd w:val="clear" w:color="auto" w:fill="C0C0C0"/>
          </w:tcPr>
          <w:p w14:paraId="40F97E5F"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990" w:type="dxa"/>
            <w:tcBorders>
              <w:top w:val="single" w:sz="8" w:space="0" w:color="000000"/>
              <w:bottom w:val="single" w:sz="8" w:space="0" w:color="000000"/>
              <w:right w:val="single" w:sz="8" w:space="0" w:color="000000"/>
            </w:tcBorders>
            <w:shd w:val="clear" w:color="auto" w:fill="C0C0C0"/>
          </w:tcPr>
          <w:p w14:paraId="3E71DFDF"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0.43±0.03#</w:t>
            </w:r>
          </w:p>
        </w:tc>
        <w:tc>
          <w:tcPr>
            <w:tcW w:w="900" w:type="dxa"/>
            <w:tcBorders>
              <w:top w:val="single" w:sz="8" w:space="0" w:color="000000"/>
              <w:bottom w:val="single" w:sz="8" w:space="0" w:color="000000"/>
              <w:right w:val="single" w:sz="8" w:space="0" w:color="000000"/>
            </w:tcBorders>
            <w:shd w:val="clear" w:color="auto" w:fill="C0C0C0"/>
          </w:tcPr>
          <w:p w14:paraId="31A6544A"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1131" w:type="dxa"/>
            <w:tcBorders>
              <w:top w:val="single" w:sz="8" w:space="0" w:color="000000"/>
              <w:bottom w:val="single" w:sz="8" w:space="0" w:color="000000"/>
              <w:right w:val="single" w:sz="8" w:space="0" w:color="000000"/>
            </w:tcBorders>
            <w:shd w:val="clear" w:color="auto" w:fill="C0C0C0"/>
          </w:tcPr>
          <w:p w14:paraId="54FC7266"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0.34±0.04</w:t>
            </w:r>
          </w:p>
        </w:tc>
        <w:tc>
          <w:tcPr>
            <w:tcW w:w="759" w:type="dxa"/>
            <w:tcBorders>
              <w:top w:val="single" w:sz="8" w:space="0" w:color="000000"/>
              <w:bottom w:val="single" w:sz="8" w:space="0" w:color="000000"/>
              <w:right w:val="single" w:sz="8" w:space="0" w:color="000000"/>
            </w:tcBorders>
            <w:shd w:val="clear" w:color="auto" w:fill="C0C0C0"/>
          </w:tcPr>
          <w:p w14:paraId="73BD92E3"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c>
          <w:tcPr>
            <w:tcW w:w="900" w:type="dxa"/>
            <w:tcBorders>
              <w:top w:val="single" w:sz="8" w:space="0" w:color="000000"/>
              <w:bottom w:val="single" w:sz="8" w:space="0" w:color="000000"/>
              <w:right w:val="single" w:sz="8" w:space="0" w:color="000000"/>
            </w:tcBorders>
            <w:shd w:val="clear" w:color="auto" w:fill="C0C0C0"/>
          </w:tcPr>
          <w:p w14:paraId="4AB8F484"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0.29±0.05#</w:t>
            </w:r>
          </w:p>
        </w:tc>
        <w:tc>
          <w:tcPr>
            <w:tcW w:w="810" w:type="dxa"/>
            <w:tcBorders>
              <w:top w:val="single" w:sz="8" w:space="0" w:color="000000"/>
              <w:bottom w:val="single" w:sz="8" w:space="0" w:color="000000"/>
              <w:right w:val="single" w:sz="8" w:space="0" w:color="000000"/>
            </w:tcBorders>
            <w:shd w:val="clear" w:color="auto" w:fill="C0C0C0"/>
          </w:tcPr>
          <w:p w14:paraId="34895514"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w:t>
            </w:r>
          </w:p>
        </w:tc>
      </w:tr>
      <w:tr w:rsidR="009B45DB" w:rsidRPr="009E7A97" w14:paraId="3E330FFE" w14:textId="77777777" w:rsidTr="009B45DB">
        <w:trPr>
          <w:trHeight w:val="485"/>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tcPr>
          <w:p w14:paraId="57B499F4"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Group2</w:t>
            </w:r>
          </w:p>
          <w:p w14:paraId="468319EE"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(1mg/kg Scopolamine)</w:t>
            </w:r>
          </w:p>
        </w:tc>
        <w:tc>
          <w:tcPr>
            <w:tcW w:w="1000" w:type="dxa"/>
            <w:tcBorders>
              <w:top w:val="single" w:sz="8" w:space="0" w:color="000000"/>
              <w:bottom w:val="single" w:sz="8" w:space="0" w:color="000000"/>
              <w:right w:val="single" w:sz="8" w:space="0" w:color="000000"/>
            </w:tcBorders>
          </w:tcPr>
          <w:p w14:paraId="2E8695B4"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1.95±0.13</w:t>
            </w:r>
          </w:p>
        </w:tc>
        <w:tc>
          <w:tcPr>
            <w:tcW w:w="679" w:type="dxa"/>
            <w:tcBorders>
              <w:top w:val="single" w:sz="8" w:space="0" w:color="000000"/>
              <w:bottom w:val="single" w:sz="8" w:space="0" w:color="000000"/>
              <w:right w:val="single" w:sz="8" w:space="0" w:color="000000"/>
            </w:tcBorders>
          </w:tcPr>
          <w:p w14:paraId="7C29F6D9"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  18</w:t>
            </w:r>
          </w:p>
        </w:tc>
        <w:tc>
          <w:tcPr>
            <w:tcW w:w="1021" w:type="dxa"/>
            <w:tcBorders>
              <w:top w:val="single" w:sz="8" w:space="0" w:color="000000"/>
              <w:bottom w:val="single" w:sz="8" w:space="0" w:color="000000"/>
              <w:right w:val="single" w:sz="8" w:space="0" w:color="000000"/>
            </w:tcBorders>
          </w:tcPr>
          <w:p w14:paraId="70EFE894"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1.30±0,39</w:t>
            </w:r>
          </w:p>
        </w:tc>
        <w:tc>
          <w:tcPr>
            <w:tcW w:w="779" w:type="dxa"/>
            <w:tcBorders>
              <w:top w:val="single" w:sz="8" w:space="0" w:color="000000"/>
              <w:bottom w:val="single" w:sz="8" w:space="0" w:color="000000"/>
              <w:right w:val="single" w:sz="8" w:space="0" w:color="000000"/>
            </w:tcBorders>
          </w:tcPr>
          <w:p w14:paraId="3EBA5872"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-16.1</w:t>
            </w:r>
          </w:p>
        </w:tc>
        <w:tc>
          <w:tcPr>
            <w:tcW w:w="900" w:type="dxa"/>
            <w:tcBorders>
              <w:top w:val="single" w:sz="8" w:space="0" w:color="000000"/>
              <w:bottom w:val="single" w:sz="8" w:space="0" w:color="000000"/>
              <w:right w:val="single" w:sz="8" w:space="0" w:color="000000"/>
            </w:tcBorders>
          </w:tcPr>
          <w:p w14:paraId="0DDFEFCC"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0.28±0.08</w:t>
            </w:r>
          </w:p>
        </w:tc>
        <w:tc>
          <w:tcPr>
            <w:tcW w:w="900" w:type="dxa"/>
            <w:tcBorders>
              <w:top w:val="single" w:sz="8" w:space="0" w:color="000000"/>
              <w:bottom w:val="single" w:sz="8" w:space="0" w:color="000000"/>
              <w:right w:val="single" w:sz="8" w:space="0" w:color="000000"/>
            </w:tcBorders>
          </w:tcPr>
          <w:p w14:paraId="62FF2B8A"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-31.7</w:t>
            </w:r>
          </w:p>
        </w:tc>
        <w:tc>
          <w:tcPr>
            <w:tcW w:w="990" w:type="dxa"/>
            <w:tcBorders>
              <w:top w:val="single" w:sz="8" w:space="0" w:color="000000"/>
              <w:bottom w:val="single" w:sz="8" w:space="0" w:color="000000"/>
              <w:right w:val="single" w:sz="8" w:space="0" w:color="000000"/>
            </w:tcBorders>
          </w:tcPr>
          <w:p w14:paraId="72364371"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0.18±0.04*</w:t>
            </w:r>
          </w:p>
        </w:tc>
        <w:tc>
          <w:tcPr>
            <w:tcW w:w="900" w:type="dxa"/>
            <w:tcBorders>
              <w:top w:val="single" w:sz="8" w:space="0" w:color="000000"/>
              <w:bottom w:val="single" w:sz="8" w:space="0" w:color="000000"/>
              <w:right w:val="single" w:sz="8" w:space="0" w:color="000000"/>
            </w:tcBorders>
          </w:tcPr>
          <w:p w14:paraId="26C63EFD"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-62.5</w:t>
            </w:r>
          </w:p>
        </w:tc>
        <w:tc>
          <w:tcPr>
            <w:tcW w:w="1131" w:type="dxa"/>
            <w:tcBorders>
              <w:top w:val="single" w:sz="8" w:space="0" w:color="000000"/>
              <w:bottom w:val="single" w:sz="8" w:space="0" w:color="000000"/>
              <w:right w:val="single" w:sz="8" w:space="0" w:color="000000"/>
            </w:tcBorders>
          </w:tcPr>
          <w:p w14:paraId="1E6B29FB"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0.49±0.05*</w:t>
            </w:r>
          </w:p>
        </w:tc>
        <w:tc>
          <w:tcPr>
            <w:tcW w:w="759" w:type="dxa"/>
            <w:tcBorders>
              <w:top w:val="single" w:sz="8" w:space="0" w:color="000000"/>
              <w:bottom w:val="single" w:sz="8" w:space="0" w:color="000000"/>
              <w:right w:val="single" w:sz="8" w:space="0" w:color="000000"/>
            </w:tcBorders>
          </w:tcPr>
          <w:p w14:paraId="10365342"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44.1</w:t>
            </w:r>
          </w:p>
        </w:tc>
        <w:tc>
          <w:tcPr>
            <w:tcW w:w="900" w:type="dxa"/>
            <w:tcBorders>
              <w:top w:val="single" w:sz="8" w:space="0" w:color="000000"/>
              <w:bottom w:val="single" w:sz="8" w:space="0" w:color="000000"/>
              <w:right w:val="single" w:sz="8" w:space="0" w:color="000000"/>
            </w:tcBorders>
          </w:tcPr>
          <w:p w14:paraId="0F24D2FC"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0.54±0.03*</w:t>
            </w:r>
          </w:p>
        </w:tc>
        <w:tc>
          <w:tcPr>
            <w:tcW w:w="810" w:type="dxa"/>
            <w:tcBorders>
              <w:top w:val="single" w:sz="8" w:space="0" w:color="000000"/>
              <w:bottom w:val="single" w:sz="8" w:space="0" w:color="000000"/>
              <w:right w:val="single" w:sz="8" w:space="0" w:color="000000"/>
            </w:tcBorders>
          </w:tcPr>
          <w:p w14:paraId="12BED661"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86.2</w:t>
            </w:r>
          </w:p>
        </w:tc>
      </w:tr>
      <w:tr w:rsidR="009B45DB" w:rsidRPr="009E7A97" w14:paraId="79C95B6E" w14:textId="77777777" w:rsidTr="009B45DB">
        <w:trPr>
          <w:trHeight w:val="485"/>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shd w:val="clear" w:color="auto" w:fill="C0C0C0"/>
          </w:tcPr>
          <w:p w14:paraId="47F96B6C"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Group3 </w:t>
            </w:r>
          </w:p>
          <w:p w14:paraId="469AFA81"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(5 mg/kg </w:t>
            </w:r>
            <w:proofErr w:type="spellStart"/>
            <w:r w:rsidRPr="009E7A97">
              <w:rPr>
                <w:rFonts w:ascii="Times New Roman" w:eastAsia="SimSun" w:hAnsi="Times New Roman" w:cs="Times New Roman"/>
                <w:sz w:val="18"/>
                <w:szCs w:val="18"/>
              </w:rPr>
              <w:t>Donpezil</w:t>
            </w:r>
            <w:proofErr w:type="spellEnd"/>
            <w:r w:rsidRPr="009E7A97">
              <w:rPr>
                <w:rFonts w:ascii="Times New Roman" w:eastAsia="SimSun" w:hAnsi="Times New Roman" w:cs="Times New Roman"/>
                <w:sz w:val="18"/>
                <w:szCs w:val="18"/>
              </w:rPr>
              <w:t>)</w:t>
            </w:r>
          </w:p>
        </w:tc>
        <w:tc>
          <w:tcPr>
            <w:tcW w:w="1000" w:type="dxa"/>
            <w:tcBorders>
              <w:top w:val="single" w:sz="8" w:space="0" w:color="000000"/>
              <w:bottom w:val="single" w:sz="8" w:space="0" w:color="000000"/>
              <w:right w:val="single" w:sz="8" w:space="0" w:color="000000"/>
            </w:tcBorders>
            <w:shd w:val="clear" w:color="auto" w:fill="C0C0C0"/>
          </w:tcPr>
          <w:p w14:paraId="428912C3"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2.76±0.30</w:t>
            </w:r>
          </w:p>
        </w:tc>
        <w:tc>
          <w:tcPr>
            <w:tcW w:w="679" w:type="dxa"/>
            <w:tcBorders>
              <w:top w:val="single" w:sz="8" w:space="0" w:color="000000"/>
              <w:bottom w:val="single" w:sz="8" w:space="0" w:color="000000"/>
              <w:right w:val="single" w:sz="8" w:space="0" w:color="000000"/>
            </w:tcBorders>
            <w:shd w:val="clear" w:color="auto" w:fill="C0C0C0"/>
          </w:tcPr>
          <w:p w14:paraId="1FA18BE6"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15.9</w:t>
            </w:r>
          </w:p>
        </w:tc>
        <w:tc>
          <w:tcPr>
            <w:tcW w:w="1021" w:type="dxa"/>
            <w:tcBorders>
              <w:top w:val="single" w:sz="8" w:space="0" w:color="000000"/>
              <w:bottom w:val="single" w:sz="8" w:space="0" w:color="000000"/>
              <w:right w:val="single" w:sz="8" w:space="0" w:color="000000"/>
            </w:tcBorders>
            <w:shd w:val="clear" w:color="auto" w:fill="C0C0C0"/>
          </w:tcPr>
          <w:p w14:paraId="1380ADDB"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3.78±0.17*#</w:t>
            </w:r>
          </w:p>
        </w:tc>
        <w:tc>
          <w:tcPr>
            <w:tcW w:w="779" w:type="dxa"/>
            <w:tcBorders>
              <w:top w:val="single" w:sz="8" w:space="0" w:color="000000"/>
              <w:bottom w:val="single" w:sz="8" w:space="0" w:color="000000"/>
              <w:right w:val="single" w:sz="8" w:space="0" w:color="000000"/>
            </w:tcBorders>
            <w:shd w:val="clear" w:color="auto" w:fill="C0C0C0"/>
          </w:tcPr>
          <w:p w14:paraId="4A9A5FFB"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143.8</w:t>
            </w:r>
          </w:p>
        </w:tc>
        <w:tc>
          <w:tcPr>
            <w:tcW w:w="900" w:type="dxa"/>
            <w:tcBorders>
              <w:top w:val="single" w:sz="8" w:space="0" w:color="000000"/>
              <w:bottom w:val="single" w:sz="8" w:space="0" w:color="000000"/>
              <w:right w:val="single" w:sz="8" w:space="0" w:color="000000"/>
            </w:tcBorders>
            <w:shd w:val="clear" w:color="auto" w:fill="C0C0C0"/>
          </w:tcPr>
          <w:p w14:paraId="1F610D95"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0.43±0.03#</w:t>
            </w:r>
          </w:p>
        </w:tc>
        <w:tc>
          <w:tcPr>
            <w:tcW w:w="900" w:type="dxa"/>
            <w:tcBorders>
              <w:top w:val="single" w:sz="8" w:space="0" w:color="000000"/>
              <w:bottom w:val="single" w:sz="8" w:space="0" w:color="000000"/>
              <w:right w:val="single" w:sz="8" w:space="0" w:color="000000"/>
            </w:tcBorders>
            <w:shd w:val="clear" w:color="auto" w:fill="C0C0C0"/>
          </w:tcPr>
          <w:p w14:paraId="6952C818"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4.87</w:t>
            </w:r>
          </w:p>
        </w:tc>
        <w:tc>
          <w:tcPr>
            <w:tcW w:w="990" w:type="dxa"/>
            <w:tcBorders>
              <w:top w:val="single" w:sz="8" w:space="0" w:color="000000"/>
              <w:bottom w:val="single" w:sz="8" w:space="0" w:color="000000"/>
              <w:right w:val="single" w:sz="8" w:space="0" w:color="000000"/>
            </w:tcBorders>
            <w:shd w:val="clear" w:color="auto" w:fill="C0C0C0"/>
          </w:tcPr>
          <w:p w14:paraId="27D33F0D"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0.45±0.14#</w:t>
            </w:r>
          </w:p>
        </w:tc>
        <w:tc>
          <w:tcPr>
            <w:tcW w:w="900" w:type="dxa"/>
            <w:tcBorders>
              <w:top w:val="single" w:sz="8" w:space="0" w:color="000000"/>
              <w:bottom w:val="single" w:sz="8" w:space="0" w:color="000000"/>
              <w:right w:val="single" w:sz="8" w:space="0" w:color="000000"/>
            </w:tcBorders>
            <w:shd w:val="clear" w:color="auto" w:fill="C0C0C0"/>
          </w:tcPr>
          <w:p w14:paraId="6E2692A3"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4.6</w:t>
            </w:r>
          </w:p>
        </w:tc>
        <w:tc>
          <w:tcPr>
            <w:tcW w:w="1131" w:type="dxa"/>
            <w:tcBorders>
              <w:top w:val="single" w:sz="8" w:space="0" w:color="000000"/>
              <w:bottom w:val="single" w:sz="8" w:space="0" w:color="000000"/>
              <w:right w:val="single" w:sz="8" w:space="0" w:color="000000"/>
            </w:tcBorders>
            <w:shd w:val="clear" w:color="auto" w:fill="C0C0C0"/>
          </w:tcPr>
          <w:p w14:paraId="58D46AE7"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0.33±0.04#</w:t>
            </w:r>
          </w:p>
        </w:tc>
        <w:tc>
          <w:tcPr>
            <w:tcW w:w="759" w:type="dxa"/>
            <w:tcBorders>
              <w:top w:val="single" w:sz="8" w:space="0" w:color="000000"/>
              <w:bottom w:val="single" w:sz="8" w:space="0" w:color="000000"/>
              <w:right w:val="single" w:sz="8" w:space="0" w:color="000000"/>
            </w:tcBorders>
            <w:shd w:val="clear" w:color="auto" w:fill="C0C0C0"/>
          </w:tcPr>
          <w:p w14:paraId="68160B23"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-2.94</w:t>
            </w:r>
          </w:p>
        </w:tc>
        <w:tc>
          <w:tcPr>
            <w:tcW w:w="900" w:type="dxa"/>
            <w:tcBorders>
              <w:top w:val="single" w:sz="8" w:space="0" w:color="000000"/>
              <w:bottom w:val="single" w:sz="8" w:space="0" w:color="000000"/>
              <w:right w:val="single" w:sz="8" w:space="0" w:color="000000"/>
            </w:tcBorders>
            <w:shd w:val="clear" w:color="auto" w:fill="C0C0C0"/>
          </w:tcPr>
          <w:p w14:paraId="30B63B25"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0.26±0.02#</w:t>
            </w:r>
          </w:p>
        </w:tc>
        <w:tc>
          <w:tcPr>
            <w:tcW w:w="810" w:type="dxa"/>
            <w:tcBorders>
              <w:top w:val="single" w:sz="8" w:space="0" w:color="000000"/>
              <w:bottom w:val="single" w:sz="8" w:space="0" w:color="000000"/>
              <w:right w:val="single" w:sz="8" w:space="0" w:color="000000"/>
            </w:tcBorders>
            <w:shd w:val="clear" w:color="auto" w:fill="C0C0C0"/>
          </w:tcPr>
          <w:p w14:paraId="5A07D6D4"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-10.3</w:t>
            </w:r>
          </w:p>
        </w:tc>
      </w:tr>
      <w:tr w:rsidR="009B45DB" w:rsidRPr="009E7A97" w14:paraId="17CAC0BD" w14:textId="77777777" w:rsidTr="009B45DB">
        <w:trPr>
          <w:trHeight w:val="498"/>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tcPr>
          <w:p w14:paraId="3CC571B0"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Group4</w:t>
            </w:r>
          </w:p>
          <w:p w14:paraId="7DA747F9" w14:textId="77777777" w:rsidR="009B45DB" w:rsidRPr="009E7A97" w:rsidRDefault="00412180">
            <w:pPr>
              <w:spacing w:after="0" w:line="240" w:lineRule="auto"/>
              <w:jc w:val="center"/>
              <w:rPr>
                <w:rFonts w:ascii="Times New Roman" w:eastAsia="SimSun" w:hAnsi="Times New Roman" w:cs="Times New Roman"/>
                <w:sz w:val="18"/>
                <w:szCs w:val="18"/>
              </w:rPr>
            </w:pPr>
            <w:proofErr w:type="gramStart"/>
            <w:r w:rsidRPr="009E7A97">
              <w:rPr>
                <w:rFonts w:ascii="Times New Roman" w:eastAsia="SimSun" w:hAnsi="Times New Roman" w:cs="Times New Roman"/>
                <w:sz w:val="18"/>
                <w:szCs w:val="18"/>
              </w:rPr>
              <w:t>( 100</w:t>
            </w:r>
            <w:proofErr w:type="gramEnd"/>
            <w:r w:rsidRPr="009E7A97">
              <w:rPr>
                <w:rFonts w:ascii="Times New Roman" w:eastAsia="SimSun" w:hAnsi="Times New Roman" w:cs="Times New Roman"/>
                <w:sz w:val="18"/>
                <w:szCs w:val="18"/>
              </w:rPr>
              <w:t xml:space="preserve"> mg/kg guava)</w:t>
            </w:r>
          </w:p>
        </w:tc>
        <w:tc>
          <w:tcPr>
            <w:tcW w:w="1000" w:type="dxa"/>
            <w:tcBorders>
              <w:top w:val="single" w:sz="8" w:space="0" w:color="000000"/>
              <w:bottom w:val="single" w:sz="8" w:space="0" w:color="000000"/>
              <w:right w:val="single" w:sz="8" w:space="0" w:color="000000"/>
            </w:tcBorders>
          </w:tcPr>
          <w:p w14:paraId="15810FE6"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3.14±0.26*</w:t>
            </w:r>
          </w:p>
        </w:tc>
        <w:tc>
          <w:tcPr>
            <w:tcW w:w="679" w:type="dxa"/>
            <w:tcBorders>
              <w:top w:val="single" w:sz="8" w:space="0" w:color="000000"/>
              <w:bottom w:val="single" w:sz="8" w:space="0" w:color="000000"/>
              <w:right w:val="single" w:sz="8" w:space="0" w:color="000000"/>
            </w:tcBorders>
          </w:tcPr>
          <w:p w14:paraId="134BA886"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31.9</w:t>
            </w:r>
          </w:p>
        </w:tc>
        <w:tc>
          <w:tcPr>
            <w:tcW w:w="1021" w:type="dxa"/>
            <w:tcBorders>
              <w:top w:val="single" w:sz="8" w:space="0" w:color="000000"/>
              <w:bottom w:val="single" w:sz="8" w:space="0" w:color="000000"/>
              <w:right w:val="single" w:sz="8" w:space="0" w:color="000000"/>
            </w:tcBorders>
          </w:tcPr>
          <w:p w14:paraId="588CD879"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1.93±0.15</w:t>
            </w:r>
          </w:p>
        </w:tc>
        <w:tc>
          <w:tcPr>
            <w:tcW w:w="779" w:type="dxa"/>
            <w:tcBorders>
              <w:top w:val="single" w:sz="8" w:space="0" w:color="000000"/>
              <w:bottom w:val="single" w:sz="8" w:space="0" w:color="000000"/>
              <w:right w:val="single" w:sz="8" w:space="0" w:color="000000"/>
            </w:tcBorders>
          </w:tcPr>
          <w:p w14:paraId="2E5971D9"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24.5</w:t>
            </w:r>
          </w:p>
        </w:tc>
        <w:tc>
          <w:tcPr>
            <w:tcW w:w="900" w:type="dxa"/>
            <w:tcBorders>
              <w:top w:val="single" w:sz="8" w:space="0" w:color="000000"/>
              <w:bottom w:val="single" w:sz="8" w:space="0" w:color="000000"/>
              <w:right w:val="single" w:sz="8" w:space="0" w:color="000000"/>
            </w:tcBorders>
          </w:tcPr>
          <w:p w14:paraId="38716E25"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0.28±0.03</w:t>
            </w:r>
          </w:p>
        </w:tc>
        <w:tc>
          <w:tcPr>
            <w:tcW w:w="900" w:type="dxa"/>
            <w:tcBorders>
              <w:top w:val="single" w:sz="8" w:space="0" w:color="000000"/>
              <w:bottom w:val="single" w:sz="8" w:space="0" w:color="000000"/>
              <w:right w:val="single" w:sz="8" w:space="0" w:color="000000"/>
            </w:tcBorders>
          </w:tcPr>
          <w:p w14:paraId="729B52E3"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-31.7</w:t>
            </w:r>
          </w:p>
        </w:tc>
        <w:tc>
          <w:tcPr>
            <w:tcW w:w="990" w:type="dxa"/>
            <w:tcBorders>
              <w:top w:val="single" w:sz="8" w:space="0" w:color="000000"/>
              <w:bottom w:val="single" w:sz="8" w:space="0" w:color="000000"/>
              <w:right w:val="single" w:sz="8" w:space="0" w:color="000000"/>
            </w:tcBorders>
          </w:tcPr>
          <w:p w14:paraId="4BC7B950"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0.27±0.04*#</w:t>
            </w:r>
          </w:p>
        </w:tc>
        <w:tc>
          <w:tcPr>
            <w:tcW w:w="900" w:type="dxa"/>
            <w:tcBorders>
              <w:top w:val="single" w:sz="8" w:space="0" w:color="000000"/>
              <w:bottom w:val="single" w:sz="8" w:space="0" w:color="000000"/>
              <w:right w:val="single" w:sz="8" w:space="0" w:color="000000"/>
            </w:tcBorders>
          </w:tcPr>
          <w:p w14:paraId="481D0CCD"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-37.2</w:t>
            </w:r>
          </w:p>
        </w:tc>
        <w:tc>
          <w:tcPr>
            <w:tcW w:w="1131" w:type="dxa"/>
            <w:tcBorders>
              <w:top w:val="single" w:sz="8" w:space="0" w:color="000000"/>
              <w:bottom w:val="single" w:sz="8" w:space="0" w:color="000000"/>
              <w:right w:val="single" w:sz="8" w:space="0" w:color="000000"/>
            </w:tcBorders>
          </w:tcPr>
          <w:p w14:paraId="1D80ED0A"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0.49±0.03</w:t>
            </w:r>
          </w:p>
        </w:tc>
        <w:tc>
          <w:tcPr>
            <w:tcW w:w="759" w:type="dxa"/>
            <w:tcBorders>
              <w:top w:val="single" w:sz="8" w:space="0" w:color="000000"/>
              <w:bottom w:val="single" w:sz="8" w:space="0" w:color="000000"/>
              <w:right w:val="single" w:sz="8" w:space="0" w:color="000000"/>
            </w:tcBorders>
          </w:tcPr>
          <w:p w14:paraId="761266EE"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44.1</w:t>
            </w:r>
          </w:p>
        </w:tc>
        <w:tc>
          <w:tcPr>
            <w:tcW w:w="900" w:type="dxa"/>
            <w:tcBorders>
              <w:top w:val="single" w:sz="8" w:space="0" w:color="000000"/>
              <w:bottom w:val="single" w:sz="8" w:space="0" w:color="000000"/>
              <w:right w:val="single" w:sz="8" w:space="0" w:color="000000"/>
            </w:tcBorders>
          </w:tcPr>
          <w:p w14:paraId="3B03B18C"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color w:val="FF0000"/>
                <w:sz w:val="18"/>
                <w:szCs w:val="18"/>
              </w:rPr>
              <w:t>0.47±0.02</w:t>
            </w:r>
            <w:r w:rsidRPr="009E7A97">
              <w:rPr>
                <w:rFonts w:ascii="Times New Roman" w:hAnsi="Times New Roman" w:cs="Times New Roman"/>
                <w:sz w:val="18"/>
                <w:szCs w:val="18"/>
              </w:rPr>
              <w:t>*#</w:t>
            </w:r>
          </w:p>
        </w:tc>
        <w:tc>
          <w:tcPr>
            <w:tcW w:w="810" w:type="dxa"/>
            <w:tcBorders>
              <w:top w:val="single" w:sz="8" w:space="0" w:color="000000"/>
              <w:bottom w:val="single" w:sz="8" w:space="0" w:color="000000"/>
              <w:right w:val="single" w:sz="8" w:space="0" w:color="000000"/>
            </w:tcBorders>
          </w:tcPr>
          <w:p w14:paraId="17BF0FB8"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62.0</w:t>
            </w:r>
          </w:p>
        </w:tc>
      </w:tr>
      <w:tr w:rsidR="009B45DB" w:rsidRPr="009E7A97" w14:paraId="51BB59C3" w14:textId="77777777" w:rsidTr="009B45DB">
        <w:trPr>
          <w:trHeight w:val="485"/>
        </w:trPr>
        <w:tc>
          <w:tcPr>
            <w:cnfStyle w:val="001000000000" w:firstRow="0" w:lastRow="0" w:firstColumn="1" w:lastColumn="0" w:oddVBand="0" w:evenVBand="0" w:oddHBand="0" w:evenHBand="0" w:firstRowFirstColumn="0" w:firstRowLastColumn="0" w:lastRowFirstColumn="0" w:lastRowLastColumn="0"/>
            <w:tcW w:w="1211" w:type="dxa"/>
            <w:tcBorders>
              <w:top w:val="single" w:sz="8" w:space="0" w:color="000000"/>
              <w:left w:val="single" w:sz="8" w:space="0" w:color="000000"/>
              <w:bottom w:val="single" w:sz="8" w:space="0" w:color="000000"/>
              <w:right w:val="single" w:sz="8" w:space="0" w:color="000000"/>
            </w:tcBorders>
            <w:shd w:val="clear" w:color="auto" w:fill="C0C0C0"/>
          </w:tcPr>
          <w:p w14:paraId="5850E3A8"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 xml:space="preserve">Group5 </w:t>
            </w:r>
          </w:p>
          <w:p w14:paraId="323A8B6F" w14:textId="77777777" w:rsidR="009B45DB" w:rsidRPr="009E7A97" w:rsidRDefault="00412180">
            <w:pPr>
              <w:spacing w:after="0" w:line="240" w:lineRule="auto"/>
              <w:jc w:val="center"/>
              <w:rPr>
                <w:rFonts w:ascii="Times New Roman" w:eastAsia="SimSun" w:hAnsi="Times New Roman" w:cs="Times New Roman"/>
                <w:sz w:val="18"/>
                <w:szCs w:val="18"/>
              </w:rPr>
            </w:pPr>
            <w:r w:rsidRPr="009E7A97">
              <w:rPr>
                <w:rFonts w:ascii="Times New Roman" w:eastAsia="SimSun" w:hAnsi="Times New Roman" w:cs="Times New Roman"/>
                <w:sz w:val="18"/>
                <w:szCs w:val="18"/>
              </w:rPr>
              <w:t>(300mg/kg guava)</w:t>
            </w:r>
          </w:p>
        </w:tc>
        <w:tc>
          <w:tcPr>
            <w:tcW w:w="1000" w:type="dxa"/>
            <w:tcBorders>
              <w:top w:val="single" w:sz="8" w:space="0" w:color="000000"/>
              <w:bottom w:val="single" w:sz="8" w:space="0" w:color="000000"/>
              <w:right w:val="single" w:sz="8" w:space="0" w:color="000000"/>
            </w:tcBorders>
            <w:shd w:val="clear" w:color="auto" w:fill="C0C0C0"/>
          </w:tcPr>
          <w:p w14:paraId="0B03EE47"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2.93±0.20</w:t>
            </w:r>
          </w:p>
        </w:tc>
        <w:tc>
          <w:tcPr>
            <w:tcW w:w="679" w:type="dxa"/>
            <w:tcBorders>
              <w:top w:val="single" w:sz="8" w:space="0" w:color="000000"/>
              <w:bottom w:val="single" w:sz="8" w:space="0" w:color="000000"/>
              <w:right w:val="single" w:sz="8" w:space="0" w:color="000000"/>
            </w:tcBorders>
            <w:shd w:val="clear" w:color="auto" w:fill="C0C0C0"/>
          </w:tcPr>
          <w:p w14:paraId="30D8E22D"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23.1</w:t>
            </w:r>
          </w:p>
        </w:tc>
        <w:tc>
          <w:tcPr>
            <w:tcW w:w="1021" w:type="dxa"/>
            <w:tcBorders>
              <w:top w:val="single" w:sz="8" w:space="0" w:color="000000"/>
              <w:bottom w:val="single" w:sz="8" w:space="0" w:color="000000"/>
              <w:right w:val="single" w:sz="8" w:space="0" w:color="000000"/>
            </w:tcBorders>
            <w:shd w:val="clear" w:color="auto" w:fill="C0C0C0"/>
          </w:tcPr>
          <w:p w14:paraId="0B699DA9"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1.81±0.31</w:t>
            </w:r>
          </w:p>
        </w:tc>
        <w:tc>
          <w:tcPr>
            <w:tcW w:w="779" w:type="dxa"/>
            <w:tcBorders>
              <w:top w:val="single" w:sz="8" w:space="0" w:color="000000"/>
              <w:bottom w:val="single" w:sz="8" w:space="0" w:color="000000"/>
              <w:right w:val="single" w:sz="8" w:space="0" w:color="000000"/>
            </w:tcBorders>
            <w:shd w:val="clear" w:color="auto" w:fill="C0C0C0"/>
          </w:tcPr>
          <w:p w14:paraId="6DD2108B"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16.7</w:t>
            </w:r>
          </w:p>
        </w:tc>
        <w:tc>
          <w:tcPr>
            <w:tcW w:w="900" w:type="dxa"/>
            <w:tcBorders>
              <w:top w:val="single" w:sz="8" w:space="0" w:color="000000"/>
              <w:bottom w:val="single" w:sz="8" w:space="0" w:color="000000"/>
              <w:right w:val="single" w:sz="8" w:space="0" w:color="000000"/>
            </w:tcBorders>
            <w:shd w:val="clear" w:color="auto" w:fill="C0C0C0"/>
          </w:tcPr>
          <w:p w14:paraId="2ED18E85"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0.38±0.03</w:t>
            </w:r>
          </w:p>
        </w:tc>
        <w:tc>
          <w:tcPr>
            <w:tcW w:w="900" w:type="dxa"/>
            <w:tcBorders>
              <w:top w:val="single" w:sz="8" w:space="0" w:color="000000"/>
              <w:bottom w:val="single" w:sz="8" w:space="0" w:color="000000"/>
              <w:right w:val="single" w:sz="8" w:space="0" w:color="000000"/>
            </w:tcBorders>
            <w:shd w:val="clear" w:color="auto" w:fill="C0C0C0"/>
          </w:tcPr>
          <w:p w14:paraId="38555F0E"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-7.3</w:t>
            </w:r>
          </w:p>
        </w:tc>
        <w:tc>
          <w:tcPr>
            <w:tcW w:w="990" w:type="dxa"/>
            <w:tcBorders>
              <w:top w:val="single" w:sz="8" w:space="0" w:color="000000"/>
              <w:bottom w:val="single" w:sz="8" w:space="0" w:color="000000"/>
              <w:right w:val="single" w:sz="8" w:space="0" w:color="000000"/>
            </w:tcBorders>
            <w:shd w:val="clear" w:color="auto" w:fill="C0C0C0"/>
          </w:tcPr>
          <w:p w14:paraId="3E2C74A7"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0.40±0.03#</w:t>
            </w:r>
          </w:p>
        </w:tc>
        <w:tc>
          <w:tcPr>
            <w:tcW w:w="900" w:type="dxa"/>
            <w:tcBorders>
              <w:top w:val="single" w:sz="8" w:space="0" w:color="000000"/>
              <w:bottom w:val="single" w:sz="8" w:space="0" w:color="000000"/>
              <w:right w:val="single" w:sz="8" w:space="0" w:color="000000"/>
            </w:tcBorders>
            <w:shd w:val="clear" w:color="auto" w:fill="C0C0C0"/>
          </w:tcPr>
          <w:p w14:paraId="4A83F8F8"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-6.7</w:t>
            </w:r>
          </w:p>
        </w:tc>
        <w:tc>
          <w:tcPr>
            <w:tcW w:w="1131" w:type="dxa"/>
            <w:tcBorders>
              <w:top w:val="single" w:sz="8" w:space="0" w:color="000000"/>
              <w:bottom w:val="single" w:sz="8" w:space="0" w:color="000000"/>
              <w:right w:val="single" w:sz="8" w:space="0" w:color="000000"/>
            </w:tcBorders>
            <w:shd w:val="clear" w:color="auto" w:fill="C0C0C0"/>
          </w:tcPr>
          <w:p w14:paraId="43F314D1"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E7A97">
              <w:rPr>
                <w:rFonts w:ascii="Times New Roman" w:hAnsi="Times New Roman" w:cs="Times New Roman"/>
                <w:sz w:val="18"/>
                <w:szCs w:val="18"/>
              </w:rPr>
              <w:t>0.42±0.05</w:t>
            </w:r>
          </w:p>
        </w:tc>
        <w:tc>
          <w:tcPr>
            <w:tcW w:w="759" w:type="dxa"/>
            <w:tcBorders>
              <w:top w:val="single" w:sz="8" w:space="0" w:color="000000"/>
              <w:bottom w:val="single" w:sz="8" w:space="0" w:color="000000"/>
              <w:right w:val="single" w:sz="8" w:space="0" w:color="000000"/>
            </w:tcBorders>
            <w:shd w:val="clear" w:color="auto" w:fill="C0C0C0"/>
          </w:tcPr>
          <w:p w14:paraId="5F725DC8"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-79.4</w:t>
            </w:r>
          </w:p>
        </w:tc>
        <w:tc>
          <w:tcPr>
            <w:tcW w:w="900" w:type="dxa"/>
            <w:tcBorders>
              <w:top w:val="single" w:sz="8" w:space="0" w:color="000000"/>
              <w:bottom w:val="single" w:sz="8" w:space="0" w:color="000000"/>
              <w:right w:val="single" w:sz="8" w:space="0" w:color="000000"/>
            </w:tcBorders>
            <w:shd w:val="clear" w:color="auto" w:fill="C0C0C0"/>
          </w:tcPr>
          <w:p w14:paraId="4184A2EA"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0.33±0.04#</w:t>
            </w:r>
          </w:p>
        </w:tc>
        <w:tc>
          <w:tcPr>
            <w:tcW w:w="810" w:type="dxa"/>
            <w:tcBorders>
              <w:top w:val="single" w:sz="8" w:space="0" w:color="000000"/>
              <w:bottom w:val="single" w:sz="8" w:space="0" w:color="000000"/>
              <w:right w:val="single" w:sz="8" w:space="0" w:color="000000"/>
            </w:tcBorders>
            <w:shd w:val="clear" w:color="auto" w:fill="C0C0C0"/>
          </w:tcPr>
          <w:p w14:paraId="186ABC02" w14:textId="77777777" w:rsidR="009B45DB" w:rsidRPr="009E7A97" w:rsidRDefault="00412180">
            <w:pPr>
              <w:spacing w:after="0" w:line="240" w:lineRule="auto"/>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18"/>
                <w:szCs w:val="18"/>
              </w:rPr>
            </w:pPr>
            <w:r w:rsidRPr="009E7A97">
              <w:rPr>
                <w:rFonts w:ascii="Times New Roman" w:hAnsi="Times New Roman" w:cs="Times New Roman"/>
                <w:color w:val="FF0000"/>
                <w:sz w:val="18"/>
                <w:szCs w:val="18"/>
              </w:rPr>
              <w:t>13.7</w:t>
            </w:r>
          </w:p>
        </w:tc>
      </w:tr>
    </w:tbl>
    <w:p w14:paraId="1B6F8128" w14:textId="77777777" w:rsidR="009B45DB" w:rsidRPr="009E7A97" w:rsidRDefault="009B45DB">
      <w:pPr>
        <w:pStyle w:val="NormalWeb"/>
        <w:spacing w:after="0" w:afterAutospacing="0" w:line="360" w:lineRule="auto"/>
        <w:jc w:val="both"/>
        <w:rPr>
          <w:b/>
        </w:rPr>
      </w:pPr>
    </w:p>
    <w:p w14:paraId="1FBAA3EA" w14:textId="77777777" w:rsidR="009B45DB" w:rsidRPr="009E7A97" w:rsidRDefault="009B45DB">
      <w:pPr>
        <w:pStyle w:val="NormalWeb"/>
        <w:spacing w:after="0" w:afterAutospacing="0" w:line="360" w:lineRule="auto"/>
        <w:jc w:val="both"/>
        <w:rPr>
          <w:b/>
        </w:rPr>
      </w:pPr>
    </w:p>
    <w:p w14:paraId="562F0D51" w14:textId="77777777" w:rsidR="009B45DB" w:rsidRPr="009E7A97" w:rsidRDefault="009B45DB">
      <w:pPr>
        <w:pStyle w:val="NormalWeb"/>
        <w:spacing w:after="0" w:afterAutospacing="0" w:line="360" w:lineRule="auto"/>
        <w:jc w:val="both"/>
        <w:rPr>
          <w:b/>
        </w:rPr>
      </w:pPr>
    </w:p>
    <w:p w14:paraId="661EB6F0" w14:textId="77777777" w:rsidR="009B45DB" w:rsidRPr="009E7A97" w:rsidRDefault="009B45DB">
      <w:pPr>
        <w:pStyle w:val="NormalWeb"/>
        <w:spacing w:after="0" w:afterAutospacing="0" w:line="360" w:lineRule="auto"/>
        <w:jc w:val="both"/>
        <w:rPr>
          <w:b/>
        </w:rPr>
      </w:pPr>
    </w:p>
    <w:p w14:paraId="435CFF36" w14:textId="77777777" w:rsidR="009B45DB" w:rsidRPr="009E7A97" w:rsidRDefault="009B45DB">
      <w:pPr>
        <w:pStyle w:val="NormalWeb"/>
        <w:spacing w:after="0" w:afterAutospacing="0" w:line="360" w:lineRule="auto"/>
        <w:jc w:val="both"/>
        <w:rPr>
          <w:b/>
        </w:rPr>
      </w:pPr>
    </w:p>
    <w:p w14:paraId="61B79547" w14:textId="77777777" w:rsidR="009B45DB" w:rsidRPr="009E7A97" w:rsidRDefault="009B45DB">
      <w:pPr>
        <w:pStyle w:val="NormalWeb"/>
        <w:spacing w:after="0" w:afterAutospacing="0" w:line="360" w:lineRule="auto"/>
        <w:jc w:val="both"/>
        <w:rPr>
          <w:b/>
        </w:rPr>
      </w:pPr>
    </w:p>
    <w:p w14:paraId="5AE6BCC0" w14:textId="77777777" w:rsidR="009B45DB" w:rsidRPr="009E7A97" w:rsidRDefault="009B45DB">
      <w:pPr>
        <w:pStyle w:val="NormalWeb"/>
        <w:spacing w:after="0" w:afterAutospacing="0" w:line="360" w:lineRule="auto"/>
        <w:jc w:val="both"/>
        <w:rPr>
          <w:b/>
        </w:rPr>
      </w:pPr>
    </w:p>
    <w:p w14:paraId="60E40A88" w14:textId="77777777" w:rsidR="009B45DB" w:rsidRPr="009E7A97" w:rsidRDefault="009B45DB">
      <w:pPr>
        <w:pStyle w:val="NormalWeb"/>
        <w:spacing w:after="0" w:afterAutospacing="0" w:line="360" w:lineRule="auto"/>
        <w:jc w:val="both"/>
        <w:rPr>
          <w:b/>
        </w:rPr>
      </w:pPr>
    </w:p>
    <w:p w14:paraId="2774FC1E" w14:textId="77777777" w:rsidR="009B45DB" w:rsidRPr="009E7A97" w:rsidRDefault="009B45DB">
      <w:pPr>
        <w:pStyle w:val="NormalWeb"/>
        <w:spacing w:after="0" w:afterAutospacing="0" w:line="360" w:lineRule="auto"/>
        <w:jc w:val="both"/>
        <w:rPr>
          <w:b/>
        </w:rPr>
      </w:pPr>
    </w:p>
    <w:p w14:paraId="4DF8D647" w14:textId="77777777" w:rsidR="009B45DB" w:rsidRPr="009E7A97" w:rsidRDefault="009B45DB">
      <w:pPr>
        <w:pStyle w:val="NormalWeb"/>
        <w:spacing w:after="0" w:afterAutospacing="0" w:line="360" w:lineRule="auto"/>
        <w:jc w:val="both"/>
        <w:rPr>
          <w:b/>
        </w:rPr>
      </w:pPr>
    </w:p>
    <w:p w14:paraId="5E41314A" w14:textId="77777777" w:rsidR="009B45DB" w:rsidRPr="009E7A97" w:rsidRDefault="009B45DB">
      <w:pPr>
        <w:pStyle w:val="NormalWeb"/>
        <w:spacing w:after="0" w:afterAutospacing="0" w:line="360" w:lineRule="auto"/>
        <w:jc w:val="both"/>
        <w:rPr>
          <w:b/>
        </w:rPr>
      </w:pPr>
    </w:p>
    <w:p w14:paraId="060CD960" w14:textId="77777777" w:rsidR="009B45DB" w:rsidRPr="009E7A97" w:rsidRDefault="009B45DB">
      <w:pPr>
        <w:pStyle w:val="NormalWeb"/>
        <w:spacing w:after="0" w:afterAutospacing="0" w:line="360" w:lineRule="auto"/>
        <w:jc w:val="both"/>
        <w:rPr>
          <w:b/>
        </w:rPr>
      </w:pPr>
    </w:p>
    <w:p w14:paraId="1B6CB9C9" w14:textId="77777777" w:rsidR="009B45DB" w:rsidRPr="009E7A97" w:rsidRDefault="00412180">
      <w:pPr>
        <w:pStyle w:val="NormalWeb"/>
        <w:spacing w:line="276" w:lineRule="auto"/>
        <w:jc w:val="both"/>
      </w:pPr>
      <w:r w:rsidRPr="009E7A97">
        <w:t xml:space="preserve">In the </w:t>
      </w:r>
      <w:r w:rsidRPr="009E7A97">
        <w:rPr>
          <w:rStyle w:val="Strong"/>
          <w:b w:val="0"/>
        </w:rPr>
        <w:t>scopolamine-only group (Group 2)</w:t>
      </w:r>
      <w:r w:rsidRPr="009E7A97">
        <w:rPr>
          <w:b/>
        </w:rPr>
        <w:t>,</w:t>
      </w:r>
      <w:r w:rsidRPr="009E7A97">
        <w:t xml:space="preserve"> rats exhibited severe cognitive impairment in the Barnes maze, with escape latency increasing by </w:t>
      </w:r>
      <w:r w:rsidRPr="009E7A97">
        <w:rPr>
          <w:rStyle w:val="Strong"/>
          <w:b w:val="0"/>
        </w:rPr>
        <w:t>448.6% by Week 3</w:t>
      </w:r>
      <w:r w:rsidRPr="009E7A97">
        <w:t xml:space="preserve">, showing spatial memory loss. This was accompanied by marked oxidative stress, including a </w:t>
      </w:r>
      <w:r w:rsidRPr="009E7A97">
        <w:rPr>
          <w:rStyle w:val="Strong"/>
          <w:b w:val="0"/>
        </w:rPr>
        <w:t>62.5% reduction in SOD</w:t>
      </w:r>
      <w:r w:rsidRPr="009E7A97">
        <w:rPr>
          <w:b/>
        </w:rPr>
        <w:t xml:space="preserve">, </w:t>
      </w:r>
      <w:r w:rsidRPr="009E7A97">
        <w:rPr>
          <w:rStyle w:val="Strong"/>
          <w:b w:val="0"/>
        </w:rPr>
        <w:t>16.1% decrease in CAT</w:t>
      </w:r>
      <w:r w:rsidRPr="009E7A97">
        <w:rPr>
          <w:b/>
        </w:rPr>
        <w:t xml:space="preserve">, </w:t>
      </w:r>
      <w:r w:rsidRPr="009E7A97">
        <w:t>and</w:t>
      </w:r>
      <w:r w:rsidRPr="009E7A97">
        <w:t xml:space="preserve"> an</w:t>
      </w:r>
      <w:r w:rsidRPr="009E7A97">
        <w:rPr>
          <w:b/>
        </w:rPr>
        <w:t xml:space="preserve"> </w:t>
      </w:r>
      <w:r w:rsidRPr="009E7A97">
        <w:rPr>
          <w:rStyle w:val="Strong"/>
          <w:b w:val="0"/>
        </w:rPr>
        <w:t>86.2% increase in MDA</w:t>
      </w:r>
      <w:r w:rsidRPr="009E7A97">
        <w:t xml:space="preserve"> at 90 days, indicating high oxidative damage and poor antioxidant </w:t>
      </w:r>
      <w:proofErr w:type="spellStart"/>
      <w:proofErr w:type="gramStart"/>
      <w:r w:rsidRPr="009E7A97">
        <w:t>defense.Administration</w:t>
      </w:r>
      <w:proofErr w:type="spellEnd"/>
      <w:proofErr w:type="gramEnd"/>
      <w:r w:rsidRPr="009E7A97">
        <w:t xml:space="preserve"> of </w:t>
      </w:r>
      <w:r w:rsidRPr="009E7A97">
        <w:rPr>
          <w:rStyle w:val="Strong"/>
          <w:b w:val="0"/>
        </w:rPr>
        <w:t>100 mg/kg Psidium guajava extract (Group 4)</w:t>
      </w:r>
      <w:r w:rsidRPr="009E7A97">
        <w:t xml:space="preserve"> moderately improved both cognition and oxidative balance. Although Barnes maze time rose by </w:t>
      </w:r>
      <w:r w:rsidRPr="009E7A97">
        <w:rPr>
          <w:rStyle w:val="Strong"/>
          <w:b w:val="0"/>
        </w:rPr>
        <w:t>27</w:t>
      </w:r>
      <w:r w:rsidRPr="009E7A97">
        <w:rPr>
          <w:rStyle w:val="Strong"/>
          <w:b w:val="0"/>
        </w:rPr>
        <w:t>2.9% in Week 3</w:t>
      </w:r>
      <w:r w:rsidRPr="009E7A97">
        <w:rPr>
          <w:b/>
        </w:rPr>
        <w:t>,</w:t>
      </w:r>
      <w:r w:rsidRPr="009E7A97">
        <w:t xml:space="preserve"> it was significantly better than the untreated group. At the molecular level,</w:t>
      </w:r>
      <w:r w:rsidRPr="009E7A97">
        <w:rPr>
          <w:b/>
        </w:rPr>
        <w:t xml:space="preserve"> </w:t>
      </w:r>
      <w:r w:rsidRPr="009E7A97">
        <w:rPr>
          <w:rStyle w:val="Strong"/>
          <w:b w:val="0"/>
        </w:rPr>
        <w:t>CAT increased by 24.5%</w:t>
      </w:r>
      <w:r w:rsidRPr="009E7A97">
        <w:rPr>
          <w:b/>
        </w:rPr>
        <w:t xml:space="preserve">, </w:t>
      </w:r>
      <w:r w:rsidRPr="009E7A97">
        <w:rPr>
          <w:rStyle w:val="Strong"/>
          <w:b w:val="0"/>
        </w:rPr>
        <w:t>SOD rose by 37.2%</w:t>
      </w:r>
      <w:r w:rsidRPr="009E7A97">
        <w:rPr>
          <w:b/>
        </w:rPr>
        <w:t xml:space="preserve">, </w:t>
      </w:r>
      <w:r w:rsidRPr="009E7A97">
        <w:t>and</w:t>
      </w:r>
      <w:r w:rsidRPr="009E7A97">
        <w:rPr>
          <w:b/>
        </w:rPr>
        <w:t xml:space="preserve"> </w:t>
      </w:r>
      <w:r w:rsidRPr="009E7A97">
        <w:rPr>
          <w:rStyle w:val="Strong"/>
          <w:b w:val="0"/>
        </w:rPr>
        <w:t>MDA decreased by 62%</w:t>
      </w:r>
      <w:r w:rsidRPr="009E7A97">
        <w:t xml:space="preserve">, showing enhanced antioxidant protection contributing to improved spatial </w:t>
      </w:r>
      <w:proofErr w:type="spellStart"/>
      <w:proofErr w:type="gramStart"/>
      <w:r w:rsidRPr="009E7A97">
        <w:t>learning.Conversely</w:t>
      </w:r>
      <w:proofErr w:type="spellEnd"/>
      <w:proofErr w:type="gramEnd"/>
      <w:r w:rsidRPr="009E7A97">
        <w:t>,</w:t>
      </w:r>
      <w:r w:rsidRPr="009E7A97">
        <w:t xml:space="preserve"> </w:t>
      </w:r>
      <w:r w:rsidRPr="009E7A97">
        <w:rPr>
          <w:rStyle w:val="Strong"/>
          <w:b w:val="0"/>
        </w:rPr>
        <w:t>300 mg/kg guava extract (Group 5)</w:t>
      </w:r>
      <w:r w:rsidRPr="009E7A97">
        <w:rPr>
          <w:b/>
        </w:rPr>
        <w:t xml:space="preserve"> </w:t>
      </w:r>
      <w:r w:rsidRPr="009E7A97">
        <w:t>led to a</w:t>
      </w:r>
      <w:r w:rsidRPr="009E7A97">
        <w:rPr>
          <w:b/>
        </w:rPr>
        <w:t xml:space="preserve"> </w:t>
      </w:r>
      <w:r w:rsidRPr="009E7A97">
        <w:rPr>
          <w:rStyle w:val="Strong"/>
          <w:b w:val="0"/>
        </w:rPr>
        <w:t>148.6% increase in escape</w:t>
      </w:r>
      <w:r w:rsidRPr="009E7A97">
        <w:rPr>
          <w:rStyle w:val="Strong"/>
        </w:rPr>
        <w:t xml:space="preserve"> </w:t>
      </w:r>
      <w:r w:rsidRPr="009E7A97">
        <w:rPr>
          <w:rStyle w:val="Strong"/>
          <w:b w:val="0"/>
        </w:rPr>
        <w:t>time</w:t>
      </w:r>
      <w:r w:rsidRPr="009E7A97">
        <w:rPr>
          <w:b/>
        </w:rPr>
        <w:t>,</w:t>
      </w:r>
      <w:r w:rsidRPr="009E7A97">
        <w:t xml:space="preserve"> which, although better than the scopolamine-only group, was worse than the lower dose. Oxidative stress remained relatively high, with only </w:t>
      </w:r>
      <w:r w:rsidRPr="009E7A97">
        <w:rPr>
          <w:rStyle w:val="Strong"/>
          <w:b w:val="0"/>
        </w:rPr>
        <w:t>6.7% SOD improvement</w:t>
      </w:r>
      <w:r w:rsidRPr="009E7A97">
        <w:rPr>
          <w:b/>
        </w:rPr>
        <w:t xml:space="preserve">, </w:t>
      </w:r>
      <w:r w:rsidRPr="009E7A97">
        <w:rPr>
          <w:rStyle w:val="Strong"/>
          <w:b w:val="0"/>
        </w:rPr>
        <w:t>16.7% rise in CAT</w:t>
      </w:r>
      <w:r w:rsidRPr="009E7A97">
        <w:rPr>
          <w:b/>
        </w:rPr>
        <w:t>,</w:t>
      </w:r>
      <w:r w:rsidRPr="009E7A97">
        <w:rPr>
          <w:b/>
        </w:rPr>
        <w:t xml:space="preserve"> </w:t>
      </w:r>
      <w:r w:rsidRPr="009E7A97">
        <w:t>and</w:t>
      </w:r>
      <w:r w:rsidRPr="009E7A97">
        <w:rPr>
          <w:b/>
        </w:rPr>
        <w:t xml:space="preserve"> </w:t>
      </w:r>
      <w:r w:rsidRPr="009E7A97">
        <w:rPr>
          <w:rStyle w:val="Strong"/>
          <w:b w:val="0"/>
        </w:rPr>
        <w:t>just 13.7% reduction in MDA</w:t>
      </w:r>
      <w:r w:rsidRPr="009E7A97">
        <w:t xml:space="preserve">, suggesting suboptimal neuroprotection and potential dose-related toxicity. </w:t>
      </w:r>
      <w:r w:rsidRPr="009E7A97">
        <w:rPr>
          <w:rStyle w:val="Strong"/>
          <w:b w:val="0"/>
        </w:rPr>
        <w:t>Donepezil (Group 3)</w:t>
      </w:r>
      <w:r w:rsidRPr="009E7A97">
        <w:t xml:space="preserve"> performed best overall, with only a </w:t>
      </w:r>
      <w:r w:rsidRPr="009E7A97">
        <w:rPr>
          <w:rStyle w:val="Strong"/>
          <w:b w:val="0"/>
        </w:rPr>
        <w:t>132.4% increase in maze time</w:t>
      </w:r>
      <w:r w:rsidRPr="009E7A97">
        <w:t xml:space="preserve"> by Week 3 and strong oxidative defense marked by a </w:t>
      </w:r>
      <w:r w:rsidRPr="009E7A97">
        <w:rPr>
          <w:rStyle w:val="Strong"/>
          <w:b w:val="0"/>
        </w:rPr>
        <w:t>143.8% rise</w:t>
      </w:r>
      <w:r w:rsidRPr="009E7A97">
        <w:rPr>
          <w:rStyle w:val="Strong"/>
          <w:b w:val="0"/>
        </w:rPr>
        <w:t xml:space="preserve"> in CAT</w:t>
      </w:r>
      <w:r w:rsidRPr="009E7A97">
        <w:rPr>
          <w:b/>
        </w:rPr>
        <w:t xml:space="preserve">, </w:t>
      </w:r>
      <w:r w:rsidRPr="009E7A97">
        <w:rPr>
          <w:rStyle w:val="Strong"/>
          <w:b w:val="0"/>
        </w:rPr>
        <w:t>4.6% increase in SOD</w:t>
      </w:r>
      <w:r w:rsidRPr="009E7A97">
        <w:rPr>
          <w:b/>
        </w:rPr>
        <w:t xml:space="preserve">, </w:t>
      </w:r>
      <w:r w:rsidRPr="009E7A97">
        <w:t>and a</w:t>
      </w:r>
      <w:r w:rsidRPr="009E7A97">
        <w:rPr>
          <w:b/>
        </w:rPr>
        <w:t xml:space="preserve"> </w:t>
      </w:r>
      <w:r w:rsidRPr="009E7A97">
        <w:rPr>
          <w:rStyle w:val="Strong"/>
          <w:b w:val="0"/>
        </w:rPr>
        <w:t>10.3% decrease in MDA</w:t>
      </w:r>
      <w:r w:rsidRPr="009E7A97">
        <w:rPr>
          <w:bCs/>
        </w:rPr>
        <w:t>, c</w:t>
      </w:r>
      <w:r w:rsidRPr="009E7A97">
        <w:t>onfirming its robust neuroprotective and antioxidant effect.</w:t>
      </w:r>
    </w:p>
    <w:p w14:paraId="35201309" w14:textId="77777777" w:rsidR="009B45DB" w:rsidRPr="009E7A97" w:rsidRDefault="00412180">
      <w:pPr>
        <w:pStyle w:val="NormalWeb"/>
        <w:jc w:val="both"/>
      </w:pPr>
      <w:r w:rsidRPr="009E7A97">
        <w:t xml:space="preserve">In the </w:t>
      </w:r>
      <w:r w:rsidRPr="009E7A97">
        <w:rPr>
          <w:rStyle w:val="Strong"/>
          <w:b w:val="0"/>
        </w:rPr>
        <w:t>scopolamine-only group</w:t>
      </w:r>
      <w:r w:rsidRPr="009E7A97">
        <w:t xml:space="preserve">, spatial learning was severely impaired, with navigation time increasing by </w:t>
      </w:r>
      <w:r w:rsidRPr="009E7A97">
        <w:rPr>
          <w:rStyle w:val="Strong"/>
          <w:b w:val="0"/>
        </w:rPr>
        <w:t>476% by Week 3</w:t>
      </w:r>
      <w:r w:rsidRPr="009E7A97">
        <w:t xml:space="preserve"> compared to t</w:t>
      </w:r>
      <w:r w:rsidRPr="009E7A97">
        <w:t xml:space="preserve">he control group, while oxidative stress markers worsened, </w:t>
      </w:r>
      <w:r w:rsidRPr="009E7A97">
        <w:rPr>
          <w:rStyle w:val="Strong"/>
          <w:b w:val="0"/>
        </w:rPr>
        <w:t>SOD decreased by 62.5%</w:t>
      </w:r>
      <w:r w:rsidRPr="009E7A97">
        <w:rPr>
          <w:b/>
        </w:rPr>
        <w:t xml:space="preserve">, </w:t>
      </w:r>
      <w:r w:rsidRPr="009E7A97">
        <w:rPr>
          <w:rStyle w:val="Strong"/>
          <w:b w:val="0"/>
        </w:rPr>
        <w:t>CAT dropped by 16.1%</w:t>
      </w:r>
      <w:r w:rsidRPr="009E7A97">
        <w:rPr>
          <w:b/>
        </w:rPr>
        <w:t xml:space="preserve">, </w:t>
      </w:r>
      <w:r w:rsidRPr="009E7A97">
        <w:t>and</w:t>
      </w:r>
      <w:r w:rsidRPr="009E7A97">
        <w:rPr>
          <w:b/>
        </w:rPr>
        <w:t xml:space="preserve"> </w:t>
      </w:r>
      <w:r w:rsidRPr="009E7A97">
        <w:rPr>
          <w:rStyle w:val="Strong"/>
          <w:b w:val="0"/>
        </w:rPr>
        <w:t>MDA increased by 86.2%</w:t>
      </w:r>
      <w:r w:rsidRPr="009E7A97">
        <w:t xml:space="preserve"> at 90 days, indicating severe oxidative damage and poor cognitive performance. Treatment with </w:t>
      </w:r>
      <w:r w:rsidRPr="009E7A97">
        <w:rPr>
          <w:rStyle w:val="Strong"/>
          <w:b w:val="0"/>
        </w:rPr>
        <w:t>100 mg/kg Psidium guajava extr</w:t>
      </w:r>
      <w:r w:rsidRPr="009E7A97">
        <w:rPr>
          <w:rStyle w:val="Strong"/>
          <w:b w:val="0"/>
        </w:rPr>
        <w:t>act</w:t>
      </w:r>
      <w:r w:rsidRPr="009E7A97">
        <w:rPr>
          <w:b/>
        </w:rPr>
        <w:t xml:space="preserve"> </w:t>
      </w:r>
      <w:r w:rsidRPr="009E7A97">
        <w:t xml:space="preserve">resulted in a </w:t>
      </w:r>
      <w:r w:rsidRPr="009E7A97">
        <w:rPr>
          <w:rStyle w:val="Strong"/>
          <w:b w:val="0"/>
        </w:rPr>
        <w:t>206% increase in navigation time</w:t>
      </w:r>
      <w:r w:rsidRPr="009E7A97">
        <w:t xml:space="preserve"> by Week 3 (a sign of cognitive impairment), but it also improved oxidative balance—</w:t>
      </w:r>
      <w:r w:rsidRPr="009E7A97">
        <w:rPr>
          <w:rStyle w:val="Strong"/>
          <w:b w:val="0"/>
        </w:rPr>
        <w:t>CAT increased by 24.5%</w:t>
      </w:r>
      <w:r w:rsidRPr="009E7A97">
        <w:rPr>
          <w:b/>
        </w:rPr>
        <w:t xml:space="preserve">, </w:t>
      </w:r>
      <w:r w:rsidRPr="009E7A97">
        <w:rPr>
          <w:rStyle w:val="Strong"/>
          <w:b w:val="0"/>
        </w:rPr>
        <w:t>SOD improved by 37.2%</w:t>
      </w:r>
      <w:r w:rsidRPr="009E7A97">
        <w:rPr>
          <w:b/>
        </w:rPr>
        <w:t xml:space="preserve">, </w:t>
      </w:r>
      <w:r w:rsidRPr="009E7A97">
        <w:t>and</w:t>
      </w:r>
      <w:r w:rsidRPr="009E7A97">
        <w:rPr>
          <w:b/>
        </w:rPr>
        <w:t xml:space="preserve"> </w:t>
      </w:r>
      <w:r w:rsidRPr="009E7A97">
        <w:rPr>
          <w:rStyle w:val="Strong"/>
          <w:b w:val="0"/>
        </w:rPr>
        <w:t>MDA was reduced by 62%</w:t>
      </w:r>
      <w:r w:rsidRPr="009E7A97">
        <w:rPr>
          <w:b/>
        </w:rPr>
        <w:t>,</w:t>
      </w:r>
      <w:r w:rsidRPr="009E7A97">
        <w:t xml:space="preserve"> suggesting that the antioxidant effect helped a</w:t>
      </w:r>
      <w:r w:rsidRPr="009E7A97">
        <w:t xml:space="preserve">lleviate some cognitive decline. In contrast, </w:t>
      </w:r>
      <w:r w:rsidRPr="009E7A97">
        <w:rPr>
          <w:rStyle w:val="Strong"/>
          <w:b w:val="0"/>
        </w:rPr>
        <w:t>300 mg/kg guava extract</w:t>
      </w:r>
      <w:r w:rsidRPr="009E7A97">
        <w:rPr>
          <w:b/>
        </w:rPr>
        <w:t xml:space="preserve"> </w:t>
      </w:r>
      <w:r w:rsidRPr="009E7A97">
        <w:t>led to a</w:t>
      </w:r>
      <w:r w:rsidRPr="009E7A97">
        <w:rPr>
          <w:b/>
        </w:rPr>
        <w:t xml:space="preserve"> </w:t>
      </w:r>
      <w:r w:rsidRPr="009E7A97">
        <w:rPr>
          <w:rStyle w:val="Strong"/>
          <w:b w:val="0"/>
        </w:rPr>
        <w:t>569% increase in navigation time</w:t>
      </w:r>
      <w:r w:rsidRPr="009E7A97">
        <w:rPr>
          <w:b/>
        </w:rPr>
        <w:t>,</w:t>
      </w:r>
      <w:r w:rsidRPr="009E7A97">
        <w:t xml:space="preserve"> indicating even worse cognitive performance than the lower dose, with weaker antioxidant responses, </w:t>
      </w:r>
      <w:r w:rsidRPr="009E7A97">
        <w:rPr>
          <w:rStyle w:val="Strong"/>
          <w:b w:val="0"/>
        </w:rPr>
        <w:t>SOD rose only by 6.7%</w:t>
      </w:r>
      <w:r w:rsidRPr="009E7A97">
        <w:rPr>
          <w:b/>
        </w:rPr>
        <w:t xml:space="preserve">, </w:t>
      </w:r>
      <w:r w:rsidRPr="009E7A97">
        <w:rPr>
          <w:rStyle w:val="Strong"/>
          <w:b w:val="0"/>
        </w:rPr>
        <w:t>CAT by 16.7%</w:t>
      </w:r>
      <w:r w:rsidRPr="009E7A97">
        <w:rPr>
          <w:b/>
        </w:rPr>
        <w:t xml:space="preserve">, </w:t>
      </w:r>
      <w:r w:rsidRPr="009E7A97">
        <w:t xml:space="preserve">and </w:t>
      </w:r>
      <w:r w:rsidRPr="009E7A97">
        <w:rPr>
          <w:rStyle w:val="Strong"/>
          <w:b w:val="0"/>
        </w:rPr>
        <w:t>MD</w:t>
      </w:r>
      <w:r w:rsidRPr="009E7A97">
        <w:rPr>
          <w:rStyle w:val="Strong"/>
          <w:b w:val="0"/>
        </w:rPr>
        <w:t>A decreased by just 13.7%</w:t>
      </w:r>
      <w:r w:rsidRPr="009E7A97">
        <w:t xml:space="preserve">, suggesting possible dose-dependent toxicity. </w:t>
      </w:r>
      <w:r w:rsidRPr="009E7A97">
        <w:rPr>
          <w:rStyle w:val="Strong"/>
          <w:b w:val="0"/>
        </w:rPr>
        <w:t>Donepezil (5 mg/kg)</w:t>
      </w:r>
      <w:r w:rsidRPr="009E7A97">
        <w:t xml:space="preserve"> showed strong cognitive and oxidative protection, with </w:t>
      </w:r>
      <w:r w:rsidRPr="009E7A97">
        <w:rPr>
          <w:rStyle w:val="Strong"/>
          <w:b w:val="0"/>
        </w:rPr>
        <w:t>a 218% improvement in navigation time</w:t>
      </w:r>
      <w:r w:rsidRPr="009E7A97">
        <w:t xml:space="preserve"> and biochemical improvements such as </w:t>
      </w:r>
      <w:r w:rsidRPr="009E7A97">
        <w:rPr>
          <w:rStyle w:val="Strong"/>
          <w:b w:val="0"/>
        </w:rPr>
        <w:t>143.8% increase in CAT</w:t>
      </w:r>
      <w:r w:rsidRPr="009E7A97">
        <w:rPr>
          <w:b/>
        </w:rPr>
        <w:t xml:space="preserve">, </w:t>
      </w:r>
      <w:r w:rsidRPr="009E7A97">
        <w:rPr>
          <w:rStyle w:val="Strong"/>
          <w:b w:val="0"/>
        </w:rPr>
        <w:t>4.6% incre</w:t>
      </w:r>
      <w:r w:rsidRPr="009E7A97">
        <w:rPr>
          <w:rStyle w:val="Strong"/>
          <w:b w:val="0"/>
        </w:rPr>
        <w:t>ase in SOD</w:t>
      </w:r>
      <w:r w:rsidRPr="009E7A97">
        <w:rPr>
          <w:b/>
        </w:rPr>
        <w:t xml:space="preserve">, </w:t>
      </w:r>
      <w:r w:rsidRPr="009E7A97">
        <w:t>and</w:t>
      </w:r>
      <w:r w:rsidRPr="009E7A97">
        <w:rPr>
          <w:b/>
        </w:rPr>
        <w:t xml:space="preserve"> </w:t>
      </w:r>
      <w:r w:rsidRPr="009E7A97">
        <w:rPr>
          <w:rStyle w:val="Strong"/>
          <w:b w:val="0"/>
        </w:rPr>
        <w:t>10.3% reduction in MDA</w:t>
      </w:r>
      <w:r w:rsidRPr="009E7A97">
        <w:t>, proving it was the most effective treatment.</w:t>
      </w:r>
    </w:p>
    <w:p w14:paraId="2A8710E5" w14:textId="77777777" w:rsidR="009B45DB" w:rsidRPr="009E7A97" w:rsidRDefault="00412180">
      <w:pPr>
        <w:spacing w:line="360" w:lineRule="auto"/>
        <w:rPr>
          <w:rFonts w:ascii="Times New Roman" w:eastAsia="Times New Roman" w:hAnsi="Times New Roman" w:cs="Times New Roman"/>
          <w:b/>
          <w:sz w:val="24"/>
          <w:szCs w:val="24"/>
        </w:rPr>
      </w:pPr>
      <w:r w:rsidRPr="009E7A97">
        <w:rPr>
          <w:rFonts w:ascii="Times New Roman" w:eastAsia="Times New Roman" w:hAnsi="Times New Roman" w:cs="Times New Roman"/>
          <w:b/>
          <w:sz w:val="24"/>
          <w:szCs w:val="24"/>
        </w:rPr>
        <w:t xml:space="preserve">CONCLUSION </w:t>
      </w:r>
    </w:p>
    <w:p w14:paraId="1A9FE5C1" w14:textId="77777777" w:rsidR="009B45DB" w:rsidRPr="009E7A97" w:rsidRDefault="00412180">
      <w:pPr>
        <w:spacing w:line="360" w:lineRule="auto"/>
        <w:rPr>
          <w:rFonts w:ascii="Times New Roman" w:eastAsia="Times New Roman" w:hAnsi="Times New Roman" w:cs="Times New Roman"/>
          <w:sz w:val="24"/>
          <w:szCs w:val="24"/>
        </w:rPr>
      </w:pPr>
      <w:r w:rsidRPr="009E7A97">
        <w:rPr>
          <w:rFonts w:ascii="Times New Roman" w:eastAsia="Times New Roman" w:hAnsi="Times New Roman" w:cs="Times New Roman"/>
          <w:i/>
          <w:iCs/>
          <w:sz w:val="24"/>
          <w:szCs w:val="24"/>
        </w:rPr>
        <w:lastRenderedPageBreak/>
        <w:t>Psidium guajava</w:t>
      </w:r>
      <w:r w:rsidRPr="009E7A97">
        <w:rPr>
          <w:rFonts w:ascii="Times New Roman" w:eastAsia="Times New Roman" w:hAnsi="Times New Roman" w:cs="Times New Roman"/>
          <w:sz w:val="24"/>
          <w:szCs w:val="24"/>
        </w:rPr>
        <w:t xml:space="preserve"> extract at 100 mg/kg exhibited both cognitive enhancement and antioxidant potential in scopolamine-induced </w:t>
      </w:r>
      <w:proofErr w:type="spellStart"/>
      <w:r w:rsidRPr="009E7A97">
        <w:rPr>
          <w:rFonts w:ascii="Times New Roman" w:eastAsia="Times New Roman" w:hAnsi="Times New Roman" w:cs="Times New Roman"/>
          <w:sz w:val="24"/>
          <w:szCs w:val="24"/>
        </w:rPr>
        <w:t>alzheimer’s</w:t>
      </w:r>
      <w:proofErr w:type="spellEnd"/>
      <w:r w:rsidRPr="009E7A97">
        <w:rPr>
          <w:rFonts w:ascii="Times New Roman" w:eastAsia="Times New Roman" w:hAnsi="Times New Roman" w:cs="Times New Roman"/>
          <w:sz w:val="24"/>
          <w:szCs w:val="24"/>
        </w:rPr>
        <w:t xml:space="preserve"> disease in rats.</w:t>
      </w:r>
    </w:p>
    <w:p w14:paraId="033DD850" w14:textId="77777777" w:rsidR="009B45DB" w:rsidRPr="009E7A97" w:rsidRDefault="009B45DB">
      <w:pPr>
        <w:spacing w:line="360" w:lineRule="auto"/>
        <w:rPr>
          <w:rFonts w:ascii="Times New Roman" w:eastAsia="Times New Roman" w:hAnsi="Times New Roman" w:cs="Times New Roman"/>
          <w:b/>
          <w:sz w:val="24"/>
          <w:szCs w:val="24"/>
        </w:rPr>
      </w:pPr>
    </w:p>
    <w:p w14:paraId="76A01534" w14:textId="77777777" w:rsidR="009B45DB" w:rsidRPr="009E7A97" w:rsidRDefault="009B45DB">
      <w:pPr>
        <w:spacing w:line="360" w:lineRule="auto"/>
        <w:rPr>
          <w:rFonts w:ascii="Times New Roman" w:eastAsia="Times New Roman" w:hAnsi="Times New Roman" w:cs="Times New Roman"/>
          <w:b/>
          <w:sz w:val="24"/>
          <w:szCs w:val="24"/>
        </w:rPr>
      </w:pPr>
    </w:p>
    <w:p w14:paraId="5386EA37" w14:textId="77777777" w:rsidR="00170EF7" w:rsidRPr="009E7A97" w:rsidRDefault="00170EF7" w:rsidP="00170EF7">
      <w:pPr>
        <w:jc w:val="both"/>
        <w:outlineLvl w:val="0"/>
        <w:rPr>
          <w:rFonts w:ascii="Arial" w:hAnsi="Arial" w:cs="Arial"/>
        </w:rPr>
      </w:pPr>
      <w:r w:rsidRPr="009E7A97">
        <w:rPr>
          <w:rFonts w:ascii="Arial" w:hAnsi="Arial" w:cs="Arial"/>
          <w:b/>
          <w:bCs/>
        </w:rPr>
        <w:t>COMPETING INTERESTS DISCLAIMER:</w:t>
      </w:r>
    </w:p>
    <w:p w14:paraId="79D416D2" w14:textId="77777777" w:rsidR="00170EF7" w:rsidRPr="009E7A97" w:rsidRDefault="00170EF7" w:rsidP="00170EF7">
      <w:r w:rsidRPr="009E7A97">
        <w:t>Authors have declared that they have no known competing financial interests OR non-financial interests OR personal relationships that could have appeared to influence the work reported in this paper.</w:t>
      </w:r>
    </w:p>
    <w:p w14:paraId="587C6422" w14:textId="77777777" w:rsidR="00170EF7" w:rsidRPr="009E7A97" w:rsidRDefault="00170EF7" w:rsidP="00170EF7"/>
    <w:p w14:paraId="136ECCF0" w14:textId="77777777" w:rsidR="00170EF7" w:rsidRPr="009E7A97" w:rsidRDefault="00170EF7">
      <w:pPr>
        <w:spacing w:line="360" w:lineRule="auto"/>
        <w:rPr>
          <w:rFonts w:ascii="Times New Roman" w:eastAsia="Times New Roman" w:hAnsi="Times New Roman" w:cs="Times New Roman"/>
          <w:b/>
          <w:sz w:val="24"/>
          <w:szCs w:val="24"/>
        </w:rPr>
      </w:pPr>
    </w:p>
    <w:p w14:paraId="765A692C" w14:textId="77777777" w:rsidR="009B45DB" w:rsidRPr="009E7A97" w:rsidRDefault="009B45DB">
      <w:pPr>
        <w:spacing w:line="360" w:lineRule="auto"/>
        <w:rPr>
          <w:rFonts w:ascii="Times New Roman" w:eastAsia="Times New Roman" w:hAnsi="Times New Roman" w:cs="Times New Roman"/>
          <w:b/>
          <w:sz w:val="24"/>
          <w:szCs w:val="24"/>
        </w:rPr>
      </w:pPr>
    </w:p>
    <w:p w14:paraId="0581A284" w14:textId="77777777" w:rsidR="009B45DB" w:rsidRPr="009E7A97" w:rsidRDefault="00412180">
      <w:pPr>
        <w:spacing w:line="360" w:lineRule="auto"/>
        <w:rPr>
          <w:rFonts w:ascii="Times New Roman" w:eastAsia="Times New Roman" w:hAnsi="Times New Roman" w:cs="Times New Roman"/>
          <w:b/>
          <w:sz w:val="24"/>
          <w:szCs w:val="24"/>
        </w:rPr>
      </w:pPr>
      <w:r w:rsidRPr="009E7A97">
        <w:rPr>
          <w:rFonts w:ascii="Times New Roman" w:eastAsia="Times New Roman" w:hAnsi="Times New Roman" w:cs="Times New Roman"/>
          <w:b/>
          <w:sz w:val="24"/>
          <w:szCs w:val="24"/>
        </w:rPr>
        <w:t xml:space="preserve">REFERENCES </w:t>
      </w:r>
    </w:p>
    <w:p w14:paraId="59445A39" w14:textId="77777777" w:rsidR="009B45DB" w:rsidRPr="009E7A97" w:rsidRDefault="00412180" w:rsidP="00CF31CA">
      <w:pPr>
        <w:pStyle w:val="NormalWeb"/>
        <w:spacing w:line="360" w:lineRule="auto"/>
        <w:ind w:left="360"/>
      </w:pPr>
      <w:r w:rsidRPr="009E7A97">
        <w:rPr>
          <w:rStyle w:val="Strong"/>
          <w:b w:val="0"/>
        </w:rPr>
        <w:t xml:space="preserve">Adejumo, </w:t>
      </w:r>
      <w:r w:rsidRPr="009E7A97">
        <w:rPr>
          <w:rStyle w:val="Strong"/>
          <w:b w:val="0"/>
        </w:rPr>
        <w:t xml:space="preserve">B. O., </w:t>
      </w:r>
      <w:proofErr w:type="spellStart"/>
      <w:r w:rsidRPr="009E7A97">
        <w:rPr>
          <w:rStyle w:val="Strong"/>
          <w:b w:val="0"/>
        </w:rPr>
        <w:t>Okunade</w:t>
      </w:r>
      <w:proofErr w:type="spellEnd"/>
      <w:r w:rsidRPr="009E7A97">
        <w:rPr>
          <w:rStyle w:val="Strong"/>
          <w:b w:val="0"/>
        </w:rPr>
        <w:t>, A. L., &amp; Ojo, A. O.</w:t>
      </w:r>
      <w:r w:rsidRPr="009E7A97">
        <w:t xml:space="preserve"> (2021). </w:t>
      </w:r>
      <w:r w:rsidRPr="009E7A97">
        <w:rPr>
          <w:rStyle w:val="Emphasis"/>
        </w:rPr>
        <w:t>Catalase activity assay: Methods and applications in oxidative stress research.</w:t>
      </w:r>
      <w:r w:rsidRPr="009E7A97">
        <w:t xml:space="preserve"> </w:t>
      </w:r>
      <w:r w:rsidRPr="009E7A97">
        <w:rPr>
          <w:rStyle w:val="Strong"/>
          <w:b w:val="0"/>
        </w:rPr>
        <w:t>African Journal of Biochemistry Research</w:t>
      </w:r>
      <w:r w:rsidRPr="009E7A97">
        <w:t xml:space="preserve">, 15(4), 120–128. </w:t>
      </w:r>
      <w:hyperlink r:id="rId8" w:tgtFrame="_new" w:history="1">
        <w:r w:rsidR="009B45DB" w:rsidRPr="009E7A97">
          <w:rPr>
            <w:rStyle w:val="Hyperlink"/>
          </w:rPr>
          <w:t>https://doi.org/10.5897/AJBR2021.1124</w:t>
        </w:r>
      </w:hyperlink>
    </w:p>
    <w:p w14:paraId="2E46265B" w14:textId="77777777" w:rsidR="009B45DB" w:rsidRPr="009E7A97" w:rsidRDefault="00412180" w:rsidP="00CF31CA">
      <w:pPr>
        <w:pStyle w:val="NormalWeb"/>
        <w:spacing w:line="360" w:lineRule="auto"/>
        <w:ind w:left="360" w:right="-113"/>
      </w:pPr>
      <w:r w:rsidRPr="009E7A97">
        <w:rPr>
          <w:rStyle w:val="Strong"/>
          <w:b w:val="0"/>
        </w:rPr>
        <w:t>Adeyemi, O. A., Balogun, F. O., &amp; Okonkwo, E.</w:t>
      </w:r>
      <w:r w:rsidRPr="009E7A97">
        <w:t xml:space="preserve"> (2024). </w:t>
      </w:r>
      <w:r w:rsidRPr="009E7A97">
        <w:rPr>
          <w:rStyle w:val="Emphasis"/>
        </w:rPr>
        <w:t>Assessment of motor coordination using beam walk test in scopolamine-induced cognitive impaired rats treated with plant-derived antioxidants.</w:t>
      </w:r>
      <w:r w:rsidRPr="009E7A97">
        <w:t xml:space="preserve"> </w:t>
      </w:r>
      <w:r w:rsidRPr="009E7A97">
        <w:rPr>
          <w:rStyle w:val="Strong"/>
          <w:b w:val="0"/>
        </w:rPr>
        <w:t>Journal of Ethnopharmacology</w:t>
      </w:r>
      <w:r w:rsidRPr="009E7A97">
        <w:t xml:space="preserve">, 325, 116987. </w:t>
      </w:r>
      <w:hyperlink r:id="rId9" w:tgtFrame="_new" w:history="1">
        <w:r w:rsidR="009B45DB" w:rsidRPr="009E7A97">
          <w:rPr>
            <w:rStyle w:val="Hyperlink"/>
          </w:rPr>
          <w:t>https://doi.org/10.1016/j.jep.2024.116987</w:t>
        </w:r>
      </w:hyperlink>
    </w:p>
    <w:p w14:paraId="543A4F3E" w14:textId="77777777" w:rsidR="009B45DB" w:rsidRPr="009E7A97" w:rsidRDefault="00412180" w:rsidP="00CF31CA">
      <w:pPr>
        <w:pStyle w:val="NormalWeb"/>
        <w:spacing w:line="360" w:lineRule="auto"/>
        <w:ind w:left="360" w:right="-113"/>
      </w:pPr>
      <w:proofErr w:type="spellStart"/>
      <w:r w:rsidRPr="009E7A97">
        <w:rPr>
          <w:rStyle w:val="Strong"/>
          <w:b w:val="0"/>
        </w:rPr>
        <w:t>Alsubaie</w:t>
      </w:r>
      <w:proofErr w:type="spellEnd"/>
      <w:r w:rsidRPr="009E7A97">
        <w:rPr>
          <w:rStyle w:val="Strong"/>
          <w:b w:val="0"/>
        </w:rPr>
        <w:t>, A. M., Alqahtani, A. M., &amp; Hassan, W.</w:t>
      </w:r>
      <w:r w:rsidRPr="009E7A97">
        <w:t xml:space="preserve"> (2023). </w:t>
      </w:r>
      <w:r w:rsidRPr="009E7A97">
        <w:rPr>
          <w:rStyle w:val="Emphasis"/>
        </w:rPr>
        <w:t xml:space="preserve">Comparative analysis of TBARS-based MDA detection methods in brain </w:t>
      </w:r>
      <w:r w:rsidRPr="009E7A97">
        <w:rPr>
          <w:rStyle w:val="Emphasis"/>
        </w:rPr>
        <w:t>homogenates.</w:t>
      </w:r>
      <w:r w:rsidRPr="009E7A97">
        <w:t xml:space="preserve"> </w:t>
      </w:r>
      <w:r w:rsidRPr="009E7A97">
        <w:rPr>
          <w:rStyle w:val="Strong"/>
          <w:b w:val="0"/>
        </w:rPr>
        <w:t>Journal of Neuroscience Research</w:t>
      </w:r>
      <w:r w:rsidRPr="009E7A97">
        <w:t xml:space="preserve">, 101(2), 456–463. </w:t>
      </w:r>
      <w:hyperlink r:id="rId10" w:tgtFrame="_new" w:history="1">
        <w:r w:rsidR="009B45DB" w:rsidRPr="009E7A97">
          <w:rPr>
            <w:rStyle w:val="Hyperlink"/>
          </w:rPr>
          <w:t>https://doi.org/10.1002/jnr.25002</w:t>
        </w:r>
      </w:hyperlink>
    </w:p>
    <w:p w14:paraId="08A4CAF9" w14:textId="55378EF8" w:rsidR="004534C8" w:rsidRPr="004534C8" w:rsidRDefault="004534C8" w:rsidP="00CF31CA">
      <w:pPr>
        <w:pStyle w:val="NormalWeb"/>
        <w:spacing w:line="360" w:lineRule="auto"/>
        <w:ind w:left="360" w:right="-113"/>
        <w:rPr>
          <w:rStyle w:val="Strong"/>
          <w:b w:val="0"/>
          <w:bCs w:val="0"/>
        </w:rPr>
      </w:pPr>
      <w:r w:rsidRPr="004534C8">
        <w:rPr>
          <w:rStyle w:val="Strong"/>
          <w:b w:val="0"/>
        </w:rPr>
        <w:t xml:space="preserve">Alzheimer’s Association. (2016). 2016 Alzheimer’s disease facts and figures. Alzheimer’s &amp; Dementia, 12(4), 459–509. </w:t>
      </w:r>
      <w:hyperlink r:id="rId11" w:history="1">
        <w:r w:rsidRPr="000B140C">
          <w:rPr>
            <w:rStyle w:val="Hyperlink"/>
          </w:rPr>
          <w:t>https://doi.org/10.1016/j.jalz.2016.03.001</w:t>
        </w:r>
      </w:hyperlink>
    </w:p>
    <w:p w14:paraId="5C73271E" w14:textId="083F8A2E" w:rsidR="009B45DB" w:rsidRPr="009E7A97" w:rsidRDefault="00412180" w:rsidP="00CF31CA">
      <w:pPr>
        <w:pStyle w:val="NormalWeb"/>
        <w:spacing w:line="360" w:lineRule="auto"/>
        <w:ind w:left="360" w:right="-113"/>
      </w:pPr>
      <w:r w:rsidRPr="009E7A97">
        <w:rPr>
          <w:rStyle w:val="Strong"/>
          <w:b w:val="0"/>
        </w:rPr>
        <w:t>Bakhtiari, N., Jahan, S., &amp; Ahmad, R.</w:t>
      </w:r>
      <w:r w:rsidRPr="009E7A97">
        <w:t xml:space="preserve"> (2021). </w:t>
      </w:r>
      <w:r w:rsidRPr="009E7A97">
        <w:rPr>
          <w:rStyle w:val="Emphasis"/>
        </w:rPr>
        <w:t>Evaluation of oxidative stress parameters: A reliable approach to assess antioxidant pote</w:t>
      </w:r>
      <w:r w:rsidRPr="009E7A97">
        <w:rPr>
          <w:rStyle w:val="Emphasis"/>
        </w:rPr>
        <w:t>ntial.</w:t>
      </w:r>
      <w:r w:rsidRPr="009E7A97">
        <w:t xml:space="preserve"> </w:t>
      </w:r>
      <w:r w:rsidRPr="009E7A97">
        <w:rPr>
          <w:rStyle w:val="Strong"/>
          <w:b w:val="0"/>
        </w:rPr>
        <w:t>Biomedicine and Pharmacotherapy</w:t>
      </w:r>
      <w:r w:rsidRPr="009E7A97">
        <w:t xml:space="preserve">, 138, 111467. </w:t>
      </w:r>
      <w:hyperlink r:id="rId12" w:tgtFrame="_new" w:history="1">
        <w:r w:rsidR="009B45DB" w:rsidRPr="009E7A97">
          <w:rPr>
            <w:rStyle w:val="Hyperlink"/>
          </w:rPr>
          <w:t>https://doi.org/10.1016/j.biopha.2021.111467</w:t>
        </w:r>
      </w:hyperlink>
    </w:p>
    <w:p w14:paraId="48B08DDA" w14:textId="55319165" w:rsidR="009B45DB" w:rsidRPr="009E7A97" w:rsidRDefault="00412180" w:rsidP="00CF31CA">
      <w:pPr>
        <w:pStyle w:val="NormalWeb"/>
        <w:spacing w:line="360" w:lineRule="auto"/>
        <w:ind w:left="360" w:right="-113"/>
      </w:pPr>
      <w:r w:rsidRPr="009E7A97">
        <w:rPr>
          <w:rStyle w:val="Strong"/>
          <w:b w:val="0"/>
        </w:rPr>
        <w:lastRenderedPageBreak/>
        <w:t>Bibi, S., Bakhtiari, N., Khan, S. R., &amp; Ali, T.</w:t>
      </w:r>
      <w:r w:rsidRPr="009E7A97">
        <w:t xml:space="preserve"> (2023). </w:t>
      </w:r>
      <w:r w:rsidRPr="009E7A97">
        <w:rPr>
          <w:rStyle w:val="Emphasis"/>
        </w:rPr>
        <w:t>Superoxide dismutase activity a</w:t>
      </w:r>
      <w:r w:rsidRPr="009E7A97">
        <w:rPr>
          <w:rStyle w:val="Emphasis"/>
        </w:rPr>
        <w:t>ssay using the xanthine–xanthine oxidase system: Protocol and applications in neurotoxicity models.</w:t>
      </w:r>
      <w:r w:rsidRPr="009E7A97">
        <w:t xml:space="preserve"> </w:t>
      </w:r>
      <w:r w:rsidRPr="009E7A97">
        <w:rPr>
          <w:rStyle w:val="Strong"/>
          <w:b w:val="0"/>
        </w:rPr>
        <w:t>Journal of Biochemical Techniques</w:t>
      </w:r>
      <w:r w:rsidRPr="009E7A97">
        <w:t>, 15(3), 115–123.</w:t>
      </w:r>
    </w:p>
    <w:p w14:paraId="37DD3F9D" w14:textId="41E0574C" w:rsidR="004534C8" w:rsidRPr="004534C8" w:rsidRDefault="004534C8" w:rsidP="00CF31CA">
      <w:pPr>
        <w:pStyle w:val="NormalWeb"/>
        <w:spacing w:line="360" w:lineRule="auto"/>
        <w:ind w:left="360" w:right="-113"/>
        <w:rPr>
          <w:rStyle w:val="Strong"/>
          <w:b w:val="0"/>
          <w:bCs w:val="0"/>
        </w:rPr>
      </w:pPr>
      <w:r w:rsidRPr="004534C8">
        <w:rPr>
          <w:rStyle w:val="Strong"/>
          <w:b w:val="0"/>
        </w:rPr>
        <w:t xml:space="preserve">Castellani, R. J., Rolston, R. K., &amp; Smith, M. A. (2010). Alzheimer disease. Disease-a-Month, 56(9), 484–546. </w:t>
      </w:r>
      <w:hyperlink r:id="rId13" w:history="1">
        <w:r w:rsidRPr="000B140C">
          <w:rPr>
            <w:rStyle w:val="Hyperlink"/>
          </w:rPr>
          <w:t>https://doi.org/10.1016/j.disamonth.2010.06.001</w:t>
        </w:r>
      </w:hyperlink>
    </w:p>
    <w:p w14:paraId="5BD35C82" w14:textId="49009EE9" w:rsidR="009B45DB" w:rsidRPr="009E7A97" w:rsidRDefault="00412180" w:rsidP="00CF31CA">
      <w:pPr>
        <w:pStyle w:val="NormalWeb"/>
        <w:spacing w:line="360" w:lineRule="auto"/>
        <w:ind w:left="360" w:right="-113"/>
      </w:pPr>
      <w:r w:rsidRPr="009E7A97">
        <w:rPr>
          <w:rStyle w:val="Strong"/>
          <w:b w:val="0"/>
        </w:rPr>
        <w:t>Chen, Y., Liu, Y., Zhang, Q., &amp; Wang, X.</w:t>
      </w:r>
      <w:r w:rsidRPr="009E7A97">
        <w:t xml:space="preserve"> (2023). </w:t>
      </w:r>
      <w:r w:rsidRPr="009E7A97">
        <w:rPr>
          <w:rStyle w:val="Emphasis"/>
        </w:rPr>
        <w:t>Motor coordination and balance evaluation in Alzheimer’s and Parkinson’s rodent models usi</w:t>
      </w:r>
      <w:r w:rsidRPr="009E7A97">
        <w:rPr>
          <w:rStyle w:val="Emphasis"/>
        </w:rPr>
        <w:t>ng beam walk test.</w:t>
      </w:r>
      <w:r w:rsidRPr="009E7A97">
        <w:t xml:space="preserve"> </w:t>
      </w:r>
      <w:proofErr w:type="spellStart"/>
      <w:r w:rsidRPr="009E7A97">
        <w:rPr>
          <w:rStyle w:val="Strong"/>
          <w:b w:val="0"/>
        </w:rPr>
        <w:t>Behavioural</w:t>
      </w:r>
      <w:proofErr w:type="spellEnd"/>
      <w:r w:rsidRPr="009E7A97">
        <w:rPr>
          <w:rStyle w:val="Strong"/>
          <w:b w:val="0"/>
        </w:rPr>
        <w:t xml:space="preserve"> Brain Research</w:t>
      </w:r>
      <w:r w:rsidRPr="009E7A97">
        <w:t>, 441, 114273. https://doi.org/10.1016/j.bbr.2023.114273</w:t>
      </w:r>
    </w:p>
    <w:p w14:paraId="5690C1AA" w14:textId="48A58151" w:rsidR="009B45DB" w:rsidRPr="009E7A97" w:rsidRDefault="00412180" w:rsidP="00CF31CA">
      <w:pPr>
        <w:pStyle w:val="NormalWeb"/>
        <w:spacing w:line="360" w:lineRule="auto"/>
        <w:ind w:left="360" w:right="-113"/>
      </w:pPr>
      <w:r w:rsidRPr="009E7A97">
        <w:rPr>
          <w:rStyle w:val="Strong"/>
          <w:b w:val="0"/>
        </w:rPr>
        <w:t>Gupta, V., &amp; Nwosu, C. J.</w:t>
      </w:r>
      <w:r w:rsidRPr="009E7A97">
        <w:t xml:space="preserve"> (2025). </w:t>
      </w:r>
      <w:r w:rsidRPr="009E7A97">
        <w:rPr>
          <w:rStyle w:val="Emphasis"/>
        </w:rPr>
        <w:t>Comparative efficacy of neuroprotective compounds in rodent models of Alzheimer’s disease: Behavioral and molecular corr</w:t>
      </w:r>
      <w:r w:rsidRPr="009E7A97">
        <w:rPr>
          <w:rStyle w:val="Emphasis"/>
        </w:rPr>
        <w:t>elations.</w:t>
      </w:r>
      <w:r w:rsidRPr="009E7A97">
        <w:t xml:space="preserve"> </w:t>
      </w:r>
      <w:r w:rsidRPr="009E7A97">
        <w:rPr>
          <w:rStyle w:val="Strong"/>
          <w:b w:val="0"/>
        </w:rPr>
        <w:t>Neurotherapeutics</w:t>
      </w:r>
      <w:r w:rsidRPr="009E7A97">
        <w:t xml:space="preserve">, 22(1), 55–68. </w:t>
      </w:r>
      <w:hyperlink r:id="rId14" w:tgtFrame="_new" w:history="1">
        <w:r w:rsidR="009B45DB" w:rsidRPr="009E7A97">
          <w:rPr>
            <w:rStyle w:val="Hyperlink"/>
          </w:rPr>
          <w:t>https://doi.org/10.1016/j.nurt.2025.01.005</w:t>
        </w:r>
      </w:hyperlink>
    </w:p>
    <w:p w14:paraId="0A6279D1" w14:textId="77777777" w:rsidR="009B45DB" w:rsidRPr="009E7A97" w:rsidRDefault="00412180" w:rsidP="00CF31CA">
      <w:pPr>
        <w:pStyle w:val="NormalWeb"/>
        <w:spacing w:line="360" w:lineRule="auto"/>
        <w:ind w:left="360" w:right="-113"/>
      </w:pPr>
      <w:r w:rsidRPr="009E7A97">
        <w:rPr>
          <w:rStyle w:val="Strong"/>
          <w:b w:val="0"/>
        </w:rPr>
        <w:t>Hen, Y., Liu, X., &amp; Zhang, L.</w:t>
      </w:r>
      <w:r w:rsidRPr="009E7A97">
        <w:t xml:space="preserve"> (2023). </w:t>
      </w:r>
      <w:r w:rsidRPr="009E7A97">
        <w:rPr>
          <w:rStyle w:val="Emphasis"/>
        </w:rPr>
        <w:t>Behavioral and motor function recovery in mice following trauma</w:t>
      </w:r>
      <w:r w:rsidRPr="009E7A97">
        <w:rPr>
          <w:rStyle w:val="Emphasis"/>
        </w:rPr>
        <w:t>tic brain injury: Insights from the beam walking test.</w:t>
      </w:r>
      <w:r w:rsidRPr="009E7A97">
        <w:t xml:space="preserve"> </w:t>
      </w:r>
      <w:r w:rsidRPr="009E7A97">
        <w:rPr>
          <w:rStyle w:val="Strong"/>
          <w:b w:val="0"/>
        </w:rPr>
        <w:t>Neuroscience Letters</w:t>
      </w:r>
      <w:r w:rsidRPr="009E7A97">
        <w:t xml:space="preserve">, 813, 137213. </w:t>
      </w:r>
      <w:hyperlink r:id="rId15" w:tgtFrame="_new" w:history="1">
        <w:r w:rsidR="009B45DB" w:rsidRPr="009E7A97">
          <w:rPr>
            <w:rStyle w:val="Hyperlink"/>
          </w:rPr>
          <w:t>https://doi.org/10.1016/j.neulet.2023.137213</w:t>
        </w:r>
      </w:hyperlink>
    </w:p>
    <w:p w14:paraId="7EE7FF58" w14:textId="105EDD6A" w:rsidR="009B45DB" w:rsidRPr="009E7A97" w:rsidRDefault="00412180" w:rsidP="00CF31CA">
      <w:pPr>
        <w:pStyle w:val="NormalWeb"/>
        <w:spacing w:line="360" w:lineRule="auto"/>
        <w:ind w:left="360" w:right="-113"/>
      </w:pPr>
      <w:r w:rsidRPr="009E7A97">
        <w:rPr>
          <w:rStyle w:val="Strong"/>
          <w:b w:val="0"/>
        </w:rPr>
        <w:t>Jahan, S., Khan, M., &amp; Rehman, S.</w:t>
      </w:r>
      <w:r w:rsidRPr="009E7A97">
        <w:t xml:space="preserve"> (2022). </w:t>
      </w:r>
      <w:r w:rsidRPr="009E7A97">
        <w:rPr>
          <w:rStyle w:val="Emphasis"/>
        </w:rPr>
        <w:t xml:space="preserve">Role of </w:t>
      </w:r>
      <w:r w:rsidRPr="009E7A97">
        <w:rPr>
          <w:rStyle w:val="Emphasis"/>
        </w:rPr>
        <w:t>SOD in mitigating neurodegenerative disorders: A review of its biochemical significance.</w:t>
      </w:r>
      <w:r w:rsidRPr="009E7A97">
        <w:t xml:space="preserve"> </w:t>
      </w:r>
      <w:r w:rsidRPr="009E7A97">
        <w:rPr>
          <w:rStyle w:val="Strong"/>
          <w:b w:val="0"/>
        </w:rPr>
        <w:t>Neuroscience Insights</w:t>
      </w:r>
      <w:r w:rsidRPr="009E7A97">
        <w:t xml:space="preserve">, 17, 1–9. </w:t>
      </w:r>
      <w:hyperlink r:id="rId16" w:tgtFrame="_new" w:history="1">
        <w:r w:rsidR="009B45DB" w:rsidRPr="009E7A97">
          <w:rPr>
            <w:rStyle w:val="Hyperlink"/>
          </w:rPr>
          <w:t>https://doi.org/10.1177/26331055221101864</w:t>
        </w:r>
      </w:hyperlink>
    </w:p>
    <w:p w14:paraId="253BCA8E" w14:textId="2260EEF2" w:rsidR="009B45DB" w:rsidRPr="009E7A97" w:rsidRDefault="00412180" w:rsidP="00CF31CA">
      <w:pPr>
        <w:pStyle w:val="NormalWeb"/>
        <w:spacing w:line="360" w:lineRule="auto"/>
        <w:ind w:left="360" w:right="-113"/>
      </w:pPr>
      <w:r w:rsidRPr="009E7A97">
        <w:rPr>
          <w:rStyle w:val="Strong"/>
          <w:b w:val="0"/>
        </w:rPr>
        <w:t>Khan, M. R., Alghamdi, A.</w:t>
      </w:r>
      <w:r w:rsidRPr="009E7A97">
        <w:rPr>
          <w:rStyle w:val="Strong"/>
          <w:b w:val="0"/>
        </w:rPr>
        <w:t xml:space="preserve"> A., &amp; Farooq, A.</w:t>
      </w:r>
      <w:r w:rsidRPr="009E7A97">
        <w:t xml:space="preserve"> (2022). </w:t>
      </w:r>
      <w:r w:rsidRPr="009E7A97">
        <w:rPr>
          <w:rStyle w:val="Emphasis"/>
        </w:rPr>
        <w:t>Assessment of lipid peroxidation by TBARS assay: Revisiting malondialdehyde as a biomarker.</w:t>
      </w:r>
      <w:r w:rsidRPr="009E7A97">
        <w:t xml:space="preserve"> </w:t>
      </w:r>
      <w:r w:rsidRPr="009E7A97">
        <w:rPr>
          <w:rStyle w:val="Strong"/>
          <w:b w:val="0"/>
        </w:rPr>
        <w:t>Oxidative Medicine and Cellular Longevity</w:t>
      </w:r>
      <w:r w:rsidRPr="009E7A97">
        <w:t xml:space="preserve">, 2022, 1–10. </w:t>
      </w:r>
      <w:hyperlink r:id="rId17" w:tgtFrame="_new" w:history="1">
        <w:r w:rsidR="009B45DB" w:rsidRPr="009E7A97">
          <w:rPr>
            <w:rStyle w:val="Hyperlink"/>
          </w:rPr>
          <w:t>https://doi.org/10.1155/2022/9876543</w:t>
        </w:r>
      </w:hyperlink>
    </w:p>
    <w:p w14:paraId="44F71A9A" w14:textId="5633F8EB" w:rsidR="004534C8" w:rsidRPr="004534C8" w:rsidRDefault="004534C8" w:rsidP="00CF31CA">
      <w:pPr>
        <w:pStyle w:val="NormalWeb"/>
        <w:spacing w:line="360" w:lineRule="auto"/>
        <w:ind w:left="360" w:right="-113"/>
        <w:rPr>
          <w:rStyle w:val="Strong"/>
          <w:b w:val="0"/>
          <w:bCs w:val="0"/>
        </w:rPr>
      </w:pPr>
      <w:r w:rsidRPr="004534C8">
        <w:rPr>
          <w:rStyle w:val="Strong"/>
          <w:b w:val="0"/>
        </w:rPr>
        <w:t xml:space="preserve">Kosteniuk, J. G., Morgan, D. G., O’Connell, M. E., Dal Bello-Haas, V., &amp; Stewart, N. J. (2015). Incidence and prevalence of dementia in linked administrative health data in Saskatchewan, Canada: a retrospective cohort study. BMC Geriatrics </w:t>
      </w:r>
      <w:hyperlink r:id="rId18" w:history="1">
        <w:r w:rsidRPr="000B140C">
          <w:rPr>
            <w:rStyle w:val="Hyperlink"/>
          </w:rPr>
          <w:t>https://doi.org/10.1186/s12877-015-0075-3</w:t>
        </w:r>
      </w:hyperlink>
    </w:p>
    <w:p w14:paraId="78599741" w14:textId="662853AE" w:rsidR="004534C8" w:rsidRPr="004534C8" w:rsidRDefault="004534C8" w:rsidP="00CF31CA">
      <w:pPr>
        <w:pStyle w:val="NormalWeb"/>
        <w:spacing w:line="360" w:lineRule="auto"/>
        <w:ind w:left="360" w:right="-113"/>
        <w:rPr>
          <w:rStyle w:val="Strong"/>
          <w:b w:val="0"/>
          <w:bCs w:val="0"/>
        </w:rPr>
      </w:pPr>
      <w:r w:rsidRPr="004534C8">
        <w:rPr>
          <w:rStyle w:val="Strong"/>
          <w:b w:val="0"/>
        </w:rPr>
        <w:t xml:space="preserve">Satizabal, C. L., Beiser, A. S., &amp; </w:t>
      </w:r>
      <w:proofErr w:type="spellStart"/>
      <w:r w:rsidRPr="004534C8">
        <w:rPr>
          <w:rStyle w:val="Strong"/>
          <w:b w:val="0"/>
        </w:rPr>
        <w:t>Chouraki</w:t>
      </w:r>
      <w:proofErr w:type="spellEnd"/>
      <w:r w:rsidRPr="004534C8">
        <w:rPr>
          <w:rStyle w:val="Strong"/>
          <w:b w:val="0"/>
        </w:rPr>
        <w:t xml:space="preserve">, V. (2016). Incidence of Dementia over Three Decades in the Framingham Heart Study. New England Journal of Medicine, 374(6), 523–532. </w:t>
      </w:r>
      <w:hyperlink r:id="rId19" w:history="1">
        <w:r w:rsidRPr="000B140C">
          <w:rPr>
            <w:rStyle w:val="Hyperlink"/>
          </w:rPr>
          <w:t>https://doi.org/10.1056/NEJMoa1504327</w:t>
        </w:r>
      </w:hyperlink>
    </w:p>
    <w:p w14:paraId="6F4EB424" w14:textId="221E1D5F" w:rsidR="009B45DB" w:rsidRPr="009E7A97" w:rsidRDefault="00412180" w:rsidP="00CF31CA">
      <w:pPr>
        <w:pStyle w:val="NormalWeb"/>
        <w:spacing w:line="360" w:lineRule="auto"/>
        <w:ind w:left="360" w:right="-113"/>
      </w:pPr>
      <w:proofErr w:type="spellStart"/>
      <w:r w:rsidRPr="009E7A97">
        <w:rPr>
          <w:rStyle w:val="Strong"/>
          <w:b w:val="0"/>
        </w:rPr>
        <w:lastRenderedPageBreak/>
        <w:t>Svaz</w:t>
      </w:r>
      <w:proofErr w:type="spellEnd"/>
      <w:r w:rsidRPr="009E7A97">
        <w:rPr>
          <w:rStyle w:val="Strong"/>
          <w:b w:val="0"/>
        </w:rPr>
        <w:t>, R.</w:t>
      </w:r>
      <w:r w:rsidRPr="009E7A97">
        <w:t xml:space="preserve"> (2021). </w:t>
      </w:r>
      <w:r w:rsidRPr="009E7A97">
        <w:rPr>
          <w:rStyle w:val="Emphasis"/>
        </w:rPr>
        <w:t>Spatial learning and navigation behavior in rodent models: A review of maze-based testing.</w:t>
      </w:r>
      <w:r w:rsidRPr="009E7A97">
        <w:t xml:space="preserve"> </w:t>
      </w:r>
      <w:r w:rsidRPr="009E7A97">
        <w:rPr>
          <w:rStyle w:val="Strong"/>
          <w:b w:val="0"/>
        </w:rPr>
        <w:t>Journal of Comparative Neuroscien</w:t>
      </w:r>
      <w:r w:rsidRPr="009E7A97">
        <w:rPr>
          <w:rStyle w:val="Strong"/>
          <w:b w:val="0"/>
        </w:rPr>
        <w:t>ce</w:t>
      </w:r>
      <w:r w:rsidRPr="009E7A97">
        <w:t>, 36(2), 141–155.</w:t>
      </w:r>
    </w:p>
    <w:p w14:paraId="763D2EDE" w14:textId="0A2F988A" w:rsidR="009B45DB" w:rsidRPr="00CF31CA" w:rsidRDefault="004534C8" w:rsidP="00CF31CA">
      <w:pPr>
        <w:spacing w:line="360" w:lineRule="auto"/>
        <w:ind w:left="360"/>
        <w:rPr>
          <w:rStyle w:val="Strong"/>
          <w:rFonts w:ascii="Times New Roman" w:eastAsia="Times New Roman" w:hAnsi="Times New Roman" w:cs="Times New Roman"/>
          <w:b w:val="0"/>
          <w:sz w:val="24"/>
          <w:szCs w:val="24"/>
        </w:rPr>
      </w:pPr>
      <w:r w:rsidRPr="00CF31CA">
        <w:rPr>
          <w:rStyle w:val="Strong"/>
          <w:rFonts w:ascii="Times New Roman" w:eastAsia="Times New Roman" w:hAnsi="Times New Roman" w:cs="Times New Roman"/>
          <w:b w:val="0"/>
          <w:sz w:val="24"/>
          <w:szCs w:val="24"/>
        </w:rPr>
        <w:t xml:space="preserve">Verdile, G., Fuller, S., Atwood, C. S., Laws, S. M., Gandy, S. E., &amp; Martins, R. N. (2004). The role of beta amyloid in Alzheimer's disease: Still a cause of everything or the only one who got caught? Pharmacological Research, 50(4), 397–409. </w:t>
      </w:r>
      <w:hyperlink r:id="rId20" w:history="1">
        <w:r w:rsidRPr="00CF31CA">
          <w:rPr>
            <w:rStyle w:val="Hyperlink"/>
            <w:rFonts w:ascii="Times New Roman" w:eastAsia="Times New Roman" w:hAnsi="Times New Roman" w:cs="Times New Roman"/>
            <w:sz w:val="24"/>
            <w:szCs w:val="24"/>
          </w:rPr>
          <w:t>https://doi.org/10.1016/j.phrs.2003.12.028</w:t>
        </w:r>
      </w:hyperlink>
    </w:p>
    <w:p w14:paraId="59692829" w14:textId="77777777" w:rsidR="004534C8" w:rsidRDefault="004534C8">
      <w:pPr>
        <w:spacing w:line="360" w:lineRule="auto"/>
        <w:rPr>
          <w:rFonts w:ascii="Times New Roman" w:eastAsia="Times New Roman" w:hAnsi="Times New Roman" w:cs="Times New Roman"/>
          <w:sz w:val="24"/>
          <w:szCs w:val="24"/>
        </w:rPr>
      </w:pPr>
    </w:p>
    <w:sectPr w:rsidR="004534C8">
      <w:headerReference w:type="even" r:id="rId21"/>
      <w:headerReference w:type="default" r:id="rId22"/>
      <w:footerReference w:type="even" r:id="rId23"/>
      <w:footerReference w:type="default" r:id="rId24"/>
      <w:headerReference w:type="first" r:id="rId25"/>
      <w:footerReference w:type="first" r:id="rId2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BED28" w14:textId="77777777" w:rsidR="00412180" w:rsidRDefault="00412180">
      <w:pPr>
        <w:spacing w:after="0" w:line="240" w:lineRule="auto"/>
      </w:pPr>
      <w:r>
        <w:separator/>
      </w:r>
    </w:p>
  </w:endnote>
  <w:endnote w:type="continuationSeparator" w:id="0">
    <w:p w14:paraId="113A2E45" w14:textId="77777777" w:rsidR="00412180" w:rsidRDefault="00412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Noto Serif CJK SC">
    <w:panose1 w:val="00000000000000000000"/>
    <w:charset w:val="00"/>
    <w:family w:val="roman"/>
    <w:notTrueType/>
    <w:pitch w:val="default"/>
  </w:font>
  <w:font w:name="FreeSans">
    <w:altName w:val="Cambria"/>
    <w:panose1 w:val="00000000000000000000"/>
    <w:charset w:val="00"/>
    <w:family w:val="roman"/>
    <w:notTrueType/>
    <w:pitch w:val="default"/>
  </w:font>
  <w:font w:name="Arial MT">
    <w:altName w:val="Arial"/>
    <w:panose1 w:val="00000000000000000000"/>
    <w:charset w:val="00"/>
    <w:family w:val="roman"/>
    <w:notTrueType/>
    <w:pitch w:val="default"/>
  </w:font>
  <w:font w:name="Droid Sans Fallback">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3E008" w14:textId="77777777" w:rsidR="007927BE" w:rsidRDefault="007927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C9918" w14:textId="77777777" w:rsidR="009B45DB" w:rsidRDefault="00412180">
    <w:pPr>
      <w:pStyle w:val="Footer"/>
      <w:jc w:val="center"/>
    </w:pPr>
    <w:r>
      <w:fldChar w:fldCharType="begin"/>
    </w:r>
    <w:r>
      <w:instrText xml:space="preserve"> PAGE   \* MERGEFORMAT </w:instrText>
    </w:r>
    <w:r>
      <w:fldChar w:fldCharType="separate"/>
    </w:r>
    <w:r>
      <w:rPr>
        <w:noProof/>
      </w:rPr>
      <w:t>12</w:t>
    </w:r>
    <w:r>
      <w:fldChar w:fldCharType="end"/>
    </w:r>
  </w:p>
  <w:p w14:paraId="4D0A077B" w14:textId="77777777" w:rsidR="009B45DB" w:rsidRDefault="009B45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E82F" w14:textId="77777777" w:rsidR="007927BE" w:rsidRDefault="00792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FD17" w14:textId="77777777" w:rsidR="00412180" w:rsidRDefault="00412180">
      <w:pPr>
        <w:spacing w:after="0" w:line="240" w:lineRule="auto"/>
      </w:pPr>
      <w:r>
        <w:separator/>
      </w:r>
    </w:p>
  </w:footnote>
  <w:footnote w:type="continuationSeparator" w:id="0">
    <w:p w14:paraId="103A4330" w14:textId="77777777" w:rsidR="00412180" w:rsidRDefault="0041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3F24" w14:textId="09DE1DBA" w:rsidR="007927BE" w:rsidRDefault="007927BE">
    <w:pPr>
      <w:pStyle w:val="Header"/>
    </w:pPr>
    <w:r>
      <w:rPr>
        <w:noProof/>
      </w:rPr>
      <w:pict w14:anchorId="756A4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9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B443B" w14:textId="15DFABFB" w:rsidR="007927BE" w:rsidRDefault="007927BE">
    <w:pPr>
      <w:pStyle w:val="Header"/>
    </w:pPr>
    <w:r>
      <w:rPr>
        <w:noProof/>
      </w:rPr>
      <w:pict w14:anchorId="06A57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9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5800" w14:textId="78E6550C" w:rsidR="007927BE" w:rsidRDefault="007927BE">
    <w:pPr>
      <w:pStyle w:val="Header"/>
    </w:pPr>
    <w:r>
      <w:rPr>
        <w:noProof/>
      </w:rPr>
      <w:pict w14:anchorId="35A43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7929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6EB2F11C"/>
    <w:lvl w:ilvl="0">
      <w:start w:val="1"/>
      <w:numFmt w:val="bullet"/>
      <w:lvlText w:val=""/>
      <w:lvlJc w:val="left"/>
      <w:pPr>
        <w:tabs>
          <w:tab w:val="left" w:pos="420"/>
        </w:tabs>
        <w:ind w:left="420" w:hanging="420"/>
      </w:pPr>
      <w:rPr>
        <w:rFonts w:ascii="Wingdings" w:hAnsi="Wingdings" w:hint="default"/>
        <w:sz w:val="11"/>
        <w:szCs w:val="11"/>
      </w:rPr>
    </w:lvl>
  </w:abstractNum>
  <w:abstractNum w:abstractNumId="1" w15:restartNumberingAfterBreak="0">
    <w:nsid w:val="27D97B43"/>
    <w:multiLevelType w:val="hybridMultilevel"/>
    <w:tmpl w:val="BDB42FDE"/>
    <w:lvl w:ilvl="0" w:tplc="E44CD7E6">
      <w:start w:val="1"/>
      <w:numFmt w:val="bullet"/>
      <w:lvlText w:val=""/>
      <w:lvlJc w:val="left"/>
      <w:pPr>
        <w:tabs>
          <w:tab w:val="left" w:pos="720"/>
        </w:tabs>
        <w:ind w:left="720" w:hanging="360"/>
      </w:pPr>
      <w:rPr>
        <w:rFonts w:ascii="Wingdings 2" w:hAnsi="Wingdings 2" w:hint="default"/>
      </w:rPr>
    </w:lvl>
    <w:lvl w:ilvl="1" w:tplc="3D7E548E" w:tentative="1">
      <w:start w:val="1"/>
      <w:numFmt w:val="bullet"/>
      <w:lvlText w:val=""/>
      <w:lvlJc w:val="left"/>
      <w:pPr>
        <w:tabs>
          <w:tab w:val="left" w:pos="1440"/>
        </w:tabs>
        <w:ind w:left="1440" w:hanging="360"/>
      </w:pPr>
      <w:rPr>
        <w:rFonts w:ascii="Wingdings 2" w:hAnsi="Wingdings 2" w:hint="default"/>
      </w:rPr>
    </w:lvl>
    <w:lvl w:ilvl="2" w:tplc="212C2130" w:tentative="1">
      <w:start w:val="1"/>
      <w:numFmt w:val="bullet"/>
      <w:lvlText w:val=""/>
      <w:lvlJc w:val="left"/>
      <w:pPr>
        <w:tabs>
          <w:tab w:val="left" w:pos="2160"/>
        </w:tabs>
        <w:ind w:left="2160" w:hanging="360"/>
      </w:pPr>
      <w:rPr>
        <w:rFonts w:ascii="Wingdings 2" w:hAnsi="Wingdings 2" w:hint="default"/>
      </w:rPr>
    </w:lvl>
    <w:lvl w:ilvl="3" w:tplc="8DF211EA" w:tentative="1">
      <w:start w:val="1"/>
      <w:numFmt w:val="bullet"/>
      <w:lvlText w:val=""/>
      <w:lvlJc w:val="left"/>
      <w:pPr>
        <w:tabs>
          <w:tab w:val="left" w:pos="2880"/>
        </w:tabs>
        <w:ind w:left="2880" w:hanging="360"/>
      </w:pPr>
      <w:rPr>
        <w:rFonts w:ascii="Wingdings 2" w:hAnsi="Wingdings 2" w:hint="default"/>
      </w:rPr>
    </w:lvl>
    <w:lvl w:ilvl="4" w:tplc="7A14EC1E" w:tentative="1">
      <w:start w:val="1"/>
      <w:numFmt w:val="bullet"/>
      <w:lvlText w:val=""/>
      <w:lvlJc w:val="left"/>
      <w:pPr>
        <w:tabs>
          <w:tab w:val="left" w:pos="3600"/>
        </w:tabs>
        <w:ind w:left="3600" w:hanging="360"/>
      </w:pPr>
      <w:rPr>
        <w:rFonts w:ascii="Wingdings 2" w:hAnsi="Wingdings 2" w:hint="default"/>
      </w:rPr>
    </w:lvl>
    <w:lvl w:ilvl="5" w:tplc="FBEC26BA" w:tentative="1">
      <w:start w:val="1"/>
      <w:numFmt w:val="bullet"/>
      <w:lvlText w:val=""/>
      <w:lvlJc w:val="left"/>
      <w:pPr>
        <w:tabs>
          <w:tab w:val="left" w:pos="4320"/>
        </w:tabs>
        <w:ind w:left="4320" w:hanging="360"/>
      </w:pPr>
      <w:rPr>
        <w:rFonts w:ascii="Wingdings 2" w:hAnsi="Wingdings 2" w:hint="default"/>
      </w:rPr>
    </w:lvl>
    <w:lvl w:ilvl="6" w:tplc="1116FCFC" w:tentative="1">
      <w:start w:val="1"/>
      <w:numFmt w:val="bullet"/>
      <w:lvlText w:val=""/>
      <w:lvlJc w:val="left"/>
      <w:pPr>
        <w:tabs>
          <w:tab w:val="left" w:pos="5040"/>
        </w:tabs>
        <w:ind w:left="5040" w:hanging="360"/>
      </w:pPr>
      <w:rPr>
        <w:rFonts w:ascii="Wingdings 2" w:hAnsi="Wingdings 2" w:hint="default"/>
      </w:rPr>
    </w:lvl>
    <w:lvl w:ilvl="7" w:tplc="DDDAA388" w:tentative="1">
      <w:start w:val="1"/>
      <w:numFmt w:val="bullet"/>
      <w:lvlText w:val=""/>
      <w:lvlJc w:val="left"/>
      <w:pPr>
        <w:tabs>
          <w:tab w:val="left" w:pos="5760"/>
        </w:tabs>
        <w:ind w:left="5760" w:hanging="360"/>
      </w:pPr>
      <w:rPr>
        <w:rFonts w:ascii="Wingdings 2" w:hAnsi="Wingdings 2" w:hint="default"/>
      </w:rPr>
    </w:lvl>
    <w:lvl w:ilvl="8" w:tplc="0048134C" w:tentative="1">
      <w:start w:val="1"/>
      <w:numFmt w:val="bullet"/>
      <w:lvlText w:val=""/>
      <w:lvlJc w:val="left"/>
      <w:pPr>
        <w:tabs>
          <w:tab w:val="left" w:pos="6480"/>
        </w:tabs>
        <w:ind w:left="6480" w:hanging="360"/>
      </w:pPr>
      <w:rPr>
        <w:rFonts w:ascii="Wingdings 2" w:hAnsi="Wingdings 2" w:hint="default"/>
      </w:rPr>
    </w:lvl>
  </w:abstractNum>
  <w:abstractNum w:abstractNumId="2" w15:restartNumberingAfterBreak="0">
    <w:nsid w:val="4E414B89"/>
    <w:multiLevelType w:val="hybridMultilevel"/>
    <w:tmpl w:val="0A9E9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DB"/>
    <w:rsid w:val="00170EF7"/>
    <w:rsid w:val="001E6858"/>
    <w:rsid w:val="002E4F23"/>
    <w:rsid w:val="00412180"/>
    <w:rsid w:val="004534C8"/>
    <w:rsid w:val="00472F21"/>
    <w:rsid w:val="004F2DFE"/>
    <w:rsid w:val="00535E52"/>
    <w:rsid w:val="006F7589"/>
    <w:rsid w:val="007927BE"/>
    <w:rsid w:val="009B45DB"/>
    <w:rsid w:val="009E7A97"/>
    <w:rsid w:val="00B21F02"/>
    <w:rsid w:val="00C123E0"/>
    <w:rsid w:val="00CF31CA"/>
    <w:rsid w:val="00DD751A"/>
    <w:rsid w:val="00E13339"/>
    <w:rsid w:val="00E95688"/>
    <w:rsid w:val="00F85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4E2C14"/>
  <w15:docId w15:val="{00DFE399-43F0-6D47-9F0A-CCBD5202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SimSun" w:hAnsi="Cambria"/>
      <w:b/>
      <w:bCs/>
      <w:color w:val="4F81BD"/>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Pr>
      <w:rFonts w:ascii="Cambria" w:eastAsia="SimSun" w:hAnsi="Cambria" w:cs="SimSun"/>
      <w:b/>
      <w:bCs/>
      <w:color w:val="4F81BD"/>
    </w:rPr>
  </w:style>
  <w:style w:type="character" w:customStyle="1" w:styleId="Heading4Char">
    <w:name w:val="Heading 4 Char"/>
    <w:basedOn w:val="DefaultParagraphFont"/>
    <w:link w:val="Heading4"/>
    <w:uiPriority w:val="9"/>
    <w:qFormat/>
    <w:rPr>
      <w:rFonts w:ascii="Cambria" w:eastAsia="SimSun" w:hAnsi="Cambria" w:cs="SimSun"/>
      <w:b/>
      <w:bCs/>
      <w:i/>
      <w:iCs/>
      <w:color w:val="4F81BD"/>
    </w:rPr>
  </w:style>
  <w:style w:type="paragraph" w:styleId="ListParagraph">
    <w:name w:val="List Paragraph"/>
    <w:basedOn w:val="Normal"/>
    <w:uiPriority w:val="34"/>
    <w:qFormat/>
    <w:pPr>
      <w:ind w:left="720"/>
      <w:contextualSpacing/>
    </w:pPr>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cite-bracket">
    <w:name w:val="cite-bracket"/>
    <w:basedOn w:val="DefaultParagraphFont"/>
    <w:qFormat/>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element-citation">
    <w:name w:val="element-citation"/>
    <w:basedOn w:val="DefaultParagraphFont"/>
  </w:style>
  <w:style w:type="character" w:customStyle="1" w:styleId="ref-journal">
    <w:name w:val="ref-journal"/>
    <w:basedOn w:val="DefaultParagraphFont"/>
    <w:qFormat/>
  </w:style>
  <w:style w:type="character" w:customStyle="1" w:styleId="ref-vol">
    <w:name w:val="ref-vol"/>
    <w:basedOn w:val="DefaultParagraphFont"/>
  </w:style>
  <w:style w:type="paragraph" w:customStyle="1" w:styleId="img-box">
    <w:name w:val="img-box"/>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ls6">
    <w:name w:val="ls6"/>
    <w:basedOn w:val="DefaultParagraphFont"/>
  </w:style>
  <w:style w:type="character" w:customStyle="1" w:styleId="ff4">
    <w:name w:val="ff4"/>
    <w:basedOn w:val="DefaultParagraphFont"/>
    <w:qFormat/>
  </w:style>
  <w:style w:type="character" w:customStyle="1" w:styleId="ff2">
    <w:name w:val="ff2"/>
    <w:basedOn w:val="DefaultParagraphFont"/>
  </w:style>
  <w:style w:type="character" w:customStyle="1" w:styleId="ff6">
    <w:name w:val="ff6"/>
    <w:basedOn w:val="DefaultParagraphFont"/>
    <w:qFormat/>
  </w:style>
  <w:style w:type="character" w:customStyle="1" w:styleId="a">
    <w:name w:val="_"/>
    <w:basedOn w:val="DefaultParagraphFont"/>
  </w:style>
  <w:style w:type="character" w:customStyle="1" w:styleId="ff1">
    <w:name w:val="ff1"/>
    <w:basedOn w:val="DefaultParagraphFont"/>
  </w:style>
  <w:style w:type="character" w:customStyle="1" w:styleId="accordion-tabbedtab-mobile">
    <w:name w:val="accordion-tabbed__tab-mobile"/>
    <w:basedOn w:val="DefaultParagraphFont"/>
  </w:style>
  <w:style w:type="character" w:customStyle="1" w:styleId="comma-separator">
    <w:name w:val="comma-separator"/>
    <w:basedOn w:val="DefaultParagraphFont"/>
    <w:qFormat/>
  </w:style>
  <w:style w:type="character" w:customStyle="1" w:styleId="nlmarticle-title">
    <w:name w:val="nlm_article-title"/>
    <w:basedOn w:val="DefaultParagraphFont"/>
    <w:qFormat/>
  </w:style>
  <w:style w:type="character" w:customStyle="1" w:styleId="contribdegrees">
    <w:name w:val="contribdegrees"/>
    <w:basedOn w:val="DefaultParagraphFont"/>
  </w:style>
  <w:style w:type="character" w:customStyle="1" w:styleId="orcid-icon">
    <w:name w:val="orcid-icon"/>
    <w:basedOn w:val="DefaultParagraphFont"/>
  </w:style>
  <w:style w:type="character" w:customStyle="1" w:styleId="kwd-text">
    <w:name w:val="kwd-text"/>
    <w:basedOn w:val="DefaultParagraphFont"/>
    <w:qFormat/>
  </w:style>
  <w:style w:type="paragraph" w:customStyle="1" w:styleId="justifytxt">
    <w:name w:val="justify_tx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ding-0">
    <w:name w:val="padding-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qFormat/>
    <w:rPr>
      <w:color w:val="000000"/>
      <w:lang w:val="en-GB"/>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reference-text">
    <w:name w:val="reference-text"/>
    <w:basedOn w:val="DefaultParagraphFont"/>
  </w:style>
  <w:style w:type="paragraph" w:styleId="NoSpacing">
    <w:name w:val="No Spacing"/>
    <w:uiPriority w:val="1"/>
    <w:qFormat/>
    <w:pPr>
      <w:suppressAutoHyphens/>
    </w:pPr>
    <w:rPr>
      <w:rFonts w:ascii="Liberation Serif" w:eastAsia="Noto Serif CJK SC" w:hAnsi="Liberation Serif" w:cs="FreeSans"/>
      <w:kern w:val="2"/>
      <w:sz w:val="24"/>
      <w:szCs w:val="24"/>
      <w:lang w:eastAsia="zh-CN" w:bidi="hi-IN"/>
    </w:rPr>
  </w:style>
  <w:style w:type="paragraph" w:customStyle="1" w:styleId="TableParagraph">
    <w:name w:val="Table Paragraph"/>
    <w:basedOn w:val="Normal"/>
    <w:uiPriority w:val="1"/>
    <w:qFormat/>
    <w:pPr>
      <w:widowControl w:val="0"/>
      <w:autoSpaceDE w:val="0"/>
      <w:autoSpaceDN w:val="0"/>
      <w:spacing w:after="0" w:line="240" w:lineRule="auto"/>
    </w:pPr>
    <w:rPr>
      <w:rFonts w:ascii="Arial MT" w:eastAsia="Arial MT" w:hAnsi="Arial MT" w:cs="Arial MT"/>
    </w:rPr>
  </w:style>
  <w:style w:type="character" w:customStyle="1" w:styleId="html-italic">
    <w:name w:val="html-italic"/>
    <w:basedOn w:val="DefaultParagraphFont"/>
  </w:style>
  <w:style w:type="paragraph" w:customStyle="1" w:styleId="Standard">
    <w:name w:val="Standard"/>
    <w:pPr>
      <w:widowControl w:val="0"/>
      <w:suppressAutoHyphens/>
      <w:autoSpaceDN w:val="0"/>
      <w:textAlignment w:val="baseline"/>
    </w:pPr>
    <w:rPr>
      <w:rFonts w:ascii="Liberation Serif" w:eastAsia="Droid Sans Fallback" w:hAnsi="Liberation Serif" w:cs="FreeSans"/>
      <w:kern w:val="3"/>
      <w:sz w:val="24"/>
      <w:szCs w:val="24"/>
      <w:lang w:val="en-GB" w:eastAsia="zh-CN" w:bidi="hi-IN"/>
    </w:rPr>
  </w:style>
  <w:style w:type="character" w:customStyle="1" w:styleId="overflow-hidden">
    <w:name w:val="overflow-hidden"/>
    <w:basedOn w:val="DefaultParagraphFont"/>
    <w:qFormat/>
  </w:style>
  <w:style w:type="paragraph" w:customStyle="1" w:styleId="z-TopofForm1">
    <w:name w:val="z-Top of Form1"/>
    <w:basedOn w:val="Normal"/>
    <w:next w:val="Normal"/>
    <w:link w:val="z-TopofFormChar"/>
    <w:uiPriority w:val="9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1"/>
    <w:uiPriority w:val="99"/>
    <w:rPr>
      <w:rFonts w:ascii="Arial" w:eastAsia="Times New Roman" w:hAnsi="Arial" w:cs="Arial"/>
      <w:vanish/>
      <w:sz w:val="16"/>
      <w:szCs w:val="16"/>
    </w:rPr>
  </w:style>
  <w:style w:type="table" w:customStyle="1" w:styleId="LightShading-Accent11">
    <w:name w:val="Light Shading - Accent 1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eriod">
    <w:name w:val="period"/>
    <w:basedOn w:val="DefaultParagraphFont"/>
    <w:qFormat/>
  </w:style>
  <w:style w:type="character" w:customStyle="1" w:styleId="cit">
    <w:name w:val="cit"/>
    <w:basedOn w:val="DefaultParagraphFont"/>
    <w:qFormat/>
  </w:style>
  <w:style w:type="character" w:customStyle="1" w:styleId="citation-doi">
    <w:name w:val="citation-doi"/>
    <w:basedOn w:val="DefaultParagraphFont"/>
    <w:qFormat/>
  </w:style>
  <w:style w:type="character" w:customStyle="1" w:styleId="authors-list-item">
    <w:name w:val="authors-list-item"/>
    <w:basedOn w:val="DefaultParagraphFont"/>
    <w:qFormat/>
  </w:style>
  <w:style w:type="character" w:customStyle="1" w:styleId="comma">
    <w:name w:val="comma"/>
    <w:basedOn w:val="DefaultParagraphFont"/>
    <w:qFormat/>
  </w:style>
  <w:style w:type="character" w:customStyle="1" w:styleId="identifier">
    <w:name w:val="identifier"/>
    <w:basedOn w:val="DefaultParagraphFont"/>
  </w:style>
  <w:style w:type="character" w:customStyle="1" w:styleId="id-label">
    <w:name w:val="id-label"/>
    <w:basedOn w:val="DefaultParagraphFont"/>
  </w:style>
  <w:style w:type="character" w:customStyle="1" w:styleId="relative">
    <w:name w:val="relative"/>
    <w:basedOn w:val="DefaultParagraphFont"/>
    <w:qFormat/>
  </w:style>
  <w:style w:type="table" w:customStyle="1" w:styleId="LightShading2">
    <w:name w:val="Light Shading2"/>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SimSun"/>
        <w:b/>
        <w:bCs/>
      </w:rPr>
      <w:tblPr/>
      <w:tcPr>
        <w:tcBorders>
          <w:top w:val="single" w:sz="8" w:space="0" w:color="000000"/>
          <w:left w:val="single" w:sz="8" w:space="0" w:color="000000"/>
          <w:bottom w:val="single" w:sz="18" w:space="0" w:color="000000"/>
          <w:right w:val="single" w:sz="8" w:space="0" w:color="000000"/>
          <w:insideH w:val="nil"/>
          <w:insideV w:val="single" w:sz="8" w:space="0" w:color="auto"/>
        </w:tcBorders>
      </w:tcPr>
    </w:tblStylePr>
    <w:tblStylePr w:type="lastRow">
      <w:pPr>
        <w:spacing w:before="0" w:after="0" w:line="240" w:lineRule="auto"/>
      </w:pPr>
      <w:rPr>
        <w:rFonts w:ascii="Cambria" w:eastAsia="SimSun" w:hAnsi="Cambria" w:cs="SimSu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Cambria" w:eastAsia="SimSun" w:hAnsi="Cambria" w:cs="SimSun"/>
        <w:b/>
        <w:bCs/>
      </w:rPr>
    </w:tblStylePr>
    <w:tblStylePr w:type="lastCol">
      <w:rPr>
        <w:rFonts w:ascii="Cambria" w:eastAsia="SimSun" w:hAnsi="Cambria" w:cs="SimSu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character" w:styleId="UnresolvedMention">
    <w:name w:val="Unresolved Mention"/>
    <w:basedOn w:val="DefaultParagraphFont"/>
    <w:uiPriority w:val="99"/>
    <w:semiHidden/>
    <w:unhideWhenUsed/>
    <w:rsid w:val="00170E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5897/AJBR2021.1124" TargetMode="External"/><Relationship Id="rId13" Type="http://schemas.openxmlformats.org/officeDocument/2006/relationships/hyperlink" Target="https://doi.org/10.1016/j.disamonth.2010.06.001" TargetMode="External"/><Relationship Id="rId18" Type="http://schemas.openxmlformats.org/officeDocument/2006/relationships/hyperlink" Target="https://doi.org/10.1186/s12877-015-0075-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16/j.biopha.2021.111467" TargetMode="External"/><Relationship Id="rId17" Type="http://schemas.openxmlformats.org/officeDocument/2006/relationships/hyperlink" Target="https://doi.org/10.1155/2022/987654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177/26331055221101864" TargetMode="External"/><Relationship Id="rId20" Type="http://schemas.openxmlformats.org/officeDocument/2006/relationships/hyperlink" Target="https://doi.org/10.1016/j.phrs.2003.12.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jalz.2016.03.00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neulet.2023.13721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02/jnr.25002" TargetMode="External"/><Relationship Id="rId19" Type="http://schemas.openxmlformats.org/officeDocument/2006/relationships/hyperlink" Target="https://doi.org/10.1056/NEJMoa1504327" TargetMode="External"/><Relationship Id="rId4" Type="http://schemas.openxmlformats.org/officeDocument/2006/relationships/settings" Target="settings.xml"/><Relationship Id="rId9" Type="http://schemas.openxmlformats.org/officeDocument/2006/relationships/hyperlink" Target="https://doi.org/10.1016/j.jep.2024.116987" TargetMode="External"/><Relationship Id="rId14" Type="http://schemas.openxmlformats.org/officeDocument/2006/relationships/hyperlink" Target="https://doi.org/10.1016/j.nurt.2025.01.00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D9B84-D944-4FF3-99A0-9278EB6C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2961</Words>
  <Characters>16881</Characters>
  <Application>Microsoft Office Word</Application>
  <DocSecurity>0</DocSecurity>
  <Lines>140</Lines>
  <Paragraphs>39</Paragraphs>
  <ScaleCrop>false</ScaleCrop>
  <Company/>
  <LinksUpToDate>false</LinksUpToDate>
  <CharactersWithSpaces>19803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12</cp:revision>
  <dcterms:created xsi:type="dcterms:W3CDTF">2026-01-01T18:52:00Z</dcterms:created>
  <dcterms:modified xsi:type="dcterms:W3CDTF">2026-01-02T10:58:00Z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a874d7d8035c478b8f183bf215f95af7</vt:lpwstr>
  </property>
</Properties>
</file>