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11868" w14:textId="2EE47ABB" w:rsidR="00BB3F57" w:rsidRPr="009A5CE9" w:rsidRDefault="00BB3F57" w:rsidP="009A5CE9">
      <w:pPr>
        <w:spacing w:after="0" w:line="360" w:lineRule="auto"/>
        <w:jc w:val="right"/>
        <w:rPr>
          <w:rFonts w:ascii="Arial" w:hAnsi="Arial" w:cs="Arial"/>
          <w:b/>
          <w:bCs/>
          <w:sz w:val="36"/>
          <w:szCs w:val="36"/>
        </w:rPr>
      </w:pPr>
      <w:r w:rsidRPr="009A5CE9">
        <w:rPr>
          <w:rFonts w:ascii="Arial" w:hAnsi="Arial" w:cs="Arial"/>
          <w:b/>
          <w:bCs/>
          <w:sz w:val="36"/>
          <w:szCs w:val="36"/>
        </w:rPr>
        <w:t xml:space="preserve">Spatial Pattern of Births and Deaths under the Health Management Information System (HMIS) in </w:t>
      </w:r>
      <w:r w:rsidR="00FA1B27" w:rsidRPr="009A5CE9">
        <w:rPr>
          <w:rFonts w:ascii="Arial" w:hAnsi="Arial" w:cs="Arial"/>
          <w:b/>
          <w:bCs/>
          <w:sz w:val="36"/>
          <w:szCs w:val="36"/>
        </w:rPr>
        <w:t>Ahilyanagar</w:t>
      </w:r>
      <w:r w:rsidRPr="009A5CE9">
        <w:rPr>
          <w:rFonts w:ascii="Arial" w:hAnsi="Arial" w:cs="Arial"/>
          <w:b/>
          <w:bCs/>
          <w:sz w:val="36"/>
          <w:szCs w:val="36"/>
        </w:rPr>
        <w:t xml:space="preserve"> District: A Tahsil-wise Geographical Analysis</w:t>
      </w:r>
    </w:p>
    <w:p w14:paraId="6890BB41" w14:textId="433A7455" w:rsidR="003B2C6A" w:rsidRDefault="003B2C6A" w:rsidP="009A5CE9">
      <w:pPr>
        <w:spacing w:after="0" w:line="360" w:lineRule="auto"/>
        <w:jc w:val="both"/>
        <w:rPr>
          <w:rFonts w:ascii="Arial" w:hAnsi="Arial" w:cs="Arial"/>
          <w:sz w:val="20"/>
        </w:rPr>
      </w:pPr>
    </w:p>
    <w:p w14:paraId="348DBAF2" w14:textId="77777777" w:rsidR="00D857DE" w:rsidRPr="009A5CE9" w:rsidRDefault="00D857DE" w:rsidP="009A5CE9">
      <w:pPr>
        <w:spacing w:after="0" w:line="360" w:lineRule="auto"/>
        <w:jc w:val="both"/>
        <w:rPr>
          <w:rFonts w:ascii="Arial" w:hAnsi="Arial" w:cs="Arial"/>
          <w:sz w:val="20"/>
        </w:rPr>
      </w:pPr>
    </w:p>
    <w:p w14:paraId="3C5CBC72" w14:textId="2EB69C6B" w:rsidR="00BB3F57" w:rsidRPr="009A5CE9" w:rsidRDefault="00905307" w:rsidP="009A5CE9">
      <w:pPr>
        <w:spacing w:after="0" w:line="360" w:lineRule="auto"/>
        <w:jc w:val="both"/>
        <w:rPr>
          <w:rFonts w:ascii="Arial" w:hAnsi="Arial" w:cs="Arial"/>
          <w:b/>
          <w:bCs/>
          <w:szCs w:val="22"/>
        </w:rPr>
      </w:pPr>
      <w:r w:rsidRPr="009A5CE9">
        <w:rPr>
          <w:rFonts w:ascii="Arial" w:hAnsi="Arial" w:cs="Arial"/>
          <w:b/>
          <w:bCs/>
          <w:szCs w:val="22"/>
        </w:rPr>
        <w:t xml:space="preserve">ABSTRACT  </w:t>
      </w:r>
    </w:p>
    <w:p w14:paraId="6426A45B" w14:textId="77777777" w:rsidR="004C7491" w:rsidRPr="009A5CE9" w:rsidRDefault="004C7491" w:rsidP="009A5CE9">
      <w:pPr>
        <w:spacing w:after="0" w:line="360" w:lineRule="auto"/>
        <w:jc w:val="both"/>
        <w:rPr>
          <w:rFonts w:ascii="Arial" w:hAnsi="Arial" w:cs="Arial"/>
          <w:b/>
          <w:bCs/>
          <w:sz w:val="20"/>
        </w:rPr>
      </w:pPr>
      <w:r w:rsidRPr="009A5CE9">
        <w:rPr>
          <w:rFonts w:ascii="Arial" w:hAnsi="Arial" w:cs="Arial"/>
          <w:b/>
          <w:bCs/>
          <w:sz w:val="20"/>
        </w:rPr>
        <w:t>Aims</w:t>
      </w:r>
    </w:p>
    <w:p w14:paraId="397C2308" w14:textId="00FDC947" w:rsidR="004C7491" w:rsidRPr="009A5CE9" w:rsidRDefault="004C7491" w:rsidP="009A5CE9">
      <w:pPr>
        <w:spacing w:after="0" w:line="360" w:lineRule="auto"/>
        <w:jc w:val="both"/>
        <w:rPr>
          <w:rFonts w:ascii="Arial" w:hAnsi="Arial" w:cs="Arial"/>
          <w:sz w:val="20"/>
        </w:rPr>
      </w:pPr>
      <w:r w:rsidRPr="009A5CE9">
        <w:rPr>
          <w:rFonts w:ascii="Arial" w:hAnsi="Arial" w:cs="Arial"/>
          <w:sz w:val="20"/>
        </w:rPr>
        <w:t xml:space="preserve">The present study aims to </w:t>
      </w:r>
      <w:r w:rsidR="00FD0642" w:rsidRPr="009A5CE9">
        <w:rPr>
          <w:rFonts w:ascii="Arial" w:hAnsi="Arial" w:cs="Arial"/>
          <w:sz w:val="20"/>
        </w:rPr>
        <w:t>analyses</w:t>
      </w:r>
      <w:r w:rsidRPr="009A5CE9">
        <w:rPr>
          <w:rFonts w:ascii="Arial" w:hAnsi="Arial" w:cs="Arial"/>
          <w:sz w:val="20"/>
        </w:rPr>
        <w:t xml:space="preserve"> the tahsil-wise spatial pattern of live births, total deaths, child mortality (0–5 years), and infant mortality (0–1 year) under the Health Management Information System (HMIS) in the former Ahilyanagar District. The study seeks to identify inter-tahsil disparities and health-vulnerable regions to support micro-level health planning.</w:t>
      </w:r>
    </w:p>
    <w:p w14:paraId="6A58B9ED" w14:textId="77777777" w:rsidR="004C7491" w:rsidRPr="009A5CE9" w:rsidRDefault="004C7491" w:rsidP="009A5CE9">
      <w:pPr>
        <w:spacing w:after="0" w:line="360" w:lineRule="auto"/>
        <w:jc w:val="both"/>
        <w:rPr>
          <w:rFonts w:ascii="Arial" w:hAnsi="Arial" w:cs="Arial"/>
          <w:b/>
          <w:bCs/>
          <w:sz w:val="20"/>
        </w:rPr>
      </w:pPr>
      <w:r w:rsidRPr="009A5CE9">
        <w:rPr>
          <w:rFonts w:ascii="Arial" w:hAnsi="Arial" w:cs="Arial"/>
          <w:b/>
          <w:bCs/>
          <w:sz w:val="20"/>
        </w:rPr>
        <w:t>Study Design</w:t>
      </w:r>
    </w:p>
    <w:p w14:paraId="68E1B900" w14:textId="77777777" w:rsidR="004C7491" w:rsidRPr="009A5CE9" w:rsidRDefault="004C7491" w:rsidP="009A5CE9">
      <w:pPr>
        <w:spacing w:after="0" w:line="360" w:lineRule="auto"/>
        <w:jc w:val="both"/>
        <w:rPr>
          <w:rFonts w:ascii="Arial" w:hAnsi="Arial" w:cs="Arial"/>
          <w:sz w:val="20"/>
        </w:rPr>
      </w:pPr>
      <w:r w:rsidRPr="009A5CE9">
        <w:rPr>
          <w:rFonts w:ascii="Arial" w:hAnsi="Arial" w:cs="Arial"/>
          <w:sz w:val="20"/>
        </w:rPr>
        <w:t>The study adopts a descriptive and analytical research design based on secondary data, integrating demographic and geographical perspectives to assess spatial variations in health indicators.</w:t>
      </w:r>
    </w:p>
    <w:p w14:paraId="3683112A" w14:textId="77777777" w:rsidR="004C7491" w:rsidRPr="009A5CE9" w:rsidRDefault="004C7491" w:rsidP="009A5CE9">
      <w:pPr>
        <w:spacing w:after="0" w:line="360" w:lineRule="auto"/>
        <w:jc w:val="both"/>
        <w:rPr>
          <w:rFonts w:ascii="Arial" w:hAnsi="Arial" w:cs="Arial"/>
          <w:b/>
          <w:bCs/>
          <w:sz w:val="20"/>
        </w:rPr>
      </w:pPr>
      <w:r w:rsidRPr="009A5CE9">
        <w:rPr>
          <w:rFonts w:ascii="Arial" w:hAnsi="Arial" w:cs="Arial"/>
          <w:b/>
          <w:bCs/>
          <w:sz w:val="20"/>
        </w:rPr>
        <w:t>Place and Duration of Study</w:t>
      </w:r>
    </w:p>
    <w:p w14:paraId="5D363BC4" w14:textId="77777777" w:rsidR="004C7491" w:rsidRPr="009A5CE9" w:rsidRDefault="004C7491" w:rsidP="009A5CE9">
      <w:pPr>
        <w:spacing w:after="0" w:line="360" w:lineRule="auto"/>
        <w:jc w:val="both"/>
        <w:rPr>
          <w:rFonts w:ascii="Arial" w:hAnsi="Arial" w:cs="Arial"/>
          <w:sz w:val="20"/>
        </w:rPr>
      </w:pPr>
      <w:r w:rsidRPr="009A5CE9">
        <w:rPr>
          <w:rFonts w:ascii="Arial" w:hAnsi="Arial" w:cs="Arial"/>
          <w:sz w:val="20"/>
        </w:rPr>
        <w:t>The study covers 14 tahsils of the former Ahilyanagar District, Maharashtra, for the reference year 2025. The district represents a heterogeneous region comprising urban centres, rural hinterlands, drought-prone areas, and industrial zones.</w:t>
      </w:r>
    </w:p>
    <w:p w14:paraId="049FC14C" w14:textId="77777777" w:rsidR="004C7491" w:rsidRPr="009A5CE9" w:rsidRDefault="004C7491" w:rsidP="009A5CE9">
      <w:pPr>
        <w:spacing w:after="0" w:line="360" w:lineRule="auto"/>
        <w:jc w:val="both"/>
        <w:rPr>
          <w:rFonts w:ascii="Arial" w:hAnsi="Arial" w:cs="Arial"/>
          <w:b/>
          <w:bCs/>
          <w:sz w:val="20"/>
        </w:rPr>
      </w:pPr>
      <w:r w:rsidRPr="009A5CE9">
        <w:rPr>
          <w:rFonts w:ascii="Arial" w:hAnsi="Arial" w:cs="Arial"/>
          <w:b/>
          <w:bCs/>
          <w:sz w:val="20"/>
        </w:rPr>
        <w:t>Methodology</w:t>
      </w:r>
    </w:p>
    <w:p w14:paraId="7FC73415" w14:textId="3D79BC74" w:rsidR="004C7491" w:rsidRPr="009A5CE9" w:rsidRDefault="004C7491" w:rsidP="009A5CE9">
      <w:pPr>
        <w:spacing w:after="0" w:line="360" w:lineRule="auto"/>
        <w:jc w:val="both"/>
        <w:rPr>
          <w:rFonts w:ascii="Arial" w:hAnsi="Arial" w:cs="Arial"/>
          <w:sz w:val="20"/>
        </w:rPr>
      </w:pPr>
      <w:r w:rsidRPr="009A5CE9">
        <w:rPr>
          <w:rFonts w:ascii="Arial" w:hAnsi="Arial" w:cs="Arial"/>
          <w:sz w:val="20"/>
        </w:rPr>
        <w:t xml:space="preserve">Secondary data were collected from HMIS records obtained from the District Health Officer, Zilla Parishad, and the Socio-Economic Abstract of Ahilyanagar District (2025). Key variables </w:t>
      </w:r>
      <w:r w:rsidR="00FD0642" w:rsidRPr="009A5CE9">
        <w:rPr>
          <w:rFonts w:ascii="Arial" w:hAnsi="Arial" w:cs="Arial"/>
          <w:sz w:val="20"/>
        </w:rPr>
        <w:t>analyzed</w:t>
      </w:r>
      <w:r w:rsidRPr="009A5CE9">
        <w:rPr>
          <w:rFonts w:ascii="Arial" w:hAnsi="Arial" w:cs="Arial"/>
          <w:sz w:val="20"/>
        </w:rPr>
        <w:t xml:space="preserve"> include male and female live births, total live births, total deaths, child deaths (0–5 years), and infant deaths (0–1 year). The data were </w:t>
      </w:r>
      <w:r w:rsidR="00FD0642" w:rsidRPr="009A5CE9">
        <w:rPr>
          <w:rFonts w:ascii="Arial" w:hAnsi="Arial" w:cs="Arial"/>
          <w:sz w:val="20"/>
        </w:rPr>
        <w:t>analyzed</w:t>
      </w:r>
      <w:r w:rsidRPr="009A5CE9">
        <w:rPr>
          <w:rFonts w:ascii="Arial" w:hAnsi="Arial" w:cs="Arial"/>
          <w:sz w:val="20"/>
        </w:rPr>
        <w:t xml:space="preserve"> using tahsil-wise tabulation, percentage analysis, ratio interpretation, and comparative spatial analysis to examine inter-regional disparities.</w:t>
      </w:r>
    </w:p>
    <w:p w14:paraId="182601AB" w14:textId="77777777" w:rsidR="004C7491" w:rsidRPr="009A5CE9" w:rsidRDefault="004C7491" w:rsidP="009A5CE9">
      <w:pPr>
        <w:spacing w:after="0" w:line="360" w:lineRule="auto"/>
        <w:jc w:val="both"/>
        <w:rPr>
          <w:rFonts w:ascii="Arial" w:hAnsi="Arial" w:cs="Arial"/>
          <w:b/>
          <w:bCs/>
          <w:sz w:val="20"/>
        </w:rPr>
      </w:pPr>
      <w:r w:rsidRPr="009A5CE9">
        <w:rPr>
          <w:rFonts w:ascii="Arial" w:hAnsi="Arial" w:cs="Arial"/>
          <w:b/>
          <w:bCs/>
          <w:sz w:val="20"/>
        </w:rPr>
        <w:t>Results</w:t>
      </w:r>
    </w:p>
    <w:p w14:paraId="051AB04D" w14:textId="77777777" w:rsidR="004C7491" w:rsidRPr="009A5CE9" w:rsidRDefault="004C7491" w:rsidP="009A5CE9">
      <w:pPr>
        <w:spacing w:after="0" w:line="360" w:lineRule="auto"/>
        <w:jc w:val="both"/>
        <w:rPr>
          <w:rFonts w:ascii="Arial" w:hAnsi="Arial" w:cs="Arial"/>
          <w:sz w:val="20"/>
        </w:rPr>
      </w:pPr>
      <w:r w:rsidRPr="009A5CE9">
        <w:rPr>
          <w:rFonts w:ascii="Arial" w:hAnsi="Arial" w:cs="Arial"/>
          <w:sz w:val="20"/>
        </w:rPr>
        <w:t>The district recorded 63,985 live births and 13,957 total deaths, revealing pronounced spatial variation. Nagar, Sangamner, Rahata, and Newasa emerged as high-birth and high-mortality tahsils due to large populations and urban influence. Elevated child and infant mortality in Sangamner, Newasa, Parner, and Nagar indicates persistent gaps in maternal and child healthcare services. In contrast, Karjat and Jamkhed reported low mortality levels, reflecting smaller populations and rural settlement patterns, though possible under-reporting cannot be ruled out.</w:t>
      </w:r>
    </w:p>
    <w:p w14:paraId="6BEA2FC5" w14:textId="77777777" w:rsidR="004C7491" w:rsidRPr="009A5CE9" w:rsidRDefault="004C7491" w:rsidP="009A5CE9">
      <w:pPr>
        <w:spacing w:after="0" w:line="360" w:lineRule="auto"/>
        <w:jc w:val="both"/>
        <w:rPr>
          <w:rFonts w:ascii="Arial" w:hAnsi="Arial" w:cs="Arial"/>
          <w:b/>
          <w:bCs/>
          <w:sz w:val="20"/>
        </w:rPr>
      </w:pPr>
      <w:r w:rsidRPr="009A5CE9">
        <w:rPr>
          <w:rFonts w:ascii="Arial" w:hAnsi="Arial" w:cs="Arial"/>
          <w:b/>
          <w:bCs/>
          <w:sz w:val="20"/>
        </w:rPr>
        <w:t>Conclusion</w:t>
      </w:r>
    </w:p>
    <w:p w14:paraId="12378271" w14:textId="77777777" w:rsidR="004C7491" w:rsidRPr="009A5CE9" w:rsidRDefault="004C7491" w:rsidP="009A5CE9">
      <w:pPr>
        <w:spacing w:after="0" w:line="360" w:lineRule="auto"/>
        <w:jc w:val="both"/>
        <w:rPr>
          <w:rFonts w:ascii="Arial" w:hAnsi="Arial" w:cs="Arial"/>
          <w:sz w:val="20"/>
        </w:rPr>
      </w:pPr>
      <w:r w:rsidRPr="009A5CE9">
        <w:rPr>
          <w:rFonts w:ascii="Arial" w:hAnsi="Arial" w:cs="Arial"/>
          <w:sz w:val="20"/>
        </w:rPr>
        <w:t xml:space="preserve">The study highlights significant tahsil-wise health inequalities within Ahilyanagar District. High-risk tahsils require targeted interventions, including strengthened primary healthcare, improved neonatal and maternal services, and enhanced nutrition programmes. The findings underscore the importance </w:t>
      </w:r>
      <w:r w:rsidRPr="009A5CE9">
        <w:rPr>
          <w:rFonts w:ascii="Arial" w:hAnsi="Arial" w:cs="Arial"/>
          <w:sz w:val="20"/>
        </w:rPr>
        <w:lastRenderedPageBreak/>
        <w:t>of micro-level spatial health planning to reduce preventable mortality and promote equitable health development.</w:t>
      </w:r>
    </w:p>
    <w:p w14:paraId="7693F5D9" w14:textId="77777777" w:rsidR="004C7491" w:rsidRPr="009A5CE9" w:rsidRDefault="004C7491" w:rsidP="009A5CE9">
      <w:pPr>
        <w:spacing w:after="0" w:line="360" w:lineRule="auto"/>
        <w:jc w:val="both"/>
        <w:rPr>
          <w:rFonts w:ascii="Arial" w:hAnsi="Arial" w:cs="Arial"/>
          <w:sz w:val="20"/>
        </w:rPr>
      </w:pPr>
      <w:r w:rsidRPr="009A5CE9">
        <w:rPr>
          <w:rFonts w:ascii="Arial" w:hAnsi="Arial" w:cs="Arial"/>
          <w:b/>
          <w:bCs/>
          <w:sz w:val="20"/>
        </w:rPr>
        <w:t>Keywords:</w:t>
      </w:r>
      <w:r w:rsidRPr="009A5CE9">
        <w:rPr>
          <w:rFonts w:ascii="Arial" w:hAnsi="Arial" w:cs="Arial"/>
          <w:sz w:val="20"/>
        </w:rPr>
        <w:t xml:space="preserve"> HMIS, live births, mortality, infant mortality, child mortality, spatial analysis</w:t>
      </w:r>
    </w:p>
    <w:p w14:paraId="57319303" w14:textId="39E17055" w:rsidR="00BA4E7F" w:rsidRPr="009A5CE9" w:rsidRDefault="00BA4E7F" w:rsidP="009A5CE9">
      <w:pPr>
        <w:spacing w:after="0" w:line="360" w:lineRule="auto"/>
        <w:jc w:val="both"/>
        <w:rPr>
          <w:rFonts w:ascii="Arial" w:hAnsi="Arial" w:cs="Arial"/>
          <w:b/>
          <w:bCs/>
          <w:sz w:val="20"/>
        </w:rPr>
      </w:pPr>
    </w:p>
    <w:p w14:paraId="1B135196" w14:textId="2073F127" w:rsidR="00BB3F57" w:rsidRPr="009A5CE9" w:rsidRDefault="00905307" w:rsidP="009A5CE9">
      <w:pPr>
        <w:spacing w:after="0" w:line="360" w:lineRule="auto"/>
        <w:jc w:val="both"/>
        <w:rPr>
          <w:rFonts w:ascii="Arial" w:hAnsi="Arial" w:cs="Arial"/>
          <w:b/>
          <w:bCs/>
          <w:szCs w:val="22"/>
        </w:rPr>
      </w:pPr>
      <w:r w:rsidRPr="009A5CE9">
        <w:rPr>
          <w:rFonts w:ascii="Arial" w:hAnsi="Arial" w:cs="Arial"/>
          <w:b/>
          <w:bCs/>
          <w:szCs w:val="22"/>
        </w:rPr>
        <w:t>1. INTRODUCTION</w:t>
      </w:r>
    </w:p>
    <w:p w14:paraId="68A495F0" w14:textId="798EBEC4" w:rsidR="00CE71AE" w:rsidRPr="009A5CE9" w:rsidRDefault="00CE71AE" w:rsidP="009A5CE9">
      <w:pPr>
        <w:spacing w:after="0" w:line="360" w:lineRule="auto"/>
        <w:jc w:val="both"/>
        <w:rPr>
          <w:rFonts w:ascii="Arial" w:hAnsi="Arial" w:cs="Arial"/>
          <w:sz w:val="20"/>
        </w:rPr>
      </w:pPr>
      <w:r w:rsidRPr="009A5CE9">
        <w:rPr>
          <w:rFonts w:ascii="Arial" w:hAnsi="Arial" w:cs="Arial"/>
          <w:sz w:val="20"/>
        </w:rPr>
        <w:tab/>
        <w:t>Birth and death patterns are central indicators of health status, social development, and demographic change (Chandna, 2018; Park, 2021). Spatial disparities in these indicators emerge from differences in healthcare access, economic conditions, nutrition, sanitation and maternal health (Ghosh, 2016; Mohanty &amp; Ram, 2020). Although national indicators have improved, intra-district variations remain substantial (Registrar General of India, 2023; NITI Aayog, 2022).</w:t>
      </w:r>
    </w:p>
    <w:p w14:paraId="0D18F853" w14:textId="538CFF33" w:rsidR="00CE71AE" w:rsidRPr="009A5CE9" w:rsidRDefault="00CE71AE" w:rsidP="009A5CE9">
      <w:pPr>
        <w:spacing w:after="0" w:line="360" w:lineRule="auto"/>
        <w:jc w:val="both"/>
        <w:rPr>
          <w:rFonts w:ascii="Arial" w:hAnsi="Arial" w:cs="Arial"/>
          <w:sz w:val="20"/>
        </w:rPr>
      </w:pPr>
      <w:r w:rsidRPr="009A5CE9">
        <w:rPr>
          <w:rFonts w:ascii="Arial" w:hAnsi="Arial" w:cs="Arial"/>
          <w:sz w:val="20"/>
        </w:rPr>
        <w:tab/>
        <w:t xml:space="preserve">The Health Management Information System (HMIS) provides reliable micro-level data on births, deaths and maternal and child health services (Ministry of Health &amp; Family Welfare, 2024). Former </w:t>
      </w:r>
      <w:r w:rsidR="004C7491" w:rsidRPr="009A5CE9">
        <w:rPr>
          <w:rFonts w:ascii="Arial" w:hAnsi="Arial" w:cs="Arial"/>
          <w:sz w:val="20"/>
        </w:rPr>
        <w:t>Ahilyanagar</w:t>
      </w:r>
      <w:r w:rsidRPr="009A5CE9">
        <w:rPr>
          <w:rFonts w:ascii="Arial" w:hAnsi="Arial" w:cs="Arial"/>
          <w:sz w:val="20"/>
        </w:rPr>
        <w:t xml:space="preserve"> District, now Ahilyanagar, is geographically diverse, with a mix of urban centres, drought-prone regions, tribal belts and industrial zones, all of which influence health outcomes. Despite this complexity, systematic tahsil-wise analysis of HMIS data has been limited.</w:t>
      </w:r>
    </w:p>
    <w:p w14:paraId="24AC640A" w14:textId="4C517595" w:rsidR="00BA4E7F" w:rsidRPr="009A5CE9" w:rsidRDefault="00BA4E7F" w:rsidP="009A5CE9">
      <w:pPr>
        <w:spacing w:after="0" w:line="360" w:lineRule="auto"/>
        <w:jc w:val="both"/>
        <w:rPr>
          <w:rFonts w:ascii="Arial" w:hAnsi="Arial" w:cs="Arial"/>
          <w:sz w:val="20"/>
        </w:rPr>
      </w:pPr>
    </w:p>
    <w:p w14:paraId="6C18A0CE" w14:textId="77777777" w:rsidR="00CE71AE" w:rsidRPr="009A5CE9" w:rsidRDefault="00CE71AE" w:rsidP="009A5CE9">
      <w:pPr>
        <w:spacing w:after="0" w:line="360" w:lineRule="auto"/>
        <w:jc w:val="both"/>
        <w:rPr>
          <w:rFonts w:ascii="Arial" w:hAnsi="Arial" w:cs="Arial"/>
          <w:sz w:val="20"/>
        </w:rPr>
      </w:pPr>
    </w:p>
    <w:p w14:paraId="56828874" w14:textId="7DC08B52" w:rsidR="00BB3F57" w:rsidRPr="009A5CE9" w:rsidRDefault="00905307" w:rsidP="009A5CE9">
      <w:pPr>
        <w:spacing w:after="0" w:line="360" w:lineRule="auto"/>
        <w:jc w:val="both"/>
        <w:rPr>
          <w:rFonts w:ascii="Arial" w:hAnsi="Arial" w:cs="Arial"/>
          <w:b/>
          <w:bCs/>
          <w:szCs w:val="22"/>
        </w:rPr>
      </w:pPr>
      <w:r w:rsidRPr="009A5CE9">
        <w:rPr>
          <w:rFonts w:ascii="Arial" w:hAnsi="Arial" w:cs="Arial"/>
          <w:b/>
          <w:bCs/>
          <w:szCs w:val="22"/>
        </w:rPr>
        <w:t>2. REVIEW OF LITERATURE</w:t>
      </w:r>
    </w:p>
    <w:p w14:paraId="5245A830" w14:textId="0653E767" w:rsidR="00CE71AE" w:rsidRPr="009A5CE9" w:rsidRDefault="00CE71AE" w:rsidP="009A5CE9">
      <w:pPr>
        <w:spacing w:after="0" w:line="360" w:lineRule="auto"/>
        <w:jc w:val="both"/>
        <w:rPr>
          <w:rFonts w:ascii="Arial" w:hAnsi="Arial" w:cs="Arial"/>
          <w:sz w:val="20"/>
        </w:rPr>
      </w:pPr>
      <w:r w:rsidRPr="009A5CE9">
        <w:rPr>
          <w:rFonts w:ascii="Arial" w:hAnsi="Arial" w:cs="Arial"/>
          <w:sz w:val="20"/>
        </w:rPr>
        <w:tab/>
        <w:t>Fertility and mortality patterns are strongly linked to socio-economic development (Chandna, 2018). Studies highlight the relationship between infant mortality and rural backwardness, weak sanitation and limited maternal care (Ghosh, 2016; Mohanty &amp; Ram, 2020). Kundu (2018) shows how urbanization improves mortality reporting systems and access to healthcare. The expansion of HMIS has enhanced data accuracy, though under-reporting persists in rural regions (National Health Mission, 2023; Ministry of Health &amp; Family Welfare, 2024).</w:t>
      </w:r>
    </w:p>
    <w:p w14:paraId="555208B6" w14:textId="7031F991" w:rsidR="00CE71AE" w:rsidRPr="009A5CE9" w:rsidRDefault="00CE71AE" w:rsidP="009A5CE9">
      <w:pPr>
        <w:spacing w:after="0" w:line="360" w:lineRule="auto"/>
        <w:jc w:val="both"/>
        <w:rPr>
          <w:rFonts w:ascii="Arial" w:hAnsi="Arial" w:cs="Arial"/>
          <w:sz w:val="20"/>
        </w:rPr>
      </w:pPr>
      <w:r w:rsidRPr="009A5CE9">
        <w:rPr>
          <w:rFonts w:ascii="Arial" w:hAnsi="Arial" w:cs="Arial"/>
          <w:sz w:val="20"/>
        </w:rPr>
        <w:tab/>
        <w:t xml:space="preserve">While national studies are available, micro-level geographical analyses focusing on district-level HMIS data remain scarce, especially for the former </w:t>
      </w:r>
      <w:r w:rsidR="004C7491" w:rsidRPr="009A5CE9">
        <w:rPr>
          <w:rFonts w:ascii="Arial" w:hAnsi="Arial" w:cs="Arial"/>
          <w:sz w:val="20"/>
        </w:rPr>
        <w:t>Ahilyanagar</w:t>
      </w:r>
      <w:r w:rsidRPr="009A5CE9">
        <w:rPr>
          <w:rFonts w:ascii="Arial" w:hAnsi="Arial" w:cs="Arial"/>
          <w:sz w:val="20"/>
        </w:rPr>
        <w:t xml:space="preserve"> District. The present study addresses this gap.</w:t>
      </w:r>
    </w:p>
    <w:p w14:paraId="6C5D47D9" w14:textId="0B325AE7" w:rsidR="00CE71AE" w:rsidRPr="009A5CE9" w:rsidRDefault="00CE71AE" w:rsidP="009A5CE9">
      <w:pPr>
        <w:spacing w:after="0" w:line="360" w:lineRule="auto"/>
        <w:jc w:val="both"/>
        <w:rPr>
          <w:rFonts w:ascii="Arial" w:hAnsi="Arial" w:cs="Arial"/>
          <w:sz w:val="20"/>
        </w:rPr>
      </w:pPr>
    </w:p>
    <w:p w14:paraId="25D60EC9" w14:textId="1DEADBC6" w:rsidR="0080753A"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3. METHODOLOGY</w:t>
      </w:r>
    </w:p>
    <w:p w14:paraId="3A15B8CC" w14:textId="6FE1234B"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3.1 Research Objective</w:t>
      </w:r>
    </w:p>
    <w:p w14:paraId="6E5F4D50" w14:textId="19662CC0" w:rsidR="0080753A" w:rsidRPr="009A5CE9" w:rsidRDefault="0080753A" w:rsidP="009A5CE9">
      <w:pPr>
        <w:spacing w:after="0" w:line="360" w:lineRule="auto"/>
        <w:jc w:val="both"/>
        <w:rPr>
          <w:rFonts w:ascii="Arial" w:hAnsi="Arial" w:cs="Arial"/>
          <w:sz w:val="20"/>
        </w:rPr>
      </w:pPr>
      <w:r w:rsidRPr="009A5CE9">
        <w:rPr>
          <w:rFonts w:ascii="Arial" w:hAnsi="Arial" w:cs="Arial"/>
          <w:sz w:val="20"/>
        </w:rPr>
        <w:t xml:space="preserve">The present study aims to </w:t>
      </w:r>
      <w:r w:rsidR="00FD0642" w:rsidRPr="009A5CE9">
        <w:rPr>
          <w:rFonts w:ascii="Arial" w:hAnsi="Arial" w:cs="Arial"/>
          <w:sz w:val="20"/>
        </w:rPr>
        <w:t>analyses</w:t>
      </w:r>
      <w:r w:rsidRPr="009A5CE9">
        <w:rPr>
          <w:rFonts w:ascii="Arial" w:hAnsi="Arial" w:cs="Arial"/>
          <w:sz w:val="20"/>
        </w:rPr>
        <w:t xml:space="preserve"> the spatial pattern of births and deaths under the Health Management Information System (HMIS) across the tahsils of the former Ahilyanagar District. The focus is on identifying tahsil-wise disparities in live births, total deaths, child mortality (0–5 years), and infant mortality (0–1 year) through a geographical perspective.</w:t>
      </w:r>
    </w:p>
    <w:p w14:paraId="1D7A0214" w14:textId="4EBFF8A6"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3.2 Nature of the Study</w:t>
      </w:r>
    </w:p>
    <w:p w14:paraId="6CAE708F"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This study is descriptive and analytical in nature, based entirely on secondary data. It integrates demographic analysis with spatial interpretation, a method commonly adopted in population and health geography studies (Chandna, 2018; Kundu, 2018).</w:t>
      </w:r>
    </w:p>
    <w:p w14:paraId="40D94C8D" w14:textId="2AAD0AAA"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3.3 Data Sources</w:t>
      </w:r>
    </w:p>
    <w:p w14:paraId="6B5AA598"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lastRenderedPageBreak/>
        <w:t>The analysis relies on officially published and administratively maintained datasets, ensuring data reliability and reproducibility. The sources include:</w:t>
      </w:r>
    </w:p>
    <w:p w14:paraId="0F8FB966" w14:textId="77777777" w:rsidR="0080753A" w:rsidRPr="009A5CE9" w:rsidRDefault="0080753A" w:rsidP="009A5CE9">
      <w:pPr>
        <w:numPr>
          <w:ilvl w:val="0"/>
          <w:numId w:val="18"/>
        </w:numPr>
        <w:spacing w:after="0" w:line="360" w:lineRule="auto"/>
        <w:jc w:val="both"/>
        <w:rPr>
          <w:rFonts w:ascii="Arial" w:hAnsi="Arial" w:cs="Arial"/>
          <w:sz w:val="20"/>
        </w:rPr>
      </w:pPr>
      <w:r w:rsidRPr="009A5CE9">
        <w:rPr>
          <w:rFonts w:ascii="Arial" w:hAnsi="Arial" w:cs="Arial"/>
          <w:sz w:val="20"/>
        </w:rPr>
        <w:t>Socio-Economic Abstract of Ahilyanagar District (December 2025)</w:t>
      </w:r>
    </w:p>
    <w:p w14:paraId="17C8373A" w14:textId="77777777" w:rsidR="0080753A" w:rsidRPr="009A5CE9" w:rsidRDefault="0080753A" w:rsidP="009A5CE9">
      <w:pPr>
        <w:numPr>
          <w:ilvl w:val="0"/>
          <w:numId w:val="18"/>
        </w:numPr>
        <w:spacing w:after="0" w:line="360" w:lineRule="auto"/>
        <w:jc w:val="both"/>
        <w:rPr>
          <w:rFonts w:ascii="Arial" w:hAnsi="Arial" w:cs="Arial"/>
          <w:sz w:val="20"/>
        </w:rPr>
      </w:pPr>
      <w:r w:rsidRPr="009A5CE9">
        <w:rPr>
          <w:rFonts w:ascii="Arial" w:hAnsi="Arial" w:cs="Arial"/>
          <w:sz w:val="20"/>
        </w:rPr>
        <w:t>Health Management Information System (HMIS) Records, District Health Officer, Zilla Parishad, Ahilyanagar</w:t>
      </w:r>
    </w:p>
    <w:p w14:paraId="76FB763F"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These sources provide tahsil-level annual data on births, deaths, and age-specific mortality indicators for the year 2025.</w:t>
      </w:r>
    </w:p>
    <w:p w14:paraId="618842BD" w14:textId="5CEC2AEE"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3.4 Variables Selected</w:t>
      </w:r>
    </w:p>
    <w:p w14:paraId="437546A5"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The following demographic and health indicators were selected for analysis:</w:t>
      </w:r>
    </w:p>
    <w:p w14:paraId="0523F6B2" w14:textId="77777777" w:rsidR="0080753A" w:rsidRPr="009A5CE9" w:rsidRDefault="0080753A" w:rsidP="009A5CE9">
      <w:pPr>
        <w:numPr>
          <w:ilvl w:val="0"/>
          <w:numId w:val="19"/>
        </w:numPr>
        <w:spacing w:after="0" w:line="360" w:lineRule="auto"/>
        <w:jc w:val="both"/>
        <w:rPr>
          <w:rFonts w:ascii="Arial" w:hAnsi="Arial" w:cs="Arial"/>
          <w:sz w:val="20"/>
        </w:rPr>
      </w:pPr>
      <w:r w:rsidRPr="009A5CE9">
        <w:rPr>
          <w:rFonts w:ascii="Arial" w:hAnsi="Arial" w:cs="Arial"/>
          <w:sz w:val="20"/>
        </w:rPr>
        <w:t>Male live births</w:t>
      </w:r>
    </w:p>
    <w:p w14:paraId="4FBBBA78" w14:textId="77777777" w:rsidR="0080753A" w:rsidRPr="009A5CE9" w:rsidRDefault="0080753A" w:rsidP="009A5CE9">
      <w:pPr>
        <w:numPr>
          <w:ilvl w:val="0"/>
          <w:numId w:val="19"/>
        </w:numPr>
        <w:spacing w:after="0" w:line="360" w:lineRule="auto"/>
        <w:jc w:val="both"/>
        <w:rPr>
          <w:rFonts w:ascii="Arial" w:hAnsi="Arial" w:cs="Arial"/>
          <w:sz w:val="20"/>
        </w:rPr>
      </w:pPr>
      <w:r w:rsidRPr="009A5CE9">
        <w:rPr>
          <w:rFonts w:ascii="Arial" w:hAnsi="Arial" w:cs="Arial"/>
          <w:sz w:val="20"/>
        </w:rPr>
        <w:t>Female live births</w:t>
      </w:r>
    </w:p>
    <w:p w14:paraId="6FED6316" w14:textId="77777777" w:rsidR="0080753A" w:rsidRPr="009A5CE9" w:rsidRDefault="0080753A" w:rsidP="009A5CE9">
      <w:pPr>
        <w:numPr>
          <w:ilvl w:val="0"/>
          <w:numId w:val="19"/>
        </w:numPr>
        <w:spacing w:after="0" w:line="360" w:lineRule="auto"/>
        <w:jc w:val="both"/>
        <w:rPr>
          <w:rFonts w:ascii="Arial" w:hAnsi="Arial" w:cs="Arial"/>
          <w:sz w:val="20"/>
        </w:rPr>
      </w:pPr>
      <w:r w:rsidRPr="009A5CE9">
        <w:rPr>
          <w:rFonts w:ascii="Arial" w:hAnsi="Arial" w:cs="Arial"/>
          <w:sz w:val="20"/>
        </w:rPr>
        <w:t>Total live births</w:t>
      </w:r>
    </w:p>
    <w:p w14:paraId="00FF2680" w14:textId="77777777" w:rsidR="0080753A" w:rsidRPr="009A5CE9" w:rsidRDefault="0080753A" w:rsidP="009A5CE9">
      <w:pPr>
        <w:numPr>
          <w:ilvl w:val="0"/>
          <w:numId w:val="19"/>
        </w:numPr>
        <w:spacing w:after="0" w:line="360" w:lineRule="auto"/>
        <w:jc w:val="both"/>
        <w:rPr>
          <w:rFonts w:ascii="Arial" w:hAnsi="Arial" w:cs="Arial"/>
          <w:sz w:val="20"/>
        </w:rPr>
      </w:pPr>
      <w:r w:rsidRPr="009A5CE9">
        <w:rPr>
          <w:rFonts w:ascii="Arial" w:hAnsi="Arial" w:cs="Arial"/>
          <w:sz w:val="20"/>
        </w:rPr>
        <w:t>Total deaths</w:t>
      </w:r>
    </w:p>
    <w:p w14:paraId="5774B85E" w14:textId="77777777" w:rsidR="0080753A" w:rsidRPr="009A5CE9" w:rsidRDefault="0080753A" w:rsidP="009A5CE9">
      <w:pPr>
        <w:numPr>
          <w:ilvl w:val="0"/>
          <w:numId w:val="19"/>
        </w:numPr>
        <w:spacing w:after="0" w:line="360" w:lineRule="auto"/>
        <w:jc w:val="both"/>
        <w:rPr>
          <w:rFonts w:ascii="Arial" w:hAnsi="Arial" w:cs="Arial"/>
          <w:sz w:val="20"/>
        </w:rPr>
      </w:pPr>
      <w:r w:rsidRPr="009A5CE9">
        <w:rPr>
          <w:rFonts w:ascii="Arial" w:hAnsi="Arial" w:cs="Arial"/>
          <w:sz w:val="20"/>
        </w:rPr>
        <w:t>Child deaths (0–5 years)</w:t>
      </w:r>
    </w:p>
    <w:p w14:paraId="33D1CD03" w14:textId="77777777" w:rsidR="0080753A" w:rsidRPr="009A5CE9" w:rsidRDefault="0080753A" w:rsidP="009A5CE9">
      <w:pPr>
        <w:numPr>
          <w:ilvl w:val="0"/>
          <w:numId w:val="19"/>
        </w:numPr>
        <w:spacing w:after="0" w:line="360" w:lineRule="auto"/>
        <w:jc w:val="both"/>
        <w:rPr>
          <w:rFonts w:ascii="Arial" w:hAnsi="Arial" w:cs="Arial"/>
          <w:sz w:val="20"/>
        </w:rPr>
      </w:pPr>
      <w:r w:rsidRPr="009A5CE9">
        <w:rPr>
          <w:rFonts w:ascii="Arial" w:hAnsi="Arial" w:cs="Arial"/>
          <w:sz w:val="20"/>
        </w:rPr>
        <w:t>Infant deaths (0–1 year)</w:t>
      </w:r>
    </w:p>
    <w:p w14:paraId="12B2A962"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These variables are widely used indicators of population dynamics, maternal and child health, and overall health status (Park, 2021; Mohanty &amp; Ram, 2020).</w:t>
      </w:r>
    </w:p>
    <w:p w14:paraId="34191266" w14:textId="58432CAD"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3.5 Analytical Techniques</w:t>
      </w:r>
    </w:p>
    <w:p w14:paraId="40E3ABFF"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The methodological framework follows the demographic spatial analysis approach adopted by Kundu (2018), Mishra (2020), and NITI Aayog (2022), with minor modifications to suit tahsil-level HMIS data.</w:t>
      </w:r>
    </w:p>
    <w:p w14:paraId="794A2069"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The analysis was carried out using the following steps:</w:t>
      </w:r>
    </w:p>
    <w:p w14:paraId="2BCA66FD" w14:textId="71733043"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3.5.1 Tahsil-wise Tabulation</w:t>
      </w:r>
    </w:p>
    <w:p w14:paraId="0EDDC1B8" w14:textId="572408F8" w:rsidR="0080753A" w:rsidRPr="009A5CE9" w:rsidRDefault="0080753A" w:rsidP="009A5CE9">
      <w:pPr>
        <w:spacing w:after="0" w:line="360" w:lineRule="auto"/>
        <w:jc w:val="both"/>
        <w:rPr>
          <w:rFonts w:ascii="Arial" w:hAnsi="Arial" w:cs="Arial"/>
          <w:sz w:val="20"/>
        </w:rPr>
      </w:pPr>
      <w:r w:rsidRPr="009A5CE9">
        <w:rPr>
          <w:rFonts w:ascii="Arial" w:hAnsi="Arial" w:cs="Arial"/>
          <w:sz w:val="20"/>
        </w:rPr>
        <w:t xml:space="preserve">Raw HMIS data were </w:t>
      </w:r>
      <w:r w:rsidR="00FD0642" w:rsidRPr="009A5CE9">
        <w:rPr>
          <w:rFonts w:ascii="Arial" w:hAnsi="Arial" w:cs="Arial"/>
          <w:sz w:val="20"/>
        </w:rPr>
        <w:t>organized</w:t>
      </w:r>
      <w:r w:rsidRPr="009A5CE9">
        <w:rPr>
          <w:rFonts w:ascii="Arial" w:hAnsi="Arial" w:cs="Arial"/>
          <w:sz w:val="20"/>
        </w:rPr>
        <w:t xml:space="preserve"> into tahsil-wise tables to examine the absolute distribution of births, deaths, child deaths, and infant deaths. This step forms the foundation for spatial and comparative analysis.</w:t>
      </w:r>
    </w:p>
    <w:p w14:paraId="6C5D6018" w14:textId="4B0841D0"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3.5.2 Percentage and Ratio Analysis</w:t>
      </w:r>
    </w:p>
    <w:p w14:paraId="553C7805"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Percentage shares of each tahsil in total district births and deaths were calculated to identify relative concentration. Sex-wise birth ratios and proportions of child and infant deaths were computed to assess demographic imbalance and mortality intensity.</w:t>
      </w:r>
    </w:p>
    <w:p w14:paraId="0BD54909" w14:textId="04025313"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3.5.3 Comparative Spatial Analysis</w:t>
      </w:r>
    </w:p>
    <w:p w14:paraId="105FA35B" w14:textId="77777777"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Tahsil-wise comparisons were made to identify high, moderate, and low birth and mortality regions. The observed patterns were interpreted in relation to population size, urban–rural characteristics, and healthcare accessibility, following the spatial approach suggested by Kundu (2018).</w:t>
      </w:r>
    </w:p>
    <w:p w14:paraId="400A9FAB" w14:textId="0A864C30" w:rsidR="0080753A" w:rsidRPr="009A5CE9" w:rsidRDefault="0080753A" w:rsidP="009A5CE9">
      <w:pPr>
        <w:spacing w:after="0" w:line="360" w:lineRule="auto"/>
        <w:jc w:val="both"/>
        <w:rPr>
          <w:rFonts w:ascii="Arial" w:hAnsi="Arial" w:cs="Arial"/>
          <w:b/>
          <w:bCs/>
          <w:sz w:val="20"/>
        </w:rPr>
      </w:pPr>
      <w:r w:rsidRPr="009A5CE9">
        <w:rPr>
          <w:rFonts w:ascii="Arial" w:hAnsi="Arial" w:cs="Arial"/>
          <w:b/>
          <w:bCs/>
          <w:sz w:val="20"/>
        </w:rPr>
        <w:t>3.5.4 Descriptive Demographic Interpretation</w:t>
      </w:r>
    </w:p>
    <w:p w14:paraId="729C3324" w14:textId="6A558F93" w:rsidR="0080753A" w:rsidRPr="009A5CE9" w:rsidRDefault="0080753A" w:rsidP="009A5CE9">
      <w:pPr>
        <w:spacing w:after="0" w:line="360" w:lineRule="auto"/>
        <w:jc w:val="both"/>
        <w:rPr>
          <w:rFonts w:ascii="Arial" w:hAnsi="Arial" w:cs="Arial"/>
          <w:sz w:val="20"/>
        </w:rPr>
      </w:pPr>
      <w:r w:rsidRPr="009A5CE9">
        <w:rPr>
          <w:rFonts w:ascii="Arial" w:hAnsi="Arial" w:cs="Arial"/>
          <w:sz w:val="20"/>
        </w:rPr>
        <w:t xml:space="preserve">Descriptive demographic techniques were applied to explain variations in health outcomes. The discussion of results precedes the presentation of each table and figure, ensuring that all visual representations are analytically </w:t>
      </w:r>
      <w:r w:rsidR="00FD0642" w:rsidRPr="009A5CE9">
        <w:rPr>
          <w:rFonts w:ascii="Arial" w:hAnsi="Arial" w:cs="Arial"/>
          <w:sz w:val="20"/>
        </w:rPr>
        <w:t>contextualized</w:t>
      </w:r>
      <w:r w:rsidRPr="009A5CE9">
        <w:rPr>
          <w:rFonts w:ascii="Arial" w:hAnsi="Arial" w:cs="Arial"/>
          <w:sz w:val="20"/>
        </w:rPr>
        <w:t>.</w:t>
      </w:r>
    </w:p>
    <w:p w14:paraId="59401A00" w14:textId="77777777" w:rsidR="0080753A" w:rsidRPr="009A5CE9" w:rsidRDefault="0080753A" w:rsidP="009A5CE9">
      <w:pPr>
        <w:spacing w:after="0" w:line="360" w:lineRule="auto"/>
        <w:jc w:val="both"/>
        <w:rPr>
          <w:rFonts w:ascii="Arial" w:hAnsi="Arial" w:cs="Arial"/>
          <w:sz w:val="20"/>
        </w:rPr>
      </w:pPr>
    </w:p>
    <w:p w14:paraId="7B2A2AD8" w14:textId="262EC3E6"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4</w:t>
      </w:r>
      <w:r w:rsidR="00BB3F57" w:rsidRPr="009A5CE9">
        <w:rPr>
          <w:rFonts w:ascii="Arial" w:hAnsi="Arial" w:cs="Arial"/>
          <w:b/>
          <w:bCs/>
          <w:szCs w:val="22"/>
        </w:rPr>
        <w:t>. Results and Discussion</w:t>
      </w:r>
    </w:p>
    <w:p w14:paraId="61C2B582" w14:textId="4EC5B06D" w:rsidR="007F12BF" w:rsidRPr="009A5CE9" w:rsidRDefault="007F12BF" w:rsidP="009A5CE9">
      <w:pPr>
        <w:spacing w:after="0" w:line="360" w:lineRule="auto"/>
        <w:jc w:val="both"/>
        <w:rPr>
          <w:rFonts w:ascii="Arial" w:hAnsi="Arial" w:cs="Arial"/>
          <w:sz w:val="20"/>
        </w:rPr>
      </w:pPr>
      <w:r w:rsidRPr="009A5CE9">
        <w:rPr>
          <w:rFonts w:ascii="Arial" w:hAnsi="Arial" w:cs="Arial"/>
          <w:sz w:val="20"/>
        </w:rPr>
        <w:lastRenderedPageBreak/>
        <w:tab/>
        <w:t xml:space="preserve">The HMIS data show that the former </w:t>
      </w:r>
      <w:r w:rsidR="004C7491" w:rsidRPr="009A5CE9">
        <w:rPr>
          <w:rFonts w:ascii="Arial" w:hAnsi="Arial" w:cs="Arial"/>
          <w:sz w:val="20"/>
        </w:rPr>
        <w:t>Ahilyanagar</w:t>
      </w:r>
      <w:r w:rsidRPr="009A5CE9">
        <w:rPr>
          <w:rFonts w:ascii="Arial" w:hAnsi="Arial" w:cs="Arial"/>
          <w:sz w:val="20"/>
        </w:rPr>
        <w:t xml:space="preserve"> district recorded 63,985 live births and 13,957 total deaths, indicating wide inter-tahsil variation in health outcomes. Nagar, Sangamner, and Rahata emerge as high-birth and high-death tahsils due to their large population and urban influence. Child deaths (607) and infant deaths (508) are relatively higher in Sangamner, Newasa, Parner, and Nagar, reflecting persistent challenges in maternal and child healthcare. In contrast, Karjat and Jamkhed report the lowest births and deaths due to low population density and rural conditions.</w:t>
      </w:r>
    </w:p>
    <w:p w14:paraId="29DBE15D" w14:textId="77777777" w:rsidR="00663B4C" w:rsidRPr="009A5CE9" w:rsidRDefault="00663B4C" w:rsidP="009A5CE9">
      <w:pPr>
        <w:spacing w:after="0" w:line="360" w:lineRule="auto"/>
        <w:jc w:val="center"/>
        <w:rPr>
          <w:rFonts w:ascii="Arial" w:hAnsi="Arial" w:cs="Arial"/>
          <w:b/>
          <w:bCs/>
          <w:sz w:val="20"/>
        </w:rPr>
      </w:pPr>
      <w:r w:rsidRPr="009A5CE9">
        <w:rPr>
          <w:rFonts w:ascii="Arial" w:hAnsi="Arial" w:cs="Arial"/>
          <w:b/>
          <w:bCs/>
          <w:sz w:val="20"/>
        </w:rPr>
        <w:t>Table 1: Tahsil-wise Distribution of Live Births by Sex (Male, Female and Total)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601"/>
        <w:gridCol w:w="1702"/>
        <w:gridCol w:w="1971"/>
        <w:gridCol w:w="1706"/>
      </w:tblGrid>
      <w:tr w:rsidR="009A5CE9" w:rsidRPr="009A5CE9" w14:paraId="11612272" w14:textId="77777777" w:rsidTr="006F0C87">
        <w:trPr>
          <w:trHeight w:val="315"/>
        </w:trPr>
        <w:tc>
          <w:tcPr>
            <w:tcW w:w="575" w:type="pct"/>
            <w:vMerge w:val="restart"/>
            <w:shd w:val="clear" w:color="auto" w:fill="auto"/>
            <w:vAlign w:val="center"/>
            <w:hideMark/>
          </w:tcPr>
          <w:p w14:paraId="73617CE1"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Sr. No.</w:t>
            </w:r>
          </w:p>
        </w:tc>
        <w:tc>
          <w:tcPr>
            <w:tcW w:w="1442" w:type="pct"/>
            <w:vMerge w:val="restart"/>
            <w:shd w:val="clear" w:color="auto" w:fill="auto"/>
            <w:vAlign w:val="center"/>
            <w:hideMark/>
          </w:tcPr>
          <w:p w14:paraId="7E00CA9B"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Tahsil</w:t>
            </w:r>
          </w:p>
        </w:tc>
        <w:tc>
          <w:tcPr>
            <w:tcW w:w="2983" w:type="pct"/>
            <w:gridSpan w:val="3"/>
            <w:shd w:val="clear" w:color="auto" w:fill="auto"/>
            <w:vAlign w:val="center"/>
            <w:hideMark/>
          </w:tcPr>
          <w:p w14:paraId="7F699AB6"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No. of Live Births</w:t>
            </w:r>
          </w:p>
        </w:tc>
      </w:tr>
      <w:tr w:rsidR="009A5CE9" w:rsidRPr="009A5CE9" w14:paraId="5B693E0F" w14:textId="77777777" w:rsidTr="006F0C87">
        <w:trPr>
          <w:trHeight w:val="585"/>
        </w:trPr>
        <w:tc>
          <w:tcPr>
            <w:tcW w:w="575" w:type="pct"/>
            <w:vMerge/>
            <w:vAlign w:val="center"/>
            <w:hideMark/>
          </w:tcPr>
          <w:p w14:paraId="5673194C" w14:textId="77777777" w:rsidR="00663B4C" w:rsidRPr="009A5CE9" w:rsidRDefault="00663B4C" w:rsidP="009A5CE9">
            <w:pPr>
              <w:spacing w:after="0" w:line="360" w:lineRule="auto"/>
              <w:rPr>
                <w:rFonts w:ascii="Arial" w:eastAsia="Times New Roman" w:hAnsi="Arial" w:cs="Arial"/>
                <w:b/>
                <w:bCs/>
                <w:sz w:val="20"/>
              </w:rPr>
            </w:pPr>
          </w:p>
        </w:tc>
        <w:tc>
          <w:tcPr>
            <w:tcW w:w="1442" w:type="pct"/>
            <w:vMerge/>
            <w:vAlign w:val="center"/>
            <w:hideMark/>
          </w:tcPr>
          <w:p w14:paraId="189E670E" w14:textId="77777777" w:rsidR="00663B4C" w:rsidRPr="009A5CE9" w:rsidRDefault="00663B4C" w:rsidP="009A5CE9">
            <w:pPr>
              <w:spacing w:after="0" w:line="360" w:lineRule="auto"/>
              <w:rPr>
                <w:rFonts w:ascii="Arial" w:eastAsia="Times New Roman" w:hAnsi="Arial" w:cs="Arial"/>
                <w:b/>
                <w:bCs/>
                <w:sz w:val="20"/>
              </w:rPr>
            </w:pPr>
          </w:p>
        </w:tc>
        <w:tc>
          <w:tcPr>
            <w:tcW w:w="944" w:type="pct"/>
            <w:shd w:val="clear" w:color="auto" w:fill="auto"/>
            <w:vAlign w:val="center"/>
            <w:hideMark/>
          </w:tcPr>
          <w:p w14:paraId="0FE453E3"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Male</w:t>
            </w:r>
          </w:p>
        </w:tc>
        <w:tc>
          <w:tcPr>
            <w:tcW w:w="1093" w:type="pct"/>
            <w:shd w:val="clear" w:color="auto" w:fill="auto"/>
            <w:vAlign w:val="center"/>
            <w:hideMark/>
          </w:tcPr>
          <w:p w14:paraId="4572F019"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Female</w:t>
            </w:r>
          </w:p>
        </w:tc>
        <w:tc>
          <w:tcPr>
            <w:tcW w:w="946" w:type="pct"/>
            <w:shd w:val="clear" w:color="auto" w:fill="auto"/>
            <w:vAlign w:val="center"/>
            <w:hideMark/>
          </w:tcPr>
          <w:p w14:paraId="6571D79B"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Total</w:t>
            </w:r>
          </w:p>
        </w:tc>
      </w:tr>
      <w:tr w:rsidR="009A5CE9" w:rsidRPr="009A5CE9" w14:paraId="0346ED29" w14:textId="77777777" w:rsidTr="006F0C87">
        <w:trPr>
          <w:trHeight w:val="315"/>
        </w:trPr>
        <w:tc>
          <w:tcPr>
            <w:tcW w:w="575" w:type="pct"/>
            <w:shd w:val="clear" w:color="auto" w:fill="auto"/>
            <w:vAlign w:val="center"/>
            <w:hideMark/>
          </w:tcPr>
          <w:p w14:paraId="6F7E9CBD"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w:t>
            </w:r>
          </w:p>
        </w:tc>
        <w:tc>
          <w:tcPr>
            <w:tcW w:w="1442" w:type="pct"/>
            <w:shd w:val="clear" w:color="auto" w:fill="auto"/>
            <w:vAlign w:val="center"/>
            <w:hideMark/>
          </w:tcPr>
          <w:p w14:paraId="674FEFF3"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Akole</w:t>
            </w:r>
          </w:p>
        </w:tc>
        <w:tc>
          <w:tcPr>
            <w:tcW w:w="944" w:type="pct"/>
            <w:shd w:val="clear" w:color="auto" w:fill="auto"/>
            <w:vAlign w:val="center"/>
            <w:hideMark/>
          </w:tcPr>
          <w:p w14:paraId="00B52FB2"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1593</w:t>
            </w:r>
          </w:p>
        </w:tc>
        <w:tc>
          <w:tcPr>
            <w:tcW w:w="1093" w:type="pct"/>
            <w:shd w:val="clear" w:color="auto" w:fill="auto"/>
            <w:vAlign w:val="center"/>
            <w:hideMark/>
          </w:tcPr>
          <w:p w14:paraId="41F38127"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1442</w:t>
            </w:r>
          </w:p>
        </w:tc>
        <w:tc>
          <w:tcPr>
            <w:tcW w:w="946" w:type="pct"/>
            <w:shd w:val="clear" w:color="auto" w:fill="auto"/>
            <w:vAlign w:val="bottom"/>
            <w:hideMark/>
          </w:tcPr>
          <w:p w14:paraId="35AE8591"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3035</w:t>
            </w:r>
          </w:p>
        </w:tc>
      </w:tr>
      <w:tr w:rsidR="009A5CE9" w:rsidRPr="009A5CE9" w14:paraId="06521C3A" w14:textId="77777777" w:rsidTr="006F0C87">
        <w:trPr>
          <w:trHeight w:val="315"/>
        </w:trPr>
        <w:tc>
          <w:tcPr>
            <w:tcW w:w="575" w:type="pct"/>
            <w:shd w:val="clear" w:color="auto" w:fill="auto"/>
            <w:vAlign w:val="center"/>
            <w:hideMark/>
          </w:tcPr>
          <w:p w14:paraId="5304FD6F"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2</w:t>
            </w:r>
          </w:p>
        </w:tc>
        <w:tc>
          <w:tcPr>
            <w:tcW w:w="1442" w:type="pct"/>
            <w:shd w:val="clear" w:color="auto" w:fill="auto"/>
            <w:vAlign w:val="center"/>
            <w:hideMark/>
          </w:tcPr>
          <w:p w14:paraId="017B665E"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Sangamner</w:t>
            </w:r>
          </w:p>
        </w:tc>
        <w:tc>
          <w:tcPr>
            <w:tcW w:w="944" w:type="pct"/>
            <w:shd w:val="clear" w:color="auto" w:fill="auto"/>
            <w:vAlign w:val="center"/>
            <w:hideMark/>
          </w:tcPr>
          <w:p w14:paraId="7612E2DC"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3938</w:t>
            </w:r>
          </w:p>
        </w:tc>
        <w:tc>
          <w:tcPr>
            <w:tcW w:w="1093" w:type="pct"/>
            <w:shd w:val="clear" w:color="auto" w:fill="auto"/>
            <w:vAlign w:val="center"/>
            <w:hideMark/>
          </w:tcPr>
          <w:p w14:paraId="4D96136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3590</w:t>
            </w:r>
          </w:p>
        </w:tc>
        <w:tc>
          <w:tcPr>
            <w:tcW w:w="946" w:type="pct"/>
            <w:shd w:val="clear" w:color="auto" w:fill="auto"/>
            <w:vAlign w:val="bottom"/>
            <w:hideMark/>
          </w:tcPr>
          <w:p w14:paraId="117310A4"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7528</w:t>
            </w:r>
          </w:p>
        </w:tc>
      </w:tr>
      <w:tr w:rsidR="009A5CE9" w:rsidRPr="009A5CE9" w14:paraId="4B707345" w14:textId="77777777" w:rsidTr="006F0C87">
        <w:trPr>
          <w:trHeight w:val="315"/>
        </w:trPr>
        <w:tc>
          <w:tcPr>
            <w:tcW w:w="575" w:type="pct"/>
            <w:shd w:val="clear" w:color="auto" w:fill="auto"/>
            <w:vAlign w:val="center"/>
            <w:hideMark/>
          </w:tcPr>
          <w:p w14:paraId="17119CD6"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3</w:t>
            </w:r>
          </w:p>
        </w:tc>
        <w:tc>
          <w:tcPr>
            <w:tcW w:w="1442" w:type="pct"/>
            <w:shd w:val="clear" w:color="auto" w:fill="auto"/>
            <w:vAlign w:val="center"/>
            <w:hideMark/>
          </w:tcPr>
          <w:p w14:paraId="19BA8753"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Kopargaon</w:t>
            </w:r>
          </w:p>
        </w:tc>
        <w:tc>
          <w:tcPr>
            <w:tcW w:w="944" w:type="pct"/>
            <w:shd w:val="clear" w:color="auto" w:fill="auto"/>
            <w:vAlign w:val="center"/>
            <w:hideMark/>
          </w:tcPr>
          <w:p w14:paraId="23E63CDE"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1777</w:t>
            </w:r>
          </w:p>
        </w:tc>
        <w:tc>
          <w:tcPr>
            <w:tcW w:w="1093" w:type="pct"/>
            <w:shd w:val="clear" w:color="auto" w:fill="auto"/>
            <w:vAlign w:val="center"/>
            <w:hideMark/>
          </w:tcPr>
          <w:p w14:paraId="52B9CF9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1634</w:t>
            </w:r>
          </w:p>
        </w:tc>
        <w:tc>
          <w:tcPr>
            <w:tcW w:w="946" w:type="pct"/>
            <w:shd w:val="clear" w:color="auto" w:fill="auto"/>
            <w:vAlign w:val="bottom"/>
            <w:hideMark/>
          </w:tcPr>
          <w:p w14:paraId="3D5D9D83"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3411</w:t>
            </w:r>
          </w:p>
        </w:tc>
      </w:tr>
      <w:tr w:rsidR="009A5CE9" w:rsidRPr="009A5CE9" w14:paraId="3F45DD82" w14:textId="77777777" w:rsidTr="006F0C87">
        <w:trPr>
          <w:trHeight w:val="315"/>
        </w:trPr>
        <w:tc>
          <w:tcPr>
            <w:tcW w:w="575" w:type="pct"/>
            <w:shd w:val="clear" w:color="auto" w:fill="auto"/>
            <w:vAlign w:val="center"/>
            <w:hideMark/>
          </w:tcPr>
          <w:p w14:paraId="3402FF40"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4</w:t>
            </w:r>
          </w:p>
        </w:tc>
        <w:tc>
          <w:tcPr>
            <w:tcW w:w="1442" w:type="pct"/>
            <w:shd w:val="clear" w:color="auto" w:fill="auto"/>
            <w:vAlign w:val="center"/>
            <w:hideMark/>
          </w:tcPr>
          <w:p w14:paraId="72070447"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Rahata</w:t>
            </w:r>
          </w:p>
        </w:tc>
        <w:tc>
          <w:tcPr>
            <w:tcW w:w="944" w:type="pct"/>
            <w:shd w:val="clear" w:color="auto" w:fill="auto"/>
            <w:vAlign w:val="center"/>
            <w:hideMark/>
          </w:tcPr>
          <w:p w14:paraId="123C0351"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3561</w:t>
            </w:r>
          </w:p>
        </w:tc>
        <w:tc>
          <w:tcPr>
            <w:tcW w:w="1093" w:type="pct"/>
            <w:shd w:val="clear" w:color="auto" w:fill="auto"/>
            <w:vAlign w:val="center"/>
            <w:hideMark/>
          </w:tcPr>
          <w:p w14:paraId="23580714"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3320</w:t>
            </w:r>
          </w:p>
        </w:tc>
        <w:tc>
          <w:tcPr>
            <w:tcW w:w="946" w:type="pct"/>
            <w:shd w:val="clear" w:color="auto" w:fill="auto"/>
            <w:vAlign w:val="bottom"/>
            <w:hideMark/>
          </w:tcPr>
          <w:p w14:paraId="03145D24"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6881</w:t>
            </w:r>
          </w:p>
        </w:tc>
      </w:tr>
      <w:tr w:rsidR="009A5CE9" w:rsidRPr="009A5CE9" w14:paraId="7AC9CD75" w14:textId="77777777" w:rsidTr="006F0C87">
        <w:trPr>
          <w:trHeight w:val="315"/>
        </w:trPr>
        <w:tc>
          <w:tcPr>
            <w:tcW w:w="575" w:type="pct"/>
            <w:shd w:val="clear" w:color="auto" w:fill="auto"/>
            <w:vAlign w:val="center"/>
            <w:hideMark/>
          </w:tcPr>
          <w:p w14:paraId="764F9D3E"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5</w:t>
            </w:r>
          </w:p>
        </w:tc>
        <w:tc>
          <w:tcPr>
            <w:tcW w:w="1442" w:type="pct"/>
            <w:shd w:val="clear" w:color="auto" w:fill="auto"/>
            <w:vAlign w:val="center"/>
            <w:hideMark/>
          </w:tcPr>
          <w:p w14:paraId="67503C45"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Shrirampur</w:t>
            </w:r>
          </w:p>
        </w:tc>
        <w:tc>
          <w:tcPr>
            <w:tcW w:w="944" w:type="pct"/>
            <w:shd w:val="clear" w:color="auto" w:fill="auto"/>
            <w:vAlign w:val="center"/>
            <w:hideMark/>
          </w:tcPr>
          <w:p w14:paraId="0C2520E0"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1384</w:t>
            </w:r>
          </w:p>
        </w:tc>
        <w:tc>
          <w:tcPr>
            <w:tcW w:w="1093" w:type="pct"/>
            <w:shd w:val="clear" w:color="auto" w:fill="auto"/>
            <w:vAlign w:val="center"/>
            <w:hideMark/>
          </w:tcPr>
          <w:p w14:paraId="076AE3E1"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1212</w:t>
            </w:r>
          </w:p>
        </w:tc>
        <w:tc>
          <w:tcPr>
            <w:tcW w:w="946" w:type="pct"/>
            <w:shd w:val="clear" w:color="auto" w:fill="auto"/>
            <w:vAlign w:val="bottom"/>
            <w:hideMark/>
          </w:tcPr>
          <w:p w14:paraId="2AB4F28D"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2596</w:t>
            </w:r>
          </w:p>
        </w:tc>
      </w:tr>
      <w:tr w:rsidR="009A5CE9" w:rsidRPr="009A5CE9" w14:paraId="0912AD66" w14:textId="77777777" w:rsidTr="006F0C87">
        <w:trPr>
          <w:trHeight w:val="315"/>
        </w:trPr>
        <w:tc>
          <w:tcPr>
            <w:tcW w:w="575" w:type="pct"/>
            <w:shd w:val="clear" w:color="auto" w:fill="auto"/>
            <w:vAlign w:val="center"/>
            <w:hideMark/>
          </w:tcPr>
          <w:p w14:paraId="2ADBF139"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6</w:t>
            </w:r>
          </w:p>
        </w:tc>
        <w:tc>
          <w:tcPr>
            <w:tcW w:w="1442" w:type="pct"/>
            <w:shd w:val="clear" w:color="auto" w:fill="auto"/>
            <w:vAlign w:val="center"/>
            <w:hideMark/>
          </w:tcPr>
          <w:p w14:paraId="52C1EAF4"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Newasa</w:t>
            </w:r>
          </w:p>
        </w:tc>
        <w:tc>
          <w:tcPr>
            <w:tcW w:w="944" w:type="pct"/>
            <w:shd w:val="clear" w:color="auto" w:fill="auto"/>
            <w:vAlign w:val="center"/>
            <w:hideMark/>
          </w:tcPr>
          <w:p w14:paraId="745F64E9"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3212</w:t>
            </w:r>
          </w:p>
        </w:tc>
        <w:tc>
          <w:tcPr>
            <w:tcW w:w="1093" w:type="pct"/>
            <w:shd w:val="clear" w:color="auto" w:fill="auto"/>
            <w:vAlign w:val="center"/>
            <w:hideMark/>
          </w:tcPr>
          <w:p w14:paraId="0AAF296C"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3043</w:t>
            </w:r>
          </w:p>
        </w:tc>
        <w:tc>
          <w:tcPr>
            <w:tcW w:w="946" w:type="pct"/>
            <w:shd w:val="clear" w:color="auto" w:fill="auto"/>
            <w:vAlign w:val="bottom"/>
            <w:hideMark/>
          </w:tcPr>
          <w:p w14:paraId="7CD4C190"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6255</w:t>
            </w:r>
          </w:p>
        </w:tc>
      </w:tr>
      <w:tr w:rsidR="009A5CE9" w:rsidRPr="009A5CE9" w14:paraId="370055B8" w14:textId="77777777" w:rsidTr="006F0C87">
        <w:trPr>
          <w:trHeight w:val="315"/>
        </w:trPr>
        <w:tc>
          <w:tcPr>
            <w:tcW w:w="575" w:type="pct"/>
            <w:shd w:val="clear" w:color="auto" w:fill="auto"/>
            <w:vAlign w:val="center"/>
            <w:hideMark/>
          </w:tcPr>
          <w:p w14:paraId="2C92CDBD"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7</w:t>
            </w:r>
          </w:p>
        </w:tc>
        <w:tc>
          <w:tcPr>
            <w:tcW w:w="1442" w:type="pct"/>
            <w:shd w:val="clear" w:color="auto" w:fill="auto"/>
            <w:vAlign w:val="center"/>
            <w:hideMark/>
          </w:tcPr>
          <w:p w14:paraId="16EBA188"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Shevgaon</w:t>
            </w:r>
          </w:p>
        </w:tc>
        <w:tc>
          <w:tcPr>
            <w:tcW w:w="944" w:type="pct"/>
            <w:shd w:val="clear" w:color="auto" w:fill="auto"/>
            <w:vAlign w:val="center"/>
            <w:hideMark/>
          </w:tcPr>
          <w:p w14:paraId="68A0980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1547</w:t>
            </w:r>
          </w:p>
        </w:tc>
        <w:tc>
          <w:tcPr>
            <w:tcW w:w="1093" w:type="pct"/>
            <w:shd w:val="clear" w:color="auto" w:fill="auto"/>
            <w:vAlign w:val="center"/>
            <w:hideMark/>
          </w:tcPr>
          <w:p w14:paraId="73F5122A"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1465</w:t>
            </w:r>
          </w:p>
        </w:tc>
        <w:tc>
          <w:tcPr>
            <w:tcW w:w="946" w:type="pct"/>
            <w:shd w:val="clear" w:color="auto" w:fill="auto"/>
            <w:vAlign w:val="bottom"/>
            <w:hideMark/>
          </w:tcPr>
          <w:p w14:paraId="1BC6DC5B"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3012</w:t>
            </w:r>
          </w:p>
        </w:tc>
      </w:tr>
      <w:tr w:rsidR="009A5CE9" w:rsidRPr="009A5CE9" w14:paraId="12D5FF2B" w14:textId="77777777" w:rsidTr="006F0C87">
        <w:trPr>
          <w:trHeight w:val="315"/>
        </w:trPr>
        <w:tc>
          <w:tcPr>
            <w:tcW w:w="575" w:type="pct"/>
            <w:shd w:val="clear" w:color="auto" w:fill="auto"/>
            <w:vAlign w:val="center"/>
            <w:hideMark/>
          </w:tcPr>
          <w:p w14:paraId="22E53256"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8</w:t>
            </w:r>
          </w:p>
        </w:tc>
        <w:tc>
          <w:tcPr>
            <w:tcW w:w="1442" w:type="pct"/>
            <w:shd w:val="clear" w:color="auto" w:fill="auto"/>
            <w:vAlign w:val="center"/>
            <w:hideMark/>
          </w:tcPr>
          <w:p w14:paraId="4DC8D373"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Pathardi</w:t>
            </w:r>
          </w:p>
        </w:tc>
        <w:tc>
          <w:tcPr>
            <w:tcW w:w="944" w:type="pct"/>
            <w:shd w:val="clear" w:color="auto" w:fill="auto"/>
            <w:vAlign w:val="center"/>
            <w:hideMark/>
          </w:tcPr>
          <w:p w14:paraId="2C64C430"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1086</w:t>
            </w:r>
          </w:p>
        </w:tc>
        <w:tc>
          <w:tcPr>
            <w:tcW w:w="1093" w:type="pct"/>
            <w:shd w:val="clear" w:color="auto" w:fill="auto"/>
            <w:vAlign w:val="center"/>
            <w:hideMark/>
          </w:tcPr>
          <w:p w14:paraId="30C71E02"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953</w:t>
            </w:r>
          </w:p>
        </w:tc>
        <w:tc>
          <w:tcPr>
            <w:tcW w:w="946" w:type="pct"/>
            <w:shd w:val="clear" w:color="auto" w:fill="auto"/>
            <w:vAlign w:val="bottom"/>
            <w:hideMark/>
          </w:tcPr>
          <w:p w14:paraId="61D711E2"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2039</w:t>
            </w:r>
          </w:p>
        </w:tc>
      </w:tr>
      <w:tr w:rsidR="009A5CE9" w:rsidRPr="009A5CE9" w14:paraId="104DE9D8" w14:textId="77777777" w:rsidTr="006F0C87">
        <w:trPr>
          <w:trHeight w:val="315"/>
        </w:trPr>
        <w:tc>
          <w:tcPr>
            <w:tcW w:w="575" w:type="pct"/>
            <w:shd w:val="clear" w:color="auto" w:fill="auto"/>
            <w:vAlign w:val="center"/>
            <w:hideMark/>
          </w:tcPr>
          <w:p w14:paraId="36AAD5F6"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9</w:t>
            </w:r>
          </w:p>
        </w:tc>
        <w:tc>
          <w:tcPr>
            <w:tcW w:w="1442" w:type="pct"/>
            <w:shd w:val="clear" w:color="auto" w:fill="auto"/>
            <w:vAlign w:val="center"/>
            <w:hideMark/>
          </w:tcPr>
          <w:p w14:paraId="52DF00D4"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Nagar</w:t>
            </w:r>
          </w:p>
        </w:tc>
        <w:tc>
          <w:tcPr>
            <w:tcW w:w="944" w:type="pct"/>
            <w:shd w:val="clear" w:color="auto" w:fill="auto"/>
            <w:vAlign w:val="center"/>
            <w:hideMark/>
          </w:tcPr>
          <w:p w14:paraId="502FA34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10229</w:t>
            </w:r>
          </w:p>
        </w:tc>
        <w:tc>
          <w:tcPr>
            <w:tcW w:w="1093" w:type="pct"/>
            <w:shd w:val="clear" w:color="auto" w:fill="auto"/>
            <w:vAlign w:val="center"/>
            <w:hideMark/>
          </w:tcPr>
          <w:p w14:paraId="4E97A19A"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9179</w:t>
            </w:r>
          </w:p>
        </w:tc>
        <w:tc>
          <w:tcPr>
            <w:tcW w:w="946" w:type="pct"/>
            <w:shd w:val="clear" w:color="auto" w:fill="auto"/>
            <w:vAlign w:val="bottom"/>
            <w:hideMark/>
          </w:tcPr>
          <w:p w14:paraId="2A1F5D60"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19408</w:t>
            </w:r>
          </w:p>
        </w:tc>
      </w:tr>
      <w:tr w:rsidR="009A5CE9" w:rsidRPr="009A5CE9" w14:paraId="1A020DD0" w14:textId="77777777" w:rsidTr="006F0C87">
        <w:trPr>
          <w:trHeight w:val="315"/>
        </w:trPr>
        <w:tc>
          <w:tcPr>
            <w:tcW w:w="575" w:type="pct"/>
            <w:shd w:val="clear" w:color="auto" w:fill="auto"/>
            <w:vAlign w:val="center"/>
            <w:hideMark/>
          </w:tcPr>
          <w:p w14:paraId="1810BF44"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10</w:t>
            </w:r>
          </w:p>
        </w:tc>
        <w:tc>
          <w:tcPr>
            <w:tcW w:w="1442" w:type="pct"/>
            <w:shd w:val="clear" w:color="auto" w:fill="auto"/>
            <w:vAlign w:val="center"/>
            <w:hideMark/>
          </w:tcPr>
          <w:p w14:paraId="5586453B"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Rahuri</w:t>
            </w:r>
          </w:p>
        </w:tc>
        <w:tc>
          <w:tcPr>
            <w:tcW w:w="944" w:type="pct"/>
            <w:shd w:val="clear" w:color="auto" w:fill="auto"/>
            <w:vAlign w:val="center"/>
            <w:hideMark/>
          </w:tcPr>
          <w:p w14:paraId="1B1AC4BF"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1257</w:t>
            </w:r>
          </w:p>
        </w:tc>
        <w:tc>
          <w:tcPr>
            <w:tcW w:w="1093" w:type="pct"/>
            <w:shd w:val="clear" w:color="auto" w:fill="auto"/>
            <w:vAlign w:val="center"/>
            <w:hideMark/>
          </w:tcPr>
          <w:p w14:paraId="6CFAA4D5"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1142</w:t>
            </w:r>
          </w:p>
        </w:tc>
        <w:tc>
          <w:tcPr>
            <w:tcW w:w="946" w:type="pct"/>
            <w:shd w:val="clear" w:color="auto" w:fill="auto"/>
            <w:vAlign w:val="bottom"/>
            <w:hideMark/>
          </w:tcPr>
          <w:p w14:paraId="66926A3A"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2399</w:t>
            </w:r>
          </w:p>
        </w:tc>
      </w:tr>
      <w:tr w:rsidR="009A5CE9" w:rsidRPr="009A5CE9" w14:paraId="06899CDB" w14:textId="77777777" w:rsidTr="006F0C87">
        <w:trPr>
          <w:trHeight w:val="315"/>
        </w:trPr>
        <w:tc>
          <w:tcPr>
            <w:tcW w:w="575" w:type="pct"/>
            <w:shd w:val="clear" w:color="auto" w:fill="auto"/>
            <w:vAlign w:val="center"/>
            <w:hideMark/>
          </w:tcPr>
          <w:p w14:paraId="5BD896C3"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11</w:t>
            </w:r>
          </w:p>
        </w:tc>
        <w:tc>
          <w:tcPr>
            <w:tcW w:w="1442" w:type="pct"/>
            <w:shd w:val="clear" w:color="auto" w:fill="auto"/>
            <w:vAlign w:val="center"/>
            <w:hideMark/>
          </w:tcPr>
          <w:p w14:paraId="1F1CAB81"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Parner</w:t>
            </w:r>
          </w:p>
        </w:tc>
        <w:tc>
          <w:tcPr>
            <w:tcW w:w="944" w:type="pct"/>
            <w:shd w:val="clear" w:color="auto" w:fill="auto"/>
            <w:vAlign w:val="center"/>
            <w:hideMark/>
          </w:tcPr>
          <w:p w14:paraId="29EC469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1431</w:t>
            </w:r>
          </w:p>
        </w:tc>
        <w:tc>
          <w:tcPr>
            <w:tcW w:w="1093" w:type="pct"/>
            <w:shd w:val="clear" w:color="auto" w:fill="auto"/>
            <w:vAlign w:val="center"/>
            <w:hideMark/>
          </w:tcPr>
          <w:p w14:paraId="685CB059"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1346</w:t>
            </w:r>
          </w:p>
        </w:tc>
        <w:tc>
          <w:tcPr>
            <w:tcW w:w="946" w:type="pct"/>
            <w:shd w:val="clear" w:color="auto" w:fill="auto"/>
            <w:vAlign w:val="bottom"/>
            <w:hideMark/>
          </w:tcPr>
          <w:p w14:paraId="46E62797"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2777</w:t>
            </w:r>
          </w:p>
        </w:tc>
      </w:tr>
      <w:tr w:rsidR="009A5CE9" w:rsidRPr="009A5CE9" w14:paraId="57CE4467" w14:textId="77777777" w:rsidTr="006F0C87">
        <w:trPr>
          <w:trHeight w:val="315"/>
        </w:trPr>
        <w:tc>
          <w:tcPr>
            <w:tcW w:w="575" w:type="pct"/>
            <w:shd w:val="clear" w:color="auto" w:fill="auto"/>
            <w:vAlign w:val="center"/>
            <w:hideMark/>
          </w:tcPr>
          <w:p w14:paraId="68533E98"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12</w:t>
            </w:r>
          </w:p>
        </w:tc>
        <w:tc>
          <w:tcPr>
            <w:tcW w:w="1442" w:type="pct"/>
            <w:shd w:val="clear" w:color="auto" w:fill="auto"/>
            <w:vAlign w:val="center"/>
            <w:hideMark/>
          </w:tcPr>
          <w:p w14:paraId="5C954088"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Shrigonda</w:t>
            </w:r>
          </w:p>
        </w:tc>
        <w:tc>
          <w:tcPr>
            <w:tcW w:w="944" w:type="pct"/>
            <w:shd w:val="clear" w:color="auto" w:fill="auto"/>
            <w:vAlign w:val="center"/>
            <w:hideMark/>
          </w:tcPr>
          <w:p w14:paraId="64D9902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933</w:t>
            </w:r>
          </w:p>
        </w:tc>
        <w:tc>
          <w:tcPr>
            <w:tcW w:w="1093" w:type="pct"/>
            <w:shd w:val="clear" w:color="auto" w:fill="auto"/>
            <w:vAlign w:val="center"/>
            <w:hideMark/>
          </w:tcPr>
          <w:p w14:paraId="097BED7B"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863</w:t>
            </w:r>
          </w:p>
        </w:tc>
        <w:tc>
          <w:tcPr>
            <w:tcW w:w="946" w:type="pct"/>
            <w:shd w:val="clear" w:color="auto" w:fill="auto"/>
            <w:vAlign w:val="bottom"/>
            <w:hideMark/>
          </w:tcPr>
          <w:p w14:paraId="72523BD5"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1796</w:t>
            </w:r>
          </w:p>
        </w:tc>
      </w:tr>
      <w:tr w:rsidR="009A5CE9" w:rsidRPr="009A5CE9" w14:paraId="2C6405FC" w14:textId="77777777" w:rsidTr="006F0C87">
        <w:trPr>
          <w:trHeight w:val="315"/>
        </w:trPr>
        <w:tc>
          <w:tcPr>
            <w:tcW w:w="575" w:type="pct"/>
            <w:shd w:val="clear" w:color="auto" w:fill="auto"/>
            <w:vAlign w:val="center"/>
            <w:hideMark/>
          </w:tcPr>
          <w:p w14:paraId="1F22FE29"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13</w:t>
            </w:r>
          </w:p>
        </w:tc>
        <w:tc>
          <w:tcPr>
            <w:tcW w:w="1442" w:type="pct"/>
            <w:shd w:val="clear" w:color="auto" w:fill="auto"/>
            <w:vAlign w:val="center"/>
            <w:hideMark/>
          </w:tcPr>
          <w:p w14:paraId="1C7D1D19"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Karjat</w:t>
            </w:r>
          </w:p>
        </w:tc>
        <w:tc>
          <w:tcPr>
            <w:tcW w:w="944" w:type="pct"/>
            <w:shd w:val="clear" w:color="auto" w:fill="auto"/>
            <w:vAlign w:val="center"/>
            <w:hideMark/>
          </w:tcPr>
          <w:p w14:paraId="06D21663"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596</w:t>
            </w:r>
          </w:p>
        </w:tc>
        <w:tc>
          <w:tcPr>
            <w:tcW w:w="1093" w:type="pct"/>
            <w:shd w:val="clear" w:color="auto" w:fill="auto"/>
            <w:vAlign w:val="center"/>
            <w:hideMark/>
          </w:tcPr>
          <w:p w14:paraId="44B18053"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548</w:t>
            </w:r>
          </w:p>
        </w:tc>
        <w:tc>
          <w:tcPr>
            <w:tcW w:w="946" w:type="pct"/>
            <w:shd w:val="clear" w:color="auto" w:fill="auto"/>
            <w:vAlign w:val="bottom"/>
            <w:hideMark/>
          </w:tcPr>
          <w:p w14:paraId="6894B802"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1144</w:t>
            </w:r>
          </w:p>
        </w:tc>
      </w:tr>
      <w:tr w:rsidR="009A5CE9" w:rsidRPr="009A5CE9" w14:paraId="150E6D97" w14:textId="77777777" w:rsidTr="006F0C87">
        <w:trPr>
          <w:trHeight w:val="315"/>
        </w:trPr>
        <w:tc>
          <w:tcPr>
            <w:tcW w:w="575" w:type="pct"/>
            <w:shd w:val="clear" w:color="auto" w:fill="auto"/>
            <w:vAlign w:val="center"/>
            <w:hideMark/>
          </w:tcPr>
          <w:p w14:paraId="1446658C"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14</w:t>
            </w:r>
          </w:p>
        </w:tc>
        <w:tc>
          <w:tcPr>
            <w:tcW w:w="1442" w:type="pct"/>
            <w:shd w:val="clear" w:color="auto" w:fill="auto"/>
            <w:vAlign w:val="center"/>
            <w:hideMark/>
          </w:tcPr>
          <w:p w14:paraId="6BB26CE5"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Jamkhed</w:t>
            </w:r>
          </w:p>
        </w:tc>
        <w:tc>
          <w:tcPr>
            <w:tcW w:w="944" w:type="pct"/>
            <w:shd w:val="clear" w:color="auto" w:fill="auto"/>
            <w:vAlign w:val="center"/>
            <w:hideMark/>
          </w:tcPr>
          <w:p w14:paraId="37088082"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906</w:t>
            </w:r>
          </w:p>
        </w:tc>
        <w:tc>
          <w:tcPr>
            <w:tcW w:w="1093" w:type="pct"/>
            <w:shd w:val="clear" w:color="auto" w:fill="auto"/>
            <w:vAlign w:val="center"/>
            <w:hideMark/>
          </w:tcPr>
          <w:p w14:paraId="5C36C3AE"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798</w:t>
            </w:r>
          </w:p>
        </w:tc>
        <w:tc>
          <w:tcPr>
            <w:tcW w:w="946" w:type="pct"/>
            <w:shd w:val="clear" w:color="auto" w:fill="auto"/>
            <w:vAlign w:val="bottom"/>
            <w:hideMark/>
          </w:tcPr>
          <w:p w14:paraId="3BFDDCDA"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1704</w:t>
            </w:r>
          </w:p>
        </w:tc>
      </w:tr>
      <w:tr w:rsidR="009A5CE9" w:rsidRPr="009A5CE9" w14:paraId="117B30A5" w14:textId="77777777" w:rsidTr="006F0C87">
        <w:trPr>
          <w:trHeight w:val="315"/>
        </w:trPr>
        <w:tc>
          <w:tcPr>
            <w:tcW w:w="2017" w:type="pct"/>
            <w:gridSpan w:val="2"/>
            <w:shd w:val="clear" w:color="auto" w:fill="auto"/>
            <w:vAlign w:val="bottom"/>
            <w:hideMark/>
          </w:tcPr>
          <w:p w14:paraId="658EFDE3"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Total</w:t>
            </w:r>
          </w:p>
        </w:tc>
        <w:tc>
          <w:tcPr>
            <w:tcW w:w="944" w:type="pct"/>
            <w:shd w:val="clear" w:color="auto" w:fill="auto"/>
            <w:vAlign w:val="bottom"/>
            <w:hideMark/>
          </w:tcPr>
          <w:p w14:paraId="39AEEAF8"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33450</w:t>
            </w:r>
          </w:p>
        </w:tc>
        <w:tc>
          <w:tcPr>
            <w:tcW w:w="1093" w:type="pct"/>
            <w:shd w:val="clear" w:color="auto" w:fill="auto"/>
            <w:vAlign w:val="bottom"/>
            <w:hideMark/>
          </w:tcPr>
          <w:p w14:paraId="06790F74"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30535</w:t>
            </w:r>
          </w:p>
        </w:tc>
        <w:tc>
          <w:tcPr>
            <w:tcW w:w="946" w:type="pct"/>
            <w:shd w:val="clear" w:color="auto" w:fill="auto"/>
            <w:vAlign w:val="bottom"/>
            <w:hideMark/>
          </w:tcPr>
          <w:p w14:paraId="6D528312"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63985</w:t>
            </w:r>
          </w:p>
        </w:tc>
      </w:tr>
      <w:tr w:rsidR="009A5CE9" w:rsidRPr="009A5CE9" w14:paraId="5DEF2862" w14:textId="77777777" w:rsidTr="006F0C87">
        <w:trPr>
          <w:trHeight w:val="315"/>
        </w:trPr>
        <w:tc>
          <w:tcPr>
            <w:tcW w:w="5000" w:type="pct"/>
            <w:gridSpan w:val="5"/>
            <w:shd w:val="clear" w:color="auto" w:fill="auto"/>
            <w:vAlign w:val="bottom"/>
          </w:tcPr>
          <w:p w14:paraId="3E05DB05" w14:textId="77777777" w:rsidR="00663B4C" w:rsidRPr="009A5CE9" w:rsidRDefault="00663B4C" w:rsidP="009A5CE9">
            <w:pPr>
              <w:spacing w:after="0" w:line="360" w:lineRule="auto"/>
              <w:jc w:val="both"/>
              <w:rPr>
                <w:rFonts w:ascii="Arial" w:eastAsia="Times New Roman" w:hAnsi="Arial" w:cs="Arial"/>
                <w:sz w:val="20"/>
              </w:rPr>
            </w:pPr>
            <w:r w:rsidRPr="009A5CE9">
              <w:rPr>
                <w:rFonts w:ascii="Arial" w:eastAsia="Times New Roman" w:hAnsi="Arial" w:cs="Arial"/>
                <w:b/>
                <w:bCs/>
                <w:sz w:val="20"/>
              </w:rPr>
              <w:t>Source:</w:t>
            </w:r>
            <w:r w:rsidRPr="009A5CE9">
              <w:rPr>
                <w:rFonts w:ascii="Arial" w:eastAsia="Times New Roman" w:hAnsi="Arial" w:cs="Arial"/>
                <w:sz w:val="20"/>
              </w:rPr>
              <w:t xml:space="preserve"> (1) Socio-Economic Abstract of Ahilyanagar District: Dec-2025,</w:t>
            </w:r>
          </w:p>
          <w:p w14:paraId="01B027AF" w14:textId="77777777" w:rsidR="00663B4C" w:rsidRPr="009A5CE9" w:rsidRDefault="00663B4C" w:rsidP="009A5CE9">
            <w:pPr>
              <w:spacing w:after="0" w:line="360" w:lineRule="auto"/>
              <w:jc w:val="both"/>
              <w:rPr>
                <w:rFonts w:ascii="Arial" w:eastAsia="Times New Roman" w:hAnsi="Arial" w:cs="Arial"/>
                <w:b/>
                <w:bCs/>
                <w:sz w:val="20"/>
              </w:rPr>
            </w:pPr>
            <w:r w:rsidRPr="009A5CE9">
              <w:rPr>
                <w:rFonts w:ascii="Arial" w:eastAsia="Times New Roman" w:hAnsi="Arial" w:cs="Arial"/>
                <w:sz w:val="20"/>
              </w:rPr>
              <w:t>(2) District Health Officer, Zilla Parishad – Health Management Information System (HMIS)</w:t>
            </w:r>
          </w:p>
        </w:tc>
      </w:tr>
    </w:tbl>
    <w:p w14:paraId="38F0D6E0" w14:textId="75642180" w:rsidR="00663B4C" w:rsidRPr="009A5CE9" w:rsidRDefault="00663B4C" w:rsidP="009A5CE9">
      <w:pPr>
        <w:spacing w:after="0" w:line="360" w:lineRule="auto"/>
        <w:jc w:val="both"/>
        <w:rPr>
          <w:rFonts w:ascii="Arial" w:hAnsi="Arial" w:cs="Arial"/>
          <w:sz w:val="20"/>
        </w:rPr>
      </w:pPr>
      <w:r w:rsidRPr="009A5CE9">
        <w:rPr>
          <w:rFonts w:ascii="Arial" w:hAnsi="Arial" w:cs="Arial"/>
          <w:sz w:val="20"/>
        </w:rPr>
        <w:tab/>
        <w:t>The analysis of tahsil-wise live births in Ahilyanagar district for 2025 reveals significant spatial and demographic variation across the region. A total of 63,985 live births were recorded, comprising 33,450 male and 30,535 female births. The data indicate a persistent gender imbalance, with male births exceeding female births in every tahsil.</w:t>
      </w:r>
    </w:p>
    <w:p w14:paraId="0A701656" w14:textId="1D662017" w:rsidR="00663B4C" w:rsidRPr="009A5CE9" w:rsidRDefault="00663B4C" w:rsidP="009A5CE9">
      <w:pPr>
        <w:spacing w:after="0" w:line="360" w:lineRule="auto"/>
        <w:jc w:val="both"/>
        <w:rPr>
          <w:rFonts w:ascii="Arial" w:hAnsi="Arial" w:cs="Arial"/>
          <w:sz w:val="20"/>
        </w:rPr>
      </w:pPr>
      <w:r w:rsidRPr="009A5CE9">
        <w:rPr>
          <w:rFonts w:ascii="Arial" w:hAnsi="Arial" w:cs="Arial"/>
          <w:sz w:val="20"/>
        </w:rPr>
        <w:tab/>
        <w:t>Nagar tahsil shows the highest share of live births (19,408), accounting for nearly 30% of the district total. This reflects its larger population size, better healthcare networks, and higher institutional delivery rates. Sangamner (7,528), Rahata (6,881), and Newasa (6,255) follow as major contributors, suggesting concentrated population clusters and stronger health service utilization in these semi-urban and agriculturally developed regions.</w:t>
      </w:r>
    </w:p>
    <w:p w14:paraId="0915953F" w14:textId="33E0586D" w:rsidR="00663B4C" w:rsidRPr="009A5CE9" w:rsidRDefault="00A70958" w:rsidP="009A5CE9">
      <w:pPr>
        <w:spacing w:after="0" w:line="360" w:lineRule="auto"/>
        <w:jc w:val="both"/>
        <w:rPr>
          <w:rFonts w:ascii="Arial" w:hAnsi="Arial" w:cs="Arial"/>
          <w:sz w:val="20"/>
        </w:rPr>
      </w:pPr>
      <w:r w:rsidRPr="009A5CE9">
        <w:rPr>
          <w:rFonts w:ascii="Arial" w:hAnsi="Arial" w:cs="Arial"/>
          <w:sz w:val="20"/>
        </w:rPr>
        <w:tab/>
      </w:r>
      <w:r w:rsidR="00663B4C" w:rsidRPr="009A5CE9">
        <w:rPr>
          <w:rFonts w:ascii="Arial" w:hAnsi="Arial" w:cs="Arial"/>
          <w:sz w:val="20"/>
        </w:rPr>
        <w:t>Conversely, tahsils such as Karjat (1,144), Shrigonda (1,796), and Jamkhed (1,704) reported relatively low birth numbers, indicating either smaller populations, limited healthcare accessibility, or socio-economic constraints affecting maternal and child health outcomes.</w:t>
      </w:r>
    </w:p>
    <w:p w14:paraId="1C0B479D" w14:textId="77777777" w:rsidR="00663B4C" w:rsidRPr="009A5CE9" w:rsidRDefault="00663B4C" w:rsidP="009A5CE9">
      <w:pPr>
        <w:spacing w:after="0" w:line="360" w:lineRule="auto"/>
        <w:jc w:val="both"/>
        <w:rPr>
          <w:rFonts w:ascii="Arial" w:hAnsi="Arial" w:cs="Arial"/>
          <w:sz w:val="20"/>
        </w:rPr>
      </w:pPr>
      <w:r w:rsidRPr="009A5CE9">
        <w:rPr>
          <w:rFonts w:ascii="Arial" w:hAnsi="Arial" w:cs="Arial"/>
          <w:sz w:val="20"/>
        </w:rPr>
        <w:lastRenderedPageBreak/>
        <w:t>The consistent pattern of male-biased births across all tahsils highlights a demographic concern that may stem from cultural preferences, differential healthcare-seeking behavior, or variations in reporting accuracy. If sustained, such a gender imbalance may lead to long-term social and demographic challenges.</w:t>
      </w:r>
    </w:p>
    <w:p w14:paraId="77C70E93" w14:textId="40AD1B13" w:rsidR="00663B4C" w:rsidRPr="009A5CE9" w:rsidRDefault="00A70958" w:rsidP="009A5CE9">
      <w:pPr>
        <w:spacing w:after="0" w:line="360" w:lineRule="auto"/>
        <w:jc w:val="both"/>
        <w:rPr>
          <w:rFonts w:ascii="Arial" w:hAnsi="Arial" w:cs="Arial"/>
          <w:sz w:val="20"/>
        </w:rPr>
      </w:pPr>
      <w:r w:rsidRPr="009A5CE9">
        <w:rPr>
          <w:rFonts w:ascii="Arial" w:hAnsi="Arial" w:cs="Arial"/>
          <w:sz w:val="20"/>
        </w:rPr>
        <w:tab/>
      </w:r>
      <w:r w:rsidR="00663B4C" w:rsidRPr="009A5CE9">
        <w:rPr>
          <w:rFonts w:ascii="Arial" w:hAnsi="Arial" w:cs="Arial"/>
          <w:sz w:val="20"/>
        </w:rPr>
        <w:t>Overall, the distribution of live births provides valuable insights into population dynamics, regional disparities, and healthcare performance in Ahilyanagar district. These findings underscore the need for targeted maternal and child health interventions in low-performing tahsils and continued monitoring of sex-ratio trends to ensure equitable and inclusive demographic development.</w:t>
      </w:r>
    </w:p>
    <w:p w14:paraId="17460CC2" w14:textId="77777777" w:rsidR="00663B4C" w:rsidRPr="009A5CE9" w:rsidRDefault="00663B4C" w:rsidP="009A5CE9">
      <w:pPr>
        <w:spacing w:after="0" w:line="360" w:lineRule="auto"/>
        <w:jc w:val="center"/>
        <w:rPr>
          <w:rFonts w:ascii="Arial" w:hAnsi="Arial" w:cs="Arial"/>
          <w:sz w:val="20"/>
        </w:rPr>
      </w:pPr>
    </w:p>
    <w:p w14:paraId="35F94B40" w14:textId="073BAC1A" w:rsidR="00663B4C" w:rsidRPr="009A5CE9" w:rsidRDefault="00663B4C" w:rsidP="009A5CE9">
      <w:pPr>
        <w:spacing w:after="0" w:line="360" w:lineRule="auto"/>
        <w:jc w:val="center"/>
        <w:rPr>
          <w:rFonts w:ascii="Arial" w:hAnsi="Arial" w:cs="Arial"/>
          <w:sz w:val="20"/>
        </w:rPr>
      </w:pPr>
      <w:r w:rsidRPr="009A5CE9">
        <w:rPr>
          <w:rFonts w:ascii="Arial" w:hAnsi="Arial" w:cs="Arial"/>
          <w:b/>
          <w:bCs/>
          <w:sz w:val="20"/>
        </w:rPr>
        <w:t>Table 2: Tahsil-wise Distribution of Total Deaths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4409"/>
        <w:gridCol w:w="2851"/>
      </w:tblGrid>
      <w:tr w:rsidR="009A5CE9" w:rsidRPr="009A5CE9" w14:paraId="3905D978" w14:textId="77777777" w:rsidTr="006F0C87">
        <w:trPr>
          <w:trHeight w:val="458"/>
        </w:trPr>
        <w:tc>
          <w:tcPr>
            <w:tcW w:w="974" w:type="pct"/>
            <w:vMerge w:val="restart"/>
            <w:shd w:val="clear" w:color="auto" w:fill="auto"/>
            <w:vAlign w:val="center"/>
            <w:hideMark/>
          </w:tcPr>
          <w:p w14:paraId="37C8A05B"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Sr. No.</w:t>
            </w:r>
          </w:p>
        </w:tc>
        <w:tc>
          <w:tcPr>
            <w:tcW w:w="2445" w:type="pct"/>
            <w:vMerge w:val="restart"/>
            <w:shd w:val="clear" w:color="auto" w:fill="auto"/>
            <w:vAlign w:val="center"/>
            <w:hideMark/>
          </w:tcPr>
          <w:p w14:paraId="26BC8F30"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Tahsil</w:t>
            </w:r>
          </w:p>
        </w:tc>
        <w:tc>
          <w:tcPr>
            <w:tcW w:w="1581" w:type="pct"/>
            <w:vMerge w:val="restart"/>
            <w:shd w:val="clear" w:color="auto" w:fill="auto"/>
            <w:vAlign w:val="center"/>
            <w:hideMark/>
          </w:tcPr>
          <w:p w14:paraId="2ACDECE5"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Total No. of Deaths</w:t>
            </w:r>
          </w:p>
        </w:tc>
      </w:tr>
      <w:tr w:rsidR="009A5CE9" w:rsidRPr="009A5CE9" w14:paraId="0361DE72" w14:textId="77777777" w:rsidTr="009A5CE9">
        <w:trPr>
          <w:trHeight w:val="450"/>
        </w:trPr>
        <w:tc>
          <w:tcPr>
            <w:tcW w:w="974" w:type="pct"/>
            <w:vMerge/>
            <w:vAlign w:val="center"/>
            <w:hideMark/>
          </w:tcPr>
          <w:p w14:paraId="3074A6FD" w14:textId="77777777" w:rsidR="00663B4C" w:rsidRPr="009A5CE9" w:rsidRDefault="00663B4C" w:rsidP="009A5CE9">
            <w:pPr>
              <w:spacing w:after="0" w:line="360" w:lineRule="auto"/>
              <w:rPr>
                <w:rFonts w:ascii="Arial" w:eastAsia="Times New Roman" w:hAnsi="Arial" w:cs="Arial"/>
                <w:b/>
                <w:bCs/>
                <w:sz w:val="20"/>
              </w:rPr>
            </w:pPr>
          </w:p>
        </w:tc>
        <w:tc>
          <w:tcPr>
            <w:tcW w:w="2445" w:type="pct"/>
            <w:vMerge/>
            <w:vAlign w:val="center"/>
            <w:hideMark/>
          </w:tcPr>
          <w:p w14:paraId="0636FBF3" w14:textId="77777777" w:rsidR="00663B4C" w:rsidRPr="009A5CE9" w:rsidRDefault="00663B4C" w:rsidP="009A5CE9">
            <w:pPr>
              <w:spacing w:after="0" w:line="360" w:lineRule="auto"/>
              <w:rPr>
                <w:rFonts w:ascii="Arial" w:eastAsia="Times New Roman" w:hAnsi="Arial" w:cs="Arial"/>
                <w:b/>
                <w:bCs/>
                <w:sz w:val="20"/>
              </w:rPr>
            </w:pPr>
          </w:p>
        </w:tc>
        <w:tc>
          <w:tcPr>
            <w:tcW w:w="1581" w:type="pct"/>
            <w:vMerge/>
            <w:vAlign w:val="center"/>
            <w:hideMark/>
          </w:tcPr>
          <w:p w14:paraId="066C4A0F" w14:textId="77777777" w:rsidR="00663B4C" w:rsidRPr="009A5CE9" w:rsidRDefault="00663B4C" w:rsidP="009A5CE9">
            <w:pPr>
              <w:spacing w:after="0" w:line="360" w:lineRule="auto"/>
              <w:rPr>
                <w:rFonts w:ascii="Arial" w:eastAsia="Times New Roman" w:hAnsi="Arial" w:cs="Arial"/>
                <w:b/>
                <w:bCs/>
                <w:sz w:val="20"/>
              </w:rPr>
            </w:pPr>
          </w:p>
        </w:tc>
      </w:tr>
      <w:tr w:rsidR="009A5CE9" w:rsidRPr="009A5CE9" w14:paraId="55C9570C" w14:textId="77777777" w:rsidTr="006F0C87">
        <w:trPr>
          <w:trHeight w:val="315"/>
        </w:trPr>
        <w:tc>
          <w:tcPr>
            <w:tcW w:w="974" w:type="pct"/>
            <w:shd w:val="clear" w:color="auto" w:fill="auto"/>
            <w:vAlign w:val="center"/>
            <w:hideMark/>
          </w:tcPr>
          <w:p w14:paraId="5C9F6958"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w:t>
            </w:r>
          </w:p>
        </w:tc>
        <w:tc>
          <w:tcPr>
            <w:tcW w:w="2445" w:type="pct"/>
            <w:shd w:val="clear" w:color="auto" w:fill="auto"/>
            <w:vAlign w:val="center"/>
            <w:hideMark/>
          </w:tcPr>
          <w:p w14:paraId="6A993C11"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Akole</w:t>
            </w:r>
          </w:p>
        </w:tc>
        <w:tc>
          <w:tcPr>
            <w:tcW w:w="1581" w:type="pct"/>
            <w:shd w:val="clear" w:color="auto" w:fill="auto"/>
            <w:vAlign w:val="bottom"/>
            <w:hideMark/>
          </w:tcPr>
          <w:p w14:paraId="13A255FC"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902</w:t>
            </w:r>
          </w:p>
        </w:tc>
      </w:tr>
      <w:tr w:rsidR="009A5CE9" w:rsidRPr="009A5CE9" w14:paraId="69B4A5CC" w14:textId="77777777" w:rsidTr="006F0C87">
        <w:trPr>
          <w:trHeight w:val="315"/>
        </w:trPr>
        <w:tc>
          <w:tcPr>
            <w:tcW w:w="974" w:type="pct"/>
            <w:shd w:val="clear" w:color="auto" w:fill="auto"/>
            <w:vAlign w:val="center"/>
            <w:hideMark/>
          </w:tcPr>
          <w:p w14:paraId="281D5189"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2</w:t>
            </w:r>
          </w:p>
        </w:tc>
        <w:tc>
          <w:tcPr>
            <w:tcW w:w="2445" w:type="pct"/>
            <w:shd w:val="clear" w:color="auto" w:fill="auto"/>
            <w:vAlign w:val="center"/>
            <w:hideMark/>
          </w:tcPr>
          <w:p w14:paraId="07CDB703"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Sangamner</w:t>
            </w:r>
          </w:p>
        </w:tc>
        <w:tc>
          <w:tcPr>
            <w:tcW w:w="1581" w:type="pct"/>
            <w:shd w:val="clear" w:color="auto" w:fill="auto"/>
            <w:vAlign w:val="bottom"/>
            <w:hideMark/>
          </w:tcPr>
          <w:p w14:paraId="79F29114"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2476</w:t>
            </w:r>
          </w:p>
        </w:tc>
      </w:tr>
      <w:tr w:rsidR="009A5CE9" w:rsidRPr="009A5CE9" w14:paraId="61E7253B" w14:textId="77777777" w:rsidTr="006F0C87">
        <w:trPr>
          <w:trHeight w:val="315"/>
        </w:trPr>
        <w:tc>
          <w:tcPr>
            <w:tcW w:w="974" w:type="pct"/>
            <w:shd w:val="clear" w:color="auto" w:fill="auto"/>
            <w:vAlign w:val="center"/>
            <w:hideMark/>
          </w:tcPr>
          <w:p w14:paraId="524974ED"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3</w:t>
            </w:r>
          </w:p>
        </w:tc>
        <w:tc>
          <w:tcPr>
            <w:tcW w:w="2445" w:type="pct"/>
            <w:shd w:val="clear" w:color="auto" w:fill="auto"/>
            <w:vAlign w:val="center"/>
            <w:hideMark/>
          </w:tcPr>
          <w:p w14:paraId="67177E90"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Kopargaon</w:t>
            </w:r>
          </w:p>
        </w:tc>
        <w:tc>
          <w:tcPr>
            <w:tcW w:w="1581" w:type="pct"/>
            <w:shd w:val="clear" w:color="auto" w:fill="auto"/>
            <w:vAlign w:val="bottom"/>
            <w:hideMark/>
          </w:tcPr>
          <w:p w14:paraId="0B5F4BAF"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584</w:t>
            </w:r>
          </w:p>
        </w:tc>
      </w:tr>
      <w:tr w:rsidR="009A5CE9" w:rsidRPr="009A5CE9" w14:paraId="75C1B179" w14:textId="77777777" w:rsidTr="006F0C87">
        <w:trPr>
          <w:trHeight w:val="315"/>
        </w:trPr>
        <w:tc>
          <w:tcPr>
            <w:tcW w:w="974" w:type="pct"/>
            <w:shd w:val="clear" w:color="auto" w:fill="auto"/>
            <w:vAlign w:val="center"/>
            <w:hideMark/>
          </w:tcPr>
          <w:p w14:paraId="7B8C2C29"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4</w:t>
            </w:r>
          </w:p>
        </w:tc>
        <w:tc>
          <w:tcPr>
            <w:tcW w:w="2445" w:type="pct"/>
            <w:shd w:val="clear" w:color="auto" w:fill="auto"/>
            <w:vAlign w:val="center"/>
            <w:hideMark/>
          </w:tcPr>
          <w:p w14:paraId="4B871808"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Rahata</w:t>
            </w:r>
          </w:p>
        </w:tc>
        <w:tc>
          <w:tcPr>
            <w:tcW w:w="1581" w:type="pct"/>
            <w:shd w:val="clear" w:color="auto" w:fill="auto"/>
            <w:vAlign w:val="bottom"/>
            <w:hideMark/>
          </w:tcPr>
          <w:p w14:paraId="18B1BD8E"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101</w:t>
            </w:r>
          </w:p>
        </w:tc>
      </w:tr>
      <w:tr w:rsidR="009A5CE9" w:rsidRPr="009A5CE9" w14:paraId="472AB0B3" w14:textId="77777777" w:rsidTr="006F0C87">
        <w:trPr>
          <w:trHeight w:val="315"/>
        </w:trPr>
        <w:tc>
          <w:tcPr>
            <w:tcW w:w="974" w:type="pct"/>
            <w:shd w:val="clear" w:color="auto" w:fill="auto"/>
            <w:vAlign w:val="center"/>
            <w:hideMark/>
          </w:tcPr>
          <w:p w14:paraId="22C25456"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5</w:t>
            </w:r>
          </w:p>
        </w:tc>
        <w:tc>
          <w:tcPr>
            <w:tcW w:w="2445" w:type="pct"/>
            <w:shd w:val="clear" w:color="auto" w:fill="auto"/>
            <w:vAlign w:val="center"/>
            <w:hideMark/>
          </w:tcPr>
          <w:p w14:paraId="142A37F1"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Shrirampur</w:t>
            </w:r>
          </w:p>
        </w:tc>
        <w:tc>
          <w:tcPr>
            <w:tcW w:w="1581" w:type="pct"/>
            <w:shd w:val="clear" w:color="auto" w:fill="auto"/>
            <w:vAlign w:val="bottom"/>
            <w:hideMark/>
          </w:tcPr>
          <w:p w14:paraId="32B0E414"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525</w:t>
            </w:r>
          </w:p>
        </w:tc>
      </w:tr>
      <w:tr w:rsidR="009A5CE9" w:rsidRPr="009A5CE9" w14:paraId="5CD9E073" w14:textId="77777777" w:rsidTr="006F0C87">
        <w:trPr>
          <w:trHeight w:val="315"/>
        </w:trPr>
        <w:tc>
          <w:tcPr>
            <w:tcW w:w="974" w:type="pct"/>
            <w:shd w:val="clear" w:color="auto" w:fill="auto"/>
            <w:vAlign w:val="center"/>
            <w:hideMark/>
          </w:tcPr>
          <w:p w14:paraId="4BC9B046"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6</w:t>
            </w:r>
          </w:p>
        </w:tc>
        <w:tc>
          <w:tcPr>
            <w:tcW w:w="2445" w:type="pct"/>
            <w:shd w:val="clear" w:color="auto" w:fill="auto"/>
            <w:vAlign w:val="center"/>
            <w:hideMark/>
          </w:tcPr>
          <w:p w14:paraId="137C40D4"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Newasa</w:t>
            </w:r>
          </w:p>
        </w:tc>
        <w:tc>
          <w:tcPr>
            <w:tcW w:w="1581" w:type="pct"/>
            <w:shd w:val="clear" w:color="auto" w:fill="auto"/>
            <w:vAlign w:val="bottom"/>
            <w:hideMark/>
          </w:tcPr>
          <w:p w14:paraId="20CFBEDD"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730</w:t>
            </w:r>
          </w:p>
        </w:tc>
      </w:tr>
      <w:tr w:rsidR="009A5CE9" w:rsidRPr="009A5CE9" w14:paraId="36BE80B4" w14:textId="77777777" w:rsidTr="006F0C87">
        <w:trPr>
          <w:trHeight w:val="315"/>
        </w:trPr>
        <w:tc>
          <w:tcPr>
            <w:tcW w:w="974" w:type="pct"/>
            <w:shd w:val="clear" w:color="auto" w:fill="auto"/>
            <w:vAlign w:val="center"/>
            <w:hideMark/>
          </w:tcPr>
          <w:p w14:paraId="2D849683"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7</w:t>
            </w:r>
          </w:p>
        </w:tc>
        <w:tc>
          <w:tcPr>
            <w:tcW w:w="2445" w:type="pct"/>
            <w:shd w:val="clear" w:color="auto" w:fill="auto"/>
            <w:vAlign w:val="center"/>
            <w:hideMark/>
          </w:tcPr>
          <w:p w14:paraId="528EE74C"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Shevgaon</w:t>
            </w:r>
          </w:p>
        </w:tc>
        <w:tc>
          <w:tcPr>
            <w:tcW w:w="1581" w:type="pct"/>
            <w:shd w:val="clear" w:color="auto" w:fill="auto"/>
            <w:vAlign w:val="bottom"/>
            <w:hideMark/>
          </w:tcPr>
          <w:p w14:paraId="4F4C21EE"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616</w:t>
            </w:r>
          </w:p>
        </w:tc>
      </w:tr>
      <w:tr w:rsidR="009A5CE9" w:rsidRPr="009A5CE9" w14:paraId="4AFB1E9C" w14:textId="77777777" w:rsidTr="006F0C87">
        <w:trPr>
          <w:trHeight w:val="315"/>
        </w:trPr>
        <w:tc>
          <w:tcPr>
            <w:tcW w:w="974" w:type="pct"/>
            <w:shd w:val="clear" w:color="auto" w:fill="auto"/>
            <w:vAlign w:val="center"/>
            <w:hideMark/>
          </w:tcPr>
          <w:p w14:paraId="455C39AE"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8</w:t>
            </w:r>
          </w:p>
        </w:tc>
        <w:tc>
          <w:tcPr>
            <w:tcW w:w="2445" w:type="pct"/>
            <w:shd w:val="clear" w:color="auto" w:fill="auto"/>
            <w:vAlign w:val="center"/>
            <w:hideMark/>
          </w:tcPr>
          <w:p w14:paraId="7E1D9C34"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Pathardi</w:t>
            </w:r>
          </w:p>
        </w:tc>
        <w:tc>
          <w:tcPr>
            <w:tcW w:w="1581" w:type="pct"/>
            <w:shd w:val="clear" w:color="auto" w:fill="auto"/>
            <w:vAlign w:val="bottom"/>
            <w:hideMark/>
          </w:tcPr>
          <w:p w14:paraId="50FE687B"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1090</w:t>
            </w:r>
          </w:p>
        </w:tc>
      </w:tr>
      <w:tr w:rsidR="009A5CE9" w:rsidRPr="009A5CE9" w14:paraId="1CD0DF78" w14:textId="77777777" w:rsidTr="006F0C87">
        <w:trPr>
          <w:trHeight w:val="315"/>
        </w:trPr>
        <w:tc>
          <w:tcPr>
            <w:tcW w:w="974" w:type="pct"/>
            <w:shd w:val="clear" w:color="auto" w:fill="auto"/>
            <w:vAlign w:val="center"/>
            <w:hideMark/>
          </w:tcPr>
          <w:p w14:paraId="1ED21E0A"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9</w:t>
            </w:r>
          </w:p>
        </w:tc>
        <w:tc>
          <w:tcPr>
            <w:tcW w:w="2445" w:type="pct"/>
            <w:shd w:val="clear" w:color="auto" w:fill="auto"/>
            <w:vAlign w:val="center"/>
            <w:hideMark/>
          </w:tcPr>
          <w:p w14:paraId="7DD73787"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Nagar</w:t>
            </w:r>
          </w:p>
        </w:tc>
        <w:tc>
          <w:tcPr>
            <w:tcW w:w="1581" w:type="pct"/>
            <w:shd w:val="clear" w:color="auto" w:fill="auto"/>
            <w:vAlign w:val="bottom"/>
            <w:hideMark/>
          </w:tcPr>
          <w:p w14:paraId="447A245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2320</w:t>
            </w:r>
          </w:p>
        </w:tc>
      </w:tr>
      <w:tr w:rsidR="009A5CE9" w:rsidRPr="009A5CE9" w14:paraId="48AFFAB0" w14:textId="77777777" w:rsidTr="006F0C87">
        <w:trPr>
          <w:trHeight w:val="315"/>
        </w:trPr>
        <w:tc>
          <w:tcPr>
            <w:tcW w:w="974" w:type="pct"/>
            <w:shd w:val="clear" w:color="auto" w:fill="auto"/>
            <w:vAlign w:val="center"/>
            <w:hideMark/>
          </w:tcPr>
          <w:p w14:paraId="1419CB79"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10</w:t>
            </w:r>
          </w:p>
        </w:tc>
        <w:tc>
          <w:tcPr>
            <w:tcW w:w="2445" w:type="pct"/>
            <w:shd w:val="clear" w:color="auto" w:fill="auto"/>
            <w:vAlign w:val="center"/>
            <w:hideMark/>
          </w:tcPr>
          <w:p w14:paraId="3C9FA25F"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Rahuri</w:t>
            </w:r>
          </w:p>
        </w:tc>
        <w:tc>
          <w:tcPr>
            <w:tcW w:w="1581" w:type="pct"/>
            <w:shd w:val="clear" w:color="auto" w:fill="auto"/>
            <w:vAlign w:val="bottom"/>
            <w:hideMark/>
          </w:tcPr>
          <w:p w14:paraId="5324DFF1"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1698</w:t>
            </w:r>
          </w:p>
        </w:tc>
      </w:tr>
      <w:tr w:rsidR="009A5CE9" w:rsidRPr="009A5CE9" w14:paraId="3EC153D1" w14:textId="77777777" w:rsidTr="006F0C87">
        <w:trPr>
          <w:trHeight w:val="315"/>
        </w:trPr>
        <w:tc>
          <w:tcPr>
            <w:tcW w:w="974" w:type="pct"/>
            <w:shd w:val="clear" w:color="auto" w:fill="auto"/>
            <w:vAlign w:val="center"/>
            <w:hideMark/>
          </w:tcPr>
          <w:p w14:paraId="22311F7C"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11</w:t>
            </w:r>
          </w:p>
        </w:tc>
        <w:tc>
          <w:tcPr>
            <w:tcW w:w="2445" w:type="pct"/>
            <w:shd w:val="clear" w:color="auto" w:fill="auto"/>
            <w:vAlign w:val="center"/>
            <w:hideMark/>
          </w:tcPr>
          <w:p w14:paraId="5191A0F4"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Parner</w:t>
            </w:r>
          </w:p>
        </w:tc>
        <w:tc>
          <w:tcPr>
            <w:tcW w:w="1581" w:type="pct"/>
            <w:shd w:val="clear" w:color="auto" w:fill="auto"/>
            <w:vAlign w:val="bottom"/>
            <w:hideMark/>
          </w:tcPr>
          <w:p w14:paraId="5AD8805D"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571</w:t>
            </w:r>
          </w:p>
        </w:tc>
      </w:tr>
      <w:tr w:rsidR="009A5CE9" w:rsidRPr="009A5CE9" w14:paraId="2A333482" w14:textId="77777777" w:rsidTr="006F0C87">
        <w:trPr>
          <w:trHeight w:val="315"/>
        </w:trPr>
        <w:tc>
          <w:tcPr>
            <w:tcW w:w="974" w:type="pct"/>
            <w:shd w:val="clear" w:color="auto" w:fill="auto"/>
            <w:vAlign w:val="center"/>
            <w:hideMark/>
          </w:tcPr>
          <w:p w14:paraId="19B93F36"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12</w:t>
            </w:r>
          </w:p>
        </w:tc>
        <w:tc>
          <w:tcPr>
            <w:tcW w:w="2445" w:type="pct"/>
            <w:shd w:val="clear" w:color="auto" w:fill="auto"/>
            <w:vAlign w:val="center"/>
            <w:hideMark/>
          </w:tcPr>
          <w:p w14:paraId="72BABCA0"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Shrigonda</w:t>
            </w:r>
          </w:p>
        </w:tc>
        <w:tc>
          <w:tcPr>
            <w:tcW w:w="1581" w:type="pct"/>
            <w:shd w:val="clear" w:color="auto" w:fill="auto"/>
            <w:vAlign w:val="bottom"/>
            <w:hideMark/>
          </w:tcPr>
          <w:p w14:paraId="00E3474E"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922</w:t>
            </w:r>
          </w:p>
        </w:tc>
      </w:tr>
      <w:tr w:rsidR="009A5CE9" w:rsidRPr="009A5CE9" w14:paraId="04EBA4D0" w14:textId="77777777" w:rsidTr="006F0C87">
        <w:trPr>
          <w:trHeight w:val="315"/>
        </w:trPr>
        <w:tc>
          <w:tcPr>
            <w:tcW w:w="974" w:type="pct"/>
            <w:shd w:val="clear" w:color="auto" w:fill="auto"/>
            <w:vAlign w:val="center"/>
            <w:hideMark/>
          </w:tcPr>
          <w:p w14:paraId="09722969"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13</w:t>
            </w:r>
          </w:p>
        </w:tc>
        <w:tc>
          <w:tcPr>
            <w:tcW w:w="2445" w:type="pct"/>
            <w:shd w:val="clear" w:color="auto" w:fill="auto"/>
            <w:vAlign w:val="center"/>
            <w:hideMark/>
          </w:tcPr>
          <w:p w14:paraId="7BAB5960"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Karjat</w:t>
            </w:r>
          </w:p>
        </w:tc>
        <w:tc>
          <w:tcPr>
            <w:tcW w:w="1581" w:type="pct"/>
            <w:shd w:val="clear" w:color="auto" w:fill="auto"/>
            <w:vAlign w:val="bottom"/>
            <w:hideMark/>
          </w:tcPr>
          <w:p w14:paraId="7790B138"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888</w:t>
            </w:r>
          </w:p>
        </w:tc>
      </w:tr>
      <w:tr w:rsidR="009A5CE9" w:rsidRPr="009A5CE9" w14:paraId="2D2CE178" w14:textId="77777777" w:rsidTr="006F0C87">
        <w:trPr>
          <w:trHeight w:val="315"/>
        </w:trPr>
        <w:tc>
          <w:tcPr>
            <w:tcW w:w="974" w:type="pct"/>
            <w:shd w:val="clear" w:color="auto" w:fill="auto"/>
            <w:vAlign w:val="center"/>
            <w:hideMark/>
          </w:tcPr>
          <w:p w14:paraId="5F1E6F97"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14</w:t>
            </w:r>
          </w:p>
        </w:tc>
        <w:tc>
          <w:tcPr>
            <w:tcW w:w="2445" w:type="pct"/>
            <w:shd w:val="clear" w:color="auto" w:fill="auto"/>
            <w:vAlign w:val="center"/>
            <w:hideMark/>
          </w:tcPr>
          <w:p w14:paraId="2DABDE41"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Jamkhed</w:t>
            </w:r>
          </w:p>
        </w:tc>
        <w:tc>
          <w:tcPr>
            <w:tcW w:w="1581" w:type="pct"/>
            <w:shd w:val="clear" w:color="auto" w:fill="auto"/>
            <w:vAlign w:val="bottom"/>
            <w:hideMark/>
          </w:tcPr>
          <w:p w14:paraId="357A3AC1"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534</w:t>
            </w:r>
          </w:p>
        </w:tc>
      </w:tr>
      <w:tr w:rsidR="009A5CE9" w:rsidRPr="009A5CE9" w14:paraId="51BBDD1E" w14:textId="77777777" w:rsidTr="006F0C87">
        <w:trPr>
          <w:trHeight w:val="315"/>
        </w:trPr>
        <w:tc>
          <w:tcPr>
            <w:tcW w:w="3419" w:type="pct"/>
            <w:gridSpan w:val="2"/>
            <w:shd w:val="clear" w:color="auto" w:fill="auto"/>
            <w:vAlign w:val="bottom"/>
            <w:hideMark/>
          </w:tcPr>
          <w:p w14:paraId="2DD28CE4"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Total</w:t>
            </w:r>
          </w:p>
        </w:tc>
        <w:tc>
          <w:tcPr>
            <w:tcW w:w="1581" w:type="pct"/>
            <w:shd w:val="clear" w:color="auto" w:fill="auto"/>
            <w:vAlign w:val="bottom"/>
            <w:hideMark/>
          </w:tcPr>
          <w:p w14:paraId="0173C792"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13957</w:t>
            </w:r>
          </w:p>
        </w:tc>
      </w:tr>
      <w:tr w:rsidR="009A5CE9" w:rsidRPr="009A5CE9" w14:paraId="37717EE7" w14:textId="77777777" w:rsidTr="006F0C87">
        <w:trPr>
          <w:trHeight w:val="315"/>
        </w:trPr>
        <w:tc>
          <w:tcPr>
            <w:tcW w:w="5000" w:type="pct"/>
            <w:gridSpan w:val="3"/>
            <w:shd w:val="clear" w:color="auto" w:fill="auto"/>
            <w:vAlign w:val="bottom"/>
          </w:tcPr>
          <w:p w14:paraId="2F1EA0C4" w14:textId="77777777" w:rsidR="00663B4C" w:rsidRPr="009A5CE9" w:rsidRDefault="00663B4C" w:rsidP="009A5CE9">
            <w:pPr>
              <w:spacing w:after="0" w:line="360" w:lineRule="auto"/>
              <w:jc w:val="both"/>
              <w:rPr>
                <w:rFonts w:ascii="Arial" w:eastAsia="Times New Roman" w:hAnsi="Arial" w:cs="Arial"/>
                <w:sz w:val="20"/>
              </w:rPr>
            </w:pPr>
            <w:r w:rsidRPr="009A5CE9">
              <w:rPr>
                <w:rFonts w:ascii="Arial" w:eastAsia="Times New Roman" w:hAnsi="Arial" w:cs="Arial"/>
                <w:b/>
                <w:bCs/>
                <w:sz w:val="20"/>
              </w:rPr>
              <w:t>Source:</w:t>
            </w:r>
            <w:r w:rsidRPr="009A5CE9">
              <w:rPr>
                <w:rFonts w:ascii="Arial" w:eastAsia="Times New Roman" w:hAnsi="Arial" w:cs="Arial"/>
                <w:sz w:val="20"/>
              </w:rPr>
              <w:t xml:space="preserve"> (1) Socio-Economic Abstract of Ahilyanagar District: Dec-2025,</w:t>
            </w:r>
          </w:p>
          <w:p w14:paraId="450A4E7A" w14:textId="77777777" w:rsidR="00663B4C" w:rsidRPr="009A5CE9" w:rsidRDefault="00663B4C" w:rsidP="009A5CE9">
            <w:pPr>
              <w:spacing w:after="0" w:line="360" w:lineRule="auto"/>
              <w:jc w:val="both"/>
              <w:rPr>
                <w:rFonts w:ascii="Arial" w:eastAsia="Times New Roman" w:hAnsi="Arial" w:cs="Arial"/>
                <w:b/>
                <w:bCs/>
                <w:sz w:val="20"/>
              </w:rPr>
            </w:pPr>
            <w:r w:rsidRPr="009A5CE9">
              <w:rPr>
                <w:rFonts w:ascii="Arial" w:eastAsia="Times New Roman" w:hAnsi="Arial" w:cs="Arial"/>
                <w:sz w:val="20"/>
              </w:rPr>
              <w:t>(2) District Health Officer, Zilla Parishad – Health Management Information System (HMIS)</w:t>
            </w:r>
          </w:p>
        </w:tc>
      </w:tr>
    </w:tbl>
    <w:p w14:paraId="02AA7173" w14:textId="63250758" w:rsidR="00A70958" w:rsidRPr="009A5CE9" w:rsidRDefault="00A70958" w:rsidP="009A5CE9">
      <w:pPr>
        <w:spacing w:after="0" w:line="360" w:lineRule="auto"/>
        <w:jc w:val="both"/>
        <w:rPr>
          <w:rFonts w:ascii="Arial" w:hAnsi="Arial" w:cs="Arial"/>
          <w:sz w:val="20"/>
        </w:rPr>
      </w:pPr>
      <w:r w:rsidRPr="009A5CE9">
        <w:rPr>
          <w:rFonts w:ascii="Arial" w:hAnsi="Arial" w:cs="Arial"/>
          <w:sz w:val="20"/>
        </w:rPr>
        <w:tab/>
        <w:t>The total number of recorded deaths in Ahilyanagar district for 2025 is 13,957, with noticeable variation across tahsils. Sangamner (2,476 deaths) and Nagar (2,320 deaths) account for the highest mortality figures, together contributing over 34% of the district’s total deaths. Their larger populations, higher density, and greater inflow of patients from surrounding rural areas likely influence these numbers. Rahuri (1,698 deaths) and Pathardi (1,090 deaths) also exhibit elevated mortality, suggesting possible gaps in healthcare access, disease burden, or socio-economic vulnerabilities.</w:t>
      </w:r>
    </w:p>
    <w:p w14:paraId="5FCEFE46" w14:textId="1E979C01" w:rsidR="00A70958" w:rsidRPr="009A5CE9" w:rsidRDefault="00A70958" w:rsidP="009A5CE9">
      <w:pPr>
        <w:spacing w:after="0" w:line="360" w:lineRule="auto"/>
        <w:jc w:val="both"/>
        <w:rPr>
          <w:rFonts w:ascii="Arial" w:hAnsi="Arial" w:cs="Arial"/>
          <w:sz w:val="20"/>
        </w:rPr>
      </w:pPr>
      <w:r w:rsidRPr="009A5CE9">
        <w:rPr>
          <w:rFonts w:ascii="Arial" w:hAnsi="Arial" w:cs="Arial"/>
          <w:sz w:val="20"/>
        </w:rPr>
        <w:tab/>
        <w:t xml:space="preserve">On the other hand, tahsils such as Rahata (101 deaths) and Kopargaon (584 deaths) report relatively low mortality. This may reflect better healthcare infrastructure, improved emergency response systems, or smaller population size. Shrirampur (525 deaths) and Jamkhed (534 deaths) also fall on </w:t>
      </w:r>
      <w:r w:rsidRPr="009A5CE9">
        <w:rPr>
          <w:rFonts w:ascii="Arial" w:hAnsi="Arial" w:cs="Arial"/>
          <w:sz w:val="20"/>
        </w:rPr>
        <w:lastRenderedPageBreak/>
        <w:t>the lower end but may require further investigation to determine whether these low numbers represent genuine demographic outcomes or underreporting.</w:t>
      </w:r>
    </w:p>
    <w:p w14:paraId="22FDB7CC" w14:textId="39488E75" w:rsidR="00A70958" w:rsidRPr="009A5CE9" w:rsidRDefault="00A70958" w:rsidP="009A5CE9">
      <w:pPr>
        <w:spacing w:after="0" w:line="360" w:lineRule="auto"/>
        <w:jc w:val="both"/>
        <w:rPr>
          <w:rFonts w:ascii="Arial" w:hAnsi="Arial" w:cs="Arial"/>
          <w:sz w:val="20"/>
        </w:rPr>
      </w:pPr>
      <w:r w:rsidRPr="009A5CE9">
        <w:rPr>
          <w:rFonts w:ascii="Arial" w:hAnsi="Arial" w:cs="Arial"/>
          <w:sz w:val="20"/>
        </w:rPr>
        <w:tab/>
        <w:t>The data reveal a broad pattern of spatial inequality in health outcomes across the district. Tahsils with higher death counts often correspond to regions with large populations, dispersed rural settlements, or limited access to specialized medical services. These findings underline the need for targeted health interventions, such as strengthening primary healthcare centres, improving referral systems, and enhancing disease surveillance in high-mortality regions.</w:t>
      </w:r>
    </w:p>
    <w:p w14:paraId="7A80DAF5" w14:textId="2F8DEBE8" w:rsidR="00A70958" w:rsidRPr="009A5CE9" w:rsidRDefault="00A70958" w:rsidP="009A5CE9">
      <w:pPr>
        <w:spacing w:after="0" w:line="360" w:lineRule="auto"/>
        <w:jc w:val="both"/>
        <w:rPr>
          <w:rFonts w:ascii="Arial" w:hAnsi="Arial" w:cs="Arial"/>
          <w:sz w:val="20"/>
        </w:rPr>
      </w:pPr>
      <w:r w:rsidRPr="009A5CE9">
        <w:rPr>
          <w:rFonts w:ascii="Arial" w:hAnsi="Arial" w:cs="Arial"/>
          <w:sz w:val="20"/>
        </w:rPr>
        <w:tab/>
        <w:t>Overall, the analysis of death distribution provides important insights into local health conditions and highlights priority areas where health policies and resources must be strategically directed to reduce preventable mortality and promote equitable health outcomes across Ahilyanagar district.</w:t>
      </w:r>
    </w:p>
    <w:p w14:paraId="181E42EE" w14:textId="77777777" w:rsidR="00663B4C" w:rsidRPr="009A5CE9" w:rsidRDefault="00663B4C" w:rsidP="009A5CE9">
      <w:pPr>
        <w:spacing w:after="0" w:line="360" w:lineRule="auto"/>
        <w:rPr>
          <w:rFonts w:ascii="Arial" w:hAnsi="Arial" w:cs="Arial"/>
          <w:sz w:val="20"/>
        </w:rPr>
      </w:pPr>
    </w:p>
    <w:p w14:paraId="5BFA6439" w14:textId="77777777" w:rsidR="00663B4C" w:rsidRPr="009A5CE9" w:rsidRDefault="00663B4C" w:rsidP="009A5CE9">
      <w:pPr>
        <w:spacing w:after="0" w:line="360" w:lineRule="auto"/>
        <w:jc w:val="center"/>
        <w:rPr>
          <w:rFonts w:ascii="Arial" w:hAnsi="Arial" w:cs="Arial"/>
          <w:b/>
          <w:bCs/>
          <w:sz w:val="20"/>
        </w:rPr>
      </w:pPr>
      <w:r w:rsidRPr="009A5CE9">
        <w:rPr>
          <w:rFonts w:ascii="Arial" w:hAnsi="Arial" w:cs="Arial"/>
          <w:b/>
          <w:bCs/>
          <w:sz w:val="20"/>
        </w:rPr>
        <w:t>Table 3: Tahsil-wise Distribution of Child Deaths (Age 0–5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3854"/>
        <w:gridCol w:w="3630"/>
      </w:tblGrid>
      <w:tr w:rsidR="009A5CE9" w:rsidRPr="009A5CE9" w14:paraId="2621A227" w14:textId="77777777" w:rsidTr="00A70958">
        <w:trPr>
          <w:trHeight w:val="458"/>
        </w:trPr>
        <w:tc>
          <w:tcPr>
            <w:tcW w:w="850" w:type="pct"/>
            <w:vMerge w:val="restart"/>
            <w:shd w:val="clear" w:color="auto" w:fill="auto"/>
            <w:vAlign w:val="center"/>
            <w:hideMark/>
          </w:tcPr>
          <w:p w14:paraId="2FE3CEA7"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Sr. No.</w:t>
            </w:r>
          </w:p>
        </w:tc>
        <w:tc>
          <w:tcPr>
            <w:tcW w:w="2137" w:type="pct"/>
            <w:vMerge w:val="restart"/>
            <w:shd w:val="clear" w:color="auto" w:fill="auto"/>
            <w:vAlign w:val="center"/>
            <w:hideMark/>
          </w:tcPr>
          <w:p w14:paraId="517B9E61"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Tahsil</w:t>
            </w:r>
          </w:p>
        </w:tc>
        <w:tc>
          <w:tcPr>
            <w:tcW w:w="2013" w:type="pct"/>
            <w:vMerge w:val="restart"/>
            <w:shd w:val="clear" w:color="auto" w:fill="auto"/>
            <w:vAlign w:val="center"/>
            <w:hideMark/>
          </w:tcPr>
          <w:p w14:paraId="0E77D48B"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Total No. of Child Deaths (Age 0 to 5 Years)</w:t>
            </w:r>
          </w:p>
        </w:tc>
      </w:tr>
      <w:tr w:rsidR="009A5CE9" w:rsidRPr="009A5CE9" w14:paraId="3EA4A914" w14:textId="77777777" w:rsidTr="00A70958">
        <w:trPr>
          <w:trHeight w:val="585"/>
        </w:trPr>
        <w:tc>
          <w:tcPr>
            <w:tcW w:w="850" w:type="pct"/>
            <w:vMerge/>
            <w:vAlign w:val="center"/>
            <w:hideMark/>
          </w:tcPr>
          <w:p w14:paraId="73567AD8" w14:textId="77777777" w:rsidR="00663B4C" w:rsidRPr="009A5CE9" w:rsidRDefault="00663B4C" w:rsidP="009A5CE9">
            <w:pPr>
              <w:spacing w:after="0" w:line="360" w:lineRule="auto"/>
              <w:rPr>
                <w:rFonts w:ascii="Arial" w:eastAsia="Times New Roman" w:hAnsi="Arial" w:cs="Arial"/>
                <w:b/>
                <w:bCs/>
                <w:sz w:val="20"/>
              </w:rPr>
            </w:pPr>
          </w:p>
        </w:tc>
        <w:tc>
          <w:tcPr>
            <w:tcW w:w="2137" w:type="pct"/>
            <w:vMerge/>
            <w:vAlign w:val="center"/>
            <w:hideMark/>
          </w:tcPr>
          <w:p w14:paraId="57B3B803" w14:textId="77777777" w:rsidR="00663B4C" w:rsidRPr="009A5CE9" w:rsidRDefault="00663B4C" w:rsidP="009A5CE9">
            <w:pPr>
              <w:spacing w:after="0" w:line="360" w:lineRule="auto"/>
              <w:rPr>
                <w:rFonts w:ascii="Arial" w:eastAsia="Times New Roman" w:hAnsi="Arial" w:cs="Arial"/>
                <w:b/>
                <w:bCs/>
                <w:sz w:val="20"/>
              </w:rPr>
            </w:pPr>
          </w:p>
        </w:tc>
        <w:tc>
          <w:tcPr>
            <w:tcW w:w="2013" w:type="pct"/>
            <w:vMerge/>
            <w:vAlign w:val="center"/>
            <w:hideMark/>
          </w:tcPr>
          <w:p w14:paraId="24A73B8F" w14:textId="77777777" w:rsidR="00663B4C" w:rsidRPr="009A5CE9" w:rsidRDefault="00663B4C" w:rsidP="009A5CE9">
            <w:pPr>
              <w:spacing w:after="0" w:line="360" w:lineRule="auto"/>
              <w:rPr>
                <w:rFonts w:ascii="Arial" w:eastAsia="Times New Roman" w:hAnsi="Arial" w:cs="Arial"/>
                <w:b/>
                <w:bCs/>
                <w:sz w:val="20"/>
              </w:rPr>
            </w:pPr>
          </w:p>
        </w:tc>
      </w:tr>
      <w:tr w:rsidR="009A5CE9" w:rsidRPr="009A5CE9" w14:paraId="7B9EDB15" w14:textId="77777777" w:rsidTr="00A70958">
        <w:trPr>
          <w:trHeight w:val="315"/>
        </w:trPr>
        <w:tc>
          <w:tcPr>
            <w:tcW w:w="850" w:type="pct"/>
            <w:shd w:val="clear" w:color="auto" w:fill="auto"/>
            <w:vAlign w:val="center"/>
            <w:hideMark/>
          </w:tcPr>
          <w:p w14:paraId="4DF72CB9"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w:t>
            </w:r>
          </w:p>
        </w:tc>
        <w:tc>
          <w:tcPr>
            <w:tcW w:w="2137" w:type="pct"/>
            <w:shd w:val="clear" w:color="auto" w:fill="auto"/>
            <w:vAlign w:val="center"/>
            <w:hideMark/>
          </w:tcPr>
          <w:p w14:paraId="1E7B817D"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Akole</w:t>
            </w:r>
          </w:p>
        </w:tc>
        <w:tc>
          <w:tcPr>
            <w:tcW w:w="2013" w:type="pct"/>
            <w:shd w:val="clear" w:color="auto" w:fill="auto"/>
            <w:vAlign w:val="bottom"/>
            <w:hideMark/>
          </w:tcPr>
          <w:p w14:paraId="03234871"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44</w:t>
            </w:r>
          </w:p>
        </w:tc>
      </w:tr>
      <w:tr w:rsidR="009A5CE9" w:rsidRPr="009A5CE9" w14:paraId="241EE0E5" w14:textId="77777777" w:rsidTr="00A70958">
        <w:trPr>
          <w:trHeight w:val="315"/>
        </w:trPr>
        <w:tc>
          <w:tcPr>
            <w:tcW w:w="850" w:type="pct"/>
            <w:shd w:val="clear" w:color="auto" w:fill="auto"/>
            <w:vAlign w:val="center"/>
            <w:hideMark/>
          </w:tcPr>
          <w:p w14:paraId="1847B224"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2</w:t>
            </w:r>
          </w:p>
        </w:tc>
        <w:tc>
          <w:tcPr>
            <w:tcW w:w="2137" w:type="pct"/>
            <w:shd w:val="clear" w:color="auto" w:fill="auto"/>
            <w:vAlign w:val="center"/>
            <w:hideMark/>
          </w:tcPr>
          <w:p w14:paraId="1189BCB6"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Sangamner</w:t>
            </w:r>
          </w:p>
        </w:tc>
        <w:tc>
          <w:tcPr>
            <w:tcW w:w="2013" w:type="pct"/>
            <w:shd w:val="clear" w:color="auto" w:fill="auto"/>
            <w:vAlign w:val="bottom"/>
            <w:hideMark/>
          </w:tcPr>
          <w:p w14:paraId="6C195D58"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77</w:t>
            </w:r>
          </w:p>
        </w:tc>
      </w:tr>
      <w:tr w:rsidR="009A5CE9" w:rsidRPr="009A5CE9" w14:paraId="0F1A2C45" w14:textId="77777777" w:rsidTr="00A70958">
        <w:trPr>
          <w:trHeight w:val="315"/>
        </w:trPr>
        <w:tc>
          <w:tcPr>
            <w:tcW w:w="850" w:type="pct"/>
            <w:shd w:val="clear" w:color="auto" w:fill="auto"/>
            <w:vAlign w:val="center"/>
            <w:hideMark/>
          </w:tcPr>
          <w:p w14:paraId="4FA688A2"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3</w:t>
            </w:r>
          </w:p>
        </w:tc>
        <w:tc>
          <w:tcPr>
            <w:tcW w:w="2137" w:type="pct"/>
            <w:shd w:val="clear" w:color="auto" w:fill="auto"/>
            <w:vAlign w:val="center"/>
            <w:hideMark/>
          </w:tcPr>
          <w:p w14:paraId="42D487B7"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Kopargaon</w:t>
            </w:r>
          </w:p>
        </w:tc>
        <w:tc>
          <w:tcPr>
            <w:tcW w:w="2013" w:type="pct"/>
            <w:shd w:val="clear" w:color="auto" w:fill="auto"/>
            <w:vAlign w:val="bottom"/>
            <w:hideMark/>
          </w:tcPr>
          <w:p w14:paraId="6E6761A7"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37</w:t>
            </w:r>
          </w:p>
        </w:tc>
      </w:tr>
      <w:tr w:rsidR="009A5CE9" w:rsidRPr="009A5CE9" w14:paraId="31912F44" w14:textId="77777777" w:rsidTr="00A70958">
        <w:trPr>
          <w:trHeight w:val="315"/>
        </w:trPr>
        <w:tc>
          <w:tcPr>
            <w:tcW w:w="850" w:type="pct"/>
            <w:shd w:val="clear" w:color="auto" w:fill="auto"/>
            <w:vAlign w:val="center"/>
            <w:hideMark/>
          </w:tcPr>
          <w:p w14:paraId="7A211C6B"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4</w:t>
            </w:r>
          </w:p>
        </w:tc>
        <w:tc>
          <w:tcPr>
            <w:tcW w:w="2137" w:type="pct"/>
            <w:shd w:val="clear" w:color="auto" w:fill="auto"/>
            <w:vAlign w:val="center"/>
            <w:hideMark/>
          </w:tcPr>
          <w:p w14:paraId="634C2E67"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Rahata</w:t>
            </w:r>
          </w:p>
        </w:tc>
        <w:tc>
          <w:tcPr>
            <w:tcW w:w="2013" w:type="pct"/>
            <w:shd w:val="clear" w:color="auto" w:fill="auto"/>
            <w:vAlign w:val="bottom"/>
            <w:hideMark/>
          </w:tcPr>
          <w:p w14:paraId="7C9D173B"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50</w:t>
            </w:r>
          </w:p>
        </w:tc>
      </w:tr>
      <w:tr w:rsidR="009A5CE9" w:rsidRPr="009A5CE9" w14:paraId="4D70FF93" w14:textId="77777777" w:rsidTr="00A70958">
        <w:trPr>
          <w:trHeight w:val="315"/>
        </w:trPr>
        <w:tc>
          <w:tcPr>
            <w:tcW w:w="850" w:type="pct"/>
            <w:shd w:val="clear" w:color="auto" w:fill="auto"/>
            <w:vAlign w:val="center"/>
            <w:hideMark/>
          </w:tcPr>
          <w:p w14:paraId="29CF0EDC"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5</w:t>
            </w:r>
          </w:p>
        </w:tc>
        <w:tc>
          <w:tcPr>
            <w:tcW w:w="2137" w:type="pct"/>
            <w:shd w:val="clear" w:color="auto" w:fill="auto"/>
            <w:vAlign w:val="center"/>
            <w:hideMark/>
          </w:tcPr>
          <w:p w14:paraId="0779C885"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Shrirampur</w:t>
            </w:r>
          </w:p>
        </w:tc>
        <w:tc>
          <w:tcPr>
            <w:tcW w:w="2013" w:type="pct"/>
            <w:shd w:val="clear" w:color="auto" w:fill="auto"/>
            <w:vAlign w:val="bottom"/>
            <w:hideMark/>
          </w:tcPr>
          <w:p w14:paraId="660E4B70"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32</w:t>
            </w:r>
          </w:p>
        </w:tc>
      </w:tr>
      <w:tr w:rsidR="009A5CE9" w:rsidRPr="009A5CE9" w14:paraId="428B30E2" w14:textId="77777777" w:rsidTr="00A70958">
        <w:trPr>
          <w:trHeight w:val="315"/>
        </w:trPr>
        <w:tc>
          <w:tcPr>
            <w:tcW w:w="850" w:type="pct"/>
            <w:shd w:val="clear" w:color="auto" w:fill="auto"/>
            <w:vAlign w:val="center"/>
            <w:hideMark/>
          </w:tcPr>
          <w:p w14:paraId="030975DC"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6</w:t>
            </w:r>
          </w:p>
        </w:tc>
        <w:tc>
          <w:tcPr>
            <w:tcW w:w="2137" w:type="pct"/>
            <w:shd w:val="clear" w:color="auto" w:fill="auto"/>
            <w:vAlign w:val="center"/>
            <w:hideMark/>
          </w:tcPr>
          <w:p w14:paraId="1CFB2907"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Newasa</w:t>
            </w:r>
          </w:p>
        </w:tc>
        <w:tc>
          <w:tcPr>
            <w:tcW w:w="2013" w:type="pct"/>
            <w:shd w:val="clear" w:color="auto" w:fill="auto"/>
            <w:vAlign w:val="bottom"/>
            <w:hideMark/>
          </w:tcPr>
          <w:p w14:paraId="6A61BC8C"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64</w:t>
            </w:r>
          </w:p>
        </w:tc>
      </w:tr>
      <w:tr w:rsidR="009A5CE9" w:rsidRPr="009A5CE9" w14:paraId="3DAA9D69" w14:textId="77777777" w:rsidTr="00A70958">
        <w:trPr>
          <w:trHeight w:val="315"/>
        </w:trPr>
        <w:tc>
          <w:tcPr>
            <w:tcW w:w="850" w:type="pct"/>
            <w:shd w:val="clear" w:color="auto" w:fill="auto"/>
            <w:vAlign w:val="center"/>
            <w:hideMark/>
          </w:tcPr>
          <w:p w14:paraId="70DF28C3"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7</w:t>
            </w:r>
          </w:p>
        </w:tc>
        <w:tc>
          <w:tcPr>
            <w:tcW w:w="2137" w:type="pct"/>
            <w:shd w:val="clear" w:color="auto" w:fill="auto"/>
            <w:vAlign w:val="center"/>
            <w:hideMark/>
          </w:tcPr>
          <w:p w14:paraId="3C2BB8CD"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Shevgaon</w:t>
            </w:r>
          </w:p>
        </w:tc>
        <w:tc>
          <w:tcPr>
            <w:tcW w:w="2013" w:type="pct"/>
            <w:shd w:val="clear" w:color="auto" w:fill="auto"/>
            <w:vAlign w:val="bottom"/>
            <w:hideMark/>
          </w:tcPr>
          <w:p w14:paraId="745D62F7"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44</w:t>
            </w:r>
          </w:p>
        </w:tc>
      </w:tr>
      <w:tr w:rsidR="009A5CE9" w:rsidRPr="009A5CE9" w14:paraId="0D24843D" w14:textId="77777777" w:rsidTr="00A70958">
        <w:trPr>
          <w:trHeight w:val="315"/>
        </w:trPr>
        <w:tc>
          <w:tcPr>
            <w:tcW w:w="850" w:type="pct"/>
            <w:shd w:val="clear" w:color="auto" w:fill="auto"/>
            <w:vAlign w:val="center"/>
            <w:hideMark/>
          </w:tcPr>
          <w:p w14:paraId="55658C66"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8</w:t>
            </w:r>
          </w:p>
        </w:tc>
        <w:tc>
          <w:tcPr>
            <w:tcW w:w="2137" w:type="pct"/>
            <w:shd w:val="clear" w:color="auto" w:fill="auto"/>
            <w:vAlign w:val="center"/>
            <w:hideMark/>
          </w:tcPr>
          <w:p w14:paraId="33C81B4B"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Pathardi</w:t>
            </w:r>
          </w:p>
        </w:tc>
        <w:tc>
          <w:tcPr>
            <w:tcW w:w="2013" w:type="pct"/>
            <w:shd w:val="clear" w:color="auto" w:fill="auto"/>
            <w:vAlign w:val="bottom"/>
            <w:hideMark/>
          </w:tcPr>
          <w:p w14:paraId="1ECBD7DA"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29</w:t>
            </w:r>
          </w:p>
        </w:tc>
      </w:tr>
      <w:tr w:rsidR="009A5CE9" w:rsidRPr="009A5CE9" w14:paraId="5A267739" w14:textId="77777777" w:rsidTr="00A70958">
        <w:trPr>
          <w:trHeight w:val="315"/>
        </w:trPr>
        <w:tc>
          <w:tcPr>
            <w:tcW w:w="850" w:type="pct"/>
            <w:shd w:val="clear" w:color="auto" w:fill="auto"/>
            <w:vAlign w:val="center"/>
            <w:hideMark/>
          </w:tcPr>
          <w:p w14:paraId="4CF1DAEC"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9</w:t>
            </w:r>
          </w:p>
        </w:tc>
        <w:tc>
          <w:tcPr>
            <w:tcW w:w="2137" w:type="pct"/>
            <w:shd w:val="clear" w:color="auto" w:fill="auto"/>
            <w:vAlign w:val="center"/>
            <w:hideMark/>
          </w:tcPr>
          <w:p w14:paraId="75686380"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Nagar</w:t>
            </w:r>
          </w:p>
        </w:tc>
        <w:tc>
          <w:tcPr>
            <w:tcW w:w="2013" w:type="pct"/>
            <w:shd w:val="clear" w:color="auto" w:fill="auto"/>
            <w:vAlign w:val="bottom"/>
            <w:hideMark/>
          </w:tcPr>
          <w:p w14:paraId="40BE288D"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55</w:t>
            </w:r>
          </w:p>
        </w:tc>
      </w:tr>
      <w:tr w:rsidR="009A5CE9" w:rsidRPr="009A5CE9" w14:paraId="0B3BD276" w14:textId="77777777" w:rsidTr="00A70958">
        <w:trPr>
          <w:trHeight w:val="315"/>
        </w:trPr>
        <w:tc>
          <w:tcPr>
            <w:tcW w:w="850" w:type="pct"/>
            <w:shd w:val="clear" w:color="auto" w:fill="auto"/>
            <w:vAlign w:val="center"/>
            <w:hideMark/>
          </w:tcPr>
          <w:p w14:paraId="10B8A2EC"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10</w:t>
            </w:r>
          </w:p>
        </w:tc>
        <w:tc>
          <w:tcPr>
            <w:tcW w:w="2137" w:type="pct"/>
            <w:shd w:val="clear" w:color="auto" w:fill="auto"/>
            <w:vAlign w:val="center"/>
            <w:hideMark/>
          </w:tcPr>
          <w:p w14:paraId="164EE9B7"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Rahuri</w:t>
            </w:r>
          </w:p>
        </w:tc>
        <w:tc>
          <w:tcPr>
            <w:tcW w:w="2013" w:type="pct"/>
            <w:shd w:val="clear" w:color="auto" w:fill="auto"/>
            <w:vAlign w:val="bottom"/>
            <w:hideMark/>
          </w:tcPr>
          <w:p w14:paraId="6C68CAE0"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43</w:t>
            </w:r>
          </w:p>
        </w:tc>
      </w:tr>
      <w:tr w:rsidR="009A5CE9" w:rsidRPr="009A5CE9" w14:paraId="195F2DA3" w14:textId="77777777" w:rsidTr="00A70958">
        <w:trPr>
          <w:trHeight w:val="315"/>
        </w:trPr>
        <w:tc>
          <w:tcPr>
            <w:tcW w:w="850" w:type="pct"/>
            <w:shd w:val="clear" w:color="auto" w:fill="auto"/>
            <w:vAlign w:val="center"/>
            <w:hideMark/>
          </w:tcPr>
          <w:p w14:paraId="1105BFAD"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11</w:t>
            </w:r>
          </w:p>
        </w:tc>
        <w:tc>
          <w:tcPr>
            <w:tcW w:w="2137" w:type="pct"/>
            <w:shd w:val="clear" w:color="auto" w:fill="auto"/>
            <w:vAlign w:val="center"/>
            <w:hideMark/>
          </w:tcPr>
          <w:p w14:paraId="24971C47"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Parner</w:t>
            </w:r>
          </w:p>
        </w:tc>
        <w:tc>
          <w:tcPr>
            <w:tcW w:w="2013" w:type="pct"/>
            <w:shd w:val="clear" w:color="auto" w:fill="auto"/>
            <w:vAlign w:val="bottom"/>
            <w:hideMark/>
          </w:tcPr>
          <w:p w14:paraId="54248DC2"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58</w:t>
            </w:r>
          </w:p>
        </w:tc>
      </w:tr>
      <w:tr w:rsidR="009A5CE9" w:rsidRPr="009A5CE9" w14:paraId="6962BEC8" w14:textId="77777777" w:rsidTr="00A70958">
        <w:trPr>
          <w:trHeight w:val="315"/>
        </w:trPr>
        <w:tc>
          <w:tcPr>
            <w:tcW w:w="850" w:type="pct"/>
            <w:shd w:val="clear" w:color="auto" w:fill="auto"/>
            <w:vAlign w:val="center"/>
            <w:hideMark/>
          </w:tcPr>
          <w:p w14:paraId="736677BD"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12</w:t>
            </w:r>
          </w:p>
        </w:tc>
        <w:tc>
          <w:tcPr>
            <w:tcW w:w="2137" w:type="pct"/>
            <w:shd w:val="clear" w:color="auto" w:fill="auto"/>
            <w:vAlign w:val="center"/>
            <w:hideMark/>
          </w:tcPr>
          <w:p w14:paraId="3D0C9056"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Shrigonda</w:t>
            </w:r>
          </w:p>
        </w:tc>
        <w:tc>
          <w:tcPr>
            <w:tcW w:w="2013" w:type="pct"/>
            <w:shd w:val="clear" w:color="auto" w:fill="auto"/>
            <w:vAlign w:val="bottom"/>
            <w:hideMark/>
          </w:tcPr>
          <w:p w14:paraId="260A04B1"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44</w:t>
            </w:r>
          </w:p>
        </w:tc>
      </w:tr>
      <w:tr w:rsidR="009A5CE9" w:rsidRPr="009A5CE9" w14:paraId="02CE37EE" w14:textId="77777777" w:rsidTr="00A70958">
        <w:trPr>
          <w:trHeight w:val="315"/>
        </w:trPr>
        <w:tc>
          <w:tcPr>
            <w:tcW w:w="850" w:type="pct"/>
            <w:shd w:val="clear" w:color="auto" w:fill="auto"/>
            <w:vAlign w:val="center"/>
            <w:hideMark/>
          </w:tcPr>
          <w:p w14:paraId="0C3DFF9C"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13</w:t>
            </w:r>
          </w:p>
        </w:tc>
        <w:tc>
          <w:tcPr>
            <w:tcW w:w="2137" w:type="pct"/>
            <w:shd w:val="clear" w:color="auto" w:fill="auto"/>
            <w:vAlign w:val="center"/>
            <w:hideMark/>
          </w:tcPr>
          <w:p w14:paraId="4183CE4D"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Karjat</w:t>
            </w:r>
          </w:p>
        </w:tc>
        <w:tc>
          <w:tcPr>
            <w:tcW w:w="2013" w:type="pct"/>
            <w:shd w:val="clear" w:color="auto" w:fill="auto"/>
            <w:vAlign w:val="bottom"/>
            <w:hideMark/>
          </w:tcPr>
          <w:p w14:paraId="788E3683"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25</w:t>
            </w:r>
          </w:p>
        </w:tc>
      </w:tr>
      <w:tr w:rsidR="009A5CE9" w:rsidRPr="009A5CE9" w14:paraId="1F53D363" w14:textId="77777777" w:rsidTr="00A70958">
        <w:trPr>
          <w:trHeight w:val="315"/>
        </w:trPr>
        <w:tc>
          <w:tcPr>
            <w:tcW w:w="850" w:type="pct"/>
            <w:shd w:val="clear" w:color="auto" w:fill="auto"/>
            <w:vAlign w:val="center"/>
            <w:hideMark/>
          </w:tcPr>
          <w:p w14:paraId="3C444E26"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14</w:t>
            </w:r>
          </w:p>
        </w:tc>
        <w:tc>
          <w:tcPr>
            <w:tcW w:w="2137" w:type="pct"/>
            <w:shd w:val="clear" w:color="auto" w:fill="auto"/>
            <w:vAlign w:val="center"/>
            <w:hideMark/>
          </w:tcPr>
          <w:p w14:paraId="2376D37D"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Jamkhed</w:t>
            </w:r>
          </w:p>
        </w:tc>
        <w:tc>
          <w:tcPr>
            <w:tcW w:w="2013" w:type="pct"/>
            <w:shd w:val="clear" w:color="auto" w:fill="auto"/>
            <w:vAlign w:val="bottom"/>
            <w:hideMark/>
          </w:tcPr>
          <w:p w14:paraId="209C1810"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w:t>
            </w:r>
          </w:p>
        </w:tc>
      </w:tr>
      <w:tr w:rsidR="009A5CE9" w:rsidRPr="009A5CE9" w14:paraId="42A8E7CC" w14:textId="77777777" w:rsidTr="00A70958">
        <w:trPr>
          <w:trHeight w:val="315"/>
        </w:trPr>
        <w:tc>
          <w:tcPr>
            <w:tcW w:w="2987" w:type="pct"/>
            <w:gridSpan w:val="2"/>
            <w:shd w:val="clear" w:color="auto" w:fill="auto"/>
            <w:vAlign w:val="bottom"/>
            <w:hideMark/>
          </w:tcPr>
          <w:p w14:paraId="6DE151EE"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Total</w:t>
            </w:r>
          </w:p>
        </w:tc>
        <w:tc>
          <w:tcPr>
            <w:tcW w:w="2013" w:type="pct"/>
            <w:shd w:val="clear" w:color="auto" w:fill="auto"/>
            <w:vAlign w:val="bottom"/>
            <w:hideMark/>
          </w:tcPr>
          <w:p w14:paraId="781116E9"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607</w:t>
            </w:r>
          </w:p>
        </w:tc>
      </w:tr>
      <w:tr w:rsidR="009A5CE9" w:rsidRPr="009A5CE9" w14:paraId="705856E3" w14:textId="77777777" w:rsidTr="006F0C87">
        <w:trPr>
          <w:trHeight w:val="315"/>
        </w:trPr>
        <w:tc>
          <w:tcPr>
            <w:tcW w:w="5000" w:type="pct"/>
            <w:gridSpan w:val="3"/>
            <w:shd w:val="clear" w:color="auto" w:fill="auto"/>
            <w:vAlign w:val="bottom"/>
          </w:tcPr>
          <w:p w14:paraId="64D16063" w14:textId="77777777" w:rsidR="00663B4C" w:rsidRPr="009A5CE9" w:rsidRDefault="00663B4C" w:rsidP="009A5CE9">
            <w:pPr>
              <w:spacing w:after="0" w:line="360" w:lineRule="auto"/>
              <w:jc w:val="both"/>
              <w:rPr>
                <w:rFonts w:ascii="Arial" w:eastAsia="Times New Roman" w:hAnsi="Arial" w:cs="Arial"/>
                <w:sz w:val="20"/>
              </w:rPr>
            </w:pPr>
            <w:r w:rsidRPr="009A5CE9">
              <w:rPr>
                <w:rFonts w:ascii="Arial" w:eastAsia="Times New Roman" w:hAnsi="Arial" w:cs="Arial"/>
                <w:b/>
                <w:bCs/>
                <w:sz w:val="20"/>
              </w:rPr>
              <w:t>Source:</w:t>
            </w:r>
            <w:r w:rsidRPr="009A5CE9">
              <w:rPr>
                <w:rFonts w:ascii="Arial" w:eastAsia="Times New Roman" w:hAnsi="Arial" w:cs="Arial"/>
                <w:sz w:val="20"/>
              </w:rPr>
              <w:t xml:space="preserve"> (1) Socio-Economic Abstract of Ahilyanagar District: Dec-2025,</w:t>
            </w:r>
          </w:p>
          <w:p w14:paraId="4F6BA9A7" w14:textId="77777777" w:rsidR="00663B4C" w:rsidRPr="009A5CE9" w:rsidRDefault="00663B4C" w:rsidP="009A5CE9">
            <w:pPr>
              <w:spacing w:after="0" w:line="360" w:lineRule="auto"/>
              <w:jc w:val="both"/>
              <w:rPr>
                <w:rFonts w:ascii="Arial" w:eastAsia="Times New Roman" w:hAnsi="Arial" w:cs="Arial"/>
                <w:b/>
                <w:bCs/>
                <w:sz w:val="20"/>
              </w:rPr>
            </w:pPr>
            <w:r w:rsidRPr="009A5CE9">
              <w:rPr>
                <w:rFonts w:ascii="Arial" w:eastAsia="Times New Roman" w:hAnsi="Arial" w:cs="Arial"/>
                <w:sz w:val="20"/>
              </w:rPr>
              <w:t>(2) District Health Officer, Zilla Parishad – Health Management Information System (HMIS)</w:t>
            </w:r>
          </w:p>
        </w:tc>
      </w:tr>
    </w:tbl>
    <w:p w14:paraId="0A6DD761" w14:textId="747DC846" w:rsidR="00A70958" w:rsidRPr="009A5CE9" w:rsidRDefault="00FC41D6" w:rsidP="009A5CE9">
      <w:pPr>
        <w:pStyle w:val="NormalWeb"/>
        <w:spacing w:before="0" w:beforeAutospacing="0" w:after="0" w:afterAutospacing="0" w:line="360" w:lineRule="auto"/>
        <w:jc w:val="both"/>
        <w:rPr>
          <w:rFonts w:ascii="Arial" w:hAnsi="Arial" w:cs="Arial"/>
          <w:sz w:val="20"/>
          <w:szCs w:val="20"/>
        </w:rPr>
      </w:pPr>
      <w:r w:rsidRPr="009A5CE9">
        <w:rPr>
          <w:rFonts w:ascii="Arial" w:hAnsi="Arial" w:cs="Arial"/>
          <w:sz w:val="20"/>
          <w:szCs w:val="20"/>
        </w:rPr>
        <w:tab/>
      </w:r>
      <w:r w:rsidR="00A70958" w:rsidRPr="009A5CE9">
        <w:rPr>
          <w:rFonts w:ascii="Arial" w:hAnsi="Arial" w:cs="Arial"/>
          <w:sz w:val="20"/>
          <w:szCs w:val="20"/>
        </w:rPr>
        <w:t xml:space="preserve">The district recorded a total of </w:t>
      </w:r>
      <w:r w:rsidR="00A70958" w:rsidRPr="009A5CE9">
        <w:rPr>
          <w:rStyle w:val="Strong"/>
          <w:rFonts w:ascii="Arial" w:hAnsi="Arial" w:cs="Arial"/>
          <w:b w:val="0"/>
          <w:bCs w:val="0"/>
          <w:sz w:val="20"/>
          <w:szCs w:val="20"/>
        </w:rPr>
        <w:t>607 child deaths (0–5 years)</w:t>
      </w:r>
      <w:r w:rsidR="00A70958" w:rsidRPr="009A5CE9">
        <w:rPr>
          <w:rFonts w:ascii="Arial" w:hAnsi="Arial" w:cs="Arial"/>
          <w:b/>
          <w:bCs/>
          <w:sz w:val="20"/>
          <w:szCs w:val="20"/>
        </w:rPr>
        <w:t>,</w:t>
      </w:r>
      <w:r w:rsidR="00A70958" w:rsidRPr="009A5CE9">
        <w:rPr>
          <w:rFonts w:ascii="Arial" w:hAnsi="Arial" w:cs="Arial"/>
          <w:sz w:val="20"/>
          <w:szCs w:val="20"/>
        </w:rPr>
        <w:t xml:space="preserve"> with significant variation across tahsils. </w:t>
      </w:r>
      <w:r w:rsidR="00A70958" w:rsidRPr="009A5CE9">
        <w:rPr>
          <w:rStyle w:val="Strong"/>
          <w:rFonts w:ascii="Arial" w:hAnsi="Arial" w:cs="Arial"/>
          <w:b w:val="0"/>
          <w:bCs w:val="0"/>
          <w:sz w:val="20"/>
          <w:szCs w:val="20"/>
        </w:rPr>
        <w:t>Sangamner (77 deaths)</w:t>
      </w:r>
      <w:r w:rsidR="00A70958" w:rsidRPr="009A5CE9">
        <w:rPr>
          <w:rFonts w:ascii="Arial" w:hAnsi="Arial" w:cs="Arial"/>
          <w:sz w:val="20"/>
          <w:szCs w:val="20"/>
        </w:rPr>
        <w:t xml:space="preserve"> and </w:t>
      </w:r>
      <w:r w:rsidR="00A70958" w:rsidRPr="009A5CE9">
        <w:rPr>
          <w:rStyle w:val="Strong"/>
          <w:rFonts w:ascii="Arial" w:hAnsi="Arial" w:cs="Arial"/>
          <w:b w:val="0"/>
          <w:bCs w:val="0"/>
          <w:sz w:val="20"/>
          <w:szCs w:val="20"/>
        </w:rPr>
        <w:t>Newasa (64 deaths)</w:t>
      </w:r>
      <w:r w:rsidR="00A70958" w:rsidRPr="009A5CE9">
        <w:rPr>
          <w:rFonts w:ascii="Arial" w:hAnsi="Arial" w:cs="Arial"/>
          <w:sz w:val="20"/>
          <w:szCs w:val="20"/>
        </w:rPr>
        <w:t xml:space="preserve"> report the highest child mortality, indicating potential challenges related to maternal health, neonatal care, nutrition, or healthcare accessibility. </w:t>
      </w:r>
      <w:r w:rsidR="00A70958" w:rsidRPr="009A5CE9">
        <w:rPr>
          <w:rStyle w:val="Strong"/>
          <w:rFonts w:ascii="Arial" w:hAnsi="Arial" w:cs="Arial"/>
          <w:b w:val="0"/>
          <w:bCs w:val="0"/>
          <w:sz w:val="20"/>
          <w:szCs w:val="20"/>
        </w:rPr>
        <w:t>Parner (58 deaths)</w:t>
      </w:r>
      <w:r w:rsidR="00A70958" w:rsidRPr="009A5CE9">
        <w:rPr>
          <w:rFonts w:ascii="Arial" w:hAnsi="Arial" w:cs="Arial"/>
          <w:sz w:val="20"/>
          <w:szCs w:val="20"/>
        </w:rPr>
        <w:t xml:space="preserve"> and </w:t>
      </w:r>
      <w:r w:rsidR="00A70958" w:rsidRPr="009A5CE9">
        <w:rPr>
          <w:rStyle w:val="Strong"/>
          <w:rFonts w:ascii="Arial" w:hAnsi="Arial" w:cs="Arial"/>
          <w:b w:val="0"/>
          <w:bCs w:val="0"/>
          <w:sz w:val="20"/>
          <w:szCs w:val="20"/>
        </w:rPr>
        <w:t>Nagar (55 deaths)</w:t>
      </w:r>
      <w:r w:rsidR="00A70958" w:rsidRPr="009A5CE9">
        <w:rPr>
          <w:rFonts w:ascii="Arial" w:hAnsi="Arial" w:cs="Arial"/>
          <w:sz w:val="20"/>
          <w:szCs w:val="20"/>
        </w:rPr>
        <w:t xml:space="preserve"> also show elevated numbers, suggesting that larger populations and wider rural coverage may contribute to higher risk among young children.</w:t>
      </w:r>
    </w:p>
    <w:p w14:paraId="32EC6BF2" w14:textId="18792243" w:rsidR="00A70958" w:rsidRPr="009A5CE9" w:rsidRDefault="00FC41D6" w:rsidP="009A5CE9">
      <w:pPr>
        <w:pStyle w:val="NormalWeb"/>
        <w:spacing w:before="0" w:beforeAutospacing="0" w:after="0" w:afterAutospacing="0" w:line="360" w:lineRule="auto"/>
        <w:jc w:val="both"/>
        <w:rPr>
          <w:rFonts w:ascii="Arial" w:hAnsi="Arial" w:cs="Arial"/>
          <w:sz w:val="20"/>
          <w:szCs w:val="20"/>
        </w:rPr>
      </w:pPr>
      <w:r w:rsidRPr="009A5CE9">
        <w:rPr>
          <w:rFonts w:ascii="Arial" w:hAnsi="Arial" w:cs="Arial"/>
          <w:sz w:val="20"/>
          <w:szCs w:val="20"/>
        </w:rPr>
        <w:tab/>
      </w:r>
      <w:r w:rsidR="00A70958" w:rsidRPr="009A5CE9">
        <w:rPr>
          <w:rFonts w:ascii="Arial" w:hAnsi="Arial" w:cs="Arial"/>
          <w:sz w:val="20"/>
          <w:szCs w:val="20"/>
        </w:rPr>
        <w:t xml:space="preserve">Moderate levels of child mortality are seen in </w:t>
      </w:r>
      <w:r w:rsidR="00A70958" w:rsidRPr="009A5CE9">
        <w:rPr>
          <w:rStyle w:val="Strong"/>
          <w:rFonts w:ascii="Arial" w:hAnsi="Arial" w:cs="Arial"/>
          <w:b w:val="0"/>
          <w:bCs w:val="0"/>
          <w:sz w:val="20"/>
          <w:szCs w:val="20"/>
        </w:rPr>
        <w:t>Akole (44 deaths)</w:t>
      </w:r>
      <w:r w:rsidR="00A70958" w:rsidRPr="009A5CE9">
        <w:rPr>
          <w:rFonts w:ascii="Arial" w:hAnsi="Arial" w:cs="Arial"/>
          <w:b/>
          <w:bCs/>
          <w:sz w:val="20"/>
          <w:szCs w:val="20"/>
        </w:rPr>
        <w:t xml:space="preserve">, </w:t>
      </w:r>
      <w:r w:rsidR="00A70958" w:rsidRPr="009A5CE9">
        <w:rPr>
          <w:rStyle w:val="Strong"/>
          <w:rFonts w:ascii="Arial" w:hAnsi="Arial" w:cs="Arial"/>
          <w:b w:val="0"/>
          <w:bCs w:val="0"/>
          <w:sz w:val="20"/>
          <w:szCs w:val="20"/>
        </w:rPr>
        <w:t>Shevgaon (44 deaths)</w:t>
      </w:r>
      <w:r w:rsidR="00A70958" w:rsidRPr="009A5CE9">
        <w:rPr>
          <w:rFonts w:ascii="Arial" w:hAnsi="Arial" w:cs="Arial"/>
          <w:b/>
          <w:bCs/>
          <w:sz w:val="20"/>
          <w:szCs w:val="20"/>
        </w:rPr>
        <w:t>,</w:t>
      </w:r>
      <w:r w:rsidR="00A70958" w:rsidRPr="009A5CE9">
        <w:rPr>
          <w:rFonts w:ascii="Arial" w:hAnsi="Arial" w:cs="Arial"/>
          <w:sz w:val="20"/>
          <w:szCs w:val="20"/>
        </w:rPr>
        <w:t xml:space="preserve"> and </w:t>
      </w:r>
      <w:r w:rsidR="00A70958" w:rsidRPr="009A5CE9">
        <w:rPr>
          <w:rStyle w:val="Strong"/>
          <w:rFonts w:ascii="Arial" w:hAnsi="Arial" w:cs="Arial"/>
          <w:b w:val="0"/>
          <w:bCs w:val="0"/>
          <w:sz w:val="20"/>
          <w:szCs w:val="20"/>
        </w:rPr>
        <w:t>Shrigonda (44 deaths)</w:t>
      </w:r>
      <w:r w:rsidR="00A70958" w:rsidRPr="009A5CE9">
        <w:rPr>
          <w:rFonts w:ascii="Arial" w:hAnsi="Arial" w:cs="Arial"/>
          <w:b/>
          <w:bCs/>
          <w:sz w:val="20"/>
          <w:szCs w:val="20"/>
        </w:rPr>
        <w:t>,</w:t>
      </w:r>
      <w:r w:rsidR="00A70958" w:rsidRPr="009A5CE9">
        <w:rPr>
          <w:rFonts w:ascii="Arial" w:hAnsi="Arial" w:cs="Arial"/>
          <w:sz w:val="20"/>
          <w:szCs w:val="20"/>
        </w:rPr>
        <w:t xml:space="preserve"> pointing toward persistent gaps in early childhood health services across multiple regions. Tahsils such as </w:t>
      </w:r>
      <w:r w:rsidR="00A70958" w:rsidRPr="009A5CE9">
        <w:rPr>
          <w:rStyle w:val="Strong"/>
          <w:rFonts w:ascii="Arial" w:hAnsi="Arial" w:cs="Arial"/>
          <w:b w:val="0"/>
          <w:bCs w:val="0"/>
          <w:sz w:val="20"/>
          <w:szCs w:val="20"/>
        </w:rPr>
        <w:t>Kopargaon (37 deaths)</w:t>
      </w:r>
      <w:r w:rsidR="00A70958" w:rsidRPr="009A5CE9">
        <w:rPr>
          <w:rFonts w:ascii="Arial" w:hAnsi="Arial" w:cs="Arial"/>
          <w:b/>
          <w:bCs/>
          <w:sz w:val="20"/>
          <w:szCs w:val="20"/>
        </w:rPr>
        <w:t xml:space="preserve">, </w:t>
      </w:r>
      <w:r w:rsidR="00A70958" w:rsidRPr="009A5CE9">
        <w:rPr>
          <w:rStyle w:val="Strong"/>
          <w:rFonts w:ascii="Arial" w:hAnsi="Arial" w:cs="Arial"/>
          <w:b w:val="0"/>
          <w:bCs w:val="0"/>
          <w:sz w:val="20"/>
          <w:szCs w:val="20"/>
        </w:rPr>
        <w:t>Rahuri (43 deaths)</w:t>
      </w:r>
      <w:r w:rsidR="00A70958" w:rsidRPr="009A5CE9">
        <w:rPr>
          <w:rFonts w:ascii="Arial" w:hAnsi="Arial" w:cs="Arial"/>
          <w:b/>
          <w:bCs/>
          <w:sz w:val="20"/>
          <w:szCs w:val="20"/>
        </w:rPr>
        <w:t xml:space="preserve">, </w:t>
      </w:r>
      <w:r w:rsidR="00A70958" w:rsidRPr="009A5CE9">
        <w:rPr>
          <w:rFonts w:ascii="Arial" w:hAnsi="Arial" w:cs="Arial"/>
          <w:sz w:val="20"/>
          <w:szCs w:val="20"/>
        </w:rPr>
        <w:t xml:space="preserve">and </w:t>
      </w:r>
      <w:r w:rsidR="00A70958" w:rsidRPr="009A5CE9">
        <w:rPr>
          <w:rStyle w:val="Strong"/>
          <w:rFonts w:ascii="Arial" w:hAnsi="Arial" w:cs="Arial"/>
          <w:b w:val="0"/>
          <w:bCs w:val="0"/>
          <w:sz w:val="20"/>
          <w:szCs w:val="20"/>
        </w:rPr>
        <w:t>Rahata (50 deaths)</w:t>
      </w:r>
      <w:r w:rsidR="00A70958" w:rsidRPr="009A5CE9">
        <w:rPr>
          <w:rFonts w:ascii="Arial" w:hAnsi="Arial" w:cs="Arial"/>
          <w:sz w:val="20"/>
          <w:szCs w:val="20"/>
        </w:rPr>
        <w:t xml:space="preserve"> </w:t>
      </w:r>
      <w:r w:rsidR="00A70958" w:rsidRPr="009A5CE9">
        <w:rPr>
          <w:rFonts w:ascii="Arial" w:hAnsi="Arial" w:cs="Arial"/>
          <w:sz w:val="20"/>
          <w:szCs w:val="20"/>
        </w:rPr>
        <w:lastRenderedPageBreak/>
        <w:t>fall within a mid-range but still require focused interventions to reduce preventable causes such as infections, malnutrition, and preterm complications.</w:t>
      </w:r>
    </w:p>
    <w:p w14:paraId="32F5F63C" w14:textId="7A242F7D" w:rsidR="00A70958" w:rsidRPr="009A5CE9" w:rsidRDefault="00FC41D6" w:rsidP="009A5CE9">
      <w:pPr>
        <w:pStyle w:val="NormalWeb"/>
        <w:spacing w:before="0" w:beforeAutospacing="0" w:after="0" w:afterAutospacing="0" w:line="360" w:lineRule="auto"/>
        <w:jc w:val="both"/>
        <w:rPr>
          <w:rFonts w:ascii="Arial" w:hAnsi="Arial" w:cs="Arial"/>
          <w:sz w:val="20"/>
          <w:szCs w:val="20"/>
        </w:rPr>
      </w:pPr>
      <w:r w:rsidRPr="009A5CE9">
        <w:rPr>
          <w:rFonts w:ascii="Arial" w:hAnsi="Arial" w:cs="Arial"/>
          <w:sz w:val="20"/>
          <w:szCs w:val="20"/>
        </w:rPr>
        <w:tab/>
      </w:r>
      <w:r w:rsidR="00A70958" w:rsidRPr="009A5CE9">
        <w:rPr>
          <w:rFonts w:ascii="Arial" w:hAnsi="Arial" w:cs="Arial"/>
          <w:sz w:val="20"/>
          <w:szCs w:val="20"/>
        </w:rPr>
        <w:t xml:space="preserve">Notably, </w:t>
      </w:r>
      <w:r w:rsidR="00A70958" w:rsidRPr="009A5CE9">
        <w:rPr>
          <w:rStyle w:val="Strong"/>
          <w:rFonts w:ascii="Arial" w:hAnsi="Arial" w:cs="Arial"/>
          <w:b w:val="0"/>
          <w:bCs w:val="0"/>
          <w:sz w:val="20"/>
          <w:szCs w:val="20"/>
        </w:rPr>
        <w:t>Jamkhed reports only 5 child deaths</w:t>
      </w:r>
      <w:r w:rsidR="00A70958" w:rsidRPr="009A5CE9">
        <w:rPr>
          <w:rFonts w:ascii="Arial" w:hAnsi="Arial" w:cs="Arial"/>
          <w:b/>
          <w:bCs/>
          <w:sz w:val="20"/>
          <w:szCs w:val="20"/>
        </w:rPr>
        <w:t>,</w:t>
      </w:r>
      <w:r w:rsidR="00A70958" w:rsidRPr="009A5CE9">
        <w:rPr>
          <w:rFonts w:ascii="Arial" w:hAnsi="Arial" w:cs="Arial"/>
          <w:sz w:val="20"/>
          <w:szCs w:val="20"/>
        </w:rPr>
        <w:t xml:space="preserve"> the lowest in the district. This exceptionally low figure may reflect effective maternal and child health practices, smaller population size, targeted community-based programs, or the presence of NGOs and healthcare initiatives like CRHP Jamkhed. However, it may also warrant careful verification to rule out underreporting.</w:t>
      </w:r>
    </w:p>
    <w:p w14:paraId="20F4350A" w14:textId="593ED5BB" w:rsidR="00A70958" w:rsidRPr="009A5CE9" w:rsidRDefault="00FC41D6" w:rsidP="009A5CE9">
      <w:pPr>
        <w:pStyle w:val="NormalWeb"/>
        <w:spacing w:before="0" w:beforeAutospacing="0" w:after="0" w:afterAutospacing="0" w:line="360" w:lineRule="auto"/>
        <w:jc w:val="both"/>
        <w:rPr>
          <w:rFonts w:ascii="Arial" w:hAnsi="Arial" w:cs="Arial"/>
          <w:sz w:val="20"/>
          <w:szCs w:val="20"/>
        </w:rPr>
      </w:pPr>
      <w:r w:rsidRPr="009A5CE9">
        <w:rPr>
          <w:rFonts w:ascii="Arial" w:hAnsi="Arial" w:cs="Arial"/>
          <w:sz w:val="20"/>
          <w:szCs w:val="20"/>
        </w:rPr>
        <w:tab/>
      </w:r>
      <w:r w:rsidR="00A70958" w:rsidRPr="009A5CE9">
        <w:rPr>
          <w:rFonts w:ascii="Arial" w:hAnsi="Arial" w:cs="Arial"/>
          <w:sz w:val="20"/>
          <w:szCs w:val="20"/>
        </w:rPr>
        <w:t>Overall, the spatial pattern of child mortality highlights disparities in early childhood survival across Ahilyanagar district. High-mortality tahsils would benefit from strengthened antenatal and postnatal care, improved neonatal facilities, enhanced nutrition programs, and increased community health outreach. The findings underscore the importance of localized health planning to ensure equitable child health outcomes across all tahsils.</w:t>
      </w:r>
    </w:p>
    <w:p w14:paraId="080A3FE6" w14:textId="77777777" w:rsidR="00663B4C" w:rsidRPr="009A5CE9" w:rsidRDefault="00663B4C" w:rsidP="009A5CE9">
      <w:pPr>
        <w:spacing w:after="0" w:line="360" w:lineRule="auto"/>
        <w:rPr>
          <w:rFonts w:ascii="Arial" w:hAnsi="Arial" w:cs="Arial"/>
          <w:sz w:val="20"/>
        </w:rPr>
      </w:pPr>
    </w:p>
    <w:p w14:paraId="0C4210BB" w14:textId="77777777" w:rsidR="00663B4C" w:rsidRPr="009A5CE9" w:rsidRDefault="00663B4C" w:rsidP="009A5CE9">
      <w:pPr>
        <w:spacing w:after="0" w:line="360" w:lineRule="auto"/>
        <w:jc w:val="center"/>
        <w:rPr>
          <w:rFonts w:ascii="Arial" w:hAnsi="Arial" w:cs="Arial"/>
          <w:b/>
          <w:bCs/>
          <w:sz w:val="20"/>
        </w:rPr>
      </w:pPr>
      <w:r w:rsidRPr="009A5CE9">
        <w:rPr>
          <w:rFonts w:ascii="Arial" w:hAnsi="Arial" w:cs="Arial"/>
          <w:b/>
          <w:bCs/>
          <w:sz w:val="20"/>
        </w:rPr>
        <w:t>Table 4: Tahsil-wise Distribution of Infant Deaths (Age 0–1 Year)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3773"/>
        <w:gridCol w:w="3740"/>
      </w:tblGrid>
      <w:tr w:rsidR="009A5CE9" w:rsidRPr="009A5CE9" w14:paraId="29854484" w14:textId="77777777" w:rsidTr="006F0C87">
        <w:trPr>
          <w:trHeight w:val="458"/>
        </w:trPr>
        <w:tc>
          <w:tcPr>
            <w:tcW w:w="834" w:type="pct"/>
            <w:vMerge w:val="restart"/>
            <w:shd w:val="clear" w:color="auto" w:fill="auto"/>
            <w:vAlign w:val="center"/>
            <w:hideMark/>
          </w:tcPr>
          <w:p w14:paraId="5D8895EC"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Sr. No.</w:t>
            </w:r>
          </w:p>
        </w:tc>
        <w:tc>
          <w:tcPr>
            <w:tcW w:w="2092" w:type="pct"/>
            <w:vMerge w:val="restart"/>
            <w:shd w:val="clear" w:color="auto" w:fill="auto"/>
            <w:vAlign w:val="center"/>
            <w:hideMark/>
          </w:tcPr>
          <w:p w14:paraId="5BEC5D38"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Tahsil</w:t>
            </w:r>
          </w:p>
        </w:tc>
        <w:tc>
          <w:tcPr>
            <w:tcW w:w="2074" w:type="pct"/>
            <w:vMerge w:val="restart"/>
            <w:shd w:val="clear" w:color="auto" w:fill="auto"/>
            <w:vAlign w:val="center"/>
            <w:hideMark/>
          </w:tcPr>
          <w:p w14:paraId="15C1090F"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No. of Infant Deaths (Age 0 to 1 Year)</w:t>
            </w:r>
          </w:p>
        </w:tc>
      </w:tr>
      <w:tr w:rsidR="009A5CE9" w:rsidRPr="009A5CE9" w14:paraId="2547880D" w14:textId="77777777" w:rsidTr="006F0C87">
        <w:trPr>
          <w:trHeight w:val="585"/>
        </w:trPr>
        <w:tc>
          <w:tcPr>
            <w:tcW w:w="834" w:type="pct"/>
            <w:vMerge/>
            <w:vAlign w:val="center"/>
            <w:hideMark/>
          </w:tcPr>
          <w:p w14:paraId="78A23B0A" w14:textId="77777777" w:rsidR="00663B4C" w:rsidRPr="009A5CE9" w:rsidRDefault="00663B4C" w:rsidP="009A5CE9">
            <w:pPr>
              <w:spacing w:after="0" w:line="360" w:lineRule="auto"/>
              <w:rPr>
                <w:rFonts w:ascii="Arial" w:eastAsia="Times New Roman" w:hAnsi="Arial" w:cs="Arial"/>
                <w:b/>
                <w:bCs/>
                <w:sz w:val="20"/>
              </w:rPr>
            </w:pPr>
          </w:p>
        </w:tc>
        <w:tc>
          <w:tcPr>
            <w:tcW w:w="2092" w:type="pct"/>
            <w:vMerge/>
            <w:vAlign w:val="center"/>
            <w:hideMark/>
          </w:tcPr>
          <w:p w14:paraId="02BFEC97" w14:textId="77777777" w:rsidR="00663B4C" w:rsidRPr="009A5CE9" w:rsidRDefault="00663B4C" w:rsidP="009A5CE9">
            <w:pPr>
              <w:spacing w:after="0" w:line="360" w:lineRule="auto"/>
              <w:rPr>
                <w:rFonts w:ascii="Arial" w:eastAsia="Times New Roman" w:hAnsi="Arial" w:cs="Arial"/>
                <w:b/>
                <w:bCs/>
                <w:sz w:val="20"/>
              </w:rPr>
            </w:pPr>
          </w:p>
        </w:tc>
        <w:tc>
          <w:tcPr>
            <w:tcW w:w="2074" w:type="pct"/>
            <w:vMerge/>
            <w:vAlign w:val="center"/>
            <w:hideMark/>
          </w:tcPr>
          <w:p w14:paraId="17E41D5F" w14:textId="77777777" w:rsidR="00663B4C" w:rsidRPr="009A5CE9" w:rsidRDefault="00663B4C" w:rsidP="009A5CE9">
            <w:pPr>
              <w:spacing w:after="0" w:line="360" w:lineRule="auto"/>
              <w:rPr>
                <w:rFonts w:ascii="Arial" w:eastAsia="Times New Roman" w:hAnsi="Arial" w:cs="Arial"/>
                <w:b/>
                <w:bCs/>
                <w:sz w:val="20"/>
              </w:rPr>
            </w:pPr>
          </w:p>
        </w:tc>
      </w:tr>
      <w:tr w:rsidR="009A5CE9" w:rsidRPr="009A5CE9" w14:paraId="504927AA" w14:textId="77777777" w:rsidTr="006F0C87">
        <w:trPr>
          <w:trHeight w:val="315"/>
        </w:trPr>
        <w:tc>
          <w:tcPr>
            <w:tcW w:w="834" w:type="pct"/>
            <w:shd w:val="clear" w:color="auto" w:fill="auto"/>
            <w:vAlign w:val="center"/>
            <w:hideMark/>
          </w:tcPr>
          <w:p w14:paraId="443B3097"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w:t>
            </w:r>
          </w:p>
        </w:tc>
        <w:tc>
          <w:tcPr>
            <w:tcW w:w="2092" w:type="pct"/>
            <w:shd w:val="clear" w:color="auto" w:fill="auto"/>
            <w:vAlign w:val="center"/>
            <w:hideMark/>
          </w:tcPr>
          <w:p w14:paraId="2DC3F0D7"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Akole</w:t>
            </w:r>
          </w:p>
        </w:tc>
        <w:tc>
          <w:tcPr>
            <w:tcW w:w="2074" w:type="pct"/>
            <w:shd w:val="clear" w:color="auto" w:fill="auto"/>
            <w:vAlign w:val="bottom"/>
            <w:hideMark/>
          </w:tcPr>
          <w:p w14:paraId="50FB35BB"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36</w:t>
            </w:r>
          </w:p>
        </w:tc>
      </w:tr>
      <w:tr w:rsidR="009A5CE9" w:rsidRPr="009A5CE9" w14:paraId="05C5204C" w14:textId="77777777" w:rsidTr="006F0C87">
        <w:trPr>
          <w:trHeight w:val="315"/>
        </w:trPr>
        <w:tc>
          <w:tcPr>
            <w:tcW w:w="834" w:type="pct"/>
            <w:shd w:val="clear" w:color="auto" w:fill="auto"/>
            <w:vAlign w:val="center"/>
            <w:hideMark/>
          </w:tcPr>
          <w:p w14:paraId="218391B5"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2</w:t>
            </w:r>
          </w:p>
        </w:tc>
        <w:tc>
          <w:tcPr>
            <w:tcW w:w="2092" w:type="pct"/>
            <w:shd w:val="clear" w:color="auto" w:fill="auto"/>
            <w:vAlign w:val="center"/>
            <w:hideMark/>
          </w:tcPr>
          <w:p w14:paraId="4F798446"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Sangamner</w:t>
            </w:r>
          </w:p>
        </w:tc>
        <w:tc>
          <w:tcPr>
            <w:tcW w:w="2074" w:type="pct"/>
            <w:shd w:val="clear" w:color="auto" w:fill="auto"/>
            <w:vAlign w:val="bottom"/>
            <w:hideMark/>
          </w:tcPr>
          <w:p w14:paraId="03D46220"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63</w:t>
            </w:r>
          </w:p>
        </w:tc>
      </w:tr>
      <w:tr w:rsidR="009A5CE9" w:rsidRPr="009A5CE9" w14:paraId="3FEAE64B" w14:textId="77777777" w:rsidTr="006F0C87">
        <w:trPr>
          <w:trHeight w:val="315"/>
        </w:trPr>
        <w:tc>
          <w:tcPr>
            <w:tcW w:w="834" w:type="pct"/>
            <w:shd w:val="clear" w:color="auto" w:fill="auto"/>
            <w:vAlign w:val="center"/>
            <w:hideMark/>
          </w:tcPr>
          <w:p w14:paraId="7674BFB3"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3</w:t>
            </w:r>
          </w:p>
        </w:tc>
        <w:tc>
          <w:tcPr>
            <w:tcW w:w="2092" w:type="pct"/>
            <w:shd w:val="clear" w:color="auto" w:fill="auto"/>
            <w:vAlign w:val="center"/>
            <w:hideMark/>
          </w:tcPr>
          <w:p w14:paraId="77EB29CA"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Kopargaon</w:t>
            </w:r>
          </w:p>
        </w:tc>
        <w:tc>
          <w:tcPr>
            <w:tcW w:w="2074" w:type="pct"/>
            <w:shd w:val="clear" w:color="auto" w:fill="auto"/>
            <w:vAlign w:val="bottom"/>
            <w:hideMark/>
          </w:tcPr>
          <w:p w14:paraId="13AF1CA7"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32</w:t>
            </w:r>
          </w:p>
        </w:tc>
      </w:tr>
      <w:tr w:rsidR="009A5CE9" w:rsidRPr="009A5CE9" w14:paraId="2E14C4A5" w14:textId="77777777" w:rsidTr="006F0C87">
        <w:trPr>
          <w:trHeight w:val="315"/>
        </w:trPr>
        <w:tc>
          <w:tcPr>
            <w:tcW w:w="834" w:type="pct"/>
            <w:shd w:val="clear" w:color="auto" w:fill="auto"/>
            <w:vAlign w:val="center"/>
            <w:hideMark/>
          </w:tcPr>
          <w:p w14:paraId="3191AADB"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4</w:t>
            </w:r>
          </w:p>
        </w:tc>
        <w:tc>
          <w:tcPr>
            <w:tcW w:w="2092" w:type="pct"/>
            <w:shd w:val="clear" w:color="auto" w:fill="auto"/>
            <w:vAlign w:val="center"/>
            <w:hideMark/>
          </w:tcPr>
          <w:p w14:paraId="3C5464B5"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Rahata</w:t>
            </w:r>
          </w:p>
        </w:tc>
        <w:tc>
          <w:tcPr>
            <w:tcW w:w="2074" w:type="pct"/>
            <w:shd w:val="clear" w:color="auto" w:fill="auto"/>
            <w:vAlign w:val="bottom"/>
            <w:hideMark/>
          </w:tcPr>
          <w:p w14:paraId="0CA842BB"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40</w:t>
            </w:r>
          </w:p>
        </w:tc>
      </w:tr>
      <w:tr w:rsidR="009A5CE9" w:rsidRPr="009A5CE9" w14:paraId="018E652A" w14:textId="77777777" w:rsidTr="006F0C87">
        <w:trPr>
          <w:trHeight w:val="315"/>
        </w:trPr>
        <w:tc>
          <w:tcPr>
            <w:tcW w:w="834" w:type="pct"/>
            <w:shd w:val="clear" w:color="auto" w:fill="auto"/>
            <w:vAlign w:val="center"/>
            <w:hideMark/>
          </w:tcPr>
          <w:p w14:paraId="6DC8B712"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5</w:t>
            </w:r>
          </w:p>
        </w:tc>
        <w:tc>
          <w:tcPr>
            <w:tcW w:w="2092" w:type="pct"/>
            <w:shd w:val="clear" w:color="auto" w:fill="auto"/>
            <w:vAlign w:val="center"/>
            <w:hideMark/>
          </w:tcPr>
          <w:p w14:paraId="4824122B"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Shrirampur</w:t>
            </w:r>
          </w:p>
        </w:tc>
        <w:tc>
          <w:tcPr>
            <w:tcW w:w="2074" w:type="pct"/>
            <w:shd w:val="clear" w:color="auto" w:fill="auto"/>
            <w:vAlign w:val="bottom"/>
            <w:hideMark/>
          </w:tcPr>
          <w:p w14:paraId="2AD9D35D"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25</w:t>
            </w:r>
          </w:p>
        </w:tc>
      </w:tr>
      <w:tr w:rsidR="009A5CE9" w:rsidRPr="009A5CE9" w14:paraId="2485B615" w14:textId="77777777" w:rsidTr="006F0C87">
        <w:trPr>
          <w:trHeight w:val="315"/>
        </w:trPr>
        <w:tc>
          <w:tcPr>
            <w:tcW w:w="834" w:type="pct"/>
            <w:shd w:val="clear" w:color="auto" w:fill="auto"/>
            <w:vAlign w:val="center"/>
            <w:hideMark/>
          </w:tcPr>
          <w:p w14:paraId="4ECBAF95"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6</w:t>
            </w:r>
          </w:p>
        </w:tc>
        <w:tc>
          <w:tcPr>
            <w:tcW w:w="2092" w:type="pct"/>
            <w:shd w:val="clear" w:color="auto" w:fill="auto"/>
            <w:vAlign w:val="center"/>
            <w:hideMark/>
          </w:tcPr>
          <w:p w14:paraId="771BD13A"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Newasa</w:t>
            </w:r>
          </w:p>
        </w:tc>
        <w:tc>
          <w:tcPr>
            <w:tcW w:w="2074" w:type="pct"/>
            <w:shd w:val="clear" w:color="auto" w:fill="auto"/>
            <w:vAlign w:val="bottom"/>
            <w:hideMark/>
          </w:tcPr>
          <w:p w14:paraId="01368B2C"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57</w:t>
            </w:r>
          </w:p>
        </w:tc>
      </w:tr>
      <w:tr w:rsidR="009A5CE9" w:rsidRPr="009A5CE9" w14:paraId="74192CD1" w14:textId="77777777" w:rsidTr="006F0C87">
        <w:trPr>
          <w:trHeight w:val="315"/>
        </w:trPr>
        <w:tc>
          <w:tcPr>
            <w:tcW w:w="834" w:type="pct"/>
            <w:shd w:val="clear" w:color="auto" w:fill="auto"/>
            <w:vAlign w:val="center"/>
            <w:hideMark/>
          </w:tcPr>
          <w:p w14:paraId="38A705B8"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7</w:t>
            </w:r>
          </w:p>
        </w:tc>
        <w:tc>
          <w:tcPr>
            <w:tcW w:w="2092" w:type="pct"/>
            <w:shd w:val="clear" w:color="auto" w:fill="auto"/>
            <w:vAlign w:val="center"/>
            <w:hideMark/>
          </w:tcPr>
          <w:p w14:paraId="7A932AC3"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Shevgaon</w:t>
            </w:r>
          </w:p>
        </w:tc>
        <w:tc>
          <w:tcPr>
            <w:tcW w:w="2074" w:type="pct"/>
            <w:shd w:val="clear" w:color="auto" w:fill="auto"/>
            <w:vAlign w:val="bottom"/>
            <w:hideMark/>
          </w:tcPr>
          <w:p w14:paraId="7ADC64EF"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34</w:t>
            </w:r>
          </w:p>
        </w:tc>
      </w:tr>
      <w:tr w:rsidR="009A5CE9" w:rsidRPr="009A5CE9" w14:paraId="760B92E1" w14:textId="77777777" w:rsidTr="006F0C87">
        <w:trPr>
          <w:trHeight w:val="315"/>
        </w:trPr>
        <w:tc>
          <w:tcPr>
            <w:tcW w:w="834" w:type="pct"/>
            <w:shd w:val="clear" w:color="auto" w:fill="auto"/>
            <w:vAlign w:val="center"/>
            <w:hideMark/>
          </w:tcPr>
          <w:p w14:paraId="04D941D8"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8</w:t>
            </w:r>
          </w:p>
        </w:tc>
        <w:tc>
          <w:tcPr>
            <w:tcW w:w="2092" w:type="pct"/>
            <w:shd w:val="clear" w:color="auto" w:fill="auto"/>
            <w:vAlign w:val="center"/>
            <w:hideMark/>
          </w:tcPr>
          <w:p w14:paraId="1DBFAEF2"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Pathardi</w:t>
            </w:r>
          </w:p>
        </w:tc>
        <w:tc>
          <w:tcPr>
            <w:tcW w:w="2074" w:type="pct"/>
            <w:shd w:val="clear" w:color="auto" w:fill="auto"/>
            <w:vAlign w:val="bottom"/>
            <w:hideMark/>
          </w:tcPr>
          <w:p w14:paraId="5DA74B9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25</w:t>
            </w:r>
          </w:p>
        </w:tc>
      </w:tr>
      <w:tr w:rsidR="009A5CE9" w:rsidRPr="009A5CE9" w14:paraId="0D69BDE2" w14:textId="77777777" w:rsidTr="006F0C87">
        <w:trPr>
          <w:trHeight w:val="315"/>
        </w:trPr>
        <w:tc>
          <w:tcPr>
            <w:tcW w:w="834" w:type="pct"/>
            <w:shd w:val="clear" w:color="auto" w:fill="auto"/>
            <w:vAlign w:val="center"/>
            <w:hideMark/>
          </w:tcPr>
          <w:p w14:paraId="350EB654"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9</w:t>
            </w:r>
          </w:p>
        </w:tc>
        <w:tc>
          <w:tcPr>
            <w:tcW w:w="2092" w:type="pct"/>
            <w:shd w:val="clear" w:color="auto" w:fill="auto"/>
            <w:vAlign w:val="center"/>
            <w:hideMark/>
          </w:tcPr>
          <w:p w14:paraId="10758045"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Nagar</w:t>
            </w:r>
          </w:p>
        </w:tc>
        <w:tc>
          <w:tcPr>
            <w:tcW w:w="2074" w:type="pct"/>
            <w:shd w:val="clear" w:color="auto" w:fill="auto"/>
            <w:vAlign w:val="bottom"/>
            <w:hideMark/>
          </w:tcPr>
          <w:p w14:paraId="06C6A30C"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44</w:t>
            </w:r>
          </w:p>
        </w:tc>
      </w:tr>
      <w:tr w:rsidR="009A5CE9" w:rsidRPr="009A5CE9" w14:paraId="6101C23E" w14:textId="77777777" w:rsidTr="006F0C87">
        <w:trPr>
          <w:trHeight w:val="315"/>
        </w:trPr>
        <w:tc>
          <w:tcPr>
            <w:tcW w:w="834" w:type="pct"/>
            <w:shd w:val="clear" w:color="auto" w:fill="auto"/>
            <w:vAlign w:val="center"/>
            <w:hideMark/>
          </w:tcPr>
          <w:p w14:paraId="2CA63542"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10</w:t>
            </w:r>
          </w:p>
        </w:tc>
        <w:tc>
          <w:tcPr>
            <w:tcW w:w="2092" w:type="pct"/>
            <w:shd w:val="clear" w:color="auto" w:fill="auto"/>
            <w:vAlign w:val="center"/>
            <w:hideMark/>
          </w:tcPr>
          <w:p w14:paraId="7F55FA9E"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Rahuri</w:t>
            </w:r>
          </w:p>
        </w:tc>
        <w:tc>
          <w:tcPr>
            <w:tcW w:w="2074" w:type="pct"/>
            <w:shd w:val="clear" w:color="auto" w:fill="auto"/>
            <w:vAlign w:val="bottom"/>
            <w:hideMark/>
          </w:tcPr>
          <w:p w14:paraId="207C70D8"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36</w:t>
            </w:r>
          </w:p>
        </w:tc>
      </w:tr>
      <w:tr w:rsidR="009A5CE9" w:rsidRPr="009A5CE9" w14:paraId="098F60BF" w14:textId="77777777" w:rsidTr="006F0C87">
        <w:trPr>
          <w:trHeight w:val="315"/>
        </w:trPr>
        <w:tc>
          <w:tcPr>
            <w:tcW w:w="834" w:type="pct"/>
            <w:shd w:val="clear" w:color="auto" w:fill="auto"/>
            <w:vAlign w:val="center"/>
            <w:hideMark/>
          </w:tcPr>
          <w:p w14:paraId="1B85B212"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11</w:t>
            </w:r>
          </w:p>
        </w:tc>
        <w:tc>
          <w:tcPr>
            <w:tcW w:w="2092" w:type="pct"/>
            <w:shd w:val="clear" w:color="auto" w:fill="auto"/>
            <w:vAlign w:val="center"/>
            <w:hideMark/>
          </w:tcPr>
          <w:p w14:paraId="730D2571"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Parner</w:t>
            </w:r>
          </w:p>
        </w:tc>
        <w:tc>
          <w:tcPr>
            <w:tcW w:w="2074" w:type="pct"/>
            <w:shd w:val="clear" w:color="auto" w:fill="auto"/>
            <w:vAlign w:val="bottom"/>
            <w:hideMark/>
          </w:tcPr>
          <w:p w14:paraId="5A625623"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56</w:t>
            </w:r>
          </w:p>
        </w:tc>
      </w:tr>
      <w:tr w:rsidR="009A5CE9" w:rsidRPr="009A5CE9" w14:paraId="085F84D1" w14:textId="77777777" w:rsidTr="006F0C87">
        <w:trPr>
          <w:trHeight w:val="315"/>
        </w:trPr>
        <w:tc>
          <w:tcPr>
            <w:tcW w:w="834" w:type="pct"/>
            <w:shd w:val="clear" w:color="auto" w:fill="auto"/>
            <w:vAlign w:val="center"/>
            <w:hideMark/>
          </w:tcPr>
          <w:p w14:paraId="5C7F45AB"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12</w:t>
            </w:r>
          </w:p>
        </w:tc>
        <w:tc>
          <w:tcPr>
            <w:tcW w:w="2092" w:type="pct"/>
            <w:shd w:val="clear" w:color="auto" w:fill="auto"/>
            <w:vAlign w:val="center"/>
            <w:hideMark/>
          </w:tcPr>
          <w:p w14:paraId="19A09980"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Shrigonda</w:t>
            </w:r>
          </w:p>
        </w:tc>
        <w:tc>
          <w:tcPr>
            <w:tcW w:w="2074" w:type="pct"/>
            <w:shd w:val="clear" w:color="auto" w:fill="auto"/>
            <w:vAlign w:val="bottom"/>
            <w:hideMark/>
          </w:tcPr>
          <w:p w14:paraId="412D77F3"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35</w:t>
            </w:r>
          </w:p>
        </w:tc>
      </w:tr>
      <w:tr w:rsidR="009A5CE9" w:rsidRPr="009A5CE9" w14:paraId="1CF0183C" w14:textId="77777777" w:rsidTr="006F0C87">
        <w:trPr>
          <w:trHeight w:val="315"/>
        </w:trPr>
        <w:tc>
          <w:tcPr>
            <w:tcW w:w="834" w:type="pct"/>
            <w:shd w:val="clear" w:color="auto" w:fill="auto"/>
            <w:vAlign w:val="center"/>
            <w:hideMark/>
          </w:tcPr>
          <w:p w14:paraId="5376E9BE"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13</w:t>
            </w:r>
          </w:p>
        </w:tc>
        <w:tc>
          <w:tcPr>
            <w:tcW w:w="2092" w:type="pct"/>
            <w:shd w:val="clear" w:color="auto" w:fill="auto"/>
            <w:vAlign w:val="center"/>
            <w:hideMark/>
          </w:tcPr>
          <w:p w14:paraId="13F1F11F"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Karjat</w:t>
            </w:r>
          </w:p>
        </w:tc>
        <w:tc>
          <w:tcPr>
            <w:tcW w:w="2074" w:type="pct"/>
            <w:shd w:val="clear" w:color="auto" w:fill="auto"/>
            <w:vAlign w:val="bottom"/>
            <w:hideMark/>
          </w:tcPr>
          <w:p w14:paraId="43BBF699"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21</w:t>
            </w:r>
          </w:p>
        </w:tc>
      </w:tr>
      <w:tr w:rsidR="009A5CE9" w:rsidRPr="009A5CE9" w14:paraId="545D3EED" w14:textId="77777777" w:rsidTr="006F0C87">
        <w:trPr>
          <w:trHeight w:val="315"/>
        </w:trPr>
        <w:tc>
          <w:tcPr>
            <w:tcW w:w="834" w:type="pct"/>
            <w:shd w:val="clear" w:color="auto" w:fill="auto"/>
            <w:vAlign w:val="center"/>
            <w:hideMark/>
          </w:tcPr>
          <w:p w14:paraId="41DE88AB" w14:textId="77777777" w:rsidR="00663B4C" w:rsidRPr="009A5CE9" w:rsidRDefault="00663B4C" w:rsidP="009A5CE9">
            <w:pPr>
              <w:spacing w:after="0" w:line="360" w:lineRule="auto"/>
              <w:jc w:val="center"/>
              <w:rPr>
                <w:rFonts w:ascii="Arial" w:eastAsia="Times New Roman" w:hAnsi="Arial" w:cs="Arial"/>
                <w:sz w:val="20"/>
              </w:rPr>
            </w:pPr>
            <w:r w:rsidRPr="009A5CE9">
              <w:rPr>
                <w:rFonts w:ascii="Arial" w:eastAsia="Times New Roman" w:hAnsi="Arial" w:cs="Arial"/>
                <w:sz w:val="20"/>
              </w:rPr>
              <w:t>14</w:t>
            </w:r>
          </w:p>
        </w:tc>
        <w:tc>
          <w:tcPr>
            <w:tcW w:w="2092" w:type="pct"/>
            <w:shd w:val="clear" w:color="auto" w:fill="auto"/>
            <w:vAlign w:val="center"/>
            <w:hideMark/>
          </w:tcPr>
          <w:p w14:paraId="112DDDEB" w14:textId="77777777" w:rsidR="00663B4C" w:rsidRPr="009A5CE9" w:rsidRDefault="00663B4C" w:rsidP="009A5CE9">
            <w:pPr>
              <w:spacing w:after="0" w:line="360" w:lineRule="auto"/>
              <w:rPr>
                <w:rFonts w:ascii="Arial" w:eastAsia="Times New Roman" w:hAnsi="Arial" w:cs="Arial"/>
                <w:sz w:val="20"/>
              </w:rPr>
            </w:pPr>
            <w:r w:rsidRPr="009A5CE9">
              <w:rPr>
                <w:rFonts w:ascii="Arial" w:eastAsia="Times New Roman" w:hAnsi="Arial" w:cs="Arial"/>
                <w:sz w:val="20"/>
              </w:rPr>
              <w:t>Jamkhed</w:t>
            </w:r>
          </w:p>
        </w:tc>
        <w:tc>
          <w:tcPr>
            <w:tcW w:w="2074" w:type="pct"/>
            <w:shd w:val="clear" w:color="auto" w:fill="auto"/>
            <w:vAlign w:val="bottom"/>
            <w:hideMark/>
          </w:tcPr>
          <w:p w14:paraId="27A73306" w14:textId="77777777" w:rsidR="00663B4C" w:rsidRPr="009A5CE9" w:rsidRDefault="00663B4C" w:rsidP="009A5CE9">
            <w:pPr>
              <w:spacing w:after="0" w:line="360" w:lineRule="auto"/>
              <w:jc w:val="right"/>
              <w:rPr>
                <w:rFonts w:ascii="Arial" w:eastAsia="Times New Roman" w:hAnsi="Arial" w:cs="Arial"/>
                <w:sz w:val="20"/>
              </w:rPr>
            </w:pPr>
            <w:r w:rsidRPr="009A5CE9">
              <w:rPr>
                <w:rFonts w:ascii="Arial" w:eastAsia="Times New Roman" w:hAnsi="Arial" w:cs="Arial"/>
                <w:sz w:val="20"/>
              </w:rPr>
              <w:t>4</w:t>
            </w:r>
          </w:p>
        </w:tc>
      </w:tr>
      <w:tr w:rsidR="009A5CE9" w:rsidRPr="009A5CE9" w14:paraId="3C68B0CD" w14:textId="77777777" w:rsidTr="006F0C87">
        <w:trPr>
          <w:trHeight w:val="315"/>
        </w:trPr>
        <w:tc>
          <w:tcPr>
            <w:tcW w:w="2926" w:type="pct"/>
            <w:gridSpan w:val="2"/>
            <w:shd w:val="clear" w:color="auto" w:fill="auto"/>
            <w:vAlign w:val="bottom"/>
            <w:hideMark/>
          </w:tcPr>
          <w:p w14:paraId="1843EA75"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Total</w:t>
            </w:r>
          </w:p>
        </w:tc>
        <w:tc>
          <w:tcPr>
            <w:tcW w:w="2074" w:type="pct"/>
            <w:shd w:val="clear" w:color="auto" w:fill="auto"/>
            <w:vAlign w:val="bottom"/>
            <w:hideMark/>
          </w:tcPr>
          <w:p w14:paraId="0086549D" w14:textId="77777777" w:rsidR="00663B4C" w:rsidRPr="009A5CE9" w:rsidRDefault="00663B4C" w:rsidP="009A5CE9">
            <w:pPr>
              <w:spacing w:after="0" w:line="360" w:lineRule="auto"/>
              <w:jc w:val="center"/>
              <w:rPr>
                <w:rFonts w:ascii="Arial" w:eastAsia="Times New Roman" w:hAnsi="Arial" w:cs="Arial"/>
                <w:b/>
                <w:bCs/>
                <w:sz w:val="20"/>
              </w:rPr>
            </w:pPr>
            <w:r w:rsidRPr="009A5CE9">
              <w:rPr>
                <w:rFonts w:ascii="Arial" w:eastAsia="Times New Roman" w:hAnsi="Arial" w:cs="Arial"/>
                <w:b/>
                <w:bCs/>
                <w:sz w:val="20"/>
              </w:rPr>
              <w:t>508</w:t>
            </w:r>
          </w:p>
        </w:tc>
      </w:tr>
      <w:tr w:rsidR="009A5CE9" w:rsidRPr="009A5CE9" w14:paraId="2932C344" w14:textId="77777777" w:rsidTr="006F0C87">
        <w:trPr>
          <w:trHeight w:val="315"/>
        </w:trPr>
        <w:tc>
          <w:tcPr>
            <w:tcW w:w="5000" w:type="pct"/>
            <w:gridSpan w:val="3"/>
            <w:shd w:val="clear" w:color="auto" w:fill="auto"/>
            <w:vAlign w:val="bottom"/>
          </w:tcPr>
          <w:p w14:paraId="175370EF" w14:textId="77777777" w:rsidR="00663B4C" w:rsidRPr="009A5CE9" w:rsidRDefault="00663B4C" w:rsidP="009A5CE9">
            <w:pPr>
              <w:spacing w:after="0" w:line="360" w:lineRule="auto"/>
              <w:jc w:val="both"/>
              <w:rPr>
                <w:rFonts w:ascii="Arial" w:eastAsia="Times New Roman" w:hAnsi="Arial" w:cs="Arial"/>
                <w:sz w:val="20"/>
              </w:rPr>
            </w:pPr>
            <w:r w:rsidRPr="009A5CE9">
              <w:rPr>
                <w:rFonts w:ascii="Arial" w:eastAsia="Times New Roman" w:hAnsi="Arial" w:cs="Arial"/>
                <w:b/>
                <w:bCs/>
                <w:sz w:val="20"/>
              </w:rPr>
              <w:t>Source:</w:t>
            </w:r>
            <w:r w:rsidRPr="009A5CE9">
              <w:rPr>
                <w:rFonts w:ascii="Arial" w:eastAsia="Times New Roman" w:hAnsi="Arial" w:cs="Arial"/>
                <w:sz w:val="20"/>
              </w:rPr>
              <w:t xml:space="preserve"> (1) Socio-Economic Abstract of Ahilyanagar District: Dec-2025,</w:t>
            </w:r>
          </w:p>
          <w:p w14:paraId="77203233" w14:textId="77777777" w:rsidR="00663B4C" w:rsidRPr="009A5CE9" w:rsidRDefault="00663B4C" w:rsidP="009A5CE9">
            <w:pPr>
              <w:spacing w:after="0" w:line="360" w:lineRule="auto"/>
              <w:jc w:val="both"/>
              <w:rPr>
                <w:rFonts w:ascii="Arial" w:eastAsia="Times New Roman" w:hAnsi="Arial" w:cs="Arial"/>
                <w:b/>
                <w:bCs/>
                <w:sz w:val="20"/>
              </w:rPr>
            </w:pPr>
            <w:r w:rsidRPr="009A5CE9">
              <w:rPr>
                <w:rFonts w:ascii="Arial" w:eastAsia="Times New Roman" w:hAnsi="Arial" w:cs="Arial"/>
                <w:sz w:val="20"/>
              </w:rPr>
              <w:t>(2) District Health Officer, Zilla Parishad – Health Management Information System (HMIS)</w:t>
            </w:r>
          </w:p>
        </w:tc>
      </w:tr>
    </w:tbl>
    <w:p w14:paraId="5D660E8D" w14:textId="2FC4E27D" w:rsidR="000269DA" w:rsidRPr="009A5CE9" w:rsidRDefault="000269DA" w:rsidP="009A5CE9">
      <w:pPr>
        <w:spacing w:after="0" w:line="360" w:lineRule="auto"/>
        <w:jc w:val="both"/>
        <w:rPr>
          <w:rFonts w:ascii="Arial" w:eastAsia="Times New Roman" w:hAnsi="Arial" w:cs="Arial"/>
          <w:sz w:val="20"/>
        </w:rPr>
      </w:pPr>
      <w:r w:rsidRPr="009A5CE9">
        <w:rPr>
          <w:rFonts w:ascii="Arial" w:eastAsia="Times New Roman" w:hAnsi="Arial" w:cs="Arial"/>
          <w:sz w:val="20"/>
        </w:rPr>
        <w:tab/>
        <w:t>The district recorded 508 infant deaths (0–1 year), revealing considerable variation across tahsils. Sangamner (63 deaths) and Newasa (57 deaths) show the highest infant mortality, indicating persistent gaps in neonatal care, institutional deliveries, early diagnosis of complications, and access to emergency services. Parner (56 deaths) also ranks high, suggesting that population size, rural dispersion, and healthcare accessibility may be influencing infant survival in these regions.</w:t>
      </w:r>
    </w:p>
    <w:p w14:paraId="2F491436" w14:textId="2F31B326" w:rsidR="000269DA" w:rsidRPr="009A5CE9" w:rsidRDefault="000269DA" w:rsidP="009A5CE9">
      <w:pPr>
        <w:spacing w:after="0" w:line="360" w:lineRule="auto"/>
        <w:jc w:val="both"/>
        <w:rPr>
          <w:rFonts w:ascii="Arial" w:eastAsia="Times New Roman" w:hAnsi="Arial" w:cs="Arial"/>
          <w:sz w:val="20"/>
        </w:rPr>
      </w:pPr>
      <w:r w:rsidRPr="009A5CE9">
        <w:rPr>
          <w:rFonts w:ascii="Arial" w:eastAsia="Times New Roman" w:hAnsi="Arial" w:cs="Arial"/>
          <w:sz w:val="20"/>
        </w:rPr>
        <w:lastRenderedPageBreak/>
        <w:tab/>
        <w:t>Mid-level mortality is observed in Nagar (44 deaths), Rahata (40 deaths), Rahuri (36 deaths), Shevgaon (34 deaths), and Kopargaon (32 deaths). These numbers highlight continuing challenges such as low birth weight, infections in the neonatal period, and limited follow-up care for high-risk infants.</w:t>
      </w:r>
    </w:p>
    <w:p w14:paraId="21991F0E" w14:textId="20B27533" w:rsidR="000269DA" w:rsidRPr="009A5CE9" w:rsidRDefault="000269DA" w:rsidP="009A5CE9">
      <w:pPr>
        <w:spacing w:after="0" w:line="360" w:lineRule="auto"/>
        <w:jc w:val="both"/>
        <w:rPr>
          <w:rFonts w:ascii="Arial" w:eastAsia="Times New Roman" w:hAnsi="Arial" w:cs="Arial"/>
          <w:sz w:val="20"/>
        </w:rPr>
      </w:pPr>
      <w:r w:rsidRPr="009A5CE9">
        <w:rPr>
          <w:rFonts w:ascii="Arial" w:eastAsia="Times New Roman" w:hAnsi="Arial" w:cs="Arial"/>
          <w:sz w:val="20"/>
        </w:rPr>
        <w:tab/>
        <w:t>Lower infant mortality is recorded in Shrirampur (25 deaths), Pathardi (25 deaths), and Karjat (21 deaths), which may reflect better utilization of maternal and child health services or smaller population coverage. Jamkhed reports just 4 infant deaths, the lowest in the district. This may indicate strong community health initiatives, such as long-standing primary health programs, but it also requires cautious interpretation to rule out possible underreporting.</w:t>
      </w:r>
    </w:p>
    <w:p w14:paraId="0A4921D9" w14:textId="7946E86F" w:rsidR="000269DA" w:rsidRPr="009A5CE9" w:rsidRDefault="000269DA" w:rsidP="009A5CE9">
      <w:pPr>
        <w:spacing w:after="0" w:line="360" w:lineRule="auto"/>
        <w:jc w:val="both"/>
        <w:rPr>
          <w:rFonts w:ascii="Arial" w:eastAsia="Times New Roman" w:hAnsi="Arial" w:cs="Arial"/>
          <w:sz w:val="20"/>
        </w:rPr>
      </w:pPr>
      <w:r w:rsidRPr="009A5CE9">
        <w:rPr>
          <w:rFonts w:ascii="Arial" w:eastAsia="Times New Roman" w:hAnsi="Arial" w:cs="Arial"/>
          <w:sz w:val="20"/>
        </w:rPr>
        <w:tab/>
        <w:t>Overall, the distribution of infant deaths highlights uneven access to quality maternal and newborn care across the district. High-burden tahsils require targeted interventions, including improved antenatal monitoring, strengthened neonatal intensive care, timely referral systems, and early breastfeeding and nutrition support. The findings emphasize the need for localized health planning to reduce preventable infant deaths and ensure equitable child health outcomes.</w:t>
      </w:r>
    </w:p>
    <w:p w14:paraId="584752BB" w14:textId="77777777" w:rsidR="00663B4C" w:rsidRPr="009A5CE9" w:rsidRDefault="00663B4C" w:rsidP="009A5CE9">
      <w:pPr>
        <w:spacing w:after="0" w:line="360" w:lineRule="auto"/>
        <w:jc w:val="both"/>
        <w:rPr>
          <w:rFonts w:ascii="Arial" w:hAnsi="Arial" w:cs="Arial"/>
          <w:b/>
          <w:bCs/>
          <w:sz w:val="20"/>
        </w:rPr>
      </w:pPr>
    </w:p>
    <w:p w14:paraId="1BBAA77E" w14:textId="636E0708"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4</w:t>
      </w:r>
      <w:r w:rsidR="00BB3F57" w:rsidRPr="009A5CE9">
        <w:rPr>
          <w:rFonts w:ascii="Arial" w:hAnsi="Arial" w:cs="Arial"/>
          <w:b/>
          <w:bCs/>
          <w:szCs w:val="22"/>
        </w:rPr>
        <w:t>.1 Spatial Pattern of Live Births</w:t>
      </w:r>
    </w:p>
    <w:p w14:paraId="6BE1DC61" w14:textId="00CFE160" w:rsidR="00A577D4" w:rsidRPr="009A5CE9" w:rsidRDefault="00A577D4" w:rsidP="009A5CE9">
      <w:pPr>
        <w:spacing w:after="0" w:line="360" w:lineRule="auto"/>
        <w:jc w:val="both"/>
        <w:rPr>
          <w:rFonts w:ascii="Arial" w:hAnsi="Arial" w:cs="Arial"/>
          <w:sz w:val="20"/>
        </w:rPr>
      </w:pPr>
      <w:r w:rsidRPr="009A5CE9">
        <w:rPr>
          <w:rFonts w:ascii="Arial" w:hAnsi="Arial" w:cs="Arial"/>
          <w:sz w:val="20"/>
        </w:rPr>
        <w:tab/>
        <w:t>A total of 63,985 live births were recorded, including 33,450 male and 30,535 female births. Male births exceeded female births in all tahsils, reflecting persistent gender imbalance consistent with earlier demographic findings (Bhat &amp; Zavier, 2017).</w:t>
      </w:r>
    </w:p>
    <w:p w14:paraId="52D05EBD" w14:textId="4205BE25" w:rsidR="00A577D4" w:rsidRPr="009A5CE9" w:rsidRDefault="00A577D4" w:rsidP="009A5CE9">
      <w:pPr>
        <w:spacing w:after="0" w:line="360" w:lineRule="auto"/>
        <w:jc w:val="both"/>
        <w:rPr>
          <w:rFonts w:ascii="Arial" w:hAnsi="Arial" w:cs="Arial"/>
          <w:sz w:val="20"/>
        </w:rPr>
      </w:pPr>
      <w:r w:rsidRPr="009A5CE9">
        <w:rPr>
          <w:rFonts w:ascii="Arial" w:hAnsi="Arial" w:cs="Arial"/>
          <w:sz w:val="20"/>
        </w:rPr>
        <w:tab/>
        <w:t>Nagar recorded the highest births (19,408), followed by Sangamner (7,528), Rahata (6,881) and Newasa (6,255). These regions have high population density and strong institutional delivery systems. Karjat (1,144), Jamkhed (1,704) and Shrigonda (1,796) recorded the lowest births, indicating smaller populations or weaker reporting mechanisms.</w:t>
      </w:r>
    </w:p>
    <w:p w14:paraId="3047D6DD" w14:textId="4A73E6F7" w:rsidR="00D51C2C" w:rsidRPr="009A5CE9" w:rsidRDefault="00D51C2C" w:rsidP="009A5CE9">
      <w:pPr>
        <w:spacing w:after="0" w:line="360" w:lineRule="auto"/>
        <w:jc w:val="center"/>
        <w:rPr>
          <w:rFonts w:ascii="Arial" w:hAnsi="Arial" w:cs="Arial"/>
          <w:sz w:val="20"/>
        </w:rPr>
      </w:pPr>
      <w:r w:rsidRPr="009A5CE9">
        <w:rPr>
          <w:rFonts w:ascii="Arial" w:hAnsi="Arial" w:cs="Arial"/>
          <w:noProof/>
          <w:sz w:val="20"/>
        </w:rPr>
        <w:drawing>
          <wp:inline distT="0" distB="0" distL="0" distR="0" wp14:anchorId="7BFEF610" wp14:editId="7DAC472A">
            <wp:extent cx="5182235" cy="27559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2235" cy="2755900"/>
                    </a:xfrm>
                    <a:prstGeom prst="rect">
                      <a:avLst/>
                    </a:prstGeom>
                    <a:noFill/>
                  </pic:spPr>
                </pic:pic>
              </a:graphicData>
            </a:graphic>
          </wp:inline>
        </w:drawing>
      </w:r>
    </w:p>
    <w:p w14:paraId="04256543" w14:textId="6745ECEF" w:rsidR="00A0092B" w:rsidRPr="009A5CE9" w:rsidRDefault="00A0092B" w:rsidP="009A5CE9">
      <w:pPr>
        <w:spacing w:after="0" w:line="360" w:lineRule="auto"/>
        <w:jc w:val="center"/>
        <w:rPr>
          <w:rFonts w:ascii="Arial" w:hAnsi="Arial" w:cs="Arial"/>
          <w:sz w:val="20"/>
        </w:rPr>
      </w:pPr>
      <w:r w:rsidRPr="009A5CE9">
        <w:rPr>
          <w:rFonts w:ascii="Arial" w:hAnsi="Arial" w:cs="Arial"/>
          <w:sz w:val="20"/>
        </w:rPr>
        <w:t xml:space="preserve">Figure 1: </w:t>
      </w:r>
      <w:r w:rsidR="00E71393" w:rsidRPr="009A5CE9">
        <w:rPr>
          <w:rFonts w:ascii="Arial" w:hAnsi="Arial" w:cs="Arial"/>
          <w:sz w:val="20"/>
        </w:rPr>
        <w:t xml:space="preserve">Tahsil-wise Distribution of Male, Female and Total Live Births in Former </w:t>
      </w:r>
      <w:r w:rsidR="004C7491" w:rsidRPr="009A5CE9">
        <w:rPr>
          <w:rFonts w:ascii="Arial" w:hAnsi="Arial" w:cs="Arial"/>
          <w:sz w:val="20"/>
        </w:rPr>
        <w:t>Ahilyanagar</w:t>
      </w:r>
      <w:r w:rsidR="00E71393" w:rsidRPr="009A5CE9">
        <w:rPr>
          <w:rFonts w:ascii="Arial" w:hAnsi="Arial" w:cs="Arial"/>
          <w:sz w:val="20"/>
        </w:rPr>
        <w:t xml:space="preserve"> District (2025)</w:t>
      </w:r>
    </w:p>
    <w:p w14:paraId="2BA963BD" w14:textId="2E69392A" w:rsidR="005A0466" w:rsidRPr="009A5CE9" w:rsidRDefault="005A0466" w:rsidP="009A5CE9">
      <w:pPr>
        <w:spacing w:after="0" w:line="360" w:lineRule="auto"/>
        <w:jc w:val="both"/>
        <w:rPr>
          <w:rFonts w:ascii="Arial" w:hAnsi="Arial" w:cs="Arial"/>
          <w:sz w:val="20"/>
        </w:rPr>
      </w:pPr>
      <w:r w:rsidRPr="009A5CE9">
        <w:rPr>
          <w:rFonts w:ascii="Arial" w:hAnsi="Arial" w:cs="Arial"/>
          <w:sz w:val="20"/>
        </w:rPr>
        <w:tab/>
        <w:t xml:space="preserve">The diagram shows that Nagar tahsil records the highest male and female live births, followed by Sangamner, Rahata, and Newasa, reflecting their large population and urban influence. Karjat, </w:t>
      </w:r>
      <w:r w:rsidRPr="009A5CE9">
        <w:rPr>
          <w:rFonts w:ascii="Arial" w:hAnsi="Arial" w:cs="Arial"/>
          <w:sz w:val="20"/>
        </w:rPr>
        <w:lastRenderedPageBreak/>
        <w:t>Jamkhed, and Shrigonda register the lowest births due to their rural character. In almost all tahsils, male births slightly exceed female births.</w:t>
      </w:r>
    </w:p>
    <w:p w14:paraId="563B3DA6" w14:textId="77777777" w:rsidR="00D51C2C" w:rsidRPr="009A5CE9" w:rsidRDefault="00D51C2C" w:rsidP="009A5CE9">
      <w:pPr>
        <w:spacing w:after="0" w:line="360" w:lineRule="auto"/>
        <w:jc w:val="center"/>
        <w:rPr>
          <w:rFonts w:ascii="Arial" w:hAnsi="Arial" w:cs="Arial"/>
          <w:sz w:val="20"/>
        </w:rPr>
      </w:pPr>
    </w:p>
    <w:p w14:paraId="174DF4B6" w14:textId="0F7F93AD"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4</w:t>
      </w:r>
      <w:r w:rsidR="00BB3F57" w:rsidRPr="009A5CE9">
        <w:rPr>
          <w:rFonts w:ascii="Arial" w:hAnsi="Arial" w:cs="Arial"/>
          <w:b/>
          <w:bCs/>
          <w:szCs w:val="22"/>
        </w:rPr>
        <w:t>.2 Total Deaths</w:t>
      </w:r>
    </w:p>
    <w:p w14:paraId="453159E6" w14:textId="59FA5EBE" w:rsidR="00A577D4" w:rsidRPr="009A5CE9" w:rsidRDefault="00A577D4" w:rsidP="009A5CE9">
      <w:pPr>
        <w:spacing w:after="0" w:line="360" w:lineRule="auto"/>
        <w:jc w:val="both"/>
        <w:rPr>
          <w:rFonts w:ascii="Arial" w:hAnsi="Arial" w:cs="Arial"/>
          <w:sz w:val="20"/>
        </w:rPr>
      </w:pPr>
      <w:r w:rsidRPr="009A5CE9">
        <w:rPr>
          <w:rFonts w:ascii="Arial" w:hAnsi="Arial" w:cs="Arial"/>
          <w:sz w:val="20"/>
        </w:rPr>
        <w:tab/>
        <w:t>The district recorded 13,957 deaths. Sangamner (2,476) and Nagar (2,320) reported the highest mortality, reflecting their large populations and urban-health complexities (Kundu, 2018). Rahuri (1,698) and Pathardi (1,090) also showed elevated mortality.</w:t>
      </w:r>
    </w:p>
    <w:p w14:paraId="1152B070" w14:textId="75118599" w:rsidR="00A577D4" w:rsidRPr="009A5CE9" w:rsidRDefault="00A577D4" w:rsidP="009A5CE9">
      <w:pPr>
        <w:spacing w:after="0" w:line="360" w:lineRule="auto"/>
        <w:jc w:val="both"/>
        <w:rPr>
          <w:rFonts w:ascii="Arial" w:hAnsi="Arial" w:cs="Arial"/>
          <w:sz w:val="20"/>
        </w:rPr>
      </w:pPr>
      <w:r w:rsidRPr="009A5CE9">
        <w:rPr>
          <w:rFonts w:ascii="Arial" w:hAnsi="Arial" w:cs="Arial"/>
          <w:sz w:val="20"/>
        </w:rPr>
        <w:tab/>
        <w:t>The lowest mortality was observed in Rahata (101), Jamkhed (534) and Kopargaon (584). These spatial contrasts highlight uneven health service availability and suggest that rural under-reporting may influence low mortality figures.</w:t>
      </w:r>
    </w:p>
    <w:p w14:paraId="03BFECF3" w14:textId="77777777" w:rsidR="00A577D4" w:rsidRPr="009A5CE9" w:rsidRDefault="00A577D4" w:rsidP="009A5CE9">
      <w:pPr>
        <w:spacing w:after="0" w:line="360" w:lineRule="auto"/>
        <w:jc w:val="both"/>
        <w:rPr>
          <w:rFonts w:ascii="Arial" w:hAnsi="Arial" w:cs="Arial"/>
          <w:sz w:val="20"/>
        </w:rPr>
      </w:pPr>
    </w:p>
    <w:p w14:paraId="0E8B2A38" w14:textId="715C79F7" w:rsidR="0030751F" w:rsidRPr="009A5CE9" w:rsidRDefault="0030751F" w:rsidP="009A5CE9">
      <w:pPr>
        <w:spacing w:after="0" w:line="360" w:lineRule="auto"/>
        <w:jc w:val="center"/>
        <w:rPr>
          <w:rFonts w:ascii="Arial" w:hAnsi="Arial" w:cs="Arial"/>
          <w:sz w:val="20"/>
        </w:rPr>
      </w:pPr>
      <w:r w:rsidRPr="009A5CE9">
        <w:rPr>
          <w:rFonts w:ascii="Arial" w:hAnsi="Arial" w:cs="Arial"/>
          <w:noProof/>
          <w:sz w:val="20"/>
        </w:rPr>
        <w:drawing>
          <wp:inline distT="0" distB="0" distL="0" distR="0" wp14:anchorId="107E34AB" wp14:editId="20596713">
            <wp:extent cx="4584700" cy="275590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9B0BDD2" w14:textId="002F228B" w:rsidR="00A0092B" w:rsidRPr="009A5CE9" w:rsidRDefault="00A0092B" w:rsidP="009A5CE9">
      <w:pPr>
        <w:spacing w:after="0" w:line="360" w:lineRule="auto"/>
        <w:jc w:val="center"/>
        <w:rPr>
          <w:rFonts w:ascii="Arial" w:hAnsi="Arial" w:cs="Arial"/>
          <w:sz w:val="20"/>
        </w:rPr>
      </w:pPr>
      <w:r w:rsidRPr="009A5CE9">
        <w:rPr>
          <w:rFonts w:ascii="Arial" w:hAnsi="Arial" w:cs="Arial"/>
          <w:sz w:val="20"/>
        </w:rPr>
        <w:t xml:space="preserve">Figure 2: </w:t>
      </w:r>
      <w:r w:rsidR="00E71393" w:rsidRPr="009A5CE9">
        <w:rPr>
          <w:rFonts w:ascii="Arial" w:hAnsi="Arial" w:cs="Arial"/>
          <w:sz w:val="20"/>
        </w:rPr>
        <w:t xml:space="preserve">Tahsil-wise Distribution of Total Deaths in Former </w:t>
      </w:r>
      <w:r w:rsidR="004C7491" w:rsidRPr="009A5CE9">
        <w:rPr>
          <w:rFonts w:ascii="Arial" w:hAnsi="Arial" w:cs="Arial"/>
          <w:sz w:val="20"/>
        </w:rPr>
        <w:t>Ahilyanagar</w:t>
      </w:r>
      <w:r w:rsidR="00E71393" w:rsidRPr="009A5CE9">
        <w:rPr>
          <w:rFonts w:ascii="Arial" w:hAnsi="Arial" w:cs="Arial"/>
          <w:sz w:val="20"/>
        </w:rPr>
        <w:t xml:space="preserve"> District (2025)</w:t>
      </w:r>
    </w:p>
    <w:p w14:paraId="50E31264" w14:textId="77777777" w:rsidR="00E71393" w:rsidRPr="009A5CE9" w:rsidRDefault="00E71393" w:rsidP="009A5CE9">
      <w:pPr>
        <w:spacing w:after="0" w:line="360" w:lineRule="auto"/>
        <w:jc w:val="center"/>
        <w:rPr>
          <w:rFonts w:ascii="Arial" w:hAnsi="Arial" w:cs="Arial"/>
          <w:sz w:val="20"/>
        </w:rPr>
      </w:pPr>
    </w:p>
    <w:p w14:paraId="5CA02F73" w14:textId="391AC98B" w:rsidR="0030751F" w:rsidRPr="009A5CE9" w:rsidRDefault="00D97E1A" w:rsidP="009A5CE9">
      <w:pPr>
        <w:spacing w:after="0" w:line="360" w:lineRule="auto"/>
        <w:jc w:val="both"/>
        <w:rPr>
          <w:rFonts w:ascii="Arial" w:hAnsi="Arial" w:cs="Arial"/>
          <w:sz w:val="20"/>
        </w:rPr>
      </w:pPr>
      <w:r w:rsidRPr="009A5CE9">
        <w:rPr>
          <w:rFonts w:ascii="Arial" w:hAnsi="Arial" w:cs="Arial"/>
          <w:sz w:val="20"/>
        </w:rPr>
        <w:tab/>
        <w:t>The bar diagram shows that Sangamner, Nagar, and Rahuri record the highest number of deaths, indicating their large population size and urban–industrial influence. Rahata, Jamkhed, and Kopargaon show the lowest death counts due to their rural nature and low population density. Overall, the pattern reflects a clear urban–rural contrast in mortality levels across the district.</w:t>
      </w:r>
    </w:p>
    <w:p w14:paraId="53B2BD99" w14:textId="77777777" w:rsidR="00D97E1A" w:rsidRPr="009A5CE9" w:rsidRDefault="00D97E1A" w:rsidP="009A5CE9">
      <w:pPr>
        <w:spacing w:after="0" w:line="360" w:lineRule="auto"/>
        <w:jc w:val="both"/>
        <w:rPr>
          <w:rFonts w:ascii="Arial" w:hAnsi="Arial" w:cs="Arial"/>
          <w:sz w:val="20"/>
        </w:rPr>
      </w:pPr>
    </w:p>
    <w:p w14:paraId="3F63C4BF" w14:textId="3C7302BD"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4</w:t>
      </w:r>
      <w:r w:rsidR="00BB3F57" w:rsidRPr="009A5CE9">
        <w:rPr>
          <w:rFonts w:ascii="Arial" w:hAnsi="Arial" w:cs="Arial"/>
          <w:b/>
          <w:bCs/>
          <w:szCs w:val="22"/>
        </w:rPr>
        <w:t>.3 Child Deaths (0–5 Years)</w:t>
      </w:r>
    </w:p>
    <w:p w14:paraId="06C6ED62" w14:textId="11A89832" w:rsidR="00A577D4" w:rsidRPr="009A5CE9" w:rsidRDefault="00A577D4" w:rsidP="009A5CE9">
      <w:pPr>
        <w:spacing w:after="0" w:line="360" w:lineRule="auto"/>
        <w:jc w:val="both"/>
        <w:rPr>
          <w:rFonts w:ascii="Arial" w:hAnsi="Arial" w:cs="Arial"/>
          <w:sz w:val="20"/>
        </w:rPr>
      </w:pPr>
      <w:r w:rsidRPr="009A5CE9">
        <w:rPr>
          <w:rFonts w:ascii="Arial" w:hAnsi="Arial" w:cs="Arial"/>
          <w:sz w:val="20"/>
        </w:rPr>
        <w:tab/>
        <w:t>A total of 607 child deaths were recorded. Sangamner (77), Newasa (64), Parner (58), and Nagar (55) reported the highest numbers. These regions require further strengthening of neonatal care, nutrition programmes and sanitation (Ghosh, 2016; NFHS-5, 2021).</w:t>
      </w:r>
    </w:p>
    <w:p w14:paraId="188D7C28" w14:textId="1A373C8F" w:rsidR="00A577D4" w:rsidRPr="009A5CE9" w:rsidRDefault="00A577D4" w:rsidP="009A5CE9">
      <w:pPr>
        <w:spacing w:after="0" w:line="360" w:lineRule="auto"/>
        <w:jc w:val="both"/>
        <w:rPr>
          <w:rFonts w:ascii="Arial" w:hAnsi="Arial" w:cs="Arial"/>
          <w:sz w:val="20"/>
        </w:rPr>
      </w:pPr>
      <w:r w:rsidRPr="009A5CE9">
        <w:rPr>
          <w:rFonts w:ascii="Arial" w:hAnsi="Arial" w:cs="Arial"/>
          <w:sz w:val="20"/>
        </w:rPr>
        <w:tab/>
        <w:t>Jamkhed (5) recorded the lowest child deaths, likely due to smaller population size and strong community-based health interventions.</w:t>
      </w:r>
    </w:p>
    <w:p w14:paraId="3D8EAFFA" w14:textId="3C3F31F9" w:rsidR="00D97E1A" w:rsidRPr="009A5CE9" w:rsidRDefault="00D97E1A" w:rsidP="009A5CE9">
      <w:pPr>
        <w:spacing w:after="0" w:line="360" w:lineRule="auto"/>
        <w:jc w:val="both"/>
        <w:rPr>
          <w:rFonts w:ascii="Arial" w:hAnsi="Arial" w:cs="Arial"/>
          <w:sz w:val="20"/>
        </w:rPr>
      </w:pPr>
    </w:p>
    <w:p w14:paraId="5F6CECCE" w14:textId="77777777" w:rsidR="00A577D4" w:rsidRPr="009A5CE9" w:rsidRDefault="00A577D4" w:rsidP="009A5CE9">
      <w:pPr>
        <w:spacing w:after="0" w:line="360" w:lineRule="auto"/>
        <w:jc w:val="both"/>
        <w:rPr>
          <w:rFonts w:ascii="Arial" w:hAnsi="Arial" w:cs="Arial"/>
          <w:sz w:val="20"/>
        </w:rPr>
      </w:pPr>
    </w:p>
    <w:p w14:paraId="764E89DA" w14:textId="7024A809"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4</w:t>
      </w:r>
      <w:r w:rsidR="00BB3F57" w:rsidRPr="009A5CE9">
        <w:rPr>
          <w:rFonts w:ascii="Arial" w:hAnsi="Arial" w:cs="Arial"/>
          <w:b/>
          <w:bCs/>
          <w:szCs w:val="22"/>
        </w:rPr>
        <w:t>.4 Infant Deaths (0–1 Year)</w:t>
      </w:r>
    </w:p>
    <w:p w14:paraId="3D86974D" w14:textId="0910BBD2" w:rsidR="00A577D4" w:rsidRPr="009A5CE9" w:rsidRDefault="00A577D4" w:rsidP="009A5CE9">
      <w:pPr>
        <w:spacing w:after="0" w:line="360" w:lineRule="auto"/>
        <w:jc w:val="both"/>
        <w:rPr>
          <w:rFonts w:ascii="Arial" w:hAnsi="Arial" w:cs="Arial"/>
          <w:sz w:val="20"/>
        </w:rPr>
      </w:pPr>
      <w:r w:rsidRPr="009A5CE9">
        <w:rPr>
          <w:rFonts w:ascii="Arial" w:hAnsi="Arial" w:cs="Arial"/>
          <w:sz w:val="20"/>
        </w:rPr>
        <w:lastRenderedPageBreak/>
        <w:tab/>
        <w:t>The district recorded 508 infant deaths. Sangamner (63), Newasa (57) and Parner (56) reported the highest infant mortality. These patterns indicate gaps in maternal health, neonatal care and emergency services (Park, 2021; Mohanty &amp; Ram, 2020).</w:t>
      </w:r>
    </w:p>
    <w:p w14:paraId="6F672988" w14:textId="62022D7F" w:rsidR="00A577D4" w:rsidRPr="009A5CE9" w:rsidRDefault="00A577D4" w:rsidP="009A5CE9">
      <w:pPr>
        <w:spacing w:after="0" w:line="360" w:lineRule="auto"/>
        <w:jc w:val="both"/>
        <w:rPr>
          <w:rFonts w:ascii="Arial" w:hAnsi="Arial" w:cs="Arial"/>
          <w:sz w:val="20"/>
        </w:rPr>
      </w:pPr>
      <w:r w:rsidRPr="009A5CE9">
        <w:rPr>
          <w:rFonts w:ascii="Arial" w:hAnsi="Arial" w:cs="Arial"/>
          <w:sz w:val="20"/>
        </w:rPr>
        <w:tab/>
        <w:t>The lowest infant deaths were recorded in Jamkhed (4) and Karjat (21). These disparities show the urgent need for targeted policy interventions.</w:t>
      </w:r>
    </w:p>
    <w:p w14:paraId="20693134" w14:textId="297D8D56" w:rsidR="00D97E1A" w:rsidRPr="009A5CE9" w:rsidRDefault="00D97E1A" w:rsidP="009A5CE9">
      <w:pPr>
        <w:spacing w:after="0" w:line="360" w:lineRule="auto"/>
        <w:jc w:val="center"/>
        <w:rPr>
          <w:rFonts w:ascii="Arial" w:hAnsi="Arial" w:cs="Arial"/>
          <w:sz w:val="20"/>
        </w:rPr>
      </w:pPr>
      <w:r w:rsidRPr="009A5CE9">
        <w:rPr>
          <w:rFonts w:ascii="Arial" w:hAnsi="Arial" w:cs="Arial"/>
          <w:noProof/>
          <w:sz w:val="20"/>
        </w:rPr>
        <w:drawing>
          <wp:inline distT="0" distB="0" distL="0" distR="0" wp14:anchorId="11DA4664" wp14:editId="1EB65967">
            <wp:extent cx="5925820" cy="3816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5820" cy="3816350"/>
                    </a:xfrm>
                    <a:prstGeom prst="rect">
                      <a:avLst/>
                    </a:prstGeom>
                    <a:noFill/>
                  </pic:spPr>
                </pic:pic>
              </a:graphicData>
            </a:graphic>
          </wp:inline>
        </w:drawing>
      </w:r>
    </w:p>
    <w:p w14:paraId="38B20884" w14:textId="3F608C4F" w:rsidR="00A0092B" w:rsidRPr="009A5CE9" w:rsidRDefault="00A0092B" w:rsidP="009A5CE9">
      <w:pPr>
        <w:spacing w:after="0" w:line="360" w:lineRule="auto"/>
        <w:jc w:val="center"/>
        <w:rPr>
          <w:rFonts w:ascii="Arial" w:hAnsi="Arial" w:cs="Arial"/>
          <w:sz w:val="20"/>
        </w:rPr>
      </w:pPr>
      <w:r w:rsidRPr="009A5CE9">
        <w:rPr>
          <w:rFonts w:ascii="Arial" w:hAnsi="Arial" w:cs="Arial"/>
          <w:sz w:val="20"/>
        </w:rPr>
        <w:t xml:space="preserve">Figure 3: Tahsil-wise Distribution of Child Deaths (0–5 Years and O-1 Years) in Former </w:t>
      </w:r>
      <w:r w:rsidR="004C7491" w:rsidRPr="009A5CE9">
        <w:rPr>
          <w:rFonts w:ascii="Arial" w:hAnsi="Arial" w:cs="Arial"/>
          <w:sz w:val="20"/>
        </w:rPr>
        <w:t>Ahilyanagar</w:t>
      </w:r>
      <w:r w:rsidRPr="009A5CE9">
        <w:rPr>
          <w:rFonts w:ascii="Arial" w:hAnsi="Arial" w:cs="Arial"/>
          <w:sz w:val="20"/>
        </w:rPr>
        <w:t xml:space="preserve"> District (2025)</w:t>
      </w:r>
    </w:p>
    <w:p w14:paraId="50A3D869" w14:textId="77777777" w:rsidR="00A0092B" w:rsidRPr="009A5CE9" w:rsidRDefault="00A0092B" w:rsidP="009A5CE9">
      <w:pPr>
        <w:spacing w:after="0" w:line="360" w:lineRule="auto"/>
        <w:jc w:val="center"/>
        <w:rPr>
          <w:rFonts w:ascii="Arial" w:hAnsi="Arial" w:cs="Arial"/>
          <w:sz w:val="20"/>
        </w:rPr>
      </w:pPr>
    </w:p>
    <w:p w14:paraId="449294DC" w14:textId="1CC7CBC5" w:rsidR="00D97E1A" w:rsidRPr="009A5CE9" w:rsidRDefault="00D97E1A" w:rsidP="009A5CE9">
      <w:pPr>
        <w:spacing w:after="0" w:line="360" w:lineRule="auto"/>
        <w:jc w:val="both"/>
        <w:rPr>
          <w:rFonts w:ascii="Arial" w:hAnsi="Arial" w:cs="Arial"/>
          <w:sz w:val="20"/>
        </w:rPr>
      </w:pPr>
      <w:r w:rsidRPr="009A5CE9">
        <w:rPr>
          <w:rFonts w:ascii="Arial" w:hAnsi="Arial" w:cs="Arial"/>
          <w:sz w:val="20"/>
        </w:rPr>
        <w:tab/>
        <w:t xml:space="preserve">The diagram clearly depicts pronounced tahsil-wise variation in child (0–5 years) and infant (0–1 year) mortality in the former </w:t>
      </w:r>
      <w:r w:rsidR="004C7491" w:rsidRPr="009A5CE9">
        <w:rPr>
          <w:rFonts w:ascii="Arial" w:hAnsi="Arial" w:cs="Arial"/>
          <w:sz w:val="20"/>
        </w:rPr>
        <w:t>Ahilyanagar</w:t>
      </w:r>
      <w:r w:rsidRPr="009A5CE9">
        <w:rPr>
          <w:rFonts w:ascii="Arial" w:hAnsi="Arial" w:cs="Arial"/>
          <w:sz w:val="20"/>
        </w:rPr>
        <w:t xml:space="preserve"> District. Sangamner records the highest child (77) and infant (63) deaths, followed by Newasa (64 child and 57 infant deaths) and Parner (58 child and 56 infant deaths), indicating persistent challenges in maternal and child healthcare in these tahsils. Nagar and Rahata also show relatively high mortality, reflecting their large population base. In contrast, Jamkhed and Karjat register the lowest child and infant deaths, due to their smaller population size and rural character. The overall pattern highlights significant spatial inequality in child and infant survival, closely linked with differences in nutrition, healthcare accessibility, sanitation, and socio-economic conditions across the district.</w:t>
      </w:r>
    </w:p>
    <w:p w14:paraId="61E3E05C" w14:textId="77777777" w:rsidR="00D97E1A" w:rsidRPr="009A5CE9" w:rsidRDefault="00D97E1A" w:rsidP="009A5CE9">
      <w:pPr>
        <w:spacing w:after="0" w:line="360" w:lineRule="auto"/>
        <w:jc w:val="both"/>
        <w:rPr>
          <w:rFonts w:ascii="Arial" w:hAnsi="Arial" w:cs="Arial"/>
          <w:sz w:val="20"/>
        </w:rPr>
      </w:pPr>
    </w:p>
    <w:p w14:paraId="1ABB0C86" w14:textId="33A3D310"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4.5</w:t>
      </w:r>
      <w:r w:rsidR="00BB3F57" w:rsidRPr="009A5CE9">
        <w:rPr>
          <w:rFonts w:ascii="Arial" w:hAnsi="Arial" w:cs="Arial"/>
          <w:b/>
          <w:bCs/>
          <w:szCs w:val="22"/>
        </w:rPr>
        <w:t xml:space="preserve"> Spatial Health Regions</w:t>
      </w:r>
    </w:p>
    <w:p w14:paraId="725022BC" w14:textId="4E356AE9" w:rsidR="00D97E1A" w:rsidRPr="009A5CE9" w:rsidRDefault="00D97E1A" w:rsidP="009A5CE9">
      <w:pPr>
        <w:spacing w:after="0" w:line="360" w:lineRule="auto"/>
        <w:jc w:val="both"/>
        <w:rPr>
          <w:rFonts w:ascii="Arial" w:hAnsi="Arial" w:cs="Arial"/>
          <w:sz w:val="20"/>
        </w:rPr>
      </w:pPr>
      <w:r w:rsidRPr="009A5CE9">
        <w:rPr>
          <w:rFonts w:ascii="Arial" w:hAnsi="Arial" w:cs="Arial"/>
          <w:sz w:val="20"/>
        </w:rPr>
        <w:tab/>
        <w:t xml:space="preserve">On the basis of intensity of births, deaths, child mortality and infant mortality, the district can be divided into distinct spatial health regions. Nagar, Sangamner, Newasa, and Parner form the high mortality zone, characterized by high population concentration, urban influence, and greater exposure </w:t>
      </w:r>
      <w:r w:rsidRPr="009A5CE9">
        <w:rPr>
          <w:rFonts w:ascii="Arial" w:hAnsi="Arial" w:cs="Arial"/>
          <w:sz w:val="20"/>
        </w:rPr>
        <w:lastRenderedPageBreak/>
        <w:t>to health risks. Rahata, Rahuri, Shrigonda, and Shevgaon constitute the moderate mortality zone, showing intermediate levels of health stress and relatively better living conditions. In contrast, Karjat, Jamkhed, and Pathardi fall under the low mortality zone, reflecting low population density and rural settlement patterns. This regionalization highlights the uneven spatial distribution of health conditions within the district.</w:t>
      </w:r>
      <w:r w:rsidR="00A577D4" w:rsidRPr="009A5CE9">
        <w:rPr>
          <w:rFonts w:ascii="Arial" w:hAnsi="Arial" w:cs="Arial"/>
          <w:sz w:val="20"/>
        </w:rPr>
        <w:t xml:space="preserve"> These patterns reflect varying population densities, healthcare accessibility and socio-economic conditions.</w:t>
      </w:r>
    </w:p>
    <w:p w14:paraId="5C1ABFD5" w14:textId="77777777" w:rsidR="00D97E1A" w:rsidRPr="009A5CE9" w:rsidRDefault="00D97E1A" w:rsidP="009A5CE9">
      <w:pPr>
        <w:spacing w:after="0" w:line="360" w:lineRule="auto"/>
        <w:jc w:val="both"/>
        <w:rPr>
          <w:rFonts w:ascii="Arial" w:hAnsi="Arial" w:cs="Arial"/>
          <w:sz w:val="20"/>
        </w:rPr>
      </w:pPr>
    </w:p>
    <w:p w14:paraId="75D81CB3" w14:textId="1BCD3884"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4.6</w:t>
      </w:r>
      <w:r w:rsidR="00BB3F57" w:rsidRPr="009A5CE9">
        <w:rPr>
          <w:rFonts w:ascii="Arial" w:hAnsi="Arial" w:cs="Arial"/>
          <w:b/>
          <w:bCs/>
          <w:szCs w:val="22"/>
        </w:rPr>
        <w:t xml:space="preserve"> Health Geography Interpretation</w:t>
      </w:r>
    </w:p>
    <w:p w14:paraId="1EAE84EB" w14:textId="3AC500E2" w:rsidR="00D97E1A" w:rsidRPr="009A5CE9" w:rsidRDefault="00A577D4" w:rsidP="009A5CE9">
      <w:pPr>
        <w:spacing w:after="0" w:line="360" w:lineRule="auto"/>
        <w:jc w:val="both"/>
        <w:rPr>
          <w:rFonts w:ascii="Arial" w:hAnsi="Arial" w:cs="Arial"/>
          <w:sz w:val="20"/>
        </w:rPr>
      </w:pPr>
      <w:r w:rsidRPr="009A5CE9">
        <w:rPr>
          <w:rFonts w:ascii="Arial" w:hAnsi="Arial" w:cs="Arial"/>
          <w:sz w:val="20"/>
        </w:rPr>
        <w:tab/>
        <w:t>Urban tahsils report higher births and deaths due to stronger institutional reporting, larger populations and greater health service utilization. Rural tahsils show lower recorded deaths but higher infant risk. The findings are consistent with national demographic patterns where disparities in healthcare infrastructure lead to uneven health outcomes (NITI Aayog, 2022; Registrar General of India, 2023).</w:t>
      </w:r>
    </w:p>
    <w:p w14:paraId="30E2338C" w14:textId="77777777" w:rsidR="00A577D4" w:rsidRPr="009A5CE9" w:rsidRDefault="00A577D4" w:rsidP="009A5CE9">
      <w:pPr>
        <w:spacing w:after="0" w:line="360" w:lineRule="auto"/>
        <w:jc w:val="both"/>
        <w:rPr>
          <w:rFonts w:ascii="Arial" w:hAnsi="Arial" w:cs="Arial"/>
          <w:sz w:val="20"/>
        </w:rPr>
      </w:pPr>
    </w:p>
    <w:p w14:paraId="6C684E2E" w14:textId="59166DBF"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5. CONCLUSION</w:t>
      </w:r>
    </w:p>
    <w:p w14:paraId="5985BCD0" w14:textId="68854A05" w:rsidR="0080753A" w:rsidRPr="009A5CE9" w:rsidRDefault="0080753A" w:rsidP="009A5CE9">
      <w:pPr>
        <w:spacing w:after="0" w:line="360" w:lineRule="auto"/>
        <w:jc w:val="both"/>
        <w:rPr>
          <w:rFonts w:ascii="Arial" w:hAnsi="Arial" w:cs="Arial"/>
          <w:sz w:val="20"/>
        </w:rPr>
      </w:pPr>
      <w:r w:rsidRPr="009A5CE9">
        <w:rPr>
          <w:rFonts w:ascii="Arial" w:hAnsi="Arial" w:cs="Arial"/>
          <w:sz w:val="20"/>
        </w:rPr>
        <w:t>The present tahsil-wise geographical analysis of births and deaths under the Health Management Information System (HMIS) reveals pronounced spatial disparities in demographic and health outcomes across the former Ahilyanagar District. By examining live births, total deaths, child mortality (0–5 years), and infant mortality (0–1 year), the study provides a micro-level understanding of population dynamics and health inequalities within the district.</w:t>
      </w:r>
    </w:p>
    <w:p w14:paraId="7889A633" w14:textId="61AC0FA0" w:rsidR="0080753A" w:rsidRPr="009A5CE9" w:rsidRDefault="0080753A" w:rsidP="009A5CE9">
      <w:pPr>
        <w:spacing w:after="0" w:line="360" w:lineRule="auto"/>
        <w:jc w:val="both"/>
        <w:rPr>
          <w:rFonts w:ascii="Arial" w:hAnsi="Arial" w:cs="Arial"/>
          <w:sz w:val="20"/>
        </w:rPr>
      </w:pPr>
      <w:r w:rsidRPr="009A5CE9">
        <w:rPr>
          <w:rFonts w:ascii="Arial" w:hAnsi="Arial" w:cs="Arial"/>
          <w:sz w:val="20"/>
        </w:rPr>
        <w:t xml:space="preserve">The findings clearly demonstrate that population size, degree of </w:t>
      </w:r>
      <w:r w:rsidR="00FD0642" w:rsidRPr="009A5CE9">
        <w:rPr>
          <w:rFonts w:ascii="Arial" w:hAnsi="Arial" w:cs="Arial"/>
          <w:sz w:val="20"/>
        </w:rPr>
        <w:t>urbanization</w:t>
      </w:r>
      <w:r w:rsidRPr="009A5CE9">
        <w:rPr>
          <w:rFonts w:ascii="Arial" w:hAnsi="Arial" w:cs="Arial"/>
          <w:sz w:val="20"/>
        </w:rPr>
        <w:t xml:space="preserve">, healthcare accessibility, and socio-economic conditions play a decisive role in shaping birth and mortality patterns. Tahsils such as Nagar, Sangamner, Newasa, and Parner emerge as high-birth and high-mortality regions. These tahsils are </w:t>
      </w:r>
      <w:r w:rsidR="00FD0642" w:rsidRPr="009A5CE9">
        <w:rPr>
          <w:rFonts w:ascii="Arial" w:hAnsi="Arial" w:cs="Arial"/>
          <w:sz w:val="20"/>
        </w:rPr>
        <w:t>characterized</w:t>
      </w:r>
      <w:r w:rsidRPr="009A5CE9">
        <w:rPr>
          <w:rFonts w:ascii="Arial" w:hAnsi="Arial" w:cs="Arial"/>
          <w:sz w:val="20"/>
        </w:rPr>
        <w:t xml:space="preserve"> by large population concentrations, semi-urban or urban influence, and high </w:t>
      </w:r>
      <w:r w:rsidR="00FD0642" w:rsidRPr="009A5CE9">
        <w:rPr>
          <w:rFonts w:ascii="Arial" w:hAnsi="Arial" w:cs="Arial"/>
          <w:sz w:val="20"/>
        </w:rPr>
        <w:t>utilization</w:t>
      </w:r>
      <w:r w:rsidRPr="009A5CE9">
        <w:rPr>
          <w:rFonts w:ascii="Arial" w:hAnsi="Arial" w:cs="Arial"/>
          <w:sz w:val="20"/>
        </w:rPr>
        <w:t xml:space="preserve"> of institutional health services. However, the persistence of elevated child and infant mortality in these areas indicates that availability of healthcare facilities alone does not ensure improved health outcomes, pointing to gaps in quality of maternal and neonatal care, timely referral mechanisms, and postnatal follow-up.</w:t>
      </w:r>
    </w:p>
    <w:p w14:paraId="7FEC4B20" w14:textId="77777777" w:rsidR="00A577D4" w:rsidRPr="009A5CE9" w:rsidRDefault="00A577D4" w:rsidP="009A5CE9">
      <w:pPr>
        <w:spacing w:after="0" w:line="360" w:lineRule="auto"/>
        <w:jc w:val="both"/>
        <w:rPr>
          <w:rFonts w:ascii="Arial" w:hAnsi="Arial" w:cs="Arial"/>
          <w:sz w:val="20"/>
        </w:rPr>
      </w:pPr>
    </w:p>
    <w:p w14:paraId="0180D01B" w14:textId="77777777" w:rsidR="009A5CE9" w:rsidRPr="009A5CE9" w:rsidRDefault="009A5CE9" w:rsidP="009A5CE9">
      <w:pPr>
        <w:spacing w:after="0" w:line="360" w:lineRule="auto"/>
        <w:jc w:val="both"/>
        <w:rPr>
          <w:rFonts w:ascii="Arial" w:hAnsi="Arial" w:cs="Arial"/>
          <w:sz w:val="20"/>
        </w:rPr>
      </w:pPr>
      <w:bookmarkStart w:id="0" w:name="_GoBack"/>
      <w:bookmarkEnd w:id="0"/>
    </w:p>
    <w:p w14:paraId="747C4E08" w14:textId="7C57C647" w:rsidR="00BB3F57" w:rsidRPr="009A5CE9" w:rsidRDefault="0080753A" w:rsidP="009A5CE9">
      <w:pPr>
        <w:spacing w:after="0" w:line="360" w:lineRule="auto"/>
        <w:jc w:val="both"/>
        <w:rPr>
          <w:rFonts w:ascii="Arial" w:hAnsi="Arial" w:cs="Arial"/>
          <w:b/>
          <w:bCs/>
          <w:szCs w:val="22"/>
        </w:rPr>
      </w:pPr>
      <w:r w:rsidRPr="009A5CE9">
        <w:rPr>
          <w:rFonts w:ascii="Arial" w:hAnsi="Arial" w:cs="Arial"/>
          <w:b/>
          <w:bCs/>
          <w:szCs w:val="22"/>
        </w:rPr>
        <w:t xml:space="preserve">REFERENCES  </w:t>
      </w:r>
    </w:p>
    <w:p w14:paraId="6560D7E1" w14:textId="31368700" w:rsidR="009A5CE9" w:rsidRDefault="007A364A" w:rsidP="00291D67">
      <w:pPr>
        <w:pStyle w:val="ListParagraph"/>
        <w:numPr>
          <w:ilvl w:val="0"/>
          <w:numId w:val="21"/>
        </w:numPr>
        <w:spacing w:after="0" w:line="360" w:lineRule="auto"/>
        <w:jc w:val="both"/>
        <w:rPr>
          <w:rFonts w:ascii="Arial" w:hAnsi="Arial" w:cs="Arial"/>
          <w:sz w:val="20"/>
        </w:rPr>
      </w:pPr>
      <w:r w:rsidRPr="007A364A">
        <w:rPr>
          <w:rFonts w:ascii="Arial" w:hAnsi="Arial" w:cs="Arial"/>
          <w:sz w:val="20"/>
        </w:rPr>
        <w:t xml:space="preserve">Anderson, B. (1983). Imagined communities: Reflections on the origin and spread of nationalism. Verso. </w:t>
      </w:r>
      <w:hyperlink r:id="rId10" w:history="1">
        <w:r w:rsidRPr="00E02D93">
          <w:rPr>
            <w:rStyle w:val="Hyperlink"/>
            <w:rFonts w:ascii="Arial" w:hAnsi="Arial" w:cs="Arial"/>
            <w:sz w:val="20"/>
          </w:rPr>
          <w:t>https://www.versobooks.com/books/1046-imagined-communities</w:t>
        </w:r>
      </w:hyperlink>
      <w:r>
        <w:rPr>
          <w:rFonts w:ascii="Arial" w:hAnsi="Arial" w:cs="Arial"/>
          <w:sz w:val="20"/>
        </w:rPr>
        <w:t xml:space="preserve"> </w:t>
      </w:r>
    </w:p>
    <w:p w14:paraId="7DB5320E" w14:textId="4F46BC3D" w:rsidR="00A577D4" w:rsidRPr="009A5CE9" w:rsidRDefault="00A577D4" w:rsidP="00291D67">
      <w:pPr>
        <w:pStyle w:val="ListParagraph"/>
        <w:numPr>
          <w:ilvl w:val="0"/>
          <w:numId w:val="21"/>
        </w:numPr>
        <w:spacing w:after="0" w:line="360" w:lineRule="auto"/>
        <w:jc w:val="both"/>
        <w:rPr>
          <w:rFonts w:ascii="Arial" w:hAnsi="Arial" w:cs="Arial"/>
          <w:sz w:val="20"/>
        </w:rPr>
      </w:pPr>
      <w:r w:rsidRPr="009A5CE9">
        <w:rPr>
          <w:rFonts w:ascii="Arial" w:hAnsi="Arial" w:cs="Arial"/>
          <w:sz w:val="20"/>
        </w:rPr>
        <w:t xml:space="preserve">Bhat, P. N. M., &amp; Zavier, A. J. F. (2017). Fertility transition in India: Regional dimensions. </w:t>
      </w:r>
      <w:r w:rsidRPr="009A5CE9">
        <w:rPr>
          <w:rFonts w:ascii="Arial" w:hAnsi="Arial" w:cs="Arial"/>
          <w:i/>
          <w:iCs/>
          <w:sz w:val="20"/>
        </w:rPr>
        <w:t>Demography India</w:t>
      </w:r>
      <w:r w:rsidRPr="009A5CE9">
        <w:rPr>
          <w:rFonts w:ascii="Arial" w:hAnsi="Arial" w:cs="Arial"/>
          <w:sz w:val="20"/>
        </w:rPr>
        <w:t>, 46(1), 1–15.</w:t>
      </w:r>
    </w:p>
    <w:p w14:paraId="7348A2A9" w14:textId="4B4474C7" w:rsidR="00A577D4" w:rsidRPr="009A5CE9" w:rsidRDefault="009A126E" w:rsidP="00291D67">
      <w:pPr>
        <w:pStyle w:val="ListParagraph"/>
        <w:numPr>
          <w:ilvl w:val="0"/>
          <w:numId w:val="21"/>
        </w:numPr>
        <w:spacing w:after="0" w:line="360" w:lineRule="auto"/>
        <w:jc w:val="both"/>
        <w:rPr>
          <w:rFonts w:ascii="Arial" w:hAnsi="Arial" w:cs="Arial"/>
          <w:sz w:val="20"/>
        </w:rPr>
      </w:pPr>
      <w:proofErr w:type="spellStart"/>
      <w:r w:rsidRPr="009A126E">
        <w:rPr>
          <w:rFonts w:ascii="Arial" w:hAnsi="Arial" w:cs="Arial"/>
          <w:sz w:val="20"/>
        </w:rPr>
        <w:t>Chandna</w:t>
      </w:r>
      <w:proofErr w:type="spellEnd"/>
      <w:r w:rsidRPr="009A126E">
        <w:rPr>
          <w:rFonts w:ascii="Arial" w:hAnsi="Arial" w:cs="Arial"/>
          <w:sz w:val="20"/>
        </w:rPr>
        <w:t>, R. C. (2017). Geography of Population. Kalyani Publishers.</w:t>
      </w:r>
    </w:p>
    <w:p w14:paraId="194517AD" w14:textId="77777777" w:rsidR="00A577D4" w:rsidRPr="009A5CE9" w:rsidRDefault="00A577D4" w:rsidP="00291D67">
      <w:pPr>
        <w:pStyle w:val="ListParagraph"/>
        <w:numPr>
          <w:ilvl w:val="0"/>
          <w:numId w:val="21"/>
        </w:numPr>
        <w:spacing w:after="0" w:line="360" w:lineRule="auto"/>
        <w:jc w:val="both"/>
        <w:rPr>
          <w:rFonts w:ascii="Arial" w:hAnsi="Arial" w:cs="Arial"/>
          <w:sz w:val="20"/>
        </w:rPr>
      </w:pPr>
      <w:r w:rsidRPr="009A5CE9">
        <w:rPr>
          <w:rFonts w:ascii="Arial" w:hAnsi="Arial" w:cs="Arial"/>
          <w:sz w:val="20"/>
        </w:rPr>
        <w:t xml:space="preserve">Ghosh, B. (2016). </w:t>
      </w:r>
      <w:r w:rsidRPr="009A5CE9">
        <w:rPr>
          <w:rFonts w:ascii="Arial" w:hAnsi="Arial" w:cs="Arial"/>
          <w:i/>
          <w:iCs/>
          <w:sz w:val="20"/>
        </w:rPr>
        <w:t>Health and Development in India</w:t>
      </w:r>
      <w:r w:rsidRPr="009A5CE9">
        <w:rPr>
          <w:rFonts w:ascii="Arial" w:hAnsi="Arial" w:cs="Arial"/>
          <w:sz w:val="20"/>
        </w:rPr>
        <w:t>. Deep &amp; Deep.</w:t>
      </w:r>
    </w:p>
    <w:p w14:paraId="6EBBF715" w14:textId="6CA73461" w:rsidR="00A577D4" w:rsidRPr="009A5CE9" w:rsidRDefault="009A126E" w:rsidP="00291D67">
      <w:pPr>
        <w:pStyle w:val="ListParagraph"/>
        <w:numPr>
          <w:ilvl w:val="0"/>
          <w:numId w:val="21"/>
        </w:numPr>
        <w:spacing w:after="0" w:line="360" w:lineRule="auto"/>
        <w:jc w:val="both"/>
        <w:rPr>
          <w:rFonts w:ascii="Arial" w:hAnsi="Arial" w:cs="Arial"/>
          <w:sz w:val="20"/>
        </w:rPr>
      </w:pPr>
      <w:r w:rsidRPr="009A126E">
        <w:rPr>
          <w:rFonts w:ascii="Arial" w:hAnsi="Arial" w:cs="Arial"/>
          <w:sz w:val="20"/>
        </w:rPr>
        <w:t xml:space="preserve">Government of India, &amp; International Institute for Population Sciences. (2021). National Family Health Survey (NFHS-5). International Institute for Population Sciences. </w:t>
      </w:r>
      <w:hyperlink r:id="rId11" w:history="1">
        <w:r w:rsidRPr="00E02D93">
          <w:rPr>
            <w:rStyle w:val="Hyperlink"/>
            <w:rFonts w:ascii="Arial" w:hAnsi="Arial" w:cs="Arial"/>
            <w:sz w:val="20"/>
          </w:rPr>
          <w:t>http://rchiips.org/nfhs/NFHS-5Reports/NFHS-5_INDIA_REPORT.pdf</w:t>
        </w:r>
      </w:hyperlink>
      <w:r>
        <w:rPr>
          <w:rFonts w:ascii="Arial" w:hAnsi="Arial" w:cs="Arial"/>
          <w:sz w:val="20"/>
        </w:rPr>
        <w:t xml:space="preserve"> </w:t>
      </w:r>
    </w:p>
    <w:p w14:paraId="0DBEAAF7" w14:textId="77777777" w:rsidR="00A577D4" w:rsidRPr="009A5CE9" w:rsidRDefault="00A577D4" w:rsidP="00291D67">
      <w:pPr>
        <w:pStyle w:val="ListParagraph"/>
        <w:numPr>
          <w:ilvl w:val="0"/>
          <w:numId w:val="21"/>
        </w:numPr>
        <w:spacing w:after="0" w:line="360" w:lineRule="auto"/>
        <w:jc w:val="both"/>
        <w:rPr>
          <w:rFonts w:ascii="Arial" w:hAnsi="Arial" w:cs="Arial"/>
          <w:sz w:val="20"/>
        </w:rPr>
      </w:pPr>
      <w:r w:rsidRPr="009A5CE9">
        <w:rPr>
          <w:rFonts w:ascii="Arial" w:hAnsi="Arial" w:cs="Arial"/>
          <w:sz w:val="20"/>
        </w:rPr>
        <w:lastRenderedPageBreak/>
        <w:t xml:space="preserve">Kundu, A. (2018). Urbanization and mortality in India. </w:t>
      </w:r>
      <w:r w:rsidRPr="009A5CE9">
        <w:rPr>
          <w:rFonts w:ascii="Arial" w:hAnsi="Arial" w:cs="Arial"/>
          <w:i/>
          <w:iCs/>
          <w:sz w:val="20"/>
        </w:rPr>
        <w:t>Economic and Political Weekly</w:t>
      </w:r>
      <w:r w:rsidRPr="009A5CE9">
        <w:rPr>
          <w:rFonts w:ascii="Arial" w:hAnsi="Arial" w:cs="Arial"/>
          <w:sz w:val="20"/>
        </w:rPr>
        <w:t>, 53(12), 38–45.</w:t>
      </w:r>
    </w:p>
    <w:p w14:paraId="33C3F207" w14:textId="52EBCE03" w:rsidR="00A577D4" w:rsidRPr="009A5CE9" w:rsidRDefault="00FF386C" w:rsidP="00291D67">
      <w:pPr>
        <w:pStyle w:val="ListParagraph"/>
        <w:numPr>
          <w:ilvl w:val="0"/>
          <w:numId w:val="21"/>
        </w:numPr>
        <w:spacing w:after="0" w:line="360" w:lineRule="auto"/>
        <w:jc w:val="both"/>
        <w:rPr>
          <w:rFonts w:ascii="Arial" w:hAnsi="Arial" w:cs="Arial"/>
          <w:sz w:val="20"/>
        </w:rPr>
      </w:pPr>
      <w:r w:rsidRPr="00FF386C">
        <w:rPr>
          <w:rFonts w:ascii="Arial" w:hAnsi="Arial" w:cs="Arial"/>
          <w:sz w:val="20"/>
        </w:rPr>
        <w:t>Ministry of Health &amp; Family Welfare. (2024). Annual Report 2023-24.</w:t>
      </w:r>
      <w:r>
        <w:rPr>
          <w:rFonts w:ascii="Arial" w:hAnsi="Arial" w:cs="Arial"/>
          <w:sz w:val="20"/>
        </w:rPr>
        <w:t xml:space="preserve"> </w:t>
      </w:r>
    </w:p>
    <w:p w14:paraId="0C5D5682" w14:textId="77777777" w:rsidR="00A577D4" w:rsidRPr="009A5CE9" w:rsidRDefault="00A577D4" w:rsidP="00291D67">
      <w:pPr>
        <w:pStyle w:val="ListParagraph"/>
        <w:numPr>
          <w:ilvl w:val="0"/>
          <w:numId w:val="21"/>
        </w:numPr>
        <w:spacing w:after="0" w:line="360" w:lineRule="auto"/>
        <w:jc w:val="both"/>
        <w:rPr>
          <w:rFonts w:ascii="Arial" w:hAnsi="Arial" w:cs="Arial"/>
          <w:sz w:val="20"/>
        </w:rPr>
      </w:pPr>
      <w:r w:rsidRPr="009A5CE9">
        <w:rPr>
          <w:rFonts w:ascii="Arial" w:hAnsi="Arial" w:cs="Arial"/>
          <w:sz w:val="20"/>
        </w:rPr>
        <w:t xml:space="preserve">Mohanty, S. K., &amp; Ram, F. (2020). Maternal and child health inequalities in India. </w:t>
      </w:r>
    </w:p>
    <w:p w14:paraId="057E5B0A" w14:textId="77777777" w:rsidR="00A577D4" w:rsidRPr="009A5CE9" w:rsidRDefault="00A577D4" w:rsidP="00291D67">
      <w:pPr>
        <w:pStyle w:val="ListParagraph"/>
        <w:numPr>
          <w:ilvl w:val="0"/>
          <w:numId w:val="21"/>
        </w:numPr>
        <w:spacing w:after="0" w:line="360" w:lineRule="auto"/>
        <w:jc w:val="both"/>
        <w:rPr>
          <w:rFonts w:ascii="Arial" w:hAnsi="Arial" w:cs="Arial"/>
          <w:sz w:val="20"/>
        </w:rPr>
      </w:pPr>
      <w:r w:rsidRPr="009A5CE9">
        <w:rPr>
          <w:rFonts w:ascii="Arial" w:hAnsi="Arial" w:cs="Arial"/>
          <w:i/>
          <w:iCs/>
          <w:sz w:val="20"/>
        </w:rPr>
        <w:t>Journal of Biosocial Science</w:t>
      </w:r>
      <w:r w:rsidRPr="009A5CE9">
        <w:rPr>
          <w:rFonts w:ascii="Arial" w:hAnsi="Arial" w:cs="Arial"/>
          <w:sz w:val="20"/>
        </w:rPr>
        <w:t>, 52(2), 241–258.</w:t>
      </w:r>
    </w:p>
    <w:p w14:paraId="112A20DD" w14:textId="23CE087E" w:rsidR="00A577D4" w:rsidRPr="009A5CE9" w:rsidRDefault="00FF386C" w:rsidP="00291D67">
      <w:pPr>
        <w:pStyle w:val="ListParagraph"/>
        <w:numPr>
          <w:ilvl w:val="0"/>
          <w:numId w:val="21"/>
        </w:numPr>
        <w:spacing w:after="0" w:line="360" w:lineRule="auto"/>
        <w:jc w:val="both"/>
        <w:rPr>
          <w:rFonts w:ascii="Arial" w:hAnsi="Arial" w:cs="Arial"/>
          <w:sz w:val="20"/>
        </w:rPr>
      </w:pPr>
      <w:r w:rsidRPr="00FF386C">
        <w:rPr>
          <w:rFonts w:ascii="Arial" w:hAnsi="Arial" w:cs="Arial"/>
          <w:sz w:val="20"/>
        </w:rPr>
        <w:t xml:space="preserve">Ministry of Health and Family Welfare, Government of India. (2023). Rural Health Statistics, 2021-22. </w:t>
      </w:r>
      <w:hyperlink r:id="rId12" w:history="1">
        <w:r w:rsidRPr="00E02D93">
          <w:rPr>
            <w:rStyle w:val="Hyperlink"/>
            <w:rFonts w:ascii="Arial" w:hAnsi="Arial" w:cs="Arial"/>
            <w:sz w:val="20"/>
          </w:rPr>
          <w:t>https://hmis.mohfw.gov.in/downloadfile?filepath=Rural%20Health%20Statistics%202021-22.pdf</w:t>
        </w:r>
      </w:hyperlink>
      <w:r>
        <w:rPr>
          <w:rFonts w:ascii="Arial" w:hAnsi="Arial" w:cs="Arial"/>
          <w:sz w:val="20"/>
        </w:rPr>
        <w:t xml:space="preserve"> </w:t>
      </w:r>
    </w:p>
    <w:p w14:paraId="2A58B8EE" w14:textId="283DF361" w:rsidR="00A577D4" w:rsidRPr="009A5CE9" w:rsidRDefault="00234F29" w:rsidP="00291D67">
      <w:pPr>
        <w:pStyle w:val="ListParagraph"/>
        <w:numPr>
          <w:ilvl w:val="0"/>
          <w:numId w:val="21"/>
        </w:numPr>
        <w:spacing w:after="0" w:line="360" w:lineRule="auto"/>
        <w:jc w:val="both"/>
        <w:rPr>
          <w:rFonts w:ascii="Arial" w:hAnsi="Arial" w:cs="Arial"/>
          <w:sz w:val="20"/>
        </w:rPr>
      </w:pPr>
      <w:r w:rsidRPr="00234F29">
        <w:rPr>
          <w:rFonts w:ascii="Arial" w:hAnsi="Arial" w:cs="Arial"/>
          <w:sz w:val="20"/>
        </w:rPr>
        <w:t>NITI Aayog. (2023). Healthy States, Progressive India: Report on the Ranks of States and Union Territories (State Health Index 2020-21).</w:t>
      </w:r>
      <w:r>
        <w:rPr>
          <w:rFonts w:ascii="Arial" w:hAnsi="Arial" w:cs="Arial"/>
          <w:sz w:val="20"/>
        </w:rPr>
        <w:t xml:space="preserve"> </w:t>
      </w:r>
    </w:p>
    <w:p w14:paraId="738EF808" w14:textId="2AE5EF09" w:rsidR="00A577D4" w:rsidRPr="009A5CE9" w:rsidRDefault="000B59D6" w:rsidP="00291D67">
      <w:pPr>
        <w:pStyle w:val="ListParagraph"/>
        <w:numPr>
          <w:ilvl w:val="0"/>
          <w:numId w:val="21"/>
        </w:numPr>
        <w:spacing w:after="0" w:line="360" w:lineRule="auto"/>
        <w:jc w:val="both"/>
        <w:rPr>
          <w:rFonts w:ascii="Arial" w:hAnsi="Arial" w:cs="Arial"/>
          <w:sz w:val="20"/>
        </w:rPr>
      </w:pPr>
      <w:r w:rsidRPr="000B59D6">
        <w:rPr>
          <w:rFonts w:ascii="Arial" w:hAnsi="Arial" w:cs="Arial"/>
          <w:sz w:val="20"/>
        </w:rPr>
        <w:t xml:space="preserve">Park, K. (2021). *Park's Textbook of Preventive and Social Medicine* (26th ed.). </w:t>
      </w:r>
      <w:proofErr w:type="spellStart"/>
      <w:r w:rsidRPr="000B59D6">
        <w:rPr>
          <w:rFonts w:ascii="Arial" w:hAnsi="Arial" w:cs="Arial"/>
          <w:sz w:val="20"/>
        </w:rPr>
        <w:t>Banarsidas</w:t>
      </w:r>
      <w:proofErr w:type="spellEnd"/>
      <w:r w:rsidRPr="000B59D6">
        <w:rPr>
          <w:rFonts w:ascii="Arial" w:hAnsi="Arial" w:cs="Arial"/>
          <w:sz w:val="20"/>
        </w:rPr>
        <w:t xml:space="preserve"> </w:t>
      </w:r>
      <w:proofErr w:type="spellStart"/>
      <w:r w:rsidRPr="000B59D6">
        <w:rPr>
          <w:rFonts w:ascii="Arial" w:hAnsi="Arial" w:cs="Arial"/>
          <w:sz w:val="20"/>
        </w:rPr>
        <w:t>Bhanot</w:t>
      </w:r>
      <w:proofErr w:type="spellEnd"/>
      <w:r w:rsidRPr="000B59D6">
        <w:rPr>
          <w:rFonts w:ascii="Arial" w:hAnsi="Arial" w:cs="Arial"/>
          <w:sz w:val="20"/>
        </w:rPr>
        <w:t xml:space="preserve"> Publishers.</w:t>
      </w:r>
      <w:r>
        <w:rPr>
          <w:rFonts w:ascii="Arial" w:hAnsi="Arial" w:cs="Arial"/>
          <w:sz w:val="20"/>
        </w:rPr>
        <w:t xml:space="preserve"> </w:t>
      </w:r>
    </w:p>
    <w:p w14:paraId="3CFB7524" w14:textId="253630BF" w:rsidR="00A577D4" w:rsidRPr="009A5CE9" w:rsidRDefault="00E40BFC" w:rsidP="00291D67">
      <w:pPr>
        <w:pStyle w:val="ListParagraph"/>
        <w:numPr>
          <w:ilvl w:val="0"/>
          <w:numId w:val="21"/>
        </w:numPr>
        <w:spacing w:after="0" w:line="360" w:lineRule="auto"/>
        <w:jc w:val="both"/>
        <w:rPr>
          <w:rFonts w:ascii="Arial" w:hAnsi="Arial" w:cs="Arial"/>
          <w:sz w:val="20"/>
        </w:rPr>
      </w:pPr>
      <w:r w:rsidRPr="00E40BFC">
        <w:rPr>
          <w:rFonts w:ascii="Arial" w:hAnsi="Arial" w:cs="Arial"/>
          <w:sz w:val="20"/>
        </w:rPr>
        <w:t xml:space="preserve">Office of the Registrar General &amp; Census Commissioner, India. (2025). Sample Registration System (SRS) Statistical Report 2023. </w:t>
      </w:r>
      <w:hyperlink r:id="rId13" w:history="1">
        <w:r w:rsidRPr="00E02D93">
          <w:rPr>
            <w:rStyle w:val="Hyperlink"/>
            <w:rFonts w:ascii="Arial" w:hAnsi="Arial" w:cs="Arial"/>
            <w:sz w:val="20"/>
          </w:rPr>
          <w:t>https://censusindia.gov.in/census_and_srs/srs_reports_2023.html</w:t>
        </w:r>
      </w:hyperlink>
      <w:r>
        <w:rPr>
          <w:rFonts w:ascii="Arial" w:hAnsi="Arial" w:cs="Arial"/>
          <w:sz w:val="20"/>
        </w:rPr>
        <w:t xml:space="preserve"> </w:t>
      </w:r>
    </w:p>
    <w:p w14:paraId="5FCA7B9F" w14:textId="1C74A27D" w:rsidR="00BB3F57" w:rsidRPr="009A5CE9" w:rsidRDefault="00E40BFC" w:rsidP="00291D67">
      <w:pPr>
        <w:pStyle w:val="ListParagraph"/>
        <w:numPr>
          <w:ilvl w:val="0"/>
          <w:numId w:val="21"/>
        </w:numPr>
        <w:spacing w:after="0" w:line="360" w:lineRule="auto"/>
        <w:jc w:val="both"/>
        <w:rPr>
          <w:rFonts w:ascii="Arial" w:hAnsi="Arial" w:cs="Arial"/>
          <w:sz w:val="20"/>
        </w:rPr>
      </w:pPr>
      <w:r w:rsidRPr="00E40BFC">
        <w:rPr>
          <w:rFonts w:ascii="Arial" w:hAnsi="Arial" w:cs="Arial"/>
          <w:sz w:val="20"/>
        </w:rPr>
        <w:t xml:space="preserve">World Health Organization. (2022). World health statistics 2022: monitoring health for the SDGs, sustainable development goals. </w:t>
      </w:r>
      <w:hyperlink r:id="rId14" w:history="1">
        <w:r w:rsidRPr="00E02D93">
          <w:rPr>
            <w:rStyle w:val="Hyperlink"/>
            <w:rFonts w:ascii="Arial" w:hAnsi="Arial" w:cs="Arial"/>
            <w:sz w:val="20"/>
          </w:rPr>
          <w:t>https://www.who.int/publications/m/item/world-health-statistics-2022</w:t>
        </w:r>
      </w:hyperlink>
      <w:r>
        <w:rPr>
          <w:rFonts w:ascii="Arial" w:hAnsi="Arial" w:cs="Arial"/>
          <w:sz w:val="20"/>
        </w:rPr>
        <w:t xml:space="preserve"> </w:t>
      </w:r>
    </w:p>
    <w:sectPr w:rsidR="00BB3F57" w:rsidRPr="009A5CE9" w:rsidSect="00F32FBE">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66A06" w14:textId="77777777" w:rsidR="001612CF" w:rsidRDefault="001612CF" w:rsidP="00F32FBE">
      <w:pPr>
        <w:spacing w:after="0" w:line="240" w:lineRule="auto"/>
      </w:pPr>
      <w:r>
        <w:separator/>
      </w:r>
    </w:p>
  </w:endnote>
  <w:endnote w:type="continuationSeparator" w:id="0">
    <w:p w14:paraId="3E67C5BA" w14:textId="77777777" w:rsidR="001612CF" w:rsidRDefault="001612CF" w:rsidP="00F3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C6E91" w14:textId="77777777" w:rsidR="00D857DE" w:rsidRDefault="00D857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7370221"/>
      <w:docPartObj>
        <w:docPartGallery w:val="Page Numbers (Bottom of Page)"/>
        <w:docPartUnique/>
      </w:docPartObj>
    </w:sdtPr>
    <w:sdtEndPr>
      <w:rPr>
        <w:noProof/>
      </w:rPr>
    </w:sdtEndPr>
    <w:sdtContent>
      <w:p w14:paraId="78F95AE2" w14:textId="29F94A53" w:rsidR="00F32FBE" w:rsidRDefault="00F32F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7C7E1A" w14:textId="77777777" w:rsidR="00F32FBE" w:rsidRDefault="00F32F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0537A" w14:textId="77777777" w:rsidR="00D857DE" w:rsidRDefault="00D85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42EB2" w14:textId="77777777" w:rsidR="001612CF" w:rsidRDefault="001612CF" w:rsidP="00F32FBE">
      <w:pPr>
        <w:spacing w:after="0" w:line="240" w:lineRule="auto"/>
      </w:pPr>
      <w:r>
        <w:separator/>
      </w:r>
    </w:p>
  </w:footnote>
  <w:footnote w:type="continuationSeparator" w:id="0">
    <w:p w14:paraId="56AE0D7E" w14:textId="77777777" w:rsidR="001612CF" w:rsidRDefault="001612CF" w:rsidP="00F32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13D03" w14:textId="5566A746" w:rsidR="00D857DE" w:rsidRDefault="00D857DE">
    <w:pPr>
      <w:pStyle w:val="Header"/>
    </w:pPr>
    <w:r>
      <w:rPr>
        <w:noProof/>
      </w:rPr>
      <w:pict w14:anchorId="155412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178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C4D1A" w14:textId="08BA76EA" w:rsidR="00D857DE" w:rsidRDefault="00D857DE">
    <w:pPr>
      <w:pStyle w:val="Header"/>
    </w:pPr>
    <w:r>
      <w:rPr>
        <w:noProof/>
      </w:rPr>
      <w:pict w14:anchorId="7B1C5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178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7FAE9" w14:textId="1C8101B3" w:rsidR="00D857DE" w:rsidRDefault="00D857DE">
    <w:pPr>
      <w:pStyle w:val="Header"/>
    </w:pPr>
    <w:r>
      <w:rPr>
        <w:noProof/>
      </w:rPr>
      <w:pict w14:anchorId="2A305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0178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F4DCC"/>
    <w:multiLevelType w:val="multilevel"/>
    <w:tmpl w:val="8BCED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0640AD"/>
    <w:multiLevelType w:val="multilevel"/>
    <w:tmpl w:val="F61AF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21D9A"/>
    <w:multiLevelType w:val="multilevel"/>
    <w:tmpl w:val="B424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157346"/>
    <w:multiLevelType w:val="hybridMultilevel"/>
    <w:tmpl w:val="38E8713A"/>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81B6B"/>
    <w:multiLevelType w:val="multilevel"/>
    <w:tmpl w:val="1188E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323F3"/>
    <w:multiLevelType w:val="hybridMultilevel"/>
    <w:tmpl w:val="7D547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264D8E"/>
    <w:multiLevelType w:val="multilevel"/>
    <w:tmpl w:val="1A6C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CE73AD"/>
    <w:multiLevelType w:val="multilevel"/>
    <w:tmpl w:val="023A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5A6508"/>
    <w:multiLevelType w:val="multilevel"/>
    <w:tmpl w:val="6C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465AC5"/>
    <w:multiLevelType w:val="multilevel"/>
    <w:tmpl w:val="F564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FB7062"/>
    <w:multiLevelType w:val="multilevel"/>
    <w:tmpl w:val="48649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336450"/>
    <w:multiLevelType w:val="multilevel"/>
    <w:tmpl w:val="21948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242418"/>
    <w:multiLevelType w:val="multilevel"/>
    <w:tmpl w:val="E31A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DF36E9"/>
    <w:multiLevelType w:val="hybridMultilevel"/>
    <w:tmpl w:val="123E3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FC63EB"/>
    <w:multiLevelType w:val="multilevel"/>
    <w:tmpl w:val="199C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10A5E"/>
    <w:multiLevelType w:val="hybridMultilevel"/>
    <w:tmpl w:val="D622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23E35"/>
    <w:multiLevelType w:val="hybridMultilevel"/>
    <w:tmpl w:val="7A36F3CE"/>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9415E"/>
    <w:multiLevelType w:val="multilevel"/>
    <w:tmpl w:val="E5AE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7E4E4B"/>
    <w:multiLevelType w:val="multilevel"/>
    <w:tmpl w:val="C32A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BE45DD"/>
    <w:multiLevelType w:val="multilevel"/>
    <w:tmpl w:val="017A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6C0A7A"/>
    <w:multiLevelType w:val="multilevel"/>
    <w:tmpl w:val="5800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8"/>
  </w:num>
  <w:num w:numId="4">
    <w:abstractNumId w:val="6"/>
  </w:num>
  <w:num w:numId="5">
    <w:abstractNumId w:val="4"/>
  </w:num>
  <w:num w:numId="6">
    <w:abstractNumId w:val="18"/>
  </w:num>
  <w:num w:numId="7">
    <w:abstractNumId w:val="2"/>
  </w:num>
  <w:num w:numId="8">
    <w:abstractNumId w:val="17"/>
  </w:num>
  <w:num w:numId="9">
    <w:abstractNumId w:val="20"/>
  </w:num>
  <w:num w:numId="10">
    <w:abstractNumId w:val="19"/>
  </w:num>
  <w:num w:numId="11">
    <w:abstractNumId w:val="12"/>
  </w:num>
  <w:num w:numId="12">
    <w:abstractNumId w:val="0"/>
  </w:num>
  <w:num w:numId="13">
    <w:abstractNumId w:val="9"/>
  </w:num>
  <w:num w:numId="14">
    <w:abstractNumId w:val="7"/>
  </w:num>
  <w:num w:numId="15">
    <w:abstractNumId w:val="13"/>
  </w:num>
  <w:num w:numId="16">
    <w:abstractNumId w:val="15"/>
  </w:num>
  <w:num w:numId="17">
    <w:abstractNumId w:val="5"/>
  </w:num>
  <w:num w:numId="18">
    <w:abstractNumId w:val="10"/>
  </w:num>
  <w:num w:numId="19">
    <w:abstractNumId w:val="1"/>
  </w:num>
  <w:num w:numId="20">
    <w:abstractNumId w:val="16"/>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20"/>
    <w:rsid w:val="000269DA"/>
    <w:rsid w:val="000A71DD"/>
    <w:rsid w:val="000B59D6"/>
    <w:rsid w:val="000C26BC"/>
    <w:rsid w:val="001612CF"/>
    <w:rsid w:val="001913DD"/>
    <w:rsid w:val="00234F29"/>
    <w:rsid w:val="00291D67"/>
    <w:rsid w:val="0030751F"/>
    <w:rsid w:val="003B2C6A"/>
    <w:rsid w:val="004304D9"/>
    <w:rsid w:val="004C4A20"/>
    <w:rsid w:val="004C7491"/>
    <w:rsid w:val="005A0466"/>
    <w:rsid w:val="00663B4C"/>
    <w:rsid w:val="006C196B"/>
    <w:rsid w:val="007154AA"/>
    <w:rsid w:val="0074415F"/>
    <w:rsid w:val="00776FCD"/>
    <w:rsid w:val="007A364A"/>
    <w:rsid w:val="007F12BF"/>
    <w:rsid w:val="0080753A"/>
    <w:rsid w:val="00831BC9"/>
    <w:rsid w:val="00886024"/>
    <w:rsid w:val="008E2FD8"/>
    <w:rsid w:val="00905307"/>
    <w:rsid w:val="00961E7C"/>
    <w:rsid w:val="0096353B"/>
    <w:rsid w:val="0098746A"/>
    <w:rsid w:val="009A126E"/>
    <w:rsid w:val="009A5CE9"/>
    <w:rsid w:val="009D5ABD"/>
    <w:rsid w:val="00A0092B"/>
    <w:rsid w:val="00A577D4"/>
    <w:rsid w:val="00A70958"/>
    <w:rsid w:val="00A81347"/>
    <w:rsid w:val="00AD2ABE"/>
    <w:rsid w:val="00B64405"/>
    <w:rsid w:val="00BA4E7F"/>
    <w:rsid w:val="00BA7D7F"/>
    <w:rsid w:val="00BB3F57"/>
    <w:rsid w:val="00C52CBA"/>
    <w:rsid w:val="00C67F93"/>
    <w:rsid w:val="00CB0C87"/>
    <w:rsid w:val="00CE71AE"/>
    <w:rsid w:val="00D51C2C"/>
    <w:rsid w:val="00D857DE"/>
    <w:rsid w:val="00D97E1A"/>
    <w:rsid w:val="00E40BFC"/>
    <w:rsid w:val="00E71393"/>
    <w:rsid w:val="00F32FBE"/>
    <w:rsid w:val="00FA1B27"/>
    <w:rsid w:val="00FC41D6"/>
    <w:rsid w:val="00FD0642"/>
    <w:rsid w:val="00FF386C"/>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A7AD383"/>
  <w15:chartTrackingRefBased/>
  <w15:docId w15:val="{6CD06870-DFB7-448C-A0B1-2BBFE485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mr-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FBE"/>
    <w:rPr>
      <w:rFonts w:cs="Mangal"/>
    </w:rPr>
  </w:style>
  <w:style w:type="paragraph" w:styleId="Footer">
    <w:name w:val="footer"/>
    <w:basedOn w:val="Normal"/>
    <w:link w:val="FooterChar"/>
    <w:uiPriority w:val="99"/>
    <w:unhideWhenUsed/>
    <w:rsid w:val="00F32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FBE"/>
    <w:rPr>
      <w:rFonts w:cs="Mangal"/>
    </w:rPr>
  </w:style>
  <w:style w:type="character" w:styleId="Hyperlink">
    <w:name w:val="Hyperlink"/>
    <w:basedOn w:val="DefaultParagraphFont"/>
    <w:uiPriority w:val="99"/>
    <w:unhideWhenUsed/>
    <w:rsid w:val="003B2C6A"/>
    <w:rPr>
      <w:color w:val="0563C1" w:themeColor="hyperlink"/>
      <w:u w:val="single"/>
    </w:rPr>
  </w:style>
  <w:style w:type="character" w:styleId="UnresolvedMention">
    <w:name w:val="Unresolved Mention"/>
    <w:basedOn w:val="DefaultParagraphFont"/>
    <w:uiPriority w:val="99"/>
    <w:semiHidden/>
    <w:unhideWhenUsed/>
    <w:rsid w:val="003B2C6A"/>
    <w:rPr>
      <w:color w:val="605E5C"/>
      <w:shd w:val="clear" w:color="auto" w:fill="E1DFDD"/>
    </w:rPr>
  </w:style>
  <w:style w:type="paragraph" w:styleId="ListParagraph">
    <w:name w:val="List Paragraph"/>
    <w:basedOn w:val="Normal"/>
    <w:uiPriority w:val="34"/>
    <w:qFormat/>
    <w:rsid w:val="00BA4E7F"/>
    <w:pPr>
      <w:ind w:left="720"/>
      <w:contextualSpacing/>
    </w:pPr>
  </w:style>
  <w:style w:type="paragraph" w:styleId="NormalWeb">
    <w:name w:val="Normal (Web)"/>
    <w:basedOn w:val="Normal"/>
    <w:uiPriority w:val="99"/>
    <w:semiHidden/>
    <w:unhideWhenUsed/>
    <w:rsid w:val="00A709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0958"/>
    <w:rPr>
      <w:b/>
      <w:bCs/>
    </w:rPr>
  </w:style>
  <w:style w:type="paragraph" w:customStyle="1" w:styleId="FirstParagraph">
    <w:name w:val="First Paragraph"/>
    <w:basedOn w:val="BodyText"/>
    <w:next w:val="BodyText"/>
    <w:qFormat/>
    <w:rsid w:val="0096353B"/>
    <w:pPr>
      <w:spacing w:before="180" w:after="180" w:line="240" w:lineRule="auto"/>
    </w:pPr>
    <w:rPr>
      <w:rFonts w:cstheme="minorBidi"/>
      <w:sz w:val="24"/>
      <w:szCs w:val="24"/>
      <w:lang w:val="en" w:bidi="ar-SA"/>
    </w:rPr>
  </w:style>
  <w:style w:type="paragraph" w:styleId="BodyText">
    <w:name w:val="Body Text"/>
    <w:basedOn w:val="Normal"/>
    <w:link w:val="BodyTextChar"/>
    <w:uiPriority w:val="99"/>
    <w:semiHidden/>
    <w:unhideWhenUsed/>
    <w:rsid w:val="0096353B"/>
    <w:pPr>
      <w:spacing w:after="120"/>
    </w:pPr>
  </w:style>
  <w:style w:type="character" w:customStyle="1" w:styleId="BodyTextChar">
    <w:name w:val="Body Text Char"/>
    <w:basedOn w:val="DefaultParagraphFont"/>
    <w:link w:val="BodyText"/>
    <w:uiPriority w:val="99"/>
    <w:semiHidden/>
    <w:rsid w:val="0096353B"/>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48437">
      <w:bodyDiv w:val="1"/>
      <w:marLeft w:val="0"/>
      <w:marRight w:val="0"/>
      <w:marTop w:val="0"/>
      <w:marBottom w:val="0"/>
      <w:divBdr>
        <w:top w:val="none" w:sz="0" w:space="0" w:color="auto"/>
        <w:left w:val="none" w:sz="0" w:space="0" w:color="auto"/>
        <w:bottom w:val="none" w:sz="0" w:space="0" w:color="auto"/>
        <w:right w:val="none" w:sz="0" w:space="0" w:color="auto"/>
      </w:divBdr>
    </w:div>
    <w:div w:id="20859260">
      <w:bodyDiv w:val="1"/>
      <w:marLeft w:val="0"/>
      <w:marRight w:val="0"/>
      <w:marTop w:val="0"/>
      <w:marBottom w:val="0"/>
      <w:divBdr>
        <w:top w:val="none" w:sz="0" w:space="0" w:color="auto"/>
        <w:left w:val="none" w:sz="0" w:space="0" w:color="auto"/>
        <w:bottom w:val="none" w:sz="0" w:space="0" w:color="auto"/>
        <w:right w:val="none" w:sz="0" w:space="0" w:color="auto"/>
      </w:divBdr>
    </w:div>
    <w:div w:id="22288245">
      <w:bodyDiv w:val="1"/>
      <w:marLeft w:val="0"/>
      <w:marRight w:val="0"/>
      <w:marTop w:val="0"/>
      <w:marBottom w:val="0"/>
      <w:divBdr>
        <w:top w:val="none" w:sz="0" w:space="0" w:color="auto"/>
        <w:left w:val="none" w:sz="0" w:space="0" w:color="auto"/>
        <w:bottom w:val="none" w:sz="0" w:space="0" w:color="auto"/>
        <w:right w:val="none" w:sz="0" w:space="0" w:color="auto"/>
      </w:divBdr>
    </w:div>
    <w:div w:id="151065542">
      <w:bodyDiv w:val="1"/>
      <w:marLeft w:val="0"/>
      <w:marRight w:val="0"/>
      <w:marTop w:val="0"/>
      <w:marBottom w:val="0"/>
      <w:divBdr>
        <w:top w:val="none" w:sz="0" w:space="0" w:color="auto"/>
        <w:left w:val="none" w:sz="0" w:space="0" w:color="auto"/>
        <w:bottom w:val="none" w:sz="0" w:space="0" w:color="auto"/>
        <w:right w:val="none" w:sz="0" w:space="0" w:color="auto"/>
      </w:divBdr>
    </w:div>
    <w:div w:id="180583365">
      <w:bodyDiv w:val="1"/>
      <w:marLeft w:val="0"/>
      <w:marRight w:val="0"/>
      <w:marTop w:val="0"/>
      <w:marBottom w:val="0"/>
      <w:divBdr>
        <w:top w:val="none" w:sz="0" w:space="0" w:color="auto"/>
        <w:left w:val="none" w:sz="0" w:space="0" w:color="auto"/>
        <w:bottom w:val="none" w:sz="0" w:space="0" w:color="auto"/>
        <w:right w:val="none" w:sz="0" w:space="0" w:color="auto"/>
      </w:divBdr>
    </w:div>
    <w:div w:id="265890369">
      <w:bodyDiv w:val="1"/>
      <w:marLeft w:val="0"/>
      <w:marRight w:val="0"/>
      <w:marTop w:val="0"/>
      <w:marBottom w:val="0"/>
      <w:divBdr>
        <w:top w:val="none" w:sz="0" w:space="0" w:color="auto"/>
        <w:left w:val="none" w:sz="0" w:space="0" w:color="auto"/>
        <w:bottom w:val="none" w:sz="0" w:space="0" w:color="auto"/>
        <w:right w:val="none" w:sz="0" w:space="0" w:color="auto"/>
      </w:divBdr>
      <w:divsChild>
        <w:div w:id="925458159">
          <w:marLeft w:val="0"/>
          <w:marRight w:val="0"/>
          <w:marTop w:val="0"/>
          <w:marBottom w:val="0"/>
          <w:divBdr>
            <w:top w:val="none" w:sz="0" w:space="0" w:color="auto"/>
            <w:left w:val="none" w:sz="0" w:space="0" w:color="auto"/>
            <w:bottom w:val="none" w:sz="0" w:space="0" w:color="auto"/>
            <w:right w:val="none" w:sz="0" w:space="0" w:color="auto"/>
          </w:divBdr>
          <w:divsChild>
            <w:div w:id="136608508">
              <w:marLeft w:val="0"/>
              <w:marRight w:val="0"/>
              <w:marTop w:val="0"/>
              <w:marBottom w:val="0"/>
              <w:divBdr>
                <w:top w:val="none" w:sz="0" w:space="0" w:color="auto"/>
                <w:left w:val="none" w:sz="0" w:space="0" w:color="auto"/>
                <w:bottom w:val="none" w:sz="0" w:space="0" w:color="auto"/>
                <w:right w:val="none" w:sz="0" w:space="0" w:color="auto"/>
              </w:divBdr>
              <w:divsChild>
                <w:div w:id="497115149">
                  <w:marLeft w:val="0"/>
                  <w:marRight w:val="0"/>
                  <w:marTop w:val="0"/>
                  <w:marBottom w:val="0"/>
                  <w:divBdr>
                    <w:top w:val="none" w:sz="0" w:space="0" w:color="auto"/>
                    <w:left w:val="none" w:sz="0" w:space="0" w:color="auto"/>
                    <w:bottom w:val="none" w:sz="0" w:space="0" w:color="auto"/>
                    <w:right w:val="none" w:sz="0" w:space="0" w:color="auto"/>
                  </w:divBdr>
                  <w:divsChild>
                    <w:div w:id="1173689293">
                      <w:marLeft w:val="0"/>
                      <w:marRight w:val="0"/>
                      <w:marTop w:val="0"/>
                      <w:marBottom w:val="0"/>
                      <w:divBdr>
                        <w:top w:val="none" w:sz="0" w:space="0" w:color="auto"/>
                        <w:left w:val="none" w:sz="0" w:space="0" w:color="auto"/>
                        <w:bottom w:val="none" w:sz="0" w:space="0" w:color="auto"/>
                        <w:right w:val="none" w:sz="0" w:space="0" w:color="auto"/>
                      </w:divBdr>
                      <w:divsChild>
                        <w:div w:id="695545798">
                          <w:marLeft w:val="0"/>
                          <w:marRight w:val="0"/>
                          <w:marTop w:val="0"/>
                          <w:marBottom w:val="0"/>
                          <w:divBdr>
                            <w:top w:val="none" w:sz="0" w:space="0" w:color="auto"/>
                            <w:left w:val="none" w:sz="0" w:space="0" w:color="auto"/>
                            <w:bottom w:val="none" w:sz="0" w:space="0" w:color="auto"/>
                            <w:right w:val="none" w:sz="0" w:space="0" w:color="auto"/>
                          </w:divBdr>
                          <w:divsChild>
                            <w:div w:id="2603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350068">
      <w:bodyDiv w:val="1"/>
      <w:marLeft w:val="0"/>
      <w:marRight w:val="0"/>
      <w:marTop w:val="0"/>
      <w:marBottom w:val="0"/>
      <w:divBdr>
        <w:top w:val="none" w:sz="0" w:space="0" w:color="auto"/>
        <w:left w:val="none" w:sz="0" w:space="0" w:color="auto"/>
        <w:bottom w:val="none" w:sz="0" w:space="0" w:color="auto"/>
        <w:right w:val="none" w:sz="0" w:space="0" w:color="auto"/>
      </w:divBdr>
    </w:div>
    <w:div w:id="374546355">
      <w:bodyDiv w:val="1"/>
      <w:marLeft w:val="0"/>
      <w:marRight w:val="0"/>
      <w:marTop w:val="0"/>
      <w:marBottom w:val="0"/>
      <w:divBdr>
        <w:top w:val="none" w:sz="0" w:space="0" w:color="auto"/>
        <w:left w:val="none" w:sz="0" w:space="0" w:color="auto"/>
        <w:bottom w:val="none" w:sz="0" w:space="0" w:color="auto"/>
        <w:right w:val="none" w:sz="0" w:space="0" w:color="auto"/>
      </w:divBdr>
    </w:div>
    <w:div w:id="379323588">
      <w:bodyDiv w:val="1"/>
      <w:marLeft w:val="0"/>
      <w:marRight w:val="0"/>
      <w:marTop w:val="0"/>
      <w:marBottom w:val="0"/>
      <w:divBdr>
        <w:top w:val="none" w:sz="0" w:space="0" w:color="auto"/>
        <w:left w:val="none" w:sz="0" w:space="0" w:color="auto"/>
        <w:bottom w:val="none" w:sz="0" w:space="0" w:color="auto"/>
        <w:right w:val="none" w:sz="0" w:space="0" w:color="auto"/>
      </w:divBdr>
      <w:divsChild>
        <w:div w:id="1976518778">
          <w:marLeft w:val="0"/>
          <w:marRight w:val="0"/>
          <w:marTop w:val="0"/>
          <w:marBottom w:val="0"/>
          <w:divBdr>
            <w:top w:val="none" w:sz="0" w:space="0" w:color="auto"/>
            <w:left w:val="none" w:sz="0" w:space="0" w:color="auto"/>
            <w:bottom w:val="none" w:sz="0" w:space="0" w:color="auto"/>
            <w:right w:val="none" w:sz="0" w:space="0" w:color="auto"/>
          </w:divBdr>
          <w:divsChild>
            <w:div w:id="1373920232">
              <w:marLeft w:val="0"/>
              <w:marRight w:val="0"/>
              <w:marTop w:val="0"/>
              <w:marBottom w:val="0"/>
              <w:divBdr>
                <w:top w:val="none" w:sz="0" w:space="0" w:color="auto"/>
                <w:left w:val="none" w:sz="0" w:space="0" w:color="auto"/>
                <w:bottom w:val="none" w:sz="0" w:space="0" w:color="auto"/>
                <w:right w:val="none" w:sz="0" w:space="0" w:color="auto"/>
              </w:divBdr>
              <w:divsChild>
                <w:div w:id="400710951">
                  <w:marLeft w:val="0"/>
                  <w:marRight w:val="0"/>
                  <w:marTop w:val="0"/>
                  <w:marBottom w:val="0"/>
                  <w:divBdr>
                    <w:top w:val="none" w:sz="0" w:space="0" w:color="auto"/>
                    <w:left w:val="none" w:sz="0" w:space="0" w:color="auto"/>
                    <w:bottom w:val="none" w:sz="0" w:space="0" w:color="auto"/>
                    <w:right w:val="none" w:sz="0" w:space="0" w:color="auto"/>
                  </w:divBdr>
                  <w:divsChild>
                    <w:div w:id="1331643844">
                      <w:marLeft w:val="0"/>
                      <w:marRight w:val="0"/>
                      <w:marTop w:val="0"/>
                      <w:marBottom w:val="0"/>
                      <w:divBdr>
                        <w:top w:val="none" w:sz="0" w:space="0" w:color="auto"/>
                        <w:left w:val="none" w:sz="0" w:space="0" w:color="auto"/>
                        <w:bottom w:val="none" w:sz="0" w:space="0" w:color="auto"/>
                        <w:right w:val="none" w:sz="0" w:space="0" w:color="auto"/>
                      </w:divBdr>
                      <w:divsChild>
                        <w:div w:id="658266424">
                          <w:marLeft w:val="0"/>
                          <w:marRight w:val="0"/>
                          <w:marTop w:val="0"/>
                          <w:marBottom w:val="0"/>
                          <w:divBdr>
                            <w:top w:val="none" w:sz="0" w:space="0" w:color="auto"/>
                            <w:left w:val="none" w:sz="0" w:space="0" w:color="auto"/>
                            <w:bottom w:val="none" w:sz="0" w:space="0" w:color="auto"/>
                            <w:right w:val="none" w:sz="0" w:space="0" w:color="auto"/>
                          </w:divBdr>
                          <w:divsChild>
                            <w:div w:id="11046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019300">
      <w:bodyDiv w:val="1"/>
      <w:marLeft w:val="0"/>
      <w:marRight w:val="0"/>
      <w:marTop w:val="0"/>
      <w:marBottom w:val="0"/>
      <w:divBdr>
        <w:top w:val="none" w:sz="0" w:space="0" w:color="auto"/>
        <w:left w:val="none" w:sz="0" w:space="0" w:color="auto"/>
        <w:bottom w:val="none" w:sz="0" w:space="0" w:color="auto"/>
        <w:right w:val="none" w:sz="0" w:space="0" w:color="auto"/>
      </w:divBdr>
    </w:div>
    <w:div w:id="388774443">
      <w:bodyDiv w:val="1"/>
      <w:marLeft w:val="0"/>
      <w:marRight w:val="0"/>
      <w:marTop w:val="0"/>
      <w:marBottom w:val="0"/>
      <w:divBdr>
        <w:top w:val="none" w:sz="0" w:space="0" w:color="auto"/>
        <w:left w:val="none" w:sz="0" w:space="0" w:color="auto"/>
        <w:bottom w:val="none" w:sz="0" w:space="0" w:color="auto"/>
        <w:right w:val="none" w:sz="0" w:space="0" w:color="auto"/>
      </w:divBdr>
    </w:div>
    <w:div w:id="402796403">
      <w:bodyDiv w:val="1"/>
      <w:marLeft w:val="0"/>
      <w:marRight w:val="0"/>
      <w:marTop w:val="0"/>
      <w:marBottom w:val="0"/>
      <w:divBdr>
        <w:top w:val="none" w:sz="0" w:space="0" w:color="auto"/>
        <w:left w:val="none" w:sz="0" w:space="0" w:color="auto"/>
        <w:bottom w:val="none" w:sz="0" w:space="0" w:color="auto"/>
        <w:right w:val="none" w:sz="0" w:space="0" w:color="auto"/>
      </w:divBdr>
      <w:divsChild>
        <w:div w:id="1136294768">
          <w:marLeft w:val="0"/>
          <w:marRight w:val="0"/>
          <w:marTop w:val="0"/>
          <w:marBottom w:val="0"/>
          <w:divBdr>
            <w:top w:val="none" w:sz="0" w:space="0" w:color="auto"/>
            <w:left w:val="none" w:sz="0" w:space="0" w:color="auto"/>
            <w:bottom w:val="none" w:sz="0" w:space="0" w:color="auto"/>
            <w:right w:val="none" w:sz="0" w:space="0" w:color="auto"/>
          </w:divBdr>
          <w:divsChild>
            <w:div w:id="431822805">
              <w:marLeft w:val="0"/>
              <w:marRight w:val="0"/>
              <w:marTop w:val="0"/>
              <w:marBottom w:val="0"/>
              <w:divBdr>
                <w:top w:val="none" w:sz="0" w:space="0" w:color="auto"/>
                <w:left w:val="none" w:sz="0" w:space="0" w:color="auto"/>
                <w:bottom w:val="none" w:sz="0" w:space="0" w:color="auto"/>
                <w:right w:val="none" w:sz="0" w:space="0" w:color="auto"/>
              </w:divBdr>
              <w:divsChild>
                <w:div w:id="25034883">
                  <w:marLeft w:val="0"/>
                  <w:marRight w:val="0"/>
                  <w:marTop w:val="0"/>
                  <w:marBottom w:val="0"/>
                  <w:divBdr>
                    <w:top w:val="none" w:sz="0" w:space="0" w:color="auto"/>
                    <w:left w:val="none" w:sz="0" w:space="0" w:color="auto"/>
                    <w:bottom w:val="none" w:sz="0" w:space="0" w:color="auto"/>
                    <w:right w:val="none" w:sz="0" w:space="0" w:color="auto"/>
                  </w:divBdr>
                  <w:divsChild>
                    <w:div w:id="898780826">
                      <w:marLeft w:val="0"/>
                      <w:marRight w:val="0"/>
                      <w:marTop w:val="0"/>
                      <w:marBottom w:val="0"/>
                      <w:divBdr>
                        <w:top w:val="none" w:sz="0" w:space="0" w:color="auto"/>
                        <w:left w:val="none" w:sz="0" w:space="0" w:color="auto"/>
                        <w:bottom w:val="none" w:sz="0" w:space="0" w:color="auto"/>
                        <w:right w:val="none" w:sz="0" w:space="0" w:color="auto"/>
                      </w:divBdr>
                      <w:divsChild>
                        <w:div w:id="1584334406">
                          <w:marLeft w:val="0"/>
                          <w:marRight w:val="0"/>
                          <w:marTop w:val="0"/>
                          <w:marBottom w:val="0"/>
                          <w:divBdr>
                            <w:top w:val="none" w:sz="0" w:space="0" w:color="auto"/>
                            <w:left w:val="none" w:sz="0" w:space="0" w:color="auto"/>
                            <w:bottom w:val="none" w:sz="0" w:space="0" w:color="auto"/>
                            <w:right w:val="none" w:sz="0" w:space="0" w:color="auto"/>
                          </w:divBdr>
                          <w:divsChild>
                            <w:div w:id="32663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307192">
      <w:bodyDiv w:val="1"/>
      <w:marLeft w:val="0"/>
      <w:marRight w:val="0"/>
      <w:marTop w:val="0"/>
      <w:marBottom w:val="0"/>
      <w:divBdr>
        <w:top w:val="none" w:sz="0" w:space="0" w:color="auto"/>
        <w:left w:val="none" w:sz="0" w:space="0" w:color="auto"/>
        <w:bottom w:val="none" w:sz="0" w:space="0" w:color="auto"/>
        <w:right w:val="none" w:sz="0" w:space="0" w:color="auto"/>
      </w:divBdr>
    </w:div>
    <w:div w:id="488988158">
      <w:bodyDiv w:val="1"/>
      <w:marLeft w:val="0"/>
      <w:marRight w:val="0"/>
      <w:marTop w:val="0"/>
      <w:marBottom w:val="0"/>
      <w:divBdr>
        <w:top w:val="none" w:sz="0" w:space="0" w:color="auto"/>
        <w:left w:val="none" w:sz="0" w:space="0" w:color="auto"/>
        <w:bottom w:val="none" w:sz="0" w:space="0" w:color="auto"/>
        <w:right w:val="none" w:sz="0" w:space="0" w:color="auto"/>
      </w:divBdr>
    </w:div>
    <w:div w:id="577598312">
      <w:bodyDiv w:val="1"/>
      <w:marLeft w:val="0"/>
      <w:marRight w:val="0"/>
      <w:marTop w:val="0"/>
      <w:marBottom w:val="0"/>
      <w:divBdr>
        <w:top w:val="none" w:sz="0" w:space="0" w:color="auto"/>
        <w:left w:val="none" w:sz="0" w:space="0" w:color="auto"/>
        <w:bottom w:val="none" w:sz="0" w:space="0" w:color="auto"/>
        <w:right w:val="none" w:sz="0" w:space="0" w:color="auto"/>
      </w:divBdr>
    </w:div>
    <w:div w:id="586697058">
      <w:bodyDiv w:val="1"/>
      <w:marLeft w:val="0"/>
      <w:marRight w:val="0"/>
      <w:marTop w:val="0"/>
      <w:marBottom w:val="0"/>
      <w:divBdr>
        <w:top w:val="none" w:sz="0" w:space="0" w:color="auto"/>
        <w:left w:val="none" w:sz="0" w:space="0" w:color="auto"/>
        <w:bottom w:val="none" w:sz="0" w:space="0" w:color="auto"/>
        <w:right w:val="none" w:sz="0" w:space="0" w:color="auto"/>
      </w:divBdr>
    </w:div>
    <w:div w:id="614337755">
      <w:bodyDiv w:val="1"/>
      <w:marLeft w:val="0"/>
      <w:marRight w:val="0"/>
      <w:marTop w:val="0"/>
      <w:marBottom w:val="0"/>
      <w:divBdr>
        <w:top w:val="none" w:sz="0" w:space="0" w:color="auto"/>
        <w:left w:val="none" w:sz="0" w:space="0" w:color="auto"/>
        <w:bottom w:val="none" w:sz="0" w:space="0" w:color="auto"/>
        <w:right w:val="none" w:sz="0" w:space="0" w:color="auto"/>
      </w:divBdr>
    </w:div>
    <w:div w:id="671955206">
      <w:bodyDiv w:val="1"/>
      <w:marLeft w:val="0"/>
      <w:marRight w:val="0"/>
      <w:marTop w:val="0"/>
      <w:marBottom w:val="0"/>
      <w:divBdr>
        <w:top w:val="none" w:sz="0" w:space="0" w:color="auto"/>
        <w:left w:val="none" w:sz="0" w:space="0" w:color="auto"/>
        <w:bottom w:val="none" w:sz="0" w:space="0" w:color="auto"/>
        <w:right w:val="none" w:sz="0" w:space="0" w:color="auto"/>
      </w:divBdr>
    </w:div>
    <w:div w:id="673536903">
      <w:bodyDiv w:val="1"/>
      <w:marLeft w:val="0"/>
      <w:marRight w:val="0"/>
      <w:marTop w:val="0"/>
      <w:marBottom w:val="0"/>
      <w:divBdr>
        <w:top w:val="none" w:sz="0" w:space="0" w:color="auto"/>
        <w:left w:val="none" w:sz="0" w:space="0" w:color="auto"/>
        <w:bottom w:val="none" w:sz="0" w:space="0" w:color="auto"/>
        <w:right w:val="none" w:sz="0" w:space="0" w:color="auto"/>
      </w:divBdr>
    </w:div>
    <w:div w:id="700983840">
      <w:bodyDiv w:val="1"/>
      <w:marLeft w:val="0"/>
      <w:marRight w:val="0"/>
      <w:marTop w:val="0"/>
      <w:marBottom w:val="0"/>
      <w:divBdr>
        <w:top w:val="none" w:sz="0" w:space="0" w:color="auto"/>
        <w:left w:val="none" w:sz="0" w:space="0" w:color="auto"/>
        <w:bottom w:val="none" w:sz="0" w:space="0" w:color="auto"/>
        <w:right w:val="none" w:sz="0" w:space="0" w:color="auto"/>
      </w:divBdr>
    </w:div>
    <w:div w:id="731850545">
      <w:bodyDiv w:val="1"/>
      <w:marLeft w:val="0"/>
      <w:marRight w:val="0"/>
      <w:marTop w:val="0"/>
      <w:marBottom w:val="0"/>
      <w:divBdr>
        <w:top w:val="none" w:sz="0" w:space="0" w:color="auto"/>
        <w:left w:val="none" w:sz="0" w:space="0" w:color="auto"/>
        <w:bottom w:val="none" w:sz="0" w:space="0" w:color="auto"/>
        <w:right w:val="none" w:sz="0" w:space="0" w:color="auto"/>
      </w:divBdr>
    </w:div>
    <w:div w:id="915044375">
      <w:bodyDiv w:val="1"/>
      <w:marLeft w:val="0"/>
      <w:marRight w:val="0"/>
      <w:marTop w:val="0"/>
      <w:marBottom w:val="0"/>
      <w:divBdr>
        <w:top w:val="none" w:sz="0" w:space="0" w:color="auto"/>
        <w:left w:val="none" w:sz="0" w:space="0" w:color="auto"/>
        <w:bottom w:val="none" w:sz="0" w:space="0" w:color="auto"/>
        <w:right w:val="none" w:sz="0" w:space="0" w:color="auto"/>
      </w:divBdr>
    </w:div>
    <w:div w:id="983196029">
      <w:bodyDiv w:val="1"/>
      <w:marLeft w:val="0"/>
      <w:marRight w:val="0"/>
      <w:marTop w:val="0"/>
      <w:marBottom w:val="0"/>
      <w:divBdr>
        <w:top w:val="none" w:sz="0" w:space="0" w:color="auto"/>
        <w:left w:val="none" w:sz="0" w:space="0" w:color="auto"/>
        <w:bottom w:val="none" w:sz="0" w:space="0" w:color="auto"/>
        <w:right w:val="none" w:sz="0" w:space="0" w:color="auto"/>
      </w:divBdr>
    </w:div>
    <w:div w:id="1066219397">
      <w:bodyDiv w:val="1"/>
      <w:marLeft w:val="0"/>
      <w:marRight w:val="0"/>
      <w:marTop w:val="0"/>
      <w:marBottom w:val="0"/>
      <w:divBdr>
        <w:top w:val="none" w:sz="0" w:space="0" w:color="auto"/>
        <w:left w:val="none" w:sz="0" w:space="0" w:color="auto"/>
        <w:bottom w:val="none" w:sz="0" w:space="0" w:color="auto"/>
        <w:right w:val="none" w:sz="0" w:space="0" w:color="auto"/>
      </w:divBdr>
    </w:div>
    <w:div w:id="123562733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6571774">
      <w:bodyDiv w:val="1"/>
      <w:marLeft w:val="0"/>
      <w:marRight w:val="0"/>
      <w:marTop w:val="0"/>
      <w:marBottom w:val="0"/>
      <w:divBdr>
        <w:top w:val="none" w:sz="0" w:space="0" w:color="auto"/>
        <w:left w:val="none" w:sz="0" w:space="0" w:color="auto"/>
        <w:bottom w:val="none" w:sz="0" w:space="0" w:color="auto"/>
        <w:right w:val="none" w:sz="0" w:space="0" w:color="auto"/>
      </w:divBdr>
    </w:div>
    <w:div w:id="1403408278">
      <w:bodyDiv w:val="1"/>
      <w:marLeft w:val="0"/>
      <w:marRight w:val="0"/>
      <w:marTop w:val="0"/>
      <w:marBottom w:val="0"/>
      <w:divBdr>
        <w:top w:val="none" w:sz="0" w:space="0" w:color="auto"/>
        <w:left w:val="none" w:sz="0" w:space="0" w:color="auto"/>
        <w:bottom w:val="none" w:sz="0" w:space="0" w:color="auto"/>
        <w:right w:val="none" w:sz="0" w:space="0" w:color="auto"/>
      </w:divBdr>
    </w:div>
    <w:div w:id="1509784142">
      <w:bodyDiv w:val="1"/>
      <w:marLeft w:val="0"/>
      <w:marRight w:val="0"/>
      <w:marTop w:val="0"/>
      <w:marBottom w:val="0"/>
      <w:divBdr>
        <w:top w:val="none" w:sz="0" w:space="0" w:color="auto"/>
        <w:left w:val="none" w:sz="0" w:space="0" w:color="auto"/>
        <w:bottom w:val="none" w:sz="0" w:space="0" w:color="auto"/>
        <w:right w:val="none" w:sz="0" w:space="0" w:color="auto"/>
      </w:divBdr>
    </w:div>
    <w:div w:id="1517573946">
      <w:bodyDiv w:val="1"/>
      <w:marLeft w:val="0"/>
      <w:marRight w:val="0"/>
      <w:marTop w:val="0"/>
      <w:marBottom w:val="0"/>
      <w:divBdr>
        <w:top w:val="none" w:sz="0" w:space="0" w:color="auto"/>
        <w:left w:val="none" w:sz="0" w:space="0" w:color="auto"/>
        <w:bottom w:val="none" w:sz="0" w:space="0" w:color="auto"/>
        <w:right w:val="none" w:sz="0" w:space="0" w:color="auto"/>
      </w:divBdr>
    </w:div>
    <w:div w:id="1625962667">
      <w:bodyDiv w:val="1"/>
      <w:marLeft w:val="0"/>
      <w:marRight w:val="0"/>
      <w:marTop w:val="0"/>
      <w:marBottom w:val="0"/>
      <w:divBdr>
        <w:top w:val="none" w:sz="0" w:space="0" w:color="auto"/>
        <w:left w:val="none" w:sz="0" w:space="0" w:color="auto"/>
        <w:bottom w:val="none" w:sz="0" w:space="0" w:color="auto"/>
        <w:right w:val="none" w:sz="0" w:space="0" w:color="auto"/>
      </w:divBdr>
    </w:div>
    <w:div w:id="1699769536">
      <w:bodyDiv w:val="1"/>
      <w:marLeft w:val="0"/>
      <w:marRight w:val="0"/>
      <w:marTop w:val="0"/>
      <w:marBottom w:val="0"/>
      <w:divBdr>
        <w:top w:val="none" w:sz="0" w:space="0" w:color="auto"/>
        <w:left w:val="none" w:sz="0" w:space="0" w:color="auto"/>
        <w:bottom w:val="none" w:sz="0" w:space="0" w:color="auto"/>
        <w:right w:val="none" w:sz="0" w:space="0" w:color="auto"/>
      </w:divBdr>
    </w:div>
    <w:div w:id="1784035878">
      <w:bodyDiv w:val="1"/>
      <w:marLeft w:val="0"/>
      <w:marRight w:val="0"/>
      <w:marTop w:val="0"/>
      <w:marBottom w:val="0"/>
      <w:divBdr>
        <w:top w:val="none" w:sz="0" w:space="0" w:color="auto"/>
        <w:left w:val="none" w:sz="0" w:space="0" w:color="auto"/>
        <w:bottom w:val="none" w:sz="0" w:space="0" w:color="auto"/>
        <w:right w:val="none" w:sz="0" w:space="0" w:color="auto"/>
      </w:divBdr>
    </w:div>
    <w:div w:id="1785229143">
      <w:bodyDiv w:val="1"/>
      <w:marLeft w:val="0"/>
      <w:marRight w:val="0"/>
      <w:marTop w:val="0"/>
      <w:marBottom w:val="0"/>
      <w:divBdr>
        <w:top w:val="none" w:sz="0" w:space="0" w:color="auto"/>
        <w:left w:val="none" w:sz="0" w:space="0" w:color="auto"/>
        <w:bottom w:val="none" w:sz="0" w:space="0" w:color="auto"/>
        <w:right w:val="none" w:sz="0" w:space="0" w:color="auto"/>
      </w:divBdr>
    </w:div>
    <w:div w:id="1798377247">
      <w:bodyDiv w:val="1"/>
      <w:marLeft w:val="0"/>
      <w:marRight w:val="0"/>
      <w:marTop w:val="0"/>
      <w:marBottom w:val="0"/>
      <w:divBdr>
        <w:top w:val="none" w:sz="0" w:space="0" w:color="auto"/>
        <w:left w:val="none" w:sz="0" w:space="0" w:color="auto"/>
        <w:bottom w:val="none" w:sz="0" w:space="0" w:color="auto"/>
        <w:right w:val="none" w:sz="0" w:space="0" w:color="auto"/>
      </w:divBdr>
    </w:div>
    <w:div w:id="1813593162">
      <w:bodyDiv w:val="1"/>
      <w:marLeft w:val="0"/>
      <w:marRight w:val="0"/>
      <w:marTop w:val="0"/>
      <w:marBottom w:val="0"/>
      <w:divBdr>
        <w:top w:val="none" w:sz="0" w:space="0" w:color="auto"/>
        <w:left w:val="none" w:sz="0" w:space="0" w:color="auto"/>
        <w:bottom w:val="none" w:sz="0" w:space="0" w:color="auto"/>
        <w:right w:val="none" w:sz="0" w:space="0" w:color="auto"/>
      </w:divBdr>
    </w:div>
    <w:div w:id="1863128923">
      <w:bodyDiv w:val="1"/>
      <w:marLeft w:val="0"/>
      <w:marRight w:val="0"/>
      <w:marTop w:val="0"/>
      <w:marBottom w:val="0"/>
      <w:divBdr>
        <w:top w:val="none" w:sz="0" w:space="0" w:color="auto"/>
        <w:left w:val="none" w:sz="0" w:space="0" w:color="auto"/>
        <w:bottom w:val="none" w:sz="0" w:space="0" w:color="auto"/>
        <w:right w:val="none" w:sz="0" w:space="0" w:color="auto"/>
      </w:divBdr>
    </w:div>
    <w:div w:id="1883396421">
      <w:bodyDiv w:val="1"/>
      <w:marLeft w:val="0"/>
      <w:marRight w:val="0"/>
      <w:marTop w:val="0"/>
      <w:marBottom w:val="0"/>
      <w:divBdr>
        <w:top w:val="none" w:sz="0" w:space="0" w:color="auto"/>
        <w:left w:val="none" w:sz="0" w:space="0" w:color="auto"/>
        <w:bottom w:val="none" w:sz="0" w:space="0" w:color="auto"/>
        <w:right w:val="none" w:sz="0" w:space="0" w:color="auto"/>
      </w:divBdr>
    </w:div>
    <w:div w:id="1897163627">
      <w:bodyDiv w:val="1"/>
      <w:marLeft w:val="0"/>
      <w:marRight w:val="0"/>
      <w:marTop w:val="0"/>
      <w:marBottom w:val="0"/>
      <w:divBdr>
        <w:top w:val="none" w:sz="0" w:space="0" w:color="auto"/>
        <w:left w:val="none" w:sz="0" w:space="0" w:color="auto"/>
        <w:bottom w:val="none" w:sz="0" w:space="0" w:color="auto"/>
        <w:right w:val="none" w:sz="0" w:space="0" w:color="auto"/>
      </w:divBdr>
    </w:div>
    <w:div w:id="1944142736">
      <w:bodyDiv w:val="1"/>
      <w:marLeft w:val="0"/>
      <w:marRight w:val="0"/>
      <w:marTop w:val="0"/>
      <w:marBottom w:val="0"/>
      <w:divBdr>
        <w:top w:val="none" w:sz="0" w:space="0" w:color="auto"/>
        <w:left w:val="none" w:sz="0" w:space="0" w:color="auto"/>
        <w:bottom w:val="none" w:sz="0" w:space="0" w:color="auto"/>
        <w:right w:val="none" w:sz="0" w:space="0" w:color="auto"/>
      </w:divBdr>
    </w:div>
    <w:div w:id="1963072810">
      <w:bodyDiv w:val="1"/>
      <w:marLeft w:val="0"/>
      <w:marRight w:val="0"/>
      <w:marTop w:val="0"/>
      <w:marBottom w:val="0"/>
      <w:divBdr>
        <w:top w:val="none" w:sz="0" w:space="0" w:color="auto"/>
        <w:left w:val="none" w:sz="0" w:space="0" w:color="auto"/>
        <w:bottom w:val="none" w:sz="0" w:space="0" w:color="auto"/>
        <w:right w:val="none" w:sz="0" w:space="0" w:color="auto"/>
      </w:divBdr>
      <w:divsChild>
        <w:div w:id="472406169">
          <w:marLeft w:val="0"/>
          <w:marRight w:val="0"/>
          <w:marTop w:val="0"/>
          <w:marBottom w:val="0"/>
          <w:divBdr>
            <w:top w:val="none" w:sz="0" w:space="0" w:color="auto"/>
            <w:left w:val="none" w:sz="0" w:space="0" w:color="auto"/>
            <w:bottom w:val="none" w:sz="0" w:space="0" w:color="auto"/>
            <w:right w:val="none" w:sz="0" w:space="0" w:color="auto"/>
          </w:divBdr>
          <w:divsChild>
            <w:div w:id="1339772751">
              <w:marLeft w:val="0"/>
              <w:marRight w:val="0"/>
              <w:marTop w:val="0"/>
              <w:marBottom w:val="0"/>
              <w:divBdr>
                <w:top w:val="none" w:sz="0" w:space="0" w:color="auto"/>
                <w:left w:val="none" w:sz="0" w:space="0" w:color="auto"/>
                <w:bottom w:val="none" w:sz="0" w:space="0" w:color="auto"/>
                <w:right w:val="none" w:sz="0" w:space="0" w:color="auto"/>
              </w:divBdr>
              <w:divsChild>
                <w:div w:id="455683824">
                  <w:marLeft w:val="0"/>
                  <w:marRight w:val="0"/>
                  <w:marTop w:val="0"/>
                  <w:marBottom w:val="0"/>
                  <w:divBdr>
                    <w:top w:val="none" w:sz="0" w:space="0" w:color="auto"/>
                    <w:left w:val="none" w:sz="0" w:space="0" w:color="auto"/>
                    <w:bottom w:val="none" w:sz="0" w:space="0" w:color="auto"/>
                    <w:right w:val="none" w:sz="0" w:space="0" w:color="auto"/>
                  </w:divBdr>
                  <w:divsChild>
                    <w:div w:id="638728263">
                      <w:marLeft w:val="0"/>
                      <w:marRight w:val="0"/>
                      <w:marTop w:val="0"/>
                      <w:marBottom w:val="0"/>
                      <w:divBdr>
                        <w:top w:val="none" w:sz="0" w:space="0" w:color="auto"/>
                        <w:left w:val="none" w:sz="0" w:space="0" w:color="auto"/>
                        <w:bottom w:val="none" w:sz="0" w:space="0" w:color="auto"/>
                        <w:right w:val="none" w:sz="0" w:space="0" w:color="auto"/>
                      </w:divBdr>
                      <w:divsChild>
                        <w:div w:id="1004092194">
                          <w:marLeft w:val="0"/>
                          <w:marRight w:val="0"/>
                          <w:marTop w:val="0"/>
                          <w:marBottom w:val="0"/>
                          <w:divBdr>
                            <w:top w:val="none" w:sz="0" w:space="0" w:color="auto"/>
                            <w:left w:val="none" w:sz="0" w:space="0" w:color="auto"/>
                            <w:bottom w:val="none" w:sz="0" w:space="0" w:color="auto"/>
                            <w:right w:val="none" w:sz="0" w:space="0" w:color="auto"/>
                          </w:divBdr>
                          <w:divsChild>
                            <w:div w:id="5925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050066">
      <w:bodyDiv w:val="1"/>
      <w:marLeft w:val="0"/>
      <w:marRight w:val="0"/>
      <w:marTop w:val="0"/>
      <w:marBottom w:val="0"/>
      <w:divBdr>
        <w:top w:val="none" w:sz="0" w:space="0" w:color="auto"/>
        <w:left w:val="none" w:sz="0" w:space="0" w:color="auto"/>
        <w:bottom w:val="none" w:sz="0" w:space="0" w:color="auto"/>
        <w:right w:val="none" w:sz="0" w:space="0" w:color="auto"/>
      </w:divBdr>
    </w:div>
    <w:div w:id="2000422785">
      <w:bodyDiv w:val="1"/>
      <w:marLeft w:val="0"/>
      <w:marRight w:val="0"/>
      <w:marTop w:val="0"/>
      <w:marBottom w:val="0"/>
      <w:divBdr>
        <w:top w:val="none" w:sz="0" w:space="0" w:color="auto"/>
        <w:left w:val="none" w:sz="0" w:space="0" w:color="auto"/>
        <w:bottom w:val="none" w:sz="0" w:space="0" w:color="auto"/>
        <w:right w:val="none" w:sz="0" w:space="0" w:color="auto"/>
      </w:divBdr>
      <w:divsChild>
        <w:div w:id="416824157">
          <w:marLeft w:val="0"/>
          <w:marRight w:val="0"/>
          <w:marTop w:val="0"/>
          <w:marBottom w:val="0"/>
          <w:divBdr>
            <w:top w:val="none" w:sz="0" w:space="0" w:color="auto"/>
            <w:left w:val="none" w:sz="0" w:space="0" w:color="auto"/>
            <w:bottom w:val="none" w:sz="0" w:space="0" w:color="auto"/>
            <w:right w:val="none" w:sz="0" w:space="0" w:color="auto"/>
          </w:divBdr>
          <w:divsChild>
            <w:div w:id="1289971496">
              <w:marLeft w:val="0"/>
              <w:marRight w:val="0"/>
              <w:marTop w:val="0"/>
              <w:marBottom w:val="0"/>
              <w:divBdr>
                <w:top w:val="none" w:sz="0" w:space="0" w:color="auto"/>
                <w:left w:val="none" w:sz="0" w:space="0" w:color="auto"/>
                <w:bottom w:val="none" w:sz="0" w:space="0" w:color="auto"/>
                <w:right w:val="none" w:sz="0" w:space="0" w:color="auto"/>
              </w:divBdr>
              <w:divsChild>
                <w:div w:id="1142500814">
                  <w:marLeft w:val="0"/>
                  <w:marRight w:val="0"/>
                  <w:marTop w:val="0"/>
                  <w:marBottom w:val="0"/>
                  <w:divBdr>
                    <w:top w:val="none" w:sz="0" w:space="0" w:color="auto"/>
                    <w:left w:val="none" w:sz="0" w:space="0" w:color="auto"/>
                    <w:bottom w:val="none" w:sz="0" w:space="0" w:color="auto"/>
                    <w:right w:val="none" w:sz="0" w:space="0" w:color="auto"/>
                  </w:divBdr>
                  <w:divsChild>
                    <w:div w:id="59599291">
                      <w:marLeft w:val="0"/>
                      <w:marRight w:val="0"/>
                      <w:marTop w:val="0"/>
                      <w:marBottom w:val="0"/>
                      <w:divBdr>
                        <w:top w:val="none" w:sz="0" w:space="0" w:color="auto"/>
                        <w:left w:val="none" w:sz="0" w:space="0" w:color="auto"/>
                        <w:bottom w:val="none" w:sz="0" w:space="0" w:color="auto"/>
                        <w:right w:val="none" w:sz="0" w:space="0" w:color="auto"/>
                      </w:divBdr>
                      <w:divsChild>
                        <w:div w:id="2062629438">
                          <w:marLeft w:val="0"/>
                          <w:marRight w:val="0"/>
                          <w:marTop w:val="0"/>
                          <w:marBottom w:val="0"/>
                          <w:divBdr>
                            <w:top w:val="none" w:sz="0" w:space="0" w:color="auto"/>
                            <w:left w:val="none" w:sz="0" w:space="0" w:color="auto"/>
                            <w:bottom w:val="none" w:sz="0" w:space="0" w:color="auto"/>
                            <w:right w:val="none" w:sz="0" w:space="0" w:color="auto"/>
                          </w:divBdr>
                          <w:divsChild>
                            <w:div w:id="14665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384774">
      <w:bodyDiv w:val="1"/>
      <w:marLeft w:val="0"/>
      <w:marRight w:val="0"/>
      <w:marTop w:val="0"/>
      <w:marBottom w:val="0"/>
      <w:divBdr>
        <w:top w:val="none" w:sz="0" w:space="0" w:color="auto"/>
        <w:left w:val="none" w:sz="0" w:space="0" w:color="auto"/>
        <w:bottom w:val="none" w:sz="0" w:space="0" w:color="auto"/>
        <w:right w:val="none" w:sz="0" w:space="0" w:color="auto"/>
      </w:divBdr>
    </w:div>
    <w:div w:id="2028284800">
      <w:bodyDiv w:val="1"/>
      <w:marLeft w:val="0"/>
      <w:marRight w:val="0"/>
      <w:marTop w:val="0"/>
      <w:marBottom w:val="0"/>
      <w:divBdr>
        <w:top w:val="none" w:sz="0" w:space="0" w:color="auto"/>
        <w:left w:val="none" w:sz="0" w:space="0" w:color="auto"/>
        <w:bottom w:val="none" w:sz="0" w:space="0" w:color="auto"/>
        <w:right w:val="none" w:sz="0" w:space="0" w:color="auto"/>
      </w:divBdr>
    </w:div>
    <w:div w:id="2035500655">
      <w:bodyDiv w:val="1"/>
      <w:marLeft w:val="0"/>
      <w:marRight w:val="0"/>
      <w:marTop w:val="0"/>
      <w:marBottom w:val="0"/>
      <w:divBdr>
        <w:top w:val="none" w:sz="0" w:space="0" w:color="auto"/>
        <w:left w:val="none" w:sz="0" w:space="0" w:color="auto"/>
        <w:bottom w:val="none" w:sz="0" w:space="0" w:color="auto"/>
        <w:right w:val="none" w:sz="0" w:space="0" w:color="auto"/>
      </w:divBdr>
      <w:divsChild>
        <w:div w:id="668095046">
          <w:marLeft w:val="0"/>
          <w:marRight w:val="0"/>
          <w:marTop w:val="0"/>
          <w:marBottom w:val="0"/>
          <w:divBdr>
            <w:top w:val="none" w:sz="0" w:space="0" w:color="auto"/>
            <w:left w:val="none" w:sz="0" w:space="0" w:color="auto"/>
            <w:bottom w:val="none" w:sz="0" w:space="0" w:color="auto"/>
            <w:right w:val="none" w:sz="0" w:space="0" w:color="auto"/>
          </w:divBdr>
          <w:divsChild>
            <w:div w:id="587620436">
              <w:marLeft w:val="0"/>
              <w:marRight w:val="0"/>
              <w:marTop w:val="0"/>
              <w:marBottom w:val="0"/>
              <w:divBdr>
                <w:top w:val="none" w:sz="0" w:space="0" w:color="auto"/>
                <w:left w:val="none" w:sz="0" w:space="0" w:color="auto"/>
                <w:bottom w:val="none" w:sz="0" w:space="0" w:color="auto"/>
                <w:right w:val="none" w:sz="0" w:space="0" w:color="auto"/>
              </w:divBdr>
              <w:divsChild>
                <w:div w:id="147013287">
                  <w:marLeft w:val="0"/>
                  <w:marRight w:val="0"/>
                  <w:marTop w:val="0"/>
                  <w:marBottom w:val="0"/>
                  <w:divBdr>
                    <w:top w:val="none" w:sz="0" w:space="0" w:color="auto"/>
                    <w:left w:val="none" w:sz="0" w:space="0" w:color="auto"/>
                    <w:bottom w:val="none" w:sz="0" w:space="0" w:color="auto"/>
                    <w:right w:val="none" w:sz="0" w:space="0" w:color="auto"/>
                  </w:divBdr>
                  <w:divsChild>
                    <w:div w:id="1362632393">
                      <w:marLeft w:val="0"/>
                      <w:marRight w:val="0"/>
                      <w:marTop w:val="0"/>
                      <w:marBottom w:val="0"/>
                      <w:divBdr>
                        <w:top w:val="none" w:sz="0" w:space="0" w:color="auto"/>
                        <w:left w:val="none" w:sz="0" w:space="0" w:color="auto"/>
                        <w:bottom w:val="none" w:sz="0" w:space="0" w:color="auto"/>
                        <w:right w:val="none" w:sz="0" w:space="0" w:color="auto"/>
                      </w:divBdr>
                      <w:divsChild>
                        <w:div w:id="238442581">
                          <w:marLeft w:val="0"/>
                          <w:marRight w:val="0"/>
                          <w:marTop w:val="0"/>
                          <w:marBottom w:val="0"/>
                          <w:divBdr>
                            <w:top w:val="none" w:sz="0" w:space="0" w:color="auto"/>
                            <w:left w:val="none" w:sz="0" w:space="0" w:color="auto"/>
                            <w:bottom w:val="none" w:sz="0" w:space="0" w:color="auto"/>
                            <w:right w:val="none" w:sz="0" w:space="0" w:color="auto"/>
                          </w:divBdr>
                          <w:divsChild>
                            <w:div w:id="8607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ensusindia.gov.in/census_and_srs/srs_reports_2023.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hmis.mohfw.gov.in/downloadfile?filepath=Rural%20Health%20Statistics%202021-22.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chiips.org/nfhs/NFHS-5Reports/NFHS-5_INDIA_REPORT.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versobooks.com/books/1046-imagined-communitie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who.int/publications/m/item/world-health-statistics-20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12</Pages>
  <Words>3841</Words>
  <Characters>21895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29</cp:revision>
  <dcterms:created xsi:type="dcterms:W3CDTF">2025-12-09T05:10:00Z</dcterms:created>
  <dcterms:modified xsi:type="dcterms:W3CDTF">2025-12-29T13:09:00Z</dcterms:modified>
</cp:coreProperties>
</file>