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F7327" w14:textId="77777777" w:rsidR="00CF33AF" w:rsidRDefault="00CF33AF" w:rsidP="00CF33AF">
      <w:pPr>
        <w:pStyle w:val="NoSpacing"/>
        <w:jc w:val="left"/>
        <w:rPr>
          <w:b/>
          <w:sz w:val="36"/>
          <w:szCs w:val="36"/>
          <w:u w:val="single"/>
        </w:rPr>
      </w:pPr>
      <w:r w:rsidRPr="00CF33AF">
        <w:rPr>
          <w:b/>
          <w:sz w:val="36"/>
          <w:szCs w:val="36"/>
          <w:u w:val="single"/>
        </w:rPr>
        <w:t xml:space="preserve">Original Research Article </w:t>
      </w:r>
    </w:p>
    <w:p w14:paraId="323C521F" w14:textId="77777777" w:rsidR="00CF33AF" w:rsidRPr="00CF33AF" w:rsidRDefault="00CF33AF" w:rsidP="00CF33AF">
      <w:pPr>
        <w:pStyle w:val="NoSpacing"/>
        <w:jc w:val="left"/>
        <w:rPr>
          <w:b/>
          <w:sz w:val="36"/>
          <w:szCs w:val="36"/>
          <w:u w:val="single"/>
        </w:rPr>
      </w:pPr>
    </w:p>
    <w:p w14:paraId="1FE88FC9" w14:textId="5C50E008" w:rsidR="00C9197B" w:rsidRPr="003D04BF" w:rsidRDefault="00C9197B" w:rsidP="003D04BF">
      <w:pPr>
        <w:pStyle w:val="NoSpacing"/>
        <w:jc w:val="right"/>
        <w:rPr>
          <w:b/>
          <w:sz w:val="36"/>
          <w:szCs w:val="36"/>
        </w:rPr>
      </w:pPr>
      <w:r w:rsidRPr="003D04BF">
        <w:rPr>
          <w:b/>
          <w:sz w:val="36"/>
          <w:szCs w:val="36"/>
        </w:rPr>
        <w:t>Functional, Phytochemical and Vitamin Attributes of Millet-Based Gluten-Free Transitional Foods</w:t>
      </w:r>
    </w:p>
    <w:p w14:paraId="37E0CF16" w14:textId="77777777" w:rsidR="00A258C3" w:rsidRPr="003D04BF" w:rsidRDefault="00A258C3" w:rsidP="003D04BF">
      <w:pPr>
        <w:pStyle w:val="Author"/>
        <w:spacing w:line="240" w:lineRule="auto"/>
        <w:rPr>
          <w:rFonts w:ascii="Arial" w:hAnsi="Arial" w:cs="Arial"/>
          <w:sz w:val="22"/>
        </w:rPr>
      </w:pPr>
    </w:p>
    <w:p w14:paraId="6AA907FB" w14:textId="77777777" w:rsidR="00B01FCD" w:rsidRPr="00C749F3" w:rsidRDefault="000A1C9C" w:rsidP="00441B6F">
      <w:pPr>
        <w:pStyle w:val="Copyright"/>
        <w:spacing w:after="0" w:line="240" w:lineRule="auto"/>
        <w:jc w:val="both"/>
        <w:rPr>
          <w:rFonts w:ascii="Arial" w:hAnsi="Arial" w:cs="Arial"/>
          <w:sz w:val="20"/>
        </w:rPr>
        <w:sectPr w:rsidR="00B01FCD" w:rsidRPr="00C749F3" w:rsidSect="006F69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749F3">
        <w:rPr>
          <w:rFonts w:ascii="Arial" w:hAnsi="Arial" w:cs="Arial"/>
          <w:noProof/>
          <w:sz w:val="20"/>
        </w:rPr>
        <mc:AlternateContent>
          <mc:Choice Requires="wps">
            <w:drawing>
              <wp:inline distT="0" distB="0" distL="0" distR="0" wp14:anchorId="0EF5C0CB" wp14:editId="04F1EC43">
                <wp:extent cx="5303520" cy="0"/>
                <wp:effectExtent l="17145" t="10795" r="1333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08499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C749F3">
        <w:rPr>
          <w:rFonts w:ascii="Arial" w:hAnsi="Arial" w:cs="Arial"/>
          <w:sz w:val="20"/>
        </w:rPr>
        <w:t>.</w:t>
      </w:r>
    </w:p>
    <w:p w14:paraId="71A4076A" w14:textId="77777777" w:rsidR="00790ADA" w:rsidRPr="00C749F3" w:rsidRDefault="00B01FCD" w:rsidP="00441B6F">
      <w:pPr>
        <w:pStyle w:val="AbstHead"/>
        <w:spacing w:after="0"/>
        <w:jc w:val="both"/>
        <w:rPr>
          <w:rFonts w:ascii="Arial" w:hAnsi="Arial" w:cs="Arial"/>
          <w:sz w:val="20"/>
        </w:rPr>
      </w:pPr>
      <w:r w:rsidRPr="00C749F3">
        <w:rPr>
          <w:rFonts w:ascii="Arial" w:hAnsi="Arial" w:cs="Arial"/>
        </w:rPr>
        <w:t>ABSTRACT</w:t>
      </w:r>
      <w:r w:rsidR="0066510A" w:rsidRPr="00C749F3">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749F3" w14:paraId="5B918534" w14:textId="77777777" w:rsidTr="001E44FE">
        <w:tc>
          <w:tcPr>
            <w:tcW w:w="9576" w:type="dxa"/>
            <w:shd w:val="clear" w:color="auto" w:fill="F2F2F2"/>
          </w:tcPr>
          <w:p w14:paraId="3CBD688A" w14:textId="77777777" w:rsidR="00C9197B" w:rsidRPr="00C749F3" w:rsidRDefault="00C9197B" w:rsidP="00352B0E">
            <w:pPr>
              <w:pStyle w:val="NoSpacing"/>
            </w:pPr>
            <w:r w:rsidRPr="00C749F3">
              <w:rPr>
                <w:b/>
              </w:rPr>
              <w:t>Aim</w:t>
            </w:r>
            <w:r w:rsidRPr="00C749F3">
              <w:t>: For the growing interest in alternative gluten-free flour blends to whole wheat flour in transitional food production, selected functional properties, phytochemicals, and vitamin profiles of flour blends formulated were determined to ascertain their nutritional quality for gluten-free transitional food products.</w:t>
            </w:r>
          </w:p>
          <w:p w14:paraId="496059DD" w14:textId="77777777" w:rsidR="00C9197B" w:rsidRPr="00C749F3" w:rsidRDefault="00C9197B" w:rsidP="00352B0E">
            <w:pPr>
              <w:pStyle w:val="NoSpacing"/>
            </w:pPr>
          </w:p>
          <w:p w14:paraId="10644410" w14:textId="77777777" w:rsidR="00C9197B" w:rsidRPr="00C749F3" w:rsidRDefault="00C9197B" w:rsidP="00352B0E">
            <w:pPr>
              <w:pStyle w:val="NoSpacing"/>
              <w:rPr>
                <w:color w:val="000000"/>
              </w:rPr>
            </w:pPr>
            <w:r w:rsidRPr="00C749F3">
              <w:rPr>
                <w:b/>
                <w:color w:val="000000"/>
              </w:rPr>
              <w:t>Place and Duration of Study</w:t>
            </w:r>
            <w:r w:rsidRPr="00C749F3">
              <w:rPr>
                <w:color w:val="000000"/>
              </w:rPr>
              <w:t>: S</w:t>
            </w:r>
            <w:r w:rsidR="00252FF9" w:rsidRPr="00C749F3">
              <w:rPr>
                <w:color w:val="000000"/>
              </w:rPr>
              <w:t xml:space="preserve">ample preparation and functional properties </w:t>
            </w:r>
            <w:r w:rsidRPr="00C749F3">
              <w:rPr>
                <w:color w:val="000000"/>
              </w:rPr>
              <w:t xml:space="preserve">were carried out </w:t>
            </w:r>
            <w:r w:rsidR="00252FF9" w:rsidRPr="00C749F3">
              <w:rPr>
                <w:color w:val="000000"/>
              </w:rPr>
              <w:t xml:space="preserve">at the </w:t>
            </w:r>
            <w:r w:rsidRPr="00C749F3">
              <w:t xml:space="preserve">Food Technology Laboratory, </w:t>
            </w:r>
            <w:proofErr w:type="spellStart"/>
            <w:r w:rsidRPr="00C749F3">
              <w:t>Auchi</w:t>
            </w:r>
            <w:proofErr w:type="spellEnd"/>
            <w:r w:rsidRPr="00C749F3">
              <w:t xml:space="preserve"> Polytechnic, </w:t>
            </w:r>
            <w:proofErr w:type="spellStart"/>
            <w:r w:rsidRPr="00C749F3">
              <w:t>Auchi</w:t>
            </w:r>
            <w:proofErr w:type="spellEnd"/>
            <w:r w:rsidRPr="00C749F3">
              <w:t xml:space="preserve">, Nigeria </w:t>
            </w:r>
            <w:r w:rsidR="00252FF9" w:rsidRPr="00C749F3">
              <w:t>while phytochemicals and vitamins were determined at Food Science and Technology Laboratory, Federal University of Technology, Akure, Nigeria between January and July, 2025</w:t>
            </w:r>
            <w:r w:rsidRPr="00C749F3">
              <w:t>.</w:t>
            </w:r>
          </w:p>
          <w:p w14:paraId="7193C5F1" w14:textId="77777777" w:rsidR="00C9197B" w:rsidRPr="00C749F3" w:rsidRDefault="00C9197B" w:rsidP="00352B0E">
            <w:pPr>
              <w:pStyle w:val="NoSpacing"/>
            </w:pPr>
          </w:p>
          <w:p w14:paraId="4D1DAE3A" w14:textId="77777777" w:rsidR="00252FF9" w:rsidRPr="00C749F3" w:rsidRDefault="00252FF9" w:rsidP="00352B0E">
            <w:pPr>
              <w:pStyle w:val="NoSpacing"/>
              <w:rPr>
                <w:color w:val="000000"/>
              </w:rPr>
            </w:pPr>
            <w:r w:rsidRPr="00C749F3">
              <w:rPr>
                <w:b/>
              </w:rPr>
              <w:t>Methodology</w:t>
            </w:r>
            <w:r w:rsidRPr="00C749F3">
              <w:t>: Blends of millet flour with banana and soybeans</w:t>
            </w:r>
            <w:r w:rsidRPr="00C749F3">
              <w:rPr>
                <w:color w:val="000000"/>
              </w:rPr>
              <w:t xml:space="preserve"> were formulated in the ratios </w:t>
            </w:r>
            <w:r w:rsidRPr="00C749F3">
              <w:t>60:</w:t>
            </w:r>
            <w:r w:rsidRPr="00C749F3">
              <w:rPr>
                <w:rFonts w:eastAsia="TimesNewRoman"/>
              </w:rPr>
              <w:t>20:20 (MBS</w:t>
            </w:r>
            <w:r w:rsidRPr="00C749F3">
              <w:rPr>
                <w:rFonts w:eastAsia="TimesNewRoman"/>
                <w:vertAlign w:val="subscript"/>
              </w:rPr>
              <w:t>1</w:t>
            </w:r>
            <w:r w:rsidRPr="00C749F3">
              <w:rPr>
                <w:rFonts w:eastAsia="TimesNewRoman"/>
              </w:rPr>
              <w:t>) and 50:30:20 (MBS</w:t>
            </w:r>
            <w:r w:rsidRPr="00C749F3">
              <w:rPr>
                <w:rFonts w:eastAsia="TimesNewRoman"/>
                <w:vertAlign w:val="subscript"/>
              </w:rPr>
              <w:t>2</w:t>
            </w:r>
            <w:r w:rsidRPr="00C749F3">
              <w:rPr>
                <w:rFonts w:eastAsia="TimesNewRoman"/>
              </w:rPr>
              <w:t>)</w:t>
            </w:r>
            <w:r w:rsidRPr="00C749F3">
              <w:t xml:space="preserve"> with multiple Design Expert® version 11.0, </w:t>
            </w:r>
            <w:r w:rsidRPr="00C749F3">
              <w:rPr>
                <w:color w:val="000000"/>
              </w:rPr>
              <w:t xml:space="preserve">and their functional, phytochemical and vitamin profiles were compared with those of a commercial flour (CFL) and a whole wheat flour (WFL). </w:t>
            </w:r>
          </w:p>
          <w:p w14:paraId="06B1D4B2" w14:textId="77777777" w:rsidR="00252FF9" w:rsidRPr="00C749F3" w:rsidRDefault="00252FF9" w:rsidP="00352B0E">
            <w:pPr>
              <w:pStyle w:val="NoSpacing"/>
            </w:pPr>
          </w:p>
          <w:p w14:paraId="6F395A2C" w14:textId="77777777" w:rsidR="00252FF9" w:rsidRPr="00C749F3" w:rsidRDefault="00252FF9" w:rsidP="00352B0E">
            <w:pPr>
              <w:pStyle w:val="NoSpacing"/>
            </w:pPr>
            <w:r w:rsidRPr="00C749F3">
              <w:rPr>
                <w:b/>
                <w:color w:val="000000"/>
              </w:rPr>
              <w:t>Results</w:t>
            </w:r>
            <w:r w:rsidRPr="00C749F3">
              <w:rPr>
                <w:color w:val="000000"/>
              </w:rPr>
              <w:t xml:space="preserve">: An increasing order of </w:t>
            </w:r>
            <w:r w:rsidRPr="00C749F3">
              <w:t>bulk density &lt; viscosity &lt; least gelation concentration &lt; solubility &lt; swelling power &lt; water absorption capacity (p &lt; 0.05) was observed for all the samples. Phytate contents of the millet-based flour blends (MBS</w:t>
            </w:r>
            <w:r w:rsidRPr="00C749F3">
              <w:rPr>
                <w:vertAlign w:val="subscript"/>
              </w:rPr>
              <w:t>1</w:t>
            </w:r>
            <w:r w:rsidRPr="00C749F3">
              <w:t xml:space="preserve"> and MBS</w:t>
            </w:r>
            <w:r w:rsidRPr="00C749F3">
              <w:rPr>
                <w:vertAlign w:val="subscript"/>
              </w:rPr>
              <w:t>2</w:t>
            </w:r>
            <w:r w:rsidRPr="00C749F3">
              <w:t>) were lower than those of CFL and WFL. Tannins followed the same trend in the samples. Phenol contents ranged from 0.22 mg/g in WFL to 9.30 mg/g in CFL while oxalate contents ranged from 2.97 mg/g in CFL to 4.50 mg/g in MBS</w:t>
            </w:r>
            <w:r w:rsidRPr="00C749F3">
              <w:rPr>
                <w:vertAlign w:val="subscript"/>
              </w:rPr>
              <w:t>2</w:t>
            </w:r>
            <w:r w:rsidRPr="00C749F3">
              <w:t>. Vitamins B</w:t>
            </w:r>
            <w:r w:rsidRPr="00C749F3">
              <w:rPr>
                <w:vertAlign w:val="subscript"/>
              </w:rPr>
              <w:t>1</w:t>
            </w:r>
            <w:r w:rsidRPr="00C749F3">
              <w:t>, B</w:t>
            </w:r>
            <w:r w:rsidRPr="00C749F3">
              <w:rPr>
                <w:vertAlign w:val="subscript"/>
              </w:rPr>
              <w:t>12</w:t>
            </w:r>
            <w:r w:rsidRPr="00C749F3">
              <w:t xml:space="preserve"> and C in the samples were within the RDA with slight deviation of vitamin B</w:t>
            </w:r>
            <w:r w:rsidRPr="00C749F3">
              <w:rPr>
                <w:vertAlign w:val="subscript"/>
              </w:rPr>
              <w:t>12</w:t>
            </w:r>
            <w:r w:rsidRPr="00C749F3">
              <w:t xml:space="preserve"> in MBS</w:t>
            </w:r>
            <w:r w:rsidRPr="00C749F3">
              <w:rPr>
                <w:vertAlign w:val="subscript"/>
              </w:rPr>
              <w:t>2</w:t>
            </w:r>
            <w:r w:rsidRPr="00C749F3">
              <w:t xml:space="preserve">. </w:t>
            </w:r>
          </w:p>
          <w:p w14:paraId="06453BF4" w14:textId="77777777" w:rsidR="00252FF9" w:rsidRPr="00C749F3" w:rsidRDefault="00252FF9" w:rsidP="00352B0E">
            <w:pPr>
              <w:pStyle w:val="NoSpacing"/>
            </w:pPr>
          </w:p>
          <w:p w14:paraId="2919BDC2" w14:textId="77777777" w:rsidR="00252FF9" w:rsidRPr="00C749F3" w:rsidRDefault="00252FF9" w:rsidP="00352B0E">
            <w:pPr>
              <w:pStyle w:val="NoSpacing"/>
            </w:pPr>
            <w:r w:rsidRPr="00C749F3">
              <w:rPr>
                <w:b/>
              </w:rPr>
              <w:t>Conclusion</w:t>
            </w:r>
            <w:r w:rsidRPr="00C749F3">
              <w:t>: The formulated products, MBS</w:t>
            </w:r>
            <w:r w:rsidRPr="00C749F3">
              <w:rPr>
                <w:vertAlign w:val="subscript"/>
              </w:rPr>
              <w:t>1</w:t>
            </w:r>
            <w:r w:rsidRPr="00C749F3">
              <w:t xml:space="preserve"> and MBS</w:t>
            </w:r>
            <w:r w:rsidRPr="00C749F3">
              <w:rPr>
                <w:vertAlign w:val="subscript"/>
              </w:rPr>
              <w:t>2</w:t>
            </w:r>
            <w:r w:rsidRPr="00C749F3">
              <w:t xml:space="preserve"> had functional and nutritional values with potentials to serve as alternatives to whole wheat flour and commercial weaning foods.</w:t>
            </w:r>
          </w:p>
        </w:tc>
      </w:tr>
    </w:tbl>
    <w:p w14:paraId="78B011E6" w14:textId="77777777" w:rsidR="00636EB2" w:rsidRPr="00C749F3" w:rsidRDefault="00636EB2" w:rsidP="00441B6F">
      <w:pPr>
        <w:pStyle w:val="Body"/>
        <w:spacing w:after="0"/>
        <w:rPr>
          <w:rFonts w:ascii="Arial" w:hAnsi="Arial" w:cs="Arial"/>
          <w:i/>
        </w:rPr>
      </w:pPr>
    </w:p>
    <w:p w14:paraId="15ABA7FB" w14:textId="77777777" w:rsidR="00252FF9" w:rsidRPr="00C749F3" w:rsidRDefault="00A24E7E" w:rsidP="00252FF9">
      <w:pPr>
        <w:pStyle w:val="Body"/>
        <w:spacing w:after="0"/>
        <w:rPr>
          <w:rFonts w:ascii="Arial" w:hAnsi="Arial" w:cs="Arial"/>
          <w:i/>
        </w:rPr>
      </w:pPr>
      <w:r w:rsidRPr="00C749F3">
        <w:rPr>
          <w:rFonts w:ascii="Arial" w:hAnsi="Arial" w:cs="Arial"/>
          <w:i/>
        </w:rPr>
        <w:t xml:space="preserve">Keywords: </w:t>
      </w:r>
      <w:r w:rsidR="00252FF9" w:rsidRPr="003A6E75">
        <w:rPr>
          <w:rFonts w:ascii="Arial" w:hAnsi="Arial" w:cs="Arial"/>
          <w:i/>
        </w:rPr>
        <w:t>Transitional food; Phytochemicals; Vitamins; Gluten-free flour</w:t>
      </w:r>
    </w:p>
    <w:p w14:paraId="755812BC" w14:textId="77777777" w:rsidR="00790ADA" w:rsidRPr="00C749F3" w:rsidRDefault="00790ADA" w:rsidP="00441B6F">
      <w:pPr>
        <w:pStyle w:val="Body"/>
        <w:spacing w:after="0"/>
        <w:rPr>
          <w:rFonts w:ascii="Arial" w:hAnsi="Arial" w:cs="Arial"/>
          <w:i/>
        </w:rPr>
      </w:pPr>
    </w:p>
    <w:p w14:paraId="4ED3AC3C" w14:textId="77777777" w:rsidR="007F7B32" w:rsidRPr="00C749F3" w:rsidRDefault="00902823" w:rsidP="00441B6F">
      <w:pPr>
        <w:pStyle w:val="AbstHead"/>
        <w:spacing w:after="0"/>
        <w:jc w:val="both"/>
        <w:rPr>
          <w:rFonts w:ascii="Arial" w:hAnsi="Arial" w:cs="Arial"/>
          <w:sz w:val="20"/>
        </w:rPr>
      </w:pPr>
      <w:r w:rsidRPr="00C749F3">
        <w:rPr>
          <w:rFonts w:ascii="Arial" w:hAnsi="Arial" w:cs="Arial"/>
          <w:sz w:val="20"/>
        </w:rPr>
        <w:t xml:space="preserve">1. </w:t>
      </w:r>
      <w:r w:rsidR="00B01FCD" w:rsidRPr="00C749F3">
        <w:rPr>
          <w:rFonts w:ascii="Arial" w:hAnsi="Arial" w:cs="Arial"/>
          <w:sz w:val="20"/>
        </w:rPr>
        <w:t>INTRODUCTION</w:t>
      </w:r>
      <w:r w:rsidR="007F7B32" w:rsidRPr="00C749F3">
        <w:rPr>
          <w:rFonts w:ascii="Arial" w:hAnsi="Arial" w:cs="Arial"/>
          <w:sz w:val="20"/>
        </w:rPr>
        <w:t xml:space="preserve"> </w:t>
      </w:r>
    </w:p>
    <w:p w14:paraId="2983500B" w14:textId="77777777" w:rsidR="00F44E54" w:rsidRPr="00C749F3" w:rsidRDefault="00F44E54" w:rsidP="00441B6F">
      <w:pPr>
        <w:pStyle w:val="AbstHead"/>
        <w:spacing w:after="0"/>
        <w:jc w:val="both"/>
        <w:rPr>
          <w:rFonts w:ascii="Arial" w:hAnsi="Arial" w:cs="Arial"/>
          <w:sz w:val="20"/>
        </w:rPr>
      </w:pPr>
    </w:p>
    <w:p w14:paraId="2DA26C19" w14:textId="77777777" w:rsidR="00252FF9" w:rsidRPr="00C749F3" w:rsidRDefault="00252FF9" w:rsidP="00352B0E">
      <w:pPr>
        <w:pStyle w:val="NoSpacing"/>
      </w:pPr>
      <w:r w:rsidRPr="00C749F3">
        <w:t xml:space="preserve">In bakery and pasta industries, the rising demand for gluten-free products has called for the replacement of wheat flour by blend of flours, due to resulting health disorders such as celiac disease associated with consumption of wheat </w:t>
      </w:r>
      <w:r w:rsidRPr="00C749F3">
        <w:fldChar w:fldCharType="begin" w:fldLock="1"/>
      </w:r>
      <w:r w:rsidRPr="00C749F3">
        <w:instrText>ADDIN CSL_CITATION {"citationItems":[{"id":"ITEM-1","itemData":{"author":[{"dropping-particle":"","family":"Kiin-Kabari","given":"David B","non-dropping-particle":"","parse-names":false,"suffix":""}],"id":"ITEM-1","issue":"July","issued":{"date-parts":[["2019"]]},"title":"Effects of Processing Methods on the Nutrient Composition and Sensory attributes of Cookies Produced from Wheat and Sesame Seed Flour Blends Effects of Processing Methods on the Nutrient Composition and Sensory Attributes of Cookies Produced from Wheat an","type":"article-journal"},"uris":["http://www.mendeley.com/documents/?uuid=3e7d68ac-4dbe-4fc7-9143-502e44da548c"]},{"id":"ITEM-2","itemData":{"DOI":"10.9734/afsj/2019/v10i330039","abstract":"Aim: To evaluate effect of carrot powder addition on the quality attributes of cookies produced from wheat and soy flour blends.\r Study Design: Cookies were produced from wheat flour, soy flour and carrot powder composite blends. Functional (bulk density, foam capacity, oil absorption capacity, water absorption capacity and swelling index) properties, Proximate (crude protein, ash, moisture, crude fibre, crude fat, carbohydrate and energy value) composition, Physical (weight, diameter, thickness and spread ratio) and sensory (appearance, flavour, taste, texture and overall acceptability) attributes were determined.\r Results: The functional properties showed that Bulk Density ranged from 0.82 – 0.92, Foam capacity ranged 3.92 – 5.00, Oil Absorption Capacity ranged from 0.60 – 0.97%, Water Absorption Capacity ranged from 1.05 – 1.45% and Swelling Index ranged from 2.37 – 2.75. Results of percentage proximate composition showed that moisture content ranged from 4.70 – 7.57, protein content ranged from 10.61 – 21.60, fat content ranged from 8.89 – 15.85, fibre content ranged from 1.39 – 4.30, ash content ranged from 0.70 – 1.23 and carbohydrate content ranged from 52.34 – 70.84. The physical properties showed that weight of the cookies ranged from 17.85 – 21.60, diameter ranged from 57.50 – 60.50, thickness ranged from 20.50 – 24.00 and spread ratio ranged from 2.40 – 2.91. The sensory attribute showed that cookies produced from wheat flour, soy flour and carrot powder compared well with cookies produced with wheat flour. The wheat flour cookie sample (A) was most preferred by the panellist.\r Conclusion: The functional properties of the composite flour produced from wheat, soybean and carrot powder show potential quality that when properly harnessed could be used for the production of baked product like biscuits, pastry etc. The proximate composition shows that the composite flour cookies were the most preferred sample to the 100% wheat flour cookies. This is due to its high protein, fat, ash and fibre content to that of thee 100% wheat cookies. However, in terms of proximate composition, the composite cookies were most acceptable. The physical property of the cookies indicates that the composite flour cookies were most preferred to the 100% wheat cookie. This could be seen from the high values it’s had in weight, diameter and spread ratio. However, the sensory score of the overall acceptability shows that the 100% wheat cookies were most acceptable. Though…","author":[{"dropping-particle":"","family":"Ukeyima","given":"M. T.","non-dropping-particle":"","parse-names":false,"suffix":""},{"dropping-particle":"","family":"Dendegh","given":"T. A.","non-dropping-particle":"","parse-names":false,"suffix":""},{"dropping-particle":"","family":"Okeke","given":"P. C.","non-dropping-particle":"","parse-names":false,"suffix":""}],"container-title":"Asian Food Science Journal","id":"ITEM-2","issued":{"date-parts":[["2019"]]},"title":"Effect of Carrot Powder Addition on the Quality Attributes of Cookies Produced from Wheat and Soy Flour Blends","type":"article-journal"},"uris":["http://www.mendeley.com/documents/?uuid=177576dd-b89b-3369-a3bf-93a7a247ce1c"]},{"id":"ITEM-3","itemData":{"DOI":"10.9734/afsj/2020/v14i130120","abstract":"Biscuits were produced from wheat, African walnut and Moringa seed flour blends and chemical, physical, in-vitro protein digestibility, ant-nutrient and sensory properties of the products were evaluated. Chemical compositions of the biscuit samples revealed that sample E was significantly higher (p &lt; 0.05) in ether extract (30.16%) and ash (4.20%) while sample F had a significantly higher protein content of 11.41%. The weight of the biscuit samples increased with increasing substitution levels with Moringa seed flour from 9.73–12.08 g. The heights of the samples were not affected by substitution levels. In-vitro protein digestibility values of the biscuits showed remarkable improvement from 11.03% for the control sample to 69.03% for sample E. Anti-nutrient content of the formulated biscuits showed that oxalate had values ranging from 18.68–35.71mg/100g, phytate 0.61–9.21mg/100g, saponin 0.46–8.41%, trypsin inhibitor 2.31–6.80mg/100g, tannin 18.68–35.71 mg/100g and cyanide 0.02–0.44mg/100g. Sensory evaluation scores showed decreasing values in flavour and overall acceptability with increased levels of substitution with Moringa seed flour (7.5–10%) in the biscuit formulation. Although, these substitution levels led to an improvement in protein content, fibre and protein digestibility of the biscuit samples.","author":[{"dropping-particle":"","family":"Wabali","given":"V. C.","non-dropping-particle":"","parse-names":false,"suffix":""},{"dropping-particle":"","family":"Giami","given":"S. Y.","non-dropping-particle":"","parse-names":false,"suffix":""},{"dropping-particle":"","family":"Kiin-Kabari","given":"D. B.","non-dropping-particle":"","parse-names":false,"suffix":""},{"dropping-particle":"","family":"Akusu","given":"O. M.","non-dropping-particle":"","parse-names":false,"suffix":""}],"container-title":"Asian Food Science Journal","id":"ITEM-3","issued":{"date-parts":[["2020"]]},"title":"Physiochemical, Anti-nutrient and in-vitro Protein Digestibility of Biscuits Produced from Wheat, African Walnut and Moringa Seed Flour Blends","type":"article-journal"},"uris":["http://www.mendeley.com/documents/?uuid=cae463bb-5d81-3ee9-829e-8775a917ceec"]}],"mendeley":{"formattedCitation":"(Kiin-Kabari, 2019; Ukeyima et al., 2019; Wabali et al., 2020)","manualFormatting":"(Wabali et al., 2020)","plainTextFormattedCitation":"(Kiin-Kabari, 2019; Ukeyima et al., 2019; Wabali et al., 2020)","previouslyFormattedCitation":"&lt;sup&gt;1–3&lt;/sup&gt;"},"properties":{"noteIndex":0},"schema":"https://github.com/citation-style-language/schema/raw/master/csl-citation.json"}</w:instrText>
      </w:r>
      <w:r w:rsidRPr="00C749F3">
        <w:fldChar w:fldCharType="separate"/>
      </w:r>
      <w:r w:rsidRPr="00C749F3">
        <w:rPr>
          <w:noProof/>
        </w:rPr>
        <w:t xml:space="preserve">(Wabali </w:t>
      </w:r>
      <w:r w:rsidRPr="00C749F3">
        <w:rPr>
          <w:i/>
          <w:noProof/>
        </w:rPr>
        <w:t>et al</w:t>
      </w:r>
      <w:r w:rsidRPr="00C749F3">
        <w:rPr>
          <w:noProof/>
        </w:rPr>
        <w:t>., 2020)</w:t>
      </w:r>
      <w:r w:rsidRPr="00C749F3">
        <w:fldChar w:fldCharType="end"/>
      </w:r>
      <w:r w:rsidRPr="00C749F3">
        <w:t xml:space="preserve">. A blend of flours has been defined as one that is freely available, culturally acceptable, affordable and capable of competing with the nutritional and functional values of wheat </w:t>
      </w:r>
      <w:r w:rsidRPr="00C749F3">
        <w:fldChar w:fldCharType="begin" w:fldLock="1"/>
      </w:r>
      <w:r w:rsidRPr="00C749F3">
        <w:instrText>ADDIN CSL_CITATION {"citationItems":[{"id":"ITEM-1","itemData":{"DOI":"10.3923/ajft.2012.398.408","ISSN":"15574571","abstract":"The cookie making potentials of unripe plantain and defatted sesame flours blended at different proportions were evaluated. The peak viscosity, trough, final viscosity and setback values of composite blends were higher than 100% wheat flour. The protein, fat, ash and crude fiber contents of unripe plantain-defatted sesame cookies were significantly (p&lt;0.05) higher than control while carbohydrate contents decreased. The composite cookies had low total sugar (11.59 to 12.97%) than control (14.35%), low in vitro starch digestibility (32.68 to 43.39%) than wheat cookie (53.42%) and high protein digestibility (70.28 to 80.11%) than control (72.05%). The iron and magnesium contents of composite cookies were significantly (p&lt;0.05) higher with low sodium content than control. The diameter and thickness of composite cookies were not significantly (p&gt;0.05) different from control while weight of former was significantly higher than latter. There were no significant (p&gt;0.05) differences in sensory properties between composite cookies and control. © 2012 Academic Journals Inc.","author":[{"dropping-particle":"","family":"Chinma","given":"C. E.","non-dropping-particle":"","parse-names":false,"suffix":""},{"dropping-particle":"","family":"Igbabul","given":"B. D.","non-dropping-particle":"","parse-names":false,"suffix":""},{"dropping-particle":"","family":"Omotayo","given":"O. O.","non-dropping-particle":"","parse-names":false,"suffix":""}],"container-title":"American Journal of Food Technology","id":"ITEM-1","issue":"7","issued":{"date-parts":[["2012"]]},"title":"Quality characteristics of cookies prepared from unripe plantain and defatted sesame flour blends","type":"article-journal","volume":"7"},"uris":["http://www.mendeley.com/documents/?uuid=75acf8de-1d9d-37a4-81ba-244a7d9eabe0"]}],"mendeley":{"formattedCitation":"(Chinma et al., 2012)","plainTextFormattedCitation":"(Chinma et al., 2012)","previouslyFormattedCitation":"&lt;sup&gt;4&lt;/sup&gt;"},"properties":{"noteIndex":0},"schema":"https://github.com/citation-style-language/schema/raw/master/csl-citation.json"}</w:instrText>
      </w:r>
      <w:r w:rsidRPr="00C749F3">
        <w:fldChar w:fldCharType="separate"/>
      </w:r>
      <w:r w:rsidRPr="00C749F3">
        <w:rPr>
          <w:noProof/>
        </w:rPr>
        <w:t>(Chinma et al., 2012)</w:t>
      </w:r>
      <w:r w:rsidRPr="00C749F3">
        <w:fldChar w:fldCharType="end"/>
      </w:r>
      <w:r w:rsidRPr="00C749F3">
        <w:t>.</w:t>
      </w:r>
    </w:p>
    <w:p w14:paraId="4B19B41A" w14:textId="77777777" w:rsidR="00252FF9" w:rsidRPr="003A6E75" w:rsidRDefault="00252FF9" w:rsidP="00352B0E">
      <w:pPr>
        <w:pStyle w:val="NoSpacing"/>
        <w:rPr>
          <w:rStyle w:val="markedcontent"/>
        </w:rPr>
      </w:pPr>
      <w:r w:rsidRPr="00C749F3">
        <w:t xml:space="preserve">Functional properties such as solubility, swelling power, water absorption capacity, oil absorption capacity, foam capacity and stability, gelation, and viscosity are among food properties, which are non-nutritional value, but affect processing and utilization </w:t>
      </w:r>
      <w:r w:rsidRPr="00C749F3">
        <w:fldChar w:fldCharType="begin" w:fldLock="1"/>
      </w:r>
      <w:r w:rsidRPr="00C749F3">
        <w:instrText>ADDIN CSL_CITATION {"citationItems":[{"id":"ITEM-1","itemData":{"DOI":"10.1016/j.foodres.2009.09.003","ISSN":"09639969","abstract":"Pulses (pea, chickpea, lentil, bean) are an important source of food proteins. They contain high amounts of lysine, leucine, aspartic acid, glutamic acid and arginine and provide well balanced essential amino acid profiles when consumed with cereals and other foods rich in sulphur-containing amino acids and tryptophan. The protein content of most pulse legumes fall within the range of 17-30% (d.w.b.). Apart from their nutritional properties, pulse proteins also possess functional properties that play an important role in food formulation and processing. Examples of such functional properties include solubility, water and fat binding capacity and foaming. Various research studies indicate that some functional properties of pulse proteins may be comparable to those of other frequently used proteins such as soy and whey. The functional properties of pulse proteins have been exploited in the preparation and development of products such as bakery products, soups, extruded products and ready to eat snacks. The growing body of research on the health benefits associated with the consumption of pulses has increased interest in developing innovative technologies to expand the use of pulses in food products. At the same time, there are growing global food security challenges and protein malnutrition continues to be a problem in many countries around the world. Pulses, especially when blended with cereal proteins, may offer a promising alternative source for nutritional and functional proteins. This review provides an overview of the characteristics of pulse proteins, current and emerging techniques for their fractionation, their major functional properties and opportunities for their use in various applications. Crown Copyright © 2009.","author":[{"dropping-particle":"","family":"Boye","given":"Joyce","non-dropping-particle":"","parse-names":false,"suffix":""},{"dropping-particle":"","family":"Zare","given":"Fatemeh","non-dropping-particle":"","parse-names":false,"suffix":""},{"dropping-particle":"","family":"Pletch","given":"Alison","non-dropping-particle":"","parse-names":false,"suffix":""}],"container-title":"Food Research International","id":"ITEM-1","issue":"2","issued":{"date-parts":[["2010"]]},"title":"Pulse proteins: Processing, characterization, functional properties and applications in food and feed","type":"article","volume":"43"},"uris":["http://www.mendeley.com/documents/?uuid=2de36025-377d-3941-bfab-e9d95bb0edf3"]},{"id":"ITEM-2","itemData":{"DOI":"10.1016/j.lwt.2015.01.031","ISSN":"00236438","abstract":"Physicochemical composition and techno-functional properties of bee pollens collected in Serbia were assessed. Analysed bee pollen contained 14.81-27.25% proteins, 1.31-6.78% lipids, 64.42-81.84% carbohydrates and 1.18-3.21% ash, with mean energy value of 375kcal. Bee pollen showed low protein solubility (2.79-25.90g/100g), high carbohydrate solubility (31.2-75g/100g), good emulsifying properties (emulsion stability index ranged from 19.6 to 49.3min and emulsion activity index ranged from 10.40 to 24.52m2/g), non-foaming properties, poor water absorption capacity (0.92-2.25g/g) and excellent oil absorption capacity (1-3.53g/g). Protein solubility was positively correlated with carbohydrate content (r=0.73, p&lt;0.05), but negatively with ash and lipid content (r=-0.39, r=-0.46, p&lt;0.05, respectively). The total protein content and lipid content were shown positive relationship with carbohydrate solubility (r=0.39, r=0.45, p&lt;0.05, respectively). Emulsion stability was positively correlated with protein solubility (r=0.47, p&lt;0.05), whereas emulsion activity was negatively correlated with this parameter (r=-0.39, p&lt;0.05). Water and oil absorption capacity were not shown significant correlations with other investigated parameters. The obtained data indicated that bee pollen could find useful application as food ingredient in variety of food products.","author":[{"dropping-particle":"","family":"Kostić","given":"Aleksandar T.","non-dropping-particle":"","parse-names":false,"suffix":""},{"dropping-particle":"","family":"Barać","given":"Miroljub B.","non-dropping-particle":"","parse-names":false,"suffix":""},{"dropping-particle":"","family":"Stanojević","given":"Sladjana P.","non-dropping-particle":"","parse-names":false,"suffix":""},{"dropping-particle":"","family":"Milojković-Opsenica","given":"Dušanka M.","non-dropping-particle":"","parse-names":false,"suffix":""},{"dropping-particle":"","family":"Tešić","given":"Živoslav Lj","non-dropping-particle":"","parse-names":false,"suffix":""},{"dropping-particle":"","family":"Šikoparija","given":"Branko","non-dropping-particle":"","parse-names":false,"suffix":""},{"dropping-particle":"","family":"Radišić","given":"Predrag","non-dropping-particle":"","parse-names":false,"suffix":""},{"dropping-particle":"","family":"Prentović","given":"Marija","non-dropping-particle":"","parse-names":false,"suffix":""},{"dropping-particle":"","family":"Pešić","given":"Mirjana B.","non-dropping-particle":"","parse-names":false,"suffix":""}],"container-title":"LWT","id":"ITEM-2","issue":"1","issued":{"date-parts":[["2015"]]},"title":"Physicochemical composition and techno-functional properties of bee pollen collected in Serbia","type":"article-journal","volume":"62"},"uris":["http://www.mendeley.com/documents/?uuid=d1cdc9db-5c32-3b56-b6e6-50febf639478"]},{"id":"ITEM-3","itemData":{"DOI":"10.3390/foods11050724","ISSN":"23048158","abstract":"Due to their protein content and balanced amino acid profile, edible insects have been described as an excellent alternative protein source to combat malnutrition. As the global population continues to grow, edible insects such as the black soldier fly larvae (BSFL) may contribute to food security. The effect of different protein extraction methods, i.e., alkaline solution and acid precipitation (BSFL-PC1) and extraction with an alkali (BSFL-PC2), on the nutritional, techno-functional, and structural properties of BSFL flours and protein concentrates were studied. The highest protein content (73.35%) was obtained under alkaline and acid precipitation extraction (BSFL-PC1). The sum of essential amino acids significantly increased (p &lt; 0.05) from 24.98% to 38.20% due to the defatting process during extraction. Protein solubility was significantly higher in protein concentrates (85–97%) than flours (30–35%) at pH 2. The emulsion capacity (EC) was significantly higher (p &lt; 0.05) in the protein concentrates (BSFL-PC1 and BSFL-PC2) compared to the freeze-dried and defatted BSFL flours, while the emulsion stability (ES) was significantly (p &lt; 0.05) higher in BSFL-PC1 (100%) compared with BSFL-PC2 (49.8%). No significant differences (p &gt; 0.05) were observed in foaming stability (FS) between freeze-dried and defatted BSFL flours. Fourier transform infrared spectroscopy (FT-IR) analysis revealed distinct structural differences between BSFL flours and protein concentrates. This was supported by surface morphology through scanning electron microscopy (SEM) images, which showed that the protein extraction method influenced the structural properties of the protein concentrates. Therefore, based on the nutritional and techno-functional properties, BSFL flour fractions and protein concentrates show promise as novel functional ingredients for use in food applications.","author":[{"dropping-particle":"","family":"Mshayisa","given":"Vusi Vincent","non-dropping-particle":"","parse-names":false,"suffix":""},{"dropping-particle":"","family":"Wyk","given":"Jessy","non-dropping-particle":"Van","parse-names":false,"suffix":""},{"dropping-particle":"","family":"Zozo","given":"Bongisiwe","non-dropping-particle":"","parse-names":false,"suffix":""}],"container-title":"Foods","id":"ITEM-3","issue":"5","issued":{"date-parts":[["2022"]]},"title":"Nutritional, Techno-Functional and Structural Properties of Black Soldier Fly (Hermetia illucens) Larvae Flours and Protein Concentrates","type":"article-journal","volume":"11"},"uris":["http://www.mendeley.com/documents/?uuid=2dac53b6-1400-329e-9ec6-4bd53257c23b"]}],"mendeley":{"formattedCitation":"(Boye et al., 2010; Kostić et al., 2015; Mshayisa et al., 2022)","manualFormatting":"(Mshayisa et al., 2022)","plainTextFormattedCitation":"(Boye et al., 2010; Kostić et al., 2015; Mshayisa et al., 2022)","previouslyFormattedCitation":"&lt;sup&gt;5–7&lt;/sup&gt;"},"properties":{"noteIndex":0},"schema":"https://github.com/citation-style-language/schema/raw/master/csl-citation.json"}</w:instrText>
      </w:r>
      <w:r w:rsidRPr="00C749F3">
        <w:fldChar w:fldCharType="separate"/>
      </w:r>
      <w:r w:rsidRPr="00C749F3">
        <w:rPr>
          <w:noProof/>
        </w:rPr>
        <w:t xml:space="preserve">(Mshayisa </w:t>
      </w:r>
      <w:r w:rsidRPr="00C749F3">
        <w:rPr>
          <w:i/>
          <w:noProof/>
        </w:rPr>
        <w:t>et al</w:t>
      </w:r>
      <w:r w:rsidRPr="00C749F3">
        <w:rPr>
          <w:noProof/>
        </w:rPr>
        <w:t>., 2022)</w:t>
      </w:r>
      <w:r w:rsidRPr="00C749F3">
        <w:fldChar w:fldCharType="end"/>
      </w:r>
      <w:r w:rsidRPr="00C749F3">
        <w:t xml:space="preserve">. </w:t>
      </w:r>
      <w:r w:rsidRPr="003A6E75">
        <w:t>Their interaction with water, inter-molecular interaction, polar molecules and non-</w:t>
      </w:r>
      <w:r w:rsidRPr="003A6E75">
        <w:lastRenderedPageBreak/>
        <w:t xml:space="preserve">polar molecules </w:t>
      </w:r>
      <w:r w:rsidRPr="003A6E75">
        <w:rPr>
          <w:rStyle w:val="markedcontent"/>
        </w:rPr>
        <w:t xml:space="preserve">influence the suitability of flour blends for bakery products </w:t>
      </w:r>
      <w:r w:rsidRPr="003A6E75">
        <w:rPr>
          <w:rStyle w:val="markedcontent"/>
        </w:rPr>
        <w:fldChar w:fldCharType="begin" w:fldLock="1"/>
      </w:r>
      <w:r w:rsidRPr="003A6E75">
        <w:rPr>
          <w:rStyle w:val="markedcontent"/>
        </w:rPr>
        <w:instrText>ADDIN CSL_CITATION {"citationItems":[{"id":"ITEM-1","itemData":{"DOI":"10.26656/fr.2017.4(6).419","ISSN":"25502166","abstract":"Incorporation of composite flour into wheat flour for bakery goods production is expected to produce an effect in the functional properties of the blended samples. Functional properties of composite flour have been studied in most of the developing countries which used and imported a large amount of wheat flour to fulfil the increasing number of consumers as the higher demand in the development of bakery and pastry products. In this review paper, the characteristics of composite flours were reviewed to determine the suitability of the raw materials to be used in the production of food products. The functional properties such as water and oil absorption capability, foam ability, emulsion capability, least gelation concentration, and particle size distribution might indicate the capability of the composite flour before proceeding to the development of food products were reviewed. The functionality of composite flour was found to be beneficial to enhance the variety of food products with acceptable appearance, organoleptic, nutrition, and low cost to fulfil consumer demands.","author":[{"dropping-particle":"","family":"Hasmadi","given":"M.","non-dropping-particle":"","parse-names":false,"suffix":""},{"dropping-particle":"","family":"Noorfarahzilah","given":"M.","non-dropping-particle":"","parse-names":false,"suffix":""},{"dropping-particle":"","family":"Noraidah","given":"H.","non-dropping-particle":"","parse-names":false,"suffix":""},{"dropping-particle":"","family":"Zainol","given":"M. K.","non-dropping-particle":"","parse-names":false,"suffix":""},{"dropping-particle":"","family":"Jahurul","given":"M. H.A.","non-dropping-particle":"","parse-names":false,"suffix":""}],"container-title":"Food Research","id":"ITEM-1","issue":"6","issued":{"date-parts":[["2020"]]},"title":"Functional properties of composite flour: A review","type":"article","volume":"4"},"uris":["http://www.mendeley.com/documents/?uuid=49334ba0-d27e-3c53-af05-763a57a284ab"]}],"mendeley":{"formattedCitation":"(Hasmadi et al., 2020)","manualFormatting":"(Kalla-Bertholdt et al., 2023)","plainTextFormattedCitation":"(Hasmadi et al., 2020)","previouslyFormattedCitation":"&lt;sup&gt;8&lt;/sup&gt;"},"properties":{"noteIndex":0},"schema":"https://github.com/citation-style-language/schema/raw/master/csl-citation.json"}</w:instrText>
      </w:r>
      <w:r w:rsidRPr="003A6E75">
        <w:rPr>
          <w:rStyle w:val="markedcontent"/>
        </w:rPr>
        <w:fldChar w:fldCharType="separate"/>
      </w:r>
      <w:r w:rsidRPr="003A6E75">
        <w:rPr>
          <w:rStyle w:val="markedcontent"/>
          <w:noProof/>
        </w:rPr>
        <w:t xml:space="preserve">(Kalla-Bertholdt </w:t>
      </w:r>
      <w:r w:rsidRPr="003A6E75">
        <w:rPr>
          <w:rStyle w:val="markedcontent"/>
          <w:i/>
          <w:noProof/>
        </w:rPr>
        <w:t>et al.</w:t>
      </w:r>
      <w:r w:rsidRPr="003A6E75">
        <w:rPr>
          <w:rStyle w:val="markedcontent"/>
          <w:noProof/>
        </w:rPr>
        <w:t>, 2023)</w:t>
      </w:r>
      <w:r w:rsidRPr="003A6E75">
        <w:rPr>
          <w:rStyle w:val="markedcontent"/>
        </w:rPr>
        <w:fldChar w:fldCharType="end"/>
      </w:r>
      <w:r w:rsidRPr="003A6E75">
        <w:rPr>
          <w:rStyle w:val="markedcontent"/>
        </w:rPr>
        <w:t>.</w:t>
      </w:r>
    </w:p>
    <w:p w14:paraId="341F2C0D" w14:textId="77777777" w:rsidR="00252FF9" w:rsidRPr="00C749F3" w:rsidRDefault="00252FF9" w:rsidP="00252FF9">
      <w:pPr>
        <w:autoSpaceDE w:val="0"/>
        <w:autoSpaceDN w:val="0"/>
        <w:adjustRightInd w:val="0"/>
        <w:jc w:val="both"/>
        <w:rPr>
          <w:rFonts w:ascii="Arial" w:hAnsi="Arial" w:cs="Arial"/>
        </w:rPr>
      </w:pPr>
      <w:r w:rsidRPr="003A6E75">
        <w:rPr>
          <w:rStyle w:val="markedcontent"/>
          <w:rFonts w:ascii="Arial" w:hAnsi="Arial" w:cs="Arial"/>
        </w:rPr>
        <w:t xml:space="preserve">According to </w:t>
      </w:r>
      <w:r w:rsidRPr="003A6E75">
        <w:rPr>
          <w:rFonts w:ascii="Arial" w:hAnsi="Arial" w:cs="Arial"/>
        </w:rPr>
        <w:fldChar w:fldCharType="begin" w:fldLock="1"/>
      </w:r>
      <w:r w:rsidRPr="003A6E75">
        <w:rPr>
          <w:rFonts w:ascii="Arial" w:hAnsi="Arial" w:cs="Arial"/>
        </w:rPr>
        <w:instrText>ADDIN CSL_CITATION {"citationItems":[{"id":"ITEM-1","itemData":{"DOI":"10.1007/BF02671468","ISSN":"0003021X","abstract":"Soy protein ingredients must possess appropriate functional properties for food applications and consumer acceptability. these are the intrinsic physicochemical characteristics which affect the behavior of protein in food systems during processing, manufacturing, storage and preparation, e.g., sorption, solubility, gelation, surfactancy, ligand-binding, and film formation. These properties reflect the composition and conformation of the proteins, their interactions with other food components, and they are affected by processing treatments and the environment. Because functional properties are influenced by the composition, structure and conformation of ingredient proteins, systematic elucidation of the physical properties of component protein is expedient for understanding the mechanism of particular functional traints. The composition and properties of the major components of soy proteins are summarized, and the functional properties of soy proteins of importance in current applications (e.g., hydration, gelation, emulsifying, foaming and flavorbinding characteristics) are briefly reviewed. © 1979 The American Oil Chemists' Society.","author":[{"dropping-particle":"","family":"Kinsella","given":"John E.","non-dropping-particle":"","parse-names":false,"suffix":""}],"container-title":"Journal of the American Oil Chemists' Society","id":"ITEM-1","issue":"3","issued":{"date-parts":[["1979"]]},"title":"Functional properties of soy proteins","type":"article-journal","volume":"56"},"uris":["http://www.mendeley.com/documents/?uuid=03b73b6e-9c99-395f-97c9-509e463a7232"]}],"mendeley":{"formattedCitation":"(Kinsella, 1979)","manualFormatting":"Kinsella (1979)","plainTextFormattedCitation":"(Kinsella, 1979)","previouslyFormattedCitation":"&lt;sup&gt;9&lt;/sup&gt;"},"properties":{"noteIndex":0},"schema":"https://github.com/citation-style-language/schema/raw/master/csl-citation.json"}</w:instrText>
      </w:r>
      <w:r w:rsidRPr="003A6E75">
        <w:rPr>
          <w:rFonts w:ascii="Arial" w:hAnsi="Arial" w:cs="Arial"/>
        </w:rPr>
        <w:fldChar w:fldCharType="separate"/>
      </w:r>
      <w:r w:rsidRPr="003A6E75">
        <w:rPr>
          <w:rFonts w:ascii="Arial" w:hAnsi="Arial" w:cs="Arial"/>
          <w:noProof/>
        </w:rPr>
        <w:t>Kinsella (1979)</w:t>
      </w:r>
      <w:r w:rsidRPr="003A6E75">
        <w:rPr>
          <w:rFonts w:ascii="Arial" w:hAnsi="Arial" w:cs="Arial"/>
        </w:rPr>
        <w:fldChar w:fldCharType="end"/>
      </w:r>
      <w:r w:rsidRPr="00C749F3">
        <w:rPr>
          <w:rFonts w:ascii="Arial" w:hAnsi="Arial" w:cs="Arial"/>
        </w:rPr>
        <w:t xml:space="preserve">, </w:t>
      </w:r>
      <w:r w:rsidRPr="00C749F3">
        <w:rPr>
          <w:rStyle w:val="markedcontent"/>
          <w:rFonts w:ascii="Arial" w:hAnsi="Arial" w:cs="Arial"/>
        </w:rPr>
        <w:t xml:space="preserve">functional properties reveal the interaction between the architectural structure and the intrinsic functional </w:t>
      </w:r>
      <w:r w:rsidRPr="00C749F3">
        <w:rPr>
          <w:rFonts w:ascii="Arial" w:hAnsi="Arial" w:cs="Arial"/>
        </w:rPr>
        <w:t xml:space="preserve">properties of food components in relation to their chemical environment. Simulation of new food components such as proteins, fat, </w:t>
      </w:r>
      <w:proofErr w:type="spellStart"/>
      <w:r w:rsidRPr="00C749F3">
        <w:rPr>
          <w:rFonts w:ascii="Arial" w:hAnsi="Arial" w:cs="Arial"/>
        </w:rPr>
        <w:t>fibre</w:t>
      </w:r>
      <w:proofErr w:type="spellEnd"/>
      <w:r w:rsidRPr="00C749F3">
        <w:rPr>
          <w:rFonts w:ascii="Arial" w:hAnsi="Arial" w:cs="Arial"/>
        </w:rPr>
        <w:t xml:space="preserve"> and carbohydrates to replace the conventional ones can be predicted by evaluating their functional properties </w:t>
      </w:r>
      <w:r w:rsidRPr="00C749F3">
        <w:rPr>
          <w:rFonts w:ascii="Arial" w:hAnsi="Arial" w:cs="Arial"/>
        </w:rPr>
        <w:fldChar w:fldCharType="begin" w:fldLock="1"/>
      </w:r>
      <w:r w:rsidRPr="00C749F3">
        <w:rPr>
          <w:rFonts w:ascii="Arial" w:hAnsi="Arial" w:cs="Arial"/>
        </w:rPr>
        <w:instrText>ADDIN CSL_CITATION {"citationItems":[{"id":"ITEM-1","itemData":{"DOI":"10.1007/BF02544664","ISSN":"0003021X","abstract":"As a growing amount of research attention has been diverted, for a number of reasons, from the traditional protein foods to the so-called unconventional food proteins, an awareness has increased of the need to understand the functional properties of these proteins. Some empirical functionality tests have been devised, but it is submitted that many of these could yield misleading information, inasmuch as they often ignore or even run counter to the environmental interactions to which proteins are exposed in food systems. Some examples are given of the influence of the ionic environment upon one basic functional property of proteins, their solubility in aqueous solution. © 1971 AOCS.","author":[{"dropping-particle":"","family":"Mattil","given":"Karl F.","non-dropping-particle":"","parse-names":false,"suffix":""}],"container-title":"Journal of the American Oil Chemists' Society","id":"ITEM-1","issue":"9","issued":{"date-parts":[["1971"]]},"title":"The functional requirements of proteins for foods","type":"article-journal","volume":"48"},"uris":["http://www.mendeley.com/documents/?uuid=51c67372-dd9d-37f6-af64-00f605c70d7c"]}],"mendeley":{"formattedCitation":"(Mattil, 1971)","plainTextFormattedCitation":"(Mattil, 1971)","previouslyFormattedCitation":"&lt;sup&gt;10&lt;/sup&gt;"},"properties":{"noteIndex":0},"schema":"https://github.com/citation-style-language/schema/raw/master/csl-citation.json"}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(Mattil, 1971)</w:t>
      </w:r>
      <w:r w:rsidRPr="00C749F3">
        <w:rPr>
          <w:rFonts w:ascii="Arial" w:hAnsi="Arial" w:cs="Arial"/>
        </w:rPr>
        <w:fldChar w:fldCharType="end"/>
      </w:r>
      <w:r w:rsidRPr="00C749F3">
        <w:rPr>
          <w:rFonts w:ascii="Arial" w:hAnsi="Arial" w:cs="Arial"/>
        </w:rPr>
        <w:t>.</w:t>
      </w:r>
    </w:p>
    <w:p w14:paraId="2AE9CA10" w14:textId="77777777" w:rsidR="00252FF9" w:rsidRPr="00C749F3" w:rsidRDefault="00252FF9" w:rsidP="00352B0E">
      <w:pPr>
        <w:pStyle w:val="NoSpacing"/>
      </w:pPr>
      <w:r w:rsidRPr="00C749F3">
        <w:t>Pearl millet (</w:t>
      </w:r>
      <w:proofErr w:type="spellStart"/>
      <w:r w:rsidRPr="00C749F3">
        <w:rPr>
          <w:i/>
        </w:rPr>
        <w:t>Pennisetum</w:t>
      </w:r>
      <w:proofErr w:type="spellEnd"/>
      <w:r w:rsidRPr="00C749F3">
        <w:rPr>
          <w:i/>
        </w:rPr>
        <w:t xml:space="preserve"> </w:t>
      </w:r>
      <w:proofErr w:type="spellStart"/>
      <w:r w:rsidRPr="00C749F3">
        <w:rPr>
          <w:i/>
        </w:rPr>
        <w:t>typhoideum</w:t>
      </w:r>
      <w:proofErr w:type="spellEnd"/>
      <w:r w:rsidRPr="00C749F3">
        <w:t xml:space="preserve">) is the most prevalent, among the various types of millet, largely because it thrives in tough, arid, and dry conditions, making it an exceptionally adaptable crop </w:t>
      </w:r>
      <w:r w:rsidRPr="00C749F3">
        <w:fldChar w:fldCharType="begin" w:fldLock="1"/>
      </w:r>
      <w:r w:rsidRPr="00C749F3">
        <w:instrText>ADDIN CSL_CITATION {"citationItems":[{"id":"ITEM-1","itemData":{"DOI":"10.1159/000527936","ISSN":"16623975","author":[{"dropping-particle":"","family":"Kathembe","given":"Joycelyn","non-dropping-particle":"","parse-names":false,"suffix":""},{"dropping-particle":"","family":"Tapkigen","given":"Janet","non-dropping-particle":"","parse-names":false,"suffix":""},{"dropping-particle":"","family":"Mwangome","given":"Martha K.","non-dropping-particle":"","parse-names":false,"suffix":""},{"dropping-particle":"","family":"Prentice","given":"Andrew M.","non-dropping-particle":"","parse-names":false,"suffix":""},{"dropping-particle":"","family":"Nabwera","given":"Helen M.","non-dropping-particle":"","parse-names":false,"suffix":""}],"container-title":"World Review of Nutrition and Dietetics","id":"ITEM-1","issued":{"date-parts":[["2023","3","1"]]},"page":"17-31","publisher":"S. Karger AG","title":"Stunting of Growth in Developing Countries","type":"chapter","volume":"126"},"uris":["http://www.mendeley.com/documents/?uuid=98d7a2df-5225-3fdc-8aff-186adfc9c7d7"]}],"mendeley":{"formattedCitation":"(Kathembe et al., 2023)","plainTextFormattedCitation":"(Kathembe et al., 2023)","previouslyFormattedCitation":"&lt;sup&gt;11&lt;/sup&gt;"},"properties":{"noteIndex":0},"schema":"https://github.com/citation-style-language/schema/raw/master/csl-citation.json"}</w:instrText>
      </w:r>
      <w:r w:rsidRPr="00C749F3">
        <w:fldChar w:fldCharType="separate"/>
      </w:r>
      <w:r w:rsidRPr="00C749F3">
        <w:rPr>
          <w:noProof/>
        </w:rPr>
        <w:t>(Kathembe et al., 2023)</w:t>
      </w:r>
      <w:r w:rsidRPr="00C749F3">
        <w:fldChar w:fldCharType="end"/>
      </w:r>
      <w:r w:rsidRPr="00C749F3">
        <w:t xml:space="preserve">. Millet is significantly nutritional and is gluten free, accounting for its health benefits in preventing and managing cancer and CVD, blood pressure, gastrointestinal health, tumor development and metastasis </w:t>
      </w:r>
      <w:r w:rsidRPr="00C749F3">
        <w:fldChar w:fldCharType="begin" w:fldLock="1"/>
      </w:r>
      <w:r w:rsidRPr="00C749F3">
        <w:instrText>ADDIN CSL_CITATION {"citationItems":[{"id":"ITEM-1","itemData":{"DOI":"10.1038/sj.ejcn.1601283","ISSN":"09543007","abstract":"Cereal grains and their products provide around 30% of total energy intake in British adults, (much more than any of the other major food groups). Coronary heart disease (CHD) is the largest single cause of death in Britain and many other Western countries. This review examines the question whether there is a relation between cereal consumption and CHD. Several of the nutrients in cereals have known potential for reducing risk factors for CHD: the linoleic acid, fibre, vitamin E, selenium and folate. Cereals also contain phytoestrogens of the lignan family and several phenolic acids with antioxidant properties. Processing generally reduces the content of these nutrients and bioprotective substances. Although cereals at the farm gate are very low in salt, processed cereal foods, eg bread and some breakfast cereals, are high-salt foods and thus could contribute to raising blood pressure. Human experiments have clearly shown that oat fibre tends to lower plasma total and LDL cholesterol but wheat fibre does not. Rice bran and barley may also lower cholesterol but most people do not eat enough barley to have an effect. Cereal foods with low glycaemic index such as pasta and oats are beneficial for people with diabetes and might lower plasma lipids. Between 1996 and 2001 an accumulation of five very large cohort studies in the USA, Finland and Norway have all reported that subjects consuming relatively large amounts of whole grain cereals have significantly lower rates of CHD. This confirms an earlier report from a small British cohort. The protective effect does not seem to be due to cholesterol-lowering. While cohort studies have shown this consistent protective effect of whole grain cereals, there has been (only one) randomised controlled secondary prevention trial of advice to eat more cereal fibre. In this there was no reduction of the rate of reinfarction. The trial had some weaknesses, eg there were eight different diets, compliance was not checked objectively, and duration was for only 2 y. It appears valid to make health claims (as now permitted by the US FDA) that whole grain cereal foods and oat meal or bran may reduce the risk of CHD.","author":[{"dropping-particle":"","family":"Truswell","given":"A. S.","non-dropping-particle":"","parse-names":false,"suffix":""}],"container-title":"European Journal of Clinical Nutrition","id":"ITEM-1","issue":"1","issued":{"date-parts":[["2002"]]},"title":"Cereal grains and coronary heart disease","type":"article","volume":"56"},"uris":["http://www.mendeley.com/documents/?uuid=ec557642-3649-38aa-b5c4-86bc86824a47"]}],"mendeley":{"formattedCitation":"(Truswell, 2002)","plainTextFormattedCitation":"(Truswell, 2002)","previouslyFormattedCitation":"&lt;sup&gt;12&lt;/sup&gt;"},"properties":{"noteIndex":0},"schema":"https://github.com/citation-style-language/schema/raw/master/csl-citation.json"}</w:instrText>
      </w:r>
      <w:r w:rsidRPr="00C749F3">
        <w:fldChar w:fldCharType="separate"/>
      </w:r>
      <w:r w:rsidRPr="00C749F3">
        <w:rPr>
          <w:noProof/>
        </w:rPr>
        <w:t>(Truswell, 2002)</w:t>
      </w:r>
      <w:r w:rsidRPr="00C749F3">
        <w:fldChar w:fldCharType="end"/>
      </w:r>
      <w:r w:rsidRPr="00C749F3">
        <w:t>.</w:t>
      </w:r>
    </w:p>
    <w:p w14:paraId="65F98B65" w14:textId="77777777" w:rsidR="00252FF9" w:rsidRPr="00C749F3" w:rsidRDefault="00252FF9" w:rsidP="00352B0E">
      <w:pPr>
        <w:pStyle w:val="NoSpacing"/>
      </w:pPr>
      <w:r w:rsidRPr="00C749F3">
        <w:t>Soybean (</w:t>
      </w:r>
      <w:r w:rsidRPr="00C749F3">
        <w:rPr>
          <w:i/>
        </w:rPr>
        <w:t>Glycine max</w:t>
      </w:r>
      <w:r w:rsidRPr="00C749F3">
        <w:t xml:space="preserve">), originally from East Asia, is crucial for food security throughout Africa </w:t>
      </w:r>
      <w:r w:rsidRPr="00C749F3">
        <w:fldChar w:fldCharType="begin" w:fldLock="1"/>
      </w:r>
      <w:r w:rsidRPr="00C749F3">
        <w:instrText>ADDIN CSL_CITATION {"citationItems":[{"id":"ITEM-1","itemData":{"DOI":"10.1080/23311932.2021.1933745","ISSN":"23311932","abstract":"The paper is aimed at reviewing literature on the significance of soybeans production in the face of the changing climates in Africa. Using literature from the secondary sources, the paper reviewed how Africa can alleviate poverty by growing soybeans amongst the many legumes due to its multiplicity effect (including easily accessed market due to its high demand, enhancing soil fertility, easy to manage, high protein levels which rural people need most as it is cheaper compared to meat). Africa’s majority population gets their livelihoods from agriculture and this in itself shows how important the sector is, yet the continent is faced with food insecurities, poor livelihoods, and high malnutrition levels in the midst of changing climate that is compounding their productivity levels. Achieving sustainable food security and livelihoods for millions of poor producers and consumers across Africa where people are living on $2 a day or less, remains a serious problem, exacerbated by the challenges of malnutrition, climate change, and poor technologies. Soybeans as a legume can play an important role in ensuring sustainable food security for both the current and future generations across the continent. Soybeans farming is important in Africa, where small</w:instrText>
      </w:r>
      <w:r w:rsidRPr="00C749F3">
        <w:rPr>
          <w:rFonts w:ascii="Cambria Math" w:hAnsi="Cambria Math" w:cs="Cambria Math"/>
        </w:rPr>
        <w:instrText>‐</w:instrText>
      </w:r>
      <w:r w:rsidRPr="00C749F3">
        <w:instrText>scale agricultural systems dominate the food production landscape, as it is a source of inexpensive protein and nutrients to rural households as well as natural fertilization for the soil. Also, the symbiotic nitrogen fixation properties of legumes (soybeans) mean that they are suitable for cultivation on a wide variety of soils in changing climates. Despite this, small-scale farmers are still faced with the following factors; lack of credit funds, recycling of seeds as tested seeds are way too expensive, among which hinders their adoption levels of soybean production.","author":[{"dropping-particle":"","family":"Siamabele","given":"Brivery","non-dropping-particle":"","parse-names":false,"suffix":""}],"container-title":"Cogent Food and Agriculture","id":"ITEM-1","issue":"1","issued":{"date-parts":[["2021"]]},"title":"The significance of soybean production in the face of changing climates in Africa","type":"article","volume":"7"},"uris":["http://www.mendeley.com/documents/?uuid=1df2289b-073f-3d43-99c6-1528cc0e5ae8"]}],"mendeley":{"formattedCitation":"(Siamabele, 2021)","plainTextFormattedCitation":"(Siamabele, 2021)","previouslyFormattedCitation":"&lt;sup&gt;13&lt;/sup&gt;"},"properties":{"noteIndex":0},"schema":"https://github.com/citation-style-language/schema/raw/master/csl-citation.json"}</w:instrText>
      </w:r>
      <w:r w:rsidRPr="00C749F3">
        <w:fldChar w:fldCharType="separate"/>
      </w:r>
      <w:r w:rsidRPr="00C749F3">
        <w:rPr>
          <w:noProof/>
        </w:rPr>
        <w:t>(Siamabele, 2021)</w:t>
      </w:r>
      <w:r w:rsidRPr="00C749F3">
        <w:fldChar w:fldCharType="end"/>
      </w:r>
      <w:r w:rsidRPr="00C749F3">
        <w:t xml:space="preserve">. It boasts a higher protein content compared to other legumes and serves as an excellent source of healthy fats, essential fatty acids, and bioactive compounds </w:t>
      </w:r>
      <w:r w:rsidRPr="00C749F3">
        <w:fldChar w:fldCharType="begin" w:fldLock="1"/>
      </w:r>
      <w:r w:rsidRPr="00C749F3">
        <w:instrText>ADDIN CSL_CITATION {"citationItems":[{"id":"ITEM-1","itemData":{"DOI":"10.3389/fnut.2022.909464","ISSN":"2296861X","abstract":"Feeding a growing global population with projected rising socioeconomic status will require additional sources of calories and especially protein. These sources need to align with the Sustainable Development Goals established by the Food and Agriculture Organization of the United Nations. The soybean is uniquely positioned to meet this challenge based on the following criteria: (1) Global soybean production exceeds by ~4 times the production of all pulses combined (2) Soybeans are higher in protein than other legumes and soy protein quality is similar to animal protein quality (3) Soybeans are an excellent source of healthy fat, including both essential fatty acids (4) Soybeans, like other legumes, symbiotically fix atmospheric nitrogen thereby reducing the need for fertilizer inputs (5) Greenhouse gas emissions per unit protein are lower than for nearly all other foods (6) Soybeans, like other legumes, are also recognized as an affordable food that can be incorporated into diverse diets regardless of economic standing and (7) The range of foods produced from soybeans constitutes an important position in historic and contemporary cuisines, cultures and emerging consumer trends for plant-based protein. Although most soybeans are currently used for animal feed, soybean use is dictated by consumer demand. Therefore, soybeans are well positioned to meet future global needs for energy and protein. Armed with this knowledge, health professionals can feel justified in encouraging greater consumption of soyfoods for both personal and planetary reasons.","author":[{"dropping-particle":"","family":"Messina","given":"Mark","non-dropping-particle":"","parse-names":false,"suffix":""}],"container-title":"Frontiers in Nutrition","id":"ITEM-1","issued":{"date-parts":[["2022"]]},"title":"Perspective: Soybeans Can Help Address the Caloric and Protein Needs of a Growing Global Population","type":"article-journal","volume":"9"},"uris":["http://www.mendeley.com/documents/?uuid=a60a40a7-1255-30ba-b6aa-95fe7643d331"]},{"id":"ITEM-2","itemData":{"DOI":"10.5539/jas.v5n5p249","ISSN":"1916-9752","abstract":"A major impediment to breeding for resistance to Asian soybean rust (Phakopsora pachyrhizi) is the lack of stable sources of resistance, due to high variability in the pathogen. The objectives of this study were to assess comparative virulence of five diverse field isolates from major soybean producing areas in Uganda, and identify lines with resistance to isolates of soybean rust in seedling and adult plants under screen house and field conditions respectively. When inoculated with the five field isolates, all twelve lines evaluated showed diverse and mixed reactions, suggesting each location differed in soybean rust races and/or virulence. Experimental sites growing many diverse soybean lines yearly had the greatest diversity of soybean rust. The effectiveness of specific resistance genes was restricted to certain locations and gene Rpp2 previously resistant was ineffective producing a susceptible tan reaction at the seedling stage. A positive correlation between mean lesion density at the seedling stage and adult plant severity indicated that using field isolates to screen for seedling resistance can be a useful breeding approach to extrapolate resistance in adult plants. Overall, these results emphasise the relevance of using field isolates from the target areas to evaluate lines for soybean rust resistance.","author":[{"dropping-particle":"","family":"Maphosa","given":"Mcebisi","non-dropping-particle":"","parse-names":false,"suffix":""},{"dropping-particle":"","family":"Talwana","given":"Herbert","non-dropping-particle":"","parse-names":false,"suffix":""},{"dropping-particle":"","family":"Tukamuhabwa","given":"Phinehas","non-dropping-particle":"","parse-names":false,"suffix":""}],"container-title":"Journal of Agricultural Science","id":"ITEM-2","issue":"5","issued":{"date-parts":[["2013"]]},"title":"Assessment of Comparative Virulence and Resistance in Soybean Using Field Isolates of Soybean Rust","type":"article-journal","volume":"5"},"uris":["http://www.mendeley.com/documents/?uuid=aa4ebc10-6356-3e65-adac-d711cd2bb756"]}],"mendeley":{"formattedCitation":"(Maphosa et al., 2013; Messina, 2022)","manualFormatting":"(Messina, 2022)","plainTextFormattedCitation":"(Maphosa et al., 2013; Messina, 2022)","previouslyFormattedCitation":"&lt;sup&gt;14,15&lt;/sup&gt;"},"properties":{"noteIndex":0},"schema":"https://github.com/citation-style-language/schema/raw/master/csl-citation.json"}</w:instrText>
      </w:r>
      <w:r w:rsidRPr="00C749F3">
        <w:fldChar w:fldCharType="separate"/>
      </w:r>
      <w:r w:rsidRPr="00C749F3">
        <w:rPr>
          <w:noProof/>
        </w:rPr>
        <w:t>(Messina, 2022)</w:t>
      </w:r>
      <w:r w:rsidRPr="00C749F3">
        <w:fldChar w:fldCharType="end"/>
      </w:r>
      <w:r w:rsidRPr="00C749F3">
        <w:t xml:space="preserve">. Products derived from soybeans, including oil, meal, and various fermented and non-fermented soy foods, contain additional elements like isoflavones, </w:t>
      </w:r>
      <w:proofErr w:type="spellStart"/>
      <w:r w:rsidRPr="00C749F3">
        <w:t>lecithins</w:t>
      </w:r>
      <w:proofErr w:type="spellEnd"/>
      <w:r w:rsidRPr="00C749F3">
        <w:t xml:space="preserve">, saponins, and fiber, which may enhance cardiovascular health through distinct mechanisms </w:t>
      </w:r>
      <w:r w:rsidRPr="00C749F3">
        <w:fldChar w:fldCharType="begin" w:fldLock="1"/>
      </w:r>
      <w:r w:rsidRPr="00C749F3">
        <w:instrText>ADDIN CSL_CITATION {"citationItems":[{"id":"ITEM-1","itemData":{"DOI":"10.3389/fnut.2022.909464","ISSN":"2296861X","abstract":"Feeding a growing global population with projected rising socioeconomic status will require additional sources of calories and especially protein. These sources need to align with the Sustainable Development Goals established by the Food and Agriculture Organization of the United Nations. The soybean is uniquely positioned to meet this challenge based on the following criteria: (1) Global soybean production exceeds by ~4 times the production of all pulses combined (2) Soybeans are higher in protein than other legumes and soy protein quality is similar to animal protein quality (3) Soybeans are an excellent source of healthy fat, including both essential fatty acids (4) Soybeans, like other legumes, symbiotically fix atmospheric nitrogen thereby reducing the need for fertilizer inputs (5) Greenhouse gas emissions per unit protein are lower than for nearly all other foods (6) Soybeans, like other legumes, are also recognized as an affordable food that can be incorporated into diverse diets regardless of economic standing and (7) The range of foods produced from soybeans constitutes an important position in historic and contemporary cuisines, cultures and emerging consumer trends for plant-based protein. Although most soybeans are currently used for animal feed, soybean use is dictated by consumer demand. Therefore, soybeans are well positioned to meet future global needs for energy and protein. Armed with this knowledge, health professionals can feel justified in encouraging greater consumption of soyfoods for both personal and planetary reasons.","author":[{"dropping-particle":"","family":"Messina","given":"Mark","non-dropping-particle":"","parse-names":false,"suffix":""}],"container-title":"Frontiers in Nutrition","id":"ITEM-1","issued":{"date-parts":[["2022"]]},"title":"Perspective: Soybeans Can Help Address the Caloric and Protein Needs of a Growing Global Population","type":"article-journal","volume":"9"},"uris":["http://www.mendeley.com/documents/?uuid=a60a40a7-1255-30ba-b6aa-95fe7643d331"]}],"mendeley":{"formattedCitation":"(Messina, 2022)","plainTextFormattedCitation":"(Messina, 2022)","previouslyFormattedCitation":"&lt;sup&gt;14&lt;/sup&gt;"},"properties":{"noteIndex":0},"schema":"https://github.com/citation-style-language/schema/raw/master/csl-citation.json"}</w:instrText>
      </w:r>
      <w:r w:rsidRPr="00C749F3">
        <w:fldChar w:fldCharType="separate"/>
      </w:r>
      <w:r w:rsidRPr="00C749F3">
        <w:rPr>
          <w:noProof/>
        </w:rPr>
        <w:t>(Messina, 2022)</w:t>
      </w:r>
      <w:r w:rsidRPr="00C749F3">
        <w:fldChar w:fldCharType="end"/>
      </w:r>
      <w:r w:rsidRPr="00C749F3">
        <w:t xml:space="preserve">. Soybeans are well-suited to fulfill future global demands for energy and protein </w:t>
      </w:r>
      <w:r w:rsidRPr="00C749F3">
        <w:fldChar w:fldCharType="begin" w:fldLock="1"/>
      </w:r>
      <w:r w:rsidRPr="00C749F3">
        <w:instrText>ADDIN CSL_CITATION {"citationItems":[{"id":"ITEM-1","itemData":{"DOI":"10.3389/fnut.2022.909464","ISSN":"2296861X","abstract":"Feeding a growing global population with projected rising socioeconomic status will require additional sources of calories and especially protein. These sources need to align with the Sustainable Development Goals established by the Food and Agriculture Organization of the United Nations. The soybean is uniquely positioned to meet this challenge based on the following criteria: (1) Global soybean production exceeds by ~4 times the production of all pulses combined (2) Soybeans are higher in protein than other legumes and soy protein quality is similar to animal protein quality (3) Soybeans are an excellent source of healthy fat, including both essential fatty acids (4) Soybeans, like other legumes, symbiotically fix atmospheric nitrogen thereby reducing the need for fertilizer inputs (5) Greenhouse gas emissions per unit protein are lower than for nearly all other foods (6) Soybeans, like other legumes, are also recognized as an affordable food that can be incorporated into diverse diets regardless of economic standing and (7) The range of foods produced from soybeans constitutes an important position in historic and contemporary cuisines, cultures and emerging consumer trends for plant-based protein. Although most soybeans are currently used for animal feed, soybean use is dictated by consumer demand. Therefore, soybeans are well positioned to meet future global needs for energy and protein. Armed with this knowledge, health professionals can feel justified in encouraging greater consumption of soyfoods for both personal and planetary reasons.","author":[{"dropping-particle":"","family":"Messina","given":"Mark","non-dropping-particle":"","parse-names":false,"suffix":""}],"container-title":"Frontiers in Nutrition","id":"ITEM-1","issued":{"date-parts":[["2022"]]},"title":"Perspective: Soybeans Can Help Address the Caloric and Protein Needs of a Growing Global Population","type":"article-journal","volume":"9"},"uris":["http://www.mendeley.com/documents/?uuid=a60a40a7-1255-30ba-b6aa-95fe7643d331"]}],"mendeley":{"formattedCitation":"(Messina, 2022)","plainTextFormattedCitation":"(Messina, 2022)","previouslyFormattedCitation":"&lt;sup&gt;14&lt;/sup&gt;"},"properties":{"noteIndex":0},"schema":"https://github.com/citation-style-language/schema/raw/master/csl-citation.json"}</w:instrText>
      </w:r>
      <w:r w:rsidRPr="00C749F3">
        <w:fldChar w:fldCharType="separate"/>
      </w:r>
      <w:r w:rsidRPr="00C749F3">
        <w:rPr>
          <w:noProof/>
        </w:rPr>
        <w:t>(Messina, 2022)</w:t>
      </w:r>
      <w:r w:rsidRPr="00C749F3">
        <w:fldChar w:fldCharType="end"/>
      </w:r>
      <w:r w:rsidRPr="00C749F3">
        <w:t>.</w:t>
      </w:r>
    </w:p>
    <w:p w14:paraId="31659BC0" w14:textId="77777777" w:rsidR="00252FF9" w:rsidRPr="00C749F3" w:rsidRDefault="00252FF9" w:rsidP="00252FF9">
      <w:pPr>
        <w:autoSpaceDE w:val="0"/>
        <w:autoSpaceDN w:val="0"/>
        <w:adjustRightInd w:val="0"/>
        <w:jc w:val="both"/>
        <w:rPr>
          <w:rFonts w:ascii="Arial" w:hAnsi="Arial" w:cs="Arial"/>
        </w:rPr>
      </w:pPr>
      <w:r w:rsidRPr="00C749F3">
        <w:rPr>
          <w:rFonts w:ascii="Arial" w:hAnsi="Arial" w:cs="Arial"/>
        </w:rPr>
        <w:t>Banana (</w:t>
      </w:r>
      <w:r w:rsidRPr="00C749F3">
        <w:rPr>
          <w:rFonts w:ascii="Arial" w:hAnsi="Arial" w:cs="Arial"/>
          <w:i/>
        </w:rPr>
        <w:t>Musa sp</w:t>
      </w:r>
      <w:r w:rsidRPr="00C749F3">
        <w:rPr>
          <w:rFonts w:ascii="Arial" w:hAnsi="Arial" w:cs="Arial"/>
        </w:rPr>
        <w:t xml:space="preserve">.), whether ripe or unripe, ranks among the most extensively cultivated tropical fruits worldwide </w:t>
      </w:r>
      <w:r w:rsidRPr="00C749F3">
        <w:rPr>
          <w:rFonts w:ascii="Arial" w:hAnsi="Arial" w:cs="Arial"/>
        </w:rPr>
        <w:fldChar w:fldCharType="begin" w:fldLock="1"/>
      </w:r>
      <w:r w:rsidRPr="00C749F3">
        <w:rPr>
          <w:rFonts w:ascii="Arial" w:hAnsi="Arial" w:cs="Arial"/>
        </w:rPr>
        <w:instrText>ADDIN CSL_CITATION {"citationItems":[{"id":"ITEM-1","itemData":{"DOI":"10.3390/nu11061222","ISSN":"20726643","abstract":"Despite the growing demand for green banana (GB) products, there is no review study regarding their potential health benefits. We aimed to compare the health benefits among different GB products by a systematic review. We researched six electronic databases (PubMed, EMBASE, Scopus, Science Direct, Web of Science, and Google Scholar) from inception to March 2019. We found 1009 articles in these databases. After duplicate removal, we screened 732 articles’ titles and abstracts, and selected 18 potentially relevant studies for full-text reading. We added five records from the reference list of the fully-read articles and seven suggested by the expert. Twelve articles were excluded. In the end, 18 studies were considered for this systematic review. Ten studies were conducted with green banana flour and eight with the green banana pulp/biomass. Most of the GB health benefits studied were related to the gastrointestinal symptoms/diseases, followed by the glycemic/insulin metabolism, weight control, and renal and liver complications associated to diabetes. Only one study did not confirm the health benefit proposed. It is necessary to standardize the GB dose/effect to different age groups and different health effects considering the GB variety and ripeness level. Further studies are necessary to present better detailing of GB product and their health effects considering all the raw-material characteristics.","author":[{"dropping-particle":"","family":"Falcomer","given":"Ana Luisa","non-dropping-particle":"","parse-names":false,"suffix":""},{"dropping-particle":"","family":"Riquette","given":"Roberta Figueiredo Resende","non-dropping-particle":"","parse-names":false,"suffix":""},{"dropping-particle":"","family":"Lima","given":"Bernardo Romão","non-dropping-particle":"De","parse-names":false,"suffix":""},{"dropping-particle":"","family":"Ginani","given":"Verônica C.","non-dropping-particle":"","parse-names":false,"suffix":""},{"dropping-particle":"","family":"Zandonadi","given":"Renata Puppin","non-dropping-particle":"","parse-names":false,"suffix":""}],"container-title":"Nutrients","id":"ITEM-1","issue":"6","issued":{"date-parts":[["2019"]]},"title":"Health benefits of green banana consumption: A systematic review","type":"article","volume":"11"},"uris":["http://www.mendeley.com/documents/?uuid=ec33ab4f-71e4-3055-b37e-c8006ad683d0"]}],"mendeley":{"formattedCitation":"(Falcomer et al., 2019)","plainTextFormattedCitation":"(Falcomer et al., 2019)","previouslyFormattedCitation":"&lt;sup&gt;16&lt;/sup&gt;"},"properties":{"noteIndex":0},"schema":"https://github.com/citation-style-language/schema/raw/master/csl-citation.json"}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(Falcomer et al., 2019)</w:t>
      </w:r>
      <w:r w:rsidRPr="00C749F3">
        <w:rPr>
          <w:rFonts w:ascii="Arial" w:hAnsi="Arial" w:cs="Arial"/>
        </w:rPr>
        <w:fldChar w:fldCharType="end"/>
      </w:r>
      <w:r w:rsidRPr="00C749F3">
        <w:rPr>
          <w:rFonts w:ascii="Arial" w:hAnsi="Arial" w:cs="Arial"/>
        </w:rPr>
        <w:t xml:space="preserve">. It is a gluten-free food </w:t>
      </w:r>
      <w:r w:rsidRPr="00C749F3">
        <w:rPr>
          <w:rFonts w:ascii="Arial" w:hAnsi="Arial" w:cs="Arial"/>
        </w:rPr>
        <w:fldChar w:fldCharType="begin" w:fldLock="1"/>
      </w:r>
      <w:r w:rsidRPr="00C749F3">
        <w:rPr>
          <w:rFonts w:ascii="Arial" w:hAnsi="Arial" w:cs="Arial"/>
        </w:rPr>
        <w:instrText>ADDIN CSL_CITATION {"citationItems":[{"id":"ITEM-1","itemData":{"DOI":"10.3390/nu14122372","abstract":"Citation: Białek-Dratwa, A.; Soczewka, M.; Grajek, M.; Szczepá nska, E.; Kowalski, O. Use of the Baby-Led Weaning (BLW) Method in Complementary Feeding of the Infant-A Cross-Sectional Study of Mothers Using and Not Using the BLW Method. Nutrients 2022, 14, 2372. https://doi. Abstract: Baby-led weaning (BLW) is an increasingly popular way of expanding a baby's diet. It is based on the baby becoming physically ready to feed himself, effectively supplementing his diet, which until now has been based on breast milk or modified milk. The aim of the study was to assess mothers' knowledge about the use of the BLW method to expand the diet of a young child. The essence of the study assumed the analysis of the advantages and disadvantages of using this method indicated by mothers. Materials and Methods: A total of 320 mothers participated in the study. Data for the study were collected anonymously using the CAWI method. The research tool was the original questionnaire relating to the knowledge about the BLW method and the application of the BLW method in practice. Results: The BLW method was used by 240 (75%) women. The reasons for not using the BLW method were: the child did not cooperate n = 30 (37.5%) and was not ready to use the BLW method n = 20 (25%). In total, 182 (75.8%) mothers using BLW and 63 (78.8%) mothers not using BLW started extending the diet before the child was 6 months old. According to 270 (84.4%) mothers, including 205 (85.4%) using BLW, stable sitting in a highchair/on the lap is a decisive factor for starting the dietary expansion with the BLW method. Conclusions: Mothers' knowledge of the BLW method as a way of expanding a young child's diet was insufficient. It seems important to implement appropriate educational activities on the methods of expanding children's diets to broaden parents' knowledge of the influence of nutrition on infant development.","author":[{"dropping-particle":"","family":"Białek-Dratwa","given":"Agnieszka","non-dropping-particle":"","parse-names":false,"suffix":""},{"dropping-particle":"","family":"Soczewka","given":"Monika","non-dropping-particle":"","parse-names":false,"suffix":""},{"dropping-particle":"","family":"Grajek","given":"Mateusz","non-dropping-particle":"","parse-names":false,"suffix":""},{"dropping-particle":"","family":"Zbieta Szczepá Nska","given":"El˙","non-dropping-particle":"","parse-names":false,"suffix":""},{"dropping-particle":"","family":"Kowalski","given":"Oskar","non-dropping-particle":"","parse-names":false,"suffix":""}],"container-title":"Molecules","id":"ITEM-1","issued":{"date-parts":[["2022"]]},"title":"Use of the Baby-Led Weaning (BLW) Method in Complementary Feeding of the Infant-A Cross-Sectional Study of Mothers Using and Not Using the BLW Method","type":"article-journal"},"uris":["http://www.mendeley.com/documents/?uuid=ddd99b18-3bbd-3ea3-8860-147e259f3894"]}],"mendeley":{"formattedCitation":"(Białek-Dratwa et al., 2022)","plainTextFormattedCitation":"(Białek-Dratwa et al., 2022)","previouslyFormattedCitation":"&lt;sup&gt;17&lt;/sup&gt;"},"properties":{"noteIndex":0},"schema":"https://github.com/citation-style-language/schema/raw/master/csl-citation.json"}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(Białek-Dratwa et al., 2022)</w:t>
      </w:r>
      <w:r w:rsidRPr="00C749F3">
        <w:rPr>
          <w:rFonts w:ascii="Arial" w:hAnsi="Arial" w:cs="Arial"/>
        </w:rPr>
        <w:fldChar w:fldCharType="end"/>
      </w:r>
      <w:r w:rsidRPr="00C749F3">
        <w:rPr>
          <w:rFonts w:ascii="Arial" w:hAnsi="Arial" w:cs="Arial"/>
        </w:rPr>
        <w:t xml:space="preserve"> that offers significant nutritional and physiological benefits to human health </w:t>
      </w:r>
      <w:r w:rsidRPr="00C749F3">
        <w:rPr>
          <w:rFonts w:ascii="Arial" w:hAnsi="Arial" w:cs="Arial"/>
        </w:rPr>
        <w:fldChar w:fldCharType="begin" w:fldLock="1"/>
      </w:r>
      <w:r w:rsidRPr="00C749F3">
        <w:rPr>
          <w:rFonts w:ascii="Arial" w:hAnsi="Arial" w:cs="Arial"/>
        </w:rPr>
        <w:instrText>ADDIN CSL_CITATION {"citationItems":[{"id":"ITEM-1","itemData":{"DOI":"10.1016/j.jand.2012.04.002","ISSN":"22122672","abstract":"The objective of this study was to develop and analyze a gluten-free pasta made with green banana flour. The study was divided into five steps: preparation/selection, chemical, sensory, technological, and statistical analysis. The modified sample presented greater acceptance (84.5% for celiac individuals and 61.2% for nonceliac) than standard samples (53.6% for nonceliac individuals). There was no significant difference between the modified and the standard samples in terms of appearance, aroma, flavor, and overall quality. The modified pastas presented approximately 98% less lipids. Green bananas are considered a subproduct of low commercial value with little industrial use. The possibility of developing gluten-free products with green banana flour can expand the product supply for people with celiac disease and contribute to a more diverse diet. © 2012 Academy of Nutrition and Dietetics.","author":[{"dropping-particle":"","family":"Zandonadi","given":"Renata Puppin","non-dropping-particle":"","parse-names":false,"suffix":""},{"dropping-particle":"","family":"Botelho","given":"Raquel Braz Assunção","non-dropping-particle":"","parse-names":false,"suffix":""},{"dropping-particle":"","family":"Gandolfi","given":"Lenora","non-dropping-particle":"","parse-names":false,"suffix":""},{"dropping-particle":"","family":"Ginani","given":"Janini Selva","non-dropping-particle":"","parse-names":false,"suffix":""},{"dropping-particle":"","family":"Montenegro","given":"Flávio Martins","non-dropping-particle":"","parse-names":false,"suffix":""},{"dropping-particle":"","family":"Pratesi","given":"Riccardo","non-dropping-particle":"","parse-names":false,"suffix":""}],"container-title":"Journal of the Academy of Nutrition and Dietetics","id":"ITEM-1","issue":"7","issued":{"date-parts":[["2012"]]},"title":"Green Banana Pasta: An Alternative for Gluten-Free Diets","type":"article-journal","volume":"112"},"uris":["http://www.mendeley.com/documents/?uuid=8a6d0f0b-8547-3ac9-81e1-af84fbb2b18a"]}],"mendeley":{"formattedCitation":"(Zandonadi et al., 2012)","plainTextFormattedCitation":"(Zandonadi et al., 2012)","previouslyFormattedCitation":"&lt;sup&gt;18&lt;/sup&gt;"},"properties":{"noteIndex":0},"schema":"https://github.com/citation-style-language/schema/raw/master/csl-citation.json"}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(Zandonadi et al., 2012)</w:t>
      </w:r>
      <w:r w:rsidRPr="00C749F3">
        <w:rPr>
          <w:rFonts w:ascii="Arial" w:hAnsi="Arial" w:cs="Arial"/>
        </w:rPr>
        <w:fldChar w:fldCharType="end"/>
      </w:r>
      <w:r w:rsidRPr="00C749F3">
        <w:rPr>
          <w:rFonts w:ascii="Arial" w:hAnsi="Arial" w:cs="Arial"/>
        </w:rPr>
        <w:t xml:space="preserve">. Bananas are rich in dietary </w:t>
      </w:r>
      <w:proofErr w:type="spellStart"/>
      <w:r w:rsidRPr="00C749F3">
        <w:rPr>
          <w:rFonts w:ascii="Arial" w:hAnsi="Arial" w:cs="Arial"/>
        </w:rPr>
        <w:t>fibres</w:t>
      </w:r>
      <w:proofErr w:type="spellEnd"/>
      <w:r w:rsidRPr="00C749F3">
        <w:rPr>
          <w:rFonts w:ascii="Arial" w:hAnsi="Arial" w:cs="Arial"/>
        </w:rPr>
        <w:t>, magnesium, potassium, phosphorus, zinc, vitamins A, C, and B</w:t>
      </w:r>
      <w:r w:rsidRPr="00C749F3">
        <w:rPr>
          <w:rFonts w:ascii="Arial" w:hAnsi="Arial" w:cs="Arial"/>
          <w:vertAlign w:val="subscript"/>
        </w:rPr>
        <w:t>6</w:t>
      </w:r>
      <w:r w:rsidRPr="00C749F3">
        <w:rPr>
          <w:rFonts w:ascii="Arial" w:hAnsi="Arial" w:cs="Arial"/>
        </w:rPr>
        <w:t xml:space="preserve">. They also contain bioactive compounds, including phenolic compounds and resistant starch </w:t>
      </w:r>
      <w:r w:rsidRPr="00C749F3">
        <w:rPr>
          <w:rFonts w:ascii="Arial" w:hAnsi="Arial" w:cs="Arial"/>
        </w:rPr>
        <w:fldChar w:fldCharType="begin" w:fldLock="1"/>
      </w:r>
      <w:r w:rsidRPr="00C749F3">
        <w:rPr>
          <w:rFonts w:ascii="Arial" w:hAnsi="Arial" w:cs="Arial"/>
        </w:rPr>
        <w:instrText>ADDIN CSL_CITATION {"citationItems":[{"id":"ITEM-1","itemData":{"DOI":"10.3389/fpls.2023.1105364","ISSN":"1664462X","abstract":"Globally, legumes are vital constituents of diet and perform critical roles in maintaining well-being owing to the dense nutritional contents and functional properties of their seeds. While much emphasis has been placed on the major grain legumes over the years, the neglected and underutilized legumes (NULs) are gaining significant recognition as probable crops to alleviate malnutrition and give a boost to food security in Africa. Consumption of these underutilized legumes has been associated with several health-promoting benefits and can be utilized as functional foods due to their rich dietary fibers, vitamins, polyunsaturated fatty acids (PUFAs), proteins/essential amino acids, micro-nutrients, and bioactive compounds. Despite the plethora of nutritional benefits, the underutilized legumes have not received much research attention compared to common mainstream grain legumes, thus hindering their adoption and utilization. Consequently, research efforts geared toward improvement, utilization, and incorporation into mainstream agriculture in Africa are more convincing than ever. This work reviews some selected NULs of Africa (Adzuki beans (Vigna angularis), African yam bean (Sphenostylis stenocarpa), Bambara groundnut (Vigna subterranea), Jack bean (Canavalia ensiformis), Kidney bean (Phaseolus vulgaris), Lima bean (Phaseolus lunatus), Marama bean (Tylosema esculentum), Mung bean, (Vigna radiata), Rice bean (Vigna Umbellata), and Winged bean (Psophocarpus tetragonolobus)), and their nutritional, and functional properties. Furthermore, we highlight the prospects and current challenges associated with the utilization of the NULs and discusses the strategies to facilitate their exploitation as not only sources of vital nutrients, but also their integration for the development of cheap and accessible functional foods.","author":[{"dropping-particle":"","family":"Popoola","given":"Jacob Olagbenro","non-dropping-particle":"","parse-names":false,"suffix":""},{"dropping-particle":"","family":"Ojuederie","given":"Omena B.","non-dropping-particle":"","parse-names":false,"suffix":""},{"dropping-particle":"","family":"Aworunse","given":"Oluwadurotimi Samuel","non-dropping-particle":"","parse-names":false,"suffix":""},{"dropping-particle":"","family":"Adelekan","given":"Aminat","non-dropping-particle":"","parse-names":false,"suffix":""},{"dropping-particle":"","family":"Oyelakin","given":"Abiodun S.","non-dropping-particle":"","parse-names":false,"suffix":""},{"dropping-particle":"","family":"Oyesola","given":"Olusola Luke","non-dropping-particle":"","parse-names":false,"suffix":""},{"dropping-particle":"","family":"Akinduti","given":"Paul A.","non-dropping-particle":"","parse-names":false,"suffix":""},{"dropping-particle":"","family":"Dahunsi","given":"Samuel Olatunde","non-dropping-particle":"","parse-names":false,"suffix":""},{"dropping-particle":"","family":"Adegboyega","given":"Taofeek T.","non-dropping-particle":"","parse-names":false,"suffix":""},{"dropping-particle":"","family":"Oranusi","given":"Solomon U.","non-dropping-particle":"","parse-names":false,"suffix":""},{"dropping-particle":"","family":"Ayilara","given":"Modupe S.","non-dropping-particle":"","parse-names":false,"suffix":""},{"dropping-particle":"","family":"Omonhinmin","given":"Conrad A.","non-dropping-particle":"","parse-names":false,"suffix":""}],"container-title":"Frontiers in Plant Science","id":"ITEM-1","issued":{"date-parts":[["2023"]]},"title":"Nutritional, functional, and bioactive properties of african underutilized legumes","type":"article","volume":"14"},"uris":["http://www.mendeley.com/documents/?uuid=89d3682a-4d9f-37e1-8810-126df1c7d75c"]},{"id":"ITEM-2","itemData":{"abstract":"Gherkin (Cucumis sativus L.) generally known as commercial cucumber, is native to the region of Asia, and is now widely cultivated in many other parts of the world to be sold fresh and for pickle production. Cucumber is a rich source of valuable nutrients and bio active compounds and is used not only as food but also in therapeutic medicine and cosmetology. Cucumber is considered as a vegetable crop and is rich in polyphenolics and cucurbitacins, that are known to possess multiple biological activities such as antioxidant, anti-carcinogenic, anti-hyaluronidase, anti-elastase, anti-inflammatory, anti-hyperglycemic, diuretic, amylolytic, antimicrobial, and analgesic effects. Fruits that are preserved by dipping in a solution of salt or vinegar that undergo a fermentation process are known as pickles. Since, pickling of gherkins enhances the flavor, texture, and nutritional aspects, it is also very popular for its nutritive and health-promoting potential; especially against diabetes complications and cardiovascular disorders due to the presence of monounsaturated fats and other valuable minor components such as phenolics etc. The variety, geographic location of production, harvest time, and the processing techniques practiced are some of the factors shown to influence the composition of cucumber. This review focuses comprehensively on the nutrients and high-value bio active compound profile as well as medicinal and functional aspects of fresh and processed cucumber. Multiple benefits associated with the phytochemical and nutritional composition of this food commodity are also discussed in the following sections.","author":[{"dropping-particle":"","family":"Uthpala","given":"T G G","non-dropping-particle":"","parse-names":false,"suffix":""},{"dropping-particle":"","family":"Marapana","given":"R A U J","non-dropping-particle":"","parse-names":false,"suffix":""},{"dropping-particle":"","family":"Lakmini","given":"K P C","non-dropping-particle":"","parse-names":false,"suffix":""},{"dropping-particle":"","family":"Wettimuny","given":"D C","non-dropping-particle":"","parse-names":false,"suffix":""}],"container-title":"Sumerianz Journal of Biotechnology","id":"ITEM-2","issue":"9","issued":{"date-parts":[["2020"]]},"title":"Nutritional Bioactive Compounds and Health Benefits of Fresh and Processed Cucumber ( Cucumis Sativus L .)","type":"article-journal","volume":"3"},"uris":["http://www.mendeley.com/documents/?uuid=d6954ca4-22a1-30eb-9a8e-0f2428cd6527"]}],"mendeley":{"formattedCitation":"(Popoola et al., 2023; Uthpala et al., 2020)","manualFormatting":"(Popoola et al., 2023)","plainTextFormattedCitation":"(Popoola et al., 2023; Uthpala et al., 2020)","previouslyFormattedCitation":"&lt;sup&gt;19,20&lt;/sup&gt;"},"properties":{"noteIndex":0},"schema":"https://github.com/citation-style-language/schema/raw/master/csl-citation.json"}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 xml:space="preserve">(Popoola </w:t>
      </w:r>
      <w:r w:rsidRPr="00C749F3">
        <w:rPr>
          <w:rFonts w:ascii="Arial" w:hAnsi="Arial" w:cs="Arial"/>
          <w:i/>
          <w:noProof/>
        </w:rPr>
        <w:t>et al</w:t>
      </w:r>
      <w:r w:rsidRPr="00C749F3">
        <w:rPr>
          <w:rFonts w:ascii="Arial" w:hAnsi="Arial" w:cs="Arial"/>
          <w:noProof/>
        </w:rPr>
        <w:t>., 2023)</w:t>
      </w:r>
      <w:r w:rsidRPr="00C749F3">
        <w:rPr>
          <w:rFonts w:ascii="Arial" w:hAnsi="Arial" w:cs="Arial"/>
        </w:rPr>
        <w:fldChar w:fldCharType="end"/>
      </w:r>
      <w:r w:rsidRPr="00C749F3">
        <w:rPr>
          <w:rFonts w:ascii="Arial" w:hAnsi="Arial" w:cs="Arial"/>
        </w:rPr>
        <w:t>. The aim of this study is to evaluate selected functional properties, phytochemicals, and vitamin profiles of flour blends formulated as prerequisites to determine their nutritional quality for gluten-free transitional food products.</w:t>
      </w:r>
    </w:p>
    <w:p w14:paraId="2214EA78" w14:textId="77777777" w:rsidR="00790ADA" w:rsidRPr="00C749F3" w:rsidRDefault="00790ADA" w:rsidP="00441B6F">
      <w:pPr>
        <w:pStyle w:val="Body"/>
        <w:spacing w:after="0"/>
        <w:rPr>
          <w:rFonts w:ascii="Arial" w:hAnsi="Arial" w:cs="Arial"/>
        </w:rPr>
      </w:pPr>
    </w:p>
    <w:p w14:paraId="1773CFA5" w14:textId="77777777" w:rsidR="00790ADA" w:rsidRPr="00C749F3" w:rsidRDefault="00902823" w:rsidP="00441B6F">
      <w:pPr>
        <w:pStyle w:val="AbstHead"/>
        <w:spacing w:after="0"/>
        <w:jc w:val="both"/>
        <w:rPr>
          <w:rFonts w:ascii="Arial" w:hAnsi="Arial" w:cs="Arial"/>
          <w:sz w:val="20"/>
        </w:rPr>
      </w:pPr>
      <w:r w:rsidRPr="00C749F3">
        <w:rPr>
          <w:rFonts w:ascii="Arial" w:hAnsi="Arial" w:cs="Arial"/>
          <w:sz w:val="20"/>
        </w:rPr>
        <w:t>2. material and method</w:t>
      </w:r>
      <w:r w:rsidR="00000F8F" w:rsidRPr="00C749F3">
        <w:rPr>
          <w:rFonts w:ascii="Arial" w:hAnsi="Arial" w:cs="Arial"/>
          <w:sz w:val="20"/>
        </w:rPr>
        <w:t xml:space="preserve">s </w:t>
      </w:r>
    </w:p>
    <w:p w14:paraId="50F19C72" w14:textId="77777777" w:rsidR="00FD3B15" w:rsidRPr="003A6E75" w:rsidRDefault="00FD3B15" w:rsidP="00352B0E">
      <w:pPr>
        <w:pStyle w:val="NoSpacing"/>
      </w:pPr>
      <w:r w:rsidRPr="003D04BF">
        <w:rPr>
          <w:b/>
        </w:rPr>
        <w:t>2.1</w:t>
      </w:r>
      <w:r w:rsidRPr="003A6E75">
        <w:t xml:space="preserve"> </w:t>
      </w:r>
      <w:r w:rsidRPr="003D04BF">
        <w:rPr>
          <w:b/>
        </w:rPr>
        <w:t>Materials</w:t>
      </w:r>
    </w:p>
    <w:p w14:paraId="600BA165" w14:textId="77777777" w:rsidR="00FD3B15" w:rsidRPr="00C749F3" w:rsidRDefault="00FD3B15" w:rsidP="00352B0E">
      <w:pPr>
        <w:pStyle w:val="NoSpacing"/>
      </w:pPr>
      <w:r w:rsidRPr="00C749F3">
        <w:t>Millet and soybeans were obtained from Oja-Oba Market in Ondo-West Local Government Area, Ondo State, Nigeria, while green (unripe) bananas were freshly harvested from a farm in Owan-West Local Government Area, Edo State, Nigeria. The crops were solely utilized for research purposes. Reagents used were of analytical grade and used with further treatment.</w:t>
      </w:r>
    </w:p>
    <w:p w14:paraId="393B93AE" w14:textId="77777777" w:rsidR="00FD3B15" w:rsidRPr="00C749F3" w:rsidRDefault="00FD3B15" w:rsidP="00352B0E">
      <w:pPr>
        <w:pStyle w:val="NoSpacing"/>
      </w:pPr>
    </w:p>
    <w:p w14:paraId="3D9D5AF2" w14:textId="77777777" w:rsidR="00FD3B15" w:rsidRPr="003A6E75" w:rsidRDefault="00FD3B15" w:rsidP="00352B0E">
      <w:pPr>
        <w:pStyle w:val="NoSpacing"/>
      </w:pPr>
      <w:r w:rsidRPr="003D04BF">
        <w:rPr>
          <w:b/>
        </w:rPr>
        <w:t>2.2</w:t>
      </w:r>
      <w:r w:rsidRPr="003A6E75">
        <w:t xml:space="preserve"> </w:t>
      </w:r>
      <w:r w:rsidRPr="003D04BF">
        <w:rPr>
          <w:b/>
        </w:rPr>
        <w:t>Flour</w:t>
      </w:r>
      <w:r w:rsidRPr="003A6E75">
        <w:t xml:space="preserve"> </w:t>
      </w:r>
      <w:r w:rsidRPr="003D04BF">
        <w:rPr>
          <w:b/>
        </w:rPr>
        <w:t>Blends</w:t>
      </w:r>
      <w:r w:rsidRPr="003A6E75">
        <w:t xml:space="preserve"> </w:t>
      </w:r>
      <w:r w:rsidRPr="003D04BF">
        <w:rPr>
          <w:b/>
        </w:rPr>
        <w:t>Formulation</w:t>
      </w:r>
    </w:p>
    <w:p w14:paraId="58B6BC7F" w14:textId="77777777" w:rsidR="00FD3B15" w:rsidRPr="00C749F3" w:rsidRDefault="00FD3B15" w:rsidP="00352B0E">
      <w:pPr>
        <w:pStyle w:val="NoSpacing"/>
        <w:rPr>
          <w:b/>
        </w:rPr>
      </w:pPr>
      <w:r w:rsidRPr="00C749F3">
        <w:t xml:space="preserve">The millet grains were separated from </w:t>
      </w:r>
      <w:proofErr w:type="spellStart"/>
      <w:r w:rsidRPr="00C749F3">
        <w:t>dirts</w:t>
      </w:r>
      <w:proofErr w:type="spellEnd"/>
      <w:r w:rsidRPr="00C749F3">
        <w:t xml:space="preserve">, followed by washing and soaking in distilled water (1:4 w/v) for 72 h at room temperature. The soaked grains were milled, sieved with a muslin bag, and oven-dried at 60 </w:t>
      </w:r>
      <w:proofErr w:type="spellStart"/>
      <w:r w:rsidRPr="00C749F3">
        <w:rPr>
          <w:vertAlign w:val="superscript"/>
        </w:rPr>
        <w:t>o</w:t>
      </w:r>
      <w:r w:rsidRPr="00C749F3">
        <w:t>C</w:t>
      </w:r>
      <w:proofErr w:type="spellEnd"/>
      <w:r w:rsidRPr="00C749F3">
        <w:t xml:space="preserve"> for 36 h (plus II Sanyo </w:t>
      </w:r>
      <w:proofErr w:type="spellStart"/>
      <w:r w:rsidRPr="00C749F3">
        <w:t>Gallenkamp</w:t>
      </w:r>
      <w:proofErr w:type="spellEnd"/>
      <w:r w:rsidRPr="00C749F3">
        <w:t xml:space="preserve"> Plc, UK). The dried sample was aseptically milled in a laboratory blender (</w:t>
      </w:r>
      <w:proofErr w:type="spellStart"/>
      <w:r w:rsidRPr="00C749F3">
        <w:t>Moreal</w:t>
      </w:r>
      <w:proofErr w:type="spellEnd"/>
      <w:r w:rsidRPr="00C749F3">
        <w:t xml:space="preserve"> KM 9010, Kenwood Electronic Hertfordshire, UK) and sieved through 200 mm sieve to obtain fermented millet flour. Likewise, for 72 h at room temperature, soybeans were sorted, washed soaked in distilled water before rinsing and oven-drying. The beans were roasted, dehulled, milled in a laboratory blender, and sieved through 200 mm sieve to obtain soybean flour. Ripe bananas were sorted, peeled, mashed to paste, dried </w:t>
      </w:r>
      <w:r w:rsidRPr="00C749F3">
        <w:fldChar w:fldCharType="begin" w:fldLock="1"/>
      </w:r>
      <w:r w:rsidRPr="00C749F3">
        <w:instrText>ADDIN CSL_CITATION {"citationItems":[{"id":"ITEM-1","itemData":{"DOI":"10.1111/ijfs.13363","ISSN":"13652621","abstract":"This study investigated the effect of some preprocessing techniques on the physicochemical and technological properties of pearl millet flour for possible industrial application. Pearl millet was processed into flour using different preprocessing techniques (blanching, debranning, fermentation and malting) and evaluated for physicochemical and functional properties, grain morphology and total viable count. The result showed that fermentation and malting brought about loosening of starch granules. Fermentation significantly reduced the bulk density by 22% and improved the colour lightness and paste viscosity properties of the preprocessed flour. Malting alone resulted in about 50% increase in protein content of the flour with improved solubility up to 64 g/100 g. Total viable count was highest in fermented sample in the order of 108 cfu g−1. Thus, the combination of fermentation and malting would give the best pearl millet flour with improved technological properties for application in the industries, thereby promoting food security in the region.","author":[{"dropping-particle":"","family":"Akinola","given":"Stephen A.","non-dropping-particle":"","parse-names":false,"suffix":""},{"dropping-particle":"","family":"Badejo","given":"Adebanjo A.","non-dropping-particle":"","parse-names":false,"suffix":""},{"dropping-particle":"","family":"Osundahunsi","given":"Oluwatooyin F.","non-dropping-particle":"","parse-names":false,"suffix":""},{"dropping-particle":"","family":"Edema","given":"Mojisola O.","non-dropping-particle":"","parse-names":false,"suffix":""}],"container-title":"International Journal of Food Science and Technology","id":"ITEM-1","issue":"4","issued":{"date-parts":[["2017"]]},"title":"Effect of preprocessing techniques on pearl millet flour and changes in technological properties","type":"article-journal","volume":"52"},"uris":["http://www.mendeley.com/documents/?uuid=a07676b7-de79-3d08-a091-4d1c14b66ce4"]},{"id":"ITEM-2","itemData":{"DOI":"10.3844/ajabssp.2014.457.465","ISSN":"15574997","abstract":"Recently, various innovative products from unripe banana flour have been reported as it is high in resistant starch and other important compounds. The harvesting period of the unripe banana fruit is one of the key factors affecting the quality of the unripe banana flour in terms of resistant starch and bioactive compound content. The study aimed to investigate the effect of the harvesting stages of unripe banana fruit on Resistant Starch (RS) content, carotenoid content, antioxidant activity and the application of unripe banana flour to prepare high RS rice noodle. Four different harvesting stages of banana fruits of Musa sapientum Linn including 75, 90, 105 and 120 days after bloom, were processed for banana flours. The results indicated that the maturation stages affected RS, some bioactive contents, antioxidant activities. The highest RS content (48.88%) of banana flour was obtained from the 105 day banana fruits. The total phenolic and carotenoid contents were high in the banana flours harvested between 75 and 105 days. The unripe banana flour could be substituted for rice flour as high as 80% and contained RS content as high as 18.64% whereas the commercial rice noodle had 4.21% of RS content. Therefore, the preparation of unripe banana flour from banana fruit harvested at 105 days and applying it in the preparation of functional food is promising.","author":[{"dropping-particle":"","family":"Moongngarm","given":"Anuchita","non-dropping-particle":"","parse-names":false,"suffix":""},{"dropping-particle":"","family":"Tiboonbun","given":"Wanassanun","non-dropping-particle":"","parse-names":false,"suffix":""},{"dropping-particle":"","family":"Sanpong","given":"Mai","non-dropping-particle":"","parse-names":false,"suffix":""},{"dropping-particle":"","family":"Sriwong","given":"Pimpila","non-dropping-particle":"","parse-names":false,"suffix":""},{"dropping-particle":"","family":"Phiewtong","given":"Laongdao","non-dropping-particle":"","parse-names":false,"suffix":""},{"dropping-particle":"","family":"Prakitrum","given":"Rattanapon","non-dropping-particle":"","parse-names":false,"suffix":""},{"dropping-particle":"","family":"Huychan","given":"Nattipon","non-dropping-particle":"","parse-names":false,"suffix":""}],"container-title":"American Journal of Agricultural and Biological Science","id":"ITEM-2","issue":"3","issued":{"date-parts":[["2014"]]},"title":"Resistant starch and bioactive contents of unripe banana flour as influenced by harvesting periods and its application","type":"article-journal","volume":"9"},"uris":["http://www.mendeley.com/documents/?uuid=bcd13b08-f169-3375-ae1d-696539ce1211"]}],"mendeley":{"formattedCitation":"(Akinola et al., 2017; Moongngarm et al., 2014)","manualFormatting":"(Akinola et al., 2017)","plainTextFormattedCitation":"(Akinola et al., 2017; Moongngarm et al., 2014)","previouslyFormattedCitation":"&lt;sup&gt;21,22&lt;/sup&gt;"},"properties":{"noteIndex":0},"schema":"https://github.com/citation-style-language/schema/raw/master/csl-citation.json"}</w:instrText>
      </w:r>
      <w:r w:rsidRPr="00C749F3">
        <w:fldChar w:fldCharType="separate"/>
      </w:r>
      <w:r w:rsidRPr="00C749F3">
        <w:rPr>
          <w:noProof/>
        </w:rPr>
        <w:t xml:space="preserve">(Akinola </w:t>
      </w:r>
      <w:r w:rsidRPr="00C749F3">
        <w:rPr>
          <w:i/>
          <w:noProof/>
        </w:rPr>
        <w:t>et al</w:t>
      </w:r>
      <w:r w:rsidRPr="00C749F3">
        <w:rPr>
          <w:noProof/>
        </w:rPr>
        <w:t>., 2017)</w:t>
      </w:r>
      <w:r w:rsidRPr="00C749F3">
        <w:fldChar w:fldCharType="end"/>
      </w:r>
      <w:r w:rsidRPr="00C749F3">
        <w:t xml:space="preserve">, and packaged prior to the flour blends formulation (Table 1). An optimal mixture design methodology (Design Expert® Software Version 11.0) was employed to generate sixteen (16) experimental runs, including 100% commercial </w:t>
      </w:r>
      <w:proofErr w:type="spellStart"/>
      <w:r w:rsidRPr="00C749F3">
        <w:t>Nutriborn</w:t>
      </w:r>
      <w:proofErr w:type="spellEnd"/>
      <w:r w:rsidRPr="00C749F3">
        <w:t xml:space="preserve"> and 100% whole millet. The sixteen (16) runs obtained from the experimental design were prepared by accurately weighing and mixing the independent variables to produce different blends. The dependent variables, particularly vitamins B and K were determined through vitamin analysis. The results were used to select best formulations </w:t>
      </w:r>
      <w:r w:rsidRPr="00C749F3">
        <w:lastRenderedPageBreak/>
        <w:t>identified as MBS</w:t>
      </w:r>
      <w:r w:rsidRPr="00C749F3">
        <w:rPr>
          <w:vertAlign w:val="subscript"/>
        </w:rPr>
        <w:t>1</w:t>
      </w:r>
      <w:r w:rsidRPr="00C749F3">
        <w:t xml:space="preserve"> (60% millet; 20% banana; 20% soybeans) and MBS</w:t>
      </w:r>
      <w:r w:rsidRPr="00C749F3">
        <w:rPr>
          <w:vertAlign w:val="subscript"/>
        </w:rPr>
        <w:t>2</w:t>
      </w:r>
      <w:r w:rsidRPr="00C749F3">
        <w:t xml:space="preserve"> (50% millet; 20% banana; 30% soybeans) as shown in Table 1. </w:t>
      </w:r>
    </w:p>
    <w:p w14:paraId="756A3205" w14:textId="77777777" w:rsidR="003813FB" w:rsidRPr="00C749F3" w:rsidRDefault="003813FB" w:rsidP="00352B0E">
      <w:pPr>
        <w:pStyle w:val="NoSpacing"/>
      </w:pPr>
    </w:p>
    <w:p w14:paraId="060DDA83" w14:textId="77777777" w:rsidR="003813FB" w:rsidRPr="003A6E75" w:rsidRDefault="003813FB" w:rsidP="00352B0E">
      <w:pPr>
        <w:pStyle w:val="NoSpacing"/>
      </w:pPr>
      <w:r w:rsidRPr="003D04BF">
        <w:rPr>
          <w:b/>
        </w:rPr>
        <w:t>Table</w:t>
      </w:r>
      <w:r w:rsidRPr="003A6E75">
        <w:t xml:space="preserve"> </w:t>
      </w:r>
      <w:r w:rsidRPr="003D04BF">
        <w:rPr>
          <w:b/>
        </w:rPr>
        <w:t>1. Formulations of the samples</w:t>
      </w:r>
      <w:r w:rsidRPr="003A6E75">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4066"/>
        <w:gridCol w:w="4142"/>
      </w:tblGrid>
      <w:tr w:rsidR="003813FB" w:rsidRPr="00C749F3" w14:paraId="46B0DBBA" w14:textId="77777777" w:rsidTr="00326BEF">
        <w:tc>
          <w:tcPr>
            <w:tcW w:w="4672" w:type="dxa"/>
            <w:tcBorders>
              <w:top w:val="single" w:sz="4" w:space="0" w:color="auto"/>
              <w:bottom w:val="single" w:sz="4" w:space="0" w:color="auto"/>
              <w:right w:val="nil"/>
            </w:tcBorders>
            <w:hideMark/>
          </w:tcPr>
          <w:p w14:paraId="5C848E42" w14:textId="77777777" w:rsidR="003813FB" w:rsidRPr="003D04BF" w:rsidRDefault="003813FB" w:rsidP="00352B0E">
            <w:pPr>
              <w:pStyle w:val="NoSpacing"/>
              <w:rPr>
                <w:sz w:val="20"/>
                <w:szCs w:val="20"/>
              </w:rPr>
            </w:pPr>
            <w:r w:rsidRPr="003D04BF">
              <w:rPr>
                <w:sz w:val="20"/>
                <w:szCs w:val="20"/>
              </w:rPr>
              <w:t>Sample</w:t>
            </w:r>
          </w:p>
        </w:tc>
        <w:tc>
          <w:tcPr>
            <w:tcW w:w="4688" w:type="dxa"/>
            <w:tcBorders>
              <w:top w:val="single" w:sz="4" w:space="0" w:color="auto"/>
              <w:left w:val="nil"/>
              <w:bottom w:val="single" w:sz="4" w:space="0" w:color="auto"/>
            </w:tcBorders>
            <w:hideMark/>
          </w:tcPr>
          <w:p w14:paraId="64525C6E" w14:textId="77777777" w:rsidR="003813FB" w:rsidRPr="003D04BF" w:rsidRDefault="003813FB" w:rsidP="00352B0E">
            <w:pPr>
              <w:pStyle w:val="NoSpacing"/>
              <w:rPr>
                <w:sz w:val="20"/>
                <w:szCs w:val="20"/>
              </w:rPr>
            </w:pPr>
            <w:r w:rsidRPr="003D04BF">
              <w:rPr>
                <w:sz w:val="20"/>
                <w:szCs w:val="20"/>
              </w:rPr>
              <w:t xml:space="preserve">Formulation </w:t>
            </w:r>
          </w:p>
        </w:tc>
      </w:tr>
      <w:tr w:rsidR="003813FB" w:rsidRPr="00C749F3" w14:paraId="1C2492C4" w14:textId="77777777" w:rsidTr="00326BEF">
        <w:tc>
          <w:tcPr>
            <w:tcW w:w="4672" w:type="dxa"/>
            <w:tcBorders>
              <w:top w:val="single" w:sz="4" w:space="0" w:color="auto"/>
              <w:right w:val="nil"/>
            </w:tcBorders>
            <w:hideMark/>
          </w:tcPr>
          <w:p w14:paraId="09EA3A67" w14:textId="77777777" w:rsidR="003813FB" w:rsidRPr="003D04BF" w:rsidRDefault="003813FB" w:rsidP="00352B0E">
            <w:pPr>
              <w:pStyle w:val="NoSpacing"/>
              <w:rPr>
                <w:sz w:val="20"/>
                <w:szCs w:val="20"/>
              </w:rPr>
            </w:pPr>
            <w:r w:rsidRPr="003D04BF">
              <w:rPr>
                <w:sz w:val="20"/>
                <w:szCs w:val="20"/>
              </w:rPr>
              <w:t>CFL</w:t>
            </w:r>
          </w:p>
        </w:tc>
        <w:tc>
          <w:tcPr>
            <w:tcW w:w="4688" w:type="dxa"/>
            <w:tcBorders>
              <w:top w:val="single" w:sz="4" w:space="0" w:color="auto"/>
              <w:left w:val="nil"/>
            </w:tcBorders>
            <w:hideMark/>
          </w:tcPr>
          <w:p w14:paraId="79CF2DFF" w14:textId="77777777" w:rsidR="003813FB" w:rsidRPr="003D04BF" w:rsidRDefault="003813FB" w:rsidP="00352B0E">
            <w:pPr>
              <w:pStyle w:val="NoSpacing"/>
              <w:rPr>
                <w:sz w:val="20"/>
                <w:szCs w:val="20"/>
              </w:rPr>
            </w:pPr>
            <w:r w:rsidRPr="003D04BF">
              <w:rPr>
                <w:sz w:val="20"/>
                <w:szCs w:val="20"/>
              </w:rPr>
              <w:t xml:space="preserve">100% Commercial </w:t>
            </w:r>
            <w:proofErr w:type="spellStart"/>
            <w:r w:rsidRPr="003D04BF">
              <w:rPr>
                <w:sz w:val="20"/>
                <w:szCs w:val="20"/>
              </w:rPr>
              <w:t>Nutriborn</w:t>
            </w:r>
            <w:proofErr w:type="spellEnd"/>
          </w:p>
        </w:tc>
      </w:tr>
      <w:tr w:rsidR="003813FB" w:rsidRPr="00C749F3" w14:paraId="72A60E7C" w14:textId="77777777" w:rsidTr="00326BEF">
        <w:tc>
          <w:tcPr>
            <w:tcW w:w="4672" w:type="dxa"/>
            <w:tcBorders>
              <w:right w:val="nil"/>
            </w:tcBorders>
            <w:hideMark/>
          </w:tcPr>
          <w:p w14:paraId="421F17E2" w14:textId="77777777" w:rsidR="003813FB" w:rsidRPr="003D04BF" w:rsidRDefault="003813FB" w:rsidP="00352B0E">
            <w:pPr>
              <w:pStyle w:val="NoSpacing"/>
              <w:rPr>
                <w:sz w:val="20"/>
                <w:szCs w:val="20"/>
              </w:rPr>
            </w:pPr>
            <w:r w:rsidRPr="003D04BF">
              <w:rPr>
                <w:sz w:val="20"/>
                <w:szCs w:val="20"/>
              </w:rPr>
              <w:t>WFL</w:t>
            </w:r>
          </w:p>
        </w:tc>
        <w:tc>
          <w:tcPr>
            <w:tcW w:w="4688" w:type="dxa"/>
            <w:tcBorders>
              <w:left w:val="nil"/>
            </w:tcBorders>
            <w:hideMark/>
          </w:tcPr>
          <w:p w14:paraId="3DE41929" w14:textId="77777777" w:rsidR="003813FB" w:rsidRPr="003D04BF" w:rsidRDefault="003813FB" w:rsidP="00352B0E">
            <w:pPr>
              <w:pStyle w:val="NoSpacing"/>
              <w:rPr>
                <w:sz w:val="20"/>
                <w:szCs w:val="20"/>
              </w:rPr>
            </w:pPr>
            <w:r w:rsidRPr="003D04BF">
              <w:rPr>
                <w:sz w:val="20"/>
                <w:szCs w:val="20"/>
              </w:rPr>
              <w:t xml:space="preserve">100% whole millet flour </w:t>
            </w:r>
          </w:p>
        </w:tc>
      </w:tr>
      <w:tr w:rsidR="003813FB" w:rsidRPr="00C749F3" w14:paraId="7FEC9013" w14:textId="77777777" w:rsidTr="00326BEF">
        <w:tc>
          <w:tcPr>
            <w:tcW w:w="4672" w:type="dxa"/>
            <w:tcBorders>
              <w:right w:val="nil"/>
            </w:tcBorders>
            <w:hideMark/>
          </w:tcPr>
          <w:p w14:paraId="6786AE05" w14:textId="77777777" w:rsidR="003813FB" w:rsidRPr="003D04BF" w:rsidRDefault="003813FB" w:rsidP="00352B0E">
            <w:pPr>
              <w:pStyle w:val="NoSpacing"/>
              <w:rPr>
                <w:sz w:val="20"/>
                <w:szCs w:val="20"/>
              </w:rPr>
            </w:pPr>
            <w:r w:rsidRPr="003D04BF">
              <w:rPr>
                <w:sz w:val="20"/>
                <w:szCs w:val="20"/>
              </w:rPr>
              <w:t>MBS</w:t>
            </w:r>
            <w:r w:rsidRPr="003D04BF">
              <w:rPr>
                <w:sz w:val="20"/>
                <w:szCs w:val="20"/>
                <w:vertAlign w:val="subscript"/>
              </w:rPr>
              <w:t>1</w:t>
            </w:r>
          </w:p>
        </w:tc>
        <w:tc>
          <w:tcPr>
            <w:tcW w:w="4688" w:type="dxa"/>
            <w:tcBorders>
              <w:left w:val="nil"/>
            </w:tcBorders>
            <w:hideMark/>
          </w:tcPr>
          <w:p w14:paraId="34CEE323" w14:textId="77777777" w:rsidR="003813FB" w:rsidRPr="003D04BF" w:rsidRDefault="003813FB" w:rsidP="00352B0E">
            <w:pPr>
              <w:pStyle w:val="NoSpacing"/>
              <w:rPr>
                <w:sz w:val="20"/>
                <w:szCs w:val="20"/>
              </w:rPr>
            </w:pPr>
            <w:r w:rsidRPr="003D04BF">
              <w:rPr>
                <w:sz w:val="20"/>
                <w:szCs w:val="20"/>
              </w:rPr>
              <w:t>60% millet; 20% banana; 20% soybeans</w:t>
            </w:r>
          </w:p>
        </w:tc>
      </w:tr>
      <w:tr w:rsidR="003813FB" w:rsidRPr="00C749F3" w14:paraId="37160AAA" w14:textId="77777777" w:rsidTr="00326BEF">
        <w:tc>
          <w:tcPr>
            <w:tcW w:w="4672" w:type="dxa"/>
            <w:tcBorders>
              <w:bottom w:val="single" w:sz="4" w:space="0" w:color="auto"/>
              <w:right w:val="nil"/>
            </w:tcBorders>
            <w:hideMark/>
          </w:tcPr>
          <w:p w14:paraId="31602B5B" w14:textId="77777777" w:rsidR="003813FB" w:rsidRPr="003D04BF" w:rsidRDefault="003813FB" w:rsidP="00352B0E">
            <w:pPr>
              <w:pStyle w:val="NoSpacing"/>
              <w:rPr>
                <w:sz w:val="20"/>
                <w:szCs w:val="20"/>
              </w:rPr>
            </w:pPr>
            <w:r w:rsidRPr="003D04BF">
              <w:rPr>
                <w:sz w:val="20"/>
                <w:szCs w:val="20"/>
              </w:rPr>
              <w:t>MBS</w:t>
            </w:r>
            <w:r w:rsidRPr="003D04BF">
              <w:rPr>
                <w:sz w:val="20"/>
                <w:szCs w:val="20"/>
                <w:vertAlign w:val="subscript"/>
              </w:rPr>
              <w:t>2</w:t>
            </w:r>
          </w:p>
        </w:tc>
        <w:tc>
          <w:tcPr>
            <w:tcW w:w="4688" w:type="dxa"/>
            <w:tcBorders>
              <w:left w:val="nil"/>
              <w:bottom w:val="single" w:sz="4" w:space="0" w:color="auto"/>
            </w:tcBorders>
            <w:hideMark/>
          </w:tcPr>
          <w:p w14:paraId="516BFEAD" w14:textId="77777777" w:rsidR="003813FB" w:rsidRPr="003D04BF" w:rsidRDefault="003813FB" w:rsidP="00352B0E">
            <w:pPr>
              <w:pStyle w:val="NoSpacing"/>
              <w:rPr>
                <w:sz w:val="20"/>
                <w:szCs w:val="20"/>
              </w:rPr>
            </w:pPr>
            <w:r w:rsidRPr="003D04BF">
              <w:rPr>
                <w:sz w:val="20"/>
                <w:szCs w:val="20"/>
              </w:rPr>
              <w:t>50% millet; 20% banana; 30% soybeans</w:t>
            </w:r>
          </w:p>
        </w:tc>
      </w:tr>
    </w:tbl>
    <w:p w14:paraId="63A3F119" w14:textId="77777777" w:rsidR="003813FB" w:rsidRPr="003A6E75" w:rsidRDefault="003813FB" w:rsidP="00352B0E">
      <w:pPr>
        <w:pStyle w:val="NoSpacing"/>
      </w:pPr>
      <w:r w:rsidRPr="003A6E75">
        <w:t>Obtained as the best mixture using multiple RSM design 7.0</w:t>
      </w:r>
    </w:p>
    <w:p w14:paraId="23654804" w14:textId="77777777" w:rsidR="003813FB" w:rsidRPr="00C749F3" w:rsidRDefault="003813FB" w:rsidP="00352B0E">
      <w:pPr>
        <w:pStyle w:val="NoSpacing"/>
      </w:pPr>
    </w:p>
    <w:p w14:paraId="7F88858F" w14:textId="77777777" w:rsidR="00FD3B15" w:rsidRPr="003A6E75" w:rsidRDefault="00FD3B15" w:rsidP="00352B0E">
      <w:pPr>
        <w:pStyle w:val="NoSpacing"/>
      </w:pPr>
      <w:r w:rsidRPr="003D04BF">
        <w:rPr>
          <w:b/>
        </w:rPr>
        <w:t>2.3</w:t>
      </w:r>
      <w:r w:rsidRPr="003A6E75">
        <w:t xml:space="preserve"> </w:t>
      </w:r>
      <w:r w:rsidRPr="003D04BF">
        <w:rPr>
          <w:b/>
        </w:rPr>
        <w:t>Functional</w:t>
      </w:r>
      <w:r w:rsidRPr="003A6E75">
        <w:t xml:space="preserve"> </w:t>
      </w:r>
      <w:r w:rsidRPr="003D04BF">
        <w:rPr>
          <w:b/>
        </w:rPr>
        <w:t>Properties</w:t>
      </w:r>
    </w:p>
    <w:p w14:paraId="3378C36C" w14:textId="77777777" w:rsidR="00FD3B15" w:rsidRPr="00C749F3" w:rsidRDefault="00FD3B15" w:rsidP="00352B0E">
      <w:pPr>
        <w:pStyle w:val="NoSpacing"/>
        <w:rPr>
          <w:rStyle w:val="markedcontent"/>
        </w:rPr>
      </w:pPr>
      <w:r w:rsidRPr="00C749F3">
        <w:t xml:space="preserve">Standard chemical methods were adopted for the determination of functional properties of the flour blends. The least gelation concentrations of the samples were determined by the method of </w:t>
      </w:r>
      <w:r w:rsidRPr="00C749F3">
        <w:fldChar w:fldCharType="begin" w:fldLock="1"/>
      </w:r>
      <w:r w:rsidRPr="00C749F3">
        <w:instrText>ADDIN CSL_CITATION {"citationItems":[{"id":"ITEM-1","itemData":{"DOI":"10.1111/j.1365-2621.1977.tb00132.x","ISSN":"13652621","abstract":"A protein isolate was prepared from mung bean flour by extraction with 0.001 NNaOH, precipitation at pH4.5, neutralization of the dispersed precipitate to pH6.8–7.0, and subsequent freeze drying. the isolate's amino acid composition was determined and found to be similar to that of mung bean flour except for cystine which was destroyed during isolate preparation. the following properties of the protein isolate were investigated: nitrogen solubility, buffer capacity, foamability, gelation. Except for buffer capacity, the isolate demonstrated good functional abilities in simple systems under laboratory conditions. Copyright © 1977, Wiley Blackwell. All rights reserved","author":[{"dropping-particle":"","family":"COFFMANN","given":"C. W.","non-dropping-particle":"","parse-names":false,"suffix":""},{"dropping-particle":"V.","family":"GARCIAJ","given":"V.","non-dropping-particle":"","parse-names":false,"suffix":""}],"container-title":"International Journal of Food Science &amp; Technology","id":"ITEM-1","issue":"5","issued":{"date-parts":[["1977"]]},"title":"Functional properties and amino acid content of a protein isolate from mung bean flour","type":"article-journal","volume":"12"},"uris":["http://www.mendeley.com/documents/?uuid=55089143-f842-32e6-9e7a-51c81ea224e0"]}],"mendeley":{"formattedCitation":"(COFFMANN &amp; GARCIAJ, 1977)","manualFormatting":"Coffman &amp; Garcia (1977)","plainTextFormattedCitation":"(COFFMANN &amp; GARCIAJ, 1977)","previouslyFormattedCitation":"&lt;sup&gt;23&lt;/sup&gt;"},"properties":{"noteIndex":0},"schema":"https://github.com/citation-style-language/schema/raw/master/csl-citation.json"}</w:instrText>
      </w:r>
      <w:r w:rsidRPr="00C749F3">
        <w:fldChar w:fldCharType="separate"/>
      </w:r>
      <w:r w:rsidRPr="00C749F3">
        <w:rPr>
          <w:noProof/>
        </w:rPr>
        <w:t>Coffman &amp; Garcia (1977)</w:t>
      </w:r>
      <w:r w:rsidRPr="00C749F3">
        <w:fldChar w:fldCharType="end"/>
      </w:r>
      <w:r w:rsidRPr="00C749F3">
        <w:t xml:space="preserve">, while bulk densities, swelling power, solubilities and water absorption capacities were determined according to the methods described by </w:t>
      </w:r>
      <w:r w:rsidRPr="00C749F3">
        <w:fldChar w:fldCharType="begin" w:fldLock="1"/>
      </w:r>
      <w:r w:rsidRPr="00C749F3">
        <w:instrText>ADDIN CSL_CITATION {"citationItems":[{"id":"ITEM-1","itemData":{"DOI":"10.1002/star.201700367","ISSN":"1521379X","abstract":"Pigeon pea, lima bean and jack bean starches are oxidized with gaseous ozone (O3) and their functional, thermal, and molecular properties are determined. Carbonyl content, carboxyl content and the amount of the reacted ozone are positively correlated (p &lt; 0.01). Swelling and solubility profiles of the native starch samples increases upon oxidation. Higher values of peak viscosity, cold paste viscosity, and hot paste lower setback viscosity values and, significantly, similar peak times and pasting temperatures are observed upon ozonation (p &lt; 0.05). Texturally, the oxidized gels are softer and more elastic than the native gels. The range values of gel strengths, among the oxidized starches, are 2.83–5.42 N (pigeon pea), 4.38–4.84 N (lima bean), and 2.98–4.20 N (jack bean). Absorption band peaks at 2925.11 and 2927.14 cm−1 of CH2 asymmetric stretching, 3200–3400 cm−1 of OH groups are obtained for the native starches, which were unaltered upon oxidation. Gelatinization temperatures (To, Tp, and Tc) of the starches remains unchanged after oxidation, except for To, Tp for lima bean and jack bean starches. The gelatinization and retrogradation studies of the oxidized pigeon pea starches exhibits higher endothermic enthalpies than their native starches. The crystals of the starch samples are CB-type X-ray patterns and the oxidized starches possessed higher crystallite sizes than the native starches. Amylose contents, weight averages, and polydispersity ratios improve upon oxidation whereas an opposite trend is observed in terms of amylopectin content and number averages.","author":[{"dropping-particle":"","family":"Oladebeye","given":"Abraham Olasupo","non-dropping-particle":"","parse-names":false,"suffix":""},{"dropping-particle":"","family":"Oshodi","given":"Aladesanmi Augustine","non-dropping-particle":"","parse-names":false,"suffix":""},{"dropping-particle":"","family":"Amoo","given":"Isiaka Adekunle","non-dropping-particle":"","parse-names":false,"suffix":""},{"dropping-particle":"","family":"Karim","given":"Alias Abd","non-dropping-particle":"","parse-names":false,"suffix":""}],"container-title":"Starch/Staerke","id":"ITEM-1","issue":"11-12","issued":{"date-parts":[["2018"]]},"title":"Gaseous Ozonation of Pigeon Pea, Lima Bean, and Jack Bean Starches: Functional, Thermal, and Molecular Properties","type":"article-journal","volume":"70"},"uris":["http://www.mendeley.com/documents/?uuid=76e508b0-2d7e-33a5-ab26-1565218dbb39"]}],"mendeley":{"formattedCitation":"(Oladebeye et al., 2018)","manualFormatting":"Oladebeye et al. (2018)","plainTextFormattedCitation":"(Oladebeye et al., 2018)","previouslyFormattedCitation":"&lt;sup&gt;24&lt;/sup&gt;"},"properties":{"noteIndex":0},"schema":"https://github.com/citation-style-language/schema/raw/master/csl-citation.json"}</w:instrText>
      </w:r>
      <w:r w:rsidRPr="00C749F3">
        <w:fldChar w:fldCharType="separate"/>
      </w:r>
      <w:r w:rsidRPr="00C749F3">
        <w:rPr>
          <w:noProof/>
        </w:rPr>
        <w:t xml:space="preserve">Oladebeye </w:t>
      </w:r>
      <w:r w:rsidRPr="00C749F3">
        <w:rPr>
          <w:i/>
          <w:noProof/>
        </w:rPr>
        <w:t>et al</w:t>
      </w:r>
      <w:r w:rsidRPr="00C749F3">
        <w:rPr>
          <w:noProof/>
        </w:rPr>
        <w:t>. (2018)</w:t>
      </w:r>
      <w:r w:rsidRPr="00C749F3">
        <w:fldChar w:fldCharType="end"/>
      </w:r>
      <w:r w:rsidRPr="00C749F3">
        <w:t>.</w:t>
      </w:r>
    </w:p>
    <w:p w14:paraId="3AEDE578" w14:textId="77777777" w:rsidR="00FD3B15" w:rsidRPr="00C749F3" w:rsidRDefault="00FD3B15" w:rsidP="00352B0E">
      <w:pPr>
        <w:pStyle w:val="NoSpacing"/>
      </w:pPr>
    </w:p>
    <w:p w14:paraId="53890143" w14:textId="77777777" w:rsidR="00FD3B15" w:rsidRPr="003A6E75" w:rsidRDefault="00FD3B15" w:rsidP="00352B0E">
      <w:pPr>
        <w:pStyle w:val="NoSpacing"/>
      </w:pPr>
      <w:r w:rsidRPr="003D04BF">
        <w:rPr>
          <w:b/>
        </w:rPr>
        <w:t>2.4</w:t>
      </w:r>
      <w:r w:rsidRPr="003A6E75">
        <w:t xml:space="preserve"> </w:t>
      </w:r>
      <w:r w:rsidRPr="003D04BF">
        <w:rPr>
          <w:b/>
        </w:rPr>
        <w:t>Phytochemical</w:t>
      </w:r>
      <w:r w:rsidRPr="003A6E75">
        <w:t xml:space="preserve"> </w:t>
      </w:r>
      <w:r w:rsidRPr="003D04BF">
        <w:rPr>
          <w:b/>
        </w:rPr>
        <w:t>Analysis</w:t>
      </w:r>
    </w:p>
    <w:p w14:paraId="4A024AEB" w14:textId="77777777" w:rsidR="00FD3B15" w:rsidRPr="00C749F3" w:rsidRDefault="00FD3B15" w:rsidP="00352B0E">
      <w:pPr>
        <w:pStyle w:val="NoSpacing"/>
      </w:pPr>
      <w:r w:rsidRPr="00C749F3">
        <w:t>2.4.1</w:t>
      </w:r>
      <w:r w:rsidRPr="00C749F3">
        <w:rPr>
          <w:b/>
        </w:rPr>
        <w:t xml:space="preserve"> </w:t>
      </w:r>
      <w:r w:rsidRPr="00C749F3">
        <w:t>Determination of Phytate Content</w:t>
      </w:r>
    </w:p>
    <w:p w14:paraId="55010292" w14:textId="77777777" w:rsidR="00FD3B15" w:rsidRPr="00C749F3" w:rsidRDefault="00FD3B15" w:rsidP="00352B0E">
      <w:pPr>
        <w:pStyle w:val="NoSpacing"/>
      </w:pPr>
      <w:r w:rsidRPr="00C749F3">
        <w:t xml:space="preserve">The procedure outlined by </w:t>
      </w:r>
      <w:r w:rsidRPr="00C749F3">
        <w:fldChar w:fldCharType="begin" w:fldLock="1"/>
      </w:r>
      <w:r w:rsidRPr="00C749F3">
        <w:instrText>ADDIN CSL_CITATION {"citationItems":[{"id":"ITEM-1","itemData":{"ISSN":"09757384","abstract":"Phytochemical and antinutrients analyses of Trametes betulina, T. cingulata, Meripilus sumstinei and Oxyporus populinus fruiting bodies were carried out. The phytochemical screening result shows the presence of sterols and triterpenes in large amounts, except in M. sumstinei. The quantity of alkaloids, saponins, flavonoids and carbohydrates varied in all samples. The antinutrients analysis revealed the presence of tannins (10.14±0.15 - 55.88±0.25mg/100g), phytates (4.12± 0.20 - 27.00±0.0 3 mg/100g), hydrogen cyanide (6.13± 0.03 - 13.54±0.10 mg/100g), soluble oxalates (7.04±0.09 - 70.4± 0.02 mg/100g), insoluble oxalates (52.70±0.09 - 98.56±0.25 mg/100g) and total oxalates (105.60±0.31 - 158.40±0 .44 mg/100g). These corky and woody polypores may be inedible due to their fibrous nature; however, the permissible antinutrient levels and inherent phytochemicals may find medicinal and industrial relevance. [ABSTRACT FROM AUTHOR]","author":[{"dropping-particle":"","family":"Essien","given":"Emmanuel E","non-dropping-particle":"","parse-names":false,"suffix":""},{"dropping-particle":"","family":"Akpan","given":"Stella M","non-dropping-particle":"","parse-names":false,"suffix":""}],"container-title":"Journal of Chemical &amp; Pharmaceutical Research","id":"ITEM-1","issue":"12","issued":{"date-parts":[["2014"]]},"title":"Phytochemical and anti-nutrients evaluation of some wild fruiting polypore macrofungi.","type":"article-journal","volume":"6"},"uris":["http://www.mendeley.com/documents/?uuid=3264ad52-dc1f-3cd0-ad6d-11fc5149aeeb"]}],"mendeley":{"formattedCitation":"(Essien &amp; Akpan, 2014)","manualFormatting":"Essien &amp; Akpan (2014)","plainTextFormattedCitation":"(Essien &amp; Akpan, 2014)","previouslyFormattedCitation":"&lt;sup&gt;25&lt;/sup&gt;"},"properties":{"noteIndex":0},"schema":"https://github.com/citation-style-language/schema/raw/master/csl-citation.json"}</w:instrText>
      </w:r>
      <w:r w:rsidRPr="00C749F3">
        <w:fldChar w:fldCharType="separate"/>
      </w:r>
      <w:r w:rsidRPr="00C749F3">
        <w:rPr>
          <w:noProof/>
        </w:rPr>
        <w:t>Essien &amp; Akpan (2014)</w:t>
      </w:r>
      <w:r w:rsidRPr="00C749F3">
        <w:fldChar w:fldCharType="end"/>
      </w:r>
      <w:r w:rsidRPr="00C749F3">
        <w:t xml:space="preserve">, involving extraction and precipitation was adopted to determine the phytate contents of the flour blends. The extraction process involved dispersing 2 g of each sample in 100 mL of 0.533 M HCl for 3 h with stirring, followed by filtration. A solution made from 50 mL of the filtrate, diluted with 107 mL of distilled was titrated with a standard iron chloride solution containing 0.00195 g/mL of iron in the presence of ammonium thiocyanate solution as an indicator to obtain a brownish-yellow </w:t>
      </w:r>
      <w:proofErr w:type="spellStart"/>
      <w:r w:rsidRPr="00C749F3">
        <w:t>colour</w:t>
      </w:r>
      <w:proofErr w:type="spellEnd"/>
      <w:r w:rsidRPr="00C749F3">
        <w:t>, which persisted for approximately 5 min as an endpoint.</w:t>
      </w:r>
    </w:p>
    <w:p w14:paraId="22CC75C8" w14:textId="77777777" w:rsidR="00FD3B15" w:rsidRPr="00C749F3" w:rsidRDefault="00FD3B15" w:rsidP="00352B0E">
      <w:pPr>
        <w:pStyle w:val="NoSpacing"/>
        <w:rPr>
          <w:noProof/>
        </w:rPr>
      </w:pPr>
      <m:oMathPara>
        <m:oMath>
          <m:r>
            <m:rPr>
              <m:sty m:val="p"/>
            </m:rPr>
            <w:rPr>
              <w:rFonts w:ascii="Cambria Math" w:hAnsi="Cambria Math"/>
            </w:rPr>
            <m:t xml:space="preserve">Phytate Content (mg/g)= </m:t>
          </m:r>
          <m:f>
            <m:fPr>
              <m:ctrlPr>
                <w:rPr>
                  <w:rFonts w:ascii="Cambria Math" w:hAnsi="Cambria Math"/>
                </w:rPr>
              </m:ctrlPr>
            </m:fPr>
            <m:num>
              <m:r>
                <m:rPr>
                  <m:sty m:val="p"/>
                </m:rPr>
                <w:rPr>
                  <w:rFonts w:ascii="Cambria Math" w:hAnsi="Cambria Math"/>
                </w:rPr>
                <m:t>Titre value (mL)</m:t>
              </m:r>
              <m:r>
                <w:rPr>
                  <w:rFonts w:ascii="Cambria Math" w:hAnsi="Cambria Math"/>
                </w:rPr>
                <m:t>×</m:t>
              </m:r>
              <m:r>
                <m:rPr>
                  <m:sty m:val="p"/>
                </m:rPr>
                <w:rPr>
                  <w:rFonts w:ascii="Cambria Math" w:hAnsi="Cambria Math"/>
                </w:rPr>
                <m:t>0.00195×1.9</m:t>
              </m:r>
            </m:num>
            <m:den>
              <m:r>
                <m:rPr>
                  <m:sty m:val="p"/>
                </m:rPr>
                <w:rPr>
                  <w:rFonts w:ascii="Cambria Math" w:hAnsi="Cambria Math"/>
                </w:rPr>
                <m:t>Sample weight</m:t>
              </m:r>
            </m:den>
          </m:f>
        </m:oMath>
      </m:oMathPara>
    </w:p>
    <w:p w14:paraId="18CF2BDC" w14:textId="77777777" w:rsidR="00FD3B15" w:rsidRPr="00C749F3" w:rsidRDefault="00FD3B15" w:rsidP="00352B0E">
      <w:pPr>
        <w:pStyle w:val="NoSpacing"/>
      </w:pPr>
    </w:p>
    <w:p w14:paraId="5ED26538" w14:textId="77777777" w:rsidR="00FD3B15" w:rsidRPr="00C749F3" w:rsidRDefault="00FD3B15" w:rsidP="00352B0E">
      <w:pPr>
        <w:pStyle w:val="NoSpacing"/>
      </w:pPr>
      <w:r w:rsidRPr="00C749F3">
        <w:t>2.4.2 Determination of Oxalate Content</w:t>
      </w:r>
    </w:p>
    <w:p w14:paraId="48820E6D" w14:textId="77777777" w:rsidR="00FD3B15" w:rsidRPr="00C749F3" w:rsidRDefault="00FD3B15" w:rsidP="00FD3B15">
      <w:pPr>
        <w:pStyle w:val="NormalWeb"/>
        <w:spacing w:before="0" w:beforeAutospacing="0" w:after="0" w:afterAutospacing="0"/>
        <w:jc w:val="both"/>
        <w:rPr>
          <w:rFonts w:ascii="Arial" w:hAnsi="Arial" w:cs="Arial"/>
          <w:sz w:val="20"/>
          <w:szCs w:val="20"/>
          <w:vertAlign w:val="subscript"/>
        </w:rPr>
      </w:pPr>
      <w:r w:rsidRPr="00C749F3">
        <w:rPr>
          <w:rFonts w:ascii="Arial" w:hAnsi="Arial" w:cs="Arial"/>
          <w:sz w:val="20"/>
          <w:szCs w:val="20"/>
        </w:rPr>
        <w:fldChar w:fldCharType="begin" w:fldLock="1"/>
      </w:r>
      <w:r w:rsidRPr="00C749F3">
        <w:rPr>
          <w:rFonts w:ascii="Arial" w:hAnsi="Arial" w:cs="Arial"/>
          <w:sz w:val="20"/>
          <w:szCs w:val="20"/>
        </w:rPr>
        <w:instrText>ADDIN CSL_CITATION {"citationItems":[{"id":"ITEM-1","itemData":{"DOI":"10.29088/SAMI/AJCA.2019.2.136146","ISSN":"26455676","abstract":"This research was aimed at the qualitative and quantitative determination of three anti-nutritional factors (Oxalate, Phytate, and Tannins) present in five wine samples produced in Nigeria. The determination of tannin was done using Folin-Denis Spectrophotometric method, the determination of oxalate was done through three processes namely; digestion, oxalate precipitation and permanganate titration. The result revealed that the five wine samples actually contained these anti-nutritional factors and these compounds were present in amounts that were not toxic to the human health. Ingestion of the wine samples over a long period of time could increase the anti-nutritional content and cause serious health challenges that could affect the liver and kidney. Therefore sensitization on the harms of prolonged intake of these wine samples should be a priority to the government. Government should also impose a strict law that will checkmate manufacturers of these drinks so as to make sure that these drinks are properly treated.","author":[{"dropping-particle":"","family":"Iwuozor","given":"Kingsley Ogemdi","non-dropping-particle":"","parse-names":false,"suffix":""}],"container-title":"Advanced Journal of Chemistry, Section A","id":"ITEM-1","issue":"2","issued":{"date-parts":[["2019"]]},"title":"Qualitative and Quantitative Determination of Anti-Nutritional Factors of Five Wine Samples","type":"article-journal","volume":"2"},"uris":["http://www.mendeley.com/documents/?uuid=d5f6bfb7-811d-3e17-911b-205f25bc8419"]}],"mendeley":{"formattedCitation":"(Iwuozor, 2019)","manualFormatting":"Iwuozor (2019)","plainTextFormattedCitation":"(Iwuozor, 2019)","previouslyFormattedCitation":"&lt;sup&gt;26&lt;/sup&gt;"},"properties":{"noteIndex":0},"schema":"https://github.com/citation-style-language/schema/raw/master/csl-citation.json"}</w:instrText>
      </w:r>
      <w:r w:rsidRPr="00C749F3">
        <w:rPr>
          <w:rFonts w:ascii="Arial" w:hAnsi="Arial" w:cs="Arial"/>
          <w:sz w:val="20"/>
          <w:szCs w:val="20"/>
        </w:rPr>
        <w:fldChar w:fldCharType="separate"/>
      </w:r>
      <w:r w:rsidRPr="00C749F3">
        <w:rPr>
          <w:rFonts w:ascii="Arial" w:hAnsi="Arial" w:cs="Arial"/>
          <w:noProof/>
          <w:sz w:val="20"/>
          <w:szCs w:val="20"/>
        </w:rPr>
        <w:t>Iwuozor (2019)</w:t>
      </w:r>
      <w:r w:rsidRPr="00C749F3">
        <w:rPr>
          <w:rFonts w:ascii="Arial" w:hAnsi="Arial" w:cs="Arial"/>
          <w:sz w:val="20"/>
          <w:szCs w:val="20"/>
        </w:rPr>
        <w:fldChar w:fldCharType="end"/>
      </w:r>
      <w:r w:rsidRPr="00C749F3">
        <w:rPr>
          <w:rFonts w:ascii="Arial" w:hAnsi="Arial" w:cs="Arial"/>
          <w:sz w:val="20"/>
          <w:szCs w:val="20"/>
        </w:rPr>
        <w:t xml:space="preserve"> described the chemical method with minor modifications by </w:t>
      </w:r>
      <w:r w:rsidRPr="00C749F3">
        <w:rPr>
          <w:rFonts w:ascii="Arial" w:hAnsi="Arial" w:cs="Arial"/>
          <w:sz w:val="20"/>
          <w:szCs w:val="20"/>
        </w:rPr>
        <w:fldChar w:fldCharType="begin" w:fldLock="1"/>
      </w:r>
      <w:r w:rsidRPr="00C749F3">
        <w:rPr>
          <w:rFonts w:ascii="Arial" w:hAnsi="Arial" w:cs="Arial"/>
          <w:sz w:val="20"/>
          <w:szCs w:val="20"/>
        </w:rPr>
        <w:instrText>ADDIN CSL_CITATION {"citationItems":[{"id":"ITEM-1","itemData":{"DOI":"10.9734/ejnfs/2023/v15i71318","abstract":"Aim: Cookies from rice, banana and cashew-nut flour blends were prepared as alternative to gluten-free baby-led food for children.\r Place and Duration of Study: The study was carried out in the Chemistry Laboratory, Department of Science Laboratory Technology, University of Medical Sciences, Ondo, Nigeria and Food Processing Laboratory, Department of Food Technology, Auchi Polytechnic, Auchi, Nigeria between August, 2022 and January, 2023.\r Methodology: Baby-led weaning cookies were formulated from flour blends as 100% raw rice (RRC), 50% rice and 50% wheat (RWC) and 40% rice, 20% cashew and 40% unripe banana (RCB) and their physical properties, sensory attributes, proximate properties, mineral compositions, vitamin profiles and anti-nutrients were determined and compared with 100% commercial cookie (CMC) with the view to substituting wheat flour with suitable flour blends with enhanced nutritional quality.\r Results: The peak diameter (10.40±0.20 mm), thickness (6.37±0.06 mm) and weight (17.65±0.04 g) were obtained in RCB. Spread ratio was highest (2.66±0.11) and lowest (1.42±0.01) in CMC and RWC respectively while spread factor decreased from 100% in CMC to 77.19% (RRC), 53.46% (RWC) and 62.47% (RWC). The grittiness, texture, aroma, taste and general acceptability of RCB were significantly similar to those of CMC (P &lt; 0.05). Na, K, Mg and Zn contents increased in RCB. Proximate compositions (%) of the cookies formulated varied significantly from CMC. Peak crude protein (14.49±0.59), crude fibre (4.03±0.02) and fat (32.22±0.00) in RCB, ash (3.28±0.02) and carbohydrate by difference (58.15±0.13) in CMC and moisture (18.19±0.11) in RRC. The peak values of fat-soluble vitamins (A, D, E, K) and water-soluble vitamins (B1, B2, B3, B6, B9, B12, C) were most abundant in RCB. The proportions (mg/g) of phytate, oxalate, tannins and phenols in the cookies formulated were comparatively lower than the lethal dose, implying that the cookies would be safe for consumption.\r Conclusion: RCB cookie had excellent nutritional quality, which, as a novel baby-led weaning cookie, could serve as a suitable alternative to commercial cookies.","author":[{"dropping-particle":"","family":"Oladebeye","given":"Abraham Olasupo","non-dropping-particle":"","parse-names":false,"suffix":""},{"dropping-particle":"","family":"Oladebeye","given":"Aderonke Adenike","non-dropping-particle":"","parse-names":false,"suffix":""}],"container-title":"European Journal of Nutrition &amp; Food Safety","id":"ITEM-1","issue":"7","issued":{"date-parts":[["2023"]]},"title":"Physicochemical and Nutritional Properties of Baby-Led Cookies Produced from Rice, Banana and Cashew-nut Flour Blends","type":"article-journal","volume":"15"},"uris":["http://www.mendeley.com/documents/?uuid=143d20d3-1c26-3aa1-9c87-5e5e684c3d26"]}],"mendeley":{"formattedCitation":"(Oladebeye &amp; Oladebeye, 2023)","manualFormatting":"Oladebeye &amp; Oladebeye (2023)","plainTextFormattedCitation":"(Oladebeye &amp; Oladebeye, 2023)","previouslyFormattedCitation":"&lt;sup&gt;27&lt;/sup&gt;"},"properties":{"noteIndex":0},"schema":"https://github.com/citation-style-language/schema/raw/master/csl-citation.json"}</w:instrText>
      </w:r>
      <w:r w:rsidRPr="00C749F3">
        <w:rPr>
          <w:rFonts w:ascii="Arial" w:hAnsi="Arial" w:cs="Arial"/>
          <w:sz w:val="20"/>
          <w:szCs w:val="20"/>
        </w:rPr>
        <w:fldChar w:fldCharType="separate"/>
      </w:r>
      <w:r w:rsidRPr="00C749F3">
        <w:rPr>
          <w:rFonts w:ascii="Arial" w:hAnsi="Arial" w:cs="Arial"/>
          <w:noProof/>
          <w:sz w:val="20"/>
          <w:szCs w:val="20"/>
        </w:rPr>
        <w:t>Oladebeye &amp; Oladebeye (2023)</w:t>
      </w:r>
      <w:r w:rsidRPr="00C749F3">
        <w:rPr>
          <w:rFonts w:ascii="Arial" w:hAnsi="Arial" w:cs="Arial"/>
          <w:sz w:val="20"/>
          <w:szCs w:val="20"/>
        </w:rPr>
        <w:fldChar w:fldCharType="end"/>
      </w:r>
      <w:r w:rsidRPr="00C749F3">
        <w:rPr>
          <w:rFonts w:ascii="Arial" w:hAnsi="Arial" w:cs="Arial"/>
          <w:sz w:val="20"/>
          <w:szCs w:val="20"/>
        </w:rPr>
        <w:t xml:space="preserve">. The oxalate contents of the samples were determined by digestion, precipitation, and titration. In a 250 mL volumetric flask, 2 g of each sample dissolved in 190 mL of distilled water was digested with 10 mL of 6 M HCl for 1 h at 100 </w:t>
      </w:r>
      <w:proofErr w:type="spellStart"/>
      <w:r w:rsidRPr="00C749F3">
        <w:rPr>
          <w:rFonts w:ascii="Arial" w:hAnsi="Arial" w:cs="Arial"/>
          <w:sz w:val="20"/>
          <w:szCs w:val="20"/>
          <w:vertAlign w:val="superscript"/>
        </w:rPr>
        <w:t>o</w:t>
      </w:r>
      <w:r w:rsidRPr="00C749F3">
        <w:rPr>
          <w:rFonts w:ascii="Arial" w:hAnsi="Arial" w:cs="Arial"/>
          <w:sz w:val="20"/>
          <w:szCs w:val="20"/>
        </w:rPr>
        <w:t>C.</w:t>
      </w:r>
      <w:proofErr w:type="spellEnd"/>
      <w:r w:rsidRPr="00C749F3">
        <w:rPr>
          <w:rFonts w:ascii="Arial" w:hAnsi="Arial" w:cs="Arial"/>
          <w:sz w:val="20"/>
          <w:szCs w:val="20"/>
        </w:rPr>
        <w:t xml:space="preserve"> The mixture was cooled and diluted to 250 </w:t>
      </w:r>
      <w:proofErr w:type="spellStart"/>
      <w:r w:rsidRPr="00C749F3">
        <w:rPr>
          <w:rFonts w:ascii="Arial" w:hAnsi="Arial" w:cs="Arial"/>
          <w:sz w:val="20"/>
          <w:szCs w:val="20"/>
        </w:rPr>
        <w:t>mL.</w:t>
      </w:r>
      <w:proofErr w:type="spellEnd"/>
      <w:r w:rsidRPr="00C749F3">
        <w:rPr>
          <w:rFonts w:ascii="Arial" w:hAnsi="Arial" w:cs="Arial"/>
          <w:sz w:val="20"/>
          <w:szCs w:val="20"/>
        </w:rPr>
        <w:t xml:space="preserve"> Duplicate portions of the filtrate were placed in beakers, and NH</w:t>
      </w:r>
      <w:r w:rsidRPr="00C749F3">
        <w:rPr>
          <w:rFonts w:ascii="Cambria Math" w:hAnsi="Cambria Math" w:cs="Cambria Math"/>
          <w:sz w:val="20"/>
          <w:szCs w:val="20"/>
        </w:rPr>
        <w:t>₄</w:t>
      </w:r>
      <w:r w:rsidRPr="00C749F3">
        <w:rPr>
          <w:rFonts w:ascii="Arial" w:hAnsi="Arial" w:cs="Arial"/>
          <w:sz w:val="20"/>
          <w:szCs w:val="20"/>
        </w:rPr>
        <w:t xml:space="preserve">OH was added dropwise until the solution changed from pink to pale yellow in the presence of few drops of methyl red indicator. Ferrous ion precipitate formed was dissolved by heating the portions to 90 °C, cooling, and filtering; the filtrate was heated to 90 °C and 10 mL of 5% </w:t>
      </w:r>
      <w:proofErr w:type="spellStart"/>
      <w:r w:rsidRPr="00C749F3">
        <w:rPr>
          <w:rFonts w:ascii="Arial" w:hAnsi="Arial" w:cs="Arial"/>
          <w:sz w:val="20"/>
          <w:szCs w:val="20"/>
        </w:rPr>
        <w:t>CaCl</w:t>
      </w:r>
      <w:proofErr w:type="spellEnd"/>
      <w:r w:rsidRPr="00C749F3">
        <w:rPr>
          <w:rFonts w:ascii="Cambria Math" w:hAnsi="Cambria Math" w:cs="Cambria Math"/>
          <w:sz w:val="20"/>
          <w:szCs w:val="20"/>
        </w:rPr>
        <w:t>₂</w:t>
      </w:r>
      <w:r w:rsidRPr="00C749F3">
        <w:rPr>
          <w:rFonts w:ascii="Arial" w:hAnsi="Arial" w:cs="Arial"/>
          <w:sz w:val="20"/>
          <w:szCs w:val="20"/>
        </w:rPr>
        <w:t xml:space="preserve"> solution was added with stirring. The mixture was centrifuged at 2000 rpm for 5 min and allowed to stand overnight at 25 °C. The filtrate was topped up to 300 mL after decanting the supernatant and dissolving the precipitate in 20 </w:t>
      </w:r>
      <w:proofErr w:type="spellStart"/>
      <w:r w:rsidRPr="00C749F3">
        <w:rPr>
          <w:rFonts w:ascii="Arial" w:hAnsi="Arial" w:cs="Arial"/>
          <w:sz w:val="20"/>
          <w:szCs w:val="20"/>
        </w:rPr>
        <w:t>Ml</w:t>
      </w:r>
      <w:proofErr w:type="spellEnd"/>
      <w:r w:rsidRPr="00C749F3">
        <w:rPr>
          <w:rFonts w:ascii="Arial" w:hAnsi="Arial" w:cs="Arial"/>
          <w:sz w:val="20"/>
          <w:szCs w:val="20"/>
        </w:rPr>
        <w:t xml:space="preserve"> of 3.01 M H</w:t>
      </w:r>
      <w:r w:rsidRPr="00C749F3">
        <w:rPr>
          <w:rFonts w:ascii="Arial" w:hAnsi="Arial" w:cs="Arial"/>
          <w:sz w:val="20"/>
          <w:szCs w:val="20"/>
          <w:vertAlign w:val="subscript"/>
        </w:rPr>
        <w:t>2</w:t>
      </w:r>
      <w:r w:rsidRPr="00C749F3">
        <w:rPr>
          <w:rFonts w:ascii="Arial" w:hAnsi="Arial" w:cs="Arial"/>
          <w:sz w:val="20"/>
          <w:szCs w:val="20"/>
        </w:rPr>
        <w:t>SO</w:t>
      </w:r>
      <w:r w:rsidRPr="00C749F3">
        <w:rPr>
          <w:rFonts w:ascii="Arial" w:hAnsi="Arial" w:cs="Arial"/>
          <w:sz w:val="20"/>
          <w:szCs w:val="20"/>
          <w:vertAlign w:val="subscript"/>
        </w:rPr>
        <w:t>4</w:t>
      </w:r>
      <w:r w:rsidRPr="00C749F3">
        <w:rPr>
          <w:rFonts w:ascii="Arial" w:hAnsi="Arial" w:cs="Arial"/>
          <w:sz w:val="20"/>
          <w:szCs w:val="20"/>
        </w:rPr>
        <w:t xml:space="preserve">. An aliquot of the filtrate prepared was heated to almost boiling, and then titrated with 0.02 M standardized potassium permanganate solution to the endpoint indicated by a pale pink </w:t>
      </w:r>
      <w:proofErr w:type="spellStart"/>
      <w:r w:rsidRPr="00C749F3">
        <w:rPr>
          <w:rFonts w:ascii="Arial" w:hAnsi="Arial" w:cs="Arial"/>
          <w:sz w:val="20"/>
          <w:szCs w:val="20"/>
        </w:rPr>
        <w:t>colour</w:t>
      </w:r>
      <w:proofErr w:type="spellEnd"/>
      <w:r w:rsidRPr="00C749F3">
        <w:rPr>
          <w:rFonts w:ascii="Arial" w:hAnsi="Arial" w:cs="Arial"/>
          <w:sz w:val="20"/>
          <w:szCs w:val="20"/>
        </w:rPr>
        <w:t xml:space="preserve"> lasting for about 30 s.</w:t>
      </w:r>
    </w:p>
    <w:p w14:paraId="407059D1" w14:textId="77777777" w:rsidR="00FD3B15" w:rsidRPr="00C749F3" w:rsidRDefault="00FD3B15" w:rsidP="00352B0E">
      <w:pPr>
        <w:pStyle w:val="NoSpacing"/>
        <w:rPr>
          <w:noProof/>
        </w:rPr>
      </w:pPr>
      <m:oMathPara>
        <m:oMath>
          <m:r>
            <m:rPr>
              <m:sty m:val="p"/>
            </m:rPr>
            <w:rPr>
              <w:rFonts w:ascii="Cambria Math" w:hAnsi="Cambria Math"/>
            </w:rPr>
            <m:t xml:space="preserve">Oxalate Content (mg/g)= </m:t>
          </m:r>
          <m:f>
            <m:fPr>
              <m:ctrlPr>
                <w:rPr>
                  <w:rFonts w:ascii="Cambria Math" w:hAnsi="Cambria Math"/>
                </w:rPr>
              </m:ctrlPr>
            </m:fPr>
            <m:num>
              <m:r>
                <m:rPr>
                  <m:sty m:val="p"/>
                </m:rPr>
                <w:rPr>
                  <w:rFonts w:ascii="Cambria Math" w:hAnsi="Cambria Math"/>
                </w:rPr>
                <m:t>Titre value</m:t>
              </m:r>
              <m:r>
                <w:rPr>
                  <w:rFonts w:ascii="Cambria Math" w:hAnsi="Cambria Math"/>
                </w:rPr>
                <m:t>×</m:t>
              </m:r>
              <m:r>
                <m:rPr>
                  <m:sty m:val="p"/>
                </m:rPr>
                <w:rPr>
                  <w:rFonts w:ascii="Cambria Math" w:hAnsi="Cambria Math"/>
                </w:rPr>
                <m:t>volume-mass equivalent×Dilution factor</m:t>
              </m:r>
            </m:num>
            <m:den>
              <m:r>
                <m:rPr>
                  <m:sty m:val="p"/>
                </m:rPr>
                <w:rPr>
                  <w:rFonts w:ascii="Cambria Math" w:hAnsi="Cambria Math"/>
                </w:rPr>
                <m:t>Molar equivalent×Sample weight</m:t>
              </m:r>
            </m:den>
          </m:f>
        </m:oMath>
      </m:oMathPara>
    </w:p>
    <w:p w14:paraId="3132882F" w14:textId="77777777" w:rsidR="00FD3B15" w:rsidRPr="00C749F3" w:rsidRDefault="00FD3B15" w:rsidP="00352B0E">
      <w:pPr>
        <w:pStyle w:val="NoSpacing"/>
      </w:pPr>
    </w:p>
    <w:p w14:paraId="7A9F4412" w14:textId="77777777" w:rsidR="003A6E75" w:rsidRDefault="003A6E75">
      <w:pPr>
        <w:rPr>
          <w:rFonts w:ascii="Arial" w:eastAsiaTheme="minorHAnsi" w:hAnsi="Arial" w:cs="Arial"/>
          <w:b/>
          <w:color w:val="000000" w:themeColor="text1"/>
          <w:kern w:val="2"/>
        </w:rPr>
      </w:pPr>
      <w:r>
        <w:rPr>
          <w:b/>
        </w:rPr>
        <w:br w:type="page"/>
      </w:r>
    </w:p>
    <w:p w14:paraId="4B034DF1" w14:textId="77777777" w:rsidR="00FD3B15" w:rsidRPr="00C749F3" w:rsidRDefault="00FD3B15" w:rsidP="00352B0E">
      <w:pPr>
        <w:pStyle w:val="NoSpacing"/>
      </w:pPr>
      <w:r w:rsidRPr="003D04BF">
        <w:lastRenderedPageBreak/>
        <w:t>2.4.3</w:t>
      </w:r>
      <w:r w:rsidRPr="00C749F3">
        <w:rPr>
          <w:b/>
        </w:rPr>
        <w:t xml:space="preserve"> </w:t>
      </w:r>
      <w:r w:rsidRPr="00C749F3">
        <w:t>Determination of Tannins</w:t>
      </w:r>
    </w:p>
    <w:p w14:paraId="58D1E380" w14:textId="77777777" w:rsidR="00FD3B15" w:rsidRPr="00C749F3" w:rsidRDefault="00FD3B15" w:rsidP="00352B0E">
      <w:pPr>
        <w:pStyle w:val="NoSpacing"/>
      </w:pPr>
      <w:r w:rsidRPr="00C749F3">
        <w:t>A 1.0 g of each sample was dissolved in 10 mL of distilled water, gently shaken, left undisturbed at room temperature for 30 min, centrifuged to obtain a supernatant. A 2.5 mL potion of the supernatant was treated with 1.0 mL of Folin-Denis reagent and 2.5 mL of saturated Na</w:t>
      </w:r>
      <w:r w:rsidRPr="00C749F3">
        <w:rPr>
          <w:vertAlign w:val="subscript"/>
        </w:rPr>
        <w:t>2</w:t>
      </w:r>
      <w:r w:rsidRPr="00C749F3">
        <w:t>CO</w:t>
      </w:r>
      <w:r w:rsidRPr="00C749F3">
        <w:rPr>
          <w:vertAlign w:val="subscript"/>
        </w:rPr>
        <w:t xml:space="preserve">3 </w:t>
      </w:r>
      <w:r w:rsidRPr="00C749F3">
        <w:t xml:space="preserve">solution and the volume made up to 50 mL with distilled water. A blank solution was prepared with the reagents. After incubating the two mixtures at 27 </w:t>
      </w:r>
      <w:proofErr w:type="spellStart"/>
      <w:r w:rsidRPr="00C749F3">
        <w:rPr>
          <w:vertAlign w:val="superscript"/>
        </w:rPr>
        <w:t>o</w:t>
      </w:r>
      <w:r w:rsidRPr="00C749F3">
        <w:t>C</w:t>
      </w:r>
      <w:proofErr w:type="spellEnd"/>
      <w:r w:rsidRPr="00C749F3">
        <w:t xml:space="preserve"> for 90 min, their absorbances measured at 250 nm with a UV spectrophotometer (UV-1900, Shimadzu) </w:t>
      </w:r>
      <w:r w:rsidRPr="00C749F3">
        <w:fldChar w:fldCharType="begin" w:fldLock="1"/>
      </w:r>
      <w:r w:rsidRPr="00C749F3">
        <w:instrText>ADDIN CSL_CITATION {"citationItems":[{"id":"ITEM-1","itemData":{"DOI":"10.29088/SAMI/AJCA.2019.2.136146","ISSN":"26455676","abstract":"This research was aimed at the qualitative and quantitative determination of three anti-nutritional factors (Oxalate, Phytate, and Tannins) present in five wine samples produced in Nigeria. The determination of tannin was done using Folin-Denis Spectrophotometric method, the determination of oxalate was done through three processes namely; digestion, oxalate precipitation and permanganate titration. The result revealed that the five wine samples actually contained these anti-nutritional factors and these compounds were present in amounts that were not toxic to the human health. Ingestion of the wine samples over a long period of time could increase the anti-nutritional content and cause serious health challenges that could affect the liver and kidney. Therefore sensitization on the harms of prolonged intake of these wine samples should be a priority to the government. Government should also impose a strict law that will checkmate manufacturers of these drinks so as to make sure that these drinks are properly treated.","author":[{"dropping-particle":"","family":"Iwuozor","given":"Kingsley Ogemdi","non-dropping-particle":"","parse-names":false,"suffix":""}],"container-title":"Advanced Journal of Chemistry, Section A","id":"ITEM-1","issue":"2","issued":{"date-parts":[["2019"]]},"title":"Qualitative and Quantitative Determination of Anti-Nutritional Factors of Five Wine Samples","type":"article-journal","volume":"2"},"uris":["http://www.mendeley.com/documents/?uuid=d5f6bfb7-811d-3e17-911b-205f25bc8419"]}],"mendeley":{"formattedCitation":"(Iwuozor, 2019)","plainTextFormattedCitation":"(Iwuozor, 2019)","previouslyFormattedCitation":"&lt;sup&gt;26&lt;/sup&gt;"},"properties":{"noteIndex":0},"schema":"https://github.com/citation-style-language/schema/raw/master/csl-citation.json"}</w:instrText>
      </w:r>
      <w:r w:rsidRPr="00C749F3">
        <w:fldChar w:fldCharType="separate"/>
      </w:r>
      <w:r w:rsidRPr="00C749F3">
        <w:rPr>
          <w:noProof/>
        </w:rPr>
        <w:t>(Iwuozor, 2019)</w:t>
      </w:r>
      <w:r w:rsidRPr="00C749F3">
        <w:fldChar w:fldCharType="end"/>
      </w:r>
      <w:r w:rsidRPr="00C749F3">
        <w:t xml:space="preserve">. </w:t>
      </w:r>
    </w:p>
    <w:p w14:paraId="0711943F" w14:textId="77777777" w:rsidR="00FD3B15" w:rsidRPr="00C749F3" w:rsidRDefault="00FD3B15" w:rsidP="00352B0E">
      <w:pPr>
        <w:pStyle w:val="NoSpacing"/>
      </w:pPr>
    </w:p>
    <w:p w14:paraId="4870FA32" w14:textId="77777777" w:rsidR="00FD3B15" w:rsidRPr="00C749F3" w:rsidRDefault="00FD3B15" w:rsidP="00352B0E">
      <w:pPr>
        <w:pStyle w:val="NoSpacing"/>
      </w:pPr>
      <m:oMathPara>
        <m:oMath>
          <m:r>
            <m:rPr>
              <m:sty m:val="p"/>
            </m:rPr>
            <w:rPr>
              <w:rFonts w:ascii="Cambria Math" w:hAnsi="Cambria Math"/>
            </w:rPr>
            <m:t xml:space="preserve"> Tannin (mg/g)= </m:t>
          </m:r>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Absorbance </m:t>
                  </m:r>
                </m:e>
                <m:sub>
                  <m:r>
                    <m:rPr>
                      <m:sty m:val="p"/>
                    </m:rPr>
                    <w:rPr>
                      <w:rFonts w:ascii="Cambria Math" w:hAnsi="Cambria Math"/>
                    </w:rPr>
                    <m:t>sample</m:t>
                  </m:r>
                </m:sub>
              </m:sSub>
              <m:r>
                <m:rPr>
                  <m:sty m:val="p"/>
                </m:rPr>
                <w:rPr>
                  <w:rFonts w:ascii="Cambria Math" w:hAnsi="Cambria Math"/>
                </w:rPr>
                <m:t>×Concentration×</m:t>
              </m:r>
              <m:sSub>
                <m:sSubPr>
                  <m:ctrlPr>
                    <w:rPr>
                      <w:rFonts w:ascii="Cambria Math" w:hAnsi="Cambria Math"/>
                    </w:rPr>
                  </m:ctrlPr>
                </m:sSubPr>
                <m:e>
                  <m:r>
                    <m:rPr>
                      <m:sty m:val="p"/>
                    </m:rPr>
                    <w:rPr>
                      <w:rFonts w:ascii="Cambria Math" w:hAnsi="Cambria Math"/>
                    </w:rPr>
                    <m:t xml:space="preserve">Volume </m:t>
                  </m:r>
                </m:e>
                <m:sub>
                  <m:r>
                    <m:rPr>
                      <m:sty m:val="p"/>
                    </m:rPr>
                    <w:rPr>
                      <w:rFonts w:ascii="Cambria Math" w:hAnsi="Cambria Math"/>
                    </w:rPr>
                    <m:t>total extract</m:t>
                  </m:r>
                </m:sub>
              </m:sSub>
            </m:num>
            <m:den>
              <m:sSub>
                <m:sSubPr>
                  <m:ctrlPr>
                    <w:rPr>
                      <w:rFonts w:ascii="Cambria Math" w:hAnsi="Cambria Math"/>
                    </w:rPr>
                  </m:ctrlPr>
                </m:sSubPr>
                <m:e>
                  <m:r>
                    <m:rPr>
                      <m:sty m:val="p"/>
                    </m:rPr>
                    <w:rPr>
                      <w:rFonts w:ascii="Cambria Math" w:hAnsi="Cambria Math"/>
                    </w:rPr>
                    <m:t xml:space="preserve">Absorbance </m:t>
                  </m:r>
                </m:e>
                <m:sub>
                  <m:r>
                    <m:rPr>
                      <m:sty m:val="p"/>
                    </m:rPr>
                    <w:rPr>
                      <w:rFonts w:ascii="Cambria Math" w:hAnsi="Cambria Math"/>
                    </w:rPr>
                    <m:t>standard solution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Volume </m:t>
                  </m:r>
                </m:e>
                <m:sub>
                  <m:r>
                    <m:rPr>
                      <m:sty m:val="p"/>
                    </m:rPr>
                    <w:rPr>
                      <w:rFonts w:ascii="Cambria Math" w:hAnsi="Cambria Math"/>
                    </w:rPr>
                    <m:t>extract analyzed</m:t>
                  </m:r>
                </m:sub>
              </m:sSub>
              <m:r>
                <m:rPr>
                  <m:sty m:val="p"/>
                </m:rPr>
                <w:rPr>
                  <w:rFonts w:ascii="Cambria Math" w:hAnsi="Cambria Math"/>
                </w:rPr>
                <m:t>×Sample weight</m:t>
              </m:r>
            </m:den>
          </m:f>
        </m:oMath>
      </m:oMathPara>
    </w:p>
    <w:p w14:paraId="313B2AAE" w14:textId="77777777" w:rsidR="00FD3B15" w:rsidRPr="00C749F3" w:rsidRDefault="00FD3B15" w:rsidP="00352B0E">
      <w:pPr>
        <w:pStyle w:val="NoSpacing"/>
      </w:pPr>
    </w:p>
    <w:p w14:paraId="45E118DF" w14:textId="77777777" w:rsidR="00FD3B15" w:rsidRPr="00C749F3" w:rsidRDefault="00FD3B15" w:rsidP="00352B0E">
      <w:pPr>
        <w:pStyle w:val="NoSpacing"/>
      </w:pPr>
      <w:r w:rsidRPr="003D04BF">
        <w:t>2.4.5</w:t>
      </w:r>
      <w:r w:rsidRPr="00C749F3">
        <w:rPr>
          <w:b/>
        </w:rPr>
        <w:t xml:space="preserve"> </w:t>
      </w:r>
      <w:r w:rsidRPr="00C749F3">
        <w:t>Determination of Phenols</w:t>
      </w:r>
    </w:p>
    <w:p w14:paraId="6783FDAC" w14:textId="77777777" w:rsidR="00FD3B15" w:rsidRPr="00C749F3" w:rsidRDefault="00FD3B15" w:rsidP="00352B0E">
      <w:pPr>
        <w:pStyle w:val="NoSpacing"/>
      </w:pPr>
      <w:r w:rsidRPr="00C749F3">
        <w:t>The defatting of 2.0 g of the sample was carried out, first, for 2 h in a Soxhlet extractor, using 100 mL of diethyl ether as a solvent, and subsequently for 15 min with 50 mL of ether. In a 50 mL volumetric flask, 10 mL of distilled water, 2 mL of NH</w:t>
      </w:r>
      <w:r w:rsidRPr="00C749F3">
        <w:rPr>
          <w:rFonts w:ascii="Cambria Math" w:hAnsi="Cambria Math" w:cs="Cambria Math"/>
        </w:rPr>
        <w:t>₄</w:t>
      </w:r>
      <w:r w:rsidRPr="00C749F3">
        <w:t xml:space="preserve">OH and 5 mL of conc. amyl alcohol were added to 5 mL portion of the extract in a sequential order. The mixture was allowed to develop </w:t>
      </w:r>
      <w:proofErr w:type="spellStart"/>
      <w:r w:rsidRPr="00C749F3">
        <w:t>colour</w:t>
      </w:r>
      <w:proofErr w:type="spellEnd"/>
      <w:r w:rsidRPr="00C749F3">
        <w:t xml:space="preserve"> after making up to the mark with distilled water. The absorbance of the mixture was measured at 505 nm using a UV spectrophotometer (UV-1900, Shimadzu) </w:t>
      </w:r>
      <w:r w:rsidRPr="00C749F3">
        <w:fldChar w:fldCharType="begin" w:fldLock="1"/>
      </w:r>
      <w:r w:rsidRPr="00C749F3">
        <w:instrText>ADDIN CSL_CITATION {"citationItems":[{"id":"ITEM-1","itemData":{"DOI":"10.9734/ejnfs/2023/v15i71318","abstract":"Aim: Cookies from rice, banana and cashew-nut flour blends were prepared as alternative to gluten-free baby-led food for children.\r Place and Duration of Study: The study was carried out in the Chemistry Laboratory, Department of Science Laboratory Technology, University of Medical Sciences, Ondo, Nigeria and Food Processing Laboratory, Department of Food Technology, Auchi Polytechnic, Auchi, Nigeria between August, 2022 and January, 2023.\r Methodology: Baby-led weaning cookies were formulated from flour blends as 100% raw rice (RRC), 50% rice and 50% wheat (RWC) and 40% rice, 20% cashew and 40% unripe banana (RCB) and their physical properties, sensory attributes, proximate properties, mineral compositions, vitamin profiles and anti-nutrients were determined and compared with 100% commercial cookie (CMC) with the view to substituting wheat flour with suitable flour blends with enhanced nutritional quality.\r Results: The peak diameter (10.40±0.20 mm), thickness (6.37±0.06 mm) and weight (17.65±0.04 g) were obtained in RCB. Spread ratio was highest (2.66±0.11) and lowest (1.42±0.01) in CMC and RWC respectively while spread factor decreased from 100% in CMC to 77.19% (RRC), 53.46% (RWC) and 62.47% (RWC). The grittiness, texture, aroma, taste and general acceptability of RCB were significantly similar to those of CMC (P &lt; 0.05). Na, K, Mg and Zn contents increased in RCB. Proximate compositions (%) of the cookies formulated varied significantly from CMC. Peak crude protein (14.49±0.59), crude fibre (4.03±0.02) and fat (32.22±0.00) in RCB, ash (3.28±0.02) and carbohydrate by difference (58.15±0.13) in CMC and moisture (18.19±0.11) in RRC. The peak values of fat-soluble vitamins (A, D, E, K) and water-soluble vitamins (B1, B2, B3, B6, B9, B12, C) were most abundant in RCB. The proportions (mg/g) of phytate, oxalate, tannins and phenols in the cookies formulated were comparatively lower than the lethal dose, implying that the cookies would be safe for consumption.\r Conclusion: RCB cookie had excellent nutritional quality, which, as a novel baby-led weaning cookie, could serve as a suitable alternative to commercial cookies.","author":[{"dropping-particle":"","family":"Oladebeye","given":"Abraham Olasupo","non-dropping-particle":"","parse-names":false,"suffix":""},{"dropping-particle":"","family":"Oladebeye","given":"Aderonke Adenike","non-dropping-particle":"","parse-names":false,"suffix":""}],"container-title":"European Journal of Nutrition &amp; Food Safety","id":"ITEM-1","issue":"7","issued":{"date-parts":[["2023"]]},"title":"Physicochemical and Nutritional Properties of Baby-Led Cookies Produced from Rice, Banana and Cashew-nut Flour Blends","type":"article-journal","volume":"15"},"uris":["http://www.mendeley.com/documents/?uuid=143d20d3-1c26-3aa1-9c87-5e5e684c3d26"]},{"id":"ITEM-2","itemData":{"ISSN":"16845315","abstract":"Nigerian medicinal plants (Aspilia africana and Bryophyllum pinnatum) were analyzed for their chemical composition, vitamins and minerals. The results revealed the presence of bioactive constituents comprising alkaloids (1.24 to 1.48 mg/100 g), saponins (1.46 to 1.72 mg/100 g), flavonoids (1.46 to 1.86 mg/100 g), phenols (0.06 mg/100g) and tannins (0.04 to 0.5 mg/100g). The medicinal plants contained ascorbic acid (26.42 to 44.03 mg/100 g), riboflavin (0.20 to 0.42 mg/100 g), thiamine (0.11 to 0.18 mg/100 g), and niacin (0.02 to 0.09 mg/100 g). These herbs are good sources of minerals such as Ca, P, K, Mg, Na, Fe and Zn. The importance of these chemical constituents is discussed with respect to the role of these herbs in ethnomedicine in Nigeria. © 2006 Academic Journals.","author":[{"dropping-particle":"","family":"Okwu","given":"D. E.","non-dropping-particle":"","parse-names":false,"suffix":""},{"dropping-particle":"","family":"Josiah","given":"C.","non-dropping-particle":"","parse-names":false,"suffix":""}],"container-title":"African Journal of Biotechnology","id":"ITEM-2","issue":"4","issued":{"date-parts":[["2006"]]},"title":"Evaluation of the chemical composition of two Nigerian medicinal plants","type":"article-journal","volume":"5"},"uris":["http://www.mendeley.com/documents/?uuid=eb9ff9a5-ae01-36ea-93d9-873bcea496dc"]}],"mendeley":{"formattedCitation":"(Okwu &amp; Josiah, 2006; Oladebeye &amp; Oladebeye, 2023)","manualFormatting":"(Oladebeye &amp; Oladebeye, 2023)","plainTextFormattedCitation":"(Okwu &amp; Josiah, 2006; Oladebeye &amp; Oladebeye, 2023)","previouslyFormattedCitation":"&lt;sup&gt;27,28&lt;/sup&gt;"},"properties":{"noteIndex":0},"schema":"https://github.com/citation-style-language/schema/raw/master/csl-citation.json"}</w:instrText>
      </w:r>
      <w:r w:rsidRPr="00C749F3">
        <w:fldChar w:fldCharType="separate"/>
      </w:r>
      <w:r w:rsidRPr="00C749F3">
        <w:rPr>
          <w:noProof/>
        </w:rPr>
        <w:t>(Oladebeye &amp; Oladebeye, 2023)</w:t>
      </w:r>
      <w:r w:rsidRPr="00C749F3">
        <w:fldChar w:fldCharType="end"/>
      </w:r>
      <w:r w:rsidRPr="00C749F3">
        <w:t>.</w:t>
      </w:r>
    </w:p>
    <w:p w14:paraId="4DA7A772" w14:textId="77777777" w:rsidR="00FD3B15" w:rsidRPr="00C749F3" w:rsidRDefault="00FD3B15" w:rsidP="00352B0E">
      <w:pPr>
        <w:pStyle w:val="NoSpacing"/>
      </w:pPr>
    </w:p>
    <w:p w14:paraId="33CF92D6" w14:textId="77777777" w:rsidR="00FD3B15" w:rsidRPr="00C749F3" w:rsidRDefault="00FD3B15" w:rsidP="00352B0E">
      <w:pPr>
        <w:pStyle w:val="NoSpacing"/>
      </w:pPr>
      <w:r w:rsidRPr="003D04BF">
        <w:t>2.4.6</w:t>
      </w:r>
      <w:r w:rsidRPr="00C749F3">
        <w:rPr>
          <w:b/>
        </w:rPr>
        <w:t xml:space="preserve"> </w:t>
      </w:r>
      <w:r w:rsidRPr="00C749F3">
        <w:t>Determination of Vitamins</w:t>
      </w:r>
    </w:p>
    <w:p w14:paraId="3D40EE17" w14:textId="77777777" w:rsidR="00FD3B15" w:rsidRPr="00C749F3" w:rsidRDefault="00FD3B15" w:rsidP="00352B0E">
      <w:pPr>
        <w:pStyle w:val="NoSpacing"/>
      </w:pPr>
      <w:r w:rsidRPr="00C749F3">
        <w:t xml:space="preserve">The method of </w:t>
      </w:r>
      <w:r w:rsidRPr="00C749F3">
        <w:fldChar w:fldCharType="begin" w:fldLock="1"/>
      </w:r>
      <w:r w:rsidRPr="00C749F3">
        <w:instrText>ADDIN CSL_CITATION {"citationItems":[{"id":"ITEM-1","itemData":{"ISSN":"16845315","abstract":"Nigerian medicinal plants (Aspilia africana and Bryophyllum pinnatum) were analyzed for their chemical composition, vitamins and minerals. The results revealed the presence of bioactive constituents comprising alkaloids (1.24 to 1.48 mg/100 g), saponins (1.46 to 1.72 mg/100 g), flavonoids (1.46 to 1.86 mg/100 g), phenols (0.06 mg/100g) and tannins (0.04 to 0.5 mg/100g). The medicinal plants contained ascorbic acid (26.42 to 44.03 mg/100 g), riboflavin (0.20 to 0.42 mg/100 g), thiamine (0.11 to 0.18 mg/100 g), and niacin (0.02 to 0.09 mg/100 g). These herbs are good sources of minerals such as Ca, P, K, Mg, Na, Fe and Zn. The importance of these chemical constituents is discussed with respect to the role of these herbs in ethnomedicine in Nigeria. © 2006 Academic Journals.","author":[{"dropping-particle":"","family":"Okwu","given":"D. E.","non-dropping-particle":"","parse-names":false,"suffix":""},{"dropping-particle":"","family":"Josiah","given":"C.","non-dropping-particle":"","parse-names":false,"suffix":""}],"container-title":"African Journal of Biotechnology","id":"ITEM-1","issue":"4","issued":{"date-parts":[["2006"]]},"title":"Evaluation of the chemical composition of two Nigerian medicinal plants","type":"article-journal","volume":"5"},"uris":["http://www.mendeley.com/documents/?uuid=eb9ff9a5-ae01-36ea-93d9-873bcea496dc"]}],"mendeley":{"formattedCitation":"(Okwu &amp; Josiah, 2006)","manualFormatting":"Okwu and Josiah (2006","plainTextFormattedCitation":"(Okwu &amp; Josiah, 2006)","previouslyFormattedCitation":"&lt;sup&gt;28&lt;/sup&gt;"},"properties":{"noteIndex":0},"schema":"https://github.com/citation-style-language/schema/raw/master/csl-citation.json"}</w:instrText>
      </w:r>
      <w:r w:rsidRPr="00C749F3">
        <w:fldChar w:fldCharType="separate"/>
      </w:r>
      <w:r w:rsidRPr="00C749F3">
        <w:rPr>
          <w:noProof/>
        </w:rPr>
        <w:t>Okwu and Josiah (2006</w:t>
      </w:r>
      <w:r w:rsidRPr="00C749F3">
        <w:fldChar w:fldCharType="end"/>
      </w:r>
      <w:r w:rsidRPr="00C749F3">
        <w:t xml:space="preserve">), which was modified by </w:t>
      </w:r>
      <w:r w:rsidRPr="00C749F3">
        <w:fldChar w:fldCharType="begin" w:fldLock="1"/>
      </w:r>
      <w:r w:rsidRPr="00C749F3">
        <w:instrText>ADDIN CSL_CITATION {"citationItems":[{"id":"ITEM-1","itemData":{"DOI":"10.9734/ejnfs/2023/v15i71318","abstract":"Aim: Cookies from rice, banana and cashew-nut flour blends were prepared as alternative to gluten-free baby-led food for children.\r Place and Duration of Study: The study was carried out in the Chemistry Laboratory, Department of Science Laboratory Technology, University of Medical Sciences, Ondo, Nigeria and Food Processing Laboratory, Department of Food Technology, Auchi Polytechnic, Auchi, Nigeria between August, 2022 and January, 2023.\r Methodology: Baby-led weaning cookies were formulated from flour blends as 100% raw rice (RRC), 50% rice and 50% wheat (RWC) and 40% rice, 20% cashew and 40% unripe banana (RCB) and their physical properties, sensory attributes, proximate properties, mineral compositions, vitamin profiles and anti-nutrients were determined and compared with 100% commercial cookie (CMC) with the view to substituting wheat flour with suitable flour blends with enhanced nutritional quality.\r Results: The peak diameter (10.40±0.20 mm), thickness (6.37±0.06 mm) and weight (17.65±0.04 g) were obtained in RCB. Spread ratio was highest (2.66±0.11) and lowest (1.42±0.01) in CMC and RWC respectively while spread factor decreased from 100% in CMC to 77.19% (RRC), 53.46% (RWC) and 62.47% (RWC). The grittiness, texture, aroma, taste and general acceptability of RCB were significantly similar to those of CMC (P &lt; 0.05). Na, K, Mg and Zn contents increased in RCB. Proximate compositions (%) of the cookies formulated varied significantly from CMC. Peak crude protein (14.49±0.59), crude fibre (4.03±0.02) and fat (32.22±0.00) in RCB, ash (3.28±0.02) and carbohydrate by difference (58.15±0.13) in CMC and moisture (18.19±0.11) in RRC. The peak values of fat-soluble vitamins (A, D, E, K) and water-soluble vitamins (B1, B2, B3, B6, B9, B12, C) were most abundant in RCB. The proportions (mg/g) of phytate, oxalate, tannins and phenols in the cookies formulated were comparatively lower than the lethal dose, implying that the cookies would be safe for consumption.\r Conclusion: RCB cookie had excellent nutritional quality, which, as a novel baby-led weaning cookie, could serve as a suitable alternative to commercial cookies.","author":[{"dropping-particle":"","family":"Oladebeye","given":"Abraham Olasupo","non-dropping-particle":"","parse-names":false,"suffix":""},{"dropping-particle":"","family":"Oladebeye","given":"Aderonke Adenike","non-dropping-particle":"","parse-names":false,"suffix":""}],"container-title":"European Journal of Nutrition &amp; Food Safety","id":"ITEM-1","issue":"7","issued":{"date-parts":[["2023"]]},"title":"Physicochemical and Nutritional Properties of Baby-Led Cookies Produced from Rice, Banana and Cashew-nut Flour Blends","type":"article-journal","volume":"15"},"uris":["http://www.mendeley.com/documents/?uuid=143d20d3-1c26-3aa1-9c87-5e5e684c3d26"]}],"mendeley":{"formattedCitation":"(Oladebeye &amp; Oladebeye, 2023)","manualFormatting":"Oladebeye &amp; Oladebeye (2023)","plainTextFormattedCitation":"(Oladebeye &amp; Oladebeye, 2023)","previouslyFormattedCitation":"&lt;sup&gt;27&lt;/sup&gt;"},"properties":{"noteIndex":0},"schema":"https://github.com/citation-style-language/schema/raw/master/csl-citation.json"}</w:instrText>
      </w:r>
      <w:r w:rsidRPr="00C749F3">
        <w:fldChar w:fldCharType="separate"/>
      </w:r>
      <w:r w:rsidRPr="00C749F3">
        <w:rPr>
          <w:noProof/>
        </w:rPr>
        <w:t>Oladebeye &amp; Oladebeye (2023)</w:t>
      </w:r>
      <w:r w:rsidRPr="00C749F3">
        <w:fldChar w:fldCharType="end"/>
      </w:r>
      <w:r w:rsidRPr="00C749F3">
        <w:t>. was adopted to determine vitamins B</w:t>
      </w:r>
      <w:r w:rsidRPr="00C749F3">
        <w:rPr>
          <w:vertAlign w:val="subscript"/>
        </w:rPr>
        <w:t>1</w:t>
      </w:r>
      <w:r w:rsidRPr="00C749F3">
        <w:t>, B</w:t>
      </w:r>
      <w:r w:rsidRPr="00C749F3">
        <w:rPr>
          <w:vertAlign w:val="subscript"/>
        </w:rPr>
        <w:t>2</w:t>
      </w:r>
      <w:r w:rsidRPr="00C749F3">
        <w:t>, B</w:t>
      </w:r>
      <w:r w:rsidRPr="00C749F3">
        <w:rPr>
          <w:vertAlign w:val="subscript"/>
        </w:rPr>
        <w:t>3</w:t>
      </w:r>
      <w:r w:rsidRPr="00C749F3">
        <w:t xml:space="preserve"> and C of the flour blends whereas vitamins B</w:t>
      </w:r>
      <w:r w:rsidRPr="00C749F3">
        <w:rPr>
          <w:vertAlign w:val="subscript"/>
        </w:rPr>
        <w:t>6</w:t>
      </w:r>
      <w:r w:rsidRPr="00C749F3">
        <w:t>, B</w:t>
      </w:r>
      <w:r w:rsidRPr="00C749F3">
        <w:rPr>
          <w:vertAlign w:val="subscript"/>
        </w:rPr>
        <w:t>9</w:t>
      </w:r>
      <w:r w:rsidRPr="00C749F3">
        <w:t>, B</w:t>
      </w:r>
      <w:r w:rsidRPr="00C749F3">
        <w:rPr>
          <w:vertAlign w:val="subscript"/>
        </w:rPr>
        <w:t>12</w:t>
      </w:r>
      <w:r w:rsidRPr="00C749F3">
        <w:t xml:space="preserve"> and K were determined by the method described by </w:t>
      </w:r>
      <w:r w:rsidRPr="00C749F3">
        <w:fldChar w:fldCharType="begin" w:fldLock="1"/>
      </w:r>
      <w:r w:rsidRPr="00C749F3">
        <w:instrText>ADDIN CSL_CITATION {"citationItems":[{"id":"ITEM-1","itemData":{"DOI":"10.3389/fmed.2022.1089476","ISSN":"2296858X","abstract":"It has been proven that vitamins play an essential role in preventing certain diseases since ancient times. It is thus fruitless to approach the roles of vitamins without making reference to the techniques used in evaluating the effects of these micronutrients. Therefore, the aim of this paper was to summarize the immunological effects of E, K, B5, B6, and B9 vitamins evaluated by flow cytometry. Some of these significant effects were presented and discussed: (a) The role of vitamins E in the prevention and treatment of different types of cancer. (b) The properties of K vitamins in the development and maintenance of pheochromocytoma Cell Line 12 (PC12) cells in Parkinson’s disease; (c) The improvement effect of vitamin B5 on the loss of bone mass in low estrogen conditions; (d) The anticancer role of vitamins B6. (e) The role of Vitamin B9 in the regulation of Treg cells. As such, the flow cytometry technique used to assess these properties is essential to evaluate the immunomodulatory effects of certain vitamins. The technique undergoes constant improvement which makes it possible to determine several parameters with a role in the modulation of the immune function and at the same time increase the accuracy of the methods that highlight them.","author":[{"dropping-particle":"","family":"Munteanu","given":"Camelia","non-dropping-particle":"","parse-names":false,"suffix":""},{"dropping-particle":"","family":"Berindean","given":"Ioana","non-dropping-particle":"","parse-names":false,"suffix":""},{"dropping-particle":"","family":"Mihai","given":"Mihaela","non-dropping-particle":"","parse-names":false,"suffix":""},{"dropping-particle":"","family":"Pop","given":"Bianca","non-dropping-particle":"","parse-names":false,"suffix":""},{"dropping-particle":"","family":"Popa","given":"Mihai","non-dropping-particle":"","parse-names":false,"suffix":""},{"dropping-particle":"","family":"Muntean","given":"Leon","non-dropping-particle":"","parse-names":false,"suffix":""},{"dropping-particle":"","family":"Petrescu","given":"Olivia","non-dropping-particle":"","parse-names":false,"suffix":""},{"dropping-particle":"","family":"Ona","given":"Andreea","non-dropping-particle":"","parse-names":false,"suffix":""}],"container-title":"Frontiers in Medicine","id":"ITEM-1","issued":{"date-parts":[["2023"]]},"title":"E, K, B5, B6, and B9 vitamins and their specific immunological effects evaluated by flow cytometry","type":"article","volume":"9"},"uris":["http://www.mendeley.com/documents/?uuid=1369f00d-0b12-35ac-93bc-e9783339ff65"]}],"mendeley":{"formattedCitation":"(Munteanu et al., 2023)","manualFormatting":"Munteanu et al. (2023)","plainTextFormattedCitation":"(Munteanu et al., 2023)","previouslyFormattedCitation":"&lt;sup&gt;29&lt;/sup&gt;"},"properties":{"noteIndex":0},"schema":"https://github.com/citation-style-language/schema/raw/master/csl-citation.json"}</w:instrText>
      </w:r>
      <w:r w:rsidRPr="00C749F3">
        <w:fldChar w:fldCharType="separate"/>
      </w:r>
      <w:r w:rsidRPr="00C749F3">
        <w:rPr>
          <w:noProof/>
        </w:rPr>
        <w:t xml:space="preserve">Munteanu </w:t>
      </w:r>
      <w:r w:rsidRPr="00C749F3">
        <w:rPr>
          <w:i/>
          <w:noProof/>
        </w:rPr>
        <w:t>et al.</w:t>
      </w:r>
      <w:r w:rsidRPr="00C749F3">
        <w:rPr>
          <w:noProof/>
        </w:rPr>
        <w:t xml:space="preserve"> (2023)</w:t>
      </w:r>
      <w:r w:rsidRPr="00C749F3">
        <w:fldChar w:fldCharType="end"/>
      </w:r>
      <w:r w:rsidRPr="00C749F3">
        <w:t xml:space="preserve">. Whereas vitamin A was determined by the method of </w:t>
      </w:r>
      <w:r w:rsidRPr="00C749F3">
        <w:fldChar w:fldCharType="begin" w:fldLock="1"/>
      </w:r>
      <w:r w:rsidRPr="00C749F3">
        <w:instrText>ADDIN CSL_CITATION {"citationItems":[{"id":"ITEM-1","itemData":{"ISBN":"978- 953-307-683-6","abstract":"Carotenoid analysis is inherently difficult and error prone. Despite substantial improvements and refinements in the methods for analyzing these fascinating but complicated compounds, discrepancies in analytical data can still be perceived in the literature. Analysts must be well informed about the nature and properties of carotenoids and the problems associated with their identification and quantification. Carotenoid analysis consists of several steps that can be carried out efficiently in various ways. Thus, in this handbook several procedures are given for some steps to enable the analyst to choose the procedure that best suits his/her labo- ratory conditions and experience. These procedures have been put together and evaluated for HarvestPlus crops in our laboratory, but we recognize that other procedures may also produce reliable results. It is important that analysts test the methods in their own laboratory prior to performing the actual analyses. Knowledge of the purpose and possible sources of error in each step will assist the analyst in appraising the performances of the methods. Indeed, the key element in the accurate determination of carotenoids is undoubtedly the analyst. Even a well-validated method may perform badly in the hands of an analyst who does not seek the appropriate information and does not pay attention to the many important details that are necessary to ensure the accuracy of the analytical results.","author":[{"dropping-particle":"","family":"Rodriguez-Amaya","given":"D.B","non-dropping-particle":"","parse-names":false,"suffix":""},{"dropping-particle":"","family":"Kimura","given":"M","non-dropping-particle":"","parse-names":false,"suffix":""}],"container-title":"HarvestPlus Technical Monographs","id":"ITEM-1","issued":{"date-parts":[["2004"]]},"number-of-pages":"59","title":"HarvestPlus Handbook for Carotenoid Analysis","type":"report"},"uris":["http://www.mendeley.com/documents/?uuid=7e89adc7-f45c-3fb0-a322-a1df15dfcc1a","http://www.mendeley.com/documents/?uuid=fc8750ac-8089-43dd-9e83-0ecd6099acb4"]}],"mendeley":{"formattedCitation":"(Rodriguez-Amaya &amp; Kimura, 2004)","manualFormatting":"Rodriguez-Amaya &amp; Kimura (2004)","plainTextFormattedCitation":"(Rodriguez-Amaya &amp; Kimura, 2004)","previouslyFormattedCitation":"&lt;sup&gt;30&lt;/sup&gt;"},"properties":{"noteIndex":0},"schema":"https://github.com/citation-style-language/schema/raw/master/csl-citation.json"}</w:instrText>
      </w:r>
      <w:r w:rsidRPr="00C749F3">
        <w:fldChar w:fldCharType="separate"/>
      </w:r>
      <w:r w:rsidRPr="00C749F3">
        <w:rPr>
          <w:noProof/>
        </w:rPr>
        <w:t>Rodriguez-Amaya &amp; Kimura (2004)</w:t>
      </w:r>
      <w:r w:rsidRPr="00C749F3">
        <w:fldChar w:fldCharType="end"/>
      </w:r>
      <w:r w:rsidRPr="00C749F3">
        <w:t xml:space="preserve">, vitamins D (calciferol) and E (tocopherol) were determined by the method of Yao </w:t>
      </w:r>
      <w:r w:rsidRPr="00C749F3">
        <w:rPr>
          <w:i/>
        </w:rPr>
        <w:t xml:space="preserve">et al. </w:t>
      </w:r>
      <w:r w:rsidRPr="00C749F3">
        <w:t>(2025).</w:t>
      </w:r>
    </w:p>
    <w:p w14:paraId="7EFAB3BB" w14:textId="77777777" w:rsidR="00FD3B15" w:rsidRPr="00C749F3" w:rsidRDefault="00FD3B15" w:rsidP="00352B0E">
      <w:pPr>
        <w:pStyle w:val="NoSpacing"/>
      </w:pPr>
    </w:p>
    <w:p w14:paraId="72CE02CB" w14:textId="77777777" w:rsidR="00FD3B15" w:rsidRPr="00C749F3" w:rsidRDefault="00FD3B15" w:rsidP="00FD3B15">
      <w:pPr>
        <w:jc w:val="both"/>
        <w:rPr>
          <w:rFonts w:ascii="Arial" w:hAnsi="Arial" w:cs="Arial"/>
          <w:b/>
        </w:rPr>
      </w:pPr>
      <w:r w:rsidRPr="00C749F3">
        <w:rPr>
          <w:rFonts w:ascii="Arial" w:hAnsi="Arial" w:cs="Arial"/>
          <w:b/>
        </w:rPr>
        <w:t xml:space="preserve">2.5 Statistical Analysis </w:t>
      </w:r>
    </w:p>
    <w:p w14:paraId="644E1B4F" w14:textId="77777777" w:rsidR="00FD3B15" w:rsidRPr="00C749F3" w:rsidRDefault="00FD3B15" w:rsidP="00352B0E">
      <w:pPr>
        <w:pStyle w:val="NoSpacing"/>
      </w:pPr>
      <w:r w:rsidRPr="00C749F3">
        <w:t>SPSS Statistics version 26.0 was used to statistically analyze the data collected in this study. One-way analysis of variance (ANOVA) for mean comparison, and Duncan’s multiple range test were analyzed at a 5% level of significance.</w:t>
      </w:r>
    </w:p>
    <w:p w14:paraId="237A7F64" w14:textId="77777777" w:rsidR="00FD3B15" w:rsidRPr="00C749F3" w:rsidRDefault="00FD3B15" w:rsidP="00FD3B15">
      <w:pPr>
        <w:rPr>
          <w:rFonts w:ascii="Arial" w:hAnsi="Arial" w:cs="Arial"/>
        </w:rPr>
      </w:pPr>
    </w:p>
    <w:p w14:paraId="2D75E311" w14:textId="77777777" w:rsidR="00790ADA" w:rsidRPr="00C749F3" w:rsidRDefault="00790ADA" w:rsidP="00441B6F">
      <w:pPr>
        <w:pStyle w:val="Body"/>
        <w:spacing w:after="0"/>
        <w:rPr>
          <w:rFonts w:ascii="Arial" w:hAnsi="Arial" w:cs="Arial"/>
        </w:rPr>
      </w:pPr>
    </w:p>
    <w:p w14:paraId="1E94BE72" w14:textId="77777777" w:rsidR="00902823" w:rsidRPr="00C749F3" w:rsidRDefault="00000F8F" w:rsidP="00441B6F">
      <w:pPr>
        <w:pStyle w:val="Head1"/>
        <w:spacing w:after="0"/>
        <w:jc w:val="both"/>
        <w:rPr>
          <w:rFonts w:ascii="Arial" w:hAnsi="Arial" w:cs="Arial"/>
          <w:sz w:val="20"/>
        </w:rPr>
      </w:pPr>
      <w:r w:rsidRPr="00C749F3">
        <w:rPr>
          <w:rFonts w:ascii="Arial" w:hAnsi="Arial" w:cs="Arial"/>
          <w:sz w:val="20"/>
        </w:rPr>
        <w:t>3</w:t>
      </w:r>
      <w:r w:rsidR="00902823" w:rsidRPr="00C749F3">
        <w:rPr>
          <w:rFonts w:ascii="Arial" w:hAnsi="Arial" w:cs="Arial"/>
          <w:sz w:val="20"/>
        </w:rPr>
        <w:t xml:space="preserve">. </w:t>
      </w:r>
      <w:r w:rsidRPr="00C749F3">
        <w:rPr>
          <w:rFonts w:ascii="Arial" w:hAnsi="Arial" w:cs="Arial"/>
          <w:sz w:val="20"/>
        </w:rPr>
        <w:t>results and discussion</w:t>
      </w:r>
    </w:p>
    <w:p w14:paraId="4B5AE8E4" w14:textId="77777777" w:rsidR="003813FB" w:rsidRPr="003A6E75" w:rsidRDefault="003813FB" w:rsidP="00352B0E">
      <w:pPr>
        <w:pStyle w:val="NoSpacing"/>
      </w:pPr>
      <w:r w:rsidRPr="003D04BF">
        <w:rPr>
          <w:b/>
        </w:rPr>
        <w:t>3.1</w:t>
      </w:r>
      <w:r w:rsidRPr="003A6E75">
        <w:t xml:space="preserve"> </w:t>
      </w:r>
      <w:r w:rsidRPr="003D04BF">
        <w:rPr>
          <w:b/>
        </w:rPr>
        <w:t>Functional</w:t>
      </w:r>
      <w:r w:rsidRPr="003A6E75">
        <w:t xml:space="preserve"> </w:t>
      </w:r>
      <w:r w:rsidRPr="003D04BF">
        <w:rPr>
          <w:b/>
        </w:rPr>
        <w:t>Properties</w:t>
      </w:r>
    </w:p>
    <w:p w14:paraId="79A5459F" w14:textId="77777777" w:rsidR="003813FB" w:rsidRPr="00C749F3" w:rsidRDefault="003813FB" w:rsidP="00352B0E">
      <w:pPr>
        <w:pStyle w:val="NoSpacing"/>
      </w:pPr>
      <w:r w:rsidRPr="00C749F3">
        <w:t>Figure 1 depicts the result of the functional properties of the transitional foods. The bulk density ranges from 0.41±0.04 g/mL in CFL to 0.65±0.02 g/mL in MBS</w:t>
      </w:r>
      <w:r w:rsidRPr="00C749F3">
        <w:rPr>
          <w:vertAlign w:val="subscript"/>
        </w:rPr>
        <w:t>2</w:t>
      </w:r>
      <w:r w:rsidRPr="00C749F3">
        <w:t xml:space="preserve">. Bulk density informs about the heaviness of flour sample, which suggests the packaging size, and packaging material to optimize storage, transportation and shelf-life of food products </w:t>
      </w:r>
      <w:r w:rsidRPr="00C749F3">
        <w:fldChar w:fldCharType="begin" w:fldLock="1"/>
      </w:r>
      <w:r w:rsidRPr="00C749F3">
        <w:instrText>ADDIN CSL_CITATION {"citationItems":[{"id":"ITEM-1","itemData":{"abstract":"The objective of this research was to assess the proximate composition and selected functional properties of soft wheat flour. The commercially available soft wheat flour was purchased from local suppliers at Kajetia market in Kumasi-Ghana. The flour were cleaned of foreign materials and sieved through 75 μm. The flours were packaged in airtight plastic containers prior to analyses. The flours were analyzed for their proximate composition. The flour functional properties were determined and compared with those of asomdwee cowpea flour. The results showed that the soft wheat flour had higher (1.33%) fat and carbohydrate content (83.60%) than the cowpea flour. The crude protein, fibre, moisture and ash content were all lower in soft wheat flour as compared to the cowpea flour. However, the bulk density, oil and water absorption capacity of the wheat flour were not significantly different from the cowpea flour. Solubility, swelling power and foam capacity of the wheat flours were lower as compared to the cowpea flour.","author":[{"dropping-particle":"","family":"Oppong","given":"David","non-dropping-particle":"","parse-names":false,"suffix":""},{"dropping-particle":"","family":"Arthur","given":"Eric","non-dropping-particle":"","parse-names":false,"suffix":""},{"dropping-particle":"","family":"Kwadwo","given":"Samuel","non-dropping-particle":"","parse-names":false,"suffix":""},{"dropping-particle":"","family":"Badu","given":"Eric","non-dropping-particle":"","parse-names":false,"suffix":""},{"dropping-particle":"","family":"Sakyi","given":"Patrick","non-dropping-particle":"","parse-names":false,"suffix":""}],"container-title":"International Journal of Innovative Research in Science, Engineering and Technology","id":"ITEM-1","issue":"2","issued":{"date-parts":[["2015"]]},"title":"Proximate Composition and Some Functional Properties of Soft Wheat Flour","type":"article-journal"},"uris":["http://www.mendeley.com/documents/?uuid=18fbfdcc-bcff-373e-bedb-91c457b3b89f"]}],"mendeley":{"formattedCitation":"(Oppong et al., 2015)","plainTextFormattedCitation":"(Oppong et al., 2015)","previouslyFormattedCitation":"(Oppong et al., 2015)"},"properties":{"noteIndex":0},"schema":"https://github.com/citation-style-language/schema/raw/master/csl-citation.json"}</w:instrText>
      </w:r>
      <w:r w:rsidRPr="00C749F3">
        <w:fldChar w:fldCharType="separate"/>
      </w:r>
      <w:r w:rsidRPr="00C749F3">
        <w:rPr>
          <w:noProof/>
        </w:rPr>
        <w:t xml:space="preserve">(Oppong </w:t>
      </w:r>
      <w:r w:rsidRPr="00C749F3">
        <w:rPr>
          <w:i/>
          <w:noProof/>
        </w:rPr>
        <w:t>et al.</w:t>
      </w:r>
      <w:r w:rsidRPr="00C749F3">
        <w:rPr>
          <w:noProof/>
        </w:rPr>
        <w:t>, 2015)</w:t>
      </w:r>
      <w:r w:rsidRPr="00C749F3">
        <w:fldChar w:fldCharType="end"/>
      </w:r>
      <w:r w:rsidRPr="00C749F3">
        <w:t>. Conversely, a</w:t>
      </w:r>
      <w:r w:rsidRPr="00C749F3">
        <w:rPr>
          <w:rFonts w:eastAsia="Times New Roman"/>
        </w:rPr>
        <w:t xml:space="preserve"> higher bulk density means more flour can be packed into a smaller space while a low bulk density requires a larger space. </w:t>
      </w:r>
      <w:r w:rsidRPr="00C749F3">
        <w:t xml:space="preserve">From Figure. 1, the peak least gelation concentration (LGC), </w:t>
      </w:r>
      <w:r w:rsidRPr="00C749F3">
        <w:rPr>
          <w:rFonts w:eastAsia="Times New Roman"/>
        </w:rPr>
        <w:t>6.00±0.00%.is obtained in CFL while the least, 2.00±0.00% in MBS</w:t>
      </w:r>
      <w:r w:rsidRPr="00C749F3">
        <w:rPr>
          <w:rFonts w:eastAsia="Times New Roman"/>
          <w:vertAlign w:val="subscript"/>
        </w:rPr>
        <w:t>1</w:t>
      </w:r>
      <w:r w:rsidRPr="00C749F3">
        <w:rPr>
          <w:rFonts w:eastAsia="Times New Roman"/>
        </w:rPr>
        <w:t xml:space="preserve">. </w:t>
      </w:r>
      <w:r w:rsidRPr="00C749F3">
        <w:t xml:space="preserve">This parameter indicates the smallest quantity of flour required to form a stable gel in a given volume of water, which is influenced by the proportions of its structural components such as proteins, carbohydrates, and lipids </w:t>
      </w:r>
      <w:r w:rsidRPr="00C749F3">
        <w:fldChar w:fldCharType="begin" w:fldLock="1"/>
      </w:r>
      <w:r w:rsidRPr="00C749F3">
        <w:instrText>ADDIN CSL_CITATION {"citationItems":[{"id":"ITEM-1","itemData":{"DOI":"10.1002/fsn3.455","ISSN":"20487177","abstract":"This study investigated some quality attributes of unripe cooking banana (UBF), pigeon pea (PPF), and sweetpotato (SPF) flour blends. Simplex centroid mixture design was used to obtain 17 blends from the flours. The nutrient composition, color, and functional properties of the blends were evaluated using standard methods. Data were subjected to analysis of variance and treatment means were compared using Duncan's multiple range test at 5% probability level. There were significant (p &lt;.05) differences in the nutrient composition, and functional and pasting properties of the blends. The crude protein, crude fiber, ash, foaming capacity, emulsion capacity, and least gelation capacity of the blends increased as the PPF level increased. The blends had Na/K ratio of &lt;1.0. The dispersibility, bulk density, water, and oil absorption capacities of the blends increased as SPF and UBF increased. The peak, setback, and final viscosities increased as UBF and SPF inclusion increased,whereas pasting temperature and time increased as the PPF level increased. The L*, a*, and b* values of the flour blends which were significantly (p &lt;.05) different ranged from 79.58 to 102.71, −0.15 to 2.79, and 13.82 to 23.69, respectively. Cooking banana-pigeon pea-sweetpotato flour blends are desirable for alleviating malnutrition in Nigeria and developing new food formulations.","author":[{"dropping-particle":"","family":"Ohizua","given":"Ehimen R.","non-dropping-particle":"","parse-names":false,"suffix":""},{"dropping-particle":"","family":"Adeola","given":"Abiodun A.","non-dropping-particle":"","parse-names":false,"suffix":""},{"dropping-particle":"","family":"Idowu","given":"Micheal A.","non-dropping-particle":"","parse-names":false,"suffix":""},{"dropping-particle":"","family":"Sobukola","given":"Olajide P.","non-dropping-particle":"","parse-names":false,"suffix":""},{"dropping-particle":"","family":"Afolabi","given":"T. Adeniyi","non-dropping-particle":"","parse-names":false,"suffix":""},{"dropping-particle":"","family":"Ishola","given":"Raphael O.","non-dropping-particle":"","parse-names":false,"suffix":""},{"dropping-particle":"","family":"Ayansina","given":"Simeon O.","non-dropping-particle":"","parse-names":false,"suffix":""},{"dropping-particle":"","family":"Oyekale","given":"Tolulope O.","non-dropping-particle":"","parse-names":false,"suffix":""},{"dropping-particle":"","family":"Falomo","given":"Ayorinde","non-dropping-particle":"","parse-names":false,"suffix":""}],"container-title":"Food Science and Nutrition","id":"ITEM-1","issue":"3","issued":{"date-parts":[["2017"]]},"title":"Nutrient composition, functional, and pasting properties of unripe cooking banana, pigeon pea, and sweetpotato flour blends","type":"article-journal","volume":"5"},"uris":["http://www.mendeley.com/documents/?uuid=9de4775f-eb45-39ad-a812-c7b6d14089b9"]}],"mendeley":{"formattedCitation":"(Ohizua et al., 2017)","plainTextFormattedCitation":"(Ohizua et al., 2017)","previouslyFormattedCitation":"(Ohizua et al., 2017)"},"properties":{"noteIndex":0},"schema":"https://github.com/citation-style-language/schema/raw/master/csl-citation.json"}</w:instrText>
      </w:r>
      <w:r w:rsidRPr="00C749F3">
        <w:fldChar w:fldCharType="separate"/>
      </w:r>
      <w:r w:rsidRPr="00C749F3">
        <w:rPr>
          <w:i/>
          <w:noProof/>
        </w:rPr>
        <w:t>(Ohizua et al.</w:t>
      </w:r>
      <w:r w:rsidRPr="00C749F3">
        <w:rPr>
          <w:noProof/>
        </w:rPr>
        <w:t>, 2017)</w:t>
      </w:r>
      <w:r w:rsidRPr="00C749F3">
        <w:fldChar w:fldCharType="end"/>
      </w:r>
      <w:r w:rsidRPr="00C749F3">
        <w:t>. A high least gelation concentration (LGC) indicates high proportion protein is needed to form a gel, thus inferring a reduced ability of the flour to form a gel. In other words, LGC and gel-forming capacity are inversely proportional. The swelling and solubility profiles of the flour samples range from 10.34±0.06g/g (MBS</w:t>
      </w:r>
      <w:r w:rsidRPr="00C749F3">
        <w:rPr>
          <w:vertAlign w:val="subscript"/>
        </w:rPr>
        <w:t>1</w:t>
      </w:r>
      <w:r w:rsidRPr="00C749F3">
        <w:rPr>
          <w:vertAlign w:val="subscript"/>
        </w:rPr>
        <w:softHyphen/>
      </w:r>
      <w:r w:rsidRPr="00C749F3">
        <w:t>) to 13.69±0.08g/g (WFL) and 4.20±006% (MBS</w:t>
      </w:r>
      <w:r w:rsidRPr="00C749F3">
        <w:rPr>
          <w:vertAlign w:val="subscript"/>
        </w:rPr>
        <w:t>1</w:t>
      </w:r>
      <w:r w:rsidRPr="00C749F3">
        <w:t xml:space="preserve">) to 11.56±0.02% (CFL) respectively. WFL exhibits the least value of water absorption capacity (WAC), 97.69±2.52% and the peak value, 165.00±5.00% in CFL. Thus, all the samples studied appear as potential ingredients in </w:t>
      </w:r>
      <w:r w:rsidRPr="00C749F3">
        <w:lastRenderedPageBreak/>
        <w:t xml:space="preserve">the production of bakery products, soups and ready-to-eat (RTE) foods </w:t>
      </w:r>
      <w:r w:rsidRPr="00C749F3">
        <w:fldChar w:fldCharType="begin" w:fldLock="1"/>
      </w:r>
      <w:r w:rsidRPr="00C749F3">
        <w:instrText>ADDIN CSL_CITATION {"citationItems":[{"id":"ITEM-1","itemData":{"DOI":"10.1002/fsn3.455","ISSN":"20487177","abstract":"This study investigated some quality attributes of unripe cooking banana (UBF), pigeon pea (PPF), and sweetpotato (SPF) flour blends. Simplex centroid mixture design was used to obtain 17 blends from the flours. The nutrient composition, color, and functional properties of the blends were evaluated using standard methods. Data were subjected to analysis of variance and treatment means were compared using Duncan's multiple range test at 5% probability level. There were significant (p &lt;.05) differences in the nutrient composition, and functional and pasting properties of the blends. The crude protein, crude fiber, ash, foaming capacity, emulsion capacity, and least gelation capacity of the blends increased as the PPF level increased. The blends had Na/K ratio of &lt;1.0. The dispersibility, bulk density, water, and oil absorption capacities of the blends increased as SPF and UBF increased. The peak, setback, and final viscosities increased as UBF and SPF inclusion increased,whereas pasting temperature and time increased as the PPF level increased. The L*, a*, and b* values of the flour blends which were significantly (p &lt;.05) different ranged from 79.58 to 102.71, −0.15 to 2.79, and 13.82 to 23.69, respectively. Cooking banana-pigeon pea-sweetpotato flour blends are desirable for alleviating malnutrition in Nigeria and developing new food formulations.","author":[{"dropping-particle":"","family":"Ohizua","given":"Ehimen R.","non-dropping-particle":"","parse-names":false,"suffix":""},{"dropping-particle":"","family":"Adeola","given":"Abiodun A.","non-dropping-particle":"","parse-names":false,"suffix":""},{"dropping-particle":"","family":"Idowu","given":"Micheal A.","non-dropping-particle":"","parse-names":false,"suffix":""},{"dropping-particle":"","family":"Sobukola","given":"Olajide P.","non-dropping-particle":"","parse-names":false,"suffix":""},{"dropping-particle":"","family":"Afolabi","given":"T. Adeniyi","non-dropping-particle":"","parse-names":false,"suffix":""},{"dropping-particle":"","family":"Ishola","given":"Raphael O.","non-dropping-particle":"","parse-names":false,"suffix":""},{"dropping-particle":"","family":"Ayansina","given":"Simeon O.","non-dropping-particle":"","parse-names":false,"suffix":""},{"dropping-particle":"","family":"Oyekale","given":"Tolulope O.","non-dropping-particle":"","parse-names":false,"suffix":""},{"dropping-particle":"","family":"Falomo","given":"Ayorinde","non-dropping-particle":"","parse-names":false,"suffix":""}],"container-title":"Food Science and Nutrition","id":"ITEM-1","issue":"3","issued":{"date-parts":[["2017"]]},"title":"Nutrient composition, functional, and pasting properties of unripe cooking banana, pigeon pea, and sweetpotato flour blends","type":"article-journal","volume":"5"},"uris":["http://www.mendeley.com/documents/?uuid=9de4775f-eb45-39ad-a812-c7b6d14089b9"]}],"mendeley":{"formattedCitation":"(Ohizua et al., 2017)","plainTextFormattedCitation":"(Ohizua et al., 2017)","previouslyFormattedCitation":"(Ohizua et al., 2017)"},"properties":{"noteIndex":0},"schema":"https://github.com/citation-style-language/schema/raw/master/csl-citation.json"}</w:instrText>
      </w:r>
      <w:r w:rsidRPr="00C749F3">
        <w:fldChar w:fldCharType="separate"/>
      </w:r>
      <w:r w:rsidRPr="00C749F3">
        <w:rPr>
          <w:noProof/>
        </w:rPr>
        <w:t xml:space="preserve">(Ohizua </w:t>
      </w:r>
      <w:r w:rsidRPr="00C749F3">
        <w:rPr>
          <w:i/>
          <w:noProof/>
        </w:rPr>
        <w:t>et al.</w:t>
      </w:r>
      <w:r w:rsidRPr="00C749F3">
        <w:rPr>
          <w:noProof/>
        </w:rPr>
        <w:t>, 2017)</w:t>
      </w:r>
      <w:r w:rsidRPr="00C749F3">
        <w:fldChar w:fldCharType="end"/>
      </w:r>
      <w:r w:rsidRPr="00C749F3">
        <w:t xml:space="preserve">. Viscosity ranges from </w:t>
      </w:r>
      <w:r w:rsidRPr="00C749F3">
        <w:rPr>
          <w:rFonts w:eastAsia="Times New Roman"/>
        </w:rPr>
        <w:t xml:space="preserve">1.52±0.03 </w:t>
      </w:r>
      <w:r w:rsidRPr="00C749F3">
        <w:t xml:space="preserve">cps in CFL to </w:t>
      </w:r>
      <w:r w:rsidRPr="00C749F3">
        <w:rPr>
          <w:rFonts w:eastAsia="Times New Roman"/>
        </w:rPr>
        <w:t>1.75±0.05 cps in MBS</w:t>
      </w:r>
      <w:r w:rsidRPr="00C749F3">
        <w:rPr>
          <w:rFonts w:eastAsia="Times New Roman"/>
          <w:vertAlign w:val="subscript"/>
        </w:rPr>
        <w:t>1</w:t>
      </w:r>
      <w:r w:rsidRPr="00C749F3">
        <w:rPr>
          <w:rFonts w:eastAsia="Times New Roman"/>
        </w:rPr>
        <w:t xml:space="preserve">. </w:t>
      </w:r>
      <w:r w:rsidRPr="00C749F3">
        <w:t xml:space="preserve">Viscosity is important in assessing the characteristic quality of the dough. Peak viscosity serves as an important parameter for assessing the consistency of flour paste following thermal processing. It reflects the degree of starch granule swelling and gelatinization that occurs during heating. A higher peak viscosity typically indicates greater granule expansion and enhanced water absorption capacity, although this property can be influenced by factors such as enzymatic activity, flour composition, and processing conditions </w:t>
      </w:r>
      <w:r w:rsidRPr="00C749F3">
        <w:fldChar w:fldCharType="begin" w:fldLock="1"/>
      </w:r>
      <w:r w:rsidRPr="00C749F3">
        <w:instrText>ADDIN CSL_CITATION {"citationItems":[{"id":"ITEM-1","itemData":{"DOI":"10.3390/foods12122281","ISSN":"23048158","abstract":"The pasting and rheological properties of starch gels from different botanical origins have been widely used to evaluate the application of these starches in pharmaceutical and food products. However, the ways in which these properties are modified by starch concentration and their dependence on amylose content and thermal and hydration properties have not been adequately established so far. An exhaustive study of the pasting and rheological properties of starch gels (maize and rice (normal and waxy in both cases), wheat, potato, and tapioca) at concentrations of 6.4, 7.8, 9.2, 10.6, and 11.9 g/100 g was performed. The results were evaluated in terms of a potential equation fit between each parameter and each gel concentration. The parameters determined for the gels at the studied concentrations were correlated with the hydration properties and thermal properties by applying principal component analysis (PCA). Wheat starch, followed by normal maize and normal rice starches, presented a greater capacity to modulate their gels’ pasting and viscoelastic properties via their concentration in water. On the contrary, the characteristics of waxy rice and maize, potato, and tapioca starches were barely modified by concentration in pasting assays, but the gels of potato and tapioca showed noticeable changes in their viscoelastic properties as functions of concentration. In the PCA plot, the non-waxy cereal samples (wheat, normal maize, and normal rice) were located close to each other. Wheat starch gels were the most dispersed on the graph, which is consistent with the high dependence on the concentration of the gel shown in most of the studied parameters. The waxy starches had close positions not too distant from those of the tapioca and potato samples and with little influence from amylose concentration. The potato and tapioca samples were close to the vectors of the crossover point in rheology and peak viscosity in their pasting properties. The knowledge gained from this work allows a better understanding of the effects of starch concentration on food formulations.","author":[{"dropping-particle":"","family":"Mauro","given":"Raúl Ricardo","non-dropping-particle":"","parse-names":false,"suffix":""},{"dropping-particle":"","family":"Vela","given":"Antonio José","non-dropping-particle":"","parse-names":false,"suffix":""},{"dropping-particle":"","family":"Ronda","given":"Felicidad","non-dropping-particle":"","parse-names":false,"suffix":""}],"container-title":"Foods","id":"ITEM-1","issue":"12","issued":{"date-parts":[["2023"]]},"title":"Impact of Starch Concentration on the Pasting and Rheological Properties of Gluten-Free Gels. Effects of Amylose Content and Thermal and Hydration Properties","type":"article-journal","volume":"12"},"uris":["http://www.mendeley.com/documents/?uuid=e1dd575a-479c-3390-a179-c4ad8a49c9c2"]},{"id":"ITEM-2","itemData":{"DOI":"10.46602/jcsn.v45i6.540","abstract":"Classification of cassava and wheat using only amylose content is not sufficient enough to predict starch viscosity for end product recommendation, hence this study aimed at characterizing and categorizing the pasting profile of composite flours from cassava-citrus and wheat-watermelon using Rapid Visco Analyzer (RVA) (used in confectionary products), dried cassava, citrus rind, wheat grain and watermelon rind were processed into flour by grinding. Cassava-citrus and wheat-watermelon flours were blended in the ratio of 100:0, 25:75, 50:50 and 75:25 and labeled as AB1, AB2, AB3, AB4 and BC1, BC2, BC3, BC4 respectively. The data obtained from the pasting properties of composite cassava-citrus and wheat-watermelon flours are as follows: range of peak viscosity (249.6-446.0) and (97.1-116.3) RVU, trough value (158.5-251.5) and (59.5- 70.3) RVU, breakdown viscosity (91.1-184.1) and (37.6-46.0) RVU, final viscosity (222.3-509.3) and (184.4-214.2) RVU, setback viscosity (63.3-247.8) and (124.9-143.8) RVU, peak time (4.27-5.27) and (5.53- 5.67) min and pasting temperatures (72.45-73.40) and (90.40-91.25) oC. The pasting properties of wheat watermelon composite flours increased with increasing substitution of watermelon fibre while those of cassava citrus composite flours decreased with increasing substitution of citrus fibre until 50% replacement. Composite Cassava-citrus flour AB3 and wheat-watermelon flour BC1 respectively had the highest value for all the pasting properties evaluated. Hence, cassava-citrus flour AB3 with 50% citrus substitution and wheat-watermelon flour BC1 without any substitution could find applications in confectionery and pastry industries. Thus, the results also indicated that by incorporating citrus and watermelon fibre, it is possible to enhance the pasting properties of our local cassava and wheat flour. This will also serve as a way of converting wastes from citrus (citrus vesicles) and Watermelon rinds (Citrullus larnatus) into useful materials, thereby reducing environmental pollutions caused by these wastes.","author":[{"dropping-particle":"","family":"Imoisi","given":"C.","non-dropping-particle":"","parse-names":false,"suffix":""},{"dropping-particle":"","family":"Iyasele","given":"J.U.","non-dropping-particle":"","parse-names":false,"suffix":""},{"dropping-particle":"","family":"Imhontu","given":"E.E.","non-dropping-particle":"","parse-names":false,"suffix":""},{"dropping-particle":"","family":"Ikpahwore","given":"D.O.","non-dropping-particle":"","parse-names":false,"suffix":""},{"dropping-particle":"","family":"Okpebho","given":"A.O.","non-dropping-particle":"","parse-names":false,"suffix":""}],"container-title":"Journal of Chemical Society of Nigeria","id":"ITEM-2","issue":"6","issued":{"date-parts":[["2020"]]},"title":"Pasting Properties of Composite of Cassava and Wheat Flours","type":"article-journal","volume":"45"},"uris":["http://www.mendeley.com/documents/?uuid=db3aa77c-e0d7-3ed0-88b4-97a13ee8781e"]},{"id":"ITEM-3","itemData":{"DOI":"10.1002/fsn3.321","ISSN":"20487177","abstract":"The rheological (Pasting, farinograph, and alveograph) properties of wheat flour (WF) replaced with breadfruit four (05–40%) was analyzed. Baking and sensory qualities of the resulting bread were evaluated. Differences in baking properties of loaves produced under laboratory and industrial conditions were analyzed with t-test, whereas ANOVA was used for other analyses. Peak and final viscosities in the composite blends (CB) ranged from 109.20 to 114.06 RVU and 111.86 to 134.40 RVU, respectively. Dough stability decreased from 9.15 to 0.78 min, whereas farinograph water absorption increased 59.7–65.9%. Alveograph curve configuration ratio increased from 1.27 to 7.39, whereas specific volume (Spv) of the loaves decreased from 2.96 to 1.32 cm3/g. The Spv of WF loaves were not significantly different (P &gt; 0.05) from that of the 5% CB, whereas production conditions had no significant effects on absorbed water (t = 0.532, df = 18 P = 0.3005), weight loss during baking (t = 0.865, df = 18, P = 0.199), and Spv (t = 0.828, df = 14.17, P = 0.211). The sensory qualities of the 5% blend were not significantly different from the WF.","author":[{"dropping-particle":"","family":"Bakare","given":"Adegoke H.","non-dropping-particle":"","parse-names":false,"suffix":""},{"dropping-particle":"","family":"Osundahunsi","given":"Oluwatooyin F.","non-dropping-particle":"","parse-names":false,"suffix":""},{"dropping-particle":"","family":"Olusanya","given":"Joseph O.","non-dropping-particle":"","parse-names":false,"suffix":""}],"container-title":"Food Science and Nutrition","id":"ITEM-3","issue":"4","issued":{"date-parts":[["2016"]]},"title":"Rheological, baking, and sensory properties of composite bread dough with breadfruit (Artocarpus communis Forst) and wheat flours","type":"article-journal","volume":"4"},"uris":["http://www.mendeley.com/documents/?uuid=4516122d-7760-3332-930a-e1475684fd8a"]}],"mendeley":{"formattedCitation":"(Bakare et al., 2016; Imoisi et al., 2020; Mauro et al., 2023)","plainTextFormattedCitation":"(Bakare et al., 2016; Imoisi et al., 2020; Mauro et al., 2023)","previouslyFormattedCitation":"(Bakare et al., 2016; Imoisi et al., 2020; Mauro et al., 2023)"},"properties":{"noteIndex":0},"schema":"https://github.com/citation-style-language/schema/raw/master/csl-citation.json"}</w:instrText>
      </w:r>
      <w:r w:rsidRPr="00C749F3">
        <w:fldChar w:fldCharType="separate"/>
      </w:r>
      <w:r w:rsidRPr="00C749F3">
        <w:rPr>
          <w:noProof/>
        </w:rPr>
        <w:t xml:space="preserve">(Mauro </w:t>
      </w:r>
      <w:r w:rsidRPr="00C749F3">
        <w:rPr>
          <w:i/>
          <w:noProof/>
        </w:rPr>
        <w:t>et al</w:t>
      </w:r>
      <w:r w:rsidRPr="00C749F3">
        <w:rPr>
          <w:noProof/>
        </w:rPr>
        <w:t>., 2023)</w:t>
      </w:r>
      <w:r w:rsidRPr="00C749F3">
        <w:fldChar w:fldCharType="end"/>
      </w:r>
      <w:r w:rsidRPr="00C749F3">
        <w:t>.</w:t>
      </w:r>
    </w:p>
    <w:p w14:paraId="546CD9F3" w14:textId="77777777" w:rsidR="003813FB" w:rsidRPr="00C749F3" w:rsidRDefault="003813FB" w:rsidP="00352B0E">
      <w:pPr>
        <w:pStyle w:val="NoSpacing"/>
      </w:pPr>
    </w:p>
    <w:p w14:paraId="6EF21C69" w14:textId="77777777" w:rsidR="00613AE8" w:rsidRPr="00C749F3" w:rsidRDefault="00613AE8" w:rsidP="00352B0E">
      <w:pPr>
        <w:pStyle w:val="NoSpacing"/>
      </w:pPr>
      <w:r w:rsidRPr="00C749F3">
        <w:rPr>
          <w:noProof/>
        </w:rPr>
        <w:drawing>
          <wp:inline distT="0" distB="0" distL="0" distR="0" wp14:anchorId="500188E0" wp14:editId="65ECDE9A">
            <wp:extent cx="2286000" cy="16037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4616" r="8077"/>
                    <a:stretch/>
                  </pic:blipFill>
                  <pic:spPr bwMode="auto">
                    <a:xfrm>
                      <a:off x="0" y="0"/>
                      <a:ext cx="2286000" cy="1603781"/>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r w:rsidRPr="00C749F3">
        <w:rPr>
          <w:noProof/>
        </w:rPr>
        <w:drawing>
          <wp:inline distT="0" distB="0" distL="0" distR="0" wp14:anchorId="4B24A2FF" wp14:editId="578DDD70">
            <wp:extent cx="2286000" cy="1630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3120" r="5990"/>
                    <a:stretch/>
                  </pic:blipFill>
                  <pic:spPr bwMode="auto">
                    <a:xfrm>
                      <a:off x="0" y="0"/>
                      <a:ext cx="2286000" cy="1630282"/>
                    </a:xfrm>
                    <a:prstGeom prst="rect">
                      <a:avLst/>
                    </a:prstGeom>
                    <a:noFill/>
                    <a:ln>
                      <a:noFill/>
                    </a:ln>
                    <a:extLst>
                      <a:ext uri="{53640926-AAD7-44D8-BBD7-CCE9431645EC}">
                        <a14:shadowObscured xmlns:a14="http://schemas.microsoft.com/office/drawing/2010/main"/>
                      </a:ext>
                    </a:extLst>
                  </pic:spPr>
                </pic:pic>
              </a:graphicData>
            </a:graphic>
          </wp:inline>
        </w:drawing>
      </w:r>
    </w:p>
    <w:p w14:paraId="5938DFE1" w14:textId="77777777" w:rsidR="00613AE8" w:rsidRPr="00C749F3" w:rsidRDefault="00613AE8" w:rsidP="00352B0E">
      <w:pPr>
        <w:pStyle w:val="NoSpacing"/>
      </w:pPr>
    </w:p>
    <w:p w14:paraId="75F19EC4" w14:textId="77777777" w:rsidR="00613AE8" w:rsidRPr="00C749F3" w:rsidRDefault="00613AE8" w:rsidP="00352B0E">
      <w:pPr>
        <w:pStyle w:val="NoSpacing"/>
      </w:pPr>
      <w:r w:rsidRPr="00C749F3">
        <w:rPr>
          <w:noProof/>
        </w:rPr>
        <w:drawing>
          <wp:inline distT="0" distB="0" distL="0" distR="0" wp14:anchorId="7874F27E" wp14:editId="3987BFB0">
            <wp:extent cx="2286000" cy="16529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3328" t="4563" r="6613" b="3441"/>
                    <a:stretch/>
                  </pic:blipFill>
                  <pic:spPr bwMode="auto">
                    <a:xfrm>
                      <a:off x="0" y="0"/>
                      <a:ext cx="2286000" cy="1652914"/>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r w:rsidRPr="00C749F3">
        <w:rPr>
          <w:noProof/>
        </w:rPr>
        <w:drawing>
          <wp:inline distT="0" distB="0" distL="0" distR="0" wp14:anchorId="27D19CC7" wp14:editId="2F784FF7">
            <wp:extent cx="2286000" cy="16972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l="6240" t="5256" r="10981" b="3392"/>
                    <a:stretch/>
                  </pic:blipFill>
                  <pic:spPr bwMode="auto">
                    <a:xfrm>
                      <a:off x="0" y="0"/>
                      <a:ext cx="2286000" cy="1697298"/>
                    </a:xfrm>
                    <a:prstGeom prst="rect">
                      <a:avLst/>
                    </a:prstGeom>
                    <a:noFill/>
                    <a:ln>
                      <a:noFill/>
                    </a:ln>
                    <a:extLst>
                      <a:ext uri="{53640926-AAD7-44D8-BBD7-CCE9431645EC}">
                        <a14:shadowObscured xmlns:a14="http://schemas.microsoft.com/office/drawing/2010/main"/>
                      </a:ext>
                    </a:extLst>
                  </pic:spPr>
                </pic:pic>
              </a:graphicData>
            </a:graphic>
          </wp:inline>
        </w:drawing>
      </w:r>
    </w:p>
    <w:p w14:paraId="5164B1D9" w14:textId="77777777" w:rsidR="00613AE8" w:rsidRPr="00C749F3" w:rsidRDefault="00613AE8" w:rsidP="00352B0E">
      <w:pPr>
        <w:pStyle w:val="NoSpacing"/>
      </w:pPr>
    </w:p>
    <w:p w14:paraId="1F07BA5C" w14:textId="77777777" w:rsidR="00613AE8" w:rsidRPr="00C749F3" w:rsidRDefault="00613AE8" w:rsidP="00352B0E">
      <w:pPr>
        <w:pStyle w:val="NoSpacing"/>
      </w:pPr>
      <w:r w:rsidRPr="00C749F3">
        <w:rPr>
          <w:noProof/>
        </w:rPr>
        <w:drawing>
          <wp:inline distT="0" distB="0" distL="0" distR="0" wp14:anchorId="35A0901F" wp14:editId="6BC5C37C">
            <wp:extent cx="2286000" cy="16305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4038" r="4020"/>
                    <a:stretch/>
                  </pic:blipFill>
                  <pic:spPr bwMode="auto">
                    <a:xfrm>
                      <a:off x="0" y="0"/>
                      <a:ext cx="2286000" cy="1630577"/>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r w:rsidRPr="00C749F3">
        <w:rPr>
          <w:noProof/>
        </w:rPr>
        <w:drawing>
          <wp:inline distT="0" distB="0" distL="0" distR="0" wp14:anchorId="1CE95E2A" wp14:editId="0D9AEE78">
            <wp:extent cx="2286000" cy="15579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532" t="2842" r="3919" b="-1"/>
                    <a:stretch/>
                  </pic:blipFill>
                  <pic:spPr bwMode="auto">
                    <a:xfrm>
                      <a:off x="0" y="0"/>
                      <a:ext cx="2286000" cy="1557923"/>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p>
    <w:p w14:paraId="06851DD0" w14:textId="77777777" w:rsidR="00613AE8" w:rsidRPr="00C749F3" w:rsidRDefault="00613AE8" w:rsidP="00352B0E">
      <w:pPr>
        <w:pStyle w:val="NoSpacing"/>
      </w:pPr>
      <w:r w:rsidRPr="00C749F3">
        <w:rPr>
          <w:b/>
        </w:rPr>
        <w:t>Fig. 1</w:t>
      </w:r>
      <w:r w:rsidRPr="00C749F3">
        <w:t>. Functional properties of the flour blends</w:t>
      </w:r>
    </w:p>
    <w:p w14:paraId="3BD5657E" w14:textId="77777777" w:rsidR="00613AE8" w:rsidRPr="00C749F3" w:rsidRDefault="00613AE8" w:rsidP="00352B0E">
      <w:pPr>
        <w:pStyle w:val="NoSpacing"/>
      </w:pPr>
    </w:p>
    <w:p w14:paraId="04A35DB5" w14:textId="77777777" w:rsidR="00613AE8" w:rsidRPr="00C749F3" w:rsidRDefault="00613AE8" w:rsidP="00352B0E">
      <w:pPr>
        <w:pStyle w:val="NoSpacing"/>
      </w:pPr>
    </w:p>
    <w:p w14:paraId="0A4E8E72" w14:textId="77777777" w:rsidR="003813FB" w:rsidRPr="003A6E75" w:rsidRDefault="003813FB" w:rsidP="00352B0E">
      <w:pPr>
        <w:pStyle w:val="NoSpacing"/>
      </w:pPr>
      <w:r w:rsidRPr="003D04BF">
        <w:rPr>
          <w:b/>
        </w:rPr>
        <w:t>3.2</w:t>
      </w:r>
      <w:r w:rsidRPr="003A6E75">
        <w:t xml:space="preserve"> </w:t>
      </w:r>
      <w:r w:rsidRPr="003D04BF">
        <w:rPr>
          <w:b/>
        </w:rPr>
        <w:t>Phytochemicals</w:t>
      </w:r>
    </w:p>
    <w:p w14:paraId="02BB6CE8" w14:textId="77777777" w:rsidR="003813FB" w:rsidRPr="00C749F3" w:rsidRDefault="003813FB" w:rsidP="00352B0E">
      <w:pPr>
        <w:pStyle w:val="NoSpacing"/>
      </w:pPr>
      <w:r w:rsidRPr="00C749F3">
        <w:t>Table 2 depicts the results of anti-nutritional factors of complementary food from millet, soybean and banana flour blends. The peak value of phytate, 7.84±0.01 mg/g is obtained in CFL and lowest, 5</w:t>
      </w:r>
      <w:r w:rsidRPr="00C749F3">
        <w:rPr>
          <w:rStyle w:val="fontstyle01"/>
          <w:rFonts w:ascii="Arial" w:hAnsi="Arial" w:cs="Arial"/>
          <w:b/>
          <w:color w:val="auto"/>
          <w:sz w:val="20"/>
          <w:szCs w:val="20"/>
        </w:rPr>
        <w:t>.29</w:t>
      </w:r>
      <w:r w:rsidRPr="00C749F3">
        <w:t>±0.12 mg/g in MBS</w:t>
      </w:r>
      <w:r w:rsidRPr="00C749F3">
        <w:rPr>
          <w:vertAlign w:val="subscript"/>
        </w:rPr>
        <w:t xml:space="preserve">1. </w:t>
      </w:r>
      <w:r w:rsidRPr="00C749F3">
        <w:t>Oxalate is highest (</w:t>
      </w:r>
      <w:r w:rsidRPr="00C749F3">
        <w:rPr>
          <w:rStyle w:val="fontstyle01"/>
          <w:rFonts w:ascii="Arial" w:hAnsi="Arial" w:cs="Arial"/>
          <w:b/>
          <w:color w:val="auto"/>
          <w:sz w:val="20"/>
          <w:szCs w:val="20"/>
        </w:rPr>
        <w:t xml:space="preserve">4.50±0.01 </w:t>
      </w:r>
      <w:r w:rsidRPr="00C749F3">
        <w:t>mg/g</w:t>
      </w:r>
      <w:r w:rsidRPr="00C749F3">
        <w:rPr>
          <w:rStyle w:val="fontstyle01"/>
          <w:rFonts w:ascii="Arial" w:hAnsi="Arial" w:cs="Arial"/>
          <w:b/>
          <w:color w:val="auto"/>
          <w:sz w:val="20"/>
          <w:szCs w:val="20"/>
        </w:rPr>
        <w:t xml:space="preserve">) </w:t>
      </w:r>
      <w:r w:rsidRPr="00C749F3">
        <w:t>in MBS</w:t>
      </w:r>
      <w:r w:rsidRPr="00C749F3">
        <w:rPr>
          <w:vertAlign w:val="subscript"/>
        </w:rPr>
        <w:t>2</w:t>
      </w:r>
      <w:r w:rsidRPr="00C749F3">
        <w:t xml:space="preserve"> and lowest (</w:t>
      </w:r>
      <w:r w:rsidRPr="00C749F3">
        <w:rPr>
          <w:rStyle w:val="fontstyle01"/>
          <w:rFonts w:ascii="Arial" w:hAnsi="Arial" w:cs="Arial"/>
          <w:b/>
          <w:color w:val="auto"/>
          <w:sz w:val="20"/>
          <w:szCs w:val="20"/>
        </w:rPr>
        <w:t>2.97±0.01mg/g</w:t>
      </w:r>
      <w:r w:rsidRPr="00C749F3">
        <w:t xml:space="preserve">) in CFL, tannins highest in CFL with the value </w:t>
      </w:r>
      <w:r w:rsidRPr="00C749F3">
        <w:rPr>
          <w:rStyle w:val="fontstyle01"/>
          <w:rFonts w:ascii="Arial" w:hAnsi="Arial" w:cs="Arial"/>
          <w:color w:val="auto"/>
          <w:sz w:val="20"/>
          <w:szCs w:val="20"/>
        </w:rPr>
        <w:t>0.37±0.00 mg/g</w:t>
      </w:r>
      <w:r w:rsidRPr="00C749F3">
        <w:t xml:space="preserve"> and </w:t>
      </w:r>
      <w:r w:rsidRPr="00C749F3">
        <w:lastRenderedPageBreak/>
        <w:t>lowest in MBS</w:t>
      </w:r>
      <w:r w:rsidRPr="00C749F3">
        <w:rPr>
          <w:vertAlign w:val="subscript"/>
        </w:rPr>
        <w:t>2</w:t>
      </w:r>
      <w:r w:rsidRPr="00C749F3">
        <w:t xml:space="preserve"> with the value of </w:t>
      </w:r>
      <w:r w:rsidRPr="00C749F3">
        <w:rPr>
          <w:rStyle w:val="fontstyle01"/>
          <w:rFonts w:ascii="Arial" w:hAnsi="Arial" w:cs="Arial"/>
          <w:color w:val="auto"/>
          <w:sz w:val="20"/>
          <w:szCs w:val="20"/>
        </w:rPr>
        <w:t xml:space="preserve">0.07±0.01 mg/g and phenols highest in CFL at 9.30±0.00 mg/g and lowest in WFL at 0.22±0.06 mg/g. </w:t>
      </w:r>
      <w:r w:rsidRPr="00C749F3">
        <w:t>CFL has the highest value in all the phytochemicals studied except oxalate where MBS</w:t>
      </w:r>
      <w:r w:rsidRPr="00C749F3">
        <w:rPr>
          <w:vertAlign w:val="subscript"/>
        </w:rPr>
        <w:t>2</w:t>
      </w:r>
      <w:r w:rsidRPr="00C749F3">
        <w:t xml:space="preserve"> has the highest value. Although certain phytochemicals are considered anti-nutrients due to their potential adverse effects, others have been recognized for their beneficial roles in promoting health when consumed in low concentrations </w:t>
      </w:r>
      <w:r w:rsidRPr="00C749F3">
        <w:fldChar w:fldCharType="begin" w:fldLock="1"/>
      </w:r>
      <w:r w:rsidRPr="00C749F3">
        <w:instrText>ADDIN CSL_CITATION {"citationItems":[{"id":"ITEM-1","itemData":{"DOI":"10.2174/1874070701913010068","ISSN":"1874-0707","abstract":"Modern society has easy access to a vast informational database. The pursuit of sustainable green and healthy lifestyle leads to a series of food choices. Therefore, it is of importance to provide reliable, comprehensive and up-to-date information about food content including both nutritional and antinutritional elements. Nutrients are associated with positive effects on human health. Antinutrients, on the other hand, are far less popular for the contemporary man. They are highly bioactive, capable of deleterious effects as well as some beneficial health effects in man, and vastly available in plant-based foods. These compounds are of natural or synthetic origin, interfere with the absorption of nutrients, and can be responsible for some mischievous effects related to the nutrient absorption. Some of the common symptoms exhibited by a large amount of antinutrients in the body can be nausea, bloating, headaches, rashes, nutritional deficiencies, etc . Phytates, oxalates, and lectins are few of the well-known antinutrients. Science has acknowledged several ways in order to alter the negative influence antinutrients exhibiting on human health. Mechanical, thermal and biochemical approaches act synergistically to provide food with lower antinutritional levels.The purpose of this review was to synthesize the availability of antinutrients, clear their effect on the human body, and commemorate possible paths to disable them. This review provides links to the available literature as well as enables a systematic view of the recently published research on the topic of plant-based antinutrients.","author":[{"dropping-particle":"","family":"Popova","given":"Aneta","non-dropping-particle":"","parse-names":false,"suffix":""},{"dropping-particle":"","family":"Mihaylova","given":"Dasha","non-dropping-particle":"","parse-names":false,"suffix":""}],"container-title":"The Open Biotechnology Journal","id":"ITEM-1","issue":"1","issued":{"date-parts":[["2019"]]},"title":"Antinutrients in Plant-based Foods: A Review","type":"article-journal","volume":"13"},"uris":["http://www.mendeley.com/documents/?uuid=a255f665-5986-3f6e-b8c4-a187bcf2c2fb"]}],"mendeley":{"formattedCitation":"(Popova &amp; Mihaylova, 2019)","plainTextFormattedCitation":"(Popova &amp; Mihaylova, 2019)","previouslyFormattedCitation":"(Popova &amp; Mihaylova, 2019)"},"properties":{"noteIndex":0},"schema":"https://github.com/citation-style-language/schema/raw/master/csl-citation.json"}</w:instrText>
      </w:r>
      <w:r w:rsidRPr="00C749F3">
        <w:fldChar w:fldCharType="separate"/>
      </w:r>
      <w:r w:rsidRPr="00C749F3">
        <w:rPr>
          <w:noProof/>
        </w:rPr>
        <w:t>(Popova &amp; Mihaylova, 2019)</w:t>
      </w:r>
      <w:r w:rsidRPr="00C749F3">
        <w:fldChar w:fldCharType="end"/>
      </w:r>
      <w:r w:rsidRPr="00C749F3">
        <w:t xml:space="preserve">. For instance, phytic acid has been associated with potential protective effects against colon cancer, while tannins exhibit antiviral, antibacterial, and antiparasitic properties </w:t>
      </w:r>
      <w:r w:rsidRPr="00C749F3">
        <w:fldChar w:fldCharType="begin" w:fldLock="1"/>
      </w:r>
      <w:r w:rsidRPr="00C749F3">
        <w:instrText>ADDIN CSL_CITATION {"citationItems":[{"id":"ITEM-1","itemData":{"DOI":"10.1016/j.ipha.2023.12.005","ISSN":"2949866X","abstract":"Breast cancer remains a significant global health concern, necessitating the exploration of novel preventive and therapeutic strategies. Dietary interventions have gained substantial attention due to their potential to modulate cancer risk and progression. Millets, a group of small-seeded grasses, have emerged as promising candidates in this regard, owing to their rich nutritional composition and diverse bioactive compounds. Among these bioactive compounds, phytate antinutrients have garnered considerable interest for their potential health benefits. This review aims to unravel the intricacies of phytate antinutrients in millets and their therapeutic implications in breast cancer. Phytates are naturally occurring compounds present in various plant-based foods, including millets, and are known for their ability to chelate minerals and inhibit their bioavailability. However, recent research has shed light on the multifaceted properties of phytates, highlighting their potential as functional bioactive molecules. Phytates exhibit various anticancer properties, including “antioxidant, anti-inflammatory, and antiproliferative effects”, which have been shown to inhibit the growth and progression of breast cancer cells. Additionally, phytates have been reported to modulate key signaling pathways involved in cancer development, such as PI3K/Akt, MAPK, and NF-κB, thereby exerting their anticancer effects. Moreover, phytates demonstrate the potential to enhance the efficacy of conventional breast cancer treatments, such as chemotherapy and radiation therapy, while mitigating their adverse effects. Furthermore, the bioavailability and metabolism of phytates are complex processes influenced by factors such as food processing, gut microbiota composition, and genetic variations. Understanding these intricacies is crucial for harnessing the full potential of phytates in breast cancer prevention and treatment. In conclusion, this review provides a comprehensive overview of the intricate roles of phytate antinutrients in millets and their therapeutic implications in breast cancer. The findings suggest that millets, as a rich source of phytates, could be incorporated into dietary strategies to reduce breast cancer risk and complement existing therapeutic approaches. However, further research is warranted to elucidate the precise mechanisms of action, optimal dosage, and potential synergistic effects with other bioactive compounds. The information that is given here is sup…","author":[{"dropping-particle":"","family":"Shukla","given":"Vani","non-dropping-particle":"","parse-names":false,"suffix":""},{"dropping-particle":"","family":"Srivastava","given":"Shipra","non-dropping-particle":"","parse-names":false,"suffix":""},{"dropping-particle":"","family":"Singh","given":"Shikha","non-dropping-particle":"","parse-names":false,"suffix":""},{"dropping-particle":"","family":"Mursal","given":"Mohd","non-dropping-particle":"","parse-names":false,"suffix":""},{"dropping-particle":"","family":"Hussain","given":"Sahil","non-dropping-particle":"","parse-names":false,"suffix":""}],"container-title":"Intelligent Pharmacy","id":"ITEM-1","issue":"4","issued":{"date-parts":[["2024"]]},"title":"Unveiling the intricacies of phytate antinutrients in millets and their therapeutic implications in breast cancer","type":"article","volume":"2"},"uris":["http://www.mendeley.com/documents/?uuid=fdf97216-0009-3d4c-85eb-3a506e21d241"]},{"id":"ITEM-2","itemData":{"DOI":"10.3389/fnut.2023.1215873","ISSN":"2296861X","abstract":"Humans are constantly facing multiple health challenges from both communicable and non-communicable diseases that significantly affect their health. Additionally, drug resistance or failure has made the situation even worse and poses serious challenges for researchers to develop new drugs. Hence, to address these problems, there is an urgent need to discover and develop timely and long-term-based therapeutic treatments from different sources. One such approach is harnessing the potential of plant secondary metabolites. Plants have been utilized for therapeutic purposes in addition to being used for nutritional benefits. In the last two decades, plant-based drug developments have been one of the effective means of treating human diseases owing to their multiple functions. More recently, anti-nutritional factors (ANFs) have emerged as one of the important targets for novel plant-based drug development due to their multifaceted and potential pharmacological properties. However, their anti-nutritional properties have been the major setback for their limited success in the pharmacological sector. In this review, we provide an overview of ANFs and their beneficial roles in preventing human diseases with multiple case studies. We also highlight the recent developments and applications of ANFs in the food industry, agriculture, and pharmaceutics with future perspectives. Furthermore, we evaluate meta-analyses on ANFs from the last 30 years in relation to their function in human health benefits. This review is an endeavor to reevaluate the merit of these natural compounds and explore their potential for both human and animal health.","author":[{"dropping-particle":"","family":"Salim","given":"Rehana","non-dropping-particle":"","parse-names":false,"suffix":""},{"dropping-particle":"","family":"Nehvi","given":"Iqra Bashir","non-dropping-particle":"","parse-names":false,"suffix":""},{"dropping-particle":"","family":"Mir","given":"Rakeeb Ahmad","non-dropping-particle":"","parse-names":false,"suffix":""},{"dropping-particle":"","family":"Tyagi","given":"Anshika","non-dropping-particle":"","parse-names":false,"suffix":""},{"dropping-particle":"","family":"Ali","given":"Sajad","non-dropping-particle":"","parse-names":false,"suffix":""},{"dropping-particle":"","family":"Bhat","given":"Owais M.","non-dropping-particle":"","parse-names":false,"suffix":""}],"container-title":"Frontiers in Nutrition","id":"ITEM-2","issued":{"date-parts":[["2023"]]},"title":"A review on anti-nutritional factors: unraveling the natural gateways to human health","type":"article","volume":"10"},"uris":["http://www.mendeley.com/documents/?uuid=311aab7e-1746-3b45-869a-87d855f33070"]}],"mendeley":{"formattedCitation":"(Salim et al., 2023; Shukla et al., 2024)","plainTextFormattedCitation":"(Salim et al., 2023; Shukla et al., 2024)","previouslyFormattedCitation":"(Salim et al., 2023; Shukla et al., 2024)"},"properties":{"noteIndex":0},"schema":"https://github.com/citation-style-language/schema/raw/master/csl-citation.json"}</w:instrText>
      </w:r>
      <w:r w:rsidRPr="00C749F3">
        <w:fldChar w:fldCharType="separate"/>
      </w:r>
      <w:r w:rsidRPr="00C749F3">
        <w:rPr>
          <w:noProof/>
        </w:rPr>
        <w:t xml:space="preserve">(Shukla </w:t>
      </w:r>
      <w:r w:rsidRPr="00C749F3">
        <w:rPr>
          <w:i/>
          <w:noProof/>
        </w:rPr>
        <w:t>et al</w:t>
      </w:r>
      <w:r w:rsidRPr="00C749F3">
        <w:rPr>
          <w:noProof/>
        </w:rPr>
        <w:t>., 2024)</w:t>
      </w:r>
      <w:r w:rsidRPr="00C749F3">
        <w:fldChar w:fldCharType="end"/>
      </w:r>
      <w:r w:rsidRPr="00C749F3">
        <w:t>. This suggests that these compounds are not inherently detrimental despite their limited nutritional contribution, as their effects depend on dosage—where moderate intake can provide health benefits without posing risks. The findings of this study revealed a significant reduction in the levels of the analyzed phytochemicals following processing.</w:t>
      </w:r>
    </w:p>
    <w:p w14:paraId="6B4DAA50" w14:textId="77777777" w:rsidR="003813FB" w:rsidRPr="00C749F3" w:rsidRDefault="003813FB" w:rsidP="00352B0E">
      <w:pPr>
        <w:pStyle w:val="NoSpacing"/>
      </w:pPr>
    </w:p>
    <w:p w14:paraId="1D8BBB73" w14:textId="77777777" w:rsidR="00613AE8" w:rsidRPr="003A6E75" w:rsidRDefault="00613AE8" w:rsidP="00352B0E">
      <w:pPr>
        <w:pStyle w:val="NoSpacing"/>
      </w:pPr>
      <w:r w:rsidRPr="00AE4E51">
        <w:rPr>
          <w:b/>
        </w:rPr>
        <w:t>Table</w:t>
      </w:r>
      <w:r w:rsidRPr="003A6E75">
        <w:t xml:space="preserve"> </w:t>
      </w:r>
      <w:r w:rsidRPr="00AE4E51">
        <w:rPr>
          <w:b/>
        </w:rPr>
        <w:t>2</w:t>
      </w:r>
      <w:r w:rsidRPr="003A6E75">
        <w:t xml:space="preserve">. </w:t>
      </w:r>
      <w:r w:rsidRPr="00AE4E51">
        <w:rPr>
          <w:b/>
        </w:rPr>
        <w:t>Phytochemicals of the samples</w:t>
      </w:r>
    </w:p>
    <w:tbl>
      <w:tblPr>
        <w:tblStyle w:val="TableGrid"/>
        <w:tblW w:w="7797"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1985"/>
        <w:gridCol w:w="1449"/>
        <w:gridCol w:w="1365"/>
        <w:gridCol w:w="1445"/>
        <w:gridCol w:w="1553"/>
      </w:tblGrid>
      <w:tr w:rsidR="00613AE8" w:rsidRPr="00C749F3" w14:paraId="70E483E9" w14:textId="77777777" w:rsidTr="00326BEF">
        <w:tc>
          <w:tcPr>
            <w:tcW w:w="1985" w:type="dxa"/>
            <w:vMerge w:val="restart"/>
            <w:tcBorders>
              <w:top w:val="single" w:sz="4" w:space="0" w:color="auto"/>
              <w:bottom w:val="nil"/>
              <w:right w:val="nil"/>
            </w:tcBorders>
          </w:tcPr>
          <w:p w14:paraId="14A2E30D" w14:textId="77777777" w:rsidR="00613AE8" w:rsidRPr="00AE4E51" w:rsidRDefault="00613AE8" w:rsidP="00352B0E">
            <w:pPr>
              <w:pStyle w:val="NoSpacing"/>
              <w:rPr>
                <w:sz w:val="20"/>
                <w:szCs w:val="20"/>
              </w:rPr>
            </w:pPr>
            <w:r w:rsidRPr="00AE4E51">
              <w:rPr>
                <w:sz w:val="20"/>
                <w:szCs w:val="20"/>
              </w:rPr>
              <w:t>Sample</w:t>
            </w:r>
          </w:p>
        </w:tc>
        <w:tc>
          <w:tcPr>
            <w:tcW w:w="5812" w:type="dxa"/>
            <w:gridSpan w:val="4"/>
            <w:tcBorders>
              <w:top w:val="single" w:sz="4" w:space="0" w:color="auto"/>
              <w:left w:val="nil"/>
              <w:bottom w:val="single" w:sz="4" w:space="0" w:color="auto"/>
            </w:tcBorders>
          </w:tcPr>
          <w:p w14:paraId="47ED2D02" w14:textId="77777777" w:rsidR="00613AE8" w:rsidRPr="00AE4E51" w:rsidRDefault="00613AE8" w:rsidP="00352B0E">
            <w:pPr>
              <w:pStyle w:val="NoSpacing"/>
              <w:rPr>
                <w:sz w:val="20"/>
                <w:szCs w:val="20"/>
              </w:rPr>
            </w:pPr>
            <w:r w:rsidRPr="00AE4E51">
              <w:rPr>
                <w:sz w:val="20"/>
                <w:szCs w:val="20"/>
              </w:rPr>
              <w:t>Phytochemicals (mg/g)</w:t>
            </w:r>
          </w:p>
        </w:tc>
      </w:tr>
      <w:tr w:rsidR="00613AE8" w:rsidRPr="00C749F3" w14:paraId="0ED1D65E" w14:textId="77777777" w:rsidTr="00326BEF">
        <w:tc>
          <w:tcPr>
            <w:tcW w:w="1985" w:type="dxa"/>
            <w:vMerge/>
            <w:tcBorders>
              <w:top w:val="nil"/>
              <w:bottom w:val="single" w:sz="4" w:space="0" w:color="auto"/>
              <w:right w:val="nil"/>
            </w:tcBorders>
          </w:tcPr>
          <w:p w14:paraId="09A567DA" w14:textId="77777777" w:rsidR="00613AE8" w:rsidRPr="00AE4E51" w:rsidRDefault="00613AE8" w:rsidP="00352B0E">
            <w:pPr>
              <w:pStyle w:val="NoSpacing"/>
              <w:rPr>
                <w:sz w:val="20"/>
                <w:szCs w:val="20"/>
              </w:rPr>
            </w:pPr>
          </w:p>
        </w:tc>
        <w:tc>
          <w:tcPr>
            <w:tcW w:w="1449" w:type="dxa"/>
            <w:tcBorders>
              <w:top w:val="single" w:sz="4" w:space="0" w:color="auto"/>
              <w:left w:val="nil"/>
              <w:bottom w:val="single" w:sz="4" w:space="0" w:color="auto"/>
              <w:right w:val="nil"/>
            </w:tcBorders>
          </w:tcPr>
          <w:p w14:paraId="298DC062" w14:textId="77777777" w:rsidR="00613AE8" w:rsidRPr="00AE4E51" w:rsidRDefault="00613AE8" w:rsidP="00352B0E">
            <w:pPr>
              <w:pStyle w:val="NoSpacing"/>
              <w:rPr>
                <w:sz w:val="20"/>
                <w:szCs w:val="20"/>
              </w:rPr>
            </w:pPr>
            <w:r w:rsidRPr="00AE4E51">
              <w:rPr>
                <w:sz w:val="20"/>
                <w:szCs w:val="20"/>
              </w:rPr>
              <w:t>Phytate</w:t>
            </w:r>
          </w:p>
        </w:tc>
        <w:tc>
          <w:tcPr>
            <w:tcW w:w="1365" w:type="dxa"/>
            <w:tcBorders>
              <w:top w:val="single" w:sz="4" w:space="0" w:color="auto"/>
              <w:left w:val="nil"/>
              <w:bottom w:val="single" w:sz="4" w:space="0" w:color="auto"/>
              <w:right w:val="nil"/>
            </w:tcBorders>
          </w:tcPr>
          <w:p w14:paraId="3E1A2D31" w14:textId="77777777" w:rsidR="00613AE8" w:rsidRPr="00AE4E51" w:rsidRDefault="00613AE8" w:rsidP="00352B0E">
            <w:pPr>
              <w:pStyle w:val="NoSpacing"/>
              <w:rPr>
                <w:sz w:val="20"/>
                <w:szCs w:val="20"/>
              </w:rPr>
            </w:pPr>
            <w:r w:rsidRPr="00AE4E51">
              <w:rPr>
                <w:sz w:val="20"/>
                <w:szCs w:val="20"/>
              </w:rPr>
              <w:t>Oxalate</w:t>
            </w:r>
          </w:p>
        </w:tc>
        <w:tc>
          <w:tcPr>
            <w:tcW w:w="1445" w:type="dxa"/>
            <w:tcBorders>
              <w:top w:val="single" w:sz="4" w:space="0" w:color="auto"/>
              <w:left w:val="nil"/>
              <w:bottom w:val="single" w:sz="4" w:space="0" w:color="auto"/>
              <w:right w:val="nil"/>
            </w:tcBorders>
          </w:tcPr>
          <w:p w14:paraId="0D44967B" w14:textId="77777777" w:rsidR="00613AE8" w:rsidRPr="00AE4E51" w:rsidRDefault="00613AE8" w:rsidP="00352B0E">
            <w:pPr>
              <w:pStyle w:val="NoSpacing"/>
              <w:rPr>
                <w:sz w:val="20"/>
                <w:szCs w:val="20"/>
              </w:rPr>
            </w:pPr>
            <w:r w:rsidRPr="00AE4E51">
              <w:rPr>
                <w:sz w:val="20"/>
                <w:szCs w:val="20"/>
              </w:rPr>
              <w:t>Tannins</w:t>
            </w:r>
          </w:p>
        </w:tc>
        <w:tc>
          <w:tcPr>
            <w:tcW w:w="1553" w:type="dxa"/>
            <w:tcBorders>
              <w:top w:val="single" w:sz="4" w:space="0" w:color="auto"/>
              <w:left w:val="nil"/>
              <w:bottom w:val="single" w:sz="4" w:space="0" w:color="auto"/>
              <w:right w:val="nil"/>
            </w:tcBorders>
          </w:tcPr>
          <w:p w14:paraId="1B4DB2D2" w14:textId="77777777" w:rsidR="00613AE8" w:rsidRPr="00AE4E51" w:rsidRDefault="00613AE8" w:rsidP="00352B0E">
            <w:pPr>
              <w:pStyle w:val="NoSpacing"/>
              <w:rPr>
                <w:sz w:val="20"/>
                <w:szCs w:val="20"/>
              </w:rPr>
            </w:pPr>
            <w:r w:rsidRPr="00AE4E51">
              <w:rPr>
                <w:sz w:val="20"/>
                <w:szCs w:val="20"/>
              </w:rPr>
              <w:t>Phenols</w:t>
            </w:r>
          </w:p>
        </w:tc>
      </w:tr>
      <w:tr w:rsidR="00613AE8" w:rsidRPr="00C749F3" w14:paraId="337A299F" w14:textId="77777777" w:rsidTr="00326BEF">
        <w:tc>
          <w:tcPr>
            <w:tcW w:w="1985" w:type="dxa"/>
            <w:tcBorders>
              <w:top w:val="single" w:sz="4" w:space="0" w:color="auto"/>
              <w:right w:val="nil"/>
            </w:tcBorders>
          </w:tcPr>
          <w:p w14:paraId="231990D8" w14:textId="77777777" w:rsidR="00613AE8" w:rsidRPr="00AE4E51" w:rsidRDefault="00613AE8" w:rsidP="00352B0E">
            <w:pPr>
              <w:pStyle w:val="NoSpacing"/>
              <w:rPr>
                <w:sz w:val="20"/>
                <w:szCs w:val="20"/>
              </w:rPr>
            </w:pPr>
            <w:r w:rsidRPr="00AE4E51">
              <w:rPr>
                <w:sz w:val="20"/>
                <w:szCs w:val="20"/>
              </w:rPr>
              <w:t>CFL</w:t>
            </w:r>
          </w:p>
        </w:tc>
        <w:tc>
          <w:tcPr>
            <w:tcW w:w="1449" w:type="dxa"/>
            <w:tcBorders>
              <w:top w:val="single" w:sz="4" w:space="0" w:color="auto"/>
              <w:left w:val="nil"/>
              <w:right w:val="nil"/>
            </w:tcBorders>
          </w:tcPr>
          <w:p w14:paraId="26D666E4"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7.84</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±0.01</w:t>
            </w:r>
          </w:p>
        </w:tc>
        <w:tc>
          <w:tcPr>
            <w:tcW w:w="1365" w:type="dxa"/>
            <w:tcBorders>
              <w:top w:val="single" w:sz="4" w:space="0" w:color="auto"/>
              <w:left w:val="nil"/>
              <w:right w:val="nil"/>
            </w:tcBorders>
          </w:tcPr>
          <w:p w14:paraId="0A360A0E"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2.97</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±0.01</w:t>
            </w:r>
          </w:p>
        </w:tc>
        <w:tc>
          <w:tcPr>
            <w:tcW w:w="1445" w:type="dxa"/>
            <w:tcBorders>
              <w:top w:val="single" w:sz="4" w:space="0" w:color="auto"/>
              <w:left w:val="nil"/>
              <w:right w:val="nil"/>
            </w:tcBorders>
          </w:tcPr>
          <w:p w14:paraId="562C6AAA"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0.37</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±0.00</w:t>
            </w:r>
          </w:p>
        </w:tc>
        <w:tc>
          <w:tcPr>
            <w:tcW w:w="1553" w:type="dxa"/>
            <w:tcBorders>
              <w:top w:val="single" w:sz="4" w:space="0" w:color="auto"/>
              <w:left w:val="nil"/>
              <w:right w:val="nil"/>
            </w:tcBorders>
          </w:tcPr>
          <w:p w14:paraId="0104E2B7"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9.30</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±0.00</w:t>
            </w:r>
          </w:p>
        </w:tc>
      </w:tr>
      <w:tr w:rsidR="00613AE8" w:rsidRPr="00C749F3" w14:paraId="48DABB05" w14:textId="77777777" w:rsidTr="00326BEF">
        <w:tc>
          <w:tcPr>
            <w:tcW w:w="1985" w:type="dxa"/>
            <w:tcBorders>
              <w:right w:val="nil"/>
            </w:tcBorders>
          </w:tcPr>
          <w:p w14:paraId="709B99DE" w14:textId="77777777" w:rsidR="00613AE8" w:rsidRPr="00AE4E51" w:rsidRDefault="00613AE8" w:rsidP="00352B0E">
            <w:pPr>
              <w:pStyle w:val="NoSpacing"/>
              <w:rPr>
                <w:sz w:val="20"/>
                <w:szCs w:val="20"/>
              </w:rPr>
            </w:pPr>
            <w:r w:rsidRPr="00AE4E51">
              <w:rPr>
                <w:sz w:val="20"/>
                <w:szCs w:val="20"/>
              </w:rPr>
              <w:t>WFL</w:t>
            </w:r>
          </w:p>
        </w:tc>
        <w:tc>
          <w:tcPr>
            <w:tcW w:w="1449" w:type="dxa"/>
            <w:tcBorders>
              <w:left w:val="nil"/>
              <w:right w:val="nil"/>
            </w:tcBorders>
          </w:tcPr>
          <w:p w14:paraId="1C6ACE94" w14:textId="77777777" w:rsidR="00613AE8" w:rsidRPr="00AE4E51" w:rsidRDefault="00613AE8" w:rsidP="00352B0E">
            <w:pPr>
              <w:pStyle w:val="NoSpacing"/>
              <w:rPr>
                <w:sz w:val="20"/>
                <w:szCs w:val="20"/>
                <w:vertAlign w:val="superscript"/>
              </w:rPr>
            </w:pPr>
            <w:r w:rsidRPr="00AE4E51">
              <w:rPr>
                <w:rStyle w:val="fontstyle01"/>
                <w:rFonts w:ascii="Arial" w:hAnsi="Arial" w:cs="Arial"/>
                <w:color w:val="auto"/>
                <w:sz w:val="20"/>
                <w:szCs w:val="20"/>
              </w:rPr>
              <w:t>7.15</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±0.26</w:t>
            </w:r>
          </w:p>
        </w:tc>
        <w:tc>
          <w:tcPr>
            <w:tcW w:w="1365" w:type="dxa"/>
            <w:tcBorders>
              <w:left w:val="nil"/>
              <w:right w:val="nil"/>
            </w:tcBorders>
          </w:tcPr>
          <w:p w14:paraId="4883B571"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3.96</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±0.01</w:t>
            </w:r>
          </w:p>
        </w:tc>
        <w:tc>
          <w:tcPr>
            <w:tcW w:w="1445" w:type="dxa"/>
            <w:tcBorders>
              <w:left w:val="nil"/>
              <w:right w:val="nil"/>
            </w:tcBorders>
          </w:tcPr>
          <w:p w14:paraId="7FD49A4C"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0.22</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±0.01</w:t>
            </w:r>
          </w:p>
        </w:tc>
        <w:tc>
          <w:tcPr>
            <w:tcW w:w="1553" w:type="dxa"/>
            <w:tcBorders>
              <w:left w:val="nil"/>
              <w:right w:val="nil"/>
            </w:tcBorders>
          </w:tcPr>
          <w:p w14:paraId="1A30452E"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0.22</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±0.06</w:t>
            </w:r>
          </w:p>
        </w:tc>
      </w:tr>
      <w:tr w:rsidR="00613AE8" w:rsidRPr="00C749F3" w14:paraId="05DF32B3" w14:textId="77777777" w:rsidTr="00326BEF">
        <w:tc>
          <w:tcPr>
            <w:tcW w:w="1985" w:type="dxa"/>
            <w:tcBorders>
              <w:right w:val="nil"/>
            </w:tcBorders>
          </w:tcPr>
          <w:p w14:paraId="0A458955" w14:textId="77777777" w:rsidR="00613AE8" w:rsidRPr="00AE4E51" w:rsidRDefault="00613AE8" w:rsidP="00352B0E">
            <w:pPr>
              <w:pStyle w:val="NoSpacing"/>
              <w:rPr>
                <w:sz w:val="20"/>
                <w:szCs w:val="20"/>
              </w:rPr>
            </w:pPr>
            <w:r w:rsidRPr="00AE4E51">
              <w:rPr>
                <w:sz w:val="20"/>
                <w:szCs w:val="20"/>
              </w:rPr>
              <w:t>MBS</w:t>
            </w:r>
            <w:r w:rsidRPr="00AE4E51">
              <w:rPr>
                <w:sz w:val="20"/>
                <w:szCs w:val="20"/>
                <w:vertAlign w:val="subscript"/>
              </w:rPr>
              <w:t>1</w:t>
            </w:r>
          </w:p>
        </w:tc>
        <w:tc>
          <w:tcPr>
            <w:tcW w:w="1449" w:type="dxa"/>
            <w:tcBorders>
              <w:left w:val="nil"/>
              <w:right w:val="nil"/>
            </w:tcBorders>
          </w:tcPr>
          <w:p w14:paraId="28B2458A"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5.29</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±0.12</w:t>
            </w:r>
          </w:p>
        </w:tc>
        <w:tc>
          <w:tcPr>
            <w:tcW w:w="1365" w:type="dxa"/>
            <w:tcBorders>
              <w:left w:val="nil"/>
              <w:right w:val="nil"/>
            </w:tcBorders>
          </w:tcPr>
          <w:p w14:paraId="5A2299CB"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3.54</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±0.01</w:t>
            </w:r>
          </w:p>
        </w:tc>
        <w:tc>
          <w:tcPr>
            <w:tcW w:w="1445" w:type="dxa"/>
            <w:tcBorders>
              <w:left w:val="nil"/>
              <w:right w:val="nil"/>
            </w:tcBorders>
          </w:tcPr>
          <w:p w14:paraId="7C72F8B4"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0.08</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±0.01</w:t>
            </w:r>
          </w:p>
        </w:tc>
        <w:tc>
          <w:tcPr>
            <w:tcW w:w="1553" w:type="dxa"/>
            <w:tcBorders>
              <w:left w:val="nil"/>
              <w:right w:val="nil"/>
            </w:tcBorders>
          </w:tcPr>
          <w:p w14:paraId="61BC0A2C"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2.12</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±0.03</w:t>
            </w:r>
          </w:p>
        </w:tc>
      </w:tr>
      <w:tr w:rsidR="00613AE8" w:rsidRPr="00C749F3" w14:paraId="04BBA77E" w14:textId="77777777" w:rsidTr="00326BEF">
        <w:tc>
          <w:tcPr>
            <w:tcW w:w="1985" w:type="dxa"/>
            <w:tcBorders>
              <w:right w:val="nil"/>
            </w:tcBorders>
          </w:tcPr>
          <w:p w14:paraId="5EA8A20A" w14:textId="77777777" w:rsidR="00613AE8" w:rsidRPr="00AE4E51" w:rsidRDefault="00613AE8" w:rsidP="00352B0E">
            <w:pPr>
              <w:pStyle w:val="NoSpacing"/>
              <w:rPr>
                <w:sz w:val="20"/>
                <w:szCs w:val="20"/>
              </w:rPr>
            </w:pPr>
            <w:r w:rsidRPr="00AE4E51">
              <w:rPr>
                <w:sz w:val="20"/>
                <w:szCs w:val="20"/>
              </w:rPr>
              <w:t>MBS</w:t>
            </w:r>
            <w:r w:rsidRPr="00AE4E51">
              <w:rPr>
                <w:sz w:val="20"/>
                <w:szCs w:val="20"/>
                <w:vertAlign w:val="subscript"/>
              </w:rPr>
              <w:t>2</w:t>
            </w:r>
          </w:p>
        </w:tc>
        <w:tc>
          <w:tcPr>
            <w:tcW w:w="1449" w:type="dxa"/>
            <w:tcBorders>
              <w:left w:val="nil"/>
              <w:right w:val="nil"/>
            </w:tcBorders>
          </w:tcPr>
          <w:p w14:paraId="065D4F80"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6.18</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±0.01</w:t>
            </w:r>
          </w:p>
        </w:tc>
        <w:tc>
          <w:tcPr>
            <w:tcW w:w="1365" w:type="dxa"/>
            <w:tcBorders>
              <w:left w:val="nil"/>
              <w:right w:val="nil"/>
            </w:tcBorders>
          </w:tcPr>
          <w:p w14:paraId="44BF8A43"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4.50</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±0.01</w:t>
            </w:r>
          </w:p>
        </w:tc>
        <w:tc>
          <w:tcPr>
            <w:tcW w:w="1445" w:type="dxa"/>
            <w:tcBorders>
              <w:left w:val="nil"/>
              <w:right w:val="nil"/>
            </w:tcBorders>
          </w:tcPr>
          <w:p w14:paraId="0327FEFD"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0.07</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±0.01</w:t>
            </w:r>
          </w:p>
        </w:tc>
        <w:tc>
          <w:tcPr>
            <w:tcW w:w="1553" w:type="dxa"/>
            <w:tcBorders>
              <w:left w:val="nil"/>
              <w:right w:val="nil"/>
            </w:tcBorders>
          </w:tcPr>
          <w:p w14:paraId="306DF0CD"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1.95</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±0.04</w:t>
            </w:r>
          </w:p>
        </w:tc>
      </w:tr>
    </w:tbl>
    <w:p w14:paraId="2E154E0A" w14:textId="77777777" w:rsidR="00613AE8" w:rsidRPr="00AE4E51" w:rsidRDefault="00613AE8" w:rsidP="00352B0E">
      <w:pPr>
        <w:pStyle w:val="NoSpacing"/>
        <w:rPr>
          <w:sz w:val="18"/>
          <w:szCs w:val="18"/>
        </w:rPr>
      </w:pPr>
      <w:r w:rsidRPr="00AE4E51">
        <w:rPr>
          <w:sz w:val="18"/>
          <w:szCs w:val="18"/>
        </w:rPr>
        <w:t>Results are the means of triplicate determination ± standard deviation values in the same column with the same superscripts letters (a &gt; b &gt; c &gt; d) are not significantly different (P &lt; 0.05).</w:t>
      </w:r>
    </w:p>
    <w:p w14:paraId="025F9121" w14:textId="77777777" w:rsidR="00613AE8" w:rsidRPr="00C749F3" w:rsidRDefault="00613AE8" w:rsidP="00352B0E">
      <w:pPr>
        <w:pStyle w:val="NoSpacing"/>
      </w:pPr>
    </w:p>
    <w:p w14:paraId="274F5B02" w14:textId="77777777" w:rsidR="003813FB" w:rsidRPr="003A6E75" w:rsidRDefault="003813FB" w:rsidP="00352B0E">
      <w:pPr>
        <w:pStyle w:val="NoSpacing"/>
      </w:pPr>
      <w:r w:rsidRPr="00AE4E51">
        <w:rPr>
          <w:b/>
        </w:rPr>
        <w:t>3.3</w:t>
      </w:r>
      <w:r w:rsidRPr="003A6E75">
        <w:t xml:space="preserve"> </w:t>
      </w:r>
      <w:r w:rsidRPr="00AE4E51">
        <w:rPr>
          <w:b/>
        </w:rPr>
        <w:t>Vitamin</w:t>
      </w:r>
      <w:r w:rsidRPr="003A6E75">
        <w:t xml:space="preserve"> </w:t>
      </w:r>
      <w:r w:rsidRPr="00AE4E51">
        <w:rPr>
          <w:b/>
        </w:rPr>
        <w:t>Contents</w:t>
      </w:r>
    </w:p>
    <w:p w14:paraId="2A63222A" w14:textId="77777777" w:rsidR="003813FB" w:rsidRPr="00C749F3" w:rsidRDefault="003813FB" w:rsidP="00352B0E">
      <w:pPr>
        <w:pStyle w:val="NoSpacing"/>
      </w:pPr>
      <w:r w:rsidRPr="00C749F3">
        <w:t xml:space="preserve">Table 3 depicts the vitamin contents of the blended samples in comparison with the recommended daily allowance (RDA) </w:t>
      </w:r>
      <w:r w:rsidRPr="00C749F3">
        <w:fldChar w:fldCharType="begin" w:fldLock="1"/>
      </w:r>
      <w:r w:rsidRPr="00C749F3">
        <w:instrText>ADDIN CSL_CITATION {"citationItems":[{"id":"ITEM-1","itemData":{"ISSN":"20087802","abstract":"In the United States, 40 - 50% of the men and women 50 years of age or older regularly use multivitamin/mineral (MVM) supplements, making the annual sales of these supplements over $11 billion. However, the question remains whether using MVM supplements is beneficial to health. This article reviews the results of randomized studies of MVM supplements and individual vitamins/mineral supplements in relation to overall mortality and incidence of chronic diseases, particularly cancer and ischemic heart disease. The results of large-scale randomized trials show that, for the majority of the population, there is no overall benefit from taking MVM supplements. Indeed, some studies have shown increased risk of cancers in relation to using certain vitamins.","author":[{"dropping-particle":"","family":"Kamangar","given":"Farin","non-dropping-particle":"","parse-names":false,"suffix":""},{"dropping-particle":"","family":"Emadi","given":"Ashkan","non-dropping-particle":"","parse-names":false,"suffix":""}],"container-title":"International Journal of Preventive Medicine","id":"ITEM-1","issue":"3","issued":{"date-parts":[["2012"]]},"title":"Vitamin and mineral supplements: Do we really need them?","type":"article","volume":"3"},"uris":["http://www.mendeley.com/documents/?uuid=d91ffc53-5aff-3b2b-a435-3db2b2bf1668"]}],"mendeley":{"formattedCitation":"(Kamangar &amp; Emadi, 2012)","plainTextFormattedCitation":"(Kamangar &amp; Emadi, 2012)","previouslyFormattedCitation":"(Kamangar &amp; Emadi, 2012)"},"properties":{"noteIndex":0},"schema":"https://github.com/citation-style-language/schema/raw/master/csl-citation.json"}</w:instrText>
      </w:r>
      <w:r w:rsidRPr="00C749F3">
        <w:fldChar w:fldCharType="separate"/>
      </w:r>
      <w:r w:rsidRPr="00C749F3">
        <w:rPr>
          <w:noProof/>
        </w:rPr>
        <w:t>(Kamangar &amp; Emadi, 2012)</w:t>
      </w:r>
      <w:r w:rsidRPr="00C749F3">
        <w:fldChar w:fldCharType="end"/>
      </w:r>
      <w:r w:rsidRPr="00C749F3">
        <w:t>. The vitamin A (retinol) contents of the samples are 1.41±0.01 mg, 1.12±0.01 mg, 1.21±0.01 mg and 1.11±0.01 mg for CFL, WFL, MBS</w:t>
      </w:r>
      <w:r w:rsidRPr="00C749F3">
        <w:rPr>
          <w:vertAlign w:val="subscript"/>
        </w:rPr>
        <w:t xml:space="preserve">1 </w:t>
      </w:r>
      <w:r w:rsidRPr="00C749F3">
        <w:t>and MBS</w:t>
      </w:r>
      <w:r w:rsidRPr="00C749F3">
        <w:rPr>
          <w:vertAlign w:val="subscript"/>
        </w:rPr>
        <w:t xml:space="preserve">2 </w:t>
      </w:r>
      <w:r w:rsidRPr="00C749F3">
        <w:t>respectively. The maximum value of vitamin A content obtained in CFL is generally higher (P &lt; 0.05) than the proportions of vitamins B</w:t>
      </w:r>
      <w:r w:rsidRPr="00C749F3">
        <w:rPr>
          <w:vertAlign w:val="subscript"/>
        </w:rPr>
        <w:t xml:space="preserve">2 </w:t>
      </w:r>
      <w:r w:rsidRPr="00C749F3">
        <w:t>(riboflavin), B</w:t>
      </w:r>
      <w:r w:rsidRPr="00C749F3">
        <w:rPr>
          <w:vertAlign w:val="subscript"/>
        </w:rPr>
        <w:t>3</w:t>
      </w:r>
      <w:r w:rsidRPr="00C749F3">
        <w:t xml:space="preserve"> (niacin), B</w:t>
      </w:r>
      <w:r w:rsidRPr="00C749F3">
        <w:rPr>
          <w:vertAlign w:val="subscript"/>
        </w:rPr>
        <w:t>6</w:t>
      </w:r>
      <w:r w:rsidRPr="00C749F3">
        <w:t xml:space="preserve"> (pyridoxine), D (</w:t>
      </w:r>
      <w:r w:rsidRPr="00C749F3">
        <w:rPr>
          <w:bCs/>
        </w:rPr>
        <w:t>cholecalciferol)</w:t>
      </w:r>
      <w:r w:rsidRPr="00C749F3">
        <w:t xml:space="preserve"> and K (</w:t>
      </w:r>
      <w:r w:rsidRPr="00C749F3">
        <w:rPr>
          <w:bCs/>
        </w:rPr>
        <w:t>phylloquinone; menaquinone</w:t>
      </w:r>
      <w:r w:rsidRPr="00C749F3">
        <w:t>) but lower than vitamins B</w:t>
      </w:r>
      <w:r w:rsidRPr="00C749F3">
        <w:rPr>
          <w:vertAlign w:val="subscript"/>
        </w:rPr>
        <w:t xml:space="preserve">1 </w:t>
      </w:r>
      <w:r w:rsidRPr="00C749F3">
        <w:t>(thiamin), B</w:t>
      </w:r>
      <w:r w:rsidRPr="00C749F3">
        <w:rPr>
          <w:vertAlign w:val="subscript"/>
        </w:rPr>
        <w:t>9</w:t>
      </w:r>
      <w:r w:rsidRPr="00C749F3">
        <w:t xml:space="preserve"> folate), B</w:t>
      </w:r>
      <w:r w:rsidRPr="00C749F3">
        <w:rPr>
          <w:vertAlign w:val="subscript"/>
        </w:rPr>
        <w:t>12</w:t>
      </w:r>
      <w:r w:rsidRPr="00C749F3">
        <w:t xml:space="preserve"> (cobalamin), C (ascorbic acid) and E (tocopherol). An opposite trend is obtained for vitamins B</w:t>
      </w:r>
      <w:r w:rsidRPr="00C749F3">
        <w:rPr>
          <w:vertAlign w:val="subscript"/>
        </w:rPr>
        <w:t>2</w:t>
      </w:r>
      <w:r w:rsidRPr="00C749F3">
        <w:t>, B</w:t>
      </w:r>
      <w:r w:rsidRPr="00C749F3">
        <w:rPr>
          <w:vertAlign w:val="subscript"/>
        </w:rPr>
        <w:t xml:space="preserve">3, </w:t>
      </w:r>
      <w:r w:rsidRPr="00C749F3">
        <w:t>B</w:t>
      </w:r>
      <w:r w:rsidRPr="00C749F3">
        <w:rPr>
          <w:vertAlign w:val="subscript"/>
        </w:rPr>
        <w:t>6</w:t>
      </w:r>
      <w:r w:rsidRPr="00C749F3">
        <w:t>, D and K of all the samples studied. While the vitamin B</w:t>
      </w:r>
      <w:r w:rsidRPr="00C749F3">
        <w:rPr>
          <w:vertAlign w:val="subscript"/>
        </w:rPr>
        <w:t>9</w:t>
      </w:r>
      <w:r w:rsidRPr="00C749F3">
        <w:t xml:space="preserve"> contents in CFL and WFL are within the RDA, the contents of vitamins B</w:t>
      </w:r>
      <w:r w:rsidRPr="00C749F3">
        <w:rPr>
          <w:vertAlign w:val="subscript"/>
        </w:rPr>
        <w:t>9</w:t>
      </w:r>
      <w:r w:rsidRPr="00C749F3">
        <w:t xml:space="preserve"> in MBS</w:t>
      </w:r>
      <w:r w:rsidRPr="00C749F3">
        <w:softHyphen/>
      </w:r>
      <w:r w:rsidRPr="00C749F3">
        <w:rPr>
          <w:vertAlign w:val="subscript"/>
        </w:rPr>
        <w:t>1</w:t>
      </w:r>
      <w:r w:rsidRPr="00C749F3">
        <w:t xml:space="preserve"> and MBS</w:t>
      </w:r>
      <w:r w:rsidRPr="00C749F3">
        <w:rPr>
          <w:vertAlign w:val="subscript"/>
        </w:rPr>
        <w:t>2</w:t>
      </w:r>
      <w:r w:rsidRPr="00C749F3">
        <w:t xml:space="preserve"> are respectively slightly higher and lower than the RDA. A lowering from RDA is observed in MBS</w:t>
      </w:r>
      <w:r w:rsidRPr="00C749F3">
        <w:rPr>
          <w:vertAlign w:val="subscript"/>
        </w:rPr>
        <w:t>2</w:t>
      </w:r>
      <w:r w:rsidRPr="00C749F3">
        <w:t xml:space="preserve"> in terms of vitamin B</w:t>
      </w:r>
      <w:r w:rsidRPr="00C749F3">
        <w:rPr>
          <w:vertAlign w:val="subscript"/>
        </w:rPr>
        <w:t>12</w:t>
      </w:r>
      <w:r w:rsidRPr="00C749F3">
        <w:t>, which has the peak proportion of 160.67±1.15 µg in MBS</w:t>
      </w:r>
      <w:r w:rsidRPr="00C749F3">
        <w:rPr>
          <w:vertAlign w:val="subscript"/>
        </w:rPr>
        <w:t>1</w:t>
      </w:r>
      <w:r w:rsidRPr="00C749F3">
        <w:t>.</w:t>
      </w:r>
      <w:r w:rsidRPr="00C749F3">
        <w:rPr>
          <w:vertAlign w:val="subscript"/>
        </w:rPr>
        <w:t xml:space="preserve"> </w:t>
      </w:r>
      <w:r w:rsidRPr="00C749F3">
        <w:t>The relative abundance of vitamin C in the samples studied is 72.13±0.23 mg (MBS</w:t>
      </w:r>
      <w:r w:rsidRPr="00C749F3">
        <w:rPr>
          <w:vertAlign w:val="subscript"/>
        </w:rPr>
        <w:t>2</w:t>
      </w:r>
      <w:r w:rsidRPr="00C749F3">
        <w:t>) &gt;</w:t>
      </w:r>
      <w:r w:rsidRPr="00C749F3">
        <w:rPr>
          <w:vertAlign w:val="subscript"/>
        </w:rPr>
        <w:t xml:space="preserve"> </w:t>
      </w:r>
      <w:r w:rsidRPr="00C749F3">
        <w:t>70.54±0.59mg (MBS</w:t>
      </w:r>
      <w:r w:rsidRPr="00C749F3">
        <w:rPr>
          <w:vertAlign w:val="subscript"/>
        </w:rPr>
        <w:t>1</w:t>
      </w:r>
      <w:r w:rsidRPr="00C749F3">
        <w:t>) &gt; 70.07±0.02 mg (CFL) &gt; 50.97±1.09 mg (WFL). These values are all within the RDA (50.00</w:t>
      </w:r>
      <w:r w:rsidRPr="00C749F3">
        <w:rPr>
          <w:rFonts w:ascii="Cambria Math" w:hAnsi="Cambria Math" w:cs="Cambria Math"/>
        </w:rPr>
        <w:t>‐</w:t>
      </w:r>
      <w:r w:rsidRPr="00C749F3">
        <w:t>200.00 mg). Vitamin E contents of CFL (1.57±0.01 µg), MBS</w:t>
      </w:r>
      <w:r w:rsidRPr="00C749F3">
        <w:rPr>
          <w:vertAlign w:val="subscript"/>
        </w:rPr>
        <w:t xml:space="preserve">1 </w:t>
      </w:r>
      <w:r w:rsidRPr="00C749F3">
        <w:t>(1.76±0.01 µg) and MBS</w:t>
      </w:r>
      <w:r w:rsidRPr="00C749F3">
        <w:rPr>
          <w:vertAlign w:val="subscript"/>
        </w:rPr>
        <w:t xml:space="preserve">2 </w:t>
      </w:r>
      <w:r w:rsidRPr="00C749F3">
        <w:t xml:space="preserve">(1.92±0.03µg) are above the RDA (0.70-1.40 µg) while WFL (0.92±0.02 µg) is within the range of RDA. Vitamins in diets, either as fat-soluble vitamins A, D, E, and K or water-soluble vitamins B and C, are noted for developing the body. Since vitamin A is significant for good sight, the samples studied cannot be used single diets to manage poor eye sight because of lower relative abundance of vitamin A in the samples than RDA. A deficiency in vitamin A exposes the eyes to infection with an extension of possible dysfunctional salivary glands and genitourinary tracts while vitamin D normalizes the proportions of phosphorus and calcium in the blood via absorption from the small intestines </w:t>
      </w:r>
      <w:r w:rsidRPr="00C749F3">
        <w:fldChar w:fldCharType="begin" w:fldLock="1"/>
      </w:r>
      <w:r w:rsidRPr="00C749F3">
        <w:instrText>ADDIN CSL_CITATION {"citationItems":[{"id":"ITEM-1","itemData":{"DOI":"10.4103/0976-500X.95506","ISSN":"0976500X","abstract":"Vitamin D insufficiency affects almost 50% of the population worldwide. An estimated 1 billion people worldwide, across all ethnicities and age groups, have a vitamin D deficiency (VDD). Thispandemic of hypovitaminosis D can mainly be attributed to lifestyle (for example, reduced outdoor activities) and environmental (for example, air pollution) factors that reduce exposure to sunlight, which is required for ultraviolet-B (UVB)-induced vitamin D production in the skin. High prevalence of vitamin D insufficiency is a particularly important public health issue because hypovitaminosis D is an independent risk factor for total mortality in the general population. Current studies suggest that we may need more vitamin D than presently recommended to prevent chronic disease. As the number of people with VDD continues to increase, the importance of this hormone in overall health and the prevention of chronic diseases are at the forefront of research. VDD is very common in all age groups. As few foods contain vitamin D, guidelines recommended supplementation at suggested daily intake and tolerable upper limit levels. It is also suggested to measure the serum 25-hydroxyvitamin D level as the initial diagnostic test in patients at risk for deficiency. Treatment with either vitamin D2 or vitamin D3 is recommended for deficient patients. A meta-analysispublished in 2007 showed that vitamin D supplementation was associated with significantly reduced mortality. In this review, we will summarize the mechanisms that are presumed to underlie the relationship between vitamin D and understand its biology and clinical implications.","author":[{"dropping-particle":"","family":"Nair","given":"Rathish","non-dropping-particle":"","parse-names":false,"suffix":""},{"dropping-particle":"","family":"Maseeh","given":"Arun","non-dropping-particle":"","parse-names":false,"suffix":""}],"container-title":"Journal of Pharmacology and Pharmacotherapeutics","id":"ITEM-1","issue":"2","issued":{"date-parts":[["2012"]]},"title":"Vitamin D: The sunshine vitamin","type":"article","volume":"3"},"uris":["http://www.mendeley.com/documents/?uuid=4a60aca0-2375-3f08-86cd-54a3bf0a7bc8"]}],"mendeley":{"formattedCitation":"(Nair &amp; Maseeh, 2012)","plainTextFormattedCitation":"(Nair &amp; Maseeh, 2012)","previouslyFormattedCitation":"(Nair &amp; Maseeh, 2012)"},"properties":{"noteIndex":0},"schema":"https://github.com/citation-style-language/schema/raw/master/csl-citation.json"}</w:instrText>
      </w:r>
      <w:r w:rsidRPr="00C749F3">
        <w:fldChar w:fldCharType="separate"/>
      </w:r>
      <w:r w:rsidRPr="00C749F3">
        <w:rPr>
          <w:noProof/>
        </w:rPr>
        <w:t>(Nair &amp; Maseeh, 2012)</w:t>
      </w:r>
      <w:r w:rsidRPr="00C749F3">
        <w:fldChar w:fldCharType="end"/>
      </w:r>
      <w:r w:rsidRPr="00C749F3">
        <w:t xml:space="preserve">. The samples studied are rich in vitamin E, implying that they can be used as single diets or supplements of anti-oxidants in the body with enhanced immunity and aids to wounds healing </w:t>
      </w:r>
      <w:r w:rsidRPr="00C749F3">
        <w:fldChar w:fldCharType="begin" w:fldLock="1"/>
      </w:r>
      <w:r w:rsidRPr="00C749F3">
        <w:instrText>ADDIN CSL_CITATION {"citationItems":[{"id":"ITEM-1","itemData":{"DOI":"10.4103/0976-500X.95506","ISSN":"0976500X","abstract":"Vitamin D insufficiency affects almost 50% of the population worldwide. An estimated 1 billion people worldwide, across all ethnicities and age groups, have a vitamin D deficiency (VDD). Thispandemic of hypovitaminosis D can mainly be attributed to lifestyle (for example, reduced outdoor activities) and environmental (for example, air pollution) factors that reduce exposure to sunlight, which is required for ultraviolet-B (UVB)-induced vitamin D production in the skin. High prevalence of vitamin D insufficiency is a particularly important public health issue because hypovitaminosis D is an independent risk factor for total mortality in the general population. Current studies suggest that we may need more vitamin D than presently recommended to prevent chronic disease. As the number of people with VDD continues to increase, the importance of this hormone in overall health and the prevention of chronic diseases are at the forefront of research. VDD is very common in all age groups. As few foods contain vitamin D, guidelines recommended supplementation at suggested daily intake and tolerable upper limit levels. It is also suggested to measure the serum 25-hydroxyvitamin D level as the initial diagnostic test in patients at risk for deficiency. Treatment with either vitamin D2 or vitamin D3 is recommended for deficient patients. A meta-analysispublished in 2007 showed that vitamin D supplementation was associated with significantly reduced mortality. In this review, we will summarize the mechanisms that are presumed to underlie the relationship between vitamin D and understand its biology and clinical implications.","author":[{"dropping-particle":"","family":"Nair","given":"Rathish","non-dropping-particle":"","parse-names":false,"suffix":""},{"dropping-particle":"","family":"Maseeh","given":"Arun","non-dropping-particle":"","parse-names":false,"suffix":""}],"container-title":"Journal of Pharmacology and Pharmacotherapeutics","id":"ITEM-1","issue":"2","issued":{"date-parts":[["2012"]]},"title":"Vitamin D: The sunshine vitamin","type":"article","volume":"3"},"uris":["http://www.mendeley.com/documents/?uuid=4a60aca0-2375-3f08-86cd-54a3bf0a7bc8"]}],"mendeley":{"formattedCitation":"(Nair &amp; Maseeh, 2012)","plainTextFormattedCitation":"(Nair &amp; Maseeh, 2012)","previouslyFormattedCitation":"(Nair &amp; Maseeh, 2012)"},"properties":{"noteIndex":0},"schema":"https://github.com/citation-style-language/schema/raw/master/csl-citation.json"}</w:instrText>
      </w:r>
      <w:r w:rsidRPr="00C749F3">
        <w:fldChar w:fldCharType="separate"/>
      </w:r>
      <w:r w:rsidRPr="00C749F3">
        <w:rPr>
          <w:noProof/>
        </w:rPr>
        <w:t>(Nair &amp; Maseeh, 2012)</w:t>
      </w:r>
      <w:r w:rsidRPr="00C749F3">
        <w:fldChar w:fldCharType="end"/>
      </w:r>
      <w:r w:rsidRPr="00C749F3">
        <w:t>. The water-soluble vitamins are also basically used for building and developing tissues in the body. All the samples studied are suitable sources of vitamin B</w:t>
      </w:r>
      <w:r w:rsidRPr="00C749F3">
        <w:rPr>
          <w:vertAlign w:val="subscript"/>
        </w:rPr>
        <w:t>1</w:t>
      </w:r>
      <w:r w:rsidRPr="00C749F3">
        <w:t xml:space="preserve">, which is a cofactor for several enzymes involved in energy metabolism </w:t>
      </w:r>
      <w:r w:rsidRPr="00C749F3">
        <w:fldChar w:fldCharType="begin" w:fldLock="1"/>
      </w:r>
      <w:r w:rsidRPr="00C749F3">
        <w:instrText>ADDIN CSL_CITATION {"citationItems":[{"id":"ITEM-1","itemData":{"abstract":"Nutrients are chemical substances required by the body to sustain basic functions and are optimally obtained by eating a balanced diet. There are six major classes of nutrients essential for human health: carbohydrates, lipids, proteins, vitamins, minerals, and water. Carbohydrates, lipids, and proteins are considered macronutrients and serve as a source of energy. Water is required in large amounts but does not yield energy. Vitamins and minerals are considered micronutrients and play essential roles in metabolism. Vitamins are organic micronutrients classified as either water-soluble or fat-soluble. The essential water-soluble vitamins include vitamins B1, B2, B3, B5, B6, B7, B9, B12, and C. The essential fat-soluble vitamins include vitamins A, E, D, and K. Minerals are inorganic micronutrients. Minerals can classify as macrominerals or microminerals. Macrominerals are required in amounts greater than 100 mg per day and include calcium, phosphorous, magnesium, sodium, potassium, and chloride. Sodium, potassium, and chloride are also electrolytes. Microminerals are those required in amounts less than 100 mg per day and include iron, copper, zinc, selenium, and iodine. This article will review the following biochemical aspects of the essential nutrients: fundamentals, cellular, molecular, function, testing, and clinical significance.[1][2]","author":[{"dropping-particle":"","family":"Morris","given":"Alyssa L.","non-dropping-particle":"","parse-names":false,"suffix":""},{"dropping-particle":"","family":"Mohiuddin","given":"Shamim S.","non-dropping-particle":"","parse-names":false,"suffix":""}],"container-title":"StatPearls","id":"ITEM-1","issued":{"date-parts":[["2020"]]},"title":"Biochemistry, Nutrients","type":"book"},"uris":["http://www.mendeley.com/documents/?uuid=2eb8ddf5-055e-3089-b466-c82e5f13f8fb"]}],"mendeley":{"formattedCitation":"(Morris &amp; Mohiuddin, 2020)","plainTextFormattedCitation":"(Morris &amp; Mohiuddin, 2020)","previouslyFormattedCitation":"(Morris &amp; Mohiuddin, 2020)"},"properties":{"noteIndex":0},"schema":"https://github.com/citation-style-language/schema/raw/master/csl-citation.json"}</w:instrText>
      </w:r>
      <w:r w:rsidRPr="00C749F3">
        <w:fldChar w:fldCharType="separate"/>
      </w:r>
      <w:r w:rsidRPr="00C749F3">
        <w:rPr>
          <w:noProof/>
        </w:rPr>
        <w:t>(Morris &amp; Mohiuddin, 2020)</w:t>
      </w:r>
      <w:r w:rsidRPr="00C749F3">
        <w:fldChar w:fldCharType="end"/>
      </w:r>
      <w:r w:rsidRPr="00C749F3">
        <w:t>. In the same league with vitamin B</w:t>
      </w:r>
      <w:r w:rsidRPr="00C749F3">
        <w:rPr>
          <w:vertAlign w:val="subscript"/>
        </w:rPr>
        <w:t>1</w:t>
      </w:r>
      <w:r w:rsidRPr="00C749F3">
        <w:t xml:space="preserve"> are vitamins B</w:t>
      </w:r>
      <w:r w:rsidRPr="00C749F3">
        <w:rPr>
          <w:vertAlign w:val="subscript"/>
        </w:rPr>
        <w:t xml:space="preserve">9 </w:t>
      </w:r>
      <w:r w:rsidRPr="00C749F3">
        <w:t>and B</w:t>
      </w:r>
      <w:r w:rsidRPr="00C749F3">
        <w:rPr>
          <w:vertAlign w:val="subscript"/>
        </w:rPr>
        <w:t>12</w:t>
      </w:r>
      <w:r w:rsidRPr="00C749F3">
        <w:t xml:space="preserve"> except for their values in MBS</w:t>
      </w:r>
      <w:r w:rsidRPr="00C749F3">
        <w:rPr>
          <w:vertAlign w:val="subscript"/>
        </w:rPr>
        <w:t>2</w:t>
      </w:r>
      <w:r w:rsidRPr="00C749F3">
        <w:t>. B</w:t>
      </w:r>
      <w:r w:rsidRPr="00C749F3">
        <w:rPr>
          <w:vertAlign w:val="subscript"/>
        </w:rPr>
        <w:t xml:space="preserve">9 </w:t>
      </w:r>
      <w:r w:rsidRPr="00C749F3">
        <w:t>and B</w:t>
      </w:r>
      <w:r w:rsidRPr="00C749F3">
        <w:rPr>
          <w:vertAlign w:val="subscript"/>
        </w:rPr>
        <w:t>12</w:t>
      </w:r>
      <w:r w:rsidRPr="00C749F3">
        <w:t xml:space="preserve"> are coenzymes that play significant roles conversion and </w:t>
      </w:r>
      <w:r w:rsidRPr="00C749F3">
        <w:lastRenderedPageBreak/>
        <w:t xml:space="preserve">isomerization cellular metabolites and coenzymes. The samples studied are rich in vitamin C, suggesting them as single diets or supplements that can manage scurvy, common cold by acting as a reductant in enzymatic reactions and soluble anti-oxidant in non-enzymatic reactions </w:t>
      </w:r>
      <w:r w:rsidRPr="00C749F3">
        <w:fldChar w:fldCharType="begin" w:fldLock="1"/>
      </w:r>
      <w:r w:rsidRPr="00C749F3">
        <w:instrText>ADDIN CSL_CITATION {"citationItems":[{"id":"ITEM-1","itemData":{"abstract":"Nutrients are chemical substances required by the body to sustain basic functions and are optimally obtained by eating a balanced diet. There are six major classes of nutrients essential for human health: carbohydrates, lipids, proteins, vitamins, minerals, and water. Carbohydrates, lipids, and proteins are considered macronutrients and serve as a source of energy. Water is required in large amounts but does not yield energy. Vitamins and minerals are considered micronutrients and play essential roles in metabolism. Vitamins are organic micronutrients classified as either water-soluble or fat-soluble. The essential water-soluble vitamins include vitamins B1, B2, B3, B5, B6, B7, B9, B12, and C. The essential fat-soluble vitamins include vitamins A, E, D, and K. Minerals are inorganic micronutrients. Minerals can classify as macrominerals or microminerals. Macrominerals are required in amounts greater than 100 mg per day and include calcium, phosphorous, magnesium, sodium, potassium, and chloride. Sodium, potassium, and chloride are also electrolytes. Microminerals are those required in amounts less than 100 mg per day and include iron, copper, zinc, selenium, and iodine. This article will review the following biochemical aspects of the essential nutrients: fundamentals, cellular, molecular, function, testing, and clinical significance.[1][2]","author":[{"dropping-particle":"","family":"Morris","given":"Alyssa L.","non-dropping-particle":"","parse-names":false,"suffix":""},{"dropping-particle":"","family":"Mohiuddin","given":"Shamim S.","non-dropping-particle":"","parse-names":false,"suffix":""}],"container-title":"StatPearls","id":"ITEM-1","issued":{"date-parts":[["2020"]]},"title":"Biochemistry, Nutrients","type":"book"},"uris":["http://www.mendeley.com/documents/?uuid=2eb8ddf5-055e-3089-b466-c82e5f13f8fb"]}],"mendeley":{"formattedCitation":"(Morris &amp; Mohiuddin, 2020)","plainTextFormattedCitation":"(Morris &amp; Mohiuddin, 2020)","previouslyFormattedCitation":"(Morris &amp; Mohiuddin, 2020)"},"properties":{"noteIndex":0},"schema":"https://github.com/citation-style-language/schema/raw/master/csl-citation.json"}</w:instrText>
      </w:r>
      <w:r w:rsidRPr="00C749F3">
        <w:fldChar w:fldCharType="separate"/>
      </w:r>
      <w:r w:rsidRPr="00C749F3">
        <w:rPr>
          <w:noProof/>
        </w:rPr>
        <w:t>(Morris &amp; Mohiuddin, 2020)</w:t>
      </w:r>
      <w:r w:rsidRPr="00C749F3">
        <w:fldChar w:fldCharType="end"/>
      </w:r>
      <w:r w:rsidRPr="00C749F3">
        <w:t>.</w:t>
      </w:r>
    </w:p>
    <w:p w14:paraId="382265D9" w14:textId="77777777" w:rsidR="000A1C9C" w:rsidRPr="00C749F3" w:rsidRDefault="000A1C9C" w:rsidP="00352B0E">
      <w:pPr>
        <w:pStyle w:val="NoSpacing"/>
      </w:pPr>
    </w:p>
    <w:p w14:paraId="1AA9FF57" w14:textId="77777777" w:rsidR="000A1C9C" w:rsidRPr="003A6E75" w:rsidRDefault="000A1C9C" w:rsidP="00352B0E">
      <w:pPr>
        <w:pStyle w:val="NoSpacing"/>
      </w:pPr>
      <w:r w:rsidRPr="00AE4E51">
        <w:rPr>
          <w:b/>
        </w:rPr>
        <w:t>Table</w:t>
      </w:r>
      <w:r w:rsidRPr="003A6E75">
        <w:t xml:space="preserve"> </w:t>
      </w:r>
      <w:r w:rsidRPr="00AE4E51">
        <w:rPr>
          <w:b/>
        </w:rPr>
        <w:t>3</w:t>
      </w:r>
      <w:r w:rsidRPr="003A6E75">
        <w:t xml:space="preserve">. </w:t>
      </w:r>
      <w:r w:rsidRPr="00AE4E51">
        <w:rPr>
          <w:b/>
        </w:rPr>
        <w:t>Vitamins</w:t>
      </w:r>
      <w:r w:rsidRPr="003A6E75">
        <w:t xml:space="preserve"> </w:t>
      </w:r>
      <w:r w:rsidRPr="00AE4E51">
        <w:rPr>
          <w:b/>
        </w:rPr>
        <w:t>of the samples</w:t>
      </w:r>
    </w:p>
    <w:tbl>
      <w:tblPr>
        <w:tblStyle w:val="TableGrid"/>
        <w:tblW w:w="8344"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1098"/>
        <w:gridCol w:w="1548"/>
        <w:gridCol w:w="1440"/>
        <w:gridCol w:w="1556"/>
        <w:gridCol w:w="1414"/>
        <w:gridCol w:w="1288"/>
      </w:tblGrid>
      <w:tr w:rsidR="00352B0E" w:rsidRPr="00C749F3" w14:paraId="1801E7D5" w14:textId="77777777" w:rsidTr="000A1C9C">
        <w:tc>
          <w:tcPr>
            <w:tcW w:w="1098" w:type="dxa"/>
            <w:vMerge w:val="restart"/>
            <w:tcBorders>
              <w:top w:val="single" w:sz="4" w:space="0" w:color="auto"/>
              <w:bottom w:val="nil"/>
              <w:right w:val="nil"/>
            </w:tcBorders>
          </w:tcPr>
          <w:p w14:paraId="06B5675A" w14:textId="77777777" w:rsidR="000A1C9C" w:rsidRPr="00352B0E" w:rsidRDefault="000A1C9C" w:rsidP="00352B0E">
            <w:pPr>
              <w:pStyle w:val="NoSpacing"/>
              <w:rPr>
                <w:sz w:val="20"/>
                <w:szCs w:val="20"/>
              </w:rPr>
            </w:pPr>
            <w:r w:rsidRPr="00352B0E">
              <w:rPr>
                <w:sz w:val="20"/>
                <w:szCs w:val="20"/>
              </w:rPr>
              <w:t>Vitamin</w:t>
            </w:r>
          </w:p>
        </w:tc>
        <w:tc>
          <w:tcPr>
            <w:tcW w:w="1548" w:type="dxa"/>
            <w:vMerge w:val="restart"/>
            <w:tcBorders>
              <w:top w:val="single" w:sz="4" w:space="0" w:color="auto"/>
              <w:left w:val="nil"/>
              <w:bottom w:val="nil"/>
              <w:right w:val="nil"/>
            </w:tcBorders>
          </w:tcPr>
          <w:p w14:paraId="784AAAC1" w14:textId="77777777" w:rsidR="000A1C9C" w:rsidRPr="00352B0E" w:rsidRDefault="000A1C9C" w:rsidP="00352B0E">
            <w:pPr>
              <w:pStyle w:val="NoSpacing"/>
              <w:rPr>
                <w:sz w:val="20"/>
                <w:szCs w:val="20"/>
              </w:rPr>
            </w:pPr>
            <w:r w:rsidRPr="00352B0E">
              <w:rPr>
                <w:sz w:val="20"/>
                <w:szCs w:val="20"/>
                <w:vertAlign w:val="superscript"/>
              </w:rPr>
              <w:t>*</w:t>
            </w:r>
            <w:r w:rsidRPr="00352B0E">
              <w:rPr>
                <w:sz w:val="20"/>
                <w:szCs w:val="20"/>
              </w:rPr>
              <w:t>RDA (mg)</w:t>
            </w:r>
          </w:p>
        </w:tc>
        <w:tc>
          <w:tcPr>
            <w:tcW w:w="5698" w:type="dxa"/>
            <w:gridSpan w:val="4"/>
            <w:tcBorders>
              <w:top w:val="single" w:sz="4" w:space="0" w:color="auto"/>
              <w:left w:val="nil"/>
              <w:bottom w:val="single" w:sz="4" w:space="0" w:color="auto"/>
            </w:tcBorders>
          </w:tcPr>
          <w:p w14:paraId="63859DC1" w14:textId="77777777" w:rsidR="000A1C9C" w:rsidRPr="00352B0E" w:rsidRDefault="000A1C9C" w:rsidP="00AE4E51">
            <w:pPr>
              <w:pStyle w:val="NoSpacing"/>
              <w:jc w:val="center"/>
              <w:rPr>
                <w:sz w:val="20"/>
                <w:szCs w:val="20"/>
              </w:rPr>
            </w:pPr>
            <w:r w:rsidRPr="00352B0E">
              <w:rPr>
                <w:sz w:val="20"/>
                <w:szCs w:val="20"/>
              </w:rPr>
              <w:t>Sample</w:t>
            </w:r>
          </w:p>
        </w:tc>
      </w:tr>
      <w:tr w:rsidR="00C749F3" w:rsidRPr="00C749F3" w14:paraId="4ABA2E30" w14:textId="77777777" w:rsidTr="000A1C9C">
        <w:tc>
          <w:tcPr>
            <w:tcW w:w="1098" w:type="dxa"/>
            <w:vMerge/>
            <w:tcBorders>
              <w:top w:val="nil"/>
              <w:bottom w:val="single" w:sz="4" w:space="0" w:color="auto"/>
              <w:right w:val="nil"/>
            </w:tcBorders>
          </w:tcPr>
          <w:p w14:paraId="1C278D61" w14:textId="77777777" w:rsidR="000A1C9C" w:rsidRPr="00352B0E" w:rsidRDefault="000A1C9C" w:rsidP="00352B0E">
            <w:pPr>
              <w:pStyle w:val="NoSpacing"/>
              <w:rPr>
                <w:sz w:val="20"/>
                <w:szCs w:val="20"/>
              </w:rPr>
            </w:pPr>
          </w:p>
        </w:tc>
        <w:tc>
          <w:tcPr>
            <w:tcW w:w="1548" w:type="dxa"/>
            <w:vMerge/>
            <w:tcBorders>
              <w:top w:val="nil"/>
              <w:left w:val="nil"/>
              <w:bottom w:val="single" w:sz="4" w:space="0" w:color="auto"/>
              <w:right w:val="nil"/>
            </w:tcBorders>
          </w:tcPr>
          <w:p w14:paraId="34678227" w14:textId="77777777" w:rsidR="000A1C9C" w:rsidRPr="00352B0E" w:rsidRDefault="000A1C9C" w:rsidP="00352B0E">
            <w:pPr>
              <w:pStyle w:val="NoSpacing"/>
              <w:rPr>
                <w:sz w:val="20"/>
                <w:szCs w:val="20"/>
              </w:rPr>
            </w:pPr>
          </w:p>
        </w:tc>
        <w:tc>
          <w:tcPr>
            <w:tcW w:w="1440" w:type="dxa"/>
            <w:tcBorders>
              <w:top w:val="single" w:sz="4" w:space="0" w:color="auto"/>
              <w:left w:val="nil"/>
              <w:bottom w:val="single" w:sz="4" w:space="0" w:color="auto"/>
              <w:right w:val="nil"/>
            </w:tcBorders>
          </w:tcPr>
          <w:p w14:paraId="01F8E9B0" w14:textId="77777777" w:rsidR="000A1C9C" w:rsidRPr="00352B0E" w:rsidRDefault="000A1C9C" w:rsidP="00352B0E">
            <w:pPr>
              <w:pStyle w:val="NoSpacing"/>
              <w:rPr>
                <w:sz w:val="20"/>
                <w:szCs w:val="20"/>
              </w:rPr>
            </w:pPr>
            <w:r w:rsidRPr="00352B0E">
              <w:rPr>
                <w:sz w:val="20"/>
                <w:szCs w:val="20"/>
              </w:rPr>
              <w:t>CFL</w:t>
            </w:r>
          </w:p>
        </w:tc>
        <w:tc>
          <w:tcPr>
            <w:tcW w:w="1556" w:type="dxa"/>
            <w:tcBorders>
              <w:top w:val="single" w:sz="4" w:space="0" w:color="auto"/>
              <w:left w:val="nil"/>
              <w:bottom w:val="single" w:sz="4" w:space="0" w:color="auto"/>
              <w:right w:val="nil"/>
            </w:tcBorders>
          </w:tcPr>
          <w:p w14:paraId="4529BE68" w14:textId="77777777" w:rsidR="000A1C9C" w:rsidRPr="00352B0E" w:rsidRDefault="000A1C9C" w:rsidP="00352B0E">
            <w:pPr>
              <w:pStyle w:val="NoSpacing"/>
              <w:rPr>
                <w:sz w:val="20"/>
                <w:szCs w:val="20"/>
              </w:rPr>
            </w:pPr>
            <w:r w:rsidRPr="00352B0E">
              <w:rPr>
                <w:sz w:val="20"/>
                <w:szCs w:val="20"/>
              </w:rPr>
              <w:t>WFL</w:t>
            </w:r>
          </w:p>
        </w:tc>
        <w:tc>
          <w:tcPr>
            <w:tcW w:w="1414" w:type="dxa"/>
            <w:tcBorders>
              <w:top w:val="single" w:sz="4" w:space="0" w:color="auto"/>
              <w:left w:val="nil"/>
              <w:bottom w:val="single" w:sz="4" w:space="0" w:color="auto"/>
              <w:right w:val="nil"/>
            </w:tcBorders>
          </w:tcPr>
          <w:p w14:paraId="6D7A81D5" w14:textId="77777777" w:rsidR="000A1C9C" w:rsidRPr="00352B0E" w:rsidRDefault="000A1C9C" w:rsidP="00352B0E">
            <w:pPr>
              <w:pStyle w:val="NoSpacing"/>
              <w:rPr>
                <w:sz w:val="20"/>
                <w:szCs w:val="20"/>
                <w:vertAlign w:val="subscript"/>
              </w:rPr>
            </w:pPr>
            <w:r w:rsidRPr="00352B0E">
              <w:rPr>
                <w:sz w:val="20"/>
                <w:szCs w:val="20"/>
              </w:rPr>
              <w:t>MBS</w:t>
            </w:r>
            <w:r w:rsidRPr="00352B0E">
              <w:rPr>
                <w:sz w:val="20"/>
                <w:szCs w:val="20"/>
                <w:vertAlign w:val="subscript"/>
              </w:rPr>
              <w:t>1</w:t>
            </w:r>
          </w:p>
        </w:tc>
        <w:tc>
          <w:tcPr>
            <w:tcW w:w="1288" w:type="dxa"/>
            <w:tcBorders>
              <w:top w:val="single" w:sz="4" w:space="0" w:color="auto"/>
              <w:left w:val="nil"/>
              <w:bottom w:val="single" w:sz="4" w:space="0" w:color="auto"/>
            </w:tcBorders>
          </w:tcPr>
          <w:p w14:paraId="0FD3C85C" w14:textId="77777777" w:rsidR="000A1C9C" w:rsidRPr="00352B0E" w:rsidRDefault="000A1C9C" w:rsidP="00352B0E">
            <w:pPr>
              <w:pStyle w:val="NoSpacing"/>
              <w:rPr>
                <w:sz w:val="20"/>
                <w:szCs w:val="20"/>
              </w:rPr>
            </w:pPr>
            <w:r w:rsidRPr="00352B0E">
              <w:rPr>
                <w:sz w:val="20"/>
                <w:szCs w:val="20"/>
              </w:rPr>
              <w:t>MBS</w:t>
            </w:r>
            <w:r w:rsidRPr="00352B0E">
              <w:rPr>
                <w:sz w:val="20"/>
                <w:szCs w:val="20"/>
                <w:vertAlign w:val="subscript"/>
              </w:rPr>
              <w:t>2</w:t>
            </w:r>
          </w:p>
        </w:tc>
      </w:tr>
      <w:tr w:rsidR="00C749F3" w:rsidRPr="00C749F3" w14:paraId="14A2690A" w14:textId="77777777" w:rsidTr="000A1C9C">
        <w:tc>
          <w:tcPr>
            <w:tcW w:w="1098" w:type="dxa"/>
            <w:tcBorders>
              <w:top w:val="single" w:sz="4" w:space="0" w:color="auto"/>
              <w:right w:val="nil"/>
            </w:tcBorders>
          </w:tcPr>
          <w:p w14:paraId="638ACD30" w14:textId="77777777" w:rsidR="000A1C9C" w:rsidRPr="00352B0E" w:rsidRDefault="000A1C9C" w:rsidP="00352B0E">
            <w:pPr>
              <w:pStyle w:val="NoSpacing"/>
              <w:rPr>
                <w:sz w:val="20"/>
                <w:szCs w:val="20"/>
              </w:rPr>
            </w:pPr>
            <w:r w:rsidRPr="00352B0E">
              <w:rPr>
                <w:sz w:val="20"/>
                <w:szCs w:val="20"/>
              </w:rPr>
              <w:t>A (mg)</w:t>
            </w:r>
          </w:p>
        </w:tc>
        <w:tc>
          <w:tcPr>
            <w:tcW w:w="1548" w:type="dxa"/>
            <w:tcBorders>
              <w:top w:val="single" w:sz="4" w:space="0" w:color="auto"/>
              <w:left w:val="nil"/>
              <w:right w:val="nil"/>
            </w:tcBorders>
          </w:tcPr>
          <w:p w14:paraId="5EEE9DE7" w14:textId="77777777" w:rsidR="000A1C9C" w:rsidRPr="00352B0E" w:rsidRDefault="000A1C9C" w:rsidP="00352B0E">
            <w:pPr>
              <w:pStyle w:val="NoSpacing"/>
              <w:rPr>
                <w:sz w:val="20"/>
                <w:szCs w:val="20"/>
              </w:rPr>
            </w:pPr>
            <w:r w:rsidRPr="00352B0E">
              <w:rPr>
                <w:sz w:val="20"/>
                <w:szCs w:val="20"/>
              </w:rPr>
              <w:t>8.00</w:t>
            </w:r>
            <w:r w:rsidRPr="00352B0E">
              <w:rPr>
                <w:rFonts w:ascii="Cambria Math" w:hAnsi="Cambria Math" w:cs="Cambria Math"/>
                <w:sz w:val="20"/>
                <w:szCs w:val="20"/>
              </w:rPr>
              <w:t>‐</w:t>
            </w:r>
            <w:r w:rsidRPr="00352B0E">
              <w:rPr>
                <w:sz w:val="20"/>
                <w:szCs w:val="20"/>
              </w:rPr>
              <w:t>10.00</w:t>
            </w:r>
          </w:p>
        </w:tc>
        <w:tc>
          <w:tcPr>
            <w:tcW w:w="1440" w:type="dxa"/>
            <w:tcBorders>
              <w:top w:val="single" w:sz="4" w:space="0" w:color="auto"/>
              <w:left w:val="nil"/>
              <w:right w:val="nil"/>
            </w:tcBorders>
          </w:tcPr>
          <w:p w14:paraId="032C7D3D" w14:textId="77777777" w:rsidR="000A1C9C" w:rsidRPr="00352B0E" w:rsidRDefault="000A1C9C" w:rsidP="00352B0E">
            <w:pPr>
              <w:pStyle w:val="NoSpacing"/>
              <w:rPr>
                <w:sz w:val="20"/>
                <w:szCs w:val="20"/>
              </w:rPr>
            </w:pPr>
            <w:r w:rsidRPr="00352B0E">
              <w:rPr>
                <w:sz w:val="20"/>
                <w:szCs w:val="20"/>
              </w:rPr>
              <w:t>1.41</w:t>
            </w:r>
            <w:r w:rsidRPr="00352B0E">
              <w:rPr>
                <w:sz w:val="20"/>
                <w:szCs w:val="20"/>
                <w:vertAlign w:val="superscript"/>
              </w:rPr>
              <w:t>a</w:t>
            </w:r>
            <w:r w:rsidRPr="00352B0E">
              <w:rPr>
                <w:sz w:val="20"/>
                <w:szCs w:val="20"/>
              </w:rPr>
              <w:t>±0.01</w:t>
            </w:r>
          </w:p>
        </w:tc>
        <w:tc>
          <w:tcPr>
            <w:tcW w:w="1556" w:type="dxa"/>
            <w:tcBorders>
              <w:top w:val="single" w:sz="4" w:space="0" w:color="auto"/>
              <w:left w:val="nil"/>
              <w:right w:val="nil"/>
            </w:tcBorders>
          </w:tcPr>
          <w:p w14:paraId="5CCD4A3A" w14:textId="77777777" w:rsidR="000A1C9C" w:rsidRPr="00352B0E" w:rsidRDefault="000A1C9C" w:rsidP="00352B0E">
            <w:pPr>
              <w:pStyle w:val="NoSpacing"/>
              <w:rPr>
                <w:sz w:val="20"/>
                <w:szCs w:val="20"/>
              </w:rPr>
            </w:pPr>
            <w:r w:rsidRPr="00352B0E">
              <w:rPr>
                <w:sz w:val="20"/>
                <w:szCs w:val="20"/>
              </w:rPr>
              <w:t>1.12</w:t>
            </w:r>
            <w:r w:rsidRPr="00352B0E">
              <w:rPr>
                <w:sz w:val="20"/>
                <w:szCs w:val="20"/>
                <w:vertAlign w:val="superscript"/>
              </w:rPr>
              <w:t>c</w:t>
            </w:r>
            <w:r w:rsidRPr="00352B0E">
              <w:rPr>
                <w:sz w:val="20"/>
                <w:szCs w:val="20"/>
              </w:rPr>
              <w:t>±0.01</w:t>
            </w:r>
          </w:p>
        </w:tc>
        <w:tc>
          <w:tcPr>
            <w:tcW w:w="1414" w:type="dxa"/>
            <w:tcBorders>
              <w:top w:val="single" w:sz="4" w:space="0" w:color="auto"/>
              <w:left w:val="nil"/>
              <w:right w:val="nil"/>
            </w:tcBorders>
          </w:tcPr>
          <w:p w14:paraId="4AA56E56" w14:textId="77777777" w:rsidR="000A1C9C" w:rsidRPr="00352B0E" w:rsidRDefault="000A1C9C" w:rsidP="00352B0E">
            <w:pPr>
              <w:pStyle w:val="NoSpacing"/>
              <w:rPr>
                <w:sz w:val="20"/>
                <w:szCs w:val="20"/>
              </w:rPr>
            </w:pPr>
            <w:r w:rsidRPr="00352B0E">
              <w:rPr>
                <w:sz w:val="20"/>
                <w:szCs w:val="20"/>
              </w:rPr>
              <w:t>1.21</w:t>
            </w:r>
            <w:r w:rsidRPr="00352B0E">
              <w:rPr>
                <w:sz w:val="20"/>
                <w:szCs w:val="20"/>
                <w:vertAlign w:val="superscript"/>
              </w:rPr>
              <w:t>b</w:t>
            </w:r>
            <w:r w:rsidRPr="00352B0E">
              <w:rPr>
                <w:sz w:val="20"/>
                <w:szCs w:val="20"/>
              </w:rPr>
              <w:t>±0.01</w:t>
            </w:r>
          </w:p>
        </w:tc>
        <w:tc>
          <w:tcPr>
            <w:tcW w:w="1288" w:type="dxa"/>
            <w:tcBorders>
              <w:top w:val="single" w:sz="4" w:space="0" w:color="auto"/>
              <w:left w:val="nil"/>
            </w:tcBorders>
          </w:tcPr>
          <w:p w14:paraId="4786ACDD" w14:textId="77777777" w:rsidR="000A1C9C" w:rsidRPr="00352B0E" w:rsidRDefault="000A1C9C" w:rsidP="00352B0E">
            <w:pPr>
              <w:pStyle w:val="NoSpacing"/>
              <w:rPr>
                <w:sz w:val="20"/>
                <w:szCs w:val="20"/>
              </w:rPr>
            </w:pPr>
            <w:r w:rsidRPr="00352B0E">
              <w:rPr>
                <w:sz w:val="20"/>
                <w:szCs w:val="20"/>
              </w:rPr>
              <w:t>1.11</w:t>
            </w:r>
            <w:r w:rsidRPr="00352B0E">
              <w:rPr>
                <w:sz w:val="20"/>
                <w:szCs w:val="20"/>
                <w:vertAlign w:val="superscript"/>
              </w:rPr>
              <w:t>c</w:t>
            </w:r>
            <w:r w:rsidRPr="00352B0E">
              <w:rPr>
                <w:sz w:val="20"/>
                <w:szCs w:val="20"/>
              </w:rPr>
              <w:t>±0.01</w:t>
            </w:r>
          </w:p>
        </w:tc>
      </w:tr>
      <w:tr w:rsidR="00C749F3" w:rsidRPr="00C749F3" w14:paraId="66500573" w14:textId="77777777" w:rsidTr="000A1C9C">
        <w:tc>
          <w:tcPr>
            <w:tcW w:w="1098" w:type="dxa"/>
            <w:tcBorders>
              <w:right w:val="nil"/>
            </w:tcBorders>
          </w:tcPr>
          <w:p w14:paraId="35A45470"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1</w:t>
            </w:r>
            <w:r w:rsidRPr="00352B0E">
              <w:rPr>
                <w:sz w:val="20"/>
                <w:szCs w:val="20"/>
              </w:rPr>
              <w:t xml:space="preserve"> (mg)</w:t>
            </w:r>
          </w:p>
        </w:tc>
        <w:tc>
          <w:tcPr>
            <w:tcW w:w="1548" w:type="dxa"/>
            <w:tcBorders>
              <w:left w:val="nil"/>
              <w:right w:val="nil"/>
            </w:tcBorders>
          </w:tcPr>
          <w:p w14:paraId="7C48222D" w14:textId="77777777" w:rsidR="000A1C9C" w:rsidRPr="00352B0E" w:rsidRDefault="000A1C9C" w:rsidP="00352B0E">
            <w:pPr>
              <w:pStyle w:val="NoSpacing"/>
              <w:rPr>
                <w:sz w:val="20"/>
                <w:szCs w:val="20"/>
              </w:rPr>
            </w:pPr>
            <w:r w:rsidRPr="00352B0E">
              <w:rPr>
                <w:sz w:val="20"/>
                <w:szCs w:val="20"/>
              </w:rPr>
              <w:t>1.00-3.00</w:t>
            </w:r>
          </w:p>
        </w:tc>
        <w:tc>
          <w:tcPr>
            <w:tcW w:w="1440" w:type="dxa"/>
            <w:tcBorders>
              <w:left w:val="nil"/>
              <w:right w:val="nil"/>
            </w:tcBorders>
          </w:tcPr>
          <w:p w14:paraId="76542236" w14:textId="77777777" w:rsidR="000A1C9C" w:rsidRPr="00352B0E" w:rsidRDefault="000A1C9C" w:rsidP="00352B0E">
            <w:pPr>
              <w:pStyle w:val="NoSpacing"/>
              <w:rPr>
                <w:sz w:val="20"/>
                <w:szCs w:val="20"/>
                <w:vertAlign w:val="superscript"/>
              </w:rPr>
            </w:pPr>
            <w:r w:rsidRPr="00352B0E">
              <w:rPr>
                <w:sz w:val="20"/>
                <w:szCs w:val="20"/>
              </w:rPr>
              <w:t>2.37</w:t>
            </w:r>
            <w:r w:rsidRPr="00352B0E">
              <w:rPr>
                <w:sz w:val="20"/>
                <w:szCs w:val="20"/>
                <w:vertAlign w:val="superscript"/>
              </w:rPr>
              <w:t>b</w:t>
            </w:r>
            <w:r w:rsidRPr="00352B0E">
              <w:rPr>
                <w:sz w:val="20"/>
                <w:szCs w:val="20"/>
              </w:rPr>
              <w:t>±0.01</w:t>
            </w:r>
          </w:p>
        </w:tc>
        <w:tc>
          <w:tcPr>
            <w:tcW w:w="1556" w:type="dxa"/>
            <w:tcBorders>
              <w:left w:val="nil"/>
              <w:right w:val="nil"/>
            </w:tcBorders>
          </w:tcPr>
          <w:p w14:paraId="14B17A37" w14:textId="77777777" w:rsidR="000A1C9C" w:rsidRPr="00352B0E" w:rsidRDefault="000A1C9C" w:rsidP="00352B0E">
            <w:pPr>
              <w:pStyle w:val="NoSpacing"/>
              <w:rPr>
                <w:sz w:val="20"/>
                <w:szCs w:val="20"/>
              </w:rPr>
            </w:pPr>
            <w:r w:rsidRPr="00352B0E">
              <w:rPr>
                <w:sz w:val="20"/>
                <w:szCs w:val="20"/>
              </w:rPr>
              <w:t>2.36</w:t>
            </w:r>
            <w:r w:rsidRPr="00352B0E">
              <w:rPr>
                <w:sz w:val="20"/>
                <w:szCs w:val="20"/>
                <w:vertAlign w:val="superscript"/>
              </w:rPr>
              <w:t>bc</w:t>
            </w:r>
            <w:r w:rsidRPr="00352B0E">
              <w:rPr>
                <w:sz w:val="20"/>
                <w:szCs w:val="20"/>
              </w:rPr>
              <w:t>±0.00</w:t>
            </w:r>
          </w:p>
        </w:tc>
        <w:tc>
          <w:tcPr>
            <w:tcW w:w="1414" w:type="dxa"/>
            <w:tcBorders>
              <w:left w:val="nil"/>
              <w:right w:val="nil"/>
            </w:tcBorders>
          </w:tcPr>
          <w:p w14:paraId="77AA488C" w14:textId="77777777" w:rsidR="000A1C9C" w:rsidRPr="00352B0E" w:rsidRDefault="000A1C9C" w:rsidP="00352B0E">
            <w:pPr>
              <w:pStyle w:val="NoSpacing"/>
              <w:rPr>
                <w:sz w:val="20"/>
                <w:szCs w:val="20"/>
              </w:rPr>
            </w:pPr>
            <w:r w:rsidRPr="00352B0E">
              <w:rPr>
                <w:sz w:val="20"/>
                <w:szCs w:val="20"/>
              </w:rPr>
              <w:t>2.38</w:t>
            </w:r>
            <w:r w:rsidRPr="00352B0E">
              <w:rPr>
                <w:sz w:val="20"/>
                <w:szCs w:val="20"/>
                <w:vertAlign w:val="superscript"/>
              </w:rPr>
              <w:t>ab</w:t>
            </w:r>
            <w:r w:rsidRPr="00352B0E">
              <w:rPr>
                <w:sz w:val="20"/>
                <w:szCs w:val="20"/>
              </w:rPr>
              <w:t>±0.01</w:t>
            </w:r>
          </w:p>
        </w:tc>
        <w:tc>
          <w:tcPr>
            <w:tcW w:w="1288" w:type="dxa"/>
            <w:tcBorders>
              <w:left w:val="nil"/>
            </w:tcBorders>
          </w:tcPr>
          <w:p w14:paraId="5AAE2861" w14:textId="77777777" w:rsidR="000A1C9C" w:rsidRPr="00352B0E" w:rsidRDefault="000A1C9C" w:rsidP="00352B0E">
            <w:pPr>
              <w:pStyle w:val="NoSpacing"/>
              <w:rPr>
                <w:sz w:val="20"/>
                <w:szCs w:val="20"/>
              </w:rPr>
            </w:pPr>
            <w:r w:rsidRPr="00352B0E">
              <w:rPr>
                <w:sz w:val="20"/>
                <w:szCs w:val="20"/>
              </w:rPr>
              <w:t>2.39</w:t>
            </w:r>
            <w:r w:rsidRPr="00352B0E">
              <w:rPr>
                <w:sz w:val="20"/>
                <w:szCs w:val="20"/>
                <w:vertAlign w:val="superscript"/>
              </w:rPr>
              <w:t>a</w:t>
            </w:r>
            <w:r w:rsidRPr="00352B0E">
              <w:rPr>
                <w:sz w:val="20"/>
                <w:szCs w:val="20"/>
              </w:rPr>
              <w:t>±0.01</w:t>
            </w:r>
          </w:p>
        </w:tc>
      </w:tr>
      <w:tr w:rsidR="00C749F3" w:rsidRPr="00C749F3" w14:paraId="49DDD0DF" w14:textId="77777777" w:rsidTr="000A1C9C">
        <w:tc>
          <w:tcPr>
            <w:tcW w:w="1098" w:type="dxa"/>
            <w:tcBorders>
              <w:right w:val="nil"/>
            </w:tcBorders>
          </w:tcPr>
          <w:p w14:paraId="26EE026B"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2</w:t>
            </w:r>
            <w:r w:rsidRPr="00352B0E">
              <w:rPr>
                <w:sz w:val="20"/>
                <w:szCs w:val="20"/>
              </w:rPr>
              <w:t xml:space="preserve"> (mg)</w:t>
            </w:r>
          </w:p>
        </w:tc>
        <w:tc>
          <w:tcPr>
            <w:tcW w:w="1548" w:type="dxa"/>
            <w:tcBorders>
              <w:left w:val="nil"/>
              <w:right w:val="nil"/>
            </w:tcBorders>
          </w:tcPr>
          <w:p w14:paraId="13DF7D18" w14:textId="77777777" w:rsidR="000A1C9C" w:rsidRPr="00352B0E" w:rsidRDefault="000A1C9C" w:rsidP="00352B0E">
            <w:pPr>
              <w:pStyle w:val="NoSpacing"/>
              <w:rPr>
                <w:sz w:val="20"/>
                <w:szCs w:val="20"/>
              </w:rPr>
            </w:pPr>
            <w:r w:rsidRPr="00352B0E">
              <w:rPr>
                <w:sz w:val="20"/>
                <w:szCs w:val="20"/>
              </w:rPr>
              <w:t>1.00-1.20</w:t>
            </w:r>
          </w:p>
        </w:tc>
        <w:tc>
          <w:tcPr>
            <w:tcW w:w="1440" w:type="dxa"/>
            <w:tcBorders>
              <w:left w:val="nil"/>
              <w:right w:val="nil"/>
            </w:tcBorders>
          </w:tcPr>
          <w:p w14:paraId="7FCEBA5C"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b</w:t>
            </w:r>
            <w:r w:rsidRPr="00352B0E">
              <w:rPr>
                <w:sz w:val="20"/>
                <w:szCs w:val="20"/>
              </w:rPr>
              <w:t>±0.01</w:t>
            </w:r>
          </w:p>
        </w:tc>
        <w:tc>
          <w:tcPr>
            <w:tcW w:w="1556" w:type="dxa"/>
            <w:tcBorders>
              <w:left w:val="nil"/>
              <w:right w:val="nil"/>
            </w:tcBorders>
          </w:tcPr>
          <w:p w14:paraId="38D067EA" w14:textId="77777777" w:rsidR="000A1C9C" w:rsidRPr="00352B0E" w:rsidRDefault="000A1C9C" w:rsidP="00352B0E">
            <w:pPr>
              <w:pStyle w:val="NoSpacing"/>
              <w:rPr>
                <w:sz w:val="20"/>
                <w:szCs w:val="20"/>
              </w:rPr>
            </w:pPr>
            <w:r w:rsidRPr="00352B0E">
              <w:rPr>
                <w:sz w:val="20"/>
                <w:szCs w:val="20"/>
              </w:rPr>
              <w:t>0.14</w:t>
            </w:r>
            <w:r w:rsidRPr="00352B0E">
              <w:rPr>
                <w:sz w:val="20"/>
                <w:szCs w:val="20"/>
                <w:vertAlign w:val="superscript"/>
              </w:rPr>
              <w:t>c</w:t>
            </w:r>
            <w:r w:rsidRPr="00352B0E">
              <w:rPr>
                <w:sz w:val="20"/>
                <w:szCs w:val="20"/>
              </w:rPr>
              <w:t>±0.01</w:t>
            </w:r>
          </w:p>
        </w:tc>
        <w:tc>
          <w:tcPr>
            <w:tcW w:w="1414" w:type="dxa"/>
            <w:tcBorders>
              <w:left w:val="nil"/>
              <w:right w:val="nil"/>
            </w:tcBorders>
          </w:tcPr>
          <w:p w14:paraId="2E2F45AA"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b</w:t>
            </w:r>
            <w:r w:rsidRPr="00352B0E">
              <w:rPr>
                <w:sz w:val="20"/>
                <w:szCs w:val="20"/>
              </w:rPr>
              <w:t>±0.01</w:t>
            </w:r>
          </w:p>
        </w:tc>
        <w:tc>
          <w:tcPr>
            <w:tcW w:w="1288" w:type="dxa"/>
            <w:tcBorders>
              <w:left w:val="nil"/>
            </w:tcBorders>
          </w:tcPr>
          <w:p w14:paraId="66905370" w14:textId="77777777" w:rsidR="000A1C9C" w:rsidRPr="00352B0E" w:rsidRDefault="000A1C9C" w:rsidP="00352B0E">
            <w:pPr>
              <w:pStyle w:val="NoSpacing"/>
              <w:rPr>
                <w:sz w:val="20"/>
                <w:szCs w:val="20"/>
              </w:rPr>
            </w:pPr>
            <w:r w:rsidRPr="00352B0E">
              <w:rPr>
                <w:sz w:val="20"/>
                <w:szCs w:val="20"/>
              </w:rPr>
              <w:t>0.19</w:t>
            </w:r>
            <w:r w:rsidRPr="00352B0E">
              <w:rPr>
                <w:sz w:val="20"/>
                <w:szCs w:val="20"/>
                <w:vertAlign w:val="superscript"/>
              </w:rPr>
              <w:t>a</w:t>
            </w:r>
            <w:r w:rsidRPr="00352B0E">
              <w:rPr>
                <w:sz w:val="20"/>
                <w:szCs w:val="20"/>
              </w:rPr>
              <w:t>±0.01</w:t>
            </w:r>
          </w:p>
        </w:tc>
      </w:tr>
      <w:tr w:rsidR="00C749F3" w:rsidRPr="00C749F3" w14:paraId="78D290F1" w14:textId="77777777" w:rsidTr="000A1C9C">
        <w:tc>
          <w:tcPr>
            <w:tcW w:w="1098" w:type="dxa"/>
            <w:tcBorders>
              <w:right w:val="nil"/>
            </w:tcBorders>
          </w:tcPr>
          <w:p w14:paraId="5DA2C50A"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3</w:t>
            </w:r>
            <w:r w:rsidRPr="00352B0E">
              <w:rPr>
                <w:sz w:val="20"/>
                <w:szCs w:val="20"/>
              </w:rPr>
              <w:t xml:space="preserve"> (mg)</w:t>
            </w:r>
          </w:p>
        </w:tc>
        <w:tc>
          <w:tcPr>
            <w:tcW w:w="1548" w:type="dxa"/>
            <w:tcBorders>
              <w:left w:val="nil"/>
              <w:right w:val="nil"/>
            </w:tcBorders>
          </w:tcPr>
          <w:p w14:paraId="486DFC28" w14:textId="77777777" w:rsidR="000A1C9C" w:rsidRPr="00352B0E" w:rsidRDefault="000A1C9C" w:rsidP="00352B0E">
            <w:pPr>
              <w:pStyle w:val="NoSpacing"/>
              <w:rPr>
                <w:sz w:val="20"/>
                <w:szCs w:val="20"/>
              </w:rPr>
            </w:pPr>
            <w:r w:rsidRPr="00352B0E">
              <w:rPr>
                <w:sz w:val="20"/>
                <w:szCs w:val="20"/>
              </w:rPr>
              <w:t>2.00-2.20</w:t>
            </w:r>
          </w:p>
        </w:tc>
        <w:tc>
          <w:tcPr>
            <w:tcW w:w="1440" w:type="dxa"/>
            <w:tcBorders>
              <w:left w:val="nil"/>
              <w:right w:val="nil"/>
            </w:tcBorders>
          </w:tcPr>
          <w:p w14:paraId="3E6F571C" w14:textId="77777777" w:rsidR="000A1C9C" w:rsidRPr="00352B0E" w:rsidRDefault="000A1C9C" w:rsidP="00352B0E">
            <w:pPr>
              <w:pStyle w:val="NoSpacing"/>
              <w:rPr>
                <w:sz w:val="20"/>
                <w:szCs w:val="20"/>
              </w:rPr>
            </w:pPr>
            <w:r w:rsidRPr="00352B0E">
              <w:rPr>
                <w:sz w:val="20"/>
                <w:szCs w:val="20"/>
              </w:rPr>
              <w:t>0.13</w:t>
            </w:r>
            <w:r w:rsidRPr="00352B0E">
              <w:rPr>
                <w:sz w:val="20"/>
                <w:szCs w:val="20"/>
                <w:vertAlign w:val="superscript"/>
              </w:rPr>
              <w:t>c</w:t>
            </w:r>
            <w:r w:rsidRPr="00352B0E">
              <w:rPr>
                <w:sz w:val="20"/>
                <w:szCs w:val="20"/>
              </w:rPr>
              <w:t>±0.01</w:t>
            </w:r>
          </w:p>
        </w:tc>
        <w:tc>
          <w:tcPr>
            <w:tcW w:w="1556" w:type="dxa"/>
            <w:tcBorders>
              <w:left w:val="nil"/>
              <w:right w:val="nil"/>
            </w:tcBorders>
          </w:tcPr>
          <w:p w14:paraId="506D9913" w14:textId="77777777" w:rsidR="000A1C9C" w:rsidRPr="00352B0E" w:rsidRDefault="000A1C9C" w:rsidP="00352B0E">
            <w:pPr>
              <w:pStyle w:val="NoSpacing"/>
              <w:rPr>
                <w:sz w:val="20"/>
                <w:szCs w:val="20"/>
              </w:rPr>
            </w:pPr>
            <w:r w:rsidRPr="00352B0E">
              <w:rPr>
                <w:sz w:val="20"/>
                <w:szCs w:val="20"/>
              </w:rPr>
              <w:t>0.11</w:t>
            </w:r>
            <w:r w:rsidRPr="00352B0E">
              <w:rPr>
                <w:sz w:val="20"/>
                <w:szCs w:val="20"/>
                <w:vertAlign w:val="superscript"/>
              </w:rPr>
              <w:t>d</w:t>
            </w:r>
            <w:r w:rsidRPr="00352B0E">
              <w:rPr>
                <w:sz w:val="20"/>
                <w:szCs w:val="20"/>
              </w:rPr>
              <w:t>±0.01</w:t>
            </w:r>
          </w:p>
        </w:tc>
        <w:tc>
          <w:tcPr>
            <w:tcW w:w="1414" w:type="dxa"/>
            <w:tcBorders>
              <w:left w:val="nil"/>
              <w:right w:val="nil"/>
            </w:tcBorders>
          </w:tcPr>
          <w:p w14:paraId="179647D2" w14:textId="77777777" w:rsidR="000A1C9C" w:rsidRPr="00352B0E" w:rsidRDefault="000A1C9C" w:rsidP="00352B0E">
            <w:pPr>
              <w:pStyle w:val="NoSpacing"/>
              <w:rPr>
                <w:sz w:val="20"/>
                <w:szCs w:val="20"/>
              </w:rPr>
            </w:pPr>
            <w:r w:rsidRPr="00352B0E">
              <w:rPr>
                <w:sz w:val="20"/>
                <w:szCs w:val="20"/>
              </w:rPr>
              <w:t>0.15</w:t>
            </w:r>
            <w:r w:rsidRPr="00352B0E">
              <w:rPr>
                <w:sz w:val="20"/>
                <w:szCs w:val="20"/>
                <w:vertAlign w:val="superscript"/>
              </w:rPr>
              <w:t>b</w:t>
            </w:r>
            <w:r w:rsidRPr="00352B0E">
              <w:rPr>
                <w:sz w:val="20"/>
                <w:szCs w:val="20"/>
              </w:rPr>
              <w:t>±0.01</w:t>
            </w:r>
          </w:p>
        </w:tc>
        <w:tc>
          <w:tcPr>
            <w:tcW w:w="1288" w:type="dxa"/>
            <w:tcBorders>
              <w:left w:val="nil"/>
            </w:tcBorders>
          </w:tcPr>
          <w:p w14:paraId="7B4DF590"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a</w:t>
            </w:r>
            <w:r w:rsidRPr="00352B0E">
              <w:rPr>
                <w:sz w:val="20"/>
                <w:szCs w:val="20"/>
              </w:rPr>
              <w:t>±0.01</w:t>
            </w:r>
          </w:p>
        </w:tc>
      </w:tr>
      <w:tr w:rsidR="00C749F3" w:rsidRPr="00C749F3" w14:paraId="012DBC25" w14:textId="77777777" w:rsidTr="000A1C9C">
        <w:tc>
          <w:tcPr>
            <w:tcW w:w="1098" w:type="dxa"/>
            <w:tcBorders>
              <w:right w:val="nil"/>
            </w:tcBorders>
          </w:tcPr>
          <w:p w14:paraId="410F62AA"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6</w:t>
            </w:r>
            <w:r w:rsidRPr="00352B0E">
              <w:rPr>
                <w:sz w:val="20"/>
                <w:szCs w:val="20"/>
              </w:rPr>
              <w:t xml:space="preserve"> (mg)</w:t>
            </w:r>
          </w:p>
        </w:tc>
        <w:tc>
          <w:tcPr>
            <w:tcW w:w="1548" w:type="dxa"/>
            <w:tcBorders>
              <w:left w:val="nil"/>
              <w:right w:val="nil"/>
            </w:tcBorders>
          </w:tcPr>
          <w:p w14:paraId="0648EA01" w14:textId="77777777" w:rsidR="000A1C9C" w:rsidRPr="00352B0E" w:rsidRDefault="000A1C9C" w:rsidP="00352B0E">
            <w:pPr>
              <w:pStyle w:val="NoSpacing"/>
              <w:rPr>
                <w:sz w:val="20"/>
                <w:szCs w:val="20"/>
              </w:rPr>
            </w:pPr>
            <w:r w:rsidRPr="00352B0E">
              <w:rPr>
                <w:sz w:val="20"/>
                <w:szCs w:val="20"/>
              </w:rPr>
              <w:t>1.00-3.00</w:t>
            </w:r>
          </w:p>
        </w:tc>
        <w:tc>
          <w:tcPr>
            <w:tcW w:w="1440" w:type="dxa"/>
            <w:tcBorders>
              <w:left w:val="nil"/>
              <w:right w:val="nil"/>
            </w:tcBorders>
          </w:tcPr>
          <w:p w14:paraId="3645DE76"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c</w:t>
            </w:r>
            <w:r w:rsidRPr="00352B0E">
              <w:rPr>
                <w:sz w:val="20"/>
                <w:szCs w:val="20"/>
              </w:rPr>
              <w:t>±0.02</w:t>
            </w:r>
          </w:p>
        </w:tc>
        <w:tc>
          <w:tcPr>
            <w:tcW w:w="1556" w:type="dxa"/>
            <w:tcBorders>
              <w:left w:val="nil"/>
              <w:right w:val="nil"/>
            </w:tcBorders>
          </w:tcPr>
          <w:p w14:paraId="31743441" w14:textId="77777777" w:rsidR="000A1C9C" w:rsidRPr="00352B0E" w:rsidRDefault="000A1C9C" w:rsidP="00352B0E">
            <w:pPr>
              <w:pStyle w:val="NoSpacing"/>
              <w:rPr>
                <w:sz w:val="20"/>
                <w:szCs w:val="20"/>
              </w:rPr>
            </w:pPr>
            <w:r w:rsidRPr="00352B0E">
              <w:rPr>
                <w:sz w:val="20"/>
                <w:szCs w:val="20"/>
              </w:rPr>
              <w:t>0.15</w:t>
            </w:r>
            <w:r w:rsidRPr="00352B0E">
              <w:rPr>
                <w:sz w:val="20"/>
                <w:szCs w:val="20"/>
                <w:vertAlign w:val="superscript"/>
              </w:rPr>
              <w:t>d</w:t>
            </w:r>
            <w:r w:rsidRPr="00352B0E">
              <w:rPr>
                <w:sz w:val="20"/>
                <w:szCs w:val="20"/>
              </w:rPr>
              <w:t>±0.01</w:t>
            </w:r>
          </w:p>
        </w:tc>
        <w:tc>
          <w:tcPr>
            <w:tcW w:w="1414" w:type="dxa"/>
            <w:tcBorders>
              <w:left w:val="nil"/>
              <w:right w:val="nil"/>
            </w:tcBorders>
          </w:tcPr>
          <w:p w14:paraId="52055DDB" w14:textId="77777777" w:rsidR="000A1C9C" w:rsidRPr="00352B0E" w:rsidRDefault="000A1C9C" w:rsidP="00352B0E">
            <w:pPr>
              <w:pStyle w:val="NoSpacing"/>
              <w:rPr>
                <w:sz w:val="20"/>
                <w:szCs w:val="20"/>
              </w:rPr>
            </w:pPr>
            <w:r w:rsidRPr="00352B0E">
              <w:rPr>
                <w:sz w:val="20"/>
                <w:szCs w:val="20"/>
              </w:rPr>
              <w:t>0.21</w:t>
            </w:r>
            <w:r w:rsidRPr="00352B0E">
              <w:rPr>
                <w:sz w:val="20"/>
                <w:szCs w:val="20"/>
                <w:vertAlign w:val="superscript"/>
              </w:rPr>
              <w:t>ab</w:t>
            </w:r>
            <w:r w:rsidRPr="00352B0E">
              <w:rPr>
                <w:sz w:val="20"/>
                <w:szCs w:val="20"/>
              </w:rPr>
              <w:t>±0.01</w:t>
            </w:r>
          </w:p>
        </w:tc>
        <w:tc>
          <w:tcPr>
            <w:tcW w:w="1288" w:type="dxa"/>
            <w:tcBorders>
              <w:left w:val="nil"/>
            </w:tcBorders>
          </w:tcPr>
          <w:p w14:paraId="32EE75E6" w14:textId="77777777" w:rsidR="000A1C9C" w:rsidRPr="00352B0E" w:rsidRDefault="000A1C9C" w:rsidP="00352B0E">
            <w:pPr>
              <w:pStyle w:val="NoSpacing"/>
              <w:rPr>
                <w:sz w:val="20"/>
                <w:szCs w:val="20"/>
              </w:rPr>
            </w:pPr>
            <w:r w:rsidRPr="00352B0E">
              <w:rPr>
                <w:sz w:val="20"/>
                <w:szCs w:val="20"/>
              </w:rPr>
              <w:t>0.22</w:t>
            </w:r>
            <w:r w:rsidRPr="00352B0E">
              <w:rPr>
                <w:sz w:val="20"/>
                <w:szCs w:val="20"/>
                <w:vertAlign w:val="superscript"/>
              </w:rPr>
              <w:t>a</w:t>
            </w:r>
            <w:r w:rsidRPr="00352B0E">
              <w:rPr>
                <w:sz w:val="20"/>
                <w:szCs w:val="20"/>
              </w:rPr>
              <w:t>±0.01</w:t>
            </w:r>
          </w:p>
        </w:tc>
      </w:tr>
      <w:tr w:rsidR="00C749F3" w:rsidRPr="00C749F3" w14:paraId="45571DE0" w14:textId="77777777" w:rsidTr="000A1C9C">
        <w:tc>
          <w:tcPr>
            <w:tcW w:w="1098" w:type="dxa"/>
            <w:tcBorders>
              <w:right w:val="nil"/>
            </w:tcBorders>
          </w:tcPr>
          <w:p w14:paraId="529784C6"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9</w:t>
            </w:r>
            <w:r w:rsidRPr="00352B0E">
              <w:rPr>
                <w:sz w:val="20"/>
                <w:szCs w:val="20"/>
              </w:rPr>
              <w:t xml:space="preserve"> (µg)</w:t>
            </w:r>
          </w:p>
        </w:tc>
        <w:tc>
          <w:tcPr>
            <w:tcW w:w="1548" w:type="dxa"/>
            <w:tcBorders>
              <w:left w:val="nil"/>
              <w:right w:val="nil"/>
            </w:tcBorders>
          </w:tcPr>
          <w:p w14:paraId="19CD75A7" w14:textId="77777777" w:rsidR="000A1C9C" w:rsidRPr="00352B0E" w:rsidRDefault="000A1C9C" w:rsidP="00352B0E">
            <w:pPr>
              <w:pStyle w:val="NoSpacing"/>
              <w:rPr>
                <w:sz w:val="20"/>
                <w:szCs w:val="20"/>
              </w:rPr>
            </w:pPr>
            <w:r w:rsidRPr="00352B0E">
              <w:rPr>
                <w:sz w:val="20"/>
                <w:szCs w:val="20"/>
              </w:rPr>
              <w:t>100.00-200.00</w:t>
            </w:r>
          </w:p>
        </w:tc>
        <w:tc>
          <w:tcPr>
            <w:tcW w:w="1440" w:type="dxa"/>
            <w:tcBorders>
              <w:left w:val="nil"/>
              <w:right w:val="nil"/>
            </w:tcBorders>
          </w:tcPr>
          <w:p w14:paraId="7A273ED0" w14:textId="77777777" w:rsidR="000A1C9C" w:rsidRPr="00352B0E" w:rsidRDefault="000A1C9C" w:rsidP="00352B0E">
            <w:pPr>
              <w:pStyle w:val="NoSpacing"/>
              <w:rPr>
                <w:sz w:val="20"/>
                <w:szCs w:val="20"/>
              </w:rPr>
            </w:pPr>
            <w:r w:rsidRPr="00352B0E">
              <w:rPr>
                <w:sz w:val="20"/>
                <w:szCs w:val="20"/>
              </w:rPr>
              <w:t>151.67</w:t>
            </w:r>
            <w:r w:rsidRPr="00352B0E">
              <w:rPr>
                <w:sz w:val="20"/>
                <w:szCs w:val="20"/>
                <w:vertAlign w:val="superscript"/>
              </w:rPr>
              <w:t>c</w:t>
            </w:r>
            <w:r w:rsidRPr="00352B0E">
              <w:rPr>
                <w:sz w:val="20"/>
                <w:szCs w:val="20"/>
              </w:rPr>
              <w:t>±2.89</w:t>
            </w:r>
          </w:p>
        </w:tc>
        <w:tc>
          <w:tcPr>
            <w:tcW w:w="1556" w:type="dxa"/>
            <w:tcBorders>
              <w:left w:val="nil"/>
              <w:right w:val="nil"/>
            </w:tcBorders>
          </w:tcPr>
          <w:p w14:paraId="4EA1A5C7" w14:textId="77777777" w:rsidR="000A1C9C" w:rsidRPr="00352B0E" w:rsidRDefault="000A1C9C" w:rsidP="00352B0E">
            <w:pPr>
              <w:pStyle w:val="NoSpacing"/>
              <w:rPr>
                <w:sz w:val="20"/>
                <w:szCs w:val="20"/>
              </w:rPr>
            </w:pPr>
            <w:r w:rsidRPr="00352B0E">
              <w:rPr>
                <w:sz w:val="20"/>
                <w:szCs w:val="20"/>
              </w:rPr>
              <w:t>186.67</w:t>
            </w:r>
            <w:r w:rsidRPr="00352B0E">
              <w:rPr>
                <w:sz w:val="20"/>
                <w:szCs w:val="20"/>
                <w:vertAlign w:val="superscript"/>
              </w:rPr>
              <w:t>b</w:t>
            </w:r>
            <w:r w:rsidRPr="00352B0E">
              <w:rPr>
                <w:sz w:val="20"/>
                <w:szCs w:val="20"/>
              </w:rPr>
              <w:t>±11.55</w:t>
            </w:r>
          </w:p>
        </w:tc>
        <w:tc>
          <w:tcPr>
            <w:tcW w:w="1414" w:type="dxa"/>
            <w:tcBorders>
              <w:left w:val="nil"/>
              <w:right w:val="nil"/>
            </w:tcBorders>
          </w:tcPr>
          <w:p w14:paraId="2A6192A5" w14:textId="77777777" w:rsidR="000A1C9C" w:rsidRPr="00352B0E" w:rsidRDefault="000A1C9C" w:rsidP="00352B0E">
            <w:pPr>
              <w:pStyle w:val="NoSpacing"/>
              <w:rPr>
                <w:sz w:val="20"/>
                <w:szCs w:val="20"/>
              </w:rPr>
            </w:pPr>
            <w:r w:rsidRPr="00352B0E">
              <w:rPr>
                <w:sz w:val="20"/>
                <w:szCs w:val="20"/>
              </w:rPr>
              <w:t>206.67</w:t>
            </w:r>
            <w:r w:rsidRPr="00352B0E">
              <w:rPr>
                <w:sz w:val="20"/>
                <w:szCs w:val="20"/>
                <w:vertAlign w:val="superscript"/>
              </w:rPr>
              <w:t>a</w:t>
            </w:r>
            <w:r w:rsidRPr="00352B0E">
              <w:rPr>
                <w:sz w:val="20"/>
                <w:szCs w:val="20"/>
              </w:rPr>
              <w:t>±5.77</w:t>
            </w:r>
          </w:p>
        </w:tc>
        <w:tc>
          <w:tcPr>
            <w:tcW w:w="1288" w:type="dxa"/>
            <w:tcBorders>
              <w:left w:val="nil"/>
            </w:tcBorders>
          </w:tcPr>
          <w:p w14:paraId="7C438520" w14:textId="77777777" w:rsidR="000A1C9C" w:rsidRPr="00352B0E" w:rsidRDefault="000A1C9C" w:rsidP="00352B0E">
            <w:pPr>
              <w:pStyle w:val="NoSpacing"/>
              <w:rPr>
                <w:sz w:val="20"/>
                <w:szCs w:val="20"/>
              </w:rPr>
            </w:pPr>
            <w:r w:rsidRPr="00352B0E">
              <w:rPr>
                <w:sz w:val="20"/>
                <w:szCs w:val="20"/>
              </w:rPr>
              <w:t>96.67</w:t>
            </w:r>
            <w:r w:rsidRPr="00352B0E">
              <w:rPr>
                <w:sz w:val="20"/>
                <w:szCs w:val="20"/>
                <w:vertAlign w:val="superscript"/>
              </w:rPr>
              <w:t>d</w:t>
            </w:r>
            <w:r w:rsidRPr="00352B0E">
              <w:rPr>
                <w:sz w:val="20"/>
                <w:szCs w:val="20"/>
              </w:rPr>
              <w:t>±5.77</w:t>
            </w:r>
          </w:p>
        </w:tc>
      </w:tr>
      <w:tr w:rsidR="00C749F3" w:rsidRPr="00C749F3" w14:paraId="5FEB2BDF" w14:textId="77777777" w:rsidTr="000A1C9C">
        <w:tc>
          <w:tcPr>
            <w:tcW w:w="1098" w:type="dxa"/>
            <w:tcBorders>
              <w:right w:val="nil"/>
            </w:tcBorders>
          </w:tcPr>
          <w:p w14:paraId="3A2200F4"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12</w:t>
            </w:r>
            <w:r w:rsidRPr="00352B0E">
              <w:rPr>
                <w:sz w:val="20"/>
                <w:szCs w:val="20"/>
              </w:rPr>
              <w:t xml:space="preserve"> (µg)</w:t>
            </w:r>
          </w:p>
        </w:tc>
        <w:tc>
          <w:tcPr>
            <w:tcW w:w="1548" w:type="dxa"/>
            <w:tcBorders>
              <w:left w:val="nil"/>
              <w:right w:val="nil"/>
            </w:tcBorders>
          </w:tcPr>
          <w:p w14:paraId="458B5DAB" w14:textId="77777777" w:rsidR="000A1C9C" w:rsidRPr="00352B0E" w:rsidRDefault="000A1C9C" w:rsidP="00352B0E">
            <w:pPr>
              <w:pStyle w:val="NoSpacing"/>
              <w:rPr>
                <w:sz w:val="20"/>
                <w:szCs w:val="20"/>
              </w:rPr>
            </w:pPr>
            <w:r w:rsidRPr="00352B0E">
              <w:rPr>
                <w:sz w:val="20"/>
                <w:szCs w:val="20"/>
              </w:rPr>
              <w:t>100.00-200.00</w:t>
            </w:r>
          </w:p>
        </w:tc>
        <w:tc>
          <w:tcPr>
            <w:tcW w:w="1440" w:type="dxa"/>
            <w:tcBorders>
              <w:left w:val="nil"/>
              <w:right w:val="nil"/>
            </w:tcBorders>
          </w:tcPr>
          <w:p w14:paraId="0E953879" w14:textId="77777777" w:rsidR="000A1C9C" w:rsidRPr="00352B0E" w:rsidRDefault="000A1C9C" w:rsidP="00352B0E">
            <w:pPr>
              <w:pStyle w:val="NoSpacing"/>
              <w:rPr>
                <w:sz w:val="20"/>
                <w:szCs w:val="20"/>
              </w:rPr>
            </w:pPr>
            <w:r w:rsidRPr="00352B0E">
              <w:rPr>
                <w:sz w:val="20"/>
                <w:szCs w:val="20"/>
              </w:rPr>
              <w:t>152.67</w:t>
            </w:r>
            <w:r w:rsidRPr="00352B0E">
              <w:rPr>
                <w:sz w:val="20"/>
                <w:szCs w:val="20"/>
                <w:vertAlign w:val="superscript"/>
              </w:rPr>
              <w:t>b</w:t>
            </w:r>
            <w:r w:rsidRPr="00352B0E">
              <w:rPr>
                <w:sz w:val="20"/>
                <w:szCs w:val="20"/>
              </w:rPr>
              <w:t>±1.15</w:t>
            </w:r>
          </w:p>
        </w:tc>
        <w:tc>
          <w:tcPr>
            <w:tcW w:w="1556" w:type="dxa"/>
            <w:tcBorders>
              <w:left w:val="nil"/>
              <w:right w:val="nil"/>
            </w:tcBorders>
          </w:tcPr>
          <w:p w14:paraId="0DA43B26" w14:textId="77777777" w:rsidR="000A1C9C" w:rsidRPr="00352B0E" w:rsidRDefault="000A1C9C" w:rsidP="00352B0E">
            <w:pPr>
              <w:pStyle w:val="NoSpacing"/>
              <w:rPr>
                <w:sz w:val="20"/>
                <w:szCs w:val="20"/>
              </w:rPr>
            </w:pPr>
            <w:r w:rsidRPr="00352B0E">
              <w:rPr>
                <w:sz w:val="20"/>
                <w:szCs w:val="20"/>
              </w:rPr>
              <w:t>125.33</w:t>
            </w:r>
            <w:r w:rsidRPr="00352B0E">
              <w:rPr>
                <w:sz w:val="20"/>
                <w:szCs w:val="20"/>
                <w:vertAlign w:val="superscript"/>
              </w:rPr>
              <w:t>c</w:t>
            </w:r>
            <w:r w:rsidRPr="00352B0E">
              <w:rPr>
                <w:sz w:val="20"/>
                <w:szCs w:val="20"/>
              </w:rPr>
              <w:t>±1.15</w:t>
            </w:r>
          </w:p>
        </w:tc>
        <w:tc>
          <w:tcPr>
            <w:tcW w:w="1414" w:type="dxa"/>
            <w:tcBorders>
              <w:left w:val="nil"/>
              <w:right w:val="nil"/>
            </w:tcBorders>
          </w:tcPr>
          <w:p w14:paraId="707DD554" w14:textId="77777777" w:rsidR="000A1C9C" w:rsidRPr="00352B0E" w:rsidRDefault="000A1C9C" w:rsidP="00352B0E">
            <w:pPr>
              <w:pStyle w:val="NoSpacing"/>
              <w:rPr>
                <w:sz w:val="20"/>
                <w:szCs w:val="20"/>
              </w:rPr>
            </w:pPr>
            <w:r w:rsidRPr="00352B0E">
              <w:rPr>
                <w:sz w:val="20"/>
                <w:szCs w:val="20"/>
              </w:rPr>
              <w:t>160.67</w:t>
            </w:r>
            <w:r w:rsidRPr="00352B0E">
              <w:rPr>
                <w:sz w:val="20"/>
                <w:szCs w:val="20"/>
                <w:vertAlign w:val="superscript"/>
              </w:rPr>
              <w:t>a</w:t>
            </w:r>
            <w:r w:rsidRPr="00352B0E">
              <w:rPr>
                <w:sz w:val="20"/>
                <w:szCs w:val="20"/>
              </w:rPr>
              <w:t>±1.15</w:t>
            </w:r>
          </w:p>
        </w:tc>
        <w:tc>
          <w:tcPr>
            <w:tcW w:w="1288" w:type="dxa"/>
            <w:tcBorders>
              <w:left w:val="nil"/>
            </w:tcBorders>
          </w:tcPr>
          <w:p w14:paraId="266DDE05" w14:textId="77777777" w:rsidR="000A1C9C" w:rsidRPr="00352B0E" w:rsidRDefault="000A1C9C" w:rsidP="00352B0E">
            <w:pPr>
              <w:pStyle w:val="NoSpacing"/>
              <w:rPr>
                <w:sz w:val="20"/>
                <w:szCs w:val="20"/>
              </w:rPr>
            </w:pPr>
            <w:r w:rsidRPr="00352B0E">
              <w:rPr>
                <w:sz w:val="20"/>
                <w:szCs w:val="20"/>
              </w:rPr>
              <w:t>81.67</w:t>
            </w:r>
            <w:r w:rsidRPr="00352B0E">
              <w:rPr>
                <w:sz w:val="20"/>
                <w:szCs w:val="20"/>
                <w:vertAlign w:val="superscript"/>
              </w:rPr>
              <w:t>d</w:t>
            </w:r>
            <w:r w:rsidRPr="00352B0E">
              <w:rPr>
                <w:sz w:val="20"/>
                <w:szCs w:val="20"/>
              </w:rPr>
              <w:t>±2.89</w:t>
            </w:r>
          </w:p>
        </w:tc>
      </w:tr>
      <w:tr w:rsidR="00C749F3" w:rsidRPr="00C749F3" w14:paraId="12FD5462" w14:textId="77777777" w:rsidTr="000A1C9C">
        <w:tc>
          <w:tcPr>
            <w:tcW w:w="1098" w:type="dxa"/>
            <w:tcBorders>
              <w:right w:val="nil"/>
            </w:tcBorders>
          </w:tcPr>
          <w:p w14:paraId="5BFF03D8" w14:textId="77777777" w:rsidR="000A1C9C" w:rsidRPr="00352B0E" w:rsidRDefault="000A1C9C" w:rsidP="00352B0E">
            <w:pPr>
              <w:pStyle w:val="NoSpacing"/>
              <w:rPr>
                <w:sz w:val="20"/>
                <w:szCs w:val="20"/>
              </w:rPr>
            </w:pPr>
            <w:r w:rsidRPr="00352B0E">
              <w:rPr>
                <w:sz w:val="20"/>
                <w:szCs w:val="20"/>
              </w:rPr>
              <w:t>C (mg)</w:t>
            </w:r>
          </w:p>
        </w:tc>
        <w:tc>
          <w:tcPr>
            <w:tcW w:w="1548" w:type="dxa"/>
            <w:tcBorders>
              <w:left w:val="nil"/>
              <w:right w:val="nil"/>
            </w:tcBorders>
          </w:tcPr>
          <w:p w14:paraId="61435CA5" w14:textId="77777777" w:rsidR="000A1C9C" w:rsidRPr="00352B0E" w:rsidRDefault="000A1C9C" w:rsidP="00352B0E">
            <w:pPr>
              <w:pStyle w:val="NoSpacing"/>
              <w:rPr>
                <w:sz w:val="20"/>
                <w:szCs w:val="20"/>
              </w:rPr>
            </w:pPr>
            <w:r w:rsidRPr="00352B0E">
              <w:rPr>
                <w:sz w:val="20"/>
                <w:szCs w:val="20"/>
              </w:rPr>
              <w:t>50.00</w:t>
            </w:r>
            <w:r w:rsidRPr="00352B0E">
              <w:rPr>
                <w:rFonts w:ascii="Cambria Math" w:hAnsi="Cambria Math" w:cs="Cambria Math"/>
                <w:sz w:val="20"/>
                <w:szCs w:val="20"/>
              </w:rPr>
              <w:t>‐</w:t>
            </w:r>
            <w:r w:rsidRPr="00352B0E">
              <w:rPr>
                <w:sz w:val="20"/>
                <w:szCs w:val="20"/>
              </w:rPr>
              <w:t>200.00</w:t>
            </w:r>
          </w:p>
        </w:tc>
        <w:tc>
          <w:tcPr>
            <w:tcW w:w="1440" w:type="dxa"/>
            <w:tcBorders>
              <w:left w:val="nil"/>
              <w:right w:val="nil"/>
            </w:tcBorders>
          </w:tcPr>
          <w:p w14:paraId="70460459" w14:textId="77777777" w:rsidR="000A1C9C" w:rsidRPr="00352B0E" w:rsidRDefault="000A1C9C" w:rsidP="00352B0E">
            <w:pPr>
              <w:pStyle w:val="NoSpacing"/>
              <w:rPr>
                <w:sz w:val="20"/>
                <w:szCs w:val="20"/>
              </w:rPr>
            </w:pPr>
            <w:r w:rsidRPr="00352B0E">
              <w:rPr>
                <w:sz w:val="20"/>
                <w:szCs w:val="20"/>
              </w:rPr>
              <w:t>70.07</w:t>
            </w:r>
            <w:r w:rsidRPr="00352B0E">
              <w:rPr>
                <w:sz w:val="20"/>
                <w:szCs w:val="20"/>
                <w:vertAlign w:val="superscript"/>
              </w:rPr>
              <w:t>c</w:t>
            </w:r>
            <w:r w:rsidRPr="00352B0E">
              <w:rPr>
                <w:sz w:val="20"/>
                <w:szCs w:val="20"/>
              </w:rPr>
              <w:t>±0.02</w:t>
            </w:r>
          </w:p>
        </w:tc>
        <w:tc>
          <w:tcPr>
            <w:tcW w:w="1556" w:type="dxa"/>
            <w:tcBorders>
              <w:left w:val="nil"/>
              <w:right w:val="nil"/>
            </w:tcBorders>
          </w:tcPr>
          <w:p w14:paraId="4921C570" w14:textId="77777777" w:rsidR="000A1C9C" w:rsidRPr="00352B0E" w:rsidRDefault="000A1C9C" w:rsidP="00352B0E">
            <w:pPr>
              <w:pStyle w:val="NoSpacing"/>
              <w:rPr>
                <w:sz w:val="20"/>
                <w:szCs w:val="20"/>
              </w:rPr>
            </w:pPr>
            <w:r w:rsidRPr="00352B0E">
              <w:rPr>
                <w:sz w:val="20"/>
                <w:szCs w:val="20"/>
              </w:rPr>
              <w:t>50.97</w:t>
            </w:r>
            <w:r w:rsidRPr="00352B0E">
              <w:rPr>
                <w:sz w:val="20"/>
                <w:szCs w:val="20"/>
                <w:vertAlign w:val="superscript"/>
              </w:rPr>
              <w:t>d</w:t>
            </w:r>
            <w:r w:rsidRPr="00352B0E">
              <w:rPr>
                <w:sz w:val="20"/>
                <w:szCs w:val="20"/>
              </w:rPr>
              <w:t>±1.09</w:t>
            </w:r>
          </w:p>
        </w:tc>
        <w:tc>
          <w:tcPr>
            <w:tcW w:w="1414" w:type="dxa"/>
            <w:tcBorders>
              <w:left w:val="nil"/>
              <w:right w:val="nil"/>
            </w:tcBorders>
          </w:tcPr>
          <w:p w14:paraId="2FA04450" w14:textId="77777777" w:rsidR="000A1C9C" w:rsidRPr="00352B0E" w:rsidRDefault="000A1C9C" w:rsidP="00352B0E">
            <w:pPr>
              <w:pStyle w:val="NoSpacing"/>
              <w:rPr>
                <w:sz w:val="20"/>
                <w:szCs w:val="20"/>
              </w:rPr>
            </w:pPr>
            <w:r w:rsidRPr="00352B0E">
              <w:rPr>
                <w:sz w:val="20"/>
                <w:szCs w:val="20"/>
              </w:rPr>
              <w:t>70.54</w:t>
            </w:r>
            <w:r w:rsidRPr="00352B0E">
              <w:rPr>
                <w:sz w:val="20"/>
                <w:szCs w:val="20"/>
                <w:vertAlign w:val="superscript"/>
              </w:rPr>
              <w:t>b</w:t>
            </w:r>
            <w:r w:rsidRPr="00352B0E">
              <w:rPr>
                <w:sz w:val="20"/>
                <w:szCs w:val="20"/>
              </w:rPr>
              <w:t>±0.59</w:t>
            </w:r>
          </w:p>
        </w:tc>
        <w:tc>
          <w:tcPr>
            <w:tcW w:w="1288" w:type="dxa"/>
            <w:tcBorders>
              <w:left w:val="nil"/>
            </w:tcBorders>
          </w:tcPr>
          <w:p w14:paraId="326976BF" w14:textId="77777777" w:rsidR="000A1C9C" w:rsidRPr="00352B0E" w:rsidRDefault="000A1C9C" w:rsidP="00352B0E">
            <w:pPr>
              <w:pStyle w:val="NoSpacing"/>
              <w:rPr>
                <w:sz w:val="20"/>
                <w:szCs w:val="20"/>
              </w:rPr>
            </w:pPr>
            <w:r w:rsidRPr="00352B0E">
              <w:rPr>
                <w:sz w:val="20"/>
                <w:szCs w:val="20"/>
              </w:rPr>
              <w:t>72.13</w:t>
            </w:r>
            <w:r w:rsidRPr="00352B0E">
              <w:rPr>
                <w:sz w:val="20"/>
                <w:szCs w:val="20"/>
                <w:vertAlign w:val="superscript"/>
              </w:rPr>
              <w:t>a</w:t>
            </w:r>
            <w:r w:rsidRPr="00352B0E">
              <w:rPr>
                <w:sz w:val="20"/>
                <w:szCs w:val="20"/>
              </w:rPr>
              <w:t>±0.23</w:t>
            </w:r>
          </w:p>
        </w:tc>
      </w:tr>
      <w:tr w:rsidR="00C749F3" w:rsidRPr="00C749F3" w14:paraId="594F9016" w14:textId="77777777" w:rsidTr="000A1C9C">
        <w:tc>
          <w:tcPr>
            <w:tcW w:w="1098" w:type="dxa"/>
            <w:tcBorders>
              <w:right w:val="nil"/>
            </w:tcBorders>
          </w:tcPr>
          <w:p w14:paraId="1B9AE2A9" w14:textId="77777777" w:rsidR="000A1C9C" w:rsidRPr="00352B0E" w:rsidRDefault="000A1C9C" w:rsidP="00352B0E">
            <w:pPr>
              <w:pStyle w:val="NoSpacing"/>
              <w:rPr>
                <w:sz w:val="20"/>
                <w:szCs w:val="20"/>
              </w:rPr>
            </w:pPr>
            <w:r w:rsidRPr="00352B0E">
              <w:rPr>
                <w:sz w:val="20"/>
                <w:szCs w:val="20"/>
              </w:rPr>
              <w:t>D (µg)</w:t>
            </w:r>
          </w:p>
        </w:tc>
        <w:tc>
          <w:tcPr>
            <w:tcW w:w="1548" w:type="dxa"/>
            <w:tcBorders>
              <w:left w:val="nil"/>
              <w:right w:val="nil"/>
            </w:tcBorders>
          </w:tcPr>
          <w:p w14:paraId="1FF62392" w14:textId="77777777" w:rsidR="000A1C9C" w:rsidRPr="00352B0E" w:rsidRDefault="000A1C9C" w:rsidP="00352B0E">
            <w:pPr>
              <w:pStyle w:val="NoSpacing"/>
              <w:rPr>
                <w:sz w:val="20"/>
                <w:szCs w:val="20"/>
              </w:rPr>
            </w:pPr>
            <w:r w:rsidRPr="00352B0E">
              <w:rPr>
                <w:sz w:val="20"/>
                <w:szCs w:val="20"/>
              </w:rPr>
              <w:t>8.00-10.00</w:t>
            </w:r>
          </w:p>
        </w:tc>
        <w:tc>
          <w:tcPr>
            <w:tcW w:w="1440" w:type="dxa"/>
            <w:tcBorders>
              <w:left w:val="nil"/>
              <w:right w:val="nil"/>
            </w:tcBorders>
          </w:tcPr>
          <w:p w14:paraId="40BF5807" w14:textId="77777777" w:rsidR="000A1C9C" w:rsidRPr="00352B0E" w:rsidRDefault="000A1C9C" w:rsidP="00352B0E">
            <w:pPr>
              <w:pStyle w:val="NoSpacing"/>
              <w:rPr>
                <w:sz w:val="20"/>
                <w:szCs w:val="20"/>
              </w:rPr>
            </w:pPr>
            <w:r w:rsidRPr="00352B0E">
              <w:rPr>
                <w:sz w:val="20"/>
                <w:szCs w:val="20"/>
              </w:rPr>
              <w:t>0.16</w:t>
            </w:r>
            <w:r w:rsidRPr="00352B0E">
              <w:rPr>
                <w:sz w:val="20"/>
                <w:szCs w:val="20"/>
                <w:vertAlign w:val="superscript"/>
              </w:rPr>
              <w:t>c</w:t>
            </w:r>
            <w:r w:rsidRPr="00352B0E">
              <w:rPr>
                <w:sz w:val="20"/>
                <w:szCs w:val="20"/>
              </w:rPr>
              <w:t>±0.01</w:t>
            </w:r>
          </w:p>
        </w:tc>
        <w:tc>
          <w:tcPr>
            <w:tcW w:w="1556" w:type="dxa"/>
            <w:tcBorders>
              <w:left w:val="nil"/>
              <w:right w:val="nil"/>
            </w:tcBorders>
          </w:tcPr>
          <w:p w14:paraId="07A0E308" w14:textId="77777777" w:rsidR="000A1C9C" w:rsidRPr="00352B0E" w:rsidRDefault="000A1C9C" w:rsidP="00352B0E">
            <w:pPr>
              <w:pStyle w:val="NoSpacing"/>
              <w:rPr>
                <w:sz w:val="20"/>
                <w:szCs w:val="20"/>
              </w:rPr>
            </w:pPr>
            <w:r w:rsidRPr="00352B0E">
              <w:rPr>
                <w:sz w:val="20"/>
                <w:szCs w:val="20"/>
              </w:rPr>
              <w:t>0.13</w:t>
            </w:r>
            <w:r w:rsidRPr="00352B0E">
              <w:rPr>
                <w:sz w:val="20"/>
                <w:szCs w:val="20"/>
                <w:vertAlign w:val="superscript"/>
              </w:rPr>
              <w:t>d</w:t>
            </w:r>
            <w:r w:rsidRPr="00352B0E">
              <w:rPr>
                <w:sz w:val="20"/>
                <w:szCs w:val="20"/>
              </w:rPr>
              <w:t>±0.02</w:t>
            </w:r>
          </w:p>
        </w:tc>
        <w:tc>
          <w:tcPr>
            <w:tcW w:w="1414" w:type="dxa"/>
            <w:tcBorders>
              <w:left w:val="nil"/>
              <w:right w:val="nil"/>
            </w:tcBorders>
          </w:tcPr>
          <w:p w14:paraId="42325F41"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b</w:t>
            </w:r>
            <w:r w:rsidRPr="00352B0E">
              <w:rPr>
                <w:sz w:val="20"/>
                <w:szCs w:val="20"/>
              </w:rPr>
              <w:t>±0.01</w:t>
            </w:r>
          </w:p>
        </w:tc>
        <w:tc>
          <w:tcPr>
            <w:tcW w:w="1288" w:type="dxa"/>
            <w:tcBorders>
              <w:left w:val="nil"/>
            </w:tcBorders>
          </w:tcPr>
          <w:p w14:paraId="217D270B" w14:textId="77777777" w:rsidR="000A1C9C" w:rsidRPr="00352B0E" w:rsidRDefault="000A1C9C" w:rsidP="00352B0E">
            <w:pPr>
              <w:pStyle w:val="NoSpacing"/>
              <w:rPr>
                <w:sz w:val="20"/>
                <w:szCs w:val="20"/>
              </w:rPr>
            </w:pPr>
            <w:r w:rsidRPr="00352B0E">
              <w:rPr>
                <w:sz w:val="20"/>
                <w:szCs w:val="20"/>
              </w:rPr>
              <w:t>0.21</w:t>
            </w:r>
            <w:r w:rsidRPr="00352B0E">
              <w:rPr>
                <w:sz w:val="20"/>
                <w:szCs w:val="20"/>
                <w:vertAlign w:val="superscript"/>
              </w:rPr>
              <w:t>a</w:t>
            </w:r>
            <w:r w:rsidRPr="00352B0E">
              <w:rPr>
                <w:sz w:val="20"/>
                <w:szCs w:val="20"/>
              </w:rPr>
              <w:t>±0.01</w:t>
            </w:r>
          </w:p>
        </w:tc>
      </w:tr>
      <w:tr w:rsidR="00C749F3" w:rsidRPr="00C749F3" w14:paraId="4755156A" w14:textId="77777777" w:rsidTr="000A1C9C">
        <w:tc>
          <w:tcPr>
            <w:tcW w:w="1098" w:type="dxa"/>
            <w:tcBorders>
              <w:right w:val="nil"/>
            </w:tcBorders>
          </w:tcPr>
          <w:p w14:paraId="5C577395" w14:textId="77777777" w:rsidR="000A1C9C" w:rsidRPr="00352B0E" w:rsidRDefault="000A1C9C" w:rsidP="00352B0E">
            <w:pPr>
              <w:pStyle w:val="NoSpacing"/>
              <w:rPr>
                <w:sz w:val="20"/>
                <w:szCs w:val="20"/>
              </w:rPr>
            </w:pPr>
            <w:r w:rsidRPr="00352B0E">
              <w:rPr>
                <w:sz w:val="20"/>
                <w:szCs w:val="20"/>
              </w:rPr>
              <w:t>E (µg)</w:t>
            </w:r>
          </w:p>
        </w:tc>
        <w:tc>
          <w:tcPr>
            <w:tcW w:w="1548" w:type="dxa"/>
            <w:tcBorders>
              <w:left w:val="nil"/>
              <w:right w:val="nil"/>
            </w:tcBorders>
          </w:tcPr>
          <w:p w14:paraId="21FA01EF" w14:textId="77777777" w:rsidR="000A1C9C" w:rsidRPr="00352B0E" w:rsidRDefault="000A1C9C" w:rsidP="00352B0E">
            <w:pPr>
              <w:pStyle w:val="NoSpacing"/>
              <w:rPr>
                <w:sz w:val="20"/>
                <w:szCs w:val="20"/>
              </w:rPr>
            </w:pPr>
            <w:r w:rsidRPr="00352B0E">
              <w:rPr>
                <w:sz w:val="20"/>
                <w:szCs w:val="20"/>
              </w:rPr>
              <w:t>0.70-1.40</w:t>
            </w:r>
          </w:p>
        </w:tc>
        <w:tc>
          <w:tcPr>
            <w:tcW w:w="1440" w:type="dxa"/>
            <w:tcBorders>
              <w:left w:val="nil"/>
              <w:right w:val="nil"/>
            </w:tcBorders>
          </w:tcPr>
          <w:p w14:paraId="0F28E965" w14:textId="77777777" w:rsidR="000A1C9C" w:rsidRPr="00352B0E" w:rsidRDefault="000A1C9C" w:rsidP="00352B0E">
            <w:pPr>
              <w:pStyle w:val="NoSpacing"/>
              <w:rPr>
                <w:sz w:val="20"/>
                <w:szCs w:val="20"/>
              </w:rPr>
            </w:pPr>
            <w:r w:rsidRPr="00352B0E">
              <w:rPr>
                <w:sz w:val="20"/>
                <w:szCs w:val="20"/>
              </w:rPr>
              <w:t>1.57</w:t>
            </w:r>
            <w:r w:rsidRPr="00352B0E">
              <w:rPr>
                <w:sz w:val="20"/>
                <w:szCs w:val="20"/>
                <w:vertAlign w:val="superscript"/>
              </w:rPr>
              <w:t>c</w:t>
            </w:r>
            <w:r w:rsidRPr="00352B0E">
              <w:rPr>
                <w:sz w:val="20"/>
                <w:szCs w:val="20"/>
              </w:rPr>
              <w:t>±0.01</w:t>
            </w:r>
          </w:p>
        </w:tc>
        <w:tc>
          <w:tcPr>
            <w:tcW w:w="1556" w:type="dxa"/>
            <w:tcBorders>
              <w:left w:val="nil"/>
              <w:right w:val="nil"/>
            </w:tcBorders>
          </w:tcPr>
          <w:p w14:paraId="2F8E8AAE" w14:textId="77777777" w:rsidR="000A1C9C" w:rsidRPr="00352B0E" w:rsidRDefault="000A1C9C" w:rsidP="00352B0E">
            <w:pPr>
              <w:pStyle w:val="NoSpacing"/>
              <w:rPr>
                <w:sz w:val="20"/>
                <w:szCs w:val="20"/>
              </w:rPr>
            </w:pPr>
            <w:r w:rsidRPr="00352B0E">
              <w:rPr>
                <w:sz w:val="20"/>
                <w:szCs w:val="20"/>
              </w:rPr>
              <w:t>0.92</w:t>
            </w:r>
            <w:r w:rsidRPr="00352B0E">
              <w:rPr>
                <w:sz w:val="20"/>
                <w:szCs w:val="20"/>
                <w:vertAlign w:val="superscript"/>
              </w:rPr>
              <w:t>d</w:t>
            </w:r>
            <w:r w:rsidRPr="00352B0E">
              <w:rPr>
                <w:sz w:val="20"/>
                <w:szCs w:val="20"/>
              </w:rPr>
              <w:t>±0.02</w:t>
            </w:r>
          </w:p>
        </w:tc>
        <w:tc>
          <w:tcPr>
            <w:tcW w:w="1414" w:type="dxa"/>
            <w:tcBorders>
              <w:left w:val="nil"/>
              <w:right w:val="nil"/>
            </w:tcBorders>
          </w:tcPr>
          <w:p w14:paraId="0A6AF787" w14:textId="77777777" w:rsidR="000A1C9C" w:rsidRPr="00352B0E" w:rsidRDefault="000A1C9C" w:rsidP="00352B0E">
            <w:pPr>
              <w:pStyle w:val="NoSpacing"/>
              <w:rPr>
                <w:sz w:val="20"/>
                <w:szCs w:val="20"/>
              </w:rPr>
            </w:pPr>
            <w:r w:rsidRPr="00352B0E">
              <w:rPr>
                <w:sz w:val="20"/>
                <w:szCs w:val="20"/>
              </w:rPr>
              <w:t>1.76</w:t>
            </w:r>
            <w:r w:rsidRPr="00352B0E">
              <w:rPr>
                <w:sz w:val="20"/>
                <w:szCs w:val="20"/>
                <w:vertAlign w:val="superscript"/>
              </w:rPr>
              <w:t>b</w:t>
            </w:r>
            <w:r w:rsidRPr="00352B0E">
              <w:rPr>
                <w:sz w:val="20"/>
                <w:szCs w:val="20"/>
              </w:rPr>
              <w:t>±0.01</w:t>
            </w:r>
          </w:p>
        </w:tc>
        <w:tc>
          <w:tcPr>
            <w:tcW w:w="1288" w:type="dxa"/>
            <w:tcBorders>
              <w:left w:val="nil"/>
            </w:tcBorders>
          </w:tcPr>
          <w:p w14:paraId="44A6A001" w14:textId="77777777" w:rsidR="000A1C9C" w:rsidRPr="00352B0E" w:rsidRDefault="000A1C9C" w:rsidP="00352B0E">
            <w:pPr>
              <w:pStyle w:val="NoSpacing"/>
              <w:rPr>
                <w:sz w:val="20"/>
                <w:szCs w:val="20"/>
              </w:rPr>
            </w:pPr>
            <w:r w:rsidRPr="00352B0E">
              <w:rPr>
                <w:sz w:val="20"/>
                <w:szCs w:val="20"/>
              </w:rPr>
              <w:t>1.92</w:t>
            </w:r>
            <w:r w:rsidRPr="00352B0E">
              <w:rPr>
                <w:sz w:val="20"/>
                <w:szCs w:val="20"/>
                <w:vertAlign w:val="superscript"/>
              </w:rPr>
              <w:t>a</w:t>
            </w:r>
            <w:r w:rsidRPr="00352B0E">
              <w:rPr>
                <w:sz w:val="20"/>
                <w:szCs w:val="20"/>
              </w:rPr>
              <w:t>±0.03</w:t>
            </w:r>
          </w:p>
        </w:tc>
      </w:tr>
      <w:tr w:rsidR="00C749F3" w:rsidRPr="00C749F3" w14:paraId="2E0A98BF" w14:textId="77777777" w:rsidTr="000A1C9C">
        <w:tc>
          <w:tcPr>
            <w:tcW w:w="1098" w:type="dxa"/>
            <w:tcBorders>
              <w:bottom w:val="single" w:sz="4" w:space="0" w:color="auto"/>
              <w:right w:val="nil"/>
            </w:tcBorders>
          </w:tcPr>
          <w:p w14:paraId="26234F30" w14:textId="77777777" w:rsidR="000A1C9C" w:rsidRPr="00352B0E" w:rsidRDefault="000A1C9C" w:rsidP="00352B0E">
            <w:pPr>
              <w:pStyle w:val="NoSpacing"/>
              <w:rPr>
                <w:sz w:val="20"/>
                <w:szCs w:val="20"/>
              </w:rPr>
            </w:pPr>
            <w:r w:rsidRPr="00352B0E">
              <w:rPr>
                <w:sz w:val="20"/>
                <w:szCs w:val="20"/>
              </w:rPr>
              <w:t>K (µg)</w:t>
            </w:r>
          </w:p>
        </w:tc>
        <w:tc>
          <w:tcPr>
            <w:tcW w:w="1548" w:type="dxa"/>
            <w:tcBorders>
              <w:left w:val="nil"/>
              <w:bottom w:val="single" w:sz="4" w:space="0" w:color="auto"/>
              <w:right w:val="nil"/>
            </w:tcBorders>
          </w:tcPr>
          <w:p w14:paraId="33A1A973" w14:textId="77777777" w:rsidR="000A1C9C" w:rsidRPr="00352B0E" w:rsidRDefault="000A1C9C" w:rsidP="00352B0E">
            <w:pPr>
              <w:pStyle w:val="NoSpacing"/>
              <w:rPr>
                <w:sz w:val="20"/>
                <w:szCs w:val="20"/>
              </w:rPr>
            </w:pPr>
            <w:r w:rsidRPr="00352B0E">
              <w:rPr>
                <w:sz w:val="20"/>
                <w:szCs w:val="20"/>
              </w:rPr>
              <w:t>0.80</w:t>
            </w:r>
            <w:r w:rsidRPr="00352B0E">
              <w:rPr>
                <w:rFonts w:ascii="Cambria Math" w:hAnsi="Cambria Math" w:cs="Cambria Math"/>
                <w:sz w:val="20"/>
                <w:szCs w:val="20"/>
              </w:rPr>
              <w:t>‐</w:t>
            </w:r>
            <w:r w:rsidRPr="00352B0E">
              <w:rPr>
                <w:sz w:val="20"/>
                <w:szCs w:val="20"/>
              </w:rPr>
              <w:t>0.10</w:t>
            </w:r>
          </w:p>
        </w:tc>
        <w:tc>
          <w:tcPr>
            <w:tcW w:w="1440" w:type="dxa"/>
            <w:tcBorders>
              <w:left w:val="nil"/>
              <w:bottom w:val="single" w:sz="4" w:space="0" w:color="auto"/>
              <w:right w:val="nil"/>
            </w:tcBorders>
          </w:tcPr>
          <w:p w14:paraId="5BEE5F6B" w14:textId="77777777" w:rsidR="000A1C9C" w:rsidRPr="00352B0E" w:rsidRDefault="000A1C9C" w:rsidP="00352B0E">
            <w:pPr>
              <w:pStyle w:val="NoSpacing"/>
              <w:rPr>
                <w:sz w:val="20"/>
                <w:szCs w:val="20"/>
              </w:rPr>
            </w:pPr>
            <w:r w:rsidRPr="00352B0E">
              <w:rPr>
                <w:sz w:val="20"/>
                <w:szCs w:val="20"/>
              </w:rPr>
              <w:t>0.05</w:t>
            </w:r>
            <w:r w:rsidRPr="00352B0E">
              <w:rPr>
                <w:sz w:val="20"/>
                <w:szCs w:val="20"/>
                <w:vertAlign w:val="superscript"/>
              </w:rPr>
              <w:t>b</w:t>
            </w:r>
            <w:r w:rsidRPr="00352B0E">
              <w:rPr>
                <w:sz w:val="20"/>
                <w:szCs w:val="20"/>
              </w:rPr>
              <w:t>±0.01</w:t>
            </w:r>
          </w:p>
        </w:tc>
        <w:tc>
          <w:tcPr>
            <w:tcW w:w="1556" w:type="dxa"/>
            <w:tcBorders>
              <w:left w:val="nil"/>
              <w:bottom w:val="single" w:sz="4" w:space="0" w:color="auto"/>
              <w:right w:val="nil"/>
            </w:tcBorders>
          </w:tcPr>
          <w:p w14:paraId="62CF6004" w14:textId="77777777" w:rsidR="000A1C9C" w:rsidRPr="00352B0E" w:rsidRDefault="000A1C9C" w:rsidP="00352B0E">
            <w:pPr>
              <w:pStyle w:val="NoSpacing"/>
              <w:rPr>
                <w:sz w:val="20"/>
                <w:szCs w:val="20"/>
              </w:rPr>
            </w:pPr>
            <w:r w:rsidRPr="00352B0E">
              <w:rPr>
                <w:sz w:val="20"/>
                <w:szCs w:val="20"/>
              </w:rPr>
              <w:t>0.04</w:t>
            </w:r>
            <w:r w:rsidRPr="00352B0E">
              <w:rPr>
                <w:sz w:val="20"/>
                <w:szCs w:val="20"/>
                <w:vertAlign w:val="superscript"/>
              </w:rPr>
              <w:t>bc</w:t>
            </w:r>
            <w:r w:rsidRPr="00352B0E">
              <w:rPr>
                <w:sz w:val="20"/>
                <w:szCs w:val="20"/>
              </w:rPr>
              <w:t>±0.01</w:t>
            </w:r>
          </w:p>
        </w:tc>
        <w:tc>
          <w:tcPr>
            <w:tcW w:w="1414" w:type="dxa"/>
            <w:tcBorders>
              <w:left w:val="nil"/>
              <w:bottom w:val="single" w:sz="4" w:space="0" w:color="auto"/>
              <w:right w:val="nil"/>
            </w:tcBorders>
          </w:tcPr>
          <w:p w14:paraId="48A3529E" w14:textId="77777777" w:rsidR="000A1C9C" w:rsidRPr="00352B0E" w:rsidRDefault="000A1C9C" w:rsidP="00352B0E">
            <w:pPr>
              <w:pStyle w:val="NoSpacing"/>
              <w:rPr>
                <w:sz w:val="20"/>
                <w:szCs w:val="20"/>
              </w:rPr>
            </w:pPr>
            <w:r w:rsidRPr="00352B0E">
              <w:rPr>
                <w:sz w:val="20"/>
                <w:szCs w:val="20"/>
              </w:rPr>
              <w:t>0.05</w:t>
            </w:r>
            <w:r w:rsidRPr="00352B0E">
              <w:rPr>
                <w:sz w:val="20"/>
                <w:szCs w:val="20"/>
                <w:vertAlign w:val="superscript"/>
              </w:rPr>
              <w:t>b</w:t>
            </w:r>
            <w:r w:rsidRPr="00352B0E">
              <w:rPr>
                <w:sz w:val="20"/>
                <w:szCs w:val="20"/>
              </w:rPr>
              <w:t>±0.01</w:t>
            </w:r>
          </w:p>
        </w:tc>
        <w:tc>
          <w:tcPr>
            <w:tcW w:w="1288" w:type="dxa"/>
            <w:tcBorders>
              <w:left w:val="nil"/>
              <w:bottom w:val="single" w:sz="4" w:space="0" w:color="auto"/>
            </w:tcBorders>
          </w:tcPr>
          <w:p w14:paraId="3CA55715" w14:textId="77777777" w:rsidR="000A1C9C" w:rsidRPr="00352B0E" w:rsidRDefault="000A1C9C" w:rsidP="00352B0E">
            <w:pPr>
              <w:pStyle w:val="NoSpacing"/>
              <w:rPr>
                <w:sz w:val="20"/>
                <w:szCs w:val="20"/>
              </w:rPr>
            </w:pPr>
            <w:r w:rsidRPr="00352B0E">
              <w:rPr>
                <w:sz w:val="20"/>
                <w:szCs w:val="20"/>
              </w:rPr>
              <w:t>0.08</w:t>
            </w:r>
            <w:r w:rsidRPr="00352B0E">
              <w:rPr>
                <w:sz w:val="20"/>
                <w:szCs w:val="20"/>
                <w:vertAlign w:val="superscript"/>
              </w:rPr>
              <w:t>a</w:t>
            </w:r>
            <w:r w:rsidRPr="00352B0E">
              <w:rPr>
                <w:sz w:val="20"/>
                <w:szCs w:val="20"/>
              </w:rPr>
              <w:t>±0.01</w:t>
            </w:r>
          </w:p>
        </w:tc>
      </w:tr>
    </w:tbl>
    <w:p w14:paraId="6792A23D" w14:textId="77777777" w:rsidR="000A1C9C" w:rsidRPr="00352B0E" w:rsidRDefault="000A1C9C" w:rsidP="00352B0E">
      <w:pPr>
        <w:pStyle w:val="NoSpacing"/>
      </w:pPr>
      <w:r w:rsidRPr="00352B0E">
        <w:t>*RDA: Recommended daily allowance (Kamangar and Emadi, 2012). Results are the means of triplicate determination ±standard deviation values in the same row with the same superscripts letters (a &gt; b &gt; c &gt; d) are not significantly different (P &lt; 0.05).</w:t>
      </w:r>
    </w:p>
    <w:p w14:paraId="7F66E99B" w14:textId="77777777" w:rsidR="000A1C9C" w:rsidRPr="00C749F3" w:rsidRDefault="000A1C9C" w:rsidP="00352B0E">
      <w:pPr>
        <w:pStyle w:val="NoSpacing"/>
      </w:pPr>
    </w:p>
    <w:p w14:paraId="2A1CCB48" w14:textId="77777777" w:rsidR="00790ADA" w:rsidRPr="00C749F3" w:rsidRDefault="00790ADA" w:rsidP="00441B6F">
      <w:pPr>
        <w:pStyle w:val="Body"/>
        <w:spacing w:after="0"/>
        <w:rPr>
          <w:rFonts w:ascii="Arial" w:hAnsi="Arial" w:cs="Arial"/>
        </w:rPr>
      </w:pPr>
    </w:p>
    <w:p w14:paraId="2DAF5942" w14:textId="77777777" w:rsidR="00B01FCD" w:rsidRPr="00C749F3" w:rsidRDefault="00000F8F" w:rsidP="00441B6F">
      <w:pPr>
        <w:pStyle w:val="ConcHead"/>
        <w:spacing w:after="0"/>
        <w:jc w:val="both"/>
        <w:rPr>
          <w:rFonts w:ascii="Arial" w:hAnsi="Arial" w:cs="Arial"/>
          <w:sz w:val="20"/>
        </w:rPr>
      </w:pPr>
      <w:r w:rsidRPr="00C749F3">
        <w:rPr>
          <w:rFonts w:ascii="Arial" w:hAnsi="Arial" w:cs="Arial"/>
          <w:sz w:val="20"/>
        </w:rPr>
        <w:t xml:space="preserve">4. </w:t>
      </w:r>
      <w:r w:rsidR="00B01FCD" w:rsidRPr="00C749F3">
        <w:rPr>
          <w:rFonts w:ascii="Arial" w:hAnsi="Arial" w:cs="Arial"/>
          <w:sz w:val="20"/>
        </w:rPr>
        <w:t>Conclusion</w:t>
      </w:r>
    </w:p>
    <w:p w14:paraId="3AFFF31F" w14:textId="77777777" w:rsidR="00352B0E" w:rsidRDefault="00352B0E" w:rsidP="00441B6F">
      <w:pPr>
        <w:pStyle w:val="ConcHead"/>
        <w:spacing w:after="0"/>
        <w:jc w:val="both"/>
        <w:rPr>
          <w:rFonts w:ascii="Arial" w:hAnsi="Arial" w:cs="Arial"/>
          <w:b w:val="0"/>
          <w:caps w:val="0"/>
          <w:sz w:val="20"/>
        </w:rPr>
      </w:pPr>
    </w:p>
    <w:p w14:paraId="081EC44E" w14:textId="77777777" w:rsidR="00790ADA" w:rsidRPr="00352B0E" w:rsidRDefault="003A6E75" w:rsidP="00441B6F">
      <w:pPr>
        <w:pStyle w:val="ConcHead"/>
        <w:spacing w:after="0"/>
        <w:jc w:val="both"/>
        <w:rPr>
          <w:rFonts w:ascii="Arial" w:hAnsi="Arial" w:cs="Arial"/>
          <w:b w:val="0"/>
          <w:sz w:val="18"/>
        </w:rPr>
      </w:pPr>
      <w:r w:rsidRPr="00352B0E">
        <w:rPr>
          <w:rFonts w:ascii="Arial" w:hAnsi="Arial" w:cs="Arial"/>
          <w:b w:val="0"/>
          <w:caps w:val="0"/>
          <w:sz w:val="20"/>
        </w:rPr>
        <w:t>The functional attributes of the blended flours examined are crucial in determining the storage stability, texture, taste, flavor, and overall quality of food products. The findings from this study indicate that these gluten-free flour blends hold significant potential for use in food manufacturing and could contribute meaningfully to addressing global food insecurity challenges.</w:t>
      </w:r>
      <w:r w:rsidRPr="00352B0E">
        <w:rPr>
          <w:rFonts w:ascii="Arial" w:hAnsi="Arial" w:cs="Arial"/>
          <w:b w:val="0"/>
          <w:sz w:val="20"/>
        </w:rPr>
        <w:t xml:space="preserve"> </w:t>
      </w:r>
      <w:r w:rsidRPr="00352B0E">
        <w:rPr>
          <w:rFonts w:ascii="Arial" w:hAnsi="Arial" w:cs="Arial"/>
          <w:b w:val="0"/>
          <w:caps w:val="0"/>
          <w:sz w:val="20"/>
        </w:rPr>
        <w:t>The results obtained show significant reduction in the proportions of the phytochemicals studied through processing methods. Oxalate content is found highest in mbs</w:t>
      </w:r>
      <w:r w:rsidRPr="00352B0E">
        <w:rPr>
          <w:rFonts w:ascii="Arial" w:hAnsi="Arial" w:cs="Arial"/>
          <w:b w:val="0"/>
          <w:sz w:val="20"/>
          <w:vertAlign w:val="subscript"/>
        </w:rPr>
        <w:t>2</w:t>
      </w:r>
      <w:r w:rsidRPr="00352B0E">
        <w:rPr>
          <w:rFonts w:ascii="Arial" w:hAnsi="Arial" w:cs="Arial"/>
          <w:b w:val="0"/>
          <w:caps w:val="0"/>
          <w:sz w:val="20"/>
        </w:rPr>
        <w:t xml:space="preserve"> (50% millet; 20% banana; 30% soybeans) flour blend. The samples studied can as single diets or supplements of vitamins B</w:t>
      </w:r>
      <w:r w:rsidRPr="00352B0E">
        <w:rPr>
          <w:rFonts w:ascii="Arial" w:hAnsi="Arial" w:cs="Arial"/>
          <w:b w:val="0"/>
          <w:sz w:val="20"/>
          <w:vertAlign w:val="subscript"/>
        </w:rPr>
        <w:t>1</w:t>
      </w:r>
      <w:r w:rsidRPr="00352B0E">
        <w:rPr>
          <w:rFonts w:ascii="Arial" w:hAnsi="Arial" w:cs="Arial"/>
          <w:b w:val="0"/>
          <w:caps w:val="0"/>
          <w:sz w:val="20"/>
        </w:rPr>
        <w:t>, B</w:t>
      </w:r>
      <w:r w:rsidRPr="00352B0E">
        <w:rPr>
          <w:rFonts w:ascii="Arial" w:hAnsi="Arial" w:cs="Arial"/>
          <w:b w:val="0"/>
          <w:caps w:val="0"/>
          <w:sz w:val="20"/>
          <w:vertAlign w:val="subscript"/>
        </w:rPr>
        <w:t>9</w:t>
      </w:r>
      <w:r w:rsidRPr="00352B0E">
        <w:rPr>
          <w:rFonts w:ascii="Arial" w:hAnsi="Arial" w:cs="Arial"/>
          <w:b w:val="0"/>
          <w:caps w:val="0"/>
          <w:sz w:val="20"/>
        </w:rPr>
        <w:t>, B</w:t>
      </w:r>
      <w:r w:rsidRPr="00352B0E">
        <w:rPr>
          <w:rFonts w:ascii="Arial" w:hAnsi="Arial" w:cs="Arial"/>
          <w:b w:val="0"/>
          <w:caps w:val="0"/>
          <w:sz w:val="20"/>
          <w:vertAlign w:val="subscript"/>
        </w:rPr>
        <w:t>12</w:t>
      </w:r>
      <w:r w:rsidRPr="00352B0E">
        <w:rPr>
          <w:rFonts w:ascii="Arial" w:hAnsi="Arial" w:cs="Arial"/>
          <w:b w:val="0"/>
          <w:caps w:val="0"/>
          <w:sz w:val="20"/>
        </w:rPr>
        <w:t>, C and E with prominent proportions found in 60% millet; 20% banana; 20% soybeans (MBS</w:t>
      </w:r>
      <w:r w:rsidRPr="00352B0E">
        <w:rPr>
          <w:rFonts w:ascii="Arial" w:hAnsi="Arial" w:cs="Arial"/>
          <w:b w:val="0"/>
          <w:caps w:val="0"/>
          <w:sz w:val="20"/>
          <w:vertAlign w:val="subscript"/>
        </w:rPr>
        <w:t>1</w:t>
      </w:r>
      <w:r w:rsidRPr="00352B0E">
        <w:rPr>
          <w:rFonts w:ascii="Arial" w:hAnsi="Arial" w:cs="Arial"/>
          <w:b w:val="0"/>
          <w:caps w:val="0"/>
          <w:sz w:val="20"/>
        </w:rPr>
        <w:t>) and 50% millet; 20% banana; 30% soybeans (MBS</w:t>
      </w:r>
      <w:r w:rsidRPr="00352B0E">
        <w:rPr>
          <w:rFonts w:ascii="Arial" w:hAnsi="Arial" w:cs="Arial"/>
          <w:b w:val="0"/>
          <w:caps w:val="0"/>
          <w:sz w:val="20"/>
          <w:vertAlign w:val="subscript"/>
        </w:rPr>
        <w:t>2</w:t>
      </w:r>
      <w:r w:rsidRPr="00352B0E">
        <w:rPr>
          <w:rFonts w:ascii="Arial" w:hAnsi="Arial" w:cs="Arial"/>
          <w:b w:val="0"/>
          <w:caps w:val="0"/>
          <w:sz w:val="20"/>
        </w:rPr>
        <w:t>) flour blends. The formulated products, mbs</w:t>
      </w:r>
      <w:r w:rsidRPr="00352B0E">
        <w:rPr>
          <w:rFonts w:ascii="Arial" w:hAnsi="Arial" w:cs="Arial"/>
          <w:b w:val="0"/>
          <w:sz w:val="20"/>
          <w:vertAlign w:val="subscript"/>
        </w:rPr>
        <w:t>1</w:t>
      </w:r>
      <w:r w:rsidRPr="00352B0E">
        <w:rPr>
          <w:rFonts w:ascii="Arial" w:hAnsi="Arial" w:cs="Arial"/>
          <w:b w:val="0"/>
          <w:caps w:val="0"/>
          <w:sz w:val="20"/>
        </w:rPr>
        <w:t xml:space="preserve"> and mbs</w:t>
      </w:r>
      <w:r w:rsidRPr="00352B0E">
        <w:rPr>
          <w:rFonts w:ascii="Arial" w:hAnsi="Arial" w:cs="Arial"/>
          <w:b w:val="0"/>
          <w:sz w:val="20"/>
          <w:vertAlign w:val="subscript"/>
        </w:rPr>
        <w:t>2</w:t>
      </w:r>
      <w:r w:rsidRPr="00352B0E">
        <w:rPr>
          <w:rFonts w:ascii="Arial" w:hAnsi="Arial" w:cs="Arial"/>
          <w:b w:val="0"/>
          <w:caps w:val="0"/>
          <w:sz w:val="20"/>
        </w:rPr>
        <w:t xml:space="preserve"> had functional and nutritional values with potentials to serve as alternatives to whole wheat flour and commercial weaning foods.</w:t>
      </w:r>
    </w:p>
    <w:p w14:paraId="1F5DA839" w14:textId="77777777" w:rsidR="00790ADA" w:rsidRPr="00C749F3" w:rsidRDefault="00790ADA" w:rsidP="00441B6F">
      <w:pPr>
        <w:pStyle w:val="Body"/>
        <w:spacing w:after="0"/>
        <w:rPr>
          <w:rFonts w:ascii="Arial" w:hAnsi="Arial" w:cs="Arial"/>
        </w:rPr>
      </w:pPr>
    </w:p>
    <w:p w14:paraId="56913208" w14:textId="77777777" w:rsidR="002B685A" w:rsidRPr="00C749F3" w:rsidRDefault="002B685A" w:rsidP="00441B6F">
      <w:pPr>
        <w:pStyle w:val="ReferHead"/>
        <w:spacing w:after="0"/>
        <w:jc w:val="both"/>
        <w:rPr>
          <w:rFonts w:ascii="Arial" w:hAnsi="Arial" w:cs="Arial"/>
          <w:b w:val="0"/>
          <w:caps w:val="0"/>
          <w:sz w:val="20"/>
        </w:rPr>
      </w:pPr>
    </w:p>
    <w:p w14:paraId="1B394609" w14:textId="77777777" w:rsidR="002B685A" w:rsidRPr="00C749F3" w:rsidRDefault="002B685A" w:rsidP="00441B6F">
      <w:pPr>
        <w:pStyle w:val="ReferHead"/>
        <w:spacing w:after="0"/>
        <w:jc w:val="both"/>
        <w:rPr>
          <w:rFonts w:ascii="Arial" w:hAnsi="Arial" w:cs="Arial"/>
          <w:bCs/>
          <w:sz w:val="20"/>
        </w:rPr>
      </w:pPr>
      <w:r w:rsidRPr="00C749F3">
        <w:rPr>
          <w:rFonts w:ascii="Arial" w:hAnsi="Arial" w:cs="Arial"/>
          <w:bCs/>
          <w:sz w:val="20"/>
        </w:rPr>
        <w:t xml:space="preserve">Consent </w:t>
      </w:r>
    </w:p>
    <w:p w14:paraId="7F4074AC" w14:textId="77777777" w:rsidR="002B685A" w:rsidRPr="00C749F3" w:rsidRDefault="002B685A" w:rsidP="00441B6F">
      <w:pPr>
        <w:pStyle w:val="ReferHead"/>
        <w:spacing w:after="0"/>
        <w:jc w:val="both"/>
        <w:rPr>
          <w:rFonts w:ascii="Arial" w:hAnsi="Arial" w:cs="Arial"/>
          <w:bCs/>
          <w:sz w:val="20"/>
        </w:rPr>
      </w:pPr>
    </w:p>
    <w:p w14:paraId="66C8ED88" w14:textId="77777777" w:rsidR="001A29D8" w:rsidRPr="00C749F3" w:rsidRDefault="00352B0E" w:rsidP="00441B6F">
      <w:pPr>
        <w:pStyle w:val="ReferHead"/>
        <w:spacing w:after="0"/>
        <w:jc w:val="both"/>
        <w:rPr>
          <w:rFonts w:ascii="Arial" w:hAnsi="Arial" w:cs="Arial"/>
          <w:b w:val="0"/>
          <w:caps w:val="0"/>
          <w:sz w:val="20"/>
        </w:rPr>
      </w:pPr>
      <w:r>
        <w:rPr>
          <w:rFonts w:ascii="Arial" w:hAnsi="Arial" w:cs="Arial"/>
          <w:b w:val="0"/>
          <w:caps w:val="0"/>
          <w:sz w:val="20"/>
        </w:rPr>
        <w:t>Not applicable to this manuscript.</w:t>
      </w:r>
    </w:p>
    <w:p w14:paraId="454D6EC5" w14:textId="77777777" w:rsidR="005C784C" w:rsidRPr="00C749F3" w:rsidRDefault="005C784C" w:rsidP="00441B6F">
      <w:pPr>
        <w:pStyle w:val="ReferHead"/>
        <w:spacing w:after="0"/>
        <w:jc w:val="both"/>
        <w:rPr>
          <w:rFonts w:ascii="Arial" w:hAnsi="Arial" w:cs="Arial"/>
          <w:b w:val="0"/>
          <w:caps w:val="0"/>
          <w:sz w:val="20"/>
        </w:rPr>
      </w:pPr>
    </w:p>
    <w:p w14:paraId="469F58C7" w14:textId="77777777" w:rsidR="00352B0E" w:rsidRDefault="00352B0E" w:rsidP="00441B6F">
      <w:pPr>
        <w:pStyle w:val="ReferHead"/>
        <w:spacing w:after="0"/>
        <w:jc w:val="both"/>
        <w:rPr>
          <w:rFonts w:ascii="Arial" w:hAnsi="Arial" w:cs="Arial"/>
          <w:bCs/>
          <w:sz w:val="20"/>
        </w:rPr>
      </w:pPr>
    </w:p>
    <w:p w14:paraId="6A1DA2A2" w14:textId="77777777" w:rsidR="005C784C" w:rsidRPr="00C749F3" w:rsidRDefault="005C784C" w:rsidP="00441B6F">
      <w:pPr>
        <w:pStyle w:val="ReferHead"/>
        <w:spacing w:after="0"/>
        <w:jc w:val="both"/>
        <w:rPr>
          <w:rFonts w:ascii="Arial" w:hAnsi="Arial" w:cs="Arial"/>
          <w:bCs/>
          <w:sz w:val="20"/>
        </w:rPr>
      </w:pPr>
      <w:r w:rsidRPr="00C749F3">
        <w:rPr>
          <w:rFonts w:ascii="Arial" w:hAnsi="Arial" w:cs="Arial"/>
          <w:bCs/>
          <w:sz w:val="20"/>
        </w:rPr>
        <w:t>Ethical approval (where</w:t>
      </w:r>
      <w:r w:rsidR="007369E6" w:rsidRPr="00C749F3">
        <w:rPr>
          <w:rFonts w:ascii="Arial" w:hAnsi="Arial" w:cs="Arial"/>
          <w:bCs/>
          <w:sz w:val="20"/>
        </w:rPr>
        <w:t xml:space="preserve"> </w:t>
      </w:r>
      <w:r w:rsidRPr="00C749F3">
        <w:rPr>
          <w:rFonts w:ascii="Arial" w:hAnsi="Arial" w:cs="Arial"/>
          <w:bCs/>
          <w:sz w:val="20"/>
        </w:rPr>
        <w:t>ever applicable)</w:t>
      </w:r>
    </w:p>
    <w:p w14:paraId="0DF5009D" w14:textId="77777777" w:rsidR="005C784C" w:rsidRPr="00C749F3" w:rsidRDefault="005C784C" w:rsidP="00441B6F">
      <w:pPr>
        <w:pStyle w:val="ReferHead"/>
        <w:spacing w:after="0"/>
        <w:jc w:val="both"/>
        <w:rPr>
          <w:rFonts w:ascii="Arial" w:hAnsi="Arial" w:cs="Arial"/>
          <w:bCs/>
          <w:sz w:val="20"/>
        </w:rPr>
      </w:pPr>
    </w:p>
    <w:p w14:paraId="0B253FC2" w14:textId="77777777" w:rsidR="0041027F" w:rsidRDefault="00352B0E" w:rsidP="00441B6F">
      <w:pPr>
        <w:pStyle w:val="ReferHead"/>
        <w:spacing w:after="0"/>
        <w:jc w:val="both"/>
        <w:rPr>
          <w:rFonts w:ascii="Arial" w:hAnsi="Arial" w:cs="Arial"/>
          <w:b w:val="0"/>
          <w:caps w:val="0"/>
          <w:sz w:val="20"/>
        </w:rPr>
      </w:pPr>
      <w:r>
        <w:rPr>
          <w:rFonts w:ascii="Arial" w:hAnsi="Arial" w:cs="Arial"/>
          <w:b w:val="0"/>
          <w:caps w:val="0"/>
          <w:sz w:val="20"/>
        </w:rPr>
        <w:t>Not applicable to this manuscript.</w:t>
      </w:r>
    </w:p>
    <w:p w14:paraId="4EBC3A1C" w14:textId="77777777" w:rsidR="00893E49" w:rsidRDefault="00893E49" w:rsidP="00441B6F">
      <w:pPr>
        <w:pStyle w:val="ReferHead"/>
        <w:spacing w:after="0"/>
        <w:jc w:val="both"/>
        <w:rPr>
          <w:rFonts w:ascii="Arial" w:hAnsi="Arial" w:cs="Arial"/>
          <w:b w:val="0"/>
          <w:caps w:val="0"/>
          <w:sz w:val="20"/>
        </w:rPr>
      </w:pPr>
    </w:p>
    <w:p w14:paraId="261F0E27" w14:textId="77777777" w:rsidR="00893E49" w:rsidRPr="00893E49" w:rsidRDefault="00893E49" w:rsidP="00893E49">
      <w:pPr>
        <w:pStyle w:val="ReferHead"/>
        <w:jc w:val="both"/>
        <w:rPr>
          <w:rFonts w:ascii="Arial" w:hAnsi="Arial" w:cs="Arial"/>
          <w:b w:val="0"/>
          <w:caps w:val="0"/>
          <w:sz w:val="20"/>
        </w:rPr>
      </w:pPr>
      <w:r w:rsidRPr="00893E49">
        <w:rPr>
          <w:rFonts w:ascii="Arial" w:hAnsi="Arial" w:cs="Arial"/>
          <w:b w:val="0"/>
          <w:caps w:val="0"/>
          <w:sz w:val="20"/>
        </w:rPr>
        <w:t>COMPETING INTERESTS DISCLAIMER:</w:t>
      </w:r>
    </w:p>
    <w:p w14:paraId="07B3CE93" w14:textId="106EBB6C" w:rsidR="00893E49" w:rsidRDefault="00893E49" w:rsidP="00893E49">
      <w:pPr>
        <w:pStyle w:val="ReferHead"/>
        <w:spacing w:after="0"/>
        <w:jc w:val="both"/>
        <w:rPr>
          <w:rFonts w:ascii="Arial" w:hAnsi="Arial" w:cs="Arial"/>
          <w:b w:val="0"/>
          <w:caps w:val="0"/>
          <w:sz w:val="20"/>
        </w:rPr>
      </w:pPr>
      <w:r w:rsidRPr="00893E4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F0BBC36" w14:textId="77777777" w:rsidR="00352B0E" w:rsidRPr="00C749F3" w:rsidRDefault="00352B0E" w:rsidP="00441B6F">
      <w:pPr>
        <w:pStyle w:val="ReferHead"/>
        <w:spacing w:after="0"/>
        <w:jc w:val="both"/>
        <w:rPr>
          <w:rFonts w:ascii="Arial" w:hAnsi="Arial" w:cs="Arial"/>
          <w:b w:val="0"/>
          <w:caps w:val="0"/>
          <w:sz w:val="20"/>
          <w:u w:val="single"/>
        </w:rPr>
      </w:pPr>
    </w:p>
    <w:p w14:paraId="70402913" w14:textId="77777777" w:rsidR="00860000" w:rsidRPr="00C749F3" w:rsidRDefault="00860000" w:rsidP="00441B6F">
      <w:pPr>
        <w:pStyle w:val="ReferHead"/>
        <w:spacing w:after="0"/>
        <w:jc w:val="both"/>
        <w:rPr>
          <w:rFonts w:ascii="Arial" w:hAnsi="Arial" w:cs="Arial"/>
          <w:sz w:val="20"/>
        </w:rPr>
      </w:pPr>
    </w:p>
    <w:p w14:paraId="6874A65A" w14:textId="77777777" w:rsidR="00B01FCD" w:rsidRPr="00C749F3" w:rsidRDefault="00B01FCD" w:rsidP="00441B6F">
      <w:pPr>
        <w:pStyle w:val="ReferHead"/>
        <w:spacing w:after="0"/>
        <w:jc w:val="both"/>
        <w:rPr>
          <w:rFonts w:ascii="Arial" w:hAnsi="Arial" w:cs="Arial"/>
          <w:sz w:val="20"/>
        </w:rPr>
      </w:pPr>
      <w:r w:rsidRPr="00C749F3">
        <w:rPr>
          <w:rFonts w:ascii="Arial" w:hAnsi="Arial" w:cs="Arial"/>
          <w:sz w:val="20"/>
        </w:rPr>
        <w:t>References</w:t>
      </w:r>
    </w:p>
    <w:p w14:paraId="5E1EACA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Akinola, S. A., Badejo, A. A., </w:t>
      </w:r>
      <w:proofErr w:type="spellStart"/>
      <w:r w:rsidRPr="005E68D8">
        <w:rPr>
          <w:rFonts w:ascii="Arial" w:hAnsi="Arial" w:cs="Arial"/>
          <w:color w:val="000000"/>
        </w:rPr>
        <w:t>Osundahunsi</w:t>
      </w:r>
      <w:proofErr w:type="spellEnd"/>
      <w:r w:rsidRPr="005E68D8">
        <w:rPr>
          <w:rFonts w:ascii="Arial" w:hAnsi="Arial" w:cs="Arial"/>
          <w:color w:val="000000"/>
        </w:rPr>
        <w:t xml:space="preserve">, O. F., &amp; Edema, M. O. (2017). Effect of preprocessing techniques on pearl millet flour and changes in technological properties. </w:t>
      </w:r>
      <w:r w:rsidRPr="005E68D8">
        <w:rPr>
          <w:rFonts w:ascii="Arial" w:hAnsi="Arial" w:cs="Arial"/>
          <w:i/>
          <w:iCs/>
          <w:color w:val="000000"/>
        </w:rPr>
        <w:t>International Journal of Food Science and Technology</w:t>
      </w:r>
      <w:r w:rsidRPr="005E68D8">
        <w:rPr>
          <w:rFonts w:ascii="Arial" w:hAnsi="Arial" w:cs="Arial"/>
          <w:color w:val="000000"/>
        </w:rPr>
        <w:t xml:space="preserve">, </w:t>
      </w:r>
      <w:r w:rsidRPr="005E68D8">
        <w:rPr>
          <w:rFonts w:ascii="Arial" w:hAnsi="Arial" w:cs="Arial"/>
          <w:i/>
          <w:iCs/>
          <w:color w:val="000000"/>
        </w:rPr>
        <w:t>52</w:t>
      </w:r>
      <w:r w:rsidRPr="005E68D8">
        <w:rPr>
          <w:rFonts w:ascii="Arial" w:hAnsi="Arial" w:cs="Arial"/>
          <w:color w:val="000000"/>
        </w:rPr>
        <w:t>(4). https://doi.org/10.1111/ijfs.13363</w:t>
      </w:r>
    </w:p>
    <w:p w14:paraId="59D15F79"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Białek-Dratwa</w:t>
      </w:r>
      <w:proofErr w:type="spellEnd"/>
      <w:r w:rsidRPr="005E68D8">
        <w:rPr>
          <w:rFonts w:ascii="Arial" w:hAnsi="Arial" w:cs="Arial"/>
          <w:color w:val="000000"/>
        </w:rPr>
        <w:t xml:space="preserve">, A., </w:t>
      </w:r>
      <w:proofErr w:type="spellStart"/>
      <w:r w:rsidRPr="005E68D8">
        <w:rPr>
          <w:rFonts w:ascii="Arial" w:hAnsi="Arial" w:cs="Arial"/>
          <w:color w:val="000000"/>
        </w:rPr>
        <w:t>Soczewka</w:t>
      </w:r>
      <w:proofErr w:type="spellEnd"/>
      <w:r w:rsidRPr="005E68D8">
        <w:rPr>
          <w:rFonts w:ascii="Arial" w:hAnsi="Arial" w:cs="Arial"/>
          <w:color w:val="000000"/>
        </w:rPr>
        <w:t xml:space="preserve">, M., Grajek, M., </w:t>
      </w:r>
      <w:proofErr w:type="spellStart"/>
      <w:r w:rsidRPr="005E68D8">
        <w:rPr>
          <w:rFonts w:ascii="Arial" w:hAnsi="Arial" w:cs="Arial"/>
          <w:color w:val="000000"/>
        </w:rPr>
        <w:t>Zbieta</w:t>
      </w:r>
      <w:proofErr w:type="spellEnd"/>
      <w:r w:rsidRPr="005E68D8">
        <w:rPr>
          <w:rFonts w:ascii="Arial" w:hAnsi="Arial" w:cs="Arial"/>
          <w:color w:val="000000"/>
        </w:rPr>
        <w:t xml:space="preserve"> </w:t>
      </w:r>
      <w:proofErr w:type="spellStart"/>
      <w:r w:rsidRPr="005E68D8">
        <w:rPr>
          <w:rFonts w:ascii="Arial" w:hAnsi="Arial" w:cs="Arial"/>
          <w:color w:val="000000"/>
        </w:rPr>
        <w:t>Szczepá</w:t>
      </w:r>
      <w:proofErr w:type="spellEnd"/>
      <w:r w:rsidRPr="005E68D8">
        <w:rPr>
          <w:rFonts w:ascii="Arial" w:hAnsi="Arial" w:cs="Arial"/>
          <w:color w:val="000000"/>
        </w:rPr>
        <w:t xml:space="preserve"> </w:t>
      </w:r>
      <w:proofErr w:type="spellStart"/>
      <w:r w:rsidRPr="005E68D8">
        <w:rPr>
          <w:rFonts w:ascii="Arial" w:hAnsi="Arial" w:cs="Arial"/>
          <w:color w:val="000000"/>
        </w:rPr>
        <w:t>Nska</w:t>
      </w:r>
      <w:proofErr w:type="spellEnd"/>
      <w:r w:rsidRPr="005E68D8">
        <w:rPr>
          <w:rFonts w:ascii="Arial" w:hAnsi="Arial" w:cs="Arial"/>
          <w:color w:val="000000"/>
        </w:rPr>
        <w:t xml:space="preserve">, E., &amp; Kowalski, O. (2022). Use of the Baby-Led Weaning (BLW) Method in Complementary Feeding of the Infant-A Cross-Sectional Study of Mothers Using and Not Using the BLW Method. </w:t>
      </w:r>
      <w:r w:rsidRPr="005E68D8">
        <w:rPr>
          <w:rFonts w:ascii="Arial" w:hAnsi="Arial" w:cs="Arial"/>
          <w:i/>
          <w:iCs/>
          <w:color w:val="000000"/>
        </w:rPr>
        <w:t>Molecules</w:t>
      </w:r>
      <w:r w:rsidRPr="005E68D8">
        <w:rPr>
          <w:rFonts w:ascii="Arial" w:hAnsi="Arial" w:cs="Arial"/>
          <w:color w:val="000000"/>
        </w:rPr>
        <w:t>. https://doi.org/10.3390/nu14122372</w:t>
      </w:r>
    </w:p>
    <w:p w14:paraId="50488DA2"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Chinma</w:t>
      </w:r>
      <w:proofErr w:type="spellEnd"/>
      <w:r w:rsidRPr="005E68D8">
        <w:rPr>
          <w:rFonts w:ascii="Arial" w:hAnsi="Arial" w:cs="Arial"/>
          <w:color w:val="000000"/>
        </w:rPr>
        <w:t xml:space="preserve">, C. E., </w:t>
      </w:r>
      <w:proofErr w:type="spellStart"/>
      <w:r w:rsidRPr="005E68D8">
        <w:rPr>
          <w:rFonts w:ascii="Arial" w:hAnsi="Arial" w:cs="Arial"/>
          <w:color w:val="000000"/>
        </w:rPr>
        <w:t>Igbabul</w:t>
      </w:r>
      <w:proofErr w:type="spellEnd"/>
      <w:r w:rsidRPr="005E68D8">
        <w:rPr>
          <w:rFonts w:ascii="Arial" w:hAnsi="Arial" w:cs="Arial"/>
          <w:color w:val="000000"/>
        </w:rPr>
        <w:t>, B. D., &amp; Omotayo, O. O. (2012). Quality characteristics of cookies</w:t>
      </w:r>
      <w:r w:rsidRPr="005E68D8">
        <w:rPr>
          <w:rFonts w:ascii="Arial" w:hAnsi="Arial" w:cs="Arial"/>
          <w:color w:val="000000"/>
        </w:rPr>
        <w:br/>
        <w:t xml:space="preserve">prepared from unripe plantain and defatted sesame flour blends. </w:t>
      </w:r>
      <w:r w:rsidRPr="005E68D8">
        <w:rPr>
          <w:rFonts w:ascii="Arial" w:hAnsi="Arial" w:cs="Arial"/>
          <w:i/>
          <w:iCs/>
          <w:color w:val="000000"/>
        </w:rPr>
        <w:t>American Journal of Food</w:t>
      </w:r>
      <w:r w:rsidRPr="005E68D8">
        <w:rPr>
          <w:rFonts w:ascii="Arial" w:hAnsi="Arial" w:cs="Arial"/>
          <w:i/>
          <w:iCs/>
          <w:color w:val="000000"/>
        </w:rPr>
        <w:br/>
        <w:t>Technology</w:t>
      </w:r>
      <w:r w:rsidRPr="005E68D8">
        <w:rPr>
          <w:rFonts w:ascii="Arial" w:hAnsi="Arial" w:cs="Arial"/>
          <w:color w:val="000000"/>
        </w:rPr>
        <w:t xml:space="preserve">, </w:t>
      </w:r>
      <w:r w:rsidRPr="005E68D8">
        <w:rPr>
          <w:rFonts w:ascii="Arial" w:hAnsi="Arial" w:cs="Arial"/>
          <w:i/>
          <w:iCs/>
          <w:color w:val="000000"/>
        </w:rPr>
        <w:t>7</w:t>
      </w:r>
      <w:r w:rsidRPr="005E68D8">
        <w:rPr>
          <w:rFonts w:ascii="Arial" w:hAnsi="Arial" w:cs="Arial"/>
          <w:color w:val="000000"/>
        </w:rPr>
        <w:t>(7). https://doi.org/10.3923/ajft.2012.398.408</w:t>
      </w:r>
    </w:p>
    <w:p w14:paraId="0A6E502E"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Coffman, C. W., &amp; Garcia, V. V. (1977). Functional properties and amino acid content of a protein isolate from mung bean flour. </w:t>
      </w:r>
      <w:r w:rsidRPr="005E68D8">
        <w:rPr>
          <w:rFonts w:ascii="Arial" w:hAnsi="Arial" w:cs="Arial"/>
          <w:i/>
          <w:iCs/>
          <w:color w:val="000000"/>
        </w:rPr>
        <w:t>International Journal of Food Science &amp; Technology</w:t>
      </w:r>
      <w:r w:rsidRPr="005E68D8">
        <w:rPr>
          <w:rFonts w:ascii="Arial" w:hAnsi="Arial" w:cs="Arial"/>
          <w:color w:val="000000"/>
        </w:rPr>
        <w:t xml:space="preserve">, </w:t>
      </w:r>
      <w:r w:rsidRPr="005E68D8">
        <w:rPr>
          <w:rFonts w:ascii="Arial" w:hAnsi="Arial" w:cs="Arial"/>
          <w:i/>
          <w:iCs/>
          <w:color w:val="000000"/>
        </w:rPr>
        <w:t>12</w:t>
      </w:r>
      <w:r w:rsidRPr="005E68D8">
        <w:rPr>
          <w:rFonts w:ascii="Arial" w:hAnsi="Arial" w:cs="Arial"/>
          <w:color w:val="000000"/>
        </w:rPr>
        <w:t>(5). https://doi.org/10.1111/j.1365-2621.1977.tb00132.x</w:t>
      </w:r>
    </w:p>
    <w:p w14:paraId="45069D66"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Essien, E. E., &amp; Akpan, S. M. (2014). Phytochemical and anti-nutrients evaluation of some wild fruiting polypore </w:t>
      </w:r>
      <w:proofErr w:type="spellStart"/>
      <w:r w:rsidRPr="005E68D8">
        <w:rPr>
          <w:rFonts w:ascii="Arial" w:hAnsi="Arial" w:cs="Arial"/>
          <w:color w:val="000000"/>
        </w:rPr>
        <w:t>macrofungi</w:t>
      </w:r>
      <w:proofErr w:type="spellEnd"/>
      <w:r w:rsidRPr="005E68D8">
        <w:rPr>
          <w:rFonts w:ascii="Arial" w:hAnsi="Arial" w:cs="Arial"/>
          <w:color w:val="000000"/>
        </w:rPr>
        <w:t xml:space="preserve">. </w:t>
      </w:r>
      <w:r w:rsidRPr="005E68D8">
        <w:rPr>
          <w:rFonts w:ascii="Arial" w:hAnsi="Arial" w:cs="Arial"/>
          <w:i/>
          <w:iCs/>
          <w:color w:val="000000"/>
        </w:rPr>
        <w:t>Journal of Chemical &amp; Pharmaceutical Research</w:t>
      </w:r>
      <w:r w:rsidRPr="005E68D8">
        <w:rPr>
          <w:rFonts w:ascii="Arial" w:hAnsi="Arial" w:cs="Arial"/>
          <w:color w:val="000000"/>
        </w:rPr>
        <w:t xml:space="preserve">, </w:t>
      </w:r>
      <w:r w:rsidRPr="005E68D8">
        <w:rPr>
          <w:rFonts w:ascii="Arial" w:hAnsi="Arial" w:cs="Arial"/>
          <w:i/>
          <w:iCs/>
          <w:color w:val="000000"/>
        </w:rPr>
        <w:t>6</w:t>
      </w:r>
      <w:r w:rsidRPr="005E68D8">
        <w:rPr>
          <w:rFonts w:ascii="Arial" w:hAnsi="Arial" w:cs="Arial"/>
          <w:color w:val="000000"/>
        </w:rPr>
        <w:t>(12), 792-796.</w:t>
      </w:r>
    </w:p>
    <w:p w14:paraId="29D11DBC"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Falcomer, A. L., </w:t>
      </w:r>
      <w:proofErr w:type="spellStart"/>
      <w:r w:rsidRPr="005E68D8">
        <w:rPr>
          <w:rFonts w:ascii="Arial" w:hAnsi="Arial" w:cs="Arial"/>
          <w:color w:val="000000"/>
        </w:rPr>
        <w:t>Riquette</w:t>
      </w:r>
      <w:proofErr w:type="spellEnd"/>
      <w:r w:rsidRPr="005E68D8">
        <w:rPr>
          <w:rFonts w:ascii="Arial" w:hAnsi="Arial" w:cs="Arial"/>
          <w:color w:val="000000"/>
        </w:rPr>
        <w:t xml:space="preserve">, R. F. R., De Lima, B. R., Ginani, V. C., &amp; Zandonadi, R. P. (2019). Health benefits of green banana consumption: A systematic review. In </w:t>
      </w:r>
      <w:r w:rsidRPr="005E68D8">
        <w:rPr>
          <w:rFonts w:ascii="Arial" w:hAnsi="Arial" w:cs="Arial"/>
          <w:i/>
          <w:iCs/>
          <w:color w:val="000000"/>
        </w:rPr>
        <w:t xml:space="preserve">Nutrients </w:t>
      </w:r>
      <w:r w:rsidRPr="005E68D8">
        <w:rPr>
          <w:rFonts w:ascii="Arial" w:hAnsi="Arial" w:cs="Arial"/>
          <w:color w:val="000000"/>
        </w:rPr>
        <w:t>(Vol. 11, Issue 6). https://doi.org/10.3390/nu11061222.</w:t>
      </w:r>
    </w:p>
    <w:p w14:paraId="566E7A4E"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Hasmadi</w:t>
      </w:r>
      <w:proofErr w:type="spellEnd"/>
      <w:r w:rsidRPr="005E68D8">
        <w:rPr>
          <w:rFonts w:ascii="Arial" w:hAnsi="Arial" w:cs="Arial"/>
          <w:color w:val="000000"/>
        </w:rPr>
        <w:t xml:space="preserve">, M., </w:t>
      </w:r>
      <w:proofErr w:type="spellStart"/>
      <w:r w:rsidRPr="005E68D8">
        <w:rPr>
          <w:rFonts w:ascii="Arial" w:hAnsi="Arial" w:cs="Arial"/>
          <w:color w:val="000000"/>
        </w:rPr>
        <w:t>Noorfarahzilah</w:t>
      </w:r>
      <w:proofErr w:type="spellEnd"/>
      <w:r w:rsidRPr="005E68D8">
        <w:rPr>
          <w:rFonts w:ascii="Arial" w:hAnsi="Arial" w:cs="Arial"/>
          <w:color w:val="000000"/>
        </w:rPr>
        <w:t xml:space="preserve">, M., </w:t>
      </w:r>
      <w:proofErr w:type="spellStart"/>
      <w:r w:rsidRPr="005E68D8">
        <w:rPr>
          <w:rFonts w:ascii="Arial" w:hAnsi="Arial" w:cs="Arial"/>
          <w:color w:val="000000"/>
        </w:rPr>
        <w:t>Noraidah</w:t>
      </w:r>
      <w:proofErr w:type="spellEnd"/>
      <w:r w:rsidRPr="005E68D8">
        <w:rPr>
          <w:rFonts w:ascii="Arial" w:hAnsi="Arial" w:cs="Arial"/>
          <w:color w:val="000000"/>
        </w:rPr>
        <w:t>, H., Zainol, M. K., &amp; Jahurul, M. H. A. (2020).</w:t>
      </w:r>
      <w:r w:rsidRPr="005E68D8">
        <w:rPr>
          <w:rFonts w:ascii="Arial" w:hAnsi="Arial" w:cs="Arial"/>
          <w:color w:val="000000"/>
        </w:rPr>
        <w:br/>
        <w:t xml:space="preserve">Functional properties of composite flour: A review. In </w:t>
      </w:r>
      <w:r w:rsidRPr="005E68D8">
        <w:rPr>
          <w:rFonts w:ascii="Arial" w:hAnsi="Arial" w:cs="Arial"/>
          <w:i/>
          <w:iCs/>
          <w:color w:val="000000"/>
        </w:rPr>
        <w:t xml:space="preserve">Food Research </w:t>
      </w:r>
      <w:r w:rsidRPr="005E68D8">
        <w:rPr>
          <w:rFonts w:ascii="Arial" w:hAnsi="Arial" w:cs="Arial"/>
          <w:color w:val="000000"/>
        </w:rPr>
        <w:t>(Vol. 4, Issue 6).</w:t>
      </w:r>
      <w:r w:rsidRPr="005E68D8">
        <w:rPr>
          <w:rFonts w:ascii="Arial" w:hAnsi="Arial" w:cs="Arial"/>
          <w:color w:val="000000"/>
        </w:rPr>
        <w:br/>
        <w:t>https://doi.org/10.26656/fr.2017.4(6).419.</w:t>
      </w:r>
    </w:p>
    <w:p w14:paraId="6756E756"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Iwuozor</w:t>
      </w:r>
      <w:proofErr w:type="spellEnd"/>
      <w:r w:rsidRPr="005E68D8">
        <w:rPr>
          <w:rFonts w:ascii="Arial" w:hAnsi="Arial" w:cs="Arial"/>
          <w:color w:val="000000"/>
        </w:rPr>
        <w:t xml:space="preserve">, K. O. (2019). Qualitative and Quantitative Determination of Anti-Nutritional Factors of Five Wine Samples. </w:t>
      </w:r>
      <w:r w:rsidRPr="005E68D8">
        <w:rPr>
          <w:rFonts w:ascii="Arial" w:hAnsi="Arial" w:cs="Arial"/>
          <w:i/>
          <w:iCs/>
          <w:color w:val="000000"/>
        </w:rPr>
        <w:t>Advanced Journal of Chemistry, Section A</w:t>
      </w:r>
      <w:r w:rsidRPr="005E68D8">
        <w:rPr>
          <w:rFonts w:ascii="Arial" w:hAnsi="Arial" w:cs="Arial"/>
          <w:color w:val="000000"/>
        </w:rPr>
        <w:t xml:space="preserve">, </w:t>
      </w:r>
      <w:r w:rsidRPr="005E68D8">
        <w:rPr>
          <w:rFonts w:ascii="Arial" w:hAnsi="Arial" w:cs="Arial"/>
          <w:i/>
          <w:iCs/>
          <w:color w:val="000000"/>
        </w:rPr>
        <w:t>2</w:t>
      </w:r>
      <w:r w:rsidRPr="005E68D8">
        <w:rPr>
          <w:rFonts w:ascii="Arial" w:hAnsi="Arial" w:cs="Arial"/>
          <w:color w:val="000000"/>
        </w:rPr>
        <w:t>(2).</w:t>
      </w:r>
      <w:r w:rsidRPr="005E68D8">
        <w:rPr>
          <w:rFonts w:ascii="Arial" w:hAnsi="Arial" w:cs="Arial"/>
          <w:color w:val="000000"/>
        </w:rPr>
        <w:br/>
        <w:t>https://doi.org/10.29088/SAMI/AJCA.2019.2.136146.</w:t>
      </w:r>
    </w:p>
    <w:p w14:paraId="0BF5C8C1"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Kalla-Bertholdt, A. M., Baier, A. K., &amp; Rauh, C. (2023). Potential of Modification of </w:t>
      </w:r>
      <w:proofErr w:type="spellStart"/>
      <w:r w:rsidRPr="005E68D8">
        <w:rPr>
          <w:rFonts w:ascii="Arial" w:hAnsi="Arial" w:cs="Arial"/>
          <w:color w:val="000000"/>
        </w:rPr>
        <w:t>TechnoFunctional</w:t>
      </w:r>
      <w:proofErr w:type="spellEnd"/>
      <w:r w:rsidRPr="005E68D8">
        <w:rPr>
          <w:rFonts w:ascii="Arial" w:hAnsi="Arial" w:cs="Arial"/>
          <w:color w:val="000000"/>
        </w:rPr>
        <w:t xml:space="preserve"> Properties and Structural Characteristics of Citrus, Apple, Oat, and Pea Dietary Fiber by High-Intensity Ultrasound. </w:t>
      </w:r>
      <w:r w:rsidRPr="005E68D8">
        <w:rPr>
          <w:rFonts w:ascii="Arial" w:hAnsi="Arial" w:cs="Arial"/>
          <w:i/>
          <w:iCs/>
          <w:color w:val="000000"/>
        </w:rPr>
        <w:t>Foods</w:t>
      </w:r>
      <w:r w:rsidRPr="005E68D8">
        <w:rPr>
          <w:rFonts w:ascii="Arial" w:hAnsi="Arial" w:cs="Arial"/>
          <w:color w:val="000000"/>
        </w:rPr>
        <w:t xml:space="preserve">, </w:t>
      </w:r>
      <w:r w:rsidRPr="005E68D8">
        <w:rPr>
          <w:rFonts w:ascii="Arial" w:hAnsi="Arial" w:cs="Arial"/>
          <w:i/>
          <w:iCs/>
          <w:color w:val="000000"/>
        </w:rPr>
        <w:t>12</w:t>
      </w:r>
      <w:r w:rsidRPr="005E68D8">
        <w:rPr>
          <w:rFonts w:ascii="Arial" w:hAnsi="Arial" w:cs="Arial"/>
          <w:color w:val="000000"/>
        </w:rPr>
        <w:t>(19). https://doi.org/10.3390/foods12193663.</w:t>
      </w:r>
    </w:p>
    <w:p w14:paraId="6F2346EA"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Kamangar, F., &amp; Emadi, A. (2012). Vitamin and mineral supplements: Do we really need them? In </w:t>
      </w:r>
      <w:r w:rsidRPr="005E68D8">
        <w:rPr>
          <w:rFonts w:ascii="Arial" w:hAnsi="Arial" w:cs="Arial"/>
          <w:i/>
          <w:iCs/>
          <w:color w:val="000000"/>
        </w:rPr>
        <w:t xml:space="preserve">International Journal of Preventive Medicine </w:t>
      </w:r>
      <w:r w:rsidRPr="005E68D8">
        <w:rPr>
          <w:rFonts w:ascii="Arial" w:hAnsi="Arial" w:cs="Arial"/>
          <w:color w:val="000000"/>
        </w:rPr>
        <w:t>(Vol. 3, Issue 3).</w:t>
      </w:r>
    </w:p>
    <w:p w14:paraId="37645EB1"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lastRenderedPageBreak/>
        <w:t>Kathembe</w:t>
      </w:r>
      <w:proofErr w:type="spellEnd"/>
      <w:r w:rsidRPr="005E68D8">
        <w:rPr>
          <w:rFonts w:ascii="Arial" w:hAnsi="Arial" w:cs="Arial"/>
          <w:color w:val="000000"/>
        </w:rPr>
        <w:t xml:space="preserve">, J., </w:t>
      </w:r>
      <w:proofErr w:type="spellStart"/>
      <w:r w:rsidRPr="005E68D8">
        <w:rPr>
          <w:rFonts w:ascii="Arial" w:hAnsi="Arial" w:cs="Arial"/>
          <w:color w:val="000000"/>
        </w:rPr>
        <w:t>Tapkigen</w:t>
      </w:r>
      <w:proofErr w:type="spellEnd"/>
      <w:r w:rsidRPr="005E68D8">
        <w:rPr>
          <w:rFonts w:ascii="Arial" w:hAnsi="Arial" w:cs="Arial"/>
          <w:color w:val="000000"/>
        </w:rPr>
        <w:t xml:space="preserve">, J., </w:t>
      </w:r>
      <w:proofErr w:type="spellStart"/>
      <w:r w:rsidRPr="005E68D8">
        <w:rPr>
          <w:rFonts w:ascii="Arial" w:hAnsi="Arial" w:cs="Arial"/>
          <w:color w:val="000000"/>
        </w:rPr>
        <w:t>Mwangome</w:t>
      </w:r>
      <w:proofErr w:type="spellEnd"/>
      <w:r w:rsidRPr="005E68D8">
        <w:rPr>
          <w:rFonts w:ascii="Arial" w:hAnsi="Arial" w:cs="Arial"/>
          <w:color w:val="000000"/>
        </w:rPr>
        <w:t xml:space="preserve">, M. K., Prentice, A. M., &amp; </w:t>
      </w:r>
      <w:proofErr w:type="spellStart"/>
      <w:r w:rsidRPr="005E68D8">
        <w:rPr>
          <w:rFonts w:ascii="Arial" w:hAnsi="Arial" w:cs="Arial"/>
          <w:color w:val="000000"/>
        </w:rPr>
        <w:t>Nabwera</w:t>
      </w:r>
      <w:proofErr w:type="spellEnd"/>
      <w:r w:rsidRPr="005E68D8">
        <w:rPr>
          <w:rFonts w:ascii="Arial" w:hAnsi="Arial" w:cs="Arial"/>
          <w:color w:val="000000"/>
        </w:rPr>
        <w:t>, H. M. (2023).</w:t>
      </w:r>
      <w:r w:rsidRPr="005E68D8">
        <w:rPr>
          <w:rFonts w:ascii="Arial" w:hAnsi="Arial" w:cs="Arial"/>
          <w:color w:val="000000"/>
        </w:rPr>
        <w:br/>
        <w:t xml:space="preserve">Stunting of Growth in Developing Countries. In </w:t>
      </w:r>
      <w:r w:rsidRPr="005E68D8">
        <w:rPr>
          <w:rFonts w:ascii="Arial" w:hAnsi="Arial" w:cs="Arial"/>
          <w:i/>
          <w:iCs/>
          <w:color w:val="000000"/>
        </w:rPr>
        <w:t>World Review of Nutrition and Dietetics</w:t>
      </w:r>
      <w:r w:rsidRPr="005E68D8">
        <w:rPr>
          <w:rFonts w:ascii="Arial" w:hAnsi="Arial" w:cs="Arial"/>
          <w:i/>
          <w:iCs/>
          <w:color w:val="000000"/>
        </w:rPr>
        <w:br/>
      </w:r>
      <w:r w:rsidRPr="005E68D8">
        <w:rPr>
          <w:rFonts w:ascii="Arial" w:hAnsi="Arial" w:cs="Arial"/>
          <w:color w:val="000000"/>
        </w:rPr>
        <w:t>(Vol. 126, pp. 17–31). S. Karger AG. https://doi.org/10.1159/000527936.</w:t>
      </w:r>
    </w:p>
    <w:p w14:paraId="2091847E"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Mauro, R. R., Vela, A. J., &amp; Ronda, F. (2023). Impact of Starch Concentration on the Pasting and Rheological Properties of Gluten-Free Gels. Effects of Amylose Content and Thermal and Hydration Properties. </w:t>
      </w:r>
      <w:r w:rsidRPr="005E68D8">
        <w:rPr>
          <w:rFonts w:ascii="Arial" w:hAnsi="Arial" w:cs="Arial"/>
          <w:i/>
          <w:iCs/>
          <w:color w:val="000000"/>
        </w:rPr>
        <w:t>Foods</w:t>
      </w:r>
      <w:r w:rsidRPr="005E68D8">
        <w:rPr>
          <w:rFonts w:ascii="Arial" w:hAnsi="Arial" w:cs="Arial"/>
          <w:color w:val="000000"/>
        </w:rPr>
        <w:t xml:space="preserve">, </w:t>
      </w:r>
      <w:r w:rsidRPr="005E68D8">
        <w:rPr>
          <w:rFonts w:ascii="Arial" w:hAnsi="Arial" w:cs="Arial"/>
          <w:i/>
          <w:iCs/>
          <w:color w:val="000000"/>
        </w:rPr>
        <w:t>12</w:t>
      </w:r>
      <w:r w:rsidRPr="005E68D8">
        <w:rPr>
          <w:rFonts w:ascii="Arial" w:hAnsi="Arial" w:cs="Arial"/>
          <w:color w:val="000000"/>
        </w:rPr>
        <w:t>(12). https://doi.org/10.3390/foods12122281.</w:t>
      </w:r>
    </w:p>
    <w:p w14:paraId="0994A799"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Messina, M. (2022). Perspective: Soybeans Can Help Address the Caloric and Protein Needs of a Growing Global Population. </w:t>
      </w:r>
      <w:r w:rsidRPr="005E68D8">
        <w:rPr>
          <w:rFonts w:ascii="Arial" w:hAnsi="Arial" w:cs="Arial"/>
          <w:i/>
          <w:iCs/>
          <w:color w:val="000000"/>
        </w:rPr>
        <w:t>Frontiers in Nutrition</w:t>
      </w:r>
      <w:r w:rsidRPr="005E68D8">
        <w:rPr>
          <w:rFonts w:ascii="Arial" w:hAnsi="Arial" w:cs="Arial"/>
          <w:color w:val="000000"/>
        </w:rPr>
        <w:t xml:space="preserve">, </w:t>
      </w:r>
      <w:r w:rsidRPr="005E68D8">
        <w:rPr>
          <w:rFonts w:ascii="Arial" w:hAnsi="Arial" w:cs="Arial"/>
          <w:i/>
          <w:iCs/>
          <w:color w:val="000000"/>
        </w:rPr>
        <w:t>9</w:t>
      </w:r>
      <w:r w:rsidRPr="005E68D8">
        <w:rPr>
          <w:rFonts w:ascii="Arial" w:hAnsi="Arial" w:cs="Arial"/>
          <w:color w:val="000000"/>
        </w:rPr>
        <w:t>.</w:t>
      </w:r>
      <w:r w:rsidRPr="005E68D8">
        <w:rPr>
          <w:rFonts w:ascii="Arial" w:hAnsi="Arial" w:cs="Arial"/>
          <w:color w:val="000000"/>
        </w:rPr>
        <w:br/>
        <w:t>https://doi.org/10.3389/fnut.2022.909464.</w:t>
      </w:r>
    </w:p>
    <w:p w14:paraId="26EE598C"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Morris, A. L., &amp; Mohiuddin, S. S. (2020). Biochemistry, Nutrients. In </w:t>
      </w:r>
      <w:proofErr w:type="spellStart"/>
      <w:r w:rsidRPr="005E68D8">
        <w:rPr>
          <w:rFonts w:ascii="Arial" w:hAnsi="Arial" w:cs="Arial"/>
          <w:i/>
          <w:iCs/>
          <w:color w:val="000000"/>
        </w:rPr>
        <w:t>StatPearls</w:t>
      </w:r>
      <w:proofErr w:type="spellEnd"/>
      <w:r w:rsidRPr="005E68D8">
        <w:rPr>
          <w:rFonts w:ascii="Arial" w:hAnsi="Arial" w:cs="Arial"/>
          <w:i/>
          <w:iCs/>
          <w:color w:val="000000"/>
        </w:rPr>
        <w:t xml:space="preserve"> {internet]. </w:t>
      </w:r>
      <w:r w:rsidRPr="005E68D8">
        <w:rPr>
          <w:rStyle w:val="bkciteavail"/>
          <w:rFonts w:ascii="Arial" w:hAnsi="Arial" w:cs="Arial"/>
        </w:rPr>
        <w:t>https://www.ncbi.nlm.nih.gov/books/NBK554545/</w:t>
      </w:r>
    </w:p>
    <w:p w14:paraId="20EE15D8"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Mshayisa</w:t>
      </w:r>
      <w:proofErr w:type="spellEnd"/>
      <w:r w:rsidRPr="005E68D8">
        <w:rPr>
          <w:rFonts w:ascii="Arial" w:hAnsi="Arial" w:cs="Arial"/>
          <w:color w:val="000000"/>
        </w:rPr>
        <w:t>, V. V., Van Wyk, J., &amp; Zozo, B. (2022). Nutritional, Techno-Functional and Structural Properties of Black Soldier Fly (</w:t>
      </w:r>
      <w:proofErr w:type="spellStart"/>
      <w:r w:rsidRPr="005E68D8">
        <w:rPr>
          <w:rFonts w:ascii="Arial" w:hAnsi="Arial" w:cs="Arial"/>
          <w:color w:val="000000"/>
        </w:rPr>
        <w:t>Hermetia</w:t>
      </w:r>
      <w:proofErr w:type="spellEnd"/>
      <w:r w:rsidRPr="005E68D8">
        <w:rPr>
          <w:rFonts w:ascii="Arial" w:hAnsi="Arial" w:cs="Arial"/>
          <w:color w:val="000000"/>
        </w:rPr>
        <w:t xml:space="preserve"> </w:t>
      </w:r>
      <w:proofErr w:type="spellStart"/>
      <w:r w:rsidRPr="005E68D8">
        <w:rPr>
          <w:rFonts w:ascii="Arial" w:hAnsi="Arial" w:cs="Arial"/>
          <w:color w:val="000000"/>
        </w:rPr>
        <w:t>illucens</w:t>
      </w:r>
      <w:proofErr w:type="spellEnd"/>
      <w:r w:rsidRPr="005E68D8">
        <w:rPr>
          <w:rFonts w:ascii="Arial" w:hAnsi="Arial" w:cs="Arial"/>
          <w:color w:val="000000"/>
        </w:rPr>
        <w:t xml:space="preserve">) Larvae Flours and Protein Concentrates. </w:t>
      </w:r>
      <w:r w:rsidRPr="005E68D8">
        <w:rPr>
          <w:rFonts w:ascii="Arial" w:hAnsi="Arial" w:cs="Arial"/>
          <w:i/>
          <w:iCs/>
          <w:color w:val="000000"/>
        </w:rPr>
        <w:t>Foods</w:t>
      </w:r>
      <w:r w:rsidRPr="005E68D8">
        <w:rPr>
          <w:rFonts w:ascii="Arial" w:hAnsi="Arial" w:cs="Arial"/>
          <w:color w:val="000000"/>
        </w:rPr>
        <w:t xml:space="preserve">, </w:t>
      </w:r>
      <w:r w:rsidRPr="005E68D8">
        <w:rPr>
          <w:rFonts w:ascii="Arial" w:hAnsi="Arial" w:cs="Arial"/>
          <w:iCs/>
          <w:color w:val="000000"/>
        </w:rPr>
        <w:t>11</w:t>
      </w:r>
      <w:r w:rsidRPr="005E68D8">
        <w:rPr>
          <w:rFonts w:ascii="Arial" w:hAnsi="Arial" w:cs="Arial"/>
          <w:color w:val="000000"/>
        </w:rPr>
        <w:t>(5), 724. https://doi.org/10.3390/foods11050724.</w:t>
      </w:r>
    </w:p>
    <w:p w14:paraId="68C8CBF8"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Munteanu, C., </w:t>
      </w:r>
      <w:proofErr w:type="spellStart"/>
      <w:r w:rsidRPr="005E68D8">
        <w:rPr>
          <w:rFonts w:ascii="Arial" w:hAnsi="Arial" w:cs="Arial"/>
          <w:color w:val="000000"/>
        </w:rPr>
        <w:t>Berindean</w:t>
      </w:r>
      <w:proofErr w:type="spellEnd"/>
      <w:r w:rsidRPr="005E68D8">
        <w:rPr>
          <w:rFonts w:ascii="Arial" w:hAnsi="Arial" w:cs="Arial"/>
          <w:color w:val="000000"/>
        </w:rPr>
        <w:t xml:space="preserve">, I., Mihai, M., Pop, B., Popa, M., Muntean, L., Petrescu, O., &amp; Ona, A. (2023). E, K, B5, B6, and B9 vitamins and their specific immunological effects evaluated by flow cytometry. In </w:t>
      </w:r>
      <w:r w:rsidRPr="005E68D8">
        <w:rPr>
          <w:rFonts w:ascii="Arial" w:hAnsi="Arial" w:cs="Arial"/>
          <w:i/>
          <w:iCs/>
          <w:color w:val="000000"/>
        </w:rPr>
        <w:t xml:space="preserve">Frontiers in Medicine </w:t>
      </w:r>
      <w:r w:rsidRPr="005E68D8">
        <w:rPr>
          <w:rFonts w:ascii="Arial" w:hAnsi="Arial" w:cs="Arial"/>
          <w:color w:val="000000"/>
        </w:rPr>
        <w:t>(Vol. 9).</w:t>
      </w:r>
      <w:r w:rsidRPr="005E68D8">
        <w:rPr>
          <w:rFonts w:ascii="Arial" w:hAnsi="Arial" w:cs="Arial"/>
          <w:color w:val="000000"/>
        </w:rPr>
        <w:br/>
        <w:t>https://doi.org/10.3389/fmed.2022.1089476.</w:t>
      </w:r>
    </w:p>
    <w:p w14:paraId="7A45D463"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Nair, R., &amp; Maseeh, A. (2012). Vitamin D: The sunshine vitamin. In </w:t>
      </w:r>
      <w:r w:rsidRPr="005E68D8">
        <w:rPr>
          <w:rFonts w:ascii="Arial" w:hAnsi="Arial" w:cs="Arial"/>
          <w:i/>
          <w:iCs/>
          <w:color w:val="000000"/>
        </w:rPr>
        <w:t xml:space="preserve">Journal of Pharmacology and Pharmacotherapeutics </w:t>
      </w:r>
      <w:r w:rsidRPr="005E68D8">
        <w:rPr>
          <w:rFonts w:ascii="Arial" w:hAnsi="Arial" w:cs="Arial"/>
          <w:color w:val="000000"/>
        </w:rPr>
        <w:t>(Vol. 3, Issue 2). https://doi.org/10.4103/0976-500X.95506.</w:t>
      </w:r>
    </w:p>
    <w:p w14:paraId="63F1DE5C"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Ohizua</w:t>
      </w:r>
      <w:proofErr w:type="spellEnd"/>
      <w:r w:rsidRPr="005E68D8">
        <w:rPr>
          <w:rFonts w:ascii="Arial" w:hAnsi="Arial" w:cs="Arial"/>
          <w:color w:val="000000"/>
        </w:rPr>
        <w:t xml:space="preserve">, E. R., Adeola, A. A., Idowu, M. A., </w:t>
      </w:r>
      <w:proofErr w:type="spellStart"/>
      <w:r w:rsidRPr="005E68D8">
        <w:rPr>
          <w:rFonts w:ascii="Arial" w:hAnsi="Arial" w:cs="Arial"/>
          <w:color w:val="000000"/>
        </w:rPr>
        <w:t>Sobukola</w:t>
      </w:r>
      <w:proofErr w:type="spellEnd"/>
      <w:r w:rsidRPr="005E68D8">
        <w:rPr>
          <w:rFonts w:ascii="Arial" w:hAnsi="Arial" w:cs="Arial"/>
          <w:color w:val="000000"/>
        </w:rPr>
        <w:t>, O. P., Afolabi, T. A., Ishola, R. O.,</w:t>
      </w:r>
      <w:r w:rsidRPr="005E68D8">
        <w:rPr>
          <w:rFonts w:ascii="Arial" w:hAnsi="Arial" w:cs="Arial"/>
          <w:color w:val="000000"/>
        </w:rPr>
        <w:br/>
      </w:r>
      <w:proofErr w:type="spellStart"/>
      <w:r w:rsidRPr="005E68D8">
        <w:rPr>
          <w:rFonts w:ascii="Arial" w:hAnsi="Arial" w:cs="Arial"/>
          <w:color w:val="000000"/>
        </w:rPr>
        <w:t>Ayansina</w:t>
      </w:r>
      <w:proofErr w:type="spellEnd"/>
      <w:r w:rsidRPr="005E68D8">
        <w:rPr>
          <w:rFonts w:ascii="Arial" w:hAnsi="Arial" w:cs="Arial"/>
          <w:color w:val="000000"/>
        </w:rPr>
        <w:t xml:space="preserve">, S. O., </w:t>
      </w:r>
      <w:proofErr w:type="spellStart"/>
      <w:r w:rsidRPr="005E68D8">
        <w:rPr>
          <w:rFonts w:ascii="Arial" w:hAnsi="Arial" w:cs="Arial"/>
          <w:color w:val="000000"/>
        </w:rPr>
        <w:t>Oyekale</w:t>
      </w:r>
      <w:proofErr w:type="spellEnd"/>
      <w:r w:rsidRPr="005E68D8">
        <w:rPr>
          <w:rFonts w:ascii="Arial" w:hAnsi="Arial" w:cs="Arial"/>
          <w:color w:val="000000"/>
        </w:rPr>
        <w:t xml:space="preserve">, T. O., &amp; Falomo, A. (2017). Nutrient composition, functional, and pasting properties of unripe cooking banana, pigeon pea, and </w:t>
      </w:r>
      <w:proofErr w:type="spellStart"/>
      <w:r w:rsidRPr="005E68D8">
        <w:rPr>
          <w:rFonts w:ascii="Arial" w:hAnsi="Arial" w:cs="Arial"/>
          <w:color w:val="000000"/>
        </w:rPr>
        <w:t>sweetpotato</w:t>
      </w:r>
      <w:proofErr w:type="spellEnd"/>
      <w:r w:rsidRPr="005E68D8">
        <w:rPr>
          <w:rFonts w:ascii="Arial" w:hAnsi="Arial" w:cs="Arial"/>
          <w:color w:val="000000"/>
        </w:rPr>
        <w:t xml:space="preserve"> flour blends. </w:t>
      </w:r>
      <w:r w:rsidRPr="005E68D8">
        <w:rPr>
          <w:rFonts w:ascii="Arial" w:hAnsi="Arial" w:cs="Arial"/>
          <w:i/>
          <w:iCs/>
          <w:color w:val="000000"/>
        </w:rPr>
        <w:t>Food Science and Nutrition</w:t>
      </w:r>
      <w:r w:rsidRPr="005E68D8">
        <w:rPr>
          <w:rFonts w:ascii="Arial" w:hAnsi="Arial" w:cs="Arial"/>
          <w:color w:val="000000"/>
        </w:rPr>
        <w:t xml:space="preserve">, </w:t>
      </w:r>
      <w:r w:rsidRPr="005E68D8">
        <w:rPr>
          <w:rFonts w:ascii="Arial" w:hAnsi="Arial" w:cs="Arial"/>
          <w:i/>
          <w:iCs/>
          <w:color w:val="000000"/>
        </w:rPr>
        <w:t>5</w:t>
      </w:r>
      <w:r w:rsidRPr="005E68D8">
        <w:rPr>
          <w:rFonts w:ascii="Arial" w:hAnsi="Arial" w:cs="Arial"/>
          <w:color w:val="000000"/>
        </w:rPr>
        <w:t>(3). https://doi.org/10.1002/fsn3.455.</w:t>
      </w:r>
    </w:p>
    <w:p w14:paraId="50EC6E20"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Oladebeye</w:t>
      </w:r>
      <w:proofErr w:type="spellEnd"/>
      <w:r w:rsidRPr="005E68D8">
        <w:rPr>
          <w:rFonts w:ascii="Arial" w:hAnsi="Arial" w:cs="Arial"/>
          <w:color w:val="000000"/>
        </w:rPr>
        <w:t xml:space="preserve">, A. O., &amp; </w:t>
      </w:r>
      <w:proofErr w:type="spellStart"/>
      <w:r w:rsidRPr="005E68D8">
        <w:rPr>
          <w:rFonts w:ascii="Arial" w:hAnsi="Arial" w:cs="Arial"/>
          <w:color w:val="000000"/>
        </w:rPr>
        <w:t>Oladebeye</w:t>
      </w:r>
      <w:proofErr w:type="spellEnd"/>
      <w:r w:rsidRPr="005E68D8">
        <w:rPr>
          <w:rFonts w:ascii="Arial" w:hAnsi="Arial" w:cs="Arial"/>
          <w:color w:val="000000"/>
        </w:rPr>
        <w:t xml:space="preserve">, A. A. (2023). Physicochemical and Nutritional Properties of Baby-Led Cookies Produced from Rice, Banana and Cashew-nut Flour Blends. </w:t>
      </w:r>
      <w:r w:rsidRPr="005E68D8">
        <w:rPr>
          <w:rFonts w:ascii="Arial" w:hAnsi="Arial" w:cs="Arial"/>
          <w:i/>
          <w:iCs/>
          <w:color w:val="000000"/>
        </w:rPr>
        <w:t>European Journal of Nutrition &amp; Food Safety</w:t>
      </w:r>
      <w:r w:rsidRPr="005E68D8">
        <w:rPr>
          <w:rFonts w:ascii="Arial" w:hAnsi="Arial" w:cs="Arial"/>
          <w:color w:val="000000"/>
        </w:rPr>
        <w:t xml:space="preserve">, </w:t>
      </w:r>
      <w:r w:rsidRPr="005E68D8">
        <w:rPr>
          <w:rFonts w:ascii="Arial" w:hAnsi="Arial" w:cs="Arial"/>
          <w:i/>
          <w:iCs/>
          <w:color w:val="000000"/>
        </w:rPr>
        <w:t>15</w:t>
      </w:r>
      <w:r w:rsidRPr="005E68D8">
        <w:rPr>
          <w:rFonts w:ascii="Arial" w:hAnsi="Arial" w:cs="Arial"/>
          <w:color w:val="000000"/>
        </w:rPr>
        <w:t>(7). https://doi.org/10.9734/ejnfs/2023/v15i71318.</w:t>
      </w:r>
    </w:p>
    <w:p w14:paraId="1949A163"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Oladebeye</w:t>
      </w:r>
      <w:proofErr w:type="spellEnd"/>
      <w:r w:rsidRPr="005E68D8">
        <w:rPr>
          <w:rFonts w:ascii="Arial" w:hAnsi="Arial" w:cs="Arial"/>
          <w:color w:val="000000"/>
        </w:rPr>
        <w:t>, A. O., Oshodi, A. A., Amoo, I. A., &amp; Karim, A. A. (2018). Gaseous Ozonation of Pigeon Pea, Lima Bean, and Jack Bean Starches: Functional, Thermal, and Molecular</w:t>
      </w:r>
      <w:r w:rsidRPr="005E68D8">
        <w:rPr>
          <w:rFonts w:ascii="Arial" w:hAnsi="Arial" w:cs="Arial"/>
          <w:color w:val="000000"/>
        </w:rPr>
        <w:br/>
        <w:t xml:space="preserve">Properties. </w:t>
      </w:r>
      <w:r w:rsidRPr="005E68D8">
        <w:rPr>
          <w:rFonts w:ascii="Arial" w:hAnsi="Arial" w:cs="Arial"/>
          <w:i/>
          <w:iCs/>
          <w:color w:val="000000"/>
        </w:rPr>
        <w:t>Starch/Starke</w:t>
      </w:r>
      <w:r w:rsidRPr="005E68D8">
        <w:rPr>
          <w:rFonts w:ascii="Arial" w:hAnsi="Arial" w:cs="Arial"/>
          <w:color w:val="000000"/>
        </w:rPr>
        <w:t xml:space="preserve">, </w:t>
      </w:r>
      <w:r w:rsidRPr="005E68D8">
        <w:rPr>
          <w:rFonts w:ascii="Arial" w:hAnsi="Arial" w:cs="Arial"/>
          <w:iCs/>
          <w:color w:val="000000"/>
        </w:rPr>
        <w:t>70</w:t>
      </w:r>
      <w:r w:rsidRPr="005E68D8">
        <w:rPr>
          <w:rFonts w:ascii="Arial" w:hAnsi="Arial" w:cs="Arial"/>
          <w:color w:val="000000"/>
        </w:rPr>
        <w:t>(11–12). https://doi.org/10.1002/star.201700367.</w:t>
      </w:r>
    </w:p>
    <w:p w14:paraId="38C10BB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Oppong, D., Arthur, E., Kwadwo, S., Badu, E., &amp; Sakyi, P. (2015). Proximate Composition and Some Functional Properties of Soft Wheat Flour. </w:t>
      </w:r>
      <w:r w:rsidRPr="005E68D8">
        <w:rPr>
          <w:rFonts w:ascii="Arial" w:hAnsi="Arial" w:cs="Arial"/>
          <w:i/>
          <w:iCs/>
          <w:color w:val="000000"/>
        </w:rPr>
        <w:t>International Journal of Innovative</w:t>
      </w:r>
      <w:r w:rsidRPr="005E68D8">
        <w:rPr>
          <w:rFonts w:ascii="Arial" w:hAnsi="Arial" w:cs="Arial"/>
          <w:i/>
          <w:iCs/>
          <w:color w:val="000000"/>
        </w:rPr>
        <w:br/>
        <w:t>Research in Science, Engineering and Technology</w:t>
      </w:r>
      <w:r w:rsidRPr="005E68D8">
        <w:rPr>
          <w:rFonts w:ascii="Arial" w:hAnsi="Arial" w:cs="Arial"/>
          <w:color w:val="000000"/>
        </w:rPr>
        <w:t>, 4 (2): 753 – 758. doi:10.15680/IJIRSET.2015.0402097</w:t>
      </w:r>
    </w:p>
    <w:p w14:paraId="60EA25AB"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Popoola, J. O., Ojuederie, O. B., </w:t>
      </w:r>
      <w:proofErr w:type="spellStart"/>
      <w:r w:rsidRPr="005E68D8">
        <w:rPr>
          <w:rFonts w:ascii="Arial" w:hAnsi="Arial" w:cs="Arial"/>
          <w:color w:val="000000"/>
        </w:rPr>
        <w:t>Aworunse</w:t>
      </w:r>
      <w:proofErr w:type="spellEnd"/>
      <w:r w:rsidRPr="005E68D8">
        <w:rPr>
          <w:rFonts w:ascii="Arial" w:hAnsi="Arial" w:cs="Arial"/>
          <w:color w:val="000000"/>
        </w:rPr>
        <w:t xml:space="preserve">, O. S., Adelekan, A., </w:t>
      </w:r>
      <w:proofErr w:type="spellStart"/>
      <w:r w:rsidRPr="005E68D8">
        <w:rPr>
          <w:rFonts w:ascii="Arial" w:hAnsi="Arial" w:cs="Arial"/>
          <w:color w:val="000000"/>
        </w:rPr>
        <w:t>Oyelakin</w:t>
      </w:r>
      <w:proofErr w:type="spellEnd"/>
      <w:r w:rsidRPr="005E68D8">
        <w:rPr>
          <w:rFonts w:ascii="Arial" w:hAnsi="Arial" w:cs="Arial"/>
          <w:color w:val="000000"/>
        </w:rPr>
        <w:t xml:space="preserve">, A. S., </w:t>
      </w:r>
      <w:proofErr w:type="spellStart"/>
      <w:r w:rsidRPr="005E68D8">
        <w:rPr>
          <w:rFonts w:ascii="Arial" w:hAnsi="Arial" w:cs="Arial"/>
          <w:color w:val="000000"/>
        </w:rPr>
        <w:t>Oyesola</w:t>
      </w:r>
      <w:proofErr w:type="spellEnd"/>
      <w:r w:rsidRPr="005E68D8">
        <w:rPr>
          <w:rFonts w:ascii="Arial" w:hAnsi="Arial" w:cs="Arial"/>
          <w:color w:val="000000"/>
        </w:rPr>
        <w:t xml:space="preserve">, O. L., </w:t>
      </w:r>
      <w:proofErr w:type="spellStart"/>
      <w:r w:rsidRPr="005E68D8">
        <w:rPr>
          <w:rFonts w:ascii="Arial" w:hAnsi="Arial" w:cs="Arial"/>
          <w:color w:val="000000"/>
        </w:rPr>
        <w:t>Akinduti</w:t>
      </w:r>
      <w:proofErr w:type="spellEnd"/>
      <w:r w:rsidRPr="005E68D8">
        <w:rPr>
          <w:rFonts w:ascii="Arial" w:hAnsi="Arial" w:cs="Arial"/>
          <w:color w:val="000000"/>
        </w:rPr>
        <w:t xml:space="preserve">, P. A., </w:t>
      </w:r>
      <w:proofErr w:type="spellStart"/>
      <w:r w:rsidRPr="005E68D8">
        <w:rPr>
          <w:rFonts w:ascii="Arial" w:hAnsi="Arial" w:cs="Arial"/>
          <w:color w:val="000000"/>
        </w:rPr>
        <w:t>Dahunsi</w:t>
      </w:r>
      <w:proofErr w:type="spellEnd"/>
      <w:r w:rsidRPr="005E68D8">
        <w:rPr>
          <w:rFonts w:ascii="Arial" w:hAnsi="Arial" w:cs="Arial"/>
          <w:color w:val="000000"/>
        </w:rPr>
        <w:t xml:space="preserve">, S. O., Adegboyega, T. T., </w:t>
      </w:r>
      <w:proofErr w:type="spellStart"/>
      <w:r w:rsidRPr="005E68D8">
        <w:rPr>
          <w:rFonts w:ascii="Arial" w:hAnsi="Arial" w:cs="Arial"/>
          <w:color w:val="000000"/>
        </w:rPr>
        <w:t>Oranusi</w:t>
      </w:r>
      <w:proofErr w:type="spellEnd"/>
      <w:r w:rsidRPr="005E68D8">
        <w:rPr>
          <w:rFonts w:ascii="Arial" w:hAnsi="Arial" w:cs="Arial"/>
          <w:color w:val="000000"/>
        </w:rPr>
        <w:t xml:space="preserve">, S. U., </w:t>
      </w:r>
      <w:proofErr w:type="spellStart"/>
      <w:r w:rsidRPr="005E68D8">
        <w:rPr>
          <w:rFonts w:ascii="Arial" w:hAnsi="Arial" w:cs="Arial"/>
          <w:color w:val="000000"/>
        </w:rPr>
        <w:t>Ayilara</w:t>
      </w:r>
      <w:proofErr w:type="spellEnd"/>
      <w:r w:rsidRPr="005E68D8">
        <w:rPr>
          <w:rFonts w:ascii="Arial" w:hAnsi="Arial" w:cs="Arial"/>
          <w:color w:val="000000"/>
        </w:rPr>
        <w:t xml:space="preserve">, M. S., &amp; </w:t>
      </w:r>
      <w:proofErr w:type="spellStart"/>
      <w:r w:rsidRPr="005E68D8">
        <w:rPr>
          <w:rFonts w:ascii="Arial" w:hAnsi="Arial" w:cs="Arial"/>
          <w:color w:val="000000"/>
        </w:rPr>
        <w:t>Omonhinmin</w:t>
      </w:r>
      <w:proofErr w:type="spellEnd"/>
      <w:r w:rsidRPr="005E68D8">
        <w:rPr>
          <w:rFonts w:ascii="Arial" w:hAnsi="Arial" w:cs="Arial"/>
          <w:color w:val="000000"/>
        </w:rPr>
        <w:t xml:space="preserve">, C. A. (2023). Nutritional, functional, and bioactive properties of </w:t>
      </w:r>
      <w:proofErr w:type="spellStart"/>
      <w:r w:rsidRPr="005E68D8">
        <w:rPr>
          <w:rFonts w:ascii="Arial" w:hAnsi="Arial" w:cs="Arial"/>
          <w:color w:val="000000"/>
        </w:rPr>
        <w:t>african</w:t>
      </w:r>
      <w:proofErr w:type="spellEnd"/>
      <w:r w:rsidRPr="005E68D8">
        <w:rPr>
          <w:rFonts w:ascii="Arial" w:hAnsi="Arial" w:cs="Arial"/>
          <w:color w:val="000000"/>
        </w:rPr>
        <w:br/>
        <w:t xml:space="preserve">underutilized legumes. In </w:t>
      </w:r>
      <w:r w:rsidRPr="005E68D8">
        <w:rPr>
          <w:rFonts w:ascii="Arial" w:hAnsi="Arial" w:cs="Arial"/>
          <w:i/>
          <w:iCs/>
          <w:color w:val="000000"/>
        </w:rPr>
        <w:t xml:space="preserve">Frontiers in Plant Science </w:t>
      </w:r>
      <w:r w:rsidRPr="005E68D8">
        <w:rPr>
          <w:rFonts w:ascii="Arial" w:hAnsi="Arial" w:cs="Arial"/>
          <w:color w:val="000000"/>
        </w:rPr>
        <w:t>(Vol. 14).</w:t>
      </w:r>
      <w:r w:rsidRPr="005E68D8">
        <w:rPr>
          <w:rFonts w:ascii="Arial" w:hAnsi="Arial" w:cs="Arial"/>
          <w:color w:val="000000"/>
        </w:rPr>
        <w:br/>
        <w:t>https://doi.org/10.3389/fpls.2023.1105364.</w:t>
      </w:r>
    </w:p>
    <w:p w14:paraId="11B3FCF2"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Popova, A., &amp; </w:t>
      </w:r>
      <w:proofErr w:type="spellStart"/>
      <w:r w:rsidRPr="005E68D8">
        <w:rPr>
          <w:rFonts w:ascii="Arial" w:hAnsi="Arial" w:cs="Arial"/>
          <w:color w:val="000000"/>
        </w:rPr>
        <w:t>Mihaylova</w:t>
      </w:r>
      <w:proofErr w:type="spellEnd"/>
      <w:r w:rsidRPr="005E68D8">
        <w:rPr>
          <w:rFonts w:ascii="Arial" w:hAnsi="Arial" w:cs="Arial"/>
          <w:color w:val="000000"/>
        </w:rPr>
        <w:t xml:space="preserve">, D. (2019). Antinutrients in Plant-based Foods: A Review. </w:t>
      </w:r>
      <w:r w:rsidRPr="005E68D8">
        <w:rPr>
          <w:rFonts w:ascii="Arial" w:hAnsi="Arial" w:cs="Arial"/>
          <w:i/>
          <w:iCs/>
          <w:color w:val="000000"/>
        </w:rPr>
        <w:t>The Open Biotechnology Journal</w:t>
      </w:r>
      <w:r w:rsidRPr="005E68D8">
        <w:rPr>
          <w:rFonts w:ascii="Arial" w:hAnsi="Arial" w:cs="Arial"/>
          <w:color w:val="000000"/>
        </w:rPr>
        <w:t xml:space="preserve">, </w:t>
      </w:r>
      <w:r w:rsidRPr="005E68D8">
        <w:rPr>
          <w:rFonts w:ascii="Arial" w:hAnsi="Arial" w:cs="Arial"/>
          <w:i/>
          <w:iCs/>
          <w:color w:val="000000"/>
        </w:rPr>
        <w:t>13</w:t>
      </w:r>
      <w:r w:rsidRPr="005E68D8">
        <w:rPr>
          <w:rFonts w:ascii="Arial" w:hAnsi="Arial" w:cs="Arial"/>
          <w:color w:val="000000"/>
        </w:rPr>
        <w:t>(1). https://doi.org/10.2174/1874070701913010068</w:t>
      </w:r>
    </w:p>
    <w:p w14:paraId="40FB920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Rodriguez-Amaya, D., &amp; Kimura, M. (2004). </w:t>
      </w:r>
      <w:r w:rsidRPr="005E68D8">
        <w:rPr>
          <w:rFonts w:ascii="Arial" w:hAnsi="Arial" w:cs="Arial"/>
        </w:rPr>
        <w:t>Harvest Plus Handbook for Carotenoid Analysis. Washington, DC and Cali: IFPRI and CIAT, 58. (Harvest Plus Technical Monograph, 2).</w:t>
      </w:r>
      <w:r w:rsidRPr="005E68D8">
        <w:rPr>
          <w:rFonts w:ascii="Arial" w:hAnsi="Arial" w:cs="Arial"/>
          <w:color w:val="000000"/>
        </w:rPr>
        <w:t xml:space="preserve"> </w:t>
      </w:r>
    </w:p>
    <w:p w14:paraId="0E1CEBC9"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Shukla, V., Srivastava, S., Singh, S., Mursal, M., &amp; Hussain, S. (2024). Unveiling the intricacies of phytate antinutrients in millets and their therapeutic implications in breast cancer. In </w:t>
      </w:r>
      <w:r w:rsidRPr="005E68D8">
        <w:rPr>
          <w:rFonts w:ascii="Arial" w:hAnsi="Arial" w:cs="Arial"/>
          <w:i/>
          <w:iCs/>
          <w:color w:val="000000"/>
        </w:rPr>
        <w:t xml:space="preserve">Intelligent Pharmacy </w:t>
      </w:r>
      <w:r w:rsidRPr="005E68D8">
        <w:rPr>
          <w:rFonts w:ascii="Arial" w:hAnsi="Arial" w:cs="Arial"/>
          <w:color w:val="000000"/>
        </w:rPr>
        <w:t>(Vol. 2, Issue 4). https://doi.org/10.1016/j.ipha.2023.12.005.</w:t>
      </w:r>
    </w:p>
    <w:p w14:paraId="068E3313"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lastRenderedPageBreak/>
        <w:t>Siamabele</w:t>
      </w:r>
      <w:proofErr w:type="spellEnd"/>
      <w:r w:rsidRPr="005E68D8">
        <w:rPr>
          <w:rFonts w:ascii="Arial" w:hAnsi="Arial" w:cs="Arial"/>
          <w:color w:val="000000"/>
        </w:rPr>
        <w:t xml:space="preserve">, B. (2021). The significance of soybean production in the face of changing climates in Africa. In </w:t>
      </w:r>
      <w:r w:rsidRPr="005E68D8">
        <w:rPr>
          <w:rFonts w:ascii="Arial" w:hAnsi="Arial" w:cs="Arial"/>
          <w:i/>
          <w:iCs/>
          <w:color w:val="000000"/>
        </w:rPr>
        <w:t xml:space="preserve">Cogent Food and Agriculture </w:t>
      </w:r>
      <w:r w:rsidRPr="005E68D8">
        <w:rPr>
          <w:rFonts w:ascii="Arial" w:hAnsi="Arial" w:cs="Arial"/>
          <w:color w:val="000000"/>
        </w:rPr>
        <w:t>(Vol. 7, Issue 1).</w:t>
      </w:r>
      <w:r w:rsidRPr="005E68D8">
        <w:rPr>
          <w:rFonts w:ascii="Arial" w:hAnsi="Arial" w:cs="Arial"/>
          <w:color w:val="000000"/>
        </w:rPr>
        <w:br/>
        <w:t>https://doi.org/10.1080/23311932.2021.1933745.</w:t>
      </w:r>
    </w:p>
    <w:p w14:paraId="184A0418"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Truswell, A. S. (2002). Cereal grains and coronary heart disease. In </w:t>
      </w:r>
      <w:r w:rsidRPr="005E68D8">
        <w:rPr>
          <w:rFonts w:ascii="Arial" w:hAnsi="Arial" w:cs="Arial"/>
          <w:i/>
          <w:iCs/>
          <w:color w:val="000000"/>
        </w:rPr>
        <w:t xml:space="preserve">European Journal of Clinical Nutrition </w:t>
      </w:r>
      <w:r w:rsidRPr="005E68D8">
        <w:rPr>
          <w:rFonts w:ascii="Arial" w:hAnsi="Arial" w:cs="Arial"/>
          <w:color w:val="000000"/>
        </w:rPr>
        <w:t>(Vol. 56, Issue 1). https://doi.org/10.1038/sj.ejcn.1601283.</w:t>
      </w:r>
    </w:p>
    <w:p w14:paraId="6A8BDC4A"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Wabali</w:t>
      </w:r>
      <w:proofErr w:type="spellEnd"/>
      <w:r w:rsidRPr="005E68D8">
        <w:rPr>
          <w:rFonts w:ascii="Arial" w:hAnsi="Arial" w:cs="Arial"/>
          <w:color w:val="000000"/>
        </w:rPr>
        <w:t xml:space="preserve">, V. C., </w:t>
      </w:r>
      <w:proofErr w:type="spellStart"/>
      <w:r w:rsidRPr="005E68D8">
        <w:rPr>
          <w:rFonts w:ascii="Arial" w:hAnsi="Arial" w:cs="Arial"/>
          <w:color w:val="000000"/>
        </w:rPr>
        <w:t>Giami</w:t>
      </w:r>
      <w:proofErr w:type="spellEnd"/>
      <w:r w:rsidRPr="005E68D8">
        <w:rPr>
          <w:rFonts w:ascii="Arial" w:hAnsi="Arial" w:cs="Arial"/>
          <w:color w:val="000000"/>
        </w:rPr>
        <w:t xml:space="preserve">, S. Y., Kiin-Kabari, D. B., &amp; </w:t>
      </w:r>
      <w:proofErr w:type="spellStart"/>
      <w:r w:rsidRPr="005E68D8">
        <w:rPr>
          <w:rFonts w:ascii="Arial" w:hAnsi="Arial" w:cs="Arial"/>
          <w:color w:val="000000"/>
        </w:rPr>
        <w:t>Akusu</w:t>
      </w:r>
      <w:proofErr w:type="spellEnd"/>
      <w:r w:rsidRPr="005E68D8">
        <w:rPr>
          <w:rFonts w:ascii="Arial" w:hAnsi="Arial" w:cs="Arial"/>
          <w:color w:val="000000"/>
        </w:rPr>
        <w:t xml:space="preserve">, O. M. (2020). Physiochemical, Antinutrient and in-vitro Protein Digestibility of Biscuits Produced from Wheat, African Walnut and Moringa Seed Flour Blends. </w:t>
      </w:r>
      <w:r w:rsidRPr="005E68D8">
        <w:rPr>
          <w:rFonts w:ascii="Arial" w:hAnsi="Arial" w:cs="Arial"/>
          <w:i/>
          <w:iCs/>
          <w:color w:val="000000"/>
        </w:rPr>
        <w:t>Asian Food Science Journal</w:t>
      </w:r>
      <w:r w:rsidRPr="005E68D8">
        <w:rPr>
          <w:rFonts w:ascii="Arial" w:hAnsi="Arial" w:cs="Arial"/>
          <w:color w:val="000000"/>
        </w:rPr>
        <w:t>.</w:t>
      </w:r>
      <w:r w:rsidRPr="005E68D8">
        <w:rPr>
          <w:rFonts w:ascii="Arial" w:hAnsi="Arial" w:cs="Arial"/>
          <w:color w:val="000000"/>
        </w:rPr>
        <w:br/>
        <w:t>https://doi.org/10.9734/afsj/2020/v14i130120.</w:t>
      </w:r>
    </w:p>
    <w:p w14:paraId="128EFF58"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Yao, D., Ren, Q., Zhang, J., Farag, M. A., Liu, L., &amp; Liu, L. (2025). Simultaneous determination of vitamins A, D3 and E in milk and dairy foods by HPLC. </w:t>
      </w:r>
      <w:r w:rsidRPr="005E68D8">
        <w:rPr>
          <w:rFonts w:ascii="Arial" w:hAnsi="Arial" w:cs="Arial"/>
          <w:i/>
          <w:color w:val="000000"/>
        </w:rPr>
        <w:t>Journal of Food Composition and Analysis</w:t>
      </w:r>
      <w:r w:rsidRPr="005E68D8">
        <w:rPr>
          <w:rFonts w:ascii="Arial" w:hAnsi="Arial" w:cs="Arial"/>
          <w:color w:val="000000"/>
        </w:rPr>
        <w:t>, 143, 107573. https://doi.org/10.1016/j.jfca.2025.107573.</w:t>
      </w:r>
    </w:p>
    <w:p w14:paraId="12E67B22"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Zandonadi, R. P., Botelho, R. B. A., Gandolfi, L., </w:t>
      </w:r>
      <w:proofErr w:type="spellStart"/>
      <w:r w:rsidRPr="005E68D8">
        <w:rPr>
          <w:rFonts w:ascii="Arial" w:hAnsi="Arial" w:cs="Arial"/>
          <w:color w:val="000000"/>
        </w:rPr>
        <w:t>Ginani</w:t>
      </w:r>
      <w:proofErr w:type="spellEnd"/>
      <w:r w:rsidRPr="005E68D8">
        <w:rPr>
          <w:rFonts w:ascii="Arial" w:hAnsi="Arial" w:cs="Arial"/>
          <w:color w:val="000000"/>
        </w:rPr>
        <w:t xml:space="preserve">, J. S., Montenegro, F. M., &amp; Pratesi, R. (2012). Green Banana Pasta: An Alternative for Gluten-Free Diets. </w:t>
      </w:r>
      <w:r w:rsidRPr="005E68D8">
        <w:rPr>
          <w:rFonts w:ascii="Arial" w:hAnsi="Arial" w:cs="Arial"/>
          <w:i/>
          <w:iCs/>
          <w:color w:val="000000"/>
        </w:rPr>
        <w:t>Journal of the Academy of Nutrition and Dietetics</w:t>
      </w:r>
      <w:r w:rsidRPr="005E68D8">
        <w:rPr>
          <w:rFonts w:ascii="Arial" w:hAnsi="Arial" w:cs="Arial"/>
          <w:color w:val="000000"/>
        </w:rPr>
        <w:t xml:space="preserve">, </w:t>
      </w:r>
      <w:r w:rsidRPr="005E68D8">
        <w:rPr>
          <w:rFonts w:ascii="Arial" w:hAnsi="Arial" w:cs="Arial"/>
          <w:i/>
          <w:iCs/>
          <w:color w:val="000000"/>
        </w:rPr>
        <w:t>112</w:t>
      </w:r>
      <w:r w:rsidRPr="005E68D8">
        <w:rPr>
          <w:rFonts w:ascii="Arial" w:hAnsi="Arial" w:cs="Arial"/>
          <w:color w:val="000000"/>
        </w:rPr>
        <w:t>(7). https://doi.org/10.1016/j.jand.2012.04.002.</w:t>
      </w:r>
    </w:p>
    <w:p w14:paraId="2F0E889E" w14:textId="77777777" w:rsidR="00790ADA" w:rsidRPr="00C749F3" w:rsidRDefault="00790ADA" w:rsidP="00441B6F">
      <w:pPr>
        <w:pStyle w:val="ReferHead"/>
        <w:spacing w:after="0"/>
        <w:jc w:val="both"/>
        <w:rPr>
          <w:rFonts w:ascii="Arial" w:hAnsi="Arial" w:cs="Arial"/>
          <w:sz w:val="20"/>
        </w:rPr>
      </w:pPr>
    </w:p>
    <w:p w14:paraId="5B9BD0E4" w14:textId="77777777" w:rsidR="00B01FCD" w:rsidRPr="00C749F3" w:rsidRDefault="00B01FCD" w:rsidP="00441B6F">
      <w:pPr>
        <w:pStyle w:val="DefAcrHead"/>
        <w:spacing w:after="0"/>
        <w:jc w:val="both"/>
        <w:rPr>
          <w:rFonts w:ascii="Arial" w:hAnsi="Arial" w:cs="Arial"/>
          <w:sz w:val="20"/>
        </w:rPr>
      </w:pPr>
      <w:r w:rsidRPr="00C749F3">
        <w:rPr>
          <w:rFonts w:ascii="Arial" w:hAnsi="Arial" w:cs="Arial"/>
          <w:sz w:val="20"/>
        </w:rPr>
        <w:t>Abbreviations</w:t>
      </w:r>
    </w:p>
    <w:p w14:paraId="03A99D37" w14:textId="77777777" w:rsidR="002321E9" w:rsidRDefault="002321E9" w:rsidP="003D04BF">
      <w:pPr>
        <w:pStyle w:val="NoSpacing"/>
      </w:pPr>
    </w:p>
    <w:p w14:paraId="1D00E70D" w14:textId="77777777" w:rsidR="003D04BF" w:rsidRPr="00D45869" w:rsidRDefault="003D04BF" w:rsidP="003D04BF">
      <w:pPr>
        <w:pStyle w:val="NoSpacing"/>
      </w:pPr>
      <w:r w:rsidRPr="00D45869">
        <w:t xml:space="preserve">CFL = 100% Commercial </w:t>
      </w:r>
      <w:proofErr w:type="spellStart"/>
      <w:r w:rsidRPr="00D45869">
        <w:t>Nutriborn</w:t>
      </w:r>
      <w:proofErr w:type="spellEnd"/>
    </w:p>
    <w:p w14:paraId="46ACADAC" w14:textId="77777777" w:rsidR="003D04BF" w:rsidRPr="00D45869" w:rsidRDefault="003D04BF" w:rsidP="003D04BF">
      <w:pPr>
        <w:pStyle w:val="NoSpacing"/>
      </w:pPr>
      <w:r w:rsidRPr="00D45869">
        <w:t xml:space="preserve">WFL = 100% whole millet flour </w:t>
      </w:r>
    </w:p>
    <w:p w14:paraId="698F720E" w14:textId="77777777" w:rsidR="003D04BF" w:rsidRPr="00D45869" w:rsidRDefault="003D04BF" w:rsidP="003D04BF">
      <w:pPr>
        <w:pStyle w:val="NoSpacing"/>
      </w:pPr>
      <w:r w:rsidRPr="00D45869">
        <w:t>MBS</w:t>
      </w:r>
      <w:r w:rsidRPr="00D45869">
        <w:rPr>
          <w:vertAlign w:val="subscript"/>
        </w:rPr>
        <w:t xml:space="preserve">1 </w:t>
      </w:r>
      <w:r w:rsidRPr="00D45869">
        <w:t>= 60% millet; 20% banana; 20% soybeans</w:t>
      </w:r>
    </w:p>
    <w:p w14:paraId="3F17635F" w14:textId="77777777" w:rsidR="003D04BF" w:rsidRPr="00D45869" w:rsidRDefault="003D04BF" w:rsidP="003D04BF">
      <w:pPr>
        <w:pStyle w:val="NoSpacing"/>
      </w:pPr>
      <w:r w:rsidRPr="00D45869">
        <w:t>MBS</w:t>
      </w:r>
      <w:r w:rsidRPr="00D45869">
        <w:rPr>
          <w:vertAlign w:val="subscript"/>
        </w:rPr>
        <w:t>2</w:t>
      </w:r>
      <w:r w:rsidRPr="00D45869">
        <w:t xml:space="preserve"> = 50% millet; 20% banana; 30% soybeans</w:t>
      </w:r>
    </w:p>
    <w:p w14:paraId="7F4BF6A5" w14:textId="77777777" w:rsidR="003D04BF" w:rsidRPr="00D45869" w:rsidRDefault="003D04BF" w:rsidP="003D04BF">
      <w:pPr>
        <w:pStyle w:val="NoSpacing"/>
      </w:pPr>
      <w:r w:rsidRPr="00D45869">
        <w:t>LGC = Least gelation concentration</w:t>
      </w:r>
    </w:p>
    <w:p w14:paraId="20420E8E" w14:textId="77777777" w:rsidR="004D4277" w:rsidRPr="00C749F3" w:rsidRDefault="004D4277" w:rsidP="00441B6F">
      <w:pPr>
        <w:pStyle w:val="Appendix"/>
        <w:spacing w:after="0"/>
        <w:jc w:val="both"/>
        <w:rPr>
          <w:rFonts w:ascii="Arial" w:hAnsi="Arial" w:cs="Arial"/>
          <w:b w:val="0"/>
          <w:sz w:val="20"/>
        </w:rPr>
        <w:sectPr w:rsidR="004D4277" w:rsidRPr="00C749F3" w:rsidSect="006F697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13525BE" w14:textId="77777777" w:rsidR="00B01FCD" w:rsidRPr="00C749F3" w:rsidRDefault="00B01FCD" w:rsidP="00441B6F">
      <w:pPr>
        <w:pStyle w:val="Appendix"/>
        <w:spacing w:after="0"/>
        <w:jc w:val="both"/>
        <w:rPr>
          <w:rFonts w:ascii="Arial" w:hAnsi="Arial" w:cs="Arial"/>
          <w:b w:val="0"/>
          <w:sz w:val="20"/>
        </w:rPr>
      </w:pPr>
    </w:p>
    <w:sectPr w:rsidR="00B01FCD" w:rsidRPr="00C749F3" w:rsidSect="006F69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212BC" w14:textId="77777777" w:rsidR="00B729AF" w:rsidRDefault="00B729AF" w:rsidP="00C37E61">
      <w:r>
        <w:separator/>
      </w:r>
    </w:p>
  </w:endnote>
  <w:endnote w:type="continuationSeparator" w:id="0">
    <w:p w14:paraId="3EEE6FE8" w14:textId="77777777" w:rsidR="00B729AF" w:rsidRDefault="00B729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3054" w14:textId="77777777" w:rsidR="006F6979" w:rsidRDefault="006F6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C41F" w14:textId="77777777" w:rsidR="006F6979" w:rsidRDefault="006F6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BEAC8" w14:textId="53E17878" w:rsidR="00754C9A" w:rsidRPr="006F6979" w:rsidRDefault="00754C9A" w:rsidP="006F697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DB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4A87" w14:textId="77777777" w:rsidR="00B729AF" w:rsidRDefault="00B729AF" w:rsidP="00C37E61">
      <w:r>
        <w:separator/>
      </w:r>
    </w:p>
  </w:footnote>
  <w:footnote w:type="continuationSeparator" w:id="0">
    <w:p w14:paraId="5A5F6C26" w14:textId="77777777" w:rsidR="00B729AF" w:rsidRDefault="00B729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95D0" w14:textId="5393B1B5" w:rsidR="006F6979" w:rsidRDefault="006F6979">
    <w:pPr>
      <w:pStyle w:val="Header"/>
    </w:pPr>
    <w:r>
      <w:rPr>
        <w:noProof/>
      </w:rPr>
      <w:pict w14:anchorId="5B07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1674" w14:textId="42FC52D4" w:rsidR="006F6979" w:rsidRDefault="006F6979">
    <w:pPr>
      <w:pStyle w:val="Header"/>
    </w:pPr>
    <w:r>
      <w:rPr>
        <w:noProof/>
      </w:rPr>
      <w:pict w14:anchorId="03CBF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2E5B" w14:textId="5DA9DC89" w:rsidR="00296529" w:rsidRPr="00296529" w:rsidRDefault="006F6979" w:rsidP="00296529">
    <w:pPr>
      <w:ind w:left="2160"/>
      <w:jc w:val="center"/>
      <w:rPr>
        <w:rFonts w:ascii="Times New Roman" w:eastAsia="Calibri" w:hAnsi="Times New Roman"/>
        <w:i/>
        <w:sz w:val="18"/>
        <w:szCs w:val="22"/>
      </w:rPr>
    </w:pPr>
    <w:r>
      <w:rPr>
        <w:noProof/>
      </w:rPr>
      <w:pict w14:anchorId="5A3F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6125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D6AB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0CB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42F4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ADC3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26A2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D623" w14:textId="4A761A48" w:rsidR="006F6979" w:rsidRDefault="006F6979">
    <w:pPr>
      <w:pStyle w:val="Header"/>
    </w:pPr>
    <w:r>
      <w:rPr>
        <w:noProof/>
      </w:rPr>
      <w:pict w14:anchorId="5562C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5354" w14:textId="29524302" w:rsidR="006F6979" w:rsidRDefault="006F6979">
    <w:pPr>
      <w:pStyle w:val="Header"/>
    </w:pPr>
    <w:r>
      <w:rPr>
        <w:noProof/>
      </w:rPr>
      <w:pict w14:anchorId="15BA5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EECC" w14:textId="0295750E" w:rsidR="006F6979" w:rsidRDefault="006F6979">
    <w:pPr>
      <w:pStyle w:val="Header"/>
    </w:pPr>
    <w:r>
      <w:rPr>
        <w:noProof/>
      </w:rPr>
      <w:pict w14:anchorId="52B84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1C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261"/>
    <w:rsid w:val="001D3A51"/>
    <w:rsid w:val="001D7C3A"/>
    <w:rsid w:val="001E10D2"/>
    <w:rsid w:val="001E25B4"/>
    <w:rsid w:val="001E44FE"/>
    <w:rsid w:val="00200595"/>
    <w:rsid w:val="00204835"/>
    <w:rsid w:val="00231920"/>
    <w:rsid w:val="0023195C"/>
    <w:rsid w:val="002321E9"/>
    <w:rsid w:val="0024282C"/>
    <w:rsid w:val="002460DC"/>
    <w:rsid w:val="00250985"/>
    <w:rsid w:val="00252FF9"/>
    <w:rsid w:val="002556F6"/>
    <w:rsid w:val="00283105"/>
    <w:rsid w:val="00284C4C"/>
    <w:rsid w:val="00287E68"/>
    <w:rsid w:val="00296529"/>
    <w:rsid w:val="002B27FB"/>
    <w:rsid w:val="002B685A"/>
    <w:rsid w:val="002C57D2"/>
    <w:rsid w:val="002E0D56"/>
    <w:rsid w:val="002E7576"/>
    <w:rsid w:val="003021C1"/>
    <w:rsid w:val="00315186"/>
    <w:rsid w:val="0033343E"/>
    <w:rsid w:val="003512C2"/>
    <w:rsid w:val="00352B0E"/>
    <w:rsid w:val="00371FB6"/>
    <w:rsid w:val="003763C1"/>
    <w:rsid w:val="00376BBE"/>
    <w:rsid w:val="003813FB"/>
    <w:rsid w:val="0039224F"/>
    <w:rsid w:val="003A43A4"/>
    <w:rsid w:val="003A6E75"/>
    <w:rsid w:val="003A7E18"/>
    <w:rsid w:val="003C4C86"/>
    <w:rsid w:val="003C6258"/>
    <w:rsid w:val="003D04BF"/>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3AE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979"/>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3E4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E51"/>
    <w:rsid w:val="00B01FCD"/>
    <w:rsid w:val="00B1776C"/>
    <w:rsid w:val="00B52583"/>
    <w:rsid w:val="00B52896"/>
    <w:rsid w:val="00B729AF"/>
    <w:rsid w:val="00B95236"/>
    <w:rsid w:val="00B96BD9"/>
    <w:rsid w:val="00BA1B01"/>
    <w:rsid w:val="00BA2641"/>
    <w:rsid w:val="00BA5A91"/>
    <w:rsid w:val="00BB37AA"/>
    <w:rsid w:val="00BC53A0"/>
    <w:rsid w:val="00BE62AD"/>
    <w:rsid w:val="00BF121F"/>
    <w:rsid w:val="00BF1F80"/>
    <w:rsid w:val="00C166EF"/>
    <w:rsid w:val="00C17EB0"/>
    <w:rsid w:val="00C27F5F"/>
    <w:rsid w:val="00C30A0F"/>
    <w:rsid w:val="00C37E61"/>
    <w:rsid w:val="00C70F1B"/>
    <w:rsid w:val="00C71A47"/>
    <w:rsid w:val="00C7464C"/>
    <w:rsid w:val="00C749F3"/>
    <w:rsid w:val="00C85588"/>
    <w:rsid w:val="00C9197B"/>
    <w:rsid w:val="00CD6755"/>
    <w:rsid w:val="00CD6856"/>
    <w:rsid w:val="00CE0089"/>
    <w:rsid w:val="00CE793C"/>
    <w:rsid w:val="00CF193C"/>
    <w:rsid w:val="00CF33AF"/>
    <w:rsid w:val="00D173F1"/>
    <w:rsid w:val="00D74CB0"/>
    <w:rsid w:val="00D8295D"/>
    <w:rsid w:val="00DC2A65"/>
    <w:rsid w:val="00DE15F0"/>
    <w:rsid w:val="00DE2A9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E54"/>
    <w:rsid w:val="00F469F0"/>
    <w:rsid w:val="00F53273"/>
    <w:rsid w:val="00F755E4"/>
    <w:rsid w:val="00F77D02"/>
    <w:rsid w:val="00FB3A86"/>
    <w:rsid w:val="00FD36C8"/>
    <w:rsid w:val="00FD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8105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autoRedefine/>
    <w:uiPriority w:val="1"/>
    <w:qFormat/>
    <w:rsid w:val="00352B0E"/>
    <w:pPr>
      <w:jc w:val="both"/>
    </w:pPr>
    <w:rPr>
      <w:rFonts w:ascii="Arial" w:eastAsiaTheme="minorHAnsi" w:hAnsi="Arial" w:cs="Arial"/>
      <w:color w:val="000000" w:themeColor="text1"/>
      <w:kern w:val="2"/>
    </w:rPr>
  </w:style>
  <w:style w:type="character" w:customStyle="1" w:styleId="NoSpacingChar">
    <w:name w:val="No Spacing Char"/>
    <w:basedOn w:val="DefaultParagraphFont"/>
    <w:link w:val="NoSpacing"/>
    <w:uiPriority w:val="1"/>
    <w:rsid w:val="00352B0E"/>
    <w:rPr>
      <w:rFonts w:ascii="Arial" w:eastAsiaTheme="minorHAnsi" w:hAnsi="Arial" w:cs="Arial"/>
      <w:color w:val="000000" w:themeColor="text1"/>
      <w:kern w:val="2"/>
    </w:rPr>
  </w:style>
  <w:style w:type="character" w:customStyle="1" w:styleId="markedcontent">
    <w:name w:val="markedcontent"/>
    <w:basedOn w:val="DefaultParagraphFont"/>
    <w:rsid w:val="00252FF9"/>
  </w:style>
  <w:style w:type="paragraph" w:styleId="NormalWeb">
    <w:name w:val="Normal (Web)"/>
    <w:basedOn w:val="Normal"/>
    <w:uiPriority w:val="99"/>
    <w:unhideWhenUsed/>
    <w:rsid w:val="00FD3B15"/>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rsid w:val="003813FB"/>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3D04BF"/>
    <w:rPr>
      <w:b/>
      <w:bCs/>
    </w:rPr>
  </w:style>
  <w:style w:type="character" w:customStyle="1" w:styleId="bkciteavail">
    <w:name w:val="bk_cite_avail"/>
    <w:basedOn w:val="DefaultParagraphFont"/>
    <w:rsid w:val="003D04BF"/>
  </w:style>
  <w:style w:type="character" w:styleId="UnresolvedMention">
    <w:name w:val="Unresolved Mention"/>
    <w:basedOn w:val="DefaultParagraphFont"/>
    <w:uiPriority w:val="99"/>
    <w:semiHidden/>
    <w:unhideWhenUsed/>
    <w:rsid w:val="00CF33AF"/>
    <w:rPr>
      <w:color w:val="605E5C"/>
      <w:shd w:val="clear" w:color="auto" w:fill="E1DFDD"/>
    </w:rPr>
  </w:style>
  <w:style w:type="paragraph" w:styleId="ListParagraph">
    <w:name w:val="List Paragraph"/>
    <w:basedOn w:val="Normal"/>
    <w:uiPriority w:val="34"/>
    <w:qFormat/>
    <w:rsid w:val="0089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BF26-FD77-4F96-9AE0-FD4A1623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10</Pages>
  <Words>23320</Words>
  <Characters>132924</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155933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2026-01-21T18:20:00Z</dcterms:created>
  <dcterms:modified xsi:type="dcterms:W3CDTF">2026-01-22T10:45:00Z</dcterms:modified>
</cp:coreProperties>
</file>