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9007C" w14:textId="77777777" w:rsidR="00F565C8" w:rsidRPr="00505E37" w:rsidRDefault="00F72BDF" w:rsidP="00505E37">
      <w:pPr>
        <w:spacing w:after="0" w:line="240" w:lineRule="auto"/>
        <w:jc w:val="center"/>
        <w:rPr>
          <w:rFonts w:ascii="Times New Roman" w:hAnsi="Times New Roman"/>
          <w:b/>
          <w:bCs/>
          <w:i/>
          <w:sz w:val="36"/>
          <w:szCs w:val="36"/>
        </w:rPr>
      </w:pPr>
      <w:r>
        <w:rPr>
          <w:rFonts w:ascii="Times New Roman" w:hAnsi="Times New Roman"/>
          <w:b/>
          <w:bCs/>
          <w:sz w:val="36"/>
          <w:szCs w:val="36"/>
        </w:rPr>
        <w:t xml:space="preserve">Haemato-Histological alterations in </w:t>
      </w:r>
      <w:r w:rsidRPr="00505E37">
        <w:rPr>
          <w:rFonts w:ascii="Times New Roman" w:hAnsi="Times New Roman"/>
          <w:b/>
          <w:bCs/>
          <w:sz w:val="36"/>
          <w:szCs w:val="36"/>
        </w:rPr>
        <w:t xml:space="preserve">Laboratory Population of </w:t>
      </w:r>
      <w:r w:rsidRPr="00505E37">
        <w:rPr>
          <w:rFonts w:ascii="Times New Roman" w:hAnsi="Times New Roman"/>
          <w:b/>
          <w:bCs/>
          <w:i/>
          <w:sz w:val="36"/>
          <w:szCs w:val="36"/>
        </w:rPr>
        <w:t>Clarias</w:t>
      </w:r>
      <w:r w:rsidRPr="00505E37">
        <w:rPr>
          <w:rFonts w:ascii="Times New Roman" w:hAnsi="Times New Roman"/>
          <w:b/>
          <w:bCs/>
          <w:sz w:val="36"/>
          <w:szCs w:val="36"/>
        </w:rPr>
        <w:t xml:space="preserve"> </w:t>
      </w:r>
      <w:r w:rsidRPr="00505E37">
        <w:rPr>
          <w:rFonts w:ascii="Times New Roman" w:hAnsi="Times New Roman"/>
          <w:b/>
          <w:bCs/>
          <w:i/>
          <w:sz w:val="36"/>
          <w:szCs w:val="36"/>
        </w:rPr>
        <w:t>gariepinus</w:t>
      </w:r>
      <w:r w:rsidRPr="00505E37">
        <w:rPr>
          <w:rFonts w:ascii="Times New Roman" w:hAnsi="Times New Roman"/>
          <w:b/>
          <w:bCs/>
          <w:sz w:val="36"/>
          <w:szCs w:val="36"/>
        </w:rPr>
        <w:t xml:space="preserve"> </w:t>
      </w:r>
      <w:r>
        <w:rPr>
          <w:rFonts w:ascii="Times New Roman" w:hAnsi="Times New Roman"/>
          <w:b/>
          <w:bCs/>
          <w:sz w:val="36"/>
          <w:szCs w:val="36"/>
        </w:rPr>
        <w:t xml:space="preserve">on exposure to Varying Concentrations of </w:t>
      </w:r>
      <w:r w:rsidR="00F565C8" w:rsidRPr="00505E37">
        <w:rPr>
          <w:rFonts w:ascii="Times New Roman" w:hAnsi="Times New Roman"/>
          <w:b/>
          <w:bCs/>
          <w:sz w:val="36"/>
          <w:szCs w:val="36"/>
        </w:rPr>
        <w:t>Di</w:t>
      </w:r>
      <w:r w:rsidR="00510152">
        <w:rPr>
          <w:rFonts w:ascii="Times New Roman" w:hAnsi="Times New Roman"/>
          <w:b/>
          <w:bCs/>
          <w:sz w:val="36"/>
          <w:szCs w:val="36"/>
        </w:rPr>
        <w:t xml:space="preserve">ethyl Phthalate </w:t>
      </w:r>
    </w:p>
    <w:p w14:paraId="00C469F2" w14:textId="77777777" w:rsidR="00CA3DD2" w:rsidRPr="004B4B12" w:rsidRDefault="00CA3DD2" w:rsidP="004B4B12">
      <w:pPr>
        <w:spacing w:after="0" w:line="360" w:lineRule="auto"/>
        <w:jc w:val="center"/>
        <w:rPr>
          <w:rFonts w:ascii="Times New Roman" w:hAnsi="Times New Roman"/>
          <w:b/>
          <w:bCs/>
          <w:i/>
          <w:sz w:val="28"/>
          <w:szCs w:val="24"/>
        </w:rPr>
      </w:pPr>
    </w:p>
    <w:p w14:paraId="763709BD" w14:textId="14F9EA70" w:rsidR="00F72BDF" w:rsidRDefault="00F72BDF" w:rsidP="00505E37">
      <w:pPr>
        <w:spacing w:after="0" w:line="240" w:lineRule="auto"/>
        <w:jc w:val="center"/>
        <w:rPr>
          <w:rFonts w:ascii="Times New Roman" w:hAnsi="Times New Roman"/>
          <w:b/>
          <w:bCs/>
          <w:sz w:val="28"/>
          <w:szCs w:val="28"/>
        </w:rPr>
      </w:pPr>
    </w:p>
    <w:p w14:paraId="52A3898D" w14:textId="77777777" w:rsidR="001A2001" w:rsidRPr="00505E37" w:rsidRDefault="001A2001" w:rsidP="00505E37">
      <w:pPr>
        <w:spacing w:after="0" w:line="240" w:lineRule="auto"/>
        <w:jc w:val="center"/>
        <w:rPr>
          <w:rFonts w:ascii="Times New Roman" w:hAnsi="Times New Roman"/>
          <w:b/>
          <w:bCs/>
          <w:sz w:val="28"/>
          <w:szCs w:val="28"/>
        </w:rPr>
      </w:pPr>
      <w:bookmarkStart w:id="0" w:name="_GoBack"/>
      <w:bookmarkEnd w:id="0"/>
    </w:p>
    <w:p w14:paraId="387DA0B4" w14:textId="77777777" w:rsidR="00CA3DD2" w:rsidRDefault="00CA3DD2" w:rsidP="004B4B12">
      <w:pPr>
        <w:spacing w:after="0" w:line="360" w:lineRule="auto"/>
        <w:jc w:val="both"/>
        <w:rPr>
          <w:rFonts w:ascii="Times New Roman" w:hAnsi="Times New Roman"/>
          <w:b/>
          <w:bCs/>
          <w:sz w:val="24"/>
          <w:szCs w:val="24"/>
        </w:rPr>
      </w:pPr>
    </w:p>
    <w:p w14:paraId="468AFBC5" w14:textId="77777777" w:rsidR="00275188" w:rsidRDefault="007610E3" w:rsidP="004B4B12">
      <w:pPr>
        <w:spacing w:after="0" w:line="360" w:lineRule="auto"/>
        <w:jc w:val="both"/>
        <w:rPr>
          <w:rFonts w:ascii="Times New Roman" w:hAnsi="Times New Roman"/>
          <w:b/>
          <w:bCs/>
          <w:sz w:val="24"/>
          <w:szCs w:val="24"/>
        </w:rPr>
      </w:pPr>
      <w:r w:rsidRPr="00AF3B65">
        <w:rPr>
          <w:rFonts w:ascii="Times New Roman" w:hAnsi="Times New Roman"/>
          <w:b/>
          <w:bCs/>
          <w:sz w:val="24"/>
          <w:szCs w:val="24"/>
        </w:rPr>
        <w:t>Abstract</w:t>
      </w:r>
    </w:p>
    <w:p w14:paraId="5CE9A15C" w14:textId="77777777" w:rsidR="00CE7170" w:rsidRDefault="00CE7170" w:rsidP="00CE7170">
      <w:pPr>
        <w:spacing w:after="0" w:line="240" w:lineRule="auto"/>
        <w:jc w:val="both"/>
        <w:rPr>
          <w:rFonts w:ascii="Times New Roman" w:hAnsi="Times New Roman"/>
          <w:sz w:val="24"/>
          <w:szCs w:val="24"/>
        </w:rPr>
      </w:pPr>
      <w:r>
        <w:rPr>
          <w:rFonts w:ascii="Times New Roman" w:eastAsia="Times New Roman" w:hAnsi="Times New Roman"/>
          <w:sz w:val="24"/>
          <w:szCs w:val="24"/>
          <w:lang w:val="en-GB" w:eastAsia="en-GB"/>
        </w:rPr>
        <w:t>Diethyl phthalate</w:t>
      </w:r>
      <w:r w:rsidRPr="0098348F">
        <w:rPr>
          <w:rFonts w:ascii="Times New Roman" w:eastAsia="Times New Roman" w:hAnsi="Times New Roman"/>
          <w:sz w:val="24"/>
          <w:szCs w:val="24"/>
          <w:lang w:val="en-GB" w:eastAsia="en-GB"/>
        </w:rPr>
        <w:t xml:space="preserve"> is a synthetic o</w:t>
      </w:r>
      <w:r>
        <w:rPr>
          <w:rFonts w:ascii="Times New Roman" w:eastAsia="Times New Roman" w:hAnsi="Times New Roman"/>
          <w:sz w:val="24"/>
          <w:szCs w:val="24"/>
          <w:lang w:val="en-GB" w:eastAsia="en-GB"/>
        </w:rPr>
        <w:t>rganic compound widely used as</w:t>
      </w:r>
      <w:r w:rsidRPr="0098348F">
        <w:rPr>
          <w:rFonts w:ascii="Times New Roman" w:eastAsia="Times New Roman" w:hAnsi="Times New Roman"/>
          <w:sz w:val="24"/>
          <w:szCs w:val="24"/>
          <w:lang w:val="en-GB" w:eastAsia="en-GB"/>
        </w:rPr>
        <w:t xml:space="preserve"> plasticiser in various consumer products</w:t>
      </w:r>
      <w:r>
        <w:rPr>
          <w:rFonts w:ascii="Times New Roman" w:eastAsia="Times New Roman" w:hAnsi="Times New Roman"/>
          <w:sz w:val="24"/>
          <w:szCs w:val="24"/>
          <w:lang w:val="en-GB" w:eastAsia="en-GB"/>
        </w:rPr>
        <w:t xml:space="preserve"> and</w:t>
      </w:r>
      <w:r>
        <w:rPr>
          <w:rFonts w:ascii="Times New Roman" w:hAnsi="Times New Roman"/>
          <w:sz w:val="24"/>
          <w:szCs w:val="24"/>
        </w:rPr>
        <w:t xml:space="preserve"> have recently attracted special attention of the scientific community and general public due to its persistency in the environment. Hence the present study was conducted to assess the toxic impact of DEP on general physiology of </w:t>
      </w:r>
      <w:r>
        <w:rPr>
          <w:rFonts w:ascii="Times New Roman" w:hAnsi="Times New Roman"/>
          <w:i/>
          <w:iCs/>
          <w:sz w:val="24"/>
          <w:szCs w:val="24"/>
        </w:rPr>
        <w:t>Clarias gariepinus</w:t>
      </w:r>
      <w:r>
        <w:rPr>
          <w:rFonts w:ascii="Times New Roman" w:hAnsi="Times New Roman"/>
          <w:sz w:val="24"/>
          <w:szCs w:val="24"/>
        </w:rPr>
        <w:t>. The fish were treated with different sub lethal concentrations (</w:t>
      </w:r>
      <w:r>
        <w:rPr>
          <w:rStyle w:val="ff1"/>
          <w:rFonts w:ascii="Times New Roman" w:eastAsia="ff1" w:hAnsi="Times New Roman"/>
          <w:color w:val="000000"/>
          <w:sz w:val="24"/>
          <w:szCs w:val="24"/>
          <w:shd w:val="clear" w:color="auto" w:fill="FFFFFF"/>
          <w:lang w:bidi="ar"/>
        </w:rPr>
        <w:t xml:space="preserve">26.0, 34.5, 43.25, 53.8 and 62.5 </w:t>
      </w:r>
      <w:r>
        <w:rPr>
          <w:rFonts w:ascii="Times New Roman" w:eastAsia="ff1" w:hAnsi="Times New Roman"/>
          <w:sz w:val="24"/>
          <w:szCs w:val="24"/>
          <w:shd w:val="clear" w:color="auto" w:fill="FFFFFF"/>
          <w:lang w:bidi="ar"/>
        </w:rPr>
        <w:t>µL/L) of DEP after series of range finding and acute studies</w:t>
      </w:r>
      <w:r>
        <w:rPr>
          <w:rFonts w:ascii="Times New Roman" w:hAnsi="Times New Roman"/>
          <w:sz w:val="24"/>
          <w:szCs w:val="24"/>
        </w:rPr>
        <w:t>. The LC</w:t>
      </w:r>
      <w:r>
        <w:rPr>
          <w:rFonts w:ascii="Times New Roman" w:hAnsi="Times New Roman"/>
          <w:sz w:val="24"/>
          <w:szCs w:val="24"/>
          <w:vertAlign w:val="subscript"/>
        </w:rPr>
        <w:t>50</w:t>
      </w:r>
      <w:r>
        <w:rPr>
          <w:rFonts w:ascii="Times New Roman" w:hAnsi="Times New Roman"/>
          <w:sz w:val="24"/>
          <w:szCs w:val="24"/>
        </w:rPr>
        <w:t xml:space="preserve"> value of DEP-exposed </w:t>
      </w:r>
      <w:r>
        <w:rPr>
          <w:rFonts w:ascii="Times New Roman" w:hAnsi="Times New Roman"/>
          <w:i/>
          <w:iCs/>
          <w:sz w:val="24"/>
          <w:szCs w:val="24"/>
        </w:rPr>
        <w:t>C. gariepinus</w:t>
      </w:r>
      <w:r>
        <w:rPr>
          <w:rFonts w:ascii="Times New Roman" w:hAnsi="Times New Roman"/>
          <w:sz w:val="24"/>
          <w:szCs w:val="24"/>
        </w:rPr>
        <w:t xml:space="preserve"> was estimated to be 1.803 and 2.181 </w:t>
      </w:r>
      <w:r>
        <w:rPr>
          <w:rFonts w:ascii="Times New Roman" w:eastAsia="ff1" w:hAnsi="Times New Roman"/>
          <w:sz w:val="24"/>
          <w:szCs w:val="24"/>
          <w:shd w:val="clear" w:color="auto" w:fill="FFFFFF"/>
          <w:lang w:bidi="ar"/>
        </w:rPr>
        <w:t>µL/L</w:t>
      </w:r>
      <w:r>
        <w:rPr>
          <w:rFonts w:ascii="Times New Roman" w:hAnsi="Times New Roman"/>
          <w:sz w:val="24"/>
          <w:szCs w:val="24"/>
        </w:rPr>
        <w:t xml:space="preserve"> respectively of acute and chronic toxicities. A</w:t>
      </w:r>
      <w:proofErr w:type="spellStart"/>
      <w:r w:rsidRPr="00275188">
        <w:rPr>
          <w:rFonts w:ascii="Times New Roman" w:eastAsia="Times New Roman" w:hAnsi="Times New Roman"/>
          <w:sz w:val="24"/>
          <w:szCs w:val="24"/>
          <w:lang w:val="en-GB" w:eastAsia="en-GB"/>
        </w:rPr>
        <w:t>cute</w:t>
      </w:r>
      <w:proofErr w:type="spellEnd"/>
      <w:r w:rsidRPr="00275188">
        <w:rPr>
          <w:rFonts w:ascii="Times New Roman" w:eastAsia="Times New Roman" w:hAnsi="Times New Roman"/>
          <w:sz w:val="24"/>
          <w:szCs w:val="24"/>
          <w:lang w:val="en-GB" w:eastAsia="en-GB"/>
        </w:rPr>
        <w:t xml:space="preserve"> and chronic toxicity tests revealed disrupted normal swimming patterns, induced erratic movements, and impaired opercula function</w:t>
      </w:r>
      <w:r>
        <w:rPr>
          <w:rFonts w:ascii="Times New Roman" w:eastAsia="Times New Roman" w:hAnsi="Times New Roman"/>
          <w:sz w:val="24"/>
          <w:szCs w:val="24"/>
          <w:lang w:val="en-GB" w:eastAsia="en-GB"/>
        </w:rPr>
        <w:t xml:space="preserve"> which </w:t>
      </w:r>
      <w:r w:rsidRPr="00275188">
        <w:rPr>
          <w:rFonts w:ascii="Times New Roman" w:eastAsia="Times New Roman" w:hAnsi="Times New Roman"/>
          <w:sz w:val="24"/>
          <w:szCs w:val="24"/>
          <w:lang w:val="en-GB" w:eastAsia="en-GB"/>
        </w:rPr>
        <w:t xml:space="preserve">may have implications for ecological functions of </w:t>
      </w:r>
      <w:r w:rsidRPr="005D5A4B">
        <w:rPr>
          <w:rFonts w:ascii="Times New Roman" w:eastAsia="Times New Roman" w:hAnsi="Times New Roman"/>
          <w:i/>
          <w:sz w:val="24"/>
          <w:szCs w:val="24"/>
          <w:lang w:val="en-GB" w:eastAsia="en-GB"/>
        </w:rPr>
        <w:t>C. gariepinus</w:t>
      </w:r>
      <w:r>
        <w:rPr>
          <w:rFonts w:ascii="Times New Roman" w:eastAsia="Times New Roman" w:hAnsi="Times New Roman"/>
          <w:i/>
          <w:sz w:val="24"/>
          <w:szCs w:val="24"/>
          <w:lang w:val="en-GB" w:eastAsia="en-GB"/>
        </w:rPr>
        <w:t>.</w:t>
      </w:r>
      <w:r w:rsidRPr="00275188">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WBC count of 22.93±0.73 cells/mm³</w:t>
      </w:r>
      <w:r>
        <w:rPr>
          <w:rFonts w:ascii="Times New Roman" w:eastAsia="Times New Roman" w:hAnsi="Times New Roman"/>
          <w:sz w:val="24"/>
          <w:szCs w:val="24"/>
          <w:lang w:val="en-GB" w:eastAsia="en-GB"/>
        </w:rPr>
        <w:t xml:space="preserve"> was obtained in the control group and </w:t>
      </w:r>
      <w:r w:rsidRPr="0098348F">
        <w:rPr>
          <w:rFonts w:ascii="Times New Roman" w:eastAsia="Times New Roman" w:hAnsi="Times New Roman"/>
          <w:sz w:val="24"/>
          <w:szCs w:val="24"/>
          <w:lang w:val="en-GB" w:eastAsia="en-GB"/>
        </w:rPr>
        <w:t>the treatment groups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ranged from 22.97±3.00 to 33.40±1.16 cells/mm³. The P-value for WBC is 0.191, indicating no statistically significant difference between the control and treatment groups. The red blood cell (RBC) count in the control group was 1.50±0.29 million/mm³. The treatment groups varied, with the highest value (1.89±0.23 million/mm³) at 62.5 µL/L diethyl phthalate. The P-value is 0.548, indicating no significant differences in RBC counts between groups.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Haemoglobin (HGB) levels in the control group were 4.93±1.13 g/dL. Treatment group values fluctuated, with the highest (6.93±1.36 g/dL) at 26 µL/L. The P-value of 0.639 indicates no significant difference in haemoglobin levels across the groups. The control group showed a haematocrit (HCT) level of 20.13±3.34%. Treatment groups varied, with no clear trend. The P-value is 0.520, suggesting that diethyl phthalate did not significantly affect haematocrit.</w:t>
      </w:r>
      <w:r>
        <w:rPr>
          <w:rFonts w:ascii="Times New Roman" w:eastAsia="Times New Roman" w:hAnsi="Times New Roman"/>
          <w:sz w:val="24"/>
          <w:szCs w:val="24"/>
          <w:lang w:val="en-GB" w:eastAsia="en-GB"/>
        </w:rPr>
        <w:t xml:space="preserve"> Varied degrees of histological degradations like </w:t>
      </w:r>
      <w:r w:rsidRPr="000D0B3C">
        <w:rPr>
          <w:rFonts w:ascii="Times New Roman" w:eastAsia="Times New Roman" w:hAnsi="Times New Roman"/>
          <w:sz w:val="24"/>
          <w:szCs w:val="24"/>
          <w:lang w:eastAsia="en-GB"/>
        </w:rPr>
        <w:t>gill lamellae hypertroph</w:t>
      </w:r>
      <w:r>
        <w:rPr>
          <w:rFonts w:ascii="Times New Roman" w:eastAsia="Times New Roman" w:hAnsi="Times New Roman"/>
          <w:sz w:val="24"/>
          <w:szCs w:val="24"/>
          <w:lang w:eastAsia="en-GB"/>
        </w:rPr>
        <w:t>y, hepatic vacuolation in liver and</w:t>
      </w:r>
      <w:r w:rsidRPr="000D0B3C">
        <w:rPr>
          <w:rFonts w:ascii="Times New Roman" w:eastAsia="Times New Roman" w:hAnsi="Times New Roman"/>
          <w:sz w:val="24"/>
          <w:szCs w:val="24"/>
          <w:lang w:eastAsia="en-GB"/>
        </w:rPr>
        <w:t xml:space="preserve"> tubular degeneration in the kidneys</w:t>
      </w:r>
      <w:r>
        <w:rPr>
          <w:rFonts w:ascii="Times New Roman" w:eastAsia="Times New Roman" w:hAnsi="Times New Roman"/>
          <w:sz w:val="24"/>
          <w:szCs w:val="24"/>
          <w:lang w:eastAsia="en-GB"/>
        </w:rPr>
        <w:t xml:space="preserve"> were recorded and these anomalies were DEP concentration dependent.</w:t>
      </w:r>
      <w:r w:rsidRPr="000D0B3C">
        <w:rPr>
          <w:rFonts w:ascii="Times New Roman" w:eastAsia="Times New Roman" w:hAnsi="Times New Roman"/>
          <w:sz w:val="24"/>
          <w:szCs w:val="24"/>
          <w:lang w:eastAsia="en-GB"/>
        </w:rPr>
        <w:t xml:space="preserve"> </w:t>
      </w:r>
      <w:r>
        <w:rPr>
          <w:rFonts w:ascii="Times New Roman" w:hAnsi="Times New Roman"/>
          <w:sz w:val="24"/>
          <w:szCs w:val="24"/>
        </w:rPr>
        <w:t>This work has revealed that DEP exerts its toxic effects even at sub lethal concentrations and this shows that DEP has</w:t>
      </w:r>
      <w:r>
        <w:rPr>
          <w:rFonts w:ascii="Times New Roman" w:eastAsia="Times New Roman" w:hAnsi="Times New Roman"/>
          <w:sz w:val="24"/>
          <w:szCs w:val="24"/>
          <w:lang w:val="en-GB" w:eastAsia="en-GB"/>
        </w:rPr>
        <w:t xml:space="preserve"> </w:t>
      </w:r>
      <w:r w:rsidRPr="00275188">
        <w:rPr>
          <w:rFonts w:ascii="Times New Roman" w:eastAsia="Times New Roman" w:hAnsi="Times New Roman"/>
          <w:sz w:val="24"/>
          <w:szCs w:val="24"/>
          <w:lang w:val="en-GB" w:eastAsia="en-GB"/>
        </w:rPr>
        <w:t>potential to disrupt fish physiology and behaviour, with broader implications for aquatic health and biodiversity</w:t>
      </w:r>
      <w:r>
        <w:rPr>
          <w:rFonts w:ascii="Times New Roman" w:eastAsia="Times New Roman" w:hAnsi="Times New Roman"/>
          <w:sz w:val="24"/>
          <w:szCs w:val="24"/>
          <w:lang w:val="en-GB" w:eastAsia="en-GB"/>
        </w:rPr>
        <w:t>. Therefore, industries must use such chemicals with caution and implement stringent monitoring</w:t>
      </w:r>
      <w:r>
        <w:rPr>
          <w:rFonts w:ascii="Times New Roman" w:hAnsi="Times New Roman"/>
          <w:sz w:val="24"/>
          <w:szCs w:val="24"/>
        </w:rPr>
        <w:t>.</w:t>
      </w:r>
    </w:p>
    <w:p w14:paraId="4074C10C" w14:textId="3F0EE912" w:rsidR="00B22B4D" w:rsidRPr="00B22B4D" w:rsidRDefault="00B22B4D" w:rsidP="00CE7170">
      <w:pPr>
        <w:spacing w:after="0" w:line="240" w:lineRule="auto"/>
        <w:jc w:val="both"/>
        <w:rPr>
          <w:rFonts w:ascii="Times New Roman" w:hAnsi="Times New Roman"/>
          <w:sz w:val="24"/>
          <w:szCs w:val="24"/>
        </w:rPr>
      </w:pPr>
      <w:r>
        <w:rPr>
          <w:rFonts w:ascii="Times New Roman" w:hAnsi="Times New Roman"/>
          <w:b/>
          <w:bCs/>
          <w:sz w:val="24"/>
          <w:szCs w:val="24"/>
        </w:rPr>
        <w:t xml:space="preserve">Key Words: </w:t>
      </w:r>
      <w:r>
        <w:rPr>
          <w:rFonts w:ascii="Times New Roman" w:hAnsi="Times New Roman"/>
          <w:b/>
          <w:bCs/>
          <w:sz w:val="24"/>
          <w:szCs w:val="24"/>
        </w:rPr>
        <w:tab/>
      </w:r>
      <w:r w:rsidRPr="00B22B4D">
        <w:rPr>
          <w:rFonts w:ascii="Times New Roman" w:hAnsi="Times New Roman"/>
          <w:b/>
          <w:bCs/>
          <w:sz w:val="24"/>
          <w:szCs w:val="24"/>
        </w:rPr>
        <w:t>Haemato-Histological</w:t>
      </w:r>
      <w:r>
        <w:rPr>
          <w:rFonts w:ascii="Times New Roman" w:hAnsi="Times New Roman"/>
          <w:b/>
          <w:bCs/>
          <w:sz w:val="24"/>
          <w:szCs w:val="24"/>
        </w:rPr>
        <w:t>,</w:t>
      </w:r>
      <w:r w:rsidRPr="00B22B4D">
        <w:rPr>
          <w:rFonts w:ascii="Times New Roman" w:hAnsi="Times New Roman"/>
          <w:b/>
          <w:bCs/>
          <w:sz w:val="24"/>
          <w:szCs w:val="24"/>
        </w:rPr>
        <w:t xml:space="preserve"> </w:t>
      </w:r>
      <w:r w:rsidRPr="00B22B4D">
        <w:rPr>
          <w:rFonts w:ascii="Times New Roman" w:hAnsi="Times New Roman"/>
          <w:b/>
          <w:bCs/>
          <w:i/>
          <w:sz w:val="24"/>
          <w:szCs w:val="24"/>
        </w:rPr>
        <w:t>Clarias</w:t>
      </w:r>
      <w:r w:rsidRPr="00B22B4D">
        <w:rPr>
          <w:rFonts w:ascii="Times New Roman" w:hAnsi="Times New Roman"/>
          <w:b/>
          <w:bCs/>
          <w:sz w:val="24"/>
          <w:szCs w:val="24"/>
        </w:rPr>
        <w:t xml:space="preserve"> </w:t>
      </w:r>
      <w:proofErr w:type="gramStart"/>
      <w:r w:rsidRPr="00B22B4D">
        <w:rPr>
          <w:rFonts w:ascii="Times New Roman" w:hAnsi="Times New Roman"/>
          <w:b/>
          <w:bCs/>
          <w:i/>
          <w:sz w:val="24"/>
          <w:szCs w:val="24"/>
        </w:rPr>
        <w:t>gariepinus</w:t>
      </w:r>
      <w:r>
        <w:rPr>
          <w:rFonts w:ascii="Times New Roman" w:hAnsi="Times New Roman"/>
          <w:b/>
          <w:bCs/>
          <w:i/>
          <w:sz w:val="24"/>
          <w:szCs w:val="24"/>
        </w:rPr>
        <w:t xml:space="preserve">, </w:t>
      </w:r>
      <w:r w:rsidRPr="00B22B4D">
        <w:rPr>
          <w:rFonts w:ascii="Times New Roman" w:hAnsi="Times New Roman"/>
          <w:b/>
          <w:bCs/>
          <w:sz w:val="24"/>
          <w:szCs w:val="24"/>
        </w:rPr>
        <w:t xml:space="preserve"> Concentrations</w:t>
      </w:r>
      <w:proofErr w:type="gramEnd"/>
      <w:r>
        <w:rPr>
          <w:rFonts w:ascii="Times New Roman" w:hAnsi="Times New Roman"/>
          <w:b/>
          <w:bCs/>
          <w:sz w:val="24"/>
          <w:szCs w:val="24"/>
        </w:rPr>
        <w:t xml:space="preserve">, </w:t>
      </w:r>
      <w:r w:rsidRPr="00B22B4D">
        <w:rPr>
          <w:rFonts w:ascii="Times New Roman" w:hAnsi="Times New Roman"/>
          <w:b/>
          <w:bCs/>
          <w:sz w:val="24"/>
          <w:szCs w:val="24"/>
        </w:rPr>
        <w:t>Diethyl Phthalate</w:t>
      </w: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t>Toxicity</w:t>
      </w:r>
    </w:p>
    <w:p w14:paraId="09E03CBD" w14:textId="77777777" w:rsidR="00CE7170" w:rsidRPr="00275188" w:rsidRDefault="00CE7170" w:rsidP="00CE7170">
      <w:pPr>
        <w:spacing w:after="0" w:line="360" w:lineRule="auto"/>
        <w:jc w:val="both"/>
        <w:rPr>
          <w:rFonts w:ascii="Times New Roman" w:eastAsia="Times New Roman" w:hAnsi="Times New Roman"/>
          <w:sz w:val="24"/>
          <w:szCs w:val="24"/>
          <w:lang w:val="en-GB" w:eastAsia="en-GB"/>
        </w:rPr>
      </w:pPr>
    </w:p>
    <w:p w14:paraId="7A86CADD" w14:textId="77777777" w:rsidR="00E27058" w:rsidRPr="00AF3B65" w:rsidRDefault="007610E3"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Introduction</w:t>
      </w:r>
      <w:r w:rsidRPr="00AF3B65">
        <w:rPr>
          <w:rFonts w:ascii="Times New Roman" w:hAnsi="Times New Roman"/>
          <w:sz w:val="24"/>
          <w:szCs w:val="24"/>
        </w:rPr>
        <w:t xml:space="preserve"> </w:t>
      </w:r>
    </w:p>
    <w:p w14:paraId="202186EF" w14:textId="77777777" w:rsidR="00091CDA" w:rsidRDefault="0098348F" w:rsidP="00CE7170">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Phthalates (PAEs) are esters of phthalic acid; in particular, they act as plastic additives and add plasticity to industrial polymers. The reaction between phthalic anhydride and alcohol causes the formation of phthalates. Their chemical structure consists of a benzene ring and two carboxylic </w:t>
      </w:r>
      <w:r w:rsidRPr="0098348F">
        <w:rPr>
          <w:rFonts w:ascii="Times New Roman" w:eastAsia="Times New Roman" w:hAnsi="Times New Roman"/>
          <w:sz w:val="24"/>
          <w:szCs w:val="24"/>
          <w:lang w:val="en-GB" w:eastAsia="en-GB"/>
        </w:rPr>
        <w:lastRenderedPageBreak/>
        <w:t>acids (</w:t>
      </w:r>
      <w:proofErr w:type="spellStart"/>
      <w:r w:rsidRPr="0098348F">
        <w:rPr>
          <w:rFonts w:ascii="Times New Roman" w:eastAsia="Times New Roman" w:hAnsi="Times New Roman"/>
          <w:sz w:val="24"/>
          <w:szCs w:val="24"/>
          <w:lang w:val="en-GB" w:eastAsia="en-GB"/>
        </w:rPr>
        <w:t>Mankidy</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2013). There are different types of phthalates</w:t>
      </w:r>
      <w:r w:rsidR="00CE7170">
        <w:rPr>
          <w:rFonts w:ascii="Times New Roman" w:eastAsia="Times New Roman" w:hAnsi="Times New Roman"/>
          <w:sz w:val="24"/>
          <w:szCs w:val="24"/>
          <w:lang w:val="en-GB" w:eastAsia="en-GB"/>
        </w:rPr>
        <w:t xml:space="preserve"> DE</w:t>
      </w:r>
      <w:r w:rsidRPr="0098348F">
        <w:rPr>
          <w:rFonts w:ascii="Times New Roman" w:eastAsia="Times New Roman" w:hAnsi="Times New Roman"/>
          <w:sz w:val="24"/>
          <w:szCs w:val="24"/>
          <w:lang w:val="en-GB" w:eastAsia="en-GB"/>
        </w:rPr>
        <w:t>P is classified as da</w:t>
      </w:r>
      <w:r w:rsidR="00CE7170">
        <w:rPr>
          <w:rFonts w:ascii="Times New Roman" w:eastAsia="Times New Roman" w:hAnsi="Times New Roman"/>
          <w:sz w:val="24"/>
          <w:szCs w:val="24"/>
          <w:lang w:val="en-GB" w:eastAsia="en-GB"/>
        </w:rPr>
        <w:t xml:space="preserve">ngerous to the environment, </w:t>
      </w:r>
      <w:r w:rsidRPr="0098348F">
        <w:rPr>
          <w:rFonts w:ascii="Times New Roman" w:eastAsia="Times New Roman" w:hAnsi="Times New Roman"/>
          <w:sz w:val="24"/>
          <w:szCs w:val="24"/>
          <w:lang w:val="en-GB" w:eastAsia="en-GB"/>
        </w:rPr>
        <w:t xml:space="preserve">especially to aquatic organisms (Zhang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2021).</w:t>
      </w:r>
      <w:r w:rsidR="00CE7170">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Diethyl phthalate (DEP) is a synthetic organic compound widely used as a plasticiser in various consumer products, including cosmetics, fragrances, and pharmaceuticals (Wang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2015). DEP in aquatic environments originates from a variety of compounds of anthropogenic origin, such as pesticides, detergents, and plasticisers (</w:t>
      </w:r>
      <w:proofErr w:type="spellStart"/>
      <w:r w:rsidRPr="0098348F">
        <w:rPr>
          <w:rFonts w:ascii="Times New Roman" w:eastAsia="Times New Roman" w:hAnsi="Times New Roman"/>
          <w:sz w:val="24"/>
          <w:szCs w:val="24"/>
          <w:lang w:val="en-GB" w:eastAsia="en-GB"/>
        </w:rPr>
        <w:t>Fatoki</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2010).</w:t>
      </w:r>
      <w:r w:rsidR="00091CDA">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Many reports have discussed the impact of man-made </w:t>
      </w:r>
      <w:proofErr w:type="spellStart"/>
      <w:r w:rsidRPr="0098348F">
        <w:rPr>
          <w:rFonts w:ascii="Times New Roman" w:eastAsia="Times New Roman" w:hAnsi="Times New Roman"/>
          <w:sz w:val="24"/>
          <w:szCs w:val="24"/>
          <w:lang w:val="en-GB" w:eastAsia="en-GB"/>
        </w:rPr>
        <w:t>xenoestrogenic</w:t>
      </w:r>
      <w:proofErr w:type="spellEnd"/>
      <w:r w:rsidRPr="0098348F">
        <w:rPr>
          <w:rFonts w:ascii="Times New Roman" w:eastAsia="Times New Roman" w:hAnsi="Times New Roman"/>
          <w:sz w:val="24"/>
          <w:szCs w:val="24"/>
          <w:lang w:val="en-GB" w:eastAsia="en-GB"/>
        </w:rPr>
        <w:t xml:space="preserve"> compounds on man and wildlife. Xenobiotic compounds such as DEP usually concentrate in the tissues of aquatic biotas and are known to produce cumulative deleterious effects (Abbas and Mahmood, 2003, 2004).</w:t>
      </w:r>
      <w:r w:rsidR="00091CDA">
        <w:rPr>
          <w:rFonts w:ascii="Times New Roman" w:eastAsia="Times New Roman" w:hAnsi="Times New Roman"/>
          <w:sz w:val="24"/>
          <w:szCs w:val="24"/>
          <w:lang w:val="en-GB" w:eastAsia="en-GB"/>
        </w:rPr>
        <w:t xml:space="preserve"> </w:t>
      </w:r>
    </w:p>
    <w:p w14:paraId="41424209" w14:textId="77777777" w:rsidR="00091CDA"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Behaviour provides a unique perspective linking the physiology and ecology of an organism and its environment and allows the organism to adjust to external and internal stimuli to best meet the challenge of surviving in a changing environ</w:t>
      </w:r>
      <w:r w:rsidR="00091CDA">
        <w:rPr>
          <w:rFonts w:ascii="Times New Roman" w:eastAsia="Times New Roman" w:hAnsi="Times New Roman"/>
          <w:sz w:val="24"/>
          <w:szCs w:val="24"/>
          <w:lang w:val="en-GB" w:eastAsia="en-GB"/>
        </w:rPr>
        <w:t>ment (</w:t>
      </w:r>
      <w:proofErr w:type="spellStart"/>
      <w:r w:rsidR="00091CDA">
        <w:rPr>
          <w:rFonts w:ascii="Times New Roman" w:eastAsia="Times New Roman" w:hAnsi="Times New Roman"/>
          <w:sz w:val="24"/>
          <w:szCs w:val="24"/>
          <w:lang w:val="en-GB" w:eastAsia="en-GB"/>
        </w:rPr>
        <w:t>Adewum</w:t>
      </w:r>
      <w:proofErr w:type="spellEnd"/>
      <w:r w:rsidR="00091CDA">
        <w:rPr>
          <w:rFonts w:ascii="Times New Roman" w:eastAsia="Times New Roman" w:hAnsi="Times New Roman"/>
          <w:sz w:val="24"/>
          <w:szCs w:val="24"/>
          <w:lang w:val="en-GB" w:eastAsia="en-GB"/>
        </w:rPr>
        <w:t xml:space="preserve"> and </w:t>
      </w:r>
      <w:proofErr w:type="spellStart"/>
      <w:r w:rsidR="00091CDA">
        <w:rPr>
          <w:rFonts w:ascii="Times New Roman" w:eastAsia="Times New Roman" w:hAnsi="Times New Roman"/>
          <w:sz w:val="24"/>
          <w:szCs w:val="24"/>
          <w:lang w:val="en-GB" w:eastAsia="en-GB"/>
        </w:rPr>
        <w:t>Olakje</w:t>
      </w:r>
      <w:proofErr w:type="spellEnd"/>
      <w:r w:rsidR="00091CDA">
        <w:rPr>
          <w:rFonts w:ascii="Times New Roman" w:eastAsia="Times New Roman" w:hAnsi="Times New Roman"/>
          <w:sz w:val="24"/>
          <w:szCs w:val="24"/>
          <w:lang w:val="en-GB" w:eastAsia="en-GB"/>
        </w:rPr>
        <w:t xml:space="preserve">, 2011). </w:t>
      </w:r>
      <w:r w:rsidRPr="0098348F">
        <w:rPr>
          <w:rFonts w:ascii="Times New Roman" w:eastAsia="Times New Roman" w:hAnsi="Times New Roman"/>
          <w:sz w:val="24"/>
          <w:szCs w:val="24"/>
          <w:lang w:val="en-GB" w:eastAsia="en-GB"/>
        </w:rPr>
        <w:t xml:space="preserve">Behavioural response is a sensitive and reliable endpoint frequently used in toxicological studies in fish. Behavioural effects are toxicant-specific and driven by distinct molecular mechanisms (Fitzgerald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2021). Behavioural responses are very important indicators in the natural and/or external environment of animals. It is the first visible sign of stress noticed in an organism. It is a promising tool in ecotoxicology. Any change in fish behaviour gives information and knowledge regarding behavioural alterations that can be related to physiological biomarkers in aquatic species (</w:t>
      </w:r>
      <w:proofErr w:type="spellStart"/>
      <w:r w:rsidRPr="0098348F">
        <w:rPr>
          <w:rFonts w:ascii="Times New Roman" w:eastAsia="Times New Roman" w:hAnsi="Times New Roman"/>
          <w:sz w:val="24"/>
          <w:szCs w:val="24"/>
          <w:lang w:val="en-GB" w:eastAsia="en-GB"/>
        </w:rPr>
        <w:t>Hellou</w:t>
      </w:r>
      <w:proofErr w:type="spellEnd"/>
      <w:r w:rsidRPr="0098348F">
        <w:rPr>
          <w:rFonts w:ascii="Times New Roman" w:eastAsia="Times New Roman" w:hAnsi="Times New Roman"/>
          <w:sz w:val="24"/>
          <w:szCs w:val="24"/>
          <w:lang w:val="en-GB" w:eastAsia="en-GB"/>
        </w:rPr>
        <w:t>, 2011). Behavioural and morphological changes in fish have been used as a diagnostic endpoint for screening and differentiating chemicals according to their mode of action (</w:t>
      </w:r>
      <w:proofErr w:type="spellStart"/>
      <w:r w:rsidRPr="0098348F">
        <w:rPr>
          <w:rFonts w:ascii="Times New Roman" w:eastAsia="Times New Roman" w:hAnsi="Times New Roman"/>
          <w:sz w:val="24"/>
          <w:szCs w:val="24"/>
          <w:lang w:val="en-GB" w:eastAsia="en-GB"/>
        </w:rPr>
        <w:t>Farombi</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091CDA">
        <w:rPr>
          <w:rFonts w:ascii="Times New Roman" w:eastAsia="Times New Roman" w:hAnsi="Times New Roman"/>
          <w:sz w:val="24"/>
          <w:szCs w:val="24"/>
          <w:lang w:val="en-GB" w:eastAsia="en-GB"/>
        </w:rPr>
        <w:t>., 2008).</w:t>
      </w:r>
    </w:p>
    <w:p w14:paraId="25EC2A7D" w14:textId="77777777" w:rsidR="0098348F" w:rsidRPr="0098348F"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Knowledge of acute toxicity of xenobiotics can be very helpful in predicting and preventing damage to aquatic life receiving waters as well as in regulating toxic waste discharge (Ayanda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2015). Many toxicants are known to alter the behaviour and physiology of aquatic biota (Weis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2001). Several researchers have reported the following behavioural changes: air gulping, stunned positioning, skin peeling, aggression, excessive mucus secretion, motionlessness, respiratory distress, erratic swimming (fast and spiral movement), and death when </w:t>
      </w:r>
      <w:r w:rsidR="005D5A4B" w:rsidRPr="005D5A4B">
        <w:rPr>
          <w:rFonts w:ascii="Times New Roman" w:eastAsia="Times New Roman" w:hAnsi="Times New Roman"/>
          <w:i/>
          <w:sz w:val="24"/>
          <w:szCs w:val="24"/>
          <w:lang w:val="en-GB" w:eastAsia="en-GB"/>
        </w:rPr>
        <w:t>C. gariepinus</w:t>
      </w:r>
      <w:r w:rsidRPr="0098348F">
        <w:rPr>
          <w:rFonts w:ascii="Times New Roman" w:eastAsia="Times New Roman" w:hAnsi="Times New Roman"/>
          <w:sz w:val="24"/>
          <w:szCs w:val="24"/>
          <w:lang w:val="en-GB" w:eastAsia="en-GB"/>
        </w:rPr>
        <w:t xml:space="preserve"> </w:t>
      </w:r>
      <w:r w:rsidR="00CE7170">
        <w:rPr>
          <w:rFonts w:ascii="Times New Roman" w:eastAsia="Times New Roman" w:hAnsi="Times New Roman"/>
          <w:sz w:val="24"/>
          <w:szCs w:val="24"/>
          <w:lang w:val="en-GB" w:eastAsia="en-GB"/>
        </w:rPr>
        <w:t xml:space="preserve">were exposed </w:t>
      </w:r>
      <w:r w:rsidRPr="0098348F">
        <w:rPr>
          <w:rFonts w:ascii="Times New Roman" w:eastAsia="Times New Roman" w:hAnsi="Times New Roman"/>
          <w:sz w:val="24"/>
          <w:szCs w:val="24"/>
          <w:lang w:val="en-GB" w:eastAsia="en-GB"/>
        </w:rPr>
        <w:t>to acute concent</w:t>
      </w:r>
      <w:r w:rsidR="0063148E">
        <w:rPr>
          <w:rFonts w:ascii="Times New Roman" w:eastAsia="Times New Roman" w:hAnsi="Times New Roman"/>
          <w:sz w:val="24"/>
          <w:szCs w:val="24"/>
          <w:lang w:val="en-GB" w:eastAsia="en-GB"/>
        </w:rPr>
        <w:t>rations of various xenobiotics (</w:t>
      </w:r>
      <w:proofErr w:type="spellStart"/>
      <w:r w:rsidR="0063148E">
        <w:rPr>
          <w:rFonts w:ascii="Times New Roman" w:eastAsia="Times New Roman" w:hAnsi="Times New Roman"/>
          <w:sz w:val="24"/>
          <w:szCs w:val="24"/>
          <w:lang w:val="en-GB" w:eastAsia="en-GB"/>
        </w:rPr>
        <w:t>Angugwo</w:t>
      </w:r>
      <w:proofErr w:type="spellEnd"/>
      <w:r w:rsidR="0063148E">
        <w:rPr>
          <w:rFonts w:ascii="Times New Roman" w:eastAsia="Times New Roman" w:hAnsi="Times New Roman"/>
          <w:sz w:val="24"/>
          <w:szCs w:val="24"/>
          <w:lang w:val="en-GB" w:eastAsia="en-GB"/>
        </w:rPr>
        <w:t>, 2002;</w:t>
      </w:r>
      <w:r w:rsidRPr="0098348F">
        <w:rPr>
          <w:rFonts w:ascii="Times New Roman" w:eastAsia="Times New Roman" w:hAnsi="Times New Roman"/>
          <w:sz w:val="24"/>
          <w:szCs w:val="24"/>
          <w:lang w:val="en-GB" w:eastAsia="en-GB"/>
        </w:rPr>
        <w:t xml:space="preserve"> </w:t>
      </w:r>
      <w:proofErr w:type="spellStart"/>
      <w:r w:rsidRPr="0098348F">
        <w:rPr>
          <w:rFonts w:ascii="Times New Roman" w:eastAsia="Times New Roman" w:hAnsi="Times New Roman"/>
          <w:sz w:val="24"/>
          <w:szCs w:val="24"/>
          <w:lang w:val="en-GB" w:eastAsia="en-GB"/>
        </w:rPr>
        <w:t>Audu</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63148E">
        <w:rPr>
          <w:rFonts w:ascii="Times New Roman" w:eastAsia="Times New Roman" w:hAnsi="Times New Roman"/>
          <w:sz w:val="24"/>
          <w:szCs w:val="24"/>
          <w:lang w:val="en-GB" w:eastAsia="en-GB"/>
        </w:rPr>
        <w:t>., 2022)</w:t>
      </w:r>
      <w:r w:rsidRPr="0098348F">
        <w:rPr>
          <w:rFonts w:ascii="Times New Roman" w:eastAsia="Times New Roman" w:hAnsi="Times New Roman"/>
          <w:sz w:val="24"/>
          <w:szCs w:val="24"/>
          <w:lang w:val="en-GB" w:eastAsia="en-GB"/>
        </w:rPr>
        <w:t>. Fish possess a highly developed central nervous system and are sensitive to contaminants, especially neurotoxicants such as metals, which trigger significant behavioural responses that can be monitored using automatic video-based tracking systems (</w:t>
      </w:r>
      <w:proofErr w:type="spellStart"/>
      <w:r w:rsidRPr="0098348F">
        <w:rPr>
          <w:rFonts w:ascii="Times New Roman" w:eastAsia="Times New Roman" w:hAnsi="Times New Roman"/>
          <w:sz w:val="24"/>
          <w:szCs w:val="24"/>
          <w:lang w:val="en-GB" w:eastAsia="en-GB"/>
        </w:rPr>
        <w:t>Bownik</w:t>
      </w:r>
      <w:proofErr w:type="spellEnd"/>
      <w:r w:rsidRPr="0098348F">
        <w:rPr>
          <w:rFonts w:ascii="Times New Roman" w:eastAsia="Times New Roman" w:hAnsi="Times New Roman"/>
          <w:sz w:val="24"/>
          <w:szCs w:val="24"/>
          <w:lang w:val="en-GB" w:eastAsia="en-GB"/>
        </w:rPr>
        <w:t xml:space="preserve"> and </w:t>
      </w:r>
      <w:proofErr w:type="spellStart"/>
      <w:r w:rsidRPr="0098348F">
        <w:rPr>
          <w:rFonts w:ascii="Times New Roman" w:eastAsia="Times New Roman" w:hAnsi="Times New Roman"/>
          <w:sz w:val="24"/>
          <w:szCs w:val="24"/>
          <w:lang w:val="en-GB" w:eastAsia="en-GB"/>
        </w:rPr>
        <w:t>Wlodkowic</w:t>
      </w:r>
      <w:proofErr w:type="spellEnd"/>
      <w:r w:rsidRPr="0098348F">
        <w:rPr>
          <w:rFonts w:ascii="Times New Roman" w:eastAsia="Times New Roman" w:hAnsi="Times New Roman"/>
          <w:sz w:val="24"/>
          <w:szCs w:val="24"/>
          <w:lang w:val="en-GB" w:eastAsia="en-GB"/>
        </w:rPr>
        <w:t>, 2021).</w:t>
      </w:r>
    </w:p>
    <w:p w14:paraId="7026C15E" w14:textId="77777777" w:rsidR="00091CDA"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lastRenderedPageBreak/>
        <w:t xml:space="preserve">In recent years, haematological variables were used more often when clinical diagnosis of fish physiology was applied to determine the effects of external stressors and toxic substances as a result of the close association between the circulatory system and the external environment (Kayode and </w:t>
      </w:r>
      <w:proofErr w:type="spellStart"/>
      <w:r w:rsidRPr="0098348F">
        <w:rPr>
          <w:rFonts w:ascii="Times New Roman" w:eastAsia="Times New Roman" w:hAnsi="Times New Roman"/>
          <w:sz w:val="24"/>
          <w:szCs w:val="24"/>
          <w:lang w:val="en-GB" w:eastAsia="en-GB"/>
        </w:rPr>
        <w:t>Shamusideen</w:t>
      </w:r>
      <w:proofErr w:type="spellEnd"/>
      <w:r w:rsidRPr="0098348F">
        <w:rPr>
          <w:rFonts w:ascii="Times New Roman" w:eastAsia="Times New Roman" w:hAnsi="Times New Roman"/>
          <w:sz w:val="24"/>
          <w:szCs w:val="24"/>
          <w:lang w:val="en-GB" w:eastAsia="en-GB"/>
        </w:rPr>
        <w:t xml:space="preserve"> 2010). Haematological </w:t>
      </w:r>
      <w:r w:rsidR="00913AE6">
        <w:rPr>
          <w:rFonts w:ascii="Times New Roman" w:eastAsia="Times New Roman" w:hAnsi="Times New Roman"/>
          <w:sz w:val="24"/>
          <w:szCs w:val="24"/>
          <w:lang w:val="en-GB" w:eastAsia="en-GB"/>
        </w:rPr>
        <w:t xml:space="preserve">indices </w:t>
      </w:r>
      <w:r w:rsidRPr="0098348F">
        <w:rPr>
          <w:rFonts w:ascii="Times New Roman" w:eastAsia="Times New Roman" w:hAnsi="Times New Roman"/>
          <w:sz w:val="24"/>
          <w:szCs w:val="24"/>
          <w:lang w:val="en-GB" w:eastAsia="en-GB"/>
        </w:rPr>
        <w:t xml:space="preserve">have been recognised as valuable tools for monitoring fish health (Jawad </w:t>
      </w:r>
      <w:r w:rsidR="005D5A4B" w:rsidRPr="005D5A4B">
        <w:rPr>
          <w:rFonts w:ascii="Times New Roman" w:eastAsia="Times New Roman" w:hAnsi="Times New Roman"/>
          <w:i/>
          <w:iCs/>
          <w:sz w:val="24"/>
          <w:szCs w:val="24"/>
          <w:lang w:val="en-GB" w:eastAsia="en-GB"/>
        </w:rPr>
        <w:t>et al</w:t>
      </w:r>
      <w:r w:rsidR="00913AE6">
        <w:rPr>
          <w:rFonts w:ascii="Times New Roman" w:eastAsia="Times New Roman" w:hAnsi="Times New Roman"/>
          <w:sz w:val="24"/>
          <w:szCs w:val="24"/>
          <w:lang w:val="en-GB" w:eastAsia="en-GB"/>
        </w:rPr>
        <w:t xml:space="preserve">., 2004). </w:t>
      </w:r>
      <w:proofErr w:type="spellStart"/>
      <w:r w:rsidR="00913AE6">
        <w:rPr>
          <w:rFonts w:ascii="Times New Roman" w:eastAsia="Times New Roman" w:hAnsi="Times New Roman"/>
          <w:sz w:val="24"/>
          <w:szCs w:val="24"/>
          <w:lang w:val="en-GB" w:eastAsia="en-GB"/>
        </w:rPr>
        <w:t>H</w:t>
      </w:r>
      <w:r w:rsidRPr="0098348F">
        <w:rPr>
          <w:rFonts w:ascii="Times New Roman" w:eastAsia="Times New Roman" w:hAnsi="Times New Roman"/>
          <w:sz w:val="24"/>
          <w:szCs w:val="24"/>
          <w:lang w:val="en-GB" w:eastAsia="en-GB"/>
        </w:rPr>
        <w:t>ematological</w:t>
      </w:r>
      <w:proofErr w:type="spellEnd"/>
      <w:r w:rsidRPr="0098348F">
        <w:rPr>
          <w:rFonts w:ascii="Times New Roman" w:eastAsia="Times New Roman" w:hAnsi="Times New Roman"/>
          <w:sz w:val="24"/>
          <w:szCs w:val="24"/>
          <w:lang w:val="en-GB" w:eastAsia="en-GB"/>
        </w:rPr>
        <w:t xml:space="preserve"> parameters reflect a wide range of physiological alterations, both adaptive and disruptive (Moradi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2022). They provide extensive information about various physiological functions as reliable biomarkers of an organism’s performance.</w:t>
      </w:r>
      <w:r w:rsidR="00091CDA">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Toxic agents</w:t>
      </w:r>
      <w:r w:rsidR="00CE7170">
        <w:rPr>
          <w:rFonts w:ascii="Times New Roman" w:eastAsia="Times New Roman" w:hAnsi="Times New Roman"/>
          <w:sz w:val="24"/>
          <w:szCs w:val="24"/>
          <w:lang w:val="en-GB" w:eastAsia="en-GB"/>
        </w:rPr>
        <w:t xml:space="preserve"> such as</w:t>
      </w:r>
      <w:r w:rsidRPr="0098348F">
        <w:rPr>
          <w:rFonts w:ascii="Times New Roman" w:eastAsia="Times New Roman" w:hAnsi="Times New Roman"/>
          <w:sz w:val="24"/>
          <w:szCs w:val="24"/>
          <w:lang w:val="en-GB" w:eastAsia="en-GB"/>
        </w:rPr>
        <w:t xml:space="preserve">, metal ions, pesticides, or other anthropogenic aquatic pollutants, as well as pharmaceuticals such as immunomodulators, antimicrobial and antiparasitic therapeutics, or anaesthetics, were proven to cause </w:t>
      </w:r>
      <w:proofErr w:type="spellStart"/>
      <w:r w:rsidRPr="0098348F">
        <w:rPr>
          <w:rFonts w:ascii="Times New Roman" w:eastAsia="Times New Roman" w:hAnsi="Times New Roman"/>
          <w:sz w:val="24"/>
          <w:szCs w:val="24"/>
          <w:lang w:val="en-GB" w:eastAsia="en-GB"/>
        </w:rPr>
        <w:t>hematological</w:t>
      </w:r>
      <w:proofErr w:type="spellEnd"/>
      <w:r w:rsidRPr="0098348F">
        <w:rPr>
          <w:rFonts w:ascii="Times New Roman" w:eastAsia="Times New Roman" w:hAnsi="Times New Roman"/>
          <w:sz w:val="24"/>
          <w:szCs w:val="24"/>
          <w:lang w:val="en-GB" w:eastAsia="en-GB"/>
        </w:rPr>
        <w:t xml:space="preserve"> changes in fish (Cordeiro Bentes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2022; Moradi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2022; Dias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2023; Kanu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2023; Rohani, 2</w:t>
      </w:r>
      <w:r w:rsidR="00091CDA">
        <w:rPr>
          <w:rFonts w:ascii="Times New Roman" w:eastAsia="Times New Roman" w:hAnsi="Times New Roman"/>
          <w:sz w:val="24"/>
          <w:szCs w:val="24"/>
          <w:lang w:val="en-GB" w:eastAsia="en-GB"/>
        </w:rPr>
        <w:t>023; Duman, 2023; Kubra, 2023).</w:t>
      </w:r>
      <w:r w:rsidR="00CE7170">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Haematological alterations in fish subjected to xenobiotics may be different and depend on the toxic agent, its concentration and time of exposure, environmental conditions, and intrinsic factors such as fish species, age, and size (Ahmed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2020; </w:t>
      </w:r>
      <w:proofErr w:type="spellStart"/>
      <w:r w:rsidRPr="0098348F">
        <w:rPr>
          <w:rFonts w:ascii="Times New Roman" w:eastAsia="Times New Roman" w:hAnsi="Times New Roman"/>
          <w:sz w:val="24"/>
          <w:szCs w:val="24"/>
          <w:lang w:val="en-GB" w:eastAsia="en-GB"/>
        </w:rPr>
        <w:t>Witeska</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091CDA">
        <w:rPr>
          <w:rFonts w:ascii="Times New Roman" w:eastAsia="Times New Roman" w:hAnsi="Times New Roman"/>
          <w:sz w:val="24"/>
          <w:szCs w:val="24"/>
          <w:lang w:val="en-GB" w:eastAsia="en-GB"/>
        </w:rPr>
        <w:t>., 2022).</w:t>
      </w:r>
    </w:p>
    <w:p w14:paraId="19D529B0" w14:textId="77777777" w:rsidR="0098348F" w:rsidRPr="0098348F" w:rsidRDefault="0098348F" w:rsidP="00091CDA">
      <w:pPr>
        <w:spacing w:after="0" w:line="360" w:lineRule="auto"/>
        <w:ind w:firstLine="720"/>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Fish live in very intimate contact with their environment and are therefore very susceptible to physical and chemical changes that may be reflected in their blood components (Wilson and Taylor, 1993). </w:t>
      </w:r>
      <w:r w:rsidRPr="00AB023C">
        <w:rPr>
          <w:rFonts w:ascii="Times New Roman" w:eastAsia="Times New Roman" w:hAnsi="Times New Roman"/>
          <w:i/>
          <w:sz w:val="24"/>
          <w:szCs w:val="24"/>
          <w:lang w:val="en-GB" w:eastAsia="en-GB"/>
        </w:rPr>
        <w:t>Clarias gariepinus</w:t>
      </w:r>
      <w:r w:rsidRPr="0098348F">
        <w:rPr>
          <w:rFonts w:ascii="Times New Roman" w:eastAsia="Times New Roman" w:hAnsi="Times New Roman"/>
          <w:sz w:val="24"/>
          <w:szCs w:val="24"/>
          <w:lang w:val="en-GB" w:eastAsia="en-GB"/>
        </w:rPr>
        <w:t xml:space="preserve">, commonly known as the African </w:t>
      </w:r>
      <w:proofErr w:type="spellStart"/>
      <w:r w:rsidRPr="0098348F">
        <w:rPr>
          <w:rFonts w:ascii="Times New Roman" w:eastAsia="Times New Roman" w:hAnsi="Times New Roman"/>
          <w:sz w:val="24"/>
          <w:szCs w:val="24"/>
          <w:lang w:val="en-GB" w:eastAsia="en-GB"/>
        </w:rPr>
        <w:t>sharptooth</w:t>
      </w:r>
      <w:proofErr w:type="spellEnd"/>
      <w:r w:rsidRPr="0098348F">
        <w:rPr>
          <w:rFonts w:ascii="Times New Roman" w:eastAsia="Times New Roman" w:hAnsi="Times New Roman"/>
          <w:sz w:val="24"/>
          <w:szCs w:val="24"/>
          <w:lang w:val="en-GB" w:eastAsia="en-GB"/>
        </w:rPr>
        <w:t xml:space="preserve"> catfish, is an important species in aquaculture and has been widely used as a model organism in toxicological studies (</w:t>
      </w:r>
      <w:proofErr w:type="spellStart"/>
      <w:r w:rsidRPr="0098348F">
        <w:rPr>
          <w:rFonts w:ascii="Times New Roman" w:eastAsia="Times New Roman" w:hAnsi="Times New Roman"/>
          <w:sz w:val="24"/>
          <w:szCs w:val="24"/>
          <w:lang w:val="en-GB" w:eastAsia="en-GB"/>
        </w:rPr>
        <w:t>Adeogun</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2015). They are a highly esteemed group of fishes with popular delicacy relish throughout Africa and the most cultured fish species due to their fast growth rate, high market value, and ability to tolerate difficult aquatic conditions (</w:t>
      </w:r>
      <w:proofErr w:type="spellStart"/>
      <w:r w:rsidRPr="0098348F">
        <w:rPr>
          <w:rFonts w:ascii="Times New Roman" w:eastAsia="Times New Roman" w:hAnsi="Times New Roman"/>
          <w:sz w:val="24"/>
          <w:szCs w:val="24"/>
          <w:lang w:val="en-GB" w:eastAsia="en-GB"/>
        </w:rPr>
        <w:t>Olojo</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913AE6">
        <w:rPr>
          <w:rFonts w:ascii="Times New Roman" w:eastAsia="Times New Roman" w:hAnsi="Times New Roman"/>
          <w:sz w:val="24"/>
          <w:szCs w:val="24"/>
          <w:lang w:val="en-GB" w:eastAsia="en-GB"/>
        </w:rPr>
        <w:t>., 2005). They a</w:t>
      </w:r>
      <w:r w:rsidRPr="0098348F">
        <w:rPr>
          <w:rFonts w:ascii="Times New Roman" w:eastAsia="Times New Roman" w:hAnsi="Times New Roman"/>
          <w:sz w:val="24"/>
          <w:szCs w:val="24"/>
          <w:lang w:val="en-GB" w:eastAsia="en-GB"/>
        </w:rPr>
        <w:t xml:space="preserve">re known for their hardiness, rapid growth, and ability to tolerate a wide range of environmental conditions, making them an ideal candidate for investigating the effects of environmental pollutants (Olatunji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2020).</w:t>
      </w:r>
      <w:r w:rsidR="00AB023C">
        <w:rPr>
          <w:rFonts w:ascii="Times New Roman" w:eastAsia="Times New Roman" w:hAnsi="Times New Roman"/>
          <w:sz w:val="24"/>
          <w:szCs w:val="24"/>
          <w:lang w:val="en-GB" w:eastAsia="en-GB"/>
        </w:rPr>
        <w:t xml:space="preserve"> Therefore, this work is aimed at evaluating the potential effects of diethyl phthalate on </w:t>
      </w:r>
      <w:r w:rsidR="00CE7170">
        <w:rPr>
          <w:rFonts w:ascii="Times New Roman" w:eastAsia="Times New Roman" w:hAnsi="Times New Roman"/>
          <w:sz w:val="24"/>
          <w:szCs w:val="24"/>
          <w:lang w:val="en-GB" w:eastAsia="en-GB"/>
        </w:rPr>
        <w:t xml:space="preserve">the general physiology </w:t>
      </w:r>
      <w:proofErr w:type="gramStart"/>
      <w:r w:rsidR="00CE7170">
        <w:rPr>
          <w:rFonts w:ascii="Times New Roman" w:eastAsia="Times New Roman" w:hAnsi="Times New Roman"/>
          <w:sz w:val="24"/>
          <w:szCs w:val="24"/>
          <w:lang w:val="en-GB" w:eastAsia="en-GB"/>
        </w:rPr>
        <w:t xml:space="preserve">of </w:t>
      </w:r>
      <w:r w:rsidR="00AB023C">
        <w:rPr>
          <w:rFonts w:ascii="Times New Roman" w:eastAsia="Times New Roman" w:hAnsi="Times New Roman"/>
          <w:sz w:val="24"/>
          <w:szCs w:val="24"/>
          <w:lang w:val="en-GB" w:eastAsia="en-GB"/>
        </w:rPr>
        <w:t xml:space="preserve"> </w:t>
      </w:r>
      <w:r w:rsidR="00AB023C" w:rsidRPr="00AB023C">
        <w:rPr>
          <w:rFonts w:ascii="Times New Roman" w:eastAsia="Times New Roman" w:hAnsi="Times New Roman"/>
          <w:i/>
          <w:sz w:val="24"/>
          <w:szCs w:val="24"/>
          <w:lang w:val="en-GB" w:eastAsia="en-GB"/>
        </w:rPr>
        <w:t>Clarias</w:t>
      </w:r>
      <w:proofErr w:type="gramEnd"/>
      <w:r w:rsidR="00AB023C" w:rsidRPr="00AB023C">
        <w:rPr>
          <w:rFonts w:ascii="Times New Roman" w:eastAsia="Times New Roman" w:hAnsi="Times New Roman"/>
          <w:i/>
          <w:sz w:val="24"/>
          <w:szCs w:val="24"/>
          <w:lang w:val="en-GB" w:eastAsia="en-GB"/>
        </w:rPr>
        <w:t xml:space="preserve"> gariepinus</w:t>
      </w:r>
      <w:r w:rsidR="00AB023C">
        <w:rPr>
          <w:rFonts w:ascii="Times New Roman" w:eastAsia="Times New Roman" w:hAnsi="Times New Roman"/>
          <w:sz w:val="24"/>
          <w:szCs w:val="24"/>
          <w:lang w:val="en-GB" w:eastAsia="en-GB"/>
        </w:rPr>
        <w:t xml:space="preserve"> Juvenile.</w:t>
      </w:r>
    </w:p>
    <w:p w14:paraId="21AD0634" w14:textId="77777777" w:rsidR="00913AE6" w:rsidRDefault="00913AE6" w:rsidP="004B4B12">
      <w:pPr>
        <w:spacing w:after="0" w:line="360" w:lineRule="auto"/>
        <w:jc w:val="both"/>
        <w:rPr>
          <w:rFonts w:ascii="Times New Roman" w:hAnsi="Times New Roman"/>
          <w:b/>
          <w:bCs/>
          <w:sz w:val="24"/>
          <w:szCs w:val="24"/>
        </w:rPr>
      </w:pPr>
    </w:p>
    <w:p w14:paraId="05D3B463" w14:textId="77777777" w:rsidR="00E27058" w:rsidRPr="00AF3B65" w:rsidRDefault="00915C5A"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Materials and Methods</w:t>
      </w:r>
    </w:p>
    <w:p w14:paraId="25BBF5FC"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Collection of fishes</w:t>
      </w:r>
    </w:p>
    <w:p w14:paraId="36D88AFB" w14:textId="77777777" w:rsidR="00AB023C" w:rsidRPr="0098348F" w:rsidRDefault="00AB023C" w:rsidP="00AB023C">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H</w:t>
      </w:r>
      <w:r w:rsidR="0098348F" w:rsidRPr="0098348F">
        <w:rPr>
          <w:rFonts w:ascii="Times New Roman" w:eastAsia="Times New Roman" w:hAnsi="Times New Roman"/>
          <w:sz w:val="24"/>
          <w:szCs w:val="24"/>
          <w:lang w:val="en-GB" w:eastAsia="en-GB"/>
        </w:rPr>
        <w:t xml:space="preserve">ealthy laboratory population of </w:t>
      </w:r>
      <w:r w:rsidR="0098348F" w:rsidRPr="00CA3DD2">
        <w:rPr>
          <w:rFonts w:ascii="Times New Roman" w:eastAsia="Times New Roman" w:hAnsi="Times New Roman"/>
          <w:i/>
          <w:sz w:val="24"/>
          <w:szCs w:val="24"/>
          <w:lang w:val="en-GB" w:eastAsia="en-GB"/>
        </w:rPr>
        <w:t>Clarias gariepinus</w:t>
      </w:r>
      <w:r w:rsidR="0098348F" w:rsidRPr="0098348F">
        <w:rPr>
          <w:rFonts w:ascii="Times New Roman" w:eastAsia="Times New Roman" w:hAnsi="Times New Roman"/>
          <w:sz w:val="24"/>
          <w:szCs w:val="24"/>
          <w:lang w:val="en-GB" w:eastAsia="en-GB"/>
        </w:rPr>
        <w:t xml:space="preserve"> that varied between 18.22 and 21.31 g was procured from the Department of Fisheries and Aquaculture, LAUTECH, </w:t>
      </w:r>
      <w:proofErr w:type="spellStart"/>
      <w:r w:rsidR="0098348F" w:rsidRPr="0098348F">
        <w:rPr>
          <w:rFonts w:ascii="Times New Roman" w:eastAsia="Times New Roman" w:hAnsi="Times New Roman"/>
          <w:sz w:val="24"/>
          <w:szCs w:val="24"/>
          <w:lang w:val="en-GB" w:eastAsia="en-GB"/>
        </w:rPr>
        <w:t>Ogbomoso</w:t>
      </w:r>
      <w:proofErr w:type="spellEnd"/>
      <w:r w:rsidR="0098348F" w:rsidRPr="0098348F">
        <w:rPr>
          <w:rFonts w:ascii="Times New Roman" w:eastAsia="Times New Roman" w:hAnsi="Times New Roman"/>
          <w:sz w:val="24"/>
          <w:szCs w:val="24"/>
          <w:lang w:val="en-GB" w:eastAsia="en-GB"/>
        </w:rPr>
        <w:t xml:space="preserve">, Oyo State, </w:t>
      </w:r>
      <w:r w:rsidR="0098348F" w:rsidRPr="0098348F">
        <w:rPr>
          <w:rFonts w:ascii="Times New Roman" w:eastAsia="Times New Roman" w:hAnsi="Times New Roman"/>
          <w:sz w:val="24"/>
          <w:szCs w:val="24"/>
          <w:lang w:val="en-GB" w:eastAsia="en-GB"/>
        </w:rPr>
        <w:lastRenderedPageBreak/>
        <w:t>Nigeria.</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The fish were acclimatised to the laboratory conditions for 15 days before the commencement of the experiment proper. They were kept in pre-cleaned plastic bowls under the same laboratory condition for twelve days. During the acclimatisation, fish were fed with commercial fish feed on commercial feed at 5% of their wet body weight, and also three-fourths of the aquaria water was changed daily.</w:t>
      </w:r>
    </w:p>
    <w:p w14:paraId="2C588F22"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Reagent Used</w:t>
      </w:r>
    </w:p>
    <w:p w14:paraId="5C77DDEC"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 stock solution of diethyl phthalate (Plate 2) with 99.97% purity (CAS number: 84-66-2; molecular weight: 22.24) was procured and prepared as a stock solution. </w:t>
      </w:r>
      <w:r w:rsidR="00CE7170">
        <w:rPr>
          <w:rFonts w:ascii="Times New Roman" w:eastAsia="Times New Roman" w:hAnsi="Times New Roman"/>
          <w:sz w:val="24"/>
          <w:szCs w:val="24"/>
          <w:lang w:val="en-GB" w:eastAsia="en-GB"/>
        </w:rPr>
        <w:t xml:space="preserve">Different </w:t>
      </w:r>
      <w:r w:rsidRPr="0098348F">
        <w:rPr>
          <w:rFonts w:ascii="Times New Roman" w:eastAsia="Times New Roman" w:hAnsi="Times New Roman"/>
          <w:sz w:val="24"/>
          <w:szCs w:val="24"/>
          <w:lang w:val="en-GB" w:eastAsia="en-GB"/>
        </w:rPr>
        <w:t>working concentrations of DEP were prepared by dissolving appropriate amounts of stock in aquaria water.</w:t>
      </w:r>
    </w:p>
    <w:p w14:paraId="7D898704" w14:textId="77777777" w:rsidR="0002725C" w:rsidRPr="0098348F" w:rsidRDefault="0002725C" w:rsidP="0002725C">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Range Finding Test</w:t>
      </w:r>
    </w:p>
    <w:p w14:paraId="200D8DF4" w14:textId="77777777" w:rsidR="0098348F" w:rsidRPr="0098348F" w:rsidRDefault="0002725C"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DEP solutions were prepared and added to test tanks daily to maintain nominal concentrations.</w:t>
      </w:r>
      <w:r>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The exploratory range of concentration of test chemicals was determined with a series of range-finding experiments (APHA, 1998). This was initially conducted using the geometric series of concentration values to identify the highest concentrations that would kill 100% of the test organisms and the lowest concentrations that would not affect them. Thereafter, definitive acute toxicity bioassays (continuous flow-through system) were conducted by exposing fish to different concentrations of DEP.</w:t>
      </w:r>
      <w:r>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 xml:space="preserve">Fish were divided into seven groups: one control group and six experimental groups exposed to DEP </w:t>
      </w:r>
      <w:r w:rsidR="00317058">
        <w:rPr>
          <w:rFonts w:ascii="Times New Roman" w:eastAsia="Times New Roman" w:hAnsi="Times New Roman"/>
          <w:sz w:val="24"/>
          <w:szCs w:val="24"/>
          <w:lang w:val="en-GB" w:eastAsia="en-GB"/>
        </w:rPr>
        <w:t>chronic</w:t>
      </w:r>
      <w:r>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 xml:space="preserve">concentrations of </w:t>
      </w:r>
      <w:r w:rsidR="00913AE6">
        <w:rPr>
          <w:rStyle w:val="ff1"/>
          <w:rFonts w:ascii="Times New Roman" w:eastAsia="ff1" w:hAnsi="Times New Roman"/>
          <w:color w:val="000000"/>
          <w:sz w:val="24"/>
          <w:szCs w:val="24"/>
          <w:shd w:val="clear" w:color="auto" w:fill="FFFFFF"/>
          <w:lang w:bidi="ar"/>
        </w:rPr>
        <w:t xml:space="preserve">26.0, 34.5, 43.25, 53.8 and 62.5 </w:t>
      </w:r>
      <w:r w:rsidR="00913AE6">
        <w:rPr>
          <w:rFonts w:ascii="Times New Roman" w:eastAsia="ff1" w:hAnsi="Times New Roman"/>
          <w:sz w:val="24"/>
          <w:szCs w:val="24"/>
          <w:shd w:val="clear" w:color="auto" w:fill="FFFFFF"/>
          <w:lang w:bidi="ar"/>
        </w:rPr>
        <w:t>µL/L</w:t>
      </w:r>
      <w:r>
        <w:rPr>
          <w:rFonts w:ascii="Times New Roman" w:eastAsia="ff1" w:hAnsi="Times New Roman"/>
          <w:sz w:val="24"/>
          <w:szCs w:val="24"/>
          <w:shd w:val="clear" w:color="auto" w:fill="FFFFFF"/>
          <w:lang w:bidi="ar"/>
        </w:rPr>
        <w:t xml:space="preserve"> </w:t>
      </w:r>
      <w:r>
        <w:rPr>
          <w:rFonts w:ascii="Times New Roman" w:eastAsia="Times New Roman" w:hAnsi="Times New Roman"/>
          <w:sz w:val="24"/>
          <w:szCs w:val="24"/>
          <w:lang w:val="en-GB" w:eastAsia="en-GB"/>
        </w:rPr>
        <w:t xml:space="preserve">respectively </w:t>
      </w:r>
      <w:r w:rsidR="00317058">
        <w:rPr>
          <w:rFonts w:ascii="Times New Roman" w:eastAsia="Times New Roman" w:hAnsi="Times New Roman"/>
          <w:sz w:val="24"/>
          <w:szCs w:val="24"/>
          <w:lang w:val="en-GB" w:eastAsia="en-GB"/>
        </w:rPr>
        <w:t>for</w:t>
      </w:r>
      <w:r w:rsidR="00913AE6">
        <w:rPr>
          <w:rFonts w:ascii="Times New Roman" w:eastAsia="Times New Roman" w:hAnsi="Times New Roman"/>
          <w:sz w:val="24"/>
          <w:szCs w:val="24"/>
          <w:lang w:val="en-GB" w:eastAsia="en-GB"/>
        </w:rPr>
        <w:t xml:space="preserve"> 45</w:t>
      </w:r>
      <w:r>
        <w:rPr>
          <w:rFonts w:ascii="Times New Roman" w:eastAsia="Times New Roman" w:hAnsi="Times New Roman"/>
          <w:sz w:val="24"/>
          <w:szCs w:val="24"/>
          <w:lang w:val="en-GB" w:eastAsia="en-GB"/>
        </w:rPr>
        <w:t xml:space="preserve"> days </w:t>
      </w:r>
      <w:r w:rsidR="0098348F" w:rsidRPr="0098348F">
        <w:rPr>
          <w:rFonts w:ascii="Times New Roman" w:eastAsia="Times New Roman" w:hAnsi="Times New Roman"/>
          <w:sz w:val="24"/>
          <w:szCs w:val="24"/>
          <w:lang w:val="en-GB" w:eastAsia="en-GB"/>
        </w:rPr>
        <w:t>(</w:t>
      </w:r>
      <w:proofErr w:type="spellStart"/>
      <w:r w:rsidR="0098348F" w:rsidRPr="0098348F">
        <w:rPr>
          <w:rFonts w:ascii="Times New Roman" w:eastAsia="Times New Roman" w:hAnsi="Times New Roman"/>
          <w:sz w:val="24"/>
          <w:szCs w:val="24"/>
          <w:lang w:val="en-GB" w:eastAsia="en-GB"/>
        </w:rPr>
        <w:t>Obiezue</w:t>
      </w:r>
      <w:proofErr w:type="spellEnd"/>
      <w:r w:rsidR="0098348F"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Pr>
          <w:rFonts w:ascii="Times New Roman" w:eastAsia="Times New Roman" w:hAnsi="Times New Roman"/>
          <w:sz w:val="24"/>
          <w:szCs w:val="24"/>
          <w:lang w:val="en-GB" w:eastAsia="en-GB"/>
        </w:rPr>
        <w:t xml:space="preserve">., 2022 and </w:t>
      </w:r>
      <w:r w:rsidR="0098348F" w:rsidRPr="0098348F">
        <w:rPr>
          <w:rFonts w:ascii="Times New Roman" w:eastAsia="Times New Roman" w:hAnsi="Times New Roman"/>
          <w:sz w:val="24"/>
          <w:szCs w:val="24"/>
          <w:lang w:val="en-GB" w:eastAsia="en-GB"/>
        </w:rPr>
        <w:t xml:space="preserve">Adekunle </w:t>
      </w:r>
      <w:r w:rsidR="005D5A4B" w:rsidRPr="005D5A4B">
        <w:rPr>
          <w:rFonts w:ascii="Times New Roman" w:eastAsia="Times New Roman" w:hAnsi="Times New Roman"/>
          <w:i/>
          <w:iCs/>
          <w:sz w:val="24"/>
          <w:szCs w:val="24"/>
          <w:lang w:val="en-GB" w:eastAsia="en-GB"/>
        </w:rPr>
        <w:t>et al</w:t>
      </w:r>
      <w:r w:rsidR="0098348F" w:rsidRPr="0098348F">
        <w:rPr>
          <w:rFonts w:ascii="Times New Roman" w:eastAsia="Times New Roman" w:hAnsi="Times New Roman"/>
          <w:sz w:val="24"/>
          <w:szCs w:val="24"/>
          <w:lang w:val="en-GB" w:eastAsia="en-GB"/>
        </w:rPr>
        <w:t>., 2023).</w:t>
      </w:r>
    </w:p>
    <w:p w14:paraId="430B99E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 xml:space="preserve">Behavioural </w:t>
      </w:r>
      <w:r w:rsidR="00CA3DD2">
        <w:rPr>
          <w:rFonts w:ascii="Times New Roman" w:eastAsia="Times New Roman" w:hAnsi="Times New Roman"/>
          <w:b/>
          <w:bCs/>
          <w:sz w:val="24"/>
          <w:szCs w:val="24"/>
          <w:lang w:val="en-GB" w:eastAsia="en-GB"/>
        </w:rPr>
        <w:t>and Mortality Responses</w:t>
      </w:r>
    </w:p>
    <w:p w14:paraId="2F1B87E9" w14:textId="77777777" w:rsidR="0098348F" w:rsidRPr="00AB023C" w:rsidRDefault="0098348F" w:rsidP="00CA3DD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Behavioural changes </w:t>
      </w:r>
      <w:r w:rsidR="00CA3DD2">
        <w:rPr>
          <w:rFonts w:ascii="Times New Roman" w:eastAsia="Times New Roman" w:hAnsi="Times New Roman"/>
          <w:sz w:val="24"/>
          <w:szCs w:val="24"/>
          <w:lang w:val="en-GB" w:eastAsia="en-GB"/>
        </w:rPr>
        <w:t xml:space="preserve">and mortality </w:t>
      </w:r>
      <w:r w:rsidRPr="0098348F">
        <w:rPr>
          <w:rFonts w:ascii="Times New Roman" w:eastAsia="Times New Roman" w:hAnsi="Times New Roman"/>
          <w:sz w:val="24"/>
          <w:szCs w:val="24"/>
          <w:lang w:val="en-GB" w:eastAsia="en-GB"/>
        </w:rPr>
        <w:t xml:space="preserve">were </w:t>
      </w:r>
      <w:r w:rsidR="00CA3DD2">
        <w:rPr>
          <w:rFonts w:ascii="Times New Roman" w:eastAsia="Times New Roman" w:hAnsi="Times New Roman"/>
          <w:sz w:val="24"/>
          <w:szCs w:val="24"/>
          <w:lang w:val="en-GB" w:eastAsia="en-GB"/>
        </w:rPr>
        <w:t>monitored</w:t>
      </w:r>
      <w:r w:rsidRPr="0098348F">
        <w:rPr>
          <w:rFonts w:ascii="Times New Roman" w:eastAsia="Times New Roman" w:hAnsi="Times New Roman"/>
          <w:sz w:val="24"/>
          <w:szCs w:val="24"/>
          <w:lang w:val="en-GB" w:eastAsia="en-GB"/>
        </w:rPr>
        <w:t xml:space="preserve"> using </w:t>
      </w:r>
      <w:r w:rsidR="00CA3DD2">
        <w:rPr>
          <w:rFonts w:ascii="Times New Roman" w:eastAsia="Times New Roman" w:hAnsi="Times New Roman"/>
          <w:sz w:val="24"/>
          <w:szCs w:val="24"/>
          <w:lang w:val="en-GB" w:eastAsia="en-GB"/>
        </w:rPr>
        <w:t>visual observation</w:t>
      </w:r>
      <w:r w:rsidR="00AB023C">
        <w:rPr>
          <w:rFonts w:ascii="Times New Roman" w:eastAsia="Times New Roman" w:hAnsi="Times New Roman"/>
          <w:sz w:val="24"/>
          <w:szCs w:val="24"/>
          <w:lang w:val="en-GB" w:eastAsia="en-GB"/>
        </w:rPr>
        <w:t xml:space="preserve"> and documented and the LC</w:t>
      </w:r>
      <w:proofErr w:type="gramStart"/>
      <w:r w:rsidR="00AB023C" w:rsidRPr="00AB023C">
        <w:rPr>
          <w:rFonts w:ascii="Times New Roman" w:eastAsia="Times New Roman" w:hAnsi="Times New Roman"/>
          <w:sz w:val="24"/>
          <w:szCs w:val="24"/>
          <w:vertAlign w:val="subscript"/>
          <w:lang w:val="en-GB" w:eastAsia="en-GB"/>
        </w:rPr>
        <w:t>50</w:t>
      </w:r>
      <w:r w:rsidR="00AB023C">
        <w:rPr>
          <w:rFonts w:ascii="Times New Roman" w:eastAsia="Times New Roman" w:hAnsi="Times New Roman"/>
          <w:sz w:val="24"/>
          <w:szCs w:val="24"/>
          <w:vertAlign w:val="subscript"/>
          <w:lang w:val="en-GB" w:eastAsia="en-GB"/>
        </w:rPr>
        <w:t xml:space="preserve"> </w:t>
      </w:r>
      <w:r w:rsidR="00AB023C">
        <w:rPr>
          <w:rFonts w:ascii="Times New Roman" w:eastAsia="Times New Roman" w:hAnsi="Times New Roman"/>
          <w:sz w:val="24"/>
          <w:szCs w:val="24"/>
          <w:lang w:val="en-GB" w:eastAsia="en-GB"/>
        </w:rPr>
        <w:t xml:space="preserve"> values</w:t>
      </w:r>
      <w:proofErr w:type="gramEnd"/>
      <w:r w:rsidR="00AB023C">
        <w:rPr>
          <w:rFonts w:ascii="Times New Roman" w:eastAsia="Times New Roman" w:hAnsi="Times New Roman"/>
          <w:sz w:val="24"/>
          <w:szCs w:val="24"/>
          <w:lang w:val="en-GB" w:eastAsia="en-GB"/>
        </w:rPr>
        <w:t xml:space="preserve"> for acute and chronic toxicities were determined and recorded.</w:t>
      </w:r>
    </w:p>
    <w:p w14:paraId="4E39C571" w14:textId="77777777" w:rsidR="0002725C" w:rsidRPr="0098348F" w:rsidRDefault="0002725C" w:rsidP="0002725C">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Blood</w:t>
      </w:r>
      <w:r w:rsidR="0098348F" w:rsidRPr="0098348F">
        <w:rPr>
          <w:rFonts w:ascii="Times New Roman" w:eastAsia="Times New Roman" w:hAnsi="Times New Roman"/>
          <w:b/>
          <w:bCs/>
          <w:sz w:val="24"/>
          <w:szCs w:val="24"/>
          <w:lang w:val="en-GB" w:eastAsia="en-GB"/>
        </w:rPr>
        <w:t xml:space="preserve"> Collection</w:t>
      </w:r>
      <w:r>
        <w:rPr>
          <w:rFonts w:ascii="Times New Roman" w:eastAsia="Times New Roman" w:hAnsi="Times New Roman"/>
          <w:b/>
          <w:bCs/>
          <w:sz w:val="24"/>
          <w:szCs w:val="24"/>
          <w:lang w:val="en-GB" w:eastAsia="en-GB"/>
        </w:rPr>
        <w:t xml:space="preserve"> and </w:t>
      </w:r>
      <w:r w:rsidRPr="0098348F">
        <w:rPr>
          <w:rFonts w:ascii="Times New Roman" w:eastAsia="Times New Roman" w:hAnsi="Times New Roman"/>
          <w:b/>
          <w:bCs/>
          <w:sz w:val="24"/>
          <w:szCs w:val="24"/>
          <w:lang w:val="en-GB" w:eastAsia="en-GB"/>
        </w:rPr>
        <w:t>Haematological Evaluation</w:t>
      </w:r>
    </w:p>
    <w:p w14:paraId="19586B0D" w14:textId="77777777" w:rsidR="00CA3DD2"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Blood samples were collected from the caudal vein of anaesthetised fish using heparinised syringes. Samples were immediately transferred to EDTA-coated tubes for haematological analysis.</w:t>
      </w:r>
      <w:r w:rsidR="0002725C">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Haematological examination of fish was done following the method described by </w:t>
      </w:r>
      <w:proofErr w:type="spellStart"/>
      <w:r w:rsidRPr="0098348F">
        <w:rPr>
          <w:rFonts w:ascii="Times New Roman" w:eastAsia="Times New Roman" w:hAnsi="Times New Roman"/>
          <w:sz w:val="24"/>
          <w:szCs w:val="24"/>
          <w:lang w:val="en-GB" w:eastAsia="en-GB"/>
        </w:rPr>
        <w:t>Ogundiran</w:t>
      </w:r>
      <w:proofErr w:type="spellEnd"/>
      <w:r w:rsidRPr="0098348F">
        <w:rPr>
          <w:rFonts w:ascii="Times New Roman" w:eastAsia="Times New Roman" w:hAnsi="Times New Roman"/>
          <w:sz w:val="24"/>
          <w:szCs w:val="24"/>
          <w:lang w:val="en-GB" w:eastAsia="en-GB"/>
        </w:rPr>
        <w:t xml:space="preserve"> and </w:t>
      </w:r>
      <w:proofErr w:type="spellStart"/>
      <w:r w:rsidRPr="0098348F">
        <w:rPr>
          <w:rFonts w:ascii="Times New Roman" w:eastAsia="Times New Roman" w:hAnsi="Times New Roman"/>
          <w:sz w:val="24"/>
          <w:szCs w:val="24"/>
          <w:lang w:val="en-GB" w:eastAsia="en-GB"/>
        </w:rPr>
        <w:t>Ayandiran</w:t>
      </w:r>
      <w:proofErr w:type="spellEnd"/>
      <w:r w:rsidRPr="0098348F">
        <w:rPr>
          <w:rFonts w:ascii="Times New Roman" w:eastAsia="Times New Roman" w:hAnsi="Times New Roman"/>
          <w:sz w:val="24"/>
          <w:szCs w:val="24"/>
          <w:lang w:val="en-GB" w:eastAsia="en-GB"/>
        </w:rPr>
        <w:t xml:space="preserve"> (2021). 11/2 ml of blood was collected at the end of the experiment from the caudal peduncle of both the exposed and the control fish stocks Joshi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w:t>
      </w:r>
      <w:r w:rsidR="00317058">
        <w:rPr>
          <w:rFonts w:ascii="Times New Roman" w:eastAsia="Times New Roman" w:hAnsi="Times New Roman"/>
          <w:sz w:val="24"/>
          <w:szCs w:val="24"/>
          <w:lang w:val="en-GB" w:eastAsia="en-GB"/>
        </w:rPr>
        <w:t>,</w:t>
      </w:r>
      <w:r w:rsidRPr="0098348F">
        <w:rPr>
          <w:rFonts w:ascii="Times New Roman" w:eastAsia="Times New Roman" w:hAnsi="Times New Roman"/>
          <w:sz w:val="24"/>
          <w:szCs w:val="24"/>
          <w:lang w:val="en-GB" w:eastAsia="en-GB"/>
        </w:rPr>
        <w:t xml:space="preserve"> (2000). The blood samples were dispensed into tubes containing lithium heparin anticoagulant. Haemoglobin was estimated by the </w:t>
      </w:r>
      <w:proofErr w:type="spellStart"/>
      <w:r w:rsidRPr="0098348F">
        <w:rPr>
          <w:rFonts w:ascii="Times New Roman" w:eastAsia="Times New Roman" w:hAnsi="Times New Roman"/>
          <w:sz w:val="24"/>
          <w:szCs w:val="24"/>
          <w:lang w:val="en-GB" w:eastAsia="en-GB"/>
        </w:rPr>
        <w:t>cyanomethemoglobin</w:t>
      </w:r>
      <w:proofErr w:type="spellEnd"/>
      <w:r w:rsidRPr="0098348F">
        <w:rPr>
          <w:rFonts w:ascii="Times New Roman" w:eastAsia="Times New Roman" w:hAnsi="Times New Roman"/>
          <w:sz w:val="24"/>
          <w:szCs w:val="24"/>
          <w:lang w:val="en-GB" w:eastAsia="en-GB"/>
        </w:rPr>
        <w:t xml:space="preserve"> method. Red blood cells (RBCs) and white blood cells (WBCs) were counted by Neubauer’s improved </w:t>
      </w:r>
      <w:proofErr w:type="spellStart"/>
      <w:r w:rsidRPr="0098348F">
        <w:rPr>
          <w:rFonts w:ascii="Times New Roman" w:eastAsia="Times New Roman" w:hAnsi="Times New Roman"/>
          <w:sz w:val="24"/>
          <w:szCs w:val="24"/>
          <w:lang w:val="en-GB" w:eastAsia="en-GB"/>
        </w:rPr>
        <w:t>hemocytometer</w:t>
      </w:r>
      <w:proofErr w:type="spellEnd"/>
      <w:r w:rsidRPr="0098348F">
        <w:rPr>
          <w:rFonts w:ascii="Times New Roman" w:eastAsia="Times New Roman" w:hAnsi="Times New Roman"/>
          <w:sz w:val="24"/>
          <w:szCs w:val="24"/>
          <w:lang w:val="en-GB" w:eastAsia="en-GB"/>
        </w:rPr>
        <w:t xml:space="preserve"> using </w:t>
      </w:r>
      <w:proofErr w:type="spellStart"/>
      <w:r w:rsidRPr="0098348F">
        <w:rPr>
          <w:rFonts w:ascii="Times New Roman" w:eastAsia="Times New Roman" w:hAnsi="Times New Roman"/>
          <w:sz w:val="24"/>
          <w:szCs w:val="24"/>
          <w:lang w:val="en-GB" w:eastAsia="en-GB"/>
        </w:rPr>
        <w:t>Hyems</w:t>
      </w:r>
      <w:proofErr w:type="spellEnd"/>
      <w:r w:rsidRPr="0098348F">
        <w:rPr>
          <w:rFonts w:ascii="Times New Roman" w:eastAsia="Times New Roman" w:hAnsi="Times New Roman"/>
          <w:sz w:val="24"/>
          <w:szCs w:val="24"/>
          <w:lang w:val="en-GB" w:eastAsia="en-GB"/>
        </w:rPr>
        <w:t xml:space="preserve"> (Shah and </w:t>
      </w:r>
      <w:proofErr w:type="spellStart"/>
      <w:r w:rsidRPr="0098348F">
        <w:rPr>
          <w:rFonts w:ascii="Times New Roman" w:eastAsia="Times New Roman" w:hAnsi="Times New Roman"/>
          <w:sz w:val="24"/>
          <w:szCs w:val="24"/>
          <w:lang w:val="en-GB" w:eastAsia="en-GB"/>
        </w:rPr>
        <w:t>Alltinday</w:t>
      </w:r>
      <w:proofErr w:type="spellEnd"/>
      <w:r w:rsidRPr="0098348F">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lastRenderedPageBreak/>
        <w:t>2005) and Turks solution (</w:t>
      </w:r>
      <w:proofErr w:type="spellStart"/>
      <w:r w:rsidRPr="0098348F">
        <w:rPr>
          <w:rFonts w:ascii="Times New Roman" w:eastAsia="Times New Roman" w:hAnsi="Times New Roman"/>
          <w:sz w:val="24"/>
          <w:szCs w:val="24"/>
          <w:lang w:val="en-GB" w:eastAsia="en-GB"/>
        </w:rPr>
        <w:t>Mgbenka</w:t>
      </w:r>
      <w:proofErr w:type="spellEnd"/>
      <w:r w:rsidRPr="0098348F">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xml:space="preserve">., 2003) as diluting fluids, respectively. Packed cell volume (PCV), mean corpuscular haemoglobin concentration (MCHC), mean corpuscular haemoglobin (MCH), and mean cell volume (MCV) were calculated respectively using standard formulas described by Dacie and Lewis (1991) and Joshi </w:t>
      </w:r>
      <w:r w:rsidR="005D5A4B" w:rsidRPr="005D5A4B">
        <w:rPr>
          <w:rFonts w:ascii="Times New Roman" w:eastAsia="Times New Roman" w:hAnsi="Times New Roman"/>
          <w:i/>
          <w:iCs/>
          <w:sz w:val="24"/>
          <w:szCs w:val="24"/>
          <w:lang w:val="en-GB" w:eastAsia="en-GB"/>
        </w:rPr>
        <w:t>et al</w:t>
      </w:r>
      <w:r w:rsidRPr="0098348F">
        <w:rPr>
          <w:rFonts w:ascii="Times New Roman" w:eastAsia="Times New Roman" w:hAnsi="Times New Roman"/>
          <w:sz w:val="24"/>
          <w:szCs w:val="24"/>
          <w:lang w:val="en-GB" w:eastAsia="en-GB"/>
        </w:rPr>
        <w:t>. (2002</w:t>
      </w:r>
    </w:p>
    <w:p w14:paraId="700F93E2" w14:textId="77777777" w:rsidR="00CA3DD2" w:rsidRDefault="00CA3DD2"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b/>
          <w:bCs/>
          <w:sz w:val="24"/>
          <w:szCs w:val="24"/>
          <w:lang w:val="en-GB" w:eastAsia="en-GB"/>
        </w:rPr>
        <w:t xml:space="preserve">Histological </w:t>
      </w:r>
      <w:r w:rsidRPr="0098348F">
        <w:rPr>
          <w:rFonts w:ascii="Times New Roman" w:eastAsia="Times New Roman" w:hAnsi="Times New Roman"/>
          <w:b/>
          <w:bCs/>
          <w:sz w:val="24"/>
          <w:szCs w:val="24"/>
          <w:lang w:val="en-GB" w:eastAsia="en-GB"/>
        </w:rPr>
        <w:t>Evaluation</w:t>
      </w:r>
    </w:p>
    <w:p w14:paraId="20A92DDB" w14:textId="77777777" w:rsidR="00CA3DD2" w:rsidRPr="00CA3DD2" w:rsidRDefault="00CA3DD2" w:rsidP="004B4B12">
      <w:pPr>
        <w:spacing w:after="0" w:line="360" w:lineRule="auto"/>
        <w:jc w:val="both"/>
        <w:rPr>
          <w:rFonts w:ascii="Times New Roman" w:eastAsia="Times New Roman" w:hAnsi="Times New Roman"/>
          <w:sz w:val="24"/>
          <w:szCs w:val="24"/>
          <w:lang w:val="en-GB" w:eastAsia="en-GB"/>
        </w:rPr>
      </w:pPr>
      <w:r w:rsidRPr="00CA3DD2">
        <w:rPr>
          <w:rFonts w:ascii="Times New Roman" w:hAnsi="Times New Roman"/>
          <w:color w:val="1B1B1B"/>
          <w:sz w:val="24"/>
          <w:szCs w:val="24"/>
          <w:shd w:val="clear" w:color="auto" w:fill="FFFFFF"/>
        </w:rPr>
        <w:t>Tissue samples were processed by a standard paraffin wax protocol (dehydrated, embedded in paraffin, 2 and 5 </w:t>
      </w:r>
      <w:proofErr w:type="spellStart"/>
      <w:r w:rsidRPr="00CA3DD2">
        <w:rPr>
          <w:rFonts w:ascii="Times New Roman" w:hAnsi="Times New Roman"/>
          <w:color w:val="1B1B1B"/>
          <w:sz w:val="24"/>
          <w:szCs w:val="24"/>
          <w:shd w:val="clear" w:color="auto" w:fill="FFFFFF"/>
        </w:rPr>
        <w:t>μm</w:t>
      </w:r>
      <w:proofErr w:type="spellEnd"/>
      <w:r w:rsidRPr="00CA3DD2">
        <w:rPr>
          <w:rFonts w:ascii="Times New Roman" w:hAnsi="Times New Roman"/>
          <w:color w:val="1B1B1B"/>
          <w:sz w:val="24"/>
          <w:szCs w:val="24"/>
          <w:shd w:val="clear" w:color="auto" w:fill="FFFFFF"/>
        </w:rPr>
        <w:t xml:space="preserve"> thick sectioned and </w:t>
      </w:r>
      <w:proofErr w:type="spellStart"/>
      <w:r w:rsidRPr="00CA3DD2">
        <w:rPr>
          <w:rFonts w:ascii="Times New Roman" w:hAnsi="Times New Roman"/>
          <w:color w:val="1B1B1B"/>
          <w:sz w:val="24"/>
          <w:szCs w:val="24"/>
          <w:shd w:val="clear" w:color="auto" w:fill="FFFFFF"/>
        </w:rPr>
        <w:t>haematoxylin</w:t>
      </w:r>
      <w:proofErr w:type="spellEnd"/>
      <w:r w:rsidRPr="00CA3DD2">
        <w:rPr>
          <w:rFonts w:ascii="Times New Roman" w:hAnsi="Times New Roman"/>
          <w:color w:val="1B1B1B"/>
          <w:sz w:val="24"/>
          <w:szCs w:val="24"/>
          <w:shd w:val="clear" w:color="auto" w:fill="FFFFFF"/>
        </w:rPr>
        <w:t xml:space="preserve"> and eosin [H&amp;E] stained). Slides were evaluated by light microscopy using an Axio Lab.A1 microscope (Carl Zeiss Microscopy GmbH). Slides were also scanned by using a Hamamatsu </w:t>
      </w:r>
      <w:proofErr w:type="spellStart"/>
      <w:r w:rsidRPr="00CA3DD2">
        <w:rPr>
          <w:rFonts w:ascii="Times New Roman" w:hAnsi="Times New Roman"/>
          <w:color w:val="1B1B1B"/>
          <w:sz w:val="24"/>
          <w:szCs w:val="24"/>
          <w:shd w:val="clear" w:color="auto" w:fill="FFFFFF"/>
        </w:rPr>
        <w:t>NanoZoomer</w:t>
      </w:r>
      <w:proofErr w:type="spellEnd"/>
      <w:r w:rsidRPr="00CA3DD2">
        <w:rPr>
          <w:rFonts w:ascii="Times New Roman" w:hAnsi="Times New Roman"/>
          <w:color w:val="1B1B1B"/>
          <w:sz w:val="24"/>
          <w:szCs w:val="24"/>
          <w:shd w:val="clear" w:color="auto" w:fill="FFFFFF"/>
        </w:rPr>
        <w:t xml:space="preserve"> S360, and further visualized by using the software program NDP.view.2.7.25.0 (Hamamatsu Photonics K.K.).</w:t>
      </w:r>
    </w:p>
    <w:p w14:paraId="1550DBA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Statistical Analysis</w:t>
      </w:r>
    </w:p>
    <w:p w14:paraId="5A06D514"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Mean values were analysed for significant differences (P ≤ 0.05) using the ANOVA. Differences between means were partitioned using the Duncan New Multiple Range test. The Statistical Package for Social Sciences (SPSS) version 25 was used. The probit value was determined from the probit model developed by Finney (1971).</w:t>
      </w:r>
    </w:p>
    <w:p w14:paraId="53294A70" w14:textId="77777777" w:rsidR="00E27058" w:rsidRPr="00C660BD" w:rsidRDefault="00915C5A" w:rsidP="004B4B12">
      <w:pPr>
        <w:spacing w:after="0" w:line="360" w:lineRule="auto"/>
        <w:jc w:val="both"/>
        <w:rPr>
          <w:rFonts w:ascii="Times New Roman" w:hAnsi="Times New Roman"/>
          <w:sz w:val="24"/>
          <w:szCs w:val="24"/>
        </w:rPr>
      </w:pPr>
      <w:r w:rsidRPr="00AF3B65">
        <w:rPr>
          <w:rFonts w:ascii="Times New Roman" w:hAnsi="Times New Roman"/>
          <w:b/>
          <w:bCs/>
          <w:sz w:val="24"/>
          <w:szCs w:val="24"/>
        </w:rPr>
        <w:t>Results</w:t>
      </w:r>
    </w:p>
    <w:p w14:paraId="72199349"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Behavioural Responses</w:t>
      </w:r>
    </w:p>
    <w:p w14:paraId="5A34473D"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The behaviour of the control fish and their colour were normal in both the lethal and sub-lethal tests. In the acute toxicity test, the symptomatic behavioural toxicities observed in diethyl phthalate (DEP)-treated fish were lack of balance, agitated or erratic swimming, air gulping, restlessness, sudden quick movement, and rapid opercula movement. </w:t>
      </w:r>
      <w:r w:rsidR="005D5A4B" w:rsidRPr="005D5A4B">
        <w:rPr>
          <w:rFonts w:ascii="Times New Roman" w:eastAsia="Times New Roman" w:hAnsi="Times New Roman"/>
          <w:i/>
          <w:iCs/>
          <w:sz w:val="24"/>
          <w:szCs w:val="24"/>
          <w:lang w:val="en-GB" w:eastAsia="en-GB"/>
        </w:rPr>
        <w:t>C. gariepinus</w:t>
      </w:r>
      <w:r w:rsidRPr="0098348F">
        <w:rPr>
          <w:rFonts w:ascii="Times New Roman" w:eastAsia="Times New Roman" w:hAnsi="Times New Roman"/>
          <w:sz w:val="24"/>
          <w:szCs w:val="24"/>
          <w:lang w:val="en-GB" w:eastAsia="en-GB"/>
        </w:rPr>
        <w:t xml:space="preserve"> normal dark pigmentation in the dorsal and lateral parts was changed to very light pigmentation in the dorsal and lateral parts.</w:t>
      </w:r>
      <w:r w:rsidR="00CA3DD2">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 The number of mortalities was recorded, and they were discovered to increase as the concentration increased. Further behavioural responses, such as retarded growth and reduction in feeding, were recorded in the </w:t>
      </w:r>
      <w:r w:rsidR="00CA3DD2" w:rsidRPr="0098348F">
        <w:rPr>
          <w:rFonts w:ascii="Times New Roman" w:eastAsia="Times New Roman" w:hAnsi="Times New Roman"/>
          <w:sz w:val="24"/>
          <w:szCs w:val="24"/>
          <w:lang w:val="en-GB" w:eastAsia="en-GB"/>
        </w:rPr>
        <w:t>sub lethal</w:t>
      </w:r>
      <w:r w:rsidRPr="0098348F">
        <w:rPr>
          <w:rFonts w:ascii="Times New Roman" w:eastAsia="Times New Roman" w:hAnsi="Times New Roman"/>
          <w:sz w:val="24"/>
          <w:szCs w:val="24"/>
          <w:lang w:val="en-GB" w:eastAsia="en-GB"/>
        </w:rPr>
        <w:t xml:space="preserve"> toxicity test. Also, a minute number of mortalities were recorded in the </w:t>
      </w:r>
      <w:r w:rsidR="00CA3DD2" w:rsidRPr="0098348F">
        <w:rPr>
          <w:rFonts w:ascii="Times New Roman" w:eastAsia="Times New Roman" w:hAnsi="Times New Roman"/>
          <w:sz w:val="24"/>
          <w:szCs w:val="24"/>
          <w:lang w:val="en-GB" w:eastAsia="en-GB"/>
        </w:rPr>
        <w:t>sub lethal</w:t>
      </w:r>
      <w:r w:rsidRPr="0098348F">
        <w:rPr>
          <w:rFonts w:ascii="Times New Roman" w:eastAsia="Times New Roman" w:hAnsi="Times New Roman"/>
          <w:sz w:val="24"/>
          <w:szCs w:val="24"/>
          <w:lang w:val="en-GB" w:eastAsia="en-GB"/>
        </w:rPr>
        <w:t xml:space="preserve"> test.</w:t>
      </w:r>
    </w:p>
    <w:p w14:paraId="229DC268"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Acute Toxicity Study</w:t>
      </w:r>
    </w:p>
    <w:p w14:paraId="1937E20E"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w:t>
      </w:r>
      <w:r w:rsidR="00915C5A">
        <w:rPr>
          <w:rFonts w:ascii="Times New Roman" w:eastAsia="Times New Roman" w:hAnsi="Times New Roman"/>
          <w:sz w:val="24"/>
          <w:szCs w:val="24"/>
          <w:lang w:val="en-GB" w:eastAsia="en-GB"/>
        </w:rPr>
        <w:t xml:space="preserve">able </w:t>
      </w:r>
      <w:r w:rsidRPr="0098348F">
        <w:rPr>
          <w:rFonts w:ascii="Times New Roman" w:eastAsia="Times New Roman" w:hAnsi="Times New Roman"/>
          <w:sz w:val="24"/>
          <w:szCs w:val="24"/>
          <w:lang w:val="en-GB" w:eastAsia="en-GB"/>
        </w:rPr>
        <w:t xml:space="preserve">1 presents the mortality rates of </w:t>
      </w:r>
      <w:r w:rsidRPr="0098348F">
        <w:rPr>
          <w:rFonts w:ascii="Times New Roman" w:eastAsia="Times New Roman" w:hAnsi="Times New Roman"/>
          <w:i/>
          <w:iCs/>
          <w:sz w:val="24"/>
          <w:szCs w:val="24"/>
          <w:lang w:val="en-GB" w:eastAsia="en-GB"/>
        </w:rPr>
        <w:t>Clarias</w:t>
      </w:r>
      <w:r w:rsidRPr="0098348F">
        <w:rPr>
          <w:rFonts w:ascii="Times New Roman" w:eastAsia="Times New Roman" w:hAnsi="Times New Roman"/>
          <w:sz w:val="24"/>
          <w:szCs w:val="24"/>
          <w:lang w:val="en-GB" w:eastAsia="en-GB"/>
        </w:rPr>
        <w:t xml:space="preserve"> </w:t>
      </w:r>
      <w:r w:rsidRPr="0098348F">
        <w:rPr>
          <w:rFonts w:ascii="Times New Roman" w:eastAsia="Times New Roman" w:hAnsi="Times New Roman"/>
          <w:i/>
          <w:iCs/>
          <w:sz w:val="24"/>
          <w:szCs w:val="24"/>
          <w:lang w:val="en-GB" w:eastAsia="en-GB"/>
        </w:rPr>
        <w:t>gariepinus</w:t>
      </w:r>
      <w:r w:rsidRPr="0098348F">
        <w:rPr>
          <w:rFonts w:ascii="Times New Roman" w:eastAsia="Times New Roman" w:hAnsi="Times New Roman"/>
          <w:sz w:val="24"/>
          <w:szCs w:val="24"/>
          <w:lang w:val="en-GB" w:eastAsia="en-GB"/>
        </w:rPr>
        <w:t xml:space="preserve"> (African catfish) juveniles exposed to varying concentrations of diethyl phthalate (in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over exposure periods of 24, 48, 72, and 96 hours. The data includes total mortalities and the number of survivors at each concentration and time point. The concentrations tested range from 25 to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with corresponding log </w:t>
      </w:r>
      <w:r w:rsidRPr="0098348F">
        <w:rPr>
          <w:rFonts w:ascii="Times New Roman" w:eastAsia="Times New Roman" w:hAnsi="Times New Roman"/>
          <w:sz w:val="24"/>
          <w:szCs w:val="24"/>
          <w:lang w:val="en-GB" w:eastAsia="en-GB"/>
        </w:rPr>
        <w:lastRenderedPageBreak/>
        <w:t xml:space="preserve">concentrations provided. Mortality rates increase with higher concentrations of diethyl phthalate. At the lowest concentration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is minimal, with only 1-2 deaths recorded across all replicates after 96 hours. In contrast, at the highest concentration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/L), mortality rises significantly.</w:t>
      </w:r>
    </w:p>
    <w:p w14:paraId="0FE7F780"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As exposure duration increases from 24 to 96 hours, mortality rates also tend to rise, particularly at elevated concentrations. For instance, at 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one replicate shows 7 deaths after 96 hours, while only 1 or 2 </w:t>
      </w:r>
      <w:r w:rsidR="00317058">
        <w:rPr>
          <w:rFonts w:ascii="Times New Roman" w:eastAsia="Times New Roman" w:hAnsi="Times New Roman"/>
          <w:sz w:val="24"/>
          <w:szCs w:val="24"/>
          <w:lang w:val="en-GB" w:eastAsia="en-GB"/>
        </w:rPr>
        <w:t>mortality</w:t>
      </w:r>
      <w:r w:rsidRPr="0098348F">
        <w:rPr>
          <w:rFonts w:ascii="Times New Roman" w:eastAsia="Times New Roman" w:hAnsi="Times New Roman"/>
          <w:sz w:val="24"/>
          <w:szCs w:val="24"/>
          <w:lang w:val="en-GB" w:eastAsia="en-GB"/>
        </w:rPr>
        <w:t xml:space="preserve"> occur at the lower concentration of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over the same period. The most significant increases in mortality typically occur within the first 48 hours; thereafter, the rate of </w:t>
      </w:r>
      <w:r w:rsidR="00317058">
        <w:rPr>
          <w:rFonts w:ascii="Times New Roman" w:eastAsia="Times New Roman" w:hAnsi="Times New Roman"/>
          <w:sz w:val="24"/>
          <w:szCs w:val="24"/>
          <w:lang w:val="en-GB" w:eastAsia="en-GB"/>
        </w:rPr>
        <w:t>mortality</w:t>
      </w:r>
      <w:r w:rsidRPr="0098348F">
        <w:rPr>
          <w:rFonts w:ascii="Times New Roman" w:eastAsia="Times New Roman" w:hAnsi="Times New Roman"/>
          <w:sz w:val="24"/>
          <w:szCs w:val="24"/>
          <w:lang w:val="en-GB" w:eastAsia="en-GB"/>
        </w:rPr>
        <w:t xml:space="preserve"> may stabilise or increase more gradually. Overall, there is a strong correlation between diethyl phthalate concentration and mortality across different time intervals. At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total deaths after 96 hours range from just 1 to 2, whereas at 50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increases to between 3 and 5. At the highest concentration (87.5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 xml:space="preserve">/L), mortality can reach up to 9 in most cases after the full exposure period. Lower concentrations allow for a higher survival rate; for example, at 25 </w:t>
      </w:r>
      <w:proofErr w:type="spellStart"/>
      <w:r w:rsidRPr="0098348F">
        <w:rPr>
          <w:rFonts w:ascii="Times New Roman" w:eastAsia="Times New Roman" w:hAnsi="Times New Roman"/>
          <w:sz w:val="24"/>
          <w:szCs w:val="24"/>
          <w:lang w:val="en-GB" w:eastAsia="en-GB"/>
        </w:rPr>
        <w:t>μL</w:t>
      </w:r>
      <w:proofErr w:type="spellEnd"/>
      <w:r w:rsidRPr="0098348F">
        <w:rPr>
          <w:rFonts w:ascii="Times New Roman" w:eastAsia="Times New Roman" w:hAnsi="Times New Roman"/>
          <w:sz w:val="24"/>
          <w:szCs w:val="24"/>
          <w:lang w:val="en-GB" w:eastAsia="en-GB"/>
        </w:rPr>
        <w:t>/L, most replicates show that up to 9 fish survive, while only 1 or 2 fish remain alive at the highest concentration after 96 hours.</w:t>
      </w:r>
    </w:p>
    <w:p w14:paraId="510E96C2"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Probit Estimate</w:t>
      </w:r>
    </w:p>
    <w:p w14:paraId="37BA5F3A" w14:textId="51D43D19" w:rsidR="00040FF2"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Figures 1, 2, and 3 present the probit responses of juvenile Clarias gariepinus to the varied concentrations of diethyl phthalate (DEP).</w:t>
      </w:r>
      <w:r w:rsidR="00505E37">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Figure 4. presents the probability estimates and confidence intervals for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(median lethal concentration) of mercury chloride in </w:t>
      </w:r>
      <w:r w:rsidRPr="0098348F">
        <w:rPr>
          <w:rFonts w:ascii="Times New Roman" w:eastAsia="Times New Roman" w:hAnsi="Times New Roman"/>
          <w:i/>
          <w:iCs/>
          <w:sz w:val="24"/>
          <w:szCs w:val="24"/>
          <w:lang w:val="en-GB" w:eastAsia="en-GB"/>
        </w:rPr>
        <w:t xml:space="preserve">Clarias gariepinus </w:t>
      </w:r>
      <w:r w:rsidRPr="0098348F">
        <w:rPr>
          <w:rFonts w:ascii="Times New Roman" w:eastAsia="Times New Roman" w:hAnsi="Times New Roman"/>
          <w:sz w:val="24"/>
          <w:szCs w:val="24"/>
          <w:lang w:val="en-GB" w:eastAsia="en-GB"/>
        </w:rPr>
        <w:t>at 24 hours. At a probability level of 0.500 (50%),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Pr="0098348F">
        <w:rPr>
          <w:rFonts w:ascii="Times New Roman" w:eastAsia="Times New Roman" w:hAnsi="Times New Roman"/>
          <w:i/>
          <w:iCs/>
          <w:sz w:val="24"/>
          <w:szCs w:val="24"/>
          <w:lang w:val="en-GB" w:eastAsia="en-GB"/>
        </w:rPr>
        <w:t xml:space="preserve">Clarias gariepinus </w:t>
      </w:r>
      <w:r w:rsidRPr="0098348F">
        <w:rPr>
          <w:rFonts w:ascii="Times New Roman" w:eastAsia="Times New Roman" w:hAnsi="Times New Roman"/>
          <w:sz w:val="24"/>
          <w:szCs w:val="24"/>
          <w:lang w:val="en-GB" w:eastAsia="en-GB"/>
        </w:rPr>
        <w:t>at 2</w:t>
      </w:r>
      <w:r w:rsidR="00CC0327">
        <w:rPr>
          <w:rFonts w:ascii="Times New Roman" w:eastAsia="Times New Roman" w:hAnsi="Times New Roman"/>
          <w:sz w:val="24"/>
          <w:szCs w:val="24"/>
          <w:lang w:val="en-GB" w:eastAsia="en-GB"/>
        </w:rPr>
        <w:t xml:space="preserve">4 hours is 1.803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1). At a probability level of 0.500 (50%),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Pr="0098348F">
        <w:rPr>
          <w:rFonts w:ascii="Times New Roman" w:eastAsia="Times New Roman" w:hAnsi="Times New Roman"/>
          <w:i/>
          <w:iCs/>
          <w:sz w:val="24"/>
          <w:szCs w:val="24"/>
          <w:lang w:val="en-GB" w:eastAsia="en-GB"/>
        </w:rPr>
        <w:t xml:space="preserve">Clarias gariepinus </w:t>
      </w:r>
      <w:r w:rsidRPr="0098348F">
        <w:rPr>
          <w:rFonts w:ascii="Times New Roman" w:eastAsia="Times New Roman" w:hAnsi="Times New Roman"/>
          <w:sz w:val="24"/>
          <w:szCs w:val="24"/>
          <w:lang w:val="en-GB" w:eastAsia="en-GB"/>
        </w:rPr>
        <w:t>at 9</w:t>
      </w:r>
      <w:r w:rsidR="00CC0327">
        <w:rPr>
          <w:rFonts w:ascii="Times New Roman" w:eastAsia="Times New Roman" w:hAnsi="Times New Roman"/>
          <w:sz w:val="24"/>
          <w:szCs w:val="24"/>
          <w:lang w:val="en-GB" w:eastAsia="en-GB"/>
        </w:rPr>
        <w:t xml:space="preserve">6 hours is 1.803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2).</w:t>
      </w:r>
      <w:r w:rsidR="00505E37">
        <w:rPr>
          <w:rFonts w:ascii="Times New Roman" w:eastAsia="Times New Roman" w:hAnsi="Times New Roman"/>
          <w:sz w:val="24"/>
          <w:szCs w:val="24"/>
          <w:lang w:val="en-GB" w:eastAsia="en-GB"/>
        </w:rPr>
        <w:t xml:space="preserve"> </w:t>
      </w:r>
      <w:r w:rsidRPr="0098348F">
        <w:rPr>
          <w:rFonts w:ascii="Times New Roman" w:eastAsia="Times New Roman" w:hAnsi="Times New Roman"/>
          <w:sz w:val="24"/>
          <w:szCs w:val="24"/>
          <w:lang w:val="en-GB" w:eastAsia="en-GB"/>
        </w:rPr>
        <w:t xml:space="preserve">As the probability level increases, the estimated </w:t>
      </w:r>
      <w:proofErr w:type="spellStart"/>
      <w:r w:rsidRPr="0098348F">
        <w:rPr>
          <w:rFonts w:ascii="Times New Roman" w:eastAsia="Times New Roman" w:hAnsi="Times New Roman"/>
          <w:sz w:val="24"/>
          <w:szCs w:val="24"/>
          <w:lang w:val="en-GB" w:eastAsia="en-GB"/>
        </w:rPr>
        <w:t>concentrati</w:t>
      </w:r>
      <w:proofErr w:type="spellEnd"/>
    </w:p>
    <w:p w14:paraId="03E40A3E"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on of diethyl phthalate also increases, indicating higher concentrations are required to cause mortality in the tested population. The LC</w:t>
      </w:r>
      <w:r w:rsidRPr="0098348F">
        <w:rPr>
          <w:rFonts w:ascii="Times New Roman" w:eastAsia="Times New Roman" w:hAnsi="Times New Roman"/>
          <w:sz w:val="24"/>
          <w:szCs w:val="24"/>
          <w:vertAlign w:val="subscript"/>
          <w:lang w:val="en-GB" w:eastAsia="en-GB"/>
        </w:rPr>
        <w:t>50</w:t>
      </w:r>
      <w:r w:rsidRPr="0098348F">
        <w:rPr>
          <w:rFonts w:ascii="Times New Roman" w:eastAsia="Times New Roman" w:hAnsi="Times New Roman"/>
          <w:sz w:val="24"/>
          <w:szCs w:val="24"/>
          <w:lang w:val="en-GB" w:eastAsia="en-GB"/>
        </w:rPr>
        <w:t xml:space="preserve"> estimate for diethyl phthalate in </w:t>
      </w:r>
      <w:r w:rsidRPr="0098348F">
        <w:rPr>
          <w:rFonts w:ascii="Times New Roman" w:eastAsia="Times New Roman" w:hAnsi="Times New Roman"/>
          <w:i/>
          <w:iCs/>
          <w:sz w:val="24"/>
          <w:szCs w:val="24"/>
          <w:lang w:val="en-GB" w:eastAsia="en-GB"/>
        </w:rPr>
        <w:t xml:space="preserve">Clarias gariepinus </w:t>
      </w:r>
      <w:r w:rsidRPr="0098348F">
        <w:rPr>
          <w:rFonts w:ascii="Times New Roman" w:eastAsia="Times New Roman" w:hAnsi="Times New Roman"/>
          <w:sz w:val="24"/>
          <w:szCs w:val="24"/>
          <w:lang w:val="en-GB" w:eastAsia="en-GB"/>
        </w:rPr>
        <w:t>at the chronic level is 2.181</w:t>
      </w:r>
      <w:r w:rsidRPr="0098348F">
        <w:rPr>
          <w:rFonts w:ascii="Times New Roman" w:eastAsia="Times New Roman" w:hAnsi="Times New Roman"/>
          <w:b/>
          <w:bCs/>
          <w:sz w:val="24"/>
          <w:szCs w:val="24"/>
          <w:lang w:val="en-GB" w:eastAsia="en-GB"/>
        </w:rPr>
        <w:t xml:space="preserve"> </w:t>
      </w:r>
      <w:proofErr w:type="spellStart"/>
      <w:r w:rsidR="00CC0327">
        <w:rPr>
          <w:rFonts w:ascii="Times New Roman" w:eastAsia="Times New Roman" w:hAnsi="Times New Roman"/>
          <w:sz w:val="24"/>
          <w:szCs w:val="24"/>
          <w:lang w:val="en-GB" w:eastAsia="en-GB"/>
        </w:rPr>
        <w:t>μL</w:t>
      </w:r>
      <w:proofErr w:type="spellEnd"/>
      <w:r w:rsidR="00CC0327">
        <w:rPr>
          <w:rFonts w:ascii="Times New Roman" w:eastAsia="Times New Roman" w:hAnsi="Times New Roman"/>
          <w:sz w:val="24"/>
          <w:szCs w:val="24"/>
          <w:lang w:val="en-GB" w:eastAsia="en-GB"/>
        </w:rPr>
        <w:t xml:space="preserve">/L (Figure </w:t>
      </w:r>
      <w:r w:rsidRPr="0098348F">
        <w:rPr>
          <w:rFonts w:ascii="Times New Roman" w:eastAsia="Times New Roman" w:hAnsi="Times New Roman"/>
          <w:sz w:val="24"/>
          <w:szCs w:val="24"/>
          <w:lang w:val="en-GB" w:eastAsia="en-GB"/>
        </w:rPr>
        <w:t>3). The r</w:t>
      </w:r>
      <w:r w:rsidRPr="00CC0327">
        <w:rPr>
          <w:rFonts w:ascii="Times New Roman" w:eastAsia="Times New Roman" w:hAnsi="Times New Roman"/>
          <w:sz w:val="24"/>
          <w:szCs w:val="24"/>
          <w:vertAlign w:val="superscript"/>
          <w:lang w:val="en-GB" w:eastAsia="en-GB"/>
        </w:rPr>
        <w:t>2</w:t>
      </w:r>
      <w:r w:rsidRPr="0098348F">
        <w:rPr>
          <w:rFonts w:ascii="Times New Roman" w:eastAsia="Times New Roman" w:hAnsi="Times New Roman"/>
          <w:sz w:val="24"/>
          <w:szCs w:val="24"/>
          <w:lang w:val="en-GB" w:eastAsia="en-GB"/>
        </w:rPr>
        <w:t xml:space="preserve"> value of 90.86% and 95.85% at log toxicant concentration for 24 h and 96 h exposure indicates the adequacy of the model.</w:t>
      </w:r>
    </w:p>
    <w:p w14:paraId="5E699BA7" w14:textId="77777777" w:rsidR="0002725C" w:rsidRPr="00C660BD" w:rsidRDefault="00915C5A" w:rsidP="0002725C">
      <w:pPr>
        <w:spacing w:after="0" w:line="240" w:lineRule="auto"/>
        <w:jc w:val="center"/>
        <w:rPr>
          <w:rFonts w:ascii="Times New Roman" w:eastAsia="Times New Roman" w:hAnsi="Times New Roman"/>
          <w:b/>
          <w:sz w:val="24"/>
          <w:szCs w:val="24"/>
          <w:lang w:eastAsia="en-GB"/>
        </w:rPr>
      </w:pPr>
      <w:r>
        <w:rPr>
          <w:rFonts w:ascii="Times New Roman" w:eastAsia="Times New Roman" w:hAnsi="Times New Roman"/>
          <w:b/>
          <w:sz w:val="24"/>
          <w:szCs w:val="24"/>
          <w:lang w:eastAsia="en-GB"/>
        </w:rPr>
        <w:t xml:space="preserve">Table </w:t>
      </w:r>
      <w:r w:rsidR="0002725C" w:rsidRPr="00C660BD">
        <w:rPr>
          <w:rFonts w:ascii="Times New Roman" w:eastAsia="Times New Roman" w:hAnsi="Times New Roman"/>
          <w:b/>
          <w:sz w:val="24"/>
          <w:szCs w:val="24"/>
          <w:lang w:eastAsia="en-GB"/>
        </w:rPr>
        <w:t xml:space="preserve">1: Mortality of </w:t>
      </w:r>
      <w:r w:rsidR="0002725C" w:rsidRPr="00C660BD">
        <w:rPr>
          <w:rFonts w:ascii="Times New Roman" w:eastAsia="Times New Roman" w:hAnsi="Times New Roman"/>
          <w:b/>
          <w:i/>
          <w:sz w:val="24"/>
          <w:szCs w:val="24"/>
          <w:lang w:eastAsia="en-GB"/>
        </w:rPr>
        <w:t>Clarias gariepinus</w:t>
      </w:r>
      <w:r w:rsidR="0002725C" w:rsidRPr="00C660BD">
        <w:rPr>
          <w:rFonts w:ascii="Times New Roman" w:eastAsia="Times New Roman" w:hAnsi="Times New Roman"/>
          <w:b/>
          <w:sz w:val="24"/>
          <w:szCs w:val="24"/>
          <w:lang w:eastAsia="en-GB"/>
        </w:rPr>
        <w:t xml:space="preserve"> juveniles on 24 – 96 hours exposure to varied concentrations of diethyl phthalate.</w:t>
      </w:r>
    </w:p>
    <w:tbl>
      <w:tblPr>
        <w:tblW w:w="8047" w:type="dxa"/>
        <w:tblBorders>
          <w:top w:val="single" w:sz="4" w:space="0" w:color="7F7F7F"/>
          <w:bottom w:val="single" w:sz="4" w:space="0" w:color="7F7F7F"/>
        </w:tblBorders>
        <w:tblLook w:val="06A0" w:firstRow="1" w:lastRow="0" w:firstColumn="1" w:lastColumn="0" w:noHBand="1" w:noVBand="1"/>
      </w:tblPr>
      <w:tblGrid>
        <w:gridCol w:w="1573"/>
        <w:gridCol w:w="1573"/>
        <w:gridCol w:w="605"/>
        <w:gridCol w:w="456"/>
        <w:gridCol w:w="456"/>
        <w:gridCol w:w="708"/>
        <w:gridCol w:w="1096"/>
        <w:gridCol w:w="1641"/>
      </w:tblGrid>
      <w:tr w:rsidR="0002725C" w:rsidRPr="00FA3E45" w14:paraId="73701F49" w14:textId="77777777" w:rsidTr="0002725C">
        <w:trPr>
          <w:trHeight w:val="315"/>
        </w:trPr>
        <w:tc>
          <w:tcPr>
            <w:tcW w:w="1573" w:type="dxa"/>
            <w:vMerge w:val="restart"/>
            <w:tcBorders>
              <w:top w:val="single" w:sz="4" w:space="0" w:color="7F7F7F"/>
              <w:bottom w:val="single" w:sz="4" w:space="0" w:color="auto"/>
            </w:tcBorders>
            <w:hideMark/>
          </w:tcPr>
          <w:p w14:paraId="1485392D"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Concentration (</w:t>
            </w:r>
            <w:proofErr w:type="spellStart"/>
            <w:r w:rsidRPr="008752AD">
              <w:rPr>
                <w:rFonts w:ascii="Times New Roman" w:eastAsia="Times New Roman" w:hAnsi="Times New Roman"/>
                <w:b/>
                <w:bCs/>
                <w:color w:val="000000"/>
                <w:lang w:eastAsia="en-GB"/>
              </w:rPr>
              <w:t>μL</w:t>
            </w:r>
            <w:proofErr w:type="spellEnd"/>
            <w:r w:rsidRPr="008752AD">
              <w:rPr>
                <w:rFonts w:ascii="Times New Roman" w:eastAsia="Times New Roman" w:hAnsi="Times New Roman"/>
                <w:b/>
                <w:bCs/>
                <w:color w:val="000000"/>
                <w:lang w:eastAsia="en-GB"/>
              </w:rPr>
              <w:t>/L)</w:t>
            </w:r>
          </w:p>
        </w:tc>
        <w:tc>
          <w:tcPr>
            <w:tcW w:w="1512" w:type="dxa"/>
            <w:vMerge w:val="restart"/>
            <w:tcBorders>
              <w:top w:val="single" w:sz="4" w:space="0" w:color="7F7F7F"/>
              <w:bottom w:val="single" w:sz="4" w:space="0" w:color="auto"/>
            </w:tcBorders>
            <w:hideMark/>
          </w:tcPr>
          <w:p w14:paraId="55EF2F37"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Log Concentration</w:t>
            </w:r>
          </w:p>
        </w:tc>
        <w:tc>
          <w:tcPr>
            <w:tcW w:w="2225" w:type="dxa"/>
            <w:gridSpan w:val="4"/>
            <w:tcBorders>
              <w:top w:val="single" w:sz="4" w:space="0" w:color="7F7F7F"/>
              <w:bottom w:val="nil"/>
            </w:tcBorders>
            <w:hideMark/>
          </w:tcPr>
          <w:p w14:paraId="53F32FD7"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Exposure time (h)</w:t>
            </w:r>
          </w:p>
        </w:tc>
        <w:tc>
          <w:tcPr>
            <w:tcW w:w="1096" w:type="dxa"/>
            <w:tcBorders>
              <w:top w:val="single" w:sz="4" w:space="0" w:color="7F7F7F"/>
              <w:bottom w:val="nil"/>
            </w:tcBorders>
            <w:hideMark/>
          </w:tcPr>
          <w:p w14:paraId="337F234C"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Total mortality</w:t>
            </w:r>
          </w:p>
        </w:tc>
        <w:tc>
          <w:tcPr>
            <w:tcW w:w="1641" w:type="dxa"/>
            <w:tcBorders>
              <w:top w:val="single" w:sz="4" w:space="0" w:color="7F7F7F"/>
              <w:bottom w:val="nil"/>
            </w:tcBorders>
            <w:hideMark/>
          </w:tcPr>
          <w:p w14:paraId="2F79EC6F" w14:textId="77777777" w:rsidR="0002725C" w:rsidRPr="008752AD" w:rsidRDefault="0002725C" w:rsidP="0002725C">
            <w:pPr>
              <w:spacing w:after="0" w:line="240" w:lineRule="auto"/>
              <w:jc w:val="center"/>
              <w:rPr>
                <w:rFonts w:ascii="Times New Roman" w:eastAsia="Times New Roman" w:hAnsi="Times New Roman"/>
                <w:b/>
                <w:bCs/>
                <w:color w:val="000000"/>
                <w:lang w:eastAsia="en-GB"/>
              </w:rPr>
            </w:pPr>
            <w:r w:rsidRPr="008752AD">
              <w:rPr>
                <w:rFonts w:ascii="Times New Roman" w:eastAsia="Times New Roman" w:hAnsi="Times New Roman"/>
                <w:b/>
                <w:bCs/>
                <w:color w:val="000000"/>
                <w:lang w:eastAsia="en-GB"/>
              </w:rPr>
              <w:t>Total No survived</w:t>
            </w:r>
          </w:p>
        </w:tc>
      </w:tr>
      <w:tr w:rsidR="0002725C" w:rsidRPr="00FA3E45" w14:paraId="25A2DD45" w14:textId="77777777" w:rsidTr="0002725C">
        <w:trPr>
          <w:trHeight w:val="330"/>
        </w:trPr>
        <w:tc>
          <w:tcPr>
            <w:tcW w:w="1573" w:type="dxa"/>
            <w:vMerge/>
            <w:tcBorders>
              <w:top w:val="single" w:sz="4" w:space="0" w:color="auto"/>
              <w:bottom w:val="single" w:sz="4" w:space="0" w:color="auto"/>
            </w:tcBorders>
            <w:hideMark/>
          </w:tcPr>
          <w:p w14:paraId="2F6D1FDE"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vMerge/>
            <w:tcBorders>
              <w:top w:val="single" w:sz="4" w:space="0" w:color="auto"/>
              <w:bottom w:val="single" w:sz="4" w:space="0" w:color="auto"/>
            </w:tcBorders>
            <w:hideMark/>
          </w:tcPr>
          <w:p w14:paraId="086C544E" w14:textId="77777777" w:rsidR="0002725C" w:rsidRPr="008752AD" w:rsidRDefault="0002725C" w:rsidP="0002725C">
            <w:pPr>
              <w:spacing w:after="0" w:line="240" w:lineRule="auto"/>
              <w:rPr>
                <w:rFonts w:ascii="Times New Roman" w:eastAsia="Times New Roman" w:hAnsi="Times New Roman"/>
                <w:color w:val="000000"/>
                <w:lang w:eastAsia="en-GB"/>
              </w:rPr>
            </w:pPr>
          </w:p>
        </w:tc>
        <w:tc>
          <w:tcPr>
            <w:tcW w:w="605" w:type="dxa"/>
            <w:tcBorders>
              <w:top w:val="nil"/>
              <w:bottom w:val="single" w:sz="4" w:space="0" w:color="auto"/>
            </w:tcBorders>
            <w:hideMark/>
          </w:tcPr>
          <w:p w14:paraId="3EEAE0D8"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24</w:t>
            </w:r>
          </w:p>
        </w:tc>
        <w:tc>
          <w:tcPr>
            <w:tcW w:w="456" w:type="dxa"/>
            <w:tcBorders>
              <w:top w:val="nil"/>
              <w:bottom w:val="single" w:sz="4" w:space="0" w:color="auto"/>
            </w:tcBorders>
            <w:hideMark/>
          </w:tcPr>
          <w:p w14:paraId="53C09443"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48</w:t>
            </w:r>
          </w:p>
        </w:tc>
        <w:tc>
          <w:tcPr>
            <w:tcW w:w="456" w:type="dxa"/>
            <w:tcBorders>
              <w:top w:val="nil"/>
              <w:bottom w:val="single" w:sz="4" w:space="0" w:color="auto"/>
            </w:tcBorders>
            <w:hideMark/>
          </w:tcPr>
          <w:p w14:paraId="1E04A75B"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72</w:t>
            </w:r>
          </w:p>
        </w:tc>
        <w:tc>
          <w:tcPr>
            <w:tcW w:w="708" w:type="dxa"/>
            <w:tcBorders>
              <w:top w:val="nil"/>
              <w:bottom w:val="single" w:sz="4" w:space="0" w:color="auto"/>
            </w:tcBorders>
            <w:hideMark/>
          </w:tcPr>
          <w:p w14:paraId="33951FCE" w14:textId="77777777" w:rsidR="0002725C" w:rsidRPr="008752AD" w:rsidRDefault="0002725C" w:rsidP="0002725C">
            <w:pPr>
              <w:spacing w:after="0" w:line="240" w:lineRule="auto"/>
              <w:jc w:val="center"/>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96</w:t>
            </w:r>
          </w:p>
        </w:tc>
        <w:tc>
          <w:tcPr>
            <w:tcW w:w="1096" w:type="dxa"/>
            <w:tcBorders>
              <w:top w:val="nil"/>
              <w:bottom w:val="single" w:sz="4" w:space="0" w:color="auto"/>
            </w:tcBorders>
            <w:hideMark/>
          </w:tcPr>
          <w:p w14:paraId="7AF20231" w14:textId="77777777" w:rsidR="0002725C" w:rsidRPr="008752AD" w:rsidRDefault="0002725C" w:rsidP="0002725C">
            <w:pPr>
              <w:spacing w:after="0" w:line="240" w:lineRule="auto"/>
              <w:rPr>
                <w:rFonts w:ascii="Times New Roman" w:eastAsia="Times New Roman" w:hAnsi="Times New Roman"/>
                <w:color w:val="000000"/>
                <w:lang w:eastAsia="en-GB"/>
              </w:rPr>
            </w:pPr>
          </w:p>
        </w:tc>
        <w:tc>
          <w:tcPr>
            <w:tcW w:w="1641" w:type="dxa"/>
            <w:tcBorders>
              <w:top w:val="nil"/>
              <w:bottom w:val="single" w:sz="4" w:space="0" w:color="auto"/>
            </w:tcBorders>
            <w:hideMark/>
          </w:tcPr>
          <w:p w14:paraId="314B0245" w14:textId="77777777" w:rsidR="0002725C" w:rsidRPr="008752AD" w:rsidRDefault="0002725C" w:rsidP="0002725C">
            <w:pPr>
              <w:spacing w:after="0" w:line="240" w:lineRule="auto"/>
              <w:rPr>
                <w:rFonts w:ascii="Times New Roman" w:eastAsia="Times New Roman" w:hAnsi="Times New Roman"/>
                <w:color w:val="000000"/>
                <w:lang w:eastAsia="en-GB"/>
              </w:rPr>
            </w:pPr>
          </w:p>
        </w:tc>
      </w:tr>
      <w:tr w:rsidR="0002725C" w:rsidRPr="00FA3E45" w14:paraId="422FD853" w14:textId="77777777" w:rsidTr="0002725C">
        <w:trPr>
          <w:trHeight w:val="315"/>
        </w:trPr>
        <w:tc>
          <w:tcPr>
            <w:tcW w:w="1573" w:type="dxa"/>
            <w:tcBorders>
              <w:top w:val="single" w:sz="4" w:space="0" w:color="auto"/>
              <w:bottom w:val="nil"/>
            </w:tcBorders>
            <w:noWrap/>
            <w:hideMark/>
          </w:tcPr>
          <w:p w14:paraId="740F6F7D"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25</w:t>
            </w:r>
          </w:p>
        </w:tc>
        <w:tc>
          <w:tcPr>
            <w:tcW w:w="1512" w:type="dxa"/>
            <w:tcBorders>
              <w:top w:val="single" w:sz="4" w:space="0" w:color="auto"/>
              <w:bottom w:val="nil"/>
            </w:tcBorders>
            <w:noWrap/>
            <w:hideMark/>
          </w:tcPr>
          <w:p w14:paraId="0F34FCE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1.398</w:t>
            </w:r>
          </w:p>
        </w:tc>
        <w:tc>
          <w:tcPr>
            <w:tcW w:w="605" w:type="dxa"/>
            <w:tcBorders>
              <w:top w:val="single" w:sz="4" w:space="0" w:color="auto"/>
              <w:bottom w:val="nil"/>
            </w:tcBorders>
            <w:noWrap/>
            <w:hideMark/>
          </w:tcPr>
          <w:p w14:paraId="7ED80D4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tcBorders>
              <w:top w:val="single" w:sz="4" w:space="0" w:color="auto"/>
              <w:bottom w:val="nil"/>
            </w:tcBorders>
            <w:noWrap/>
            <w:hideMark/>
          </w:tcPr>
          <w:p w14:paraId="418330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tcBorders>
              <w:top w:val="single" w:sz="4" w:space="0" w:color="auto"/>
              <w:bottom w:val="nil"/>
            </w:tcBorders>
            <w:noWrap/>
            <w:hideMark/>
          </w:tcPr>
          <w:p w14:paraId="60F4A6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tcBorders>
              <w:top w:val="single" w:sz="4" w:space="0" w:color="auto"/>
              <w:bottom w:val="nil"/>
            </w:tcBorders>
            <w:noWrap/>
            <w:hideMark/>
          </w:tcPr>
          <w:p w14:paraId="24B1ECB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tcBorders>
              <w:top w:val="single" w:sz="4" w:space="0" w:color="auto"/>
              <w:bottom w:val="nil"/>
            </w:tcBorders>
            <w:noWrap/>
            <w:hideMark/>
          </w:tcPr>
          <w:p w14:paraId="58D3C5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tcBorders>
              <w:top w:val="single" w:sz="4" w:space="0" w:color="auto"/>
              <w:bottom w:val="nil"/>
            </w:tcBorders>
            <w:noWrap/>
            <w:hideMark/>
          </w:tcPr>
          <w:p w14:paraId="4F4FC470"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76233F5F" w14:textId="77777777" w:rsidTr="0002725C">
        <w:trPr>
          <w:trHeight w:val="315"/>
        </w:trPr>
        <w:tc>
          <w:tcPr>
            <w:tcW w:w="1573" w:type="dxa"/>
            <w:tcBorders>
              <w:top w:val="nil"/>
            </w:tcBorders>
            <w:noWrap/>
            <w:hideMark/>
          </w:tcPr>
          <w:p w14:paraId="408AC79C"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tcBorders>
              <w:top w:val="nil"/>
            </w:tcBorders>
            <w:noWrap/>
            <w:hideMark/>
          </w:tcPr>
          <w:p w14:paraId="2718953F"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tcBorders>
              <w:top w:val="nil"/>
            </w:tcBorders>
            <w:noWrap/>
            <w:hideMark/>
          </w:tcPr>
          <w:p w14:paraId="7522691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tcBorders>
              <w:top w:val="nil"/>
            </w:tcBorders>
            <w:noWrap/>
            <w:hideMark/>
          </w:tcPr>
          <w:p w14:paraId="4426F4C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tcBorders>
              <w:top w:val="nil"/>
            </w:tcBorders>
            <w:noWrap/>
            <w:hideMark/>
          </w:tcPr>
          <w:p w14:paraId="2588F9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tcBorders>
              <w:top w:val="nil"/>
            </w:tcBorders>
            <w:noWrap/>
            <w:hideMark/>
          </w:tcPr>
          <w:p w14:paraId="12E48F0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tcBorders>
              <w:top w:val="nil"/>
            </w:tcBorders>
            <w:noWrap/>
            <w:hideMark/>
          </w:tcPr>
          <w:p w14:paraId="654F0F8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tcBorders>
              <w:top w:val="nil"/>
            </w:tcBorders>
            <w:noWrap/>
            <w:hideMark/>
          </w:tcPr>
          <w:p w14:paraId="251372AE"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182D81B8" w14:textId="77777777" w:rsidTr="0002725C">
        <w:trPr>
          <w:trHeight w:val="315"/>
        </w:trPr>
        <w:tc>
          <w:tcPr>
            <w:tcW w:w="1573" w:type="dxa"/>
            <w:noWrap/>
            <w:hideMark/>
          </w:tcPr>
          <w:p w14:paraId="41430843"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3A0C9C8"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0A69D686"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1957967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5035220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2166967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77A666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641" w:type="dxa"/>
            <w:noWrap/>
            <w:hideMark/>
          </w:tcPr>
          <w:p w14:paraId="45BA53C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r>
      <w:tr w:rsidR="0002725C" w:rsidRPr="00FA3E45" w14:paraId="7C7A5F38" w14:textId="77777777" w:rsidTr="0002725C">
        <w:trPr>
          <w:trHeight w:val="315"/>
        </w:trPr>
        <w:tc>
          <w:tcPr>
            <w:tcW w:w="1573" w:type="dxa"/>
            <w:noWrap/>
            <w:hideMark/>
          </w:tcPr>
          <w:p w14:paraId="24D623B2"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37.5</w:t>
            </w:r>
          </w:p>
        </w:tc>
        <w:tc>
          <w:tcPr>
            <w:tcW w:w="1512" w:type="dxa"/>
            <w:noWrap/>
            <w:hideMark/>
          </w:tcPr>
          <w:p w14:paraId="462431D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1.574</w:t>
            </w:r>
          </w:p>
        </w:tc>
        <w:tc>
          <w:tcPr>
            <w:tcW w:w="605" w:type="dxa"/>
            <w:noWrap/>
            <w:hideMark/>
          </w:tcPr>
          <w:p w14:paraId="7597E3B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5F078D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3FC1579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77490E5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48B745EB"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3A02120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3C70A2D4" w14:textId="77777777" w:rsidTr="0002725C">
        <w:trPr>
          <w:trHeight w:val="315"/>
        </w:trPr>
        <w:tc>
          <w:tcPr>
            <w:tcW w:w="1573" w:type="dxa"/>
            <w:noWrap/>
            <w:hideMark/>
          </w:tcPr>
          <w:p w14:paraId="7DA3EEE3"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5106AEF"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31E31F0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12A1E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77F2D83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3A5EE61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65ADEE4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641" w:type="dxa"/>
            <w:noWrap/>
            <w:hideMark/>
          </w:tcPr>
          <w:p w14:paraId="5C9ADF2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r>
      <w:tr w:rsidR="0002725C" w:rsidRPr="00FA3E45" w14:paraId="1C85CAD9" w14:textId="77777777" w:rsidTr="0002725C">
        <w:trPr>
          <w:trHeight w:val="315"/>
        </w:trPr>
        <w:tc>
          <w:tcPr>
            <w:tcW w:w="1573" w:type="dxa"/>
            <w:noWrap/>
            <w:hideMark/>
          </w:tcPr>
          <w:p w14:paraId="482384EB"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5AF0669"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7695B83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68C9208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06F188F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7B209F8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2D96086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6FCCBD4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10F9BB00" w14:textId="77777777" w:rsidTr="0002725C">
        <w:trPr>
          <w:trHeight w:val="315"/>
        </w:trPr>
        <w:tc>
          <w:tcPr>
            <w:tcW w:w="1573" w:type="dxa"/>
            <w:noWrap/>
            <w:hideMark/>
          </w:tcPr>
          <w:p w14:paraId="53C3A519"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50</w:t>
            </w:r>
          </w:p>
        </w:tc>
        <w:tc>
          <w:tcPr>
            <w:tcW w:w="1512" w:type="dxa"/>
            <w:noWrap/>
            <w:hideMark/>
          </w:tcPr>
          <w:p w14:paraId="13A187C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1.699</w:t>
            </w:r>
          </w:p>
        </w:tc>
        <w:tc>
          <w:tcPr>
            <w:tcW w:w="605" w:type="dxa"/>
            <w:noWrap/>
            <w:hideMark/>
          </w:tcPr>
          <w:p w14:paraId="36E1982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0797145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49F43754"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38FB76A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2204603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1641" w:type="dxa"/>
            <w:noWrap/>
            <w:hideMark/>
          </w:tcPr>
          <w:p w14:paraId="1CEB7BD1"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r>
      <w:tr w:rsidR="0002725C" w:rsidRPr="00FA3E45" w14:paraId="0B63DCCF" w14:textId="77777777" w:rsidTr="0002725C">
        <w:trPr>
          <w:trHeight w:val="315"/>
        </w:trPr>
        <w:tc>
          <w:tcPr>
            <w:tcW w:w="1573" w:type="dxa"/>
            <w:noWrap/>
            <w:hideMark/>
          </w:tcPr>
          <w:p w14:paraId="578799B5"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820A321"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671ECB74"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370104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1D2C9C2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536E63E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4CFB3416"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1641" w:type="dxa"/>
            <w:noWrap/>
            <w:hideMark/>
          </w:tcPr>
          <w:p w14:paraId="5C0A1F69"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r>
      <w:tr w:rsidR="0002725C" w:rsidRPr="00FA3E45" w14:paraId="575583D7" w14:textId="77777777" w:rsidTr="0002725C">
        <w:trPr>
          <w:trHeight w:val="315"/>
        </w:trPr>
        <w:tc>
          <w:tcPr>
            <w:tcW w:w="1573" w:type="dxa"/>
            <w:noWrap/>
            <w:hideMark/>
          </w:tcPr>
          <w:p w14:paraId="111AA6A0"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6770F28"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608D52D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456" w:type="dxa"/>
            <w:noWrap/>
            <w:hideMark/>
          </w:tcPr>
          <w:p w14:paraId="28B0C04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1FCC3A8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78EE40B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6736312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2508A2A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5857C794" w14:textId="77777777" w:rsidTr="0002725C">
        <w:trPr>
          <w:trHeight w:val="315"/>
        </w:trPr>
        <w:tc>
          <w:tcPr>
            <w:tcW w:w="1573" w:type="dxa"/>
            <w:noWrap/>
            <w:hideMark/>
          </w:tcPr>
          <w:p w14:paraId="06AFA367"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62.5</w:t>
            </w:r>
          </w:p>
        </w:tc>
        <w:tc>
          <w:tcPr>
            <w:tcW w:w="1512" w:type="dxa"/>
            <w:noWrap/>
            <w:hideMark/>
          </w:tcPr>
          <w:p w14:paraId="1B1C672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1.796</w:t>
            </w:r>
          </w:p>
        </w:tc>
        <w:tc>
          <w:tcPr>
            <w:tcW w:w="605" w:type="dxa"/>
            <w:noWrap/>
            <w:hideMark/>
          </w:tcPr>
          <w:p w14:paraId="2BAE40F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56FF695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1F7858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66F9BDF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15F99C74"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1641" w:type="dxa"/>
            <w:noWrap/>
            <w:hideMark/>
          </w:tcPr>
          <w:p w14:paraId="23F3BAF3"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r>
      <w:tr w:rsidR="0002725C" w:rsidRPr="00FA3E45" w14:paraId="31A326FD" w14:textId="77777777" w:rsidTr="0002725C">
        <w:trPr>
          <w:trHeight w:val="315"/>
        </w:trPr>
        <w:tc>
          <w:tcPr>
            <w:tcW w:w="1573" w:type="dxa"/>
            <w:noWrap/>
            <w:hideMark/>
          </w:tcPr>
          <w:p w14:paraId="3A9067A9"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50E591A4"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21112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40CF99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70D082ED"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A3BB3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2F56F4D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6</w:t>
            </w:r>
          </w:p>
        </w:tc>
        <w:tc>
          <w:tcPr>
            <w:tcW w:w="1641" w:type="dxa"/>
            <w:noWrap/>
            <w:hideMark/>
          </w:tcPr>
          <w:p w14:paraId="35FC786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r>
      <w:tr w:rsidR="0002725C" w:rsidRPr="00FA3E45" w14:paraId="400B45EC" w14:textId="77777777" w:rsidTr="0002725C">
        <w:trPr>
          <w:trHeight w:val="315"/>
        </w:trPr>
        <w:tc>
          <w:tcPr>
            <w:tcW w:w="1573" w:type="dxa"/>
            <w:noWrap/>
            <w:hideMark/>
          </w:tcPr>
          <w:p w14:paraId="5B1B7427"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4743D781"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0AF59D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215544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74E3DB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FA1A7B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47ABC70F"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24007167"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3E088343" w14:textId="77777777" w:rsidTr="0002725C">
        <w:trPr>
          <w:trHeight w:val="315"/>
        </w:trPr>
        <w:tc>
          <w:tcPr>
            <w:tcW w:w="1573" w:type="dxa"/>
            <w:noWrap/>
            <w:hideMark/>
          </w:tcPr>
          <w:p w14:paraId="0B864FD8"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75</w:t>
            </w:r>
          </w:p>
        </w:tc>
        <w:tc>
          <w:tcPr>
            <w:tcW w:w="1512" w:type="dxa"/>
            <w:noWrap/>
            <w:hideMark/>
          </w:tcPr>
          <w:p w14:paraId="3AB1D488"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1.875</w:t>
            </w:r>
          </w:p>
        </w:tc>
        <w:tc>
          <w:tcPr>
            <w:tcW w:w="605" w:type="dxa"/>
            <w:noWrap/>
            <w:hideMark/>
          </w:tcPr>
          <w:p w14:paraId="53332EA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456" w:type="dxa"/>
            <w:noWrap/>
            <w:hideMark/>
          </w:tcPr>
          <w:p w14:paraId="6D92E223"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36FA4E8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3BA2730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1096" w:type="dxa"/>
            <w:noWrap/>
            <w:hideMark/>
          </w:tcPr>
          <w:p w14:paraId="62235D9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7</w:t>
            </w:r>
          </w:p>
        </w:tc>
        <w:tc>
          <w:tcPr>
            <w:tcW w:w="1641" w:type="dxa"/>
            <w:noWrap/>
            <w:hideMark/>
          </w:tcPr>
          <w:p w14:paraId="01CA040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r>
      <w:tr w:rsidR="0002725C" w:rsidRPr="00FA3E45" w14:paraId="450A680A" w14:textId="77777777" w:rsidTr="0002725C">
        <w:trPr>
          <w:trHeight w:val="315"/>
        </w:trPr>
        <w:tc>
          <w:tcPr>
            <w:tcW w:w="1573" w:type="dxa"/>
            <w:noWrap/>
            <w:hideMark/>
          </w:tcPr>
          <w:p w14:paraId="67A08691"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45768BB"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785991A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1F362EC1"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456" w:type="dxa"/>
            <w:noWrap/>
            <w:hideMark/>
          </w:tcPr>
          <w:p w14:paraId="7CAC6FA9"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0</w:t>
            </w:r>
          </w:p>
        </w:tc>
        <w:tc>
          <w:tcPr>
            <w:tcW w:w="708" w:type="dxa"/>
            <w:noWrap/>
            <w:hideMark/>
          </w:tcPr>
          <w:p w14:paraId="7E44A68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2AB52D89"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c>
          <w:tcPr>
            <w:tcW w:w="1641" w:type="dxa"/>
            <w:noWrap/>
            <w:hideMark/>
          </w:tcPr>
          <w:p w14:paraId="03A0A5EF"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5</w:t>
            </w:r>
          </w:p>
        </w:tc>
      </w:tr>
      <w:tr w:rsidR="0002725C" w:rsidRPr="00FA3E45" w14:paraId="77F5F31F" w14:textId="77777777" w:rsidTr="0002725C">
        <w:trPr>
          <w:trHeight w:val="315"/>
        </w:trPr>
        <w:tc>
          <w:tcPr>
            <w:tcW w:w="1573" w:type="dxa"/>
            <w:noWrap/>
            <w:hideMark/>
          </w:tcPr>
          <w:p w14:paraId="3B461389"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A6848B0"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5DB93A37"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5FB254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2ED0D6D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708" w:type="dxa"/>
            <w:noWrap/>
            <w:hideMark/>
          </w:tcPr>
          <w:p w14:paraId="1CCF316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53A80055"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c>
          <w:tcPr>
            <w:tcW w:w="1641" w:type="dxa"/>
            <w:noWrap/>
            <w:hideMark/>
          </w:tcPr>
          <w:p w14:paraId="6F219FA2"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r>
      <w:tr w:rsidR="0002725C" w:rsidRPr="00FA3E45" w14:paraId="634C20A5" w14:textId="77777777" w:rsidTr="0002725C">
        <w:trPr>
          <w:trHeight w:val="315"/>
        </w:trPr>
        <w:tc>
          <w:tcPr>
            <w:tcW w:w="1573" w:type="dxa"/>
            <w:noWrap/>
            <w:hideMark/>
          </w:tcPr>
          <w:p w14:paraId="317CF468" w14:textId="77777777" w:rsidR="0002725C" w:rsidRPr="008752AD" w:rsidRDefault="0002725C" w:rsidP="0002725C">
            <w:pPr>
              <w:spacing w:after="0" w:line="240" w:lineRule="auto"/>
              <w:rPr>
                <w:rFonts w:ascii="Times New Roman" w:eastAsia="Times New Roman" w:hAnsi="Times New Roman"/>
                <w:b/>
                <w:bCs/>
                <w:color w:val="000000"/>
                <w:szCs w:val="24"/>
                <w:lang w:eastAsia="en-GB"/>
              </w:rPr>
            </w:pPr>
            <w:r w:rsidRPr="008752AD">
              <w:rPr>
                <w:rFonts w:ascii="Times New Roman" w:eastAsia="Times New Roman" w:hAnsi="Times New Roman"/>
                <w:b/>
                <w:bCs/>
                <w:color w:val="000000"/>
                <w:szCs w:val="24"/>
                <w:lang w:eastAsia="en-GB"/>
              </w:rPr>
              <w:t>87.5</w:t>
            </w:r>
          </w:p>
        </w:tc>
        <w:tc>
          <w:tcPr>
            <w:tcW w:w="1512" w:type="dxa"/>
            <w:noWrap/>
            <w:hideMark/>
          </w:tcPr>
          <w:p w14:paraId="21B9154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1.942</w:t>
            </w:r>
          </w:p>
        </w:tc>
        <w:tc>
          <w:tcPr>
            <w:tcW w:w="605" w:type="dxa"/>
            <w:noWrap/>
            <w:hideMark/>
          </w:tcPr>
          <w:p w14:paraId="5471C996"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2C4F714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7EBABA2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5C84CE9F"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6DF7A338"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c>
          <w:tcPr>
            <w:tcW w:w="1641" w:type="dxa"/>
            <w:noWrap/>
            <w:hideMark/>
          </w:tcPr>
          <w:p w14:paraId="503D860A"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r>
      <w:tr w:rsidR="0002725C" w:rsidRPr="00FA3E45" w14:paraId="3B7E4E5B" w14:textId="77777777" w:rsidTr="0002725C">
        <w:trPr>
          <w:trHeight w:val="300"/>
        </w:trPr>
        <w:tc>
          <w:tcPr>
            <w:tcW w:w="1573" w:type="dxa"/>
            <w:noWrap/>
            <w:hideMark/>
          </w:tcPr>
          <w:p w14:paraId="7A8D532C"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1ABCBB25"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55642D2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4</w:t>
            </w:r>
          </w:p>
        </w:tc>
        <w:tc>
          <w:tcPr>
            <w:tcW w:w="456" w:type="dxa"/>
            <w:noWrap/>
            <w:hideMark/>
          </w:tcPr>
          <w:p w14:paraId="7F25A355"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61F7F67A"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708" w:type="dxa"/>
            <w:noWrap/>
            <w:hideMark/>
          </w:tcPr>
          <w:p w14:paraId="00B7973E"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c>
          <w:tcPr>
            <w:tcW w:w="1096" w:type="dxa"/>
            <w:noWrap/>
            <w:hideMark/>
          </w:tcPr>
          <w:p w14:paraId="1E31CEBD"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8</w:t>
            </w:r>
          </w:p>
        </w:tc>
        <w:tc>
          <w:tcPr>
            <w:tcW w:w="1641" w:type="dxa"/>
            <w:noWrap/>
            <w:hideMark/>
          </w:tcPr>
          <w:p w14:paraId="77D4D863"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r>
      <w:tr w:rsidR="0002725C" w:rsidRPr="00FA3E45" w14:paraId="644A7A37" w14:textId="77777777" w:rsidTr="0002725C">
        <w:trPr>
          <w:trHeight w:val="300"/>
        </w:trPr>
        <w:tc>
          <w:tcPr>
            <w:tcW w:w="1573" w:type="dxa"/>
            <w:noWrap/>
            <w:hideMark/>
          </w:tcPr>
          <w:p w14:paraId="7790C901" w14:textId="77777777" w:rsidR="0002725C" w:rsidRPr="008752AD" w:rsidRDefault="0002725C" w:rsidP="0002725C">
            <w:pPr>
              <w:spacing w:after="0" w:line="240" w:lineRule="auto"/>
              <w:rPr>
                <w:rFonts w:ascii="Times New Roman" w:eastAsia="Times New Roman" w:hAnsi="Times New Roman"/>
                <w:b/>
                <w:bCs/>
                <w:color w:val="000000"/>
                <w:lang w:eastAsia="en-GB"/>
              </w:rPr>
            </w:pPr>
          </w:p>
        </w:tc>
        <w:tc>
          <w:tcPr>
            <w:tcW w:w="1512" w:type="dxa"/>
            <w:noWrap/>
            <w:hideMark/>
          </w:tcPr>
          <w:p w14:paraId="087C244D" w14:textId="77777777" w:rsidR="0002725C" w:rsidRPr="008752AD" w:rsidRDefault="0002725C" w:rsidP="0002725C">
            <w:pPr>
              <w:spacing w:after="0" w:line="240" w:lineRule="auto"/>
              <w:rPr>
                <w:rFonts w:ascii="Times New Roman" w:eastAsia="Times New Roman" w:hAnsi="Times New Roman"/>
                <w:sz w:val="20"/>
                <w:szCs w:val="20"/>
                <w:lang w:eastAsia="en-GB"/>
              </w:rPr>
            </w:pPr>
          </w:p>
        </w:tc>
        <w:tc>
          <w:tcPr>
            <w:tcW w:w="605" w:type="dxa"/>
            <w:noWrap/>
            <w:hideMark/>
          </w:tcPr>
          <w:p w14:paraId="1D89580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456" w:type="dxa"/>
            <w:noWrap/>
            <w:hideMark/>
          </w:tcPr>
          <w:p w14:paraId="39036F12"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3</w:t>
            </w:r>
          </w:p>
        </w:tc>
        <w:tc>
          <w:tcPr>
            <w:tcW w:w="456" w:type="dxa"/>
            <w:noWrap/>
            <w:hideMark/>
          </w:tcPr>
          <w:p w14:paraId="53C8CD8B"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708" w:type="dxa"/>
            <w:noWrap/>
            <w:hideMark/>
          </w:tcPr>
          <w:p w14:paraId="59823CB0" w14:textId="77777777" w:rsidR="0002725C" w:rsidRPr="008752AD" w:rsidRDefault="0002725C" w:rsidP="0002725C">
            <w:pPr>
              <w:spacing w:after="0" w:line="240" w:lineRule="auto"/>
              <w:rPr>
                <w:rFonts w:ascii="Times New Roman" w:eastAsia="Times New Roman" w:hAnsi="Times New Roman"/>
                <w:color w:val="000000"/>
                <w:lang w:eastAsia="en-GB"/>
              </w:rPr>
            </w:pPr>
            <w:r w:rsidRPr="008752AD">
              <w:rPr>
                <w:rFonts w:ascii="Times New Roman" w:eastAsia="Times New Roman" w:hAnsi="Times New Roman"/>
                <w:color w:val="000000"/>
                <w:lang w:eastAsia="en-GB"/>
              </w:rPr>
              <w:t>2</w:t>
            </w:r>
          </w:p>
        </w:tc>
        <w:tc>
          <w:tcPr>
            <w:tcW w:w="1096" w:type="dxa"/>
            <w:noWrap/>
            <w:hideMark/>
          </w:tcPr>
          <w:p w14:paraId="745F1B0E"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9</w:t>
            </w:r>
          </w:p>
        </w:tc>
        <w:tc>
          <w:tcPr>
            <w:tcW w:w="1641" w:type="dxa"/>
            <w:noWrap/>
            <w:hideMark/>
          </w:tcPr>
          <w:p w14:paraId="7F9DD03C" w14:textId="77777777" w:rsidR="0002725C" w:rsidRPr="008752AD" w:rsidRDefault="0002725C" w:rsidP="0002725C">
            <w:pPr>
              <w:spacing w:after="0" w:line="240" w:lineRule="auto"/>
              <w:jc w:val="center"/>
              <w:rPr>
                <w:rFonts w:ascii="Times New Roman" w:eastAsia="Times New Roman" w:hAnsi="Times New Roman"/>
                <w:color w:val="000000"/>
                <w:lang w:eastAsia="en-GB"/>
              </w:rPr>
            </w:pPr>
            <w:r w:rsidRPr="008752AD">
              <w:rPr>
                <w:rFonts w:ascii="Times New Roman" w:eastAsia="Times New Roman" w:hAnsi="Times New Roman"/>
                <w:color w:val="000000"/>
                <w:lang w:eastAsia="en-GB"/>
              </w:rPr>
              <w:t>1</w:t>
            </w:r>
          </w:p>
        </w:tc>
      </w:tr>
    </w:tbl>
    <w:p w14:paraId="183F89E4" w14:textId="77777777" w:rsidR="0002725C" w:rsidRDefault="0002725C" w:rsidP="0002725C">
      <w:pPr>
        <w:spacing w:after="0" w:line="240" w:lineRule="auto"/>
        <w:ind w:firstLine="720"/>
        <w:jc w:val="both"/>
        <w:rPr>
          <w:rFonts w:eastAsia="Times New Roman"/>
          <w:szCs w:val="24"/>
          <w:lang w:eastAsia="en-GB"/>
        </w:rPr>
      </w:pPr>
    </w:p>
    <w:p w14:paraId="5899B79C" w14:textId="77777777" w:rsidR="00C660BD" w:rsidRDefault="00E14B54" w:rsidP="004B4B12">
      <w:pPr>
        <w:spacing w:after="0" w:line="360" w:lineRule="auto"/>
        <w:jc w:val="both"/>
        <w:rPr>
          <w:b/>
        </w:rPr>
      </w:pPr>
      <w:r>
        <w:rPr>
          <w:noProof/>
          <w:lang w:eastAsia="en-US"/>
        </w:rPr>
        <w:drawing>
          <wp:inline distT="0" distB="0" distL="0" distR="0" wp14:anchorId="2F2F06EA" wp14:editId="3A2900F2">
            <wp:extent cx="5112385" cy="2959100"/>
            <wp:effectExtent l="0" t="0" r="12065" b="12700"/>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C25B5F7" w14:textId="77777777" w:rsidR="00C660BD" w:rsidRPr="00C660BD" w:rsidRDefault="00C660BD" w:rsidP="00505E37">
      <w:pPr>
        <w:spacing w:after="0" w:line="240" w:lineRule="auto"/>
        <w:jc w:val="center"/>
        <w:rPr>
          <w:rFonts w:ascii="Times New Roman" w:hAnsi="Times New Roman"/>
          <w:b/>
          <w:sz w:val="24"/>
          <w:szCs w:val="24"/>
        </w:rPr>
      </w:pPr>
      <w:r w:rsidRPr="00C660BD">
        <w:rPr>
          <w:rFonts w:ascii="Times New Roman" w:hAnsi="Times New Roman"/>
          <w:b/>
          <w:sz w:val="24"/>
          <w:szCs w:val="24"/>
        </w:rPr>
        <w:t xml:space="preserve">Figure 1: Probit transformed responses for 24 h exposure of </w:t>
      </w:r>
      <w:r w:rsidRPr="00C660BD">
        <w:rPr>
          <w:rFonts w:ascii="Times New Roman" w:hAnsi="Times New Roman"/>
          <w:b/>
          <w:i/>
          <w:sz w:val="24"/>
          <w:szCs w:val="24"/>
        </w:rPr>
        <w:t>Clarias gariepinus</w:t>
      </w:r>
      <w:r w:rsidRPr="00C660BD">
        <w:rPr>
          <w:rFonts w:ascii="Times New Roman" w:hAnsi="Times New Roman"/>
          <w:b/>
          <w:sz w:val="24"/>
          <w:szCs w:val="24"/>
        </w:rPr>
        <w:t xml:space="preserve"> juveniles exposed to graded concentrations of diethyl phthalate</w:t>
      </w:r>
    </w:p>
    <w:p w14:paraId="6DC2737C" w14:textId="77777777" w:rsidR="00C660BD" w:rsidRDefault="00C660BD" w:rsidP="004B4B12">
      <w:pPr>
        <w:spacing w:after="0" w:line="360" w:lineRule="auto"/>
        <w:jc w:val="both"/>
        <w:rPr>
          <w:b/>
        </w:rPr>
      </w:pPr>
    </w:p>
    <w:p w14:paraId="57D54312" w14:textId="77777777" w:rsidR="00C660BD" w:rsidRDefault="00E14B54" w:rsidP="004B4B12">
      <w:pPr>
        <w:spacing w:after="0" w:line="360" w:lineRule="auto"/>
        <w:jc w:val="both"/>
        <w:rPr>
          <w:b/>
        </w:rPr>
      </w:pPr>
      <w:r>
        <w:rPr>
          <w:noProof/>
          <w:lang w:eastAsia="en-US"/>
        </w:rPr>
        <w:lastRenderedPageBreak/>
        <w:drawing>
          <wp:inline distT="0" distB="0" distL="0" distR="0" wp14:anchorId="521617C2" wp14:editId="349A5122">
            <wp:extent cx="5367020" cy="3044825"/>
            <wp:effectExtent l="0" t="0" r="24130" b="2222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B7B0074" w14:textId="77777777" w:rsidR="00C660BD" w:rsidRPr="00505E37" w:rsidRDefault="00C660BD" w:rsidP="00505E37">
      <w:pPr>
        <w:spacing w:after="0" w:line="240" w:lineRule="auto"/>
        <w:jc w:val="center"/>
        <w:rPr>
          <w:rFonts w:ascii="Times New Roman" w:hAnsi="Times New Roman"/>
          <w:b/>
          <w:i/>
          <w:sz w:val="24"/>
          <w:szCs w:val="24"/>
        </w:rPr>
      </w:pPr>
      <w:r w:rsidRPr="00505E37">
        <w:rPr>
          <w:rFonts w:ascii="Times New Roman" w:hAnsi="Times New Roman"/>
          <w:b/>
          <w:i/>
          <w:sz w:val="24"/>
          <w:szCs w:val="24"/>
        </w:rPr>
        <w:t>Figure 2: Probit transformed responses for total mortality (96 h) of Clarias gariepinus juveniles exposed to graded concentrations of diethyl phthalate</w:t>
      </w:r>
    </w:p>
    <w:p w14:paraId="28CD1FBC" w14:textId="77777777" w:rsidR="00C660BD" w:rsidRDefault="00C660BD" w:rsidP="004B4B12">
      <w:pPr>
        <w:spacing w:after="0" w:line="360" w:lineRule="auto"/>
        <w:jc w:val="both"/>
        <w:rPr>
          <w:b/>
        </w:rPr>
      </w:pPr>
    </w:p>
    <w:p w14:paraId="60472E9C" w14:textId="77777777" w:rsidR="00C660BD" w:rsidRDefault="00C660BD" w:rsidP="004B4B12">
      <w:pPr>
        <w:spacing w:after="0" w:line="360" w:lineRule="auto"/>
        <w:jc w:val="both"/>
        <w:rPr>
          <w:b/>
        </w:rPr>
      </w:pPr>
    </w:p>
    <w:p w14:paraId="25D4032C" w14:textId="77777777" w:rsidR="00C660BD" w:rsidRDefault="00E14B54" w:rsidP="004B4B12">
      <w:pPr>
        <w:spacing w:after="0" w:line="360" w:lineRule="auto"/>
        <w:jc w:val="both"/>
        <w:rPr>
          <w:b/>
        </w:rPr>
      </w:pPr>
      <w:r>
        <w:rPr>
          <w:noProof/>
          <w:lang w:eastAsia="en-US"/>
        </w:rPr>
        <w:drawing>
          <wp:inline distT="0" distB="0" distL="0" distR="0" wp14:anchorId="1F274F29" wp14:editId="42148826">
            <wp:extent cx="5291455" cy="3072765"/>
            <wp:effectExtent l="0" t="0" r="23495" b="13335"/>
            <wp:docPr id="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18A630F" w14:textId="77777777" w:rsidR="00C660BD" w:rsidRPr="00505E37" w:rsidRDefault="00C660BD" w:rsidP="00505E37">
      <w:pPr>
        <w:autoSpaceDE w:val="0"/>
        <w:autoSpaceDN w:val="0"/>
        <w:adjustRightInd w:val="0"/>
        <w:spacing w:after="0" w:line="240" w:lineRule="auto"/>
        <w:jc w:val="center"/>
        <w:rPr>
          <w:rFonts w:ascii="Times New Roman" w:hAnsi="Times New Roman"/>
          <w:b/>
          <w:i/>
          <w:sz w:val="24"/>
          <w:szCs w:val="24"/>
        </w:rPr>
      </w:pPr>
      <w:r w:rsidRPr="00505E37">
        <w:rPr>
          <w:rFonts w:ascii="Times New Roman" w:hAnsi="Times New Roman"/>
          <w:b/>
          <w:i/>
          <w:sz w:val="24"/>
          <w:szCs w:val="24"/>
        </w:rPr>
        <w:t>Figure 3: Linear relationship between probit response and log sub-lethal concentration of diethyl phthalate on juveniles of Clarias gariepinus</w:t>
      </w:r>
    </w:p>
    <w:p w14:paraId="45071981" w14:textId="77777777" w:rsidR="00C660BD" w:rsidRPr="00505E37" w:rsidRDefault="00C660BD" w:rsidP="00505E37">
      <w:pPr>
        <w:spacing w:after="0" w:line="240" w:lineRule="auto"/>
        <w:jc w:val="center"/>
        <w:rPr>
          <w:b/>
          <w:i/>
        </w:rPr>
      </w:pPr>
    </w:p>
    <w:p w14:paraId="3C6A48A6" w14:textId="77777777" w:rsidR="00C660BD" w:rsidRDefault="00C660BD" w:rsidP="004B4B12">
      <w:pPr>
        <w:spacing w:after="0" w:line="360" w:lineRule="auto"/>
        <w:jc w:val="both"/>
        <w:rPr>
          <w:b/>
        </w:rPr>
      </w:pPr>
    </w:p>
    <w:p w14:paraId="5471D987" w14:textId="77777777" w:rsidR="00C660BD" w:rsidRDefault="00E14B54" w:rsidP="004B4B12">
      <w:pPr>
        <w:spacing w:after="0" w:line="360" w:lineRule="auto"/>
        <w:jc w:val="both"/>
        <w:rPr>
          <w:b/>
        </w:rPr>
      </w:pPr>
      <w:r>
        <w:rPr>
          <w:b/>
          <w:noProof/>
          <w:lang w:eastAsia="en-US"/>
        </w:rPr>
        <w:lastRenderedPageBreak/>
        <w:drawing>
          <wp:inline distT="0" distB="0" distL="0" distR="0" wp14:anchorId="28B7F2BF" wp14:editId="33E8542B">
            <wp:extent cx="5732890" cy="3013545"/>
            <wp:effectExtent l="0" t="0" r="127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014155"/>
                    </a:xfrm>
                    <a:prstGeom prst="rect">
                      <a:avLst/>
                    </a:prstGeom>
                    <a:noFill/>
                    <a:ln>
                      <a:noFill/>
                    </a:ln>
                  </pic:spPr>
                </pic:pic>
              </a:graphicData>
            </a:graphic>
          </wp:inline>
        </w:drawing>
      </w:r>
    </w:p>
    <w:p w14:paraId="2EB2E5FD" w14:textId="77777777" w:rsidR="00C660BD" w:rsidRDefault="00915C5A" w:rsidP="00505E37">
      <w:pPr>
        <w:spacing w:after="0" w:line="240" w:lineRule="auto"/>
        <w:jc w:val="center"/>
        <w:rPr>
          <w:rFonts w:ascii="Times New Roman" w:hAnsi="Times New Roman"/>
          <w:b/>
          <w:i/>
          <w:sz w:val="24"/>
          <w:szCs w:val="24"/>
        </w:rPr>
      </w:pPr>
      <w:r>
        <w:rPr>
          <w:rFonts w:ascii="Times New Roman" w:hAnsi="Times New Roman"/>
          <w:b/>
          <w:i/>
          <w:sz w:val="24"/>
          <w:szCs w:val="24"/>
        </w:rPr>
        <w:t>Figure 4</w:t>
      </w:r>
      <w:r w:rsidR="00C660BD" w:rsidRPr="00505E37">
        <w:rPr>
          <w:rFonts w:ascii="Times New Roman" w:hAnsi="Times New Roman"/>
          <w:b/>
          <w:i/>
          <w:sz w:val="24"/>
          <w:szCs w:val="24"/>
        </w:rPr>
        <w:t>: Probit transformed responses for 96 h exposure of Clarias gariepinus juveniles exposed to graded concentrations of diethyl phthalate</w:t>
      </w:r>
    </w:p>
    <w:p w14:paraId="202DDB80" w14:textId="77777777" w:rsidR="00505E37" w:rsidRDefault="00505E37" w:rsidP="00505E37">
      <w:pPr>
        <w:spacing w:after="0" w:line="240" w:lineRule="auto"/>
        <w:jc w:val="center"/>
        <w:rPr>
          <w:rFonts w:ascii="Times New Roman" w:hAnsi="Times New Roman"/>
          <w:b/>
          <w:i/>
          <w:sz w:val="24"/>
          <w:szCs w:val="24"/>
        </w:rPr>
      </w:pPr>
    </w:p>
    <w:p w14:paraId="1A4A8702" w14:textId="77777777" w:rsidR="00F72BDF" w:rsidRDefault="00F72BDF" w:rsidP="00505E37">
      <w:pPr>
        <w:spacing w:after="0" w:line="240" w:lineRule="auto"/>
        <w:jc w:val="center"/>
        <w:rPr>
          <w:rFonts w:ascii="Times New Roman" w:hAnsi="Times New Roman"/>
          <w:b/>
          <w:i/>
          <w:sz w:val="24"/>
          <w:szCs w:val="24"/>
        </w:rPr>
      </w:pPr>
    </w:p>
    <w:p w14:paraId="382A1279" w14:textId="77777777" w:rsidR="00F72BDF" w:rsidRDefault="00F72BDF" w:rsidP="00505E37">
      <w:pPr>
        <w:spacing w:after="0" w:line="240" w:lineRule="auto"/>
        <w:jc w:val="center"/>
        <w:rPr>
          <w:rFonts w:ascii="Times New Roman" w:hAnsi="Times New Roman"/>
          <w:b/>
          <w:i/>
          <w:sz w:val="24"/>
          <w:szCs w:val="24"/>
        </w:rPr>
      </w:pPr>
    </w:p>
    <w:p w14:paraId="41136F05" w14:textId="77777777" w:rsidR="00505E37" w:rsidRPr="00505E37" w:rsidRDefault="00505E37" w:rsidP="00505E37">
      <w:pPr>
        <w:spacing w:after="0" w:line="240" w:lineRule="auto"/>
        <w:jc w:val="center"/>
        <w:rPr>
          <w:rFonts w:ascii="Times New Roman" w:hAnsi="Times New Roman"/>
          <w:b/>
          <w:i/>
          <w:sz w:val="24"/>
          <w:szCs w:val="24"/>
        </w:rPr>
      </w:pPr>
    </w:p>
    <w:p w14:paraId="2196DC19"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 xml:space="preserve">Haematological </w:t>
      </w:r>
      <w:r w:rsidR="00505E37">
        <w:rPr>
          <w:rFonts w:ascii="Times New Roman" w:eastAsia="Times New Roman" w:hAnsi="Times New Roman"/>
          <w:b/>
          <w:bCs/>
          <w:sz w:val="24"/>
          <w:szCs w:val="24"/>
          <w:lang w:val="en-GB" w:eastAsia="en-GB"/>
        </w:rPr>
        <w:t>Evaluation</w:t>
      </w:r>
    </w:p>
    <w:p w14:paraId="33867749" w14:textId="77777777" w:rsidR="0098348F" w:rsidRPr="0098348F" w:rsidRDefault="00CC0327" w:rsidP="004B4B12">
      <w:pPr>
        <w:spacing w:after="0" w:line="360" w:lineRule="auto"/>
        <w:jc w:val="both"/>
        <w:rPr>
          <w:rFonts w:ascii="Times New Roman" w:eastAsia="Times New Roman" w:hAnsi="Times New Roman"/>
          <w:sz w:val="24"/>
          <w:szCs w:val="24"/>
          <w:lang w:val="en-GB" w:eastAsia="en-GB"/>
        </w:rPr>
      </w:pPr>
      <w:r>
        <w:rPr>
          <w:rFonts w:ascii="Times New Roman" w:eastAsia="Times New Roman" w:hAnsi="Times New Roman"/>
          <w:sz w:val="24"/>
          <w:szCs w:val="24"/>
          <w:lang w:val="en-GB" w:eastAsia="en-GB"/>
        </w:rPr>
        <w:t>Table 2</w:t>
      </w:r>
      <w:r w:rsidR="0098348F" w:rsidRPr="0098348F">
        <w:rPr>
          <w:rFonts w:ascii="Times New Roman" w:eastAsia="Times New Roman" w:hAnsi="Times New Roman"/>
          <w:sz w:val="24"/>
          <w:szCs w:val="24"/>
          <w:lang w:val="en-GB" w:eastAsia="en-GB"/>
        </w:rPr>
        <w:t xml:space="preserve"> presents haematological parameters (WBC, RBC, HGB, HCT, MCV, MCH, MCHC, PLT) measured across different treatment groups, with varying concentrations of diethyl phthalate (26, 34.5, 43.25, 53.75, and 62.5 µL/L) compared to a control group. The values are expressed as mean ± standard deviation, and the P-values in the last column indicate the statistical significance of differences across the groups.</w:t>
      </w:r>
      <w:r w:rsidR="00505E37">
        <w:rPr>
          <w:rFonts w:ascii="Times New Roman" w:eastAsia="Times New Roman" w:hAnsi="Times New Roman"/>
          <w:sz w:val="24"/>
          <w:szCs w:val="24"/>
          <w:lang w:val="en-GB" w:eastAsia="en-GB"/>
        </w:rPr>
        <w:t xml:space="preserve"> </w:t>
      </w:r>
      <w:r w:rsidR="0098348F" w:rsidRPr="0098348F">
        <w:rPr>
          <w:rFonts w:ascii="Times New Roman" w:eastAsia="Times New Roman" w:hAnsi="Times New Roman"/>
          <w:sz w:val="24"/>
          <w:szCs w:val="24"/>
          <w:lang w:val="en-GB" w:eastAsia="en-GB"/>
        </w:rPr>
        <w:t>The control group had a white blood cell (WBC) count of 22.93±0.73 cells/mm³. In the treatment groups, WBC counts ranged from 22.97±3.00 to 33.40±1.16 cells/mm³. The P-value for WBC is 0.191, indicating no statistically significant difference between the control and treatment groups. The red blood cell (RBC) count in the control group was 1.50±0.29 million/mm³. The treatment groups varied, with the highest value (1.89±0.23 million/mm³) at 62.5 µL/L diethyl phthalate. The P-value is 0.548, indicating no significant differences in RBC counts between groups.</w:t>
      </w:r>
    </w:p>
    <w:p w14:paraId="489AFAF1"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Haemoglobin (HGB) levels in the control group were 4.93±1.13 g/dL. Treatment group values fluctuated, with the highest (6.93±1.36 g/dL) at 26 µL/L. The P-value of 0.639 indicates no significant difference in haemoglobin levels across the groups. The control group showed a </w:t>
      </w:r>
      <w:r w:rsidRPr="0098348F">
        <w:rPr>
          <w:rFonts w:ascii="Times New Roman" w:eastAsia="Times New Roman" w:hAnsi="Times New Roman"/>
          <w:sz w:val="24"/>
          <w:szCs w:val="24"/>
          <w:lang w:val="en-GB" w:eastAsia="en-GB"/>
        </w:rPr>
        <w:lastRenderedPageBreak/>
        <w:t>haematocrit (HCT) level of 20.13±3.34%. Treatment groups varied, with no clear trend. The P-value is 0.520, suggesting that diethyl phthalate did not significantly affect haematocrit.</w:t>
      </w:r>
    </w:p>
    <w:p w14:paraId="7C99DE11"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Mean Corpuscular Volume (MCV) in the control group was 136.87±9.64 </w:t>
      </w:r>
      <w:proofErr w:type="spellStart"/>
      <w:r w:rsidRPr="0098348F">
        <w:rPr>
          <w:rFonts w:ascii="Times New Roman" w:eastAsia="Times New Roman" w:hAnsi="Times New Roman"/>
          <w:sz w:val="24"/>
          <w:szCs w:val="24"/>
          <w:lang w:val="en-GB" w:eastAsia="en-GB"/>
        </w:rPr>
        <w:t>fL</w:t>
      </w:r>
      <w:proofErr w:type="spellEnd"/>
      <w:r w:rsidRPr="0098348F">
        <w:rPr>
          <w:rFonts w:ascii="Times New Roman" w:eastAsia="Times New Roman" w:hAnsi="Times New Roman"/>
          <w:sz w:val="24"/>
          <w:szCs w:val="24"/>
          <w:lang w:val="en-GB" w:eastAsia="en-GB"/>
        </w:rPr>
        <w:t xml:space="preserve">, with values across treatment groups ranging from 89.70±7.84 to 128.57±11.64 </w:t>
      </w:r>
      <w:proofErr w:type="spellStart"/>
      <w:r w:rsidRPr="0098348F">
        <w:rPr>
          <w:rFonts w:ascii="Times New Roman" w:eastAsia="Times New Roman" w:hAnsi="Times New Roman"/>
          <w:sz w:val="24"/>
          <w:szCs w:val="24"/>
          <w:lang w:val="en-GB" w:eastAsia="en-GB"/>
        </w:rPr>
        <w:t>fL.</w:t>
      </w:r>
      <w:proofErr w:type="spellEnd"/>
      <w:r w:rsidRPr="0098348F">
        <w:rPr>
          <w:rFonts w:ascii="Times New Roman" w:eastAsia="Times New Roman" w:hAnsi="Times New Roman"/>
          <w:sz w:val="24"/>
          <w:szCs w:val="24"/>
          <w:lang w:val="en-GB" w:eastAsia="en-GB"/>
        </w:rPr>
        <w:t xml:space="preserve"> The P-value is 0.084, indicating a trend towards significance but not statistically significant. The mean corpuscular haemoglobin (MCH) in the control group was 32.90±3.09 </w:t>
      </w:r>
      <w:proofErr w:type="spellStart"/>
      <w:r w:rsidRPr="0098348F">
        <w:rPr>
          <w:rFonts w:ascii="Times New Roman" w:eastAsia="Times New Roman" w:hAnsi="Times New Roman"/>
          <w:sz w:val="24"/>
          <w:szCs w:val="24"/>
          <w:lang w:val="en-GB" w:eastAsia="en-GB"/>
        </w:rPr>
        <w:t>pg</w:t>
      </w:r>
      <w:proofErr w:type="spellEnd"/>
      <w:r w:rsidRPr="0098348F">
        <w:rPr>
          <w:rFonts w:ascii="Times New Roman" w:eastAsia="Times New Roman" w:hAnsi="Times New Roman"/>
          <w:sz w:val="24"/>
          <w:szCs w:val="24"/>
          <w:lang w:val="en-GB" w:eastAsia="en-GB"/>
        </w:rPr>
        <w:t xml:space="preserve">/cell, with treatment group values ranging from 35.77±0.81 to 43.27±3.66 </w:t>
      </w:r>
      <w:proofErr w:type="spellStart"/>
      <w:r w:rsidRPr="0098348F">
        <w:rPr>
          <w:rFonts w:ascii="Times New Roman" w:eastAsia="Times New Roman" w:hAnsi="Times New Roman"/>
          <w:sz w:val="24"/>
          <w:szCs w:val="24"/>
          <w:lang w:val="en-GB" w:eastAsia="en-GB"/>
        </w:rPr>
        <w:t>pg</w:t>
      </w:r>
      <w:proofErr w:type="spellEnd"/>
      <w:r w:rsidRPr="0098348F">
        <w:rPr>
          <w:rFonts w:ascii="Times New Roman" w:eastAsia="Times New Roman" w:hAnsi="Times New Roman"/>
          <w:sz w:val="24"/>
          <w:szCs w:val="24"/>
          <w:lang w:val="en-GB" w:eastAsia="en-GB"/>
        </w:rPr>
        <w:t>/cell. The P-value is 0.142, showing no significant difference between the groups.</w:t>
      </w:r>
    </w:p>
    <w:p w14:paraId="35E92F4F"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The mean corpuscular haemoglobin concentration (MCHC) in the control group was 24.53±3.93%. At 26 µL/L, the MCHC was significantly higher (47.47±4.51%), while other treatment groups showed values between 30.70±3.01% and 37.40±4.95%. The P-value of 0.037 indicates a statistically significant difference in MCHC between the control and treated groups. The platelet count (PLT) in the control group was 540.67±122.71 cells/mm³. Treatment groups ranged from 365.67±67.91 to 1039.67±62.80 cells/mm³. The P-value is 0.000, indicating a highly significant difference in platelet coun</w:t>
      </w:r>
      <w:r w:rsidR="00CC0327">
        <w:rPr>
          <w:rFonts w:ascii="Times New Roman" w:eastAsia="Times New Roman" w:hAnsi="Times New Roman"/>
          <w:sz w:val="24"/>
          <w:szCs w:val="24"/>
          <w:lang w:val="en-GB" w:eastAsia="en-GB"/>
        </w:rPr>
        <w:t xml:space="preserve">ts across the treatment groups. </w:t>
      </w:r>
      <w:r w:rsidRPr="0098348F">
        <w:rPr>
          <w:rFonts w:ascii="Times New Roman" w:eastAsia="Times New Roman" w:hAnsi="Times New Roman"/>
          <w:sz w:val="24"/>
          <w:szCs w:val="24"/>
          <w:lang w:val="en-GB" w:eastAsia="en-GB"/>
        </w:rPr>
        <w:t>In summary, WBC, RBC, HGB, HCT, MCV, and MCH showed no significant differences between the control and treatment groups (P &gt; 0.05).  MCHC showed a significant difference (P = 0.037), suggesting diethyl phthalate affected haemoglobin concentration in red blood cells. Also, PLT exhibited a highly significant difference (P = 0.000), indicating that diethyl phthalate had a marked effect on platelet counts.</w:t>
      </w:r>
    </w:p>
    <w:p w14:paraId="4DC8AA5D" w14:textId="77777777" w:rsidR="00C660BD" w:rsidRPr="00CC0327" w:rsidRDefault="00915C5A" w:rsidP="00505E37">
      <w:pPr>
        <w:spacing w:after="0" w:line="240" w:lineRule="auto"/>
        <w:jc w:val="center"/>
        <w:rPr>
          <w:rFonts w:ascii="Times New Roman" w:hAnsi="Times New Roman"/>
          <w:b/>
          <w:sz w:val="24"/>
          <w:szCs w:val="24"/>
        </w:rPr>
      </w:pPr>
      <w:r w:rsidRPr="00CC0327">
        <w:rPr>
          <w:rFonts w:ascii="Times New Roman" w:hAnsi="Times New Roman"/>
          <w:b/>
          <w:sz w:val="24"/>
          <w:szCs w:val="24"/>
        </w:rPr>
        <w:t>Table 2</w:t>
      </w:r>
      <w:r w:rsidR="00C660BD" w:rsidRPr="00CC0327">
        <w:rPr>
          <w:rFonts w:ascii="Times New Roman" w:hAnsi="Times New Roman"/>
          <w:b/>
          <w:sz w:val="24"/>
          <w:szCs w:val="24"/>
        </w:rPr>
        <w:t xml:space="preserve">: </w:t>
      </w:r>
      <w:proofErr w:type="spellStart"/>
      <w:r w:rsidR="00C660BD" w:rsidRPr="00CC0327">
        <w:rPr>
          <w:rFonts w:ascii="Times New Roman" w:hAnsi="Times New Roman"/>
          <w:b/>
          <w:sz w:val="24"/>
          <w:szCs w:val="24"/>
        </w:rPr>
        <w:t>Haematological</w:t>
      </w:r>
      <w:proofErr w:type="spellEnd"/>
      <w:r w:rsidR="00C660BD" w:rsidRPr="00CC0327">
        <w:rPr>
          <w:rFonts w:ascii="Times New Roman" w:hAnsi="Times New Roman"/>
          <w:b/>
          <w:sz w:val="24"/>
          <w:szCs w:val="24"/>
        </w:rPr>
        <w:t xml:space="preserve"> </w:t>
      </w:r>
      <w:r w:rsidR="00317058">
        <w:rPr>
          <w:rFonts w:ascii="Times New Roman" w:hAnsi="Times New Roman"/>
          <w:b/>
          <w:sz w:val="24"/>
          <w:szCs w:val="24"/>
        </w:rPr>
        <w:t xml:space="preserve">Indices </w:t>
      </w:r>
      <w:r w:rsidR="00317058" w:rsidRPr="00317058">
        <w:rPr>
          <w:rFonts w:ascii="Times New Roman" w:hAnsi="Times New Roman"/>
          <w:b/>
          <w:i/>
          <w:sz w:val="24"/>
          <w:szCs w:val="24"/>
        </w:rPr>
        <w:t>C.</w:t>
      </w:r>
      <w:r w:rsidR="00317058">
        <w:rPr>
          <w:rFonts w:ascii="Times New Roman" w:hAnsi="Times New Roman"/>
          <w:b/>
          <w:sz w:val="24"/>
          <w:szCs w:val="24"/>
        </w:rPr>
        <w:t xml:space="preserve"> gariepinus</w:t>
      </w:r>
      <w:r w:rsidR="00C660BD" w:rsidRPr="00CC0327">
        <w:rPr>
          <w:rFonts w:ascii="Times New Roman" w:hAnsi="Times New Roman"/>
          <w:b/>
          <w:sz w:val="24"/>
          <w:szCs w:val="24"/>
        </w:rPr>
        <w:t xml:space="preserve"> </w:t>
      </w:r>
      <w:r w:rsidR="00317058">
        <w:rPr>
          <w:rFonts w:ascii="Times New Roman" w:hAnsi="Times New Roman"/>
          <w:b/>
          <w:sz w:val="24"/>
          <w:szCs w:val="24"/>
        </w:rPr>
        <w:t xml:space="preserve">exposed to </w:t>
      </w:r>
      <w:r w:rsidR="00C660BD" w:rsidRPr="00CC0327">
        <w:rPr>
          <w:rFonts w:ascii="Times New Roman" w:hAnsi="Times New Roman"/>
          <w:b/>
          <w:sz w:val="24"/>
          <w:szCs w:val="24"/>
        </w:rPr>
        <w:t xml:space="preserve">Varying </w:t>
      </w:r>
      <w:r w:rsidR="00C660BD" w:rsidRPr="00CC0327">
        <w:rPr>
          <w:rFonts w:ascii="Times New Roman" w:hAnsi="Times New Roman"/>
          <w:b/>
        </w:rPr>
        <w:t>Concentrations</w:t>
      </w:r>
      <w:r w:rsidR="00C660BD" w:rsidRPr="00CC0327">
        <w:rPr>
          <w:rFonts w:ascii="Times New Roman" w:hAnsi="Times New Roman"/>
          <w:b/>
          <w:sz w:val="24"/>
          <w:szCs w:val="24"/>
        </w:rPr>
        <w:t xml:space="preserve"> of Diethyl Phthal</w:t>
      </w:r>
      <w:r w:rsidR="00317058">
        <w:rPr>
          <w:rFonts w:ascii="Times New Roman" w:hAnsi="Times New Roman"/>
          <w:b/>
          <w:sz w:val="24"/>
          <w:szCs w:val="24"/>
        </w:rPr>
        <w:t>ate compared to a control group</w:t>
      </w:r>
    </w:p>
    <w:tbl>
      <w:tblPr>
        <w:tblW w:w="11070" w:type="dxa"/>
        <w:tblInd w:w="-900" w:type="dxa"/>
        <w:tblBorders>
          <w:top w:val="single" w:sz="4" w:space="0" w:color="7F7F7F"/>
          <w:bottom w:val="single" w:sz="4" w:space="0" w:color="7F7F7F"/>
        </w:tblBorders>
        <w:tblLook w:val="06A0" w:firstRow="1" w:lastRow="0" w:firstColumn="1" w:lastColumn="0" w:noHBand="1" w:noVBand="1"/>
      </w:tblPr>
      <w:tblGrid>
        <w:gridCol w:w="1980"/>
        <w:gridCol w:w="1426"/>
        <w:gridCol w:w="1426"/>
        <w:gridCol w:w="1326"/>
        <w:gridCol w:w="1326"/>
        <w:gridCol w:w="1326"/>
        <w:gridCol w:w="1326"/>
        <w:gridCol w:w="934"/>
      </w:tblGrid>
      <w:tr w:rsidR="008752AD" w:rsidRPr="000F418A" w14:paraId="09B58D93" w14:textId="77777777" w:rsidTr="008752AD">
        <w:trPr>
          <w:trHeight w:val="300"/>
        </w:trPr>
        <w:tc>
          <w:tcPr>
            <w:tcW w:w="1980" w:type="dxa"/>
            <w:tcBorders>
              <w:bottom w:val="single" w:sz="4" w:space="0" w:color="7F7F7F"/>
            </w:tcBorders>
            <w:noWrap/>
            <w:hideMark/>
          </w:tcPr>
          <w:p w14:paraId="263C8243"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Parameters</w:t>
            </w:r>
          </w:p>
        </w:tc>
        <w:tc>
          <w:tcPr>
            <w:tcW w:w="1426" w:type="dxa"/>
            <w:tcBorders>
              <w:bottom w:val="single" w:sz="4" w:space="0" w:color="7F7F7F"/>
            </w:tcBorders>
            <w:hideMark/>
          </w:tcPr>
          <w:p w14:paraId="7A5DFAF6"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Control</w:t>
            </w:r>
          </w:p>
        </w:tc>
        <w:tc>
          <w:tcPr>
            <w:tcW w:w="1426" w:type="dxa"/>
            <w:tcBorders>
              <w:bottom w:val="single" w:sz="4" w:space="0" w:color="7F7F7F"/>
            </w:tcBorders>
            <w:hideMark/>
          </w:tcPr>
          <w:p w14:paraId="0271992C"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26</w:t>
            </w:r>
          </w:p>
        </w:tc>
        <w:tc>
          <w:tcPr>
            <w:tcW w:w="1326" w:type="dxa"/>
            <w:tcBorders>
              <w:bottom w:val="single" w:sz="4" w:space="0" w:color="7F7F7F"/>
            </w:tcBorders>
            <w:hideMark/>
          </w:tcPr>
          <w:p w14:paraId="5B0DCC61"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34.5</w:t>
            </w:r>
          </w:p>
        </w:tc>
        <w:tc>
          <w:tcPr>
            <w:tcW w:w="1326" w:type="dxa"/>
            <w:tcBorders>
              <w:bottom w:val="single" w:sz="4" w:space="0" w:color="7F7F7F"/>
            </w:tcBorders>
            <w:hideMark/>
          </w:tcPr>
          <w:p w14:paraId="3B668334"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43.25</w:t>
            </w:r>
          </w:p>
        </w:tc>
        <w:tc>
          <w:tcPr>
            <w:tcW w:w="1326" w:type="dxa"/>
            <w:tcBorders>
              <w:bottom w:val="single" w:sz="4" w:space="0" w:color="7F7F7F"/>
            </w:tcBorders>
            <w:hideMark/>
          </w:tcPr>
          <w:p w14:paraId="66C423D3"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53.75</w:t>
            </w:r>
          </w:p>
        </w:tc>
        <w:tc>
          <w:tcPr>
            <w:tcW w:w="1326" w:type="dxa"/>
            <w:tcBorders>
              <w:bottom w:val="single" w:sz="4" w:space="0" w:color="7F7F7F"/>
            </w:tcBorders>
            <w:hideMark/>
          </w:tcPr>
          <w:p w14:paraId="0D9F4FDD"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62.5</w:t>
            </w:r>
          </w:p>
        </w:tc>
        <w:tc>
          <w:tcPr>
            <w:tcW w:w="934" w:type="dxa"/>
            <w:tcBorders>
              <w:bottom w:val="single" w:sz="4" w:space="0" w:color="7F7F7F"/>
            </w:tcBorders>
            <w:hideMark/>
          </w:tcPr>
          <w:p w14:paraId="33C78E94"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P-value</w:t>
            </w:r>
          </w:p>
        </w:tc>
      </w:tr>
      <w:tr w:rsidR="008752AD" w:rsidRPr="000F418A" w14:paraId="5558E96F" w14:textId="77777777" w:rsidTr="008752AD">
        <w:trPr>
          <w:trHeight w:val="300"/>
        </w:trPr>
        <w:tc>
          <w:tcPr>
            <w:tcW w:w="1980" w:type="dxa"/>
            <w:noWrap/>
            <w:hideMark/>
          </w:tcPr>
          <w:p w14:paraId="1504F0A9"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WBC </w:t>
            </w:r>
            <w:bookmarkStart w:id="1" w:name="OLE_LINK1"/>
            <w:r w:rsidRPr="008752AD">
              <w:rPr>
                <w:rFonts w:ascii="Times New Roman" w:eastAsia="Times New Roman" w:hAnsi="Times New Roman"/>
                <w:b/>
                <w:bCs/>
                <w:sz w:val="20"/>
                <w:szCs w:val="20"/>
                <w:lang w:eastAsia="en-GB"/>
              </w:rPr>
              <w:t>(cells/mm³)</w:t>
            </w:r>
            <w:bookmarkEnd w:id="1"/>
          </w:p>
        </w:tc>
        <w:tc>
          <w:tcPr>
            <w:tcW w:w="1426" w:type="dxa"/>
            <w:noWrap/>
            <w:hideMark/>
          </w:tcPr>
          <w:p w14:paraId="799135F8"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22.93±0.73</w:t>
            </w:r>
          </w:p>
        </w:tc>
        <w:tc>
          <w:tcPr>
            <w:tcW w:w="1426" w:type="dxa"/>
            <w:noWrap/>
            <w:hideMark/>
          </w:tcPr>
          <w:p w14:paraId="52D05C3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23.97±3.84</w:t>
            </w:r>
          </w:p>
        </w:tc>
        <w:tc>
          <w:tcPr>
            <w:tcW w:w="1326" w:type="dxa"/>
            <w:noWrap/>
            <w:hideMark/>
          </w:tcPr>
          <w:p w14:paraId="1E6F4E6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25.63±4.19</w:t>
            </w:r>
          </w:p>
        </w:tc>
        <w:tc>
          <w:tcPr>
            <w:tcW w:w="1326" w:type="dxa"/>
            <w:noWrap/>
            <w:hideMark/>
          </w:tcPr>
          <w:p w14:paraId="2F20834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28.60±3.66</w:t>
            </w:r>
          </w:p>
        </w:tc>
        <w:tc>
          <w:tcPr>
            <w:tcW w:w="1326" w:type="dxa"/>
            <w:noWrap/>
            <w:hideMark/>
          </w:tcPr>
          <w:p w14:paraId="0D588F1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22.97±3.00</w:t>
            </w:r>
          </w:p>
        </w:tc>
        <w:tc>
          <w:tcPr>
            <w:tcW w:w="1326" w:type="dxa"/>
            <w:noWrap/>
            <w:hideMark/>
          </w:tcPr>
          <w:p w14:paraId="197702F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33.40±1.16</w:t>
            </w:r>
          </w:p>
        </w:tc>
        <w:tc>
          <w:tcPr>
            <w:tcW w:w="934" w:type="dxa"/>
            <w:noWrap/>
            <w:hideMark/>
          </w:tcPr>
          <w:p w14:paraId="05BA40E9"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0.191</w:t>
            </w:r>
          </w:p>
        </w:tc>
      </w:tr>
      <w:tr w:rsidR="008752AD" w:rsidRPr="000F418A" w14:paraId="4E9FCD99" w14:textId="77777777" w:rsidTr="008752AD">
        <w:trPr>
          <w:trHeight w:val="300"/>
        </w:trPr>
        <w:tc>
          <w:tcPr>
            <w:tcW w:w="1980" w:type="dxa"/>
            <w:noWrap/>
            <w:hideMark/>
          </w:tcPr>
          <w:p w14:paraId="4F002968"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bookmarkStart w:id="2" w:name="OLE_LINK2"/>
            <w:r w:rsidRPr="008752AD">
              <w:rPr>
                <w:rFonts w:ascii="Times New Roman" w:eastAsia="Times New Roman" w:hAnsi="Times New Roman"/>
                <w:b/>
                <w:bCs/>
                <w:sz w:val="20"/>
                <w:szCs w:val="20"/>
                <w:lang w:eastAsia="en-GB"/>
              </w:rPr>
              <w:t>RBC (million/mm³)</w:t>
            </w:r>
            <w:bookmarkEnd w:id="2"/>
          </w:p>
        </w:tc>
        <w:tc>
          <w:tcPr>
            <w:tcW w:w="1426" w:type="dxa"/>
            <w:noWrap/>
            <w:hideMark/>
          </w:tcPr>
          <w:p w14:paraId="54414BB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1.50±0.29</w:t>
            </w:r>
          </w:p>
        </w:tc>
        <w:tc>
          <w:tcPr>
            <w:tcW w:w="1426" w:type="dxa"/>
            <w:noWrap/>
            <w:hideMark/>
          </w:tcPr>
          <w:p w14:paraId="680218D2"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1.68±0.37</w:t>
            </w:r>
          </w:p>
        </w:tc>
        <w:tc>
          <w:tcPr>
            <w:tcW w:w="1326" w:type="dxa"/>
            <w:noWrap/>
            <w:hideMark/>
          </w:tcPr>
          <w:p w14:paraId="337F27B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1.38±0.42</w:t>
            </w:r>
          </w:p>
        </w:tc>
        <w:tc>
          <w:tcPr>
            <w:tcW w:w="1326" w:type="dxa"/>
            <w:noWrap/>
            <w:hideMark/>
          </w:tcPr>
          <w:p w14:paraId="3023D29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1.49±0.29</w:t>
            </w:r>
          </w:p>
        </w:tc>
        <w:tc>
          <w:tcPr>
            <w:tcW w:w="1326" w:type="dxa"/>
            <w:noWrap/>
            <w:hideMark/>
          </w:tcPr>
          <w:p w14:paraId="69524098"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1.02±0.30</w:t>
            </w:r>
          </w:p>
        </w:tc>
        <w:tc>
          <w:tcPr>
            <w:tcW w:w="1326" w:type="dxa"/>
            <w:noWrap/>
            <w:hideMark/>
          </w:tcPr>
          <w:p w14:paraId="1384F65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1.89±0.23</w:t>
            </w:r>
          </w:p>
        </w:tc>
        <w:tc>
          <w:tcPr>
            <w:tcW w:w="934" w:type="dxa"/>
            <w:noWrap/>
            <w:hideMark/>
          </w:tcPr>
          <w:p w14:paraId="6EEB296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0.548</w:t>
            </w:r>
          </w:p>
        </w:tc>
      </w:tr>
      <w:tr w:rsidR="008752AD" w:rsidRPr="000F418A" w14:paraId="43E986BC" w14:textId="77777777" w:rsidTr="008752AD">
        <w:trPr>
          <w:trHeight w:val="300"/>
        </w:trPr>
        <w:tc>
          <w:tcPr>
            <w:tcW w:w="1980" w:type="dxa"/>
            <w:noWrap/>
            <w:hideMark/>
          </w:tcPr>
          <w:p w14:paraId="639F528D"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HGB </w:t>
            </w:r>
            <w:bookmarkStart w:id="3" w:name="OLE_LINK3"/>
            <w:r w:rsidRPr="008752AD">
              <w:rPr>
                <w:rFonts w:ascii="Times New Roman" w:eastAsia="Times New Roman" w:hAnsi="Times New Roman"/>
                <w:b/>
                <w:bCs/>
                <w:sz w:val="20"/>
                <w:szCs w:val="20"/>
                <w:lang w:eastAsia="en-GB"/>
              </w:rPr>
              <w:t>(g/dL)</w:t>
            </w:r>
            <w:bookmarkEnd w:id="3"/>
          </w:p>
        </w:tc>
        <w:tc>
          <w:tcPr>
            <w:tcW w:w="1426" w:type="dxa"/>
            <w:noWrap/>
            <w:hideMark/>
          </w:tcPr>
          <w:p w14:paraId="722EE19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4.93±1.13</w:t>
            </w:r>
          </w:p>
        </w:tc>
        <w:tc>
          <w:tcPr>
            <w:tcW w:w="1426" w:type="dxa"/>
            <w:noWrap/>
            <w:hideMark/>
          </w:tcPr>
          <w:p w14:paraId="0B91F73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6.93±1.36</w:t>
            </w:r>
          </w:p>
        </w:tc>
        <w:tc>
          <w:tcPr>
            <w:tcW w:w="1326" w:type="dxa"/>
            <w:noWrap/>
            <w:hideMark/>
          </w:tcPr>
          <w:p w14:paraId="79C5AED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5.67±1.40</w:t>
            </w:r>
          </w:p>
        </w:tc>
        <w:tc>
          <w:tcPr>
            <w:tcW w:w="1326" w:type="dxa"/>
            <w:noWrap/>
            <w:hideMark/>
          </w:tcPr>
          <w:p w14:paraId="2FD1D20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5.80±1.44</w:t>
            </w:r>
          </w:p>
        </w:tc>
        <w:tc>
          <w:tcPr>
            <w:tcW w:w="1326" w:type="dxa"/>
            <w:noWrap/>
            <w:hideMark/>
          </w:tcPr>
          <w:p w14:paraId="1F73926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4.30±1.16</w:t>
            </w:r>
          </w:p>
        </w:tc>
        <w:tc>
          <w:tcPr>
            <w:tcW w:w="1326" w:type="dxa"/>
            <w:noWrap/>
            <w:hideMark/>
          </w:tcPr>
          <w:p w14:paraId="2FC3C81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6.73±0.64</w:t>
            </w:r>
          </w:p>
        </w:tc>
        <w:tc>
          <w:tcPr>
            <w:tcW w:w="934" w:type="dxa"/>
            <w:noWrap/>
            <w:hideMark/>
          </w:tcPr>
          <w:p w14:paraId="04E0ECC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0.639</w:t>
            </w:r>
          </w:p>
        </w:tc>
      </w:tr>
      <w:tr w:rsidR="008752AD" w:rsidRPr="000F418A" w14:paraId="2075868E" w14:textId="77777777" w:rsidTr="008752AD">
        <w:trPr>
          <w:trHeight w:val="300"/>
        </w:trPr>
        <w:tc>
          <w:tcPr>
            <w:tcW w:w="1980" w:type="dxa"/>
            <w:noWrap/>
            <w:hideMark/>
          </w:tcPr>
          <w:p w14:paraId="70E2A359"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HCT </w:t>
            </w:r>
            <w:bookmarkStart w:id="4" w:name="OLE_LINK4"/>
            <w:r w:rsidRPr="008752AD">
              <w:rPr>
                <w:rFonts w:ascii="Times New Roman" w:eastAsia="Times New Roman" w:hAnsi="Times New Roman"/>
                <w:b/>
                <w:bCs/>
                <w:sz w:val="20"/>
                <w:szCs w:val="20"/>
                <w:lang w:eastAsia="en-GB"/>
              </w:rPr>
              <w:t>(%)</w:t>
            </w:r>
            <w:bookmarkEnd w:id="4"/>
          </w:p>
        </w:tc>
        <w:tc>
          <w:tcPr>
            <w:tcW w:w="1426" w:type="dxa"/>
            <w:noWrap/>
            <w:hideMark/>
          </w:tcPr>
          <w:p w14:paraId="41A1915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20.13±3.34</w:t>
            </w:r>
          </w:p>
        </w:tc>
        <w:tc>
          <w:tcPr>
            <w:tcW w:w="1426" w:type="dxa"/>
            <w:noWrap/>
            <w:hideMark/>
          </w:tcPr>
          <w:p w14:paraId="6E522BFE"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14.73±2.67</w:t>
            </w:r>
          </w:p>
        </w:tc>
        <w:tc>
          <w:tcPr>
            <w:tcW w:w="1326" w:type="dxa"/>
            <w:noWrap/>
            <w:hideMark/>
          </w:tcPr>
          <w:p w14:paraId="616EAA9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16.50±5.79</w:t>
            </w:r>
          </w:p>
        </w:tc>
        <w:tc>
          <w:tcPr>
            <w:tcW w:w="1326" w:type="dxa"/>
            <w:noWrap/>
            <w:hideMark/>
          </w:tcPr>
          <w:p w14:paraId="6D93D58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18.97±4.48</w:t>
            </w:r>
          </w:p>
        </w:tc>
        <w:tc>
          <w:tcPr>
            <w:tcW w:w="1326" w:type="dxa"/>
            <w:noWrap/>
            <w:hideMark/>
          </w:tcPr>
          <w:p w14:paraId="5B74428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12.60±2.72</w:t>
            </w:r>
          </w:p>
        </w:tc>
        <w:tc>
          <w:tcPr>
            <w:tcW w:w="1326" w:type="dxa"/>
            <w:noWrap/>
            <w:hideMark/>
          </w:tcPr>
          <w:p w14:paraId="16286FB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22.37±3.06</w:t>
            </w:r>
          </w:p>
        </w:tc>
        <w:tc>
          <w:tcPr>
            <w:tcW w:w="934" w:type="dxa"/>
            <w:noWrap/>
            <w:hideMark/>
          </w:tcPr>
          <w:p w14:paraId="2853587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0.520</w:t>
            </w:r>
          </w:p>
        </w:tc>
      </w:tr>
      <w:tr w:rsidR="008752AD" w:rsidRPr="000F418A" w14:paraId="1568F237" w14:textId="77777777" w:rsidTr="008752AD">
        <w:trPr>
          <w:trHeight w:val="300"/>
        </w:trPr>
        <w:tc>
          <w:tcPr>
            <w:tcW w:w="1980" w:type="dxa"/>
            <w:noWrap/>
            <w:hideMark/>
          </w:tcPr>
          <w:p w14:paraId="57B7A756"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MCV </w:t>
            </w:r>
            <w:bookmarkStart w:id="5" w:name="OLE_LINK7"/>
            <w:r w:rsidRPr="008752AD">
              <w:rPr>
                <w:rFonts w:ascii="Times New Roman" w:eastAsia="Times New Roman" w:hAnsi="Times New Roman"/>
                <w:b/>
                <w:bCs/>
                <w:sz w:val="20"/>
                <w:szCs w:val="20"/>
                <w:lang w:eastAsia="en-GB"/>
              </w:rPr>
              <w:t>(</w:t>
            </w:r>
            <w:proofErr w:type="spellStart"/>
            <w:r w:rsidRPr="008752AD">
              <w:rPr>
                <w:rFonts w:ascii="Times New Roman" w:eastAsia="Times New Roman" w:hAnsi="Times New Roman"/>
                <w:b/>
                <w:bCs/>
                <w:sz w:val="20"/>
                <w:szCs w:val="20"/>
                <w:lang w:eastAsia="en-GB"/>
              </w:rPr>
              <w:t>fL</w:t>
            </w:r>
            <w:proofErr w:type="spellEnd"/>
            <w:r w:rsidRPr="008752AD">
              <w:rPr>
                <w:rFonts w:ascii="Times New Roman" w:eastAsia="Times New Roman" w:hAnsi="Times New Roman"/>
                <w:b/>
                <w:bCs/>
                <w:sz w:val="20"/>
                <w:szCs w:val="20"/>
                <w:lang w:eastAsia="en-GB"/>
              </w:rPr>
              <w:t>)</w:t>
            </w:r>
            <w:bookmarkEnd w:id="5"/>
          </w:p>
        </w:tc>
        <w:tc>
          <w:tcPr>
            <w:tcW w:w="1426" w:type="dxa"/>
            <w:noWrap/>
            <w:hideMark/>
          </w:tcPr>
          <w:p w14:paraId="3B9B7F7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136.87±9.64</w:t>
            </w:r>
          </w:p>
        </w:tc>
        <w:tc>
          <w:tcPr>
            <w:tcW w:w="1426" w:type="dxa"/>
            <w:noWrap/>
            <w:hideMark/>
          </w:tcPr>
          <w:p w14:paraId="577596F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89.70±7.84</w:t>
            </w:r>
          </w:p>
        </w:tc>
        <w:tc>
          <w:tcPr>
            <w:tcW w:w="1326" w:type="dxa"/>
            <w:noWrap/>
            <w:hideMark/>
          </w:tcPr>
          <w:p w14:paraId="552CD43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118.10±10.55</w:t>
            </w:r>
          </w:p>
        </w:tc>
        <w:tc>
          <w:tcPr>
            <w:tcW w:w="1326" w:type="dxa"/>
            <w:noWrap/>
            <w:hideMark/>
          </w:tcPr>
          <w:p w14:paraId="33D76B4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126.57±9.42</w:t>
            </w:r>
          </w:p>
        </w:tc>
        <w:tc>
          <w:tcPr>
            <w:tcW w:w="1326" w:type="dxa"/>
            <w:noWrap/>
            <w:hideMark/>
          </w:tcPr>
          <w:p w14:paraId="6A3B35F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128.57±11.64</w:t>
            </w:r>
          </w:p>
        </w:tc>
        <w:tc>
          <w:tcPr>
            <w:tcW w:w="1326" w:type="dxa"/>
            <w:noWrap/>
            <w:hideMark/>
          </w:tcPr>
          <w:p w14:paraId="7C92474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118.60±11.32</w:t>
            </w:r>
          </w:p>
        </w:tc>
        <w:tc>
          <w:tcPr>
            <w:tcW w:w="934" w:type="dxa"/>
            <w:noWrap/>
            <w:hideMark/>
          </w:tcPr>
          <w:p w14:paraId="12C4727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0.084</w:t>
            </w:r>
          </w:p>
        </w:tc>
      </w:tr>
      <w:tr w:rsidR="008752AD" w:rsidRPr="000F418A" w14:paraId="4AA26B19" w14:textId="77777777" w:rsidTr="008752AD">
        <w:trPr>
          <w:trHeight w:val="300"/>
        </w:trPr>
        <w:tc>
          <w:tcPr>
            <w:tcW w:w="1980" w:type="dxa"/>
            <w:noWrap/>
            <w:hideMark/>
          </w:tcPr>
          <w:p w14:paraId="7620E26C"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MCH </w:t>
            </w:r>
            <w:bookmarkStart w:id="6" w:name="OLE_LINK9"/>
            <w:r w:rsidRPr="008752AD">
              <w:rPr>
                <w:rFonts w:ascii="Times New Roman" w:eastAsia="Times New Roman" w:hAnsi="Times New Roman"/>
                <w:b/>
                <w:bCs/>
                <w:sz w:val="20"/>
                <w:szCs w:val="20"/>
                <w:lang w:eastAsia="en-GB"/>
              </w:rPr>
              <w:t>(</w:t>
            </w:r>
            <w:proofErr w:type="spellStart"/>
            <w:r w:rsidRPr="008752AD">
              <w:rPr>
                <w:rFonts w:ascii="Times New Roman" w:eastAsia="Times New Roman" w:hAnsi="Times New Roman"/>
                <w:b/>
                <w:bCs/>
                <w:sz w:val="20"/>
                <w:szCs w:val="20"/>
                <w:lang w:eastAsia="en-GB"/>
              </w:rPr>
              <w:t>pg</w:t>
            </w:r>
            <w:proofErr w:type="spellEnd"/>
            <w:r w:rsidRPr="008752AD">
              <w:rPr>
                <w:rFonts w:ascii="Times New Roman" w:eastAsia="Times New Roman" w:hAnsi="Times New Roman"/>
                <w:b/>
                <w:bCs/>
                <w:sz w:val="20"/>
                <w:szCs w:val="20"/>
                <w:lang w:eastAsia="en-GB"/>
              </w:rPr>
              <w:t>/cell)</w:t>
            </w:r>
            <w:bookmarkEnd w:id="6"/>
          </w:p>
        </w:tc>
        <w:tc>
          <w:tcPr>
            <w:tcW w:w="1426" w:type="dxa"/>
            <w:noWrap/>
            <w:hideMark/>
          </w:tcPr>
          <w:p w14:paraId="669B3D25"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32.90±3.09</w:t>
            </w:r>
          </w:p>
        </w:tc>
        <w:tc>
          <w:tcPr>
            <w:tcW w:w="1426" w:type="dxa"/>
            <w:noWrap/>
            <w:hideMark/>
          </w:tcPr>
          <w:p w14:paraId="6C85B4A4"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41.90±1.87</w:t>
            </w:r>
          </w:p>
        </w:tc>
        <w:tc>
          <w:tcPr>
            <w:tcW w:w="1326" w:type="dxa"/>
            <w:noWrap/>
            <w:hideMark/>
          </w:tcPr>
          <w:p w14:paraId="606FEF9D"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43.27±3.66</w:t>
            </w:r>
          </w:p>
        </w:tc>
        <w:tc>
          <w:tcPr>
            <w:tcW w:w="1326" w:type="dxa"/>
            <w:noWrap/>
            <w:hideMark/>
          </w:tcPr>
          <w:p w14:paraId="41483393"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38.13±4.45</w:t>
            </w:r>
          </w:p>
        </w:tc>
        <w:tc>
          <w:tcPr>
            <w:tcW w:w="1326" w:type="dxa"/>
            <w:noWrap/>
            <w:hideMark/>
          </w:tcPr>
          <w:p w14:paraId="09EF6A9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42.53±2.04</w:t>
            </w:r>
          </w:p>
        </w:tc>
        <w:tc>
          <w:tcPr>
            <w:tcW w:w="1326" w:type="dxa"/>
            <w:noWrap/>
            <w:hideMark/>
          </w:tcPr>
          <w:p w14:paraId="40D8003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35.77±0.81</w:t>
            </w:r>
          </w:p>
        </w:tc>
        <w:tc>
          <w:tcPr>
            <w:tcW w:w="934" w:type="dxa"/>
            <w:noWrap/>
            <w:hideMark/>
          </w:tcPr>
          <w:p w14:paraId="398BFE2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0.142</w:t>
            </w:r>
          </w:p>
        </w:tc>
      </w:tr>
      <w:tr w:rsidR="008752AD" w:rsidRPr="000F418A" w14:paraId="0CD677E3" w14:textId="77777777" w:rsidTr="008752AD">
        <w:trPr>
          <w:trHeight w:val="300"/>
        </w:trPr>
        <w:tc>
          <w:tcPr>
            <w:tcW w:w="1980" w:type="dxa"/>
            <w:noWrap/>
            <w:hideMark/>
          </w:tcPr>
          <w:p w14:paraId="53F36FC1"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MCHC </w:t>
            </w:r>
            <w:bookmarkStart w:id="7" w:name="OLE_LINK11"/>
            <w:r w:rsidRPr="008752AD">
              <w:rPr>
                <w:rFonts w:ascii="Times New Roman" w:eastAsia="Times New Roman" w:hAnsi="Times New Roman"/>
                <w:b/>
                <w:bCs/>
                <w:sz w:val="20"/>
                <w:szCs w:val="20"/>
                <w:lang w:eastAsia="en-GB"/>
              </w:rPr>
              <w:t>(%)</w:t>
            </w:r>
            <w:bookmarkEnd w:id="7"/>
          </w:p>
        </w:tc>
        <w:tc>
          <w:tcPr>
            <w:tcW w:w="1426" w:type="dxa"/>
            <w:noWrap/>
            <w:hideMark/>
          </w:tcPr>
          <w:p w14:paraId="3D13188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24.53±3.93</w:t>
            </w:r>
          </w:p>
        </w:tc>
        <w:tc>
          <w:tcPr>
            <w:tcW w:w="1426" w:type="dxa"/>
            <w:noWrap/>
            <w:hideMark/>
          </w:tcPr>
          <w:p w14:paraId="209FDB1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47.47±4.51</w:t>
            </w:r>
          </w:p>
        </w:tc>
        <w:tc>
          <w:tcPr>
            <w:tcW w:w="1326" w:type="dxa"/>
            <w:noWrap/>
            <w:hideMark/>
          </w:tcPr>
          <w:p w14:paraId="2FA4CD1C"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37.40±4.95</w:t>
            </w:r>
          </w:p>
        </w:tc>
        <w:tc>
          <w:tcPr>
            <w:tcW w:w="1326" w:type="dxa"/>
            <w:noWrap/>
            <w:hideMark/>
          </w:tcPr>
          <w:p w14:paraId="605D772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30.90±5.71</w:t>
            </w:r>
          </w:p>
        </w:tc>
        <w:tc>
          <w:tcPr>
            <w:tcW w:w="1326" w:type="dxa"/>
            <w:noWrap/>
            <w:hideMark/>
          </w:tcPr>
          <w:p w14:paraId="7CB0CDAF"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33.37±2.02</w:t>
            </w:r>
          </w:p>
        </w:tc>
        <w:tc>
          <w:tcPr>
            <w:tcW w:w="1326" w:type="dxa"/>
            <w:noWrap/>
            <w:hideMark/>
          </w:tcPr>
          <w:p w14:paraId="25CFAD75"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30.70±3.01</w:t>
            </w:r>
          </w:p>
        </w:tc>
        <w:tc>
          <w:tcPr>
            <w:tcW w:w="934" w:type="dxa"/>
            <w:noWrap/>
            <w:hideMark/>
          </w:tcPr>
          <w:p w14:paraId="2B3E372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0.037*</w:t>
            </w:r>
          </w:p>
        </w:tc>
      </w:tr>
      <w:tr w:rsidR="008752AD" w:rsidRPr="000F418A" w14:paraId="2E184B8D" w14:textId="77777777" w:rsidTr="008752AD">
        <w:trPr>
          <w:trHeight w:val="300"/>
        </w:trPr>
        <w:tc>
          <w:tcPr>
            <w:tcW w:w="1980" w:type="dxa"/>
            <w:noWrap/>
            <w:hideMark/>
          </w:tcPr>
          <w:p w14:paraId="1AC1F318" w14:textId="77777777" w:rsidR="00C660BD" w:rsidRPr="008752AD" w:rsidRDefault="00C660BD" w:rsidP="004B4B12">
            <w:pPr>
              <w:spacing w:after="0" w:line="360" w:lineRule="auto"/>
              <w:jc w:val="center"/>
              <w:rPr>
                <w:rFonts w:ascii="Times New Roman" w:eastAsia="Times New Roman" w:hAnsi="Times New Roman"/>
                <w:b/>
                <w:bCs/>
                <w:sz w:val="20"/>
                <w:szCs w:val="20"/>
                <w:lang w:eastAsia="en-GB"/>
              </w:rPr>
            </w:pPr>
            <w:r w:rsidRPr="008752AD">
              <w:rPr>
                <w:rFonts w:ascii="Times New Roman" w:eastAsia="Times New Roman" w:hAnsi="Times New Roman"/>
                <w:b/>
                <w:bCs/>
                <w:sz w:val="20"/>
                <w:szCs w:val="20"/>
                <w:lang w:eastAsia="en-GB"/>
              </w:rPr>
              <w:t xml:space="preserve">PLT </w:t>
            </w:r>
            <w:bookmarkStart w:id="8" w:name="OLE_LINK13"/>
            <w:r w:rsidRPr="008752AD">
              <w:rPr>
                <w:rFonts w:ascii="Times New Roman" w:eastAsia="Times New Roman" w:hAnsi="Times New Roman"/>
                <w:b/>
                <w:bCs/>
                <w:sz w:val="20"/>
                <w:szCs w:val="20"/>
                <w:lang w:eastAsia="en-GB"/>
              </w:rPr>
              <w:t>(cells/mm³)</w:t>
            </w:r>
            <w:bookmarkEnd w:id="8"/>
          </w:p>
        </w:tc>
        <w:tc>
          <w:tcPr>
            <w:tcW w:w="1426" w:type="dxa"/>
            <w:noWrap/>
            <w:hideMark/>
          </w:tcPr>
          <w:p w14:paraId="1D9798F7"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540.67±122.71</w:t>
            </w:r>
          </w:p>
        </w:tc>
        <w:tc>
          <w:tcPr>
            <w:tcW w:w="1426" w:type="dxa"/>
            <w:noWrap/>
            <w:hideMark/>
          </w:tcPr>
          <w:p w14:paraId="5BD40CE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1039.67±62.80</w:t>
            </w:r>
          </w:p>
        </w:tc>
        <w:tc>
          <w:tcPr>
            <w:tcW w:w="1326" w:type="dxa"/>
            <w:noWrap/>
            <w:hideMark/>
          </w:tcPr>
          <w:p w14:paraId="70FEE2B6"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499.00±24.64</w:t>
            </w:r>
          </w:p>
        </w:tc>
        <w:tc>
          <w:tcPr>
            <w:tcW w:w="1326" w:type="dxa"/>
            <w:noWrap/>
            <w:hideMark/>
          </w:tcPr>
          <w:p w14:paraId="7D4C4B30"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510.00±21.00</w:t>
            </w:r>
          </w:p>
        </w:tc>
        <w:tc>
          <w:tcPr>
            <w:tcW w:w="1326" w:type="dxa"/>
            <w:noWrap/>
            <w:hideMark/>
          </w:tcPr>
          <w:p w14:paraId="72ED6001"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365.67±67.91</w:t>
            </w:r>
          </w:p>
        </w:tc>
        <w:tc>
          <w:tcPr>
            <w:tcW w:w="1326" w:type="dxa"/>
            <w:noWrap/>
            <w:hideMark/>
          </w:tcPr>
          <w:p w14:paraId="1788F20A"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412.67±7.84</w:t>
            </w:r>
          </w:p>
        </w:tc>
        <w:tc>
          <w:tcPr>
            <w:tcW w:w="934" w:type="dxa"/>
            <w:noWrap/>
            <w:hideMark/>
          </w:tcPr>
          <w:p w14:paraId="7BBA1DDB" w14:textId="77777777" w:rsidR="00C660BD" w:rsidRPr="008752AD" w:rsidRDefault="00C660BD" w:rsidP="004B4B12">
            <w:pPr>
              <w:spacing w:after="0" w:line="360" w:lineRule="auto"/>
              <w:rPr>
                <w:rFonts w:ascii="Times New Roman" w:eastAsia="Times New Roman" w:hAnsi="Times New Roman"/>
                <w:sz w:val="20"/>
                <w:szCs w:val="20"/>
                <w:lang w:eastAsia="en-GB"/>
              </w:rPr>
            </w:pPr>
            <w:r w:rsidRPr="008752AD">
              <w:rPr>
                <w:rFonts w:ascii="Times New Roman" w:eastAsia="Times New Roman" w:hAnsi="Times New Roman"/>
                <w:sz w:val="20"/>
                <w:szCs w:val="20"/>
                <w:lang w:eastAsia="en-GB"/>
              </w:rPr>
              <w:t>0.000*</w:t>
            </w:r>
          </w:p>
        </w:tc>
      </w:tr>
    </w:tbl>
    <w:p w14:paraId="751736C3" w14:textId="77777777" w:rsidR="00C660BD" w:rsidRPr="0098348F" w:rsidRDefault="00C660BD" w:rsidP="004B4B12">
      <w:pPr>
        <w:spacing w:after="0" w:line="360" w:lineRule="auto"/>
        <w:rPr>
          <w:rFonts w:ascii="Times New Roman" w:hAnsi="Times New Roman"/>
          <w:sz w:val="24"/>
          <w:szCs w:val="24"/>
        </w:rPr>
      </w:pPr>
      <w:r w:rsidRPr="0098348F">
        <w:rPr>
          <w:rFonts w:ascii="Times New Roman" w:hAnsi="Times New Roman"/>
          <w:sz w:val="24"/>
          <w:szCs w:val="24"/>
        </w:rPr>
        <w:t>P-value &lt; 0.05 indicates significance</w:t>
      </w:r>
    </w:p>
    <w:p w14:paraId="169CCF2D" w14:textId="77777777" w:rsidR="000B4883" w:rsidRDefault="000B4883" w:rsidP="004B4B12">
      <w:pPr>
        <w:spacing w:after="0" w:line="360" w:lineRule="auto"/>
        <w:rPr>
          <w:rFonts w:ascii="Times New Roman" w:eastAsia="Times New Roman" w:hAnsi="Times New Roman"/>
          <w:b/>
          <w:bCs/>
          <w:sz w:val="24"/>
          <w:szCs w:val="24"/>
          <w:lang w:val="en-GB" w:eastAsia="en-GB"/>
        </w:rPr>
      </w:pPr>
    </w:p>
    <w:p w14:paraId="18C4C066"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lastRenderedPageBreak/>
        <w:t>Histopathological Response</w:t>
      </w:r>
    </w:p>
    <w:p w14:paraId="4F15D4BB"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Gill Histology</w:t>
      </w:r>
    </w:p>
    <w:p w14:paraId="138EF54F"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The most common tissue modification was the displacement, hyperplasia, and fusion of the epithelial layer of the secondary lamellae. Also, more common anomalies were aneurysm, desquamation (lifting of respiratory epithelium), and curving of secondary lamellae, cellular infiltration, oedema, and necrotic manifestations. Hyperplasia was the major lesion observed in all tissues analysed. At the control, all structures were well-preserved with no visible alteration (Plate 1a; 0.00 µL/L). There was mild cellular infiltration of secondary lamellae, mild congestion of blood space, and slight epithelial lifting observed in the gill of the mild DEP treatment experiment (Plate 1b; 26.0 µL/L and c; 34.5 µL/L).</w:t>
      </w:r>
    </w:p>
    <w:p w14:paraId="6E659656"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 xml:space="preserve">Across all experimental stocks, most especially at the increased DEP concentrations, the observed pathologic lesions were cellular infiltration of secondary lamellae, </w:t>
      </w:r>
      <w:proofErr w:type="spellStart"/>
      <w:r w:rsidRPr="0098348F">
        <w:rPr>
          <w:rFonts w:ascii="Times New Roman" w:eastAsia="Times New Roman" w:hAnsi="Times New Roman"/>
          <w:sz w:val="24"/>
          <w:szCs w:val="24"/>
          <w:lang w:val="en-GB" w:eastAsia="en-GB"/>
        </w:rPr>
        <w:t>interlamellae</w:t>
      </w:r>
      <w:proofErr w:type="spellEnd"/>
      <w:r w:rsidRPr="0098348F">
        <w:rPr>
          <w:rFonts w:ascii="Times New Roman" w:eastAsia="Times New Roman" w:hAnsi="Times New Roman"/>
          <w:sz w:val="24"/>
          <w:szCs w:val="24"/>
          <w:lang w:val="en-GB" w:eastAsia="en-GB"/>
        </w:rPr>
        <w:t xml:space="preserve"> hyperplastic lesions, cellular proliferation, oedema, congestion of the blood vessels, and epithelial thickening of both the lamellae and gill raker (Plate 1d; 43.25 µL/L and e; 53.8 µL/L). There was a presence of mucin (depicting an inflammatory reaction) and necrosis, as observed in the gill tissues of the fishes held at the highest concentration of DEP. Therefore, all the pathologic lesions recorded in the gill in this study were basically concentration-dependent, and the damage done to the gills was suspected to be irreversible.</w:t>
      </w:r>
    </w:p>
    <w:p w14:paraId="4A455BC0" w14:textId="77777777" w:rsidR="00D37EB8" w:rsidRPr="002B00DB" w:rsidRDefault="00D37EB8" w:rsidP="004B4B12">
      <w:pPr>
        <w:spacing w:after="0" w:line="360" w:lineRule="auto"/>
        <w:ind w:firstLine="720"/>
        <w:jc w:val="both"/>
        <w:rPr>
          <w:rFonts w:ascii="Times New Roman" w:hAnsi="Times New Roman"/>
          <w:sz w:val="24"/>
          <w:szCs w:val="24"/>
        </w:rPr>
      </w:pPr>
      <w:r w:rsidRPr="00FC5833">
        <w:rPr>
          <w:rFonts w:ascii="Times New Roman" w:hAnsi="Times New Roman"/>
          <w:sz w:val="24"/>
          <w:szCs w:val="24"/>
        </w:rPr>
        <w:t>A (0.00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B (26.0 µL/L)</w:t>
      </w:r>
      <w:r w:rsidRPr="00FC5833">
        <w:rPr>
          <w:rFonts w:ascii="Times New Roman" w:hAnsi="Times New Roman"/>
          <w:sz w:val="24"/>
          <w:szCs w:val="24"/>
        </w:rPr>
        <w:tab/>
      </w:r>
    </w:p>
    <w:p w14:paraId="61DDADFD"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72F1B3BC" wp14:editId="3D892364">
            <wp:extent cx="2619375" cy="1476375"/>
            <wp:effectExtent l="0" t="0" r="9525" b="9525"/>
            <wp:docPr id="5" name="Picture 4" descr="0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 Gi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inline>
        </w:drawing>
      </w:r>
      <w:r>
        <w:rPr>
          <w:rFonts w:ascii="Times New Roman" w:hAnsi="Times New Roman"/>
          <w:noProof/>
          <w:sz w:val="24"/>
          <w:szCs w:val="24"/>
          <w:lang w:eastAsia="en-US"/>
        </w:rPr>
        <w:drawing>
          <wp:inline distT="0" distB="0" distL="0" distR="0" wp14:anchorId="511F82FA" wp14:editId="40F08DE2">
            <wp:extent cx="2600325" cy="1457325"/>
            <wp:effectExtent l="0" t="0" r="9525" b="9525"/>
            <wp:docPr id="6" name="Picture 6" descr="1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G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14:paraId="1068A991" w14:textId="77777777" w:rsidR="00D37EB8" w:rsidRPr="00FC5833" w:rsidRDefault="00D37EB8" w:rsidP="004B4B12">
      <w:pPr>
        <w:spacing w:after="0" w:line="360" w:lineRule="auto"/>
        <w:ind w:firstLineChars="250" w:firstLine="600"/>
        <w:jc w:val="both"/>
        <w:rPr>
          <w:rFonts w:ascii="Times New Roman" w:hAnsi="Times New Roman"/>
          <w:sz w:val="24"/>
          <w:szCs w:val="24"/>
        </w:rPr>
      </w:pPr>
      <w:r w:rsidRPr="00FC5833">
        <w:rPr>
          <w:rFonts w:ascii="Times New Roman" w:hAnsi="Times New Roman"/>
          <w:sz w:val="24"/>
          <w:szCs w:val="24"/>
        </w:rPr>
        <w:t>C (34.5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D (43.25 µL/L)</w:t>
      </w:r>
    </w:p>
    <w:p w14:paraId="1A3DCD4F"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677FE181" wp14:editId="2FFAF9DD">
            <wp:extent cx="2606400" cy="1321551"/>
            <wp:effectExtent l="0" t="0" r="3810" b="0"/>
            <wp:docPr id="7" name="Picture 6" descr="2 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gi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1323300"/>
                    </a:xfrm>
                    <a:prstGeom prst="rect">
                      <a:avLst/>
                    </a:prstGeom>
                    <a:noFill/>
                    <a:ln>
                      <a:noFill/>
                    </a:ln>
                  </pic:spPr>
                </pic:pic>
              </a:graphicData>
            </a:graphic>
          </wp:inline>
        </w:drawing>
      </w:r>
      <w:r>
        <w:rPr>
          <w:rFonts w:ascii="Times New Roman" w:hAnsi="Times New Roman"/>
          <w:noProof/>
          <w:sz w:val="24"/>
          <w:szCs w:val="24"/>
          <w:lang w:eastAsia="en-US"/>
        </w:rPr>
        <w:drawing>
          <wp:inline distT="0" distB="0" distL="0" distR="0" wp14:anchorId="4A50719F" wp14:editId="0B23AE8A">
            <wp:extent cx="2639833" cy="1335819"/>
            <wp:effectExtent l="0" t="0" r="8255" b="0"/>
            <wp:docPr id="8" name="Picture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335107"/>
                    </a:xfrm>
                    <a:prstGeom prst="rect">
                      <a:avLst/>
                    </a:prstGeom>
                    <a:noFill/>
                    <a:ln>
                      <a:noFill/>
                    </a:ln>
                  </pic:spPr>
                </pic:pic>
              </a:graphicData>
            </a:graphic>
          </wp:inline>
        </w:drawing>
      </w:r>
    </w:p>
    <w:p w14:paraId="4FFA1AED" w14:textId="77777777" w:rsidR="00D37EB8" w:rsidRPr="00FC5833" w:rsidRDefault="00D37EB8" w:rsidP="004B4B12">
      <w:pPr>
        <w:spacing w:after="0" w:line="360" w:lineRule="auto"/>
        <w:ind w:firstLineChars="1700" w:firstLine="4080"/>
        <w:jc w:val="both"/>
        <w:rPr>
          <w:rFonts w:ascii="Times New Roman" w:hAnsi="Times New Roman"/>
          <w:sz w:val="24"/>
          <w:szCs w:val="24"/>
        </w:rPr>
      </w:pPr>
      <w:r w:rsidRPr="00FC5833">
        <w:rPr>
          <w:rFonts w:ascii="Times New Roman" w:hAnsi="Times New Roman"/>
          <w:sz w:val="24"/>
          <w:szCs w:val="24"/>
        </w:rPr>
        <w:lastRenderedPageBreak/>
        <w:t>E (53.8 µL/L)</w:t>
      </w:r>
    </w:p>
    <w:p w14:paraId="48E7DE06"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72EBAC70" wp14:editId="56432964">
            <wp:extent cx="5267325" cy="1885950"/>
            <wp:effectExtent l="0" t="0" r="9525" b="0"/>
            <wp:docPr id="9" name="Picture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1885950"/>
                    </a:xfrm>
                    <a:prstGeom prst="rect">
                      <a:avLst/>
                    </a:prstGeom>
                    <a:noFill/>
                    <a:ln>
                      <a:noFill/>
                    </a:ln>
                  </pic:spPr>
                </pic:pic>
              </a:graphicData>
            </a:graphic>
          </wp:inline>
        </w:drawing>
      </w:r>
    </w:p>
    <w:p w14:paraId="023D638D" w14:textId="77777777" w:rsidR="00505E37" w:rsidRDefault="00505E37" w:rsidP="00505E37">
      <w:pPr>
        <w:spacing w:after="0" w:line="240" w:lineRule="auto"/>
        <w:jc w:val="center"/>
        <w:rPr>
          <w:rFonts w:ascii="Times New Roman" w:hAnsi="Times New Roman"/>
          <w:b/>
          <w:bCs/>
          <w:i/>
          <w:sz w:val="24"/>
          <w:szCs w:val="24"/>
        </w:rPr>
      </w:pPr>
    </w:p>
    <w:p w14:paraId="0820C3C2" w14:textId="77777777"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1a-e: Light micrographs of gill filaments of </w:t>
      </w:r>
      <w:r w:rsidR="005D5A4B" w:rsidRPr="00505E37">
        <w:rPr>
          <w:rFonts w:ascii="Times New Roman" w:hAnsi="Times New Roman"/>
          <w:b/>
          <w:bCs/>
          <w:i/>
          <w:iCs/>
          <w:sz w:val="24"/>
          <w:szCs w:val="24"/>
        </w:rPr>
        <w:t>C. gariepinus</w:t>
      </w:r>
      <w:r w:rsidR="00D37EB8" w:rsidRPr="00505E37">
        <w:rPr>
          <w:rFonts w:ascii="Times New Roman" w:hAnsi="Times New Roman"/>
          <w:b/>
          <w:bCs/>
          <w:i/>
          <w:sz w:val="24"/>
          <w:szCs w:val="24"/>
        </w:rPr>
        <w:t xml:space="preserve"> exposed to varying</w:t>
      </w:r>
      <w:r w:rsidR="00D37EB8" w:rsidRPr="00505E37">
        <w:rPr>
          <w:rFonts w:ascii="Times New Roman" w:hAnsi="Times New Roman"/>
          <w:b/>
          <w:bCs/>
          <w:i/>
          <w:color w:val="FF0000"/>
          <w:sz w:val="24"/>
          <w:szCs w:val="24"/>
        </w:rPr>
        <w:t xml:space="preserve"> </w:t>
      </w:r>
      <w:r w:rsidR="00D37EB8" w:rsidRPr="00505E37">
        <w:rPr>
          <w:rFonts w:ascii="Times New Roman" w:hAnsi="Times New Roman"/>
          <w:b/>
          <w:bCs/>
          <w:i/>
          <w:sz w:val="24"/>
          <w:szCs w:val="24"/>
        </w:rPr>
        <w:t>concentrations of DEP</w:t>
      </w:r>
    </w:p>
    <w:p w14:paraId="6C02B168" w14:textId="77777777" w:rsidR="00040FF2" w:rsidRDefault="00040FF2" w:rsidP="004B4B12">
      <w:pPr>
        <w:spacing w:after="0" w:line="360" w:lineRule="auto"/>
        <w:rPr>
          <w:rFonts w:ascii="Times New Roman" w:eastAsia="Times New Roman" w:hAnsi="Times New Roman"/>
          <w:b/>
          <w:bCs/>
          <w:sz w:val="24"/>
          <w:szCs w:val="24"/>
          <w:lang w:val="en-GB" w:eastAsia="en-GB"/>
        </w:rPr>
      </w:pPr>
    </w:p>
    <w:p w14:paraId="3E5CE200" w14:textId="77777777" w:rsidR="0098348F" w:rsidRPr="0098348F" w:rsidRDefault="0098348F" w:rsidP="004B4B12">
      <w:pPr>
        <w:spacing w:after="0" w:line="360" w:lineRule="auto"/>
        <w:rPr>
          <w:rFonts w:ascii="Times New Roman" w:eastAsia="Times New Roman" w:hAnsi="Times New Roman"/>
          <w:sz w:val="24"/>
          <w:szCs w:val="24"/>
          <w:lang w:val="en-GB" w:eastAsia="en-GB"/>
        </w:rPr>
      </w:pPr>
      <w:r w:rsidRPr="0098348F">
        <w:rPr>
          <w:rFonts w:ascii="Times New Roman" w:eastAsia="Times New Roman" w:hAnsi="Times New Roman"/>
          <w:b/>
          <w:bCs/>
          <w:sz w:val="24"/>
          <w:szCs w:val="24"/>
          <w:lang w:val="en-GB" w:eastAsia="en-GB"/>
        </w:rPr>
        <w:t>Liver Histology</w:t>
      </w:r>
    </w:p>
    <w:p w14:paraId="0C56F50B" w14:textId="77777777" w:rsidR="0098348F" w:rsidRPr="0098348F" w:rsidRDefault="0098348F" w:rsidP="004B4B12">
      <w:pPr>
        <w:spacing w:after="0" w:line="360" w:lineRule="auto"/>
        <w:jc w:val="both"/>
        <w:rPr>
          <w:rFonts w:ascii="Times New Roman" w:eastAsia="Times New Roman" w:hAnsi="Times New Roman"/>
          <w:sz w:val="24"/>
          <w:szCs w:val="24"/>
          <w:lang w:val="en-GB" w:eastAsia="en-GB"/>
        </w:rPr>
      </w:pPr>
      <w:r w:rsidRPr="0098348F">
        <w:rPr>
          <w:rFonts w:ascii="Times New Roman" w:eastAsia="Times New Roman" w:hAnsi="Times New Roman"/>
          <w:sz w:val="24"/>
          <w:szCs w:val="24"/>
          <w:lang w:val="en-GB" w:eastAsia="en-GB"/>
        </w:rPr>
        <w:t>Plates 2a-e show the summary of liver tissue alterations that were observed in the test organisms exposed to varying chronic concentrations of DEP for 45 days, including the control. In the control (0.00 µL/L) experiment, the photomicrograph of the liver showed the typical network of parenchymatous appearance forming an irregular clump made up of hepatocytes, and the sinusoids appeared properly arranged. The interspaces are the sinusoids, which are characteristics of a thin, sparse connective tissue and are regularly converged into the large central vein. The sinusoids make continuous communication as they are seen converging into the central vein (Mg X200). A concentrations-dependent cellular infiltration of hepatocytes, oedematous manifestation, congestion of the central vein, and cellular necrosis were more pronounced at Plates 3b; 26.0 µL/L and 3c; 34.5 µL/L. Parenchymatous cells characterised by the formation of irregular clumps, the convergence of sinusoids into the large central vein, and partial disruption of hepatocytes became manifest at Plates 3d; 43.25 µL/L and 3e; 53.8 µL/L. Slight degeneration of the central vein became evident with mild congestion of nuclei, and the sinusoidal network lost its normal arrangement and appearance with partial degeneration at increased concentration. Occurrence of infiltrated hypertrophy with more pronounced, fairly hepatic necrosis, which is an indication of a focal area of haemorrhage. All these anomalies are indications of liver cirrhosis.</w:t>
      </w:r>
    </w:p>
    <w:p w14:paraId="7F034EB4" w14:textId="77777777" w:rsidR="00D37EB8" w:rsidRPr="00FC5833" w:rsidRDefault="00E14B54" w:rsidP="004B4B12">
      <w:pPr>
        <w:spacing w:after="0" w:line="360" w:lineRule="auto"/>
        <w:jc w:val="both"/>
        <w:rPr>
          <w:rFonts w:ascii="Times New Roman" w:hAnsi="Times New Roman"/>
          <w:sz w:val="24"/>
          <w:szCs w:val="24"/>
        </w:rPr>
      </w:pPr>
      <w:r>
        <w:rPr>
          <w:noProof/>
          <w:lang w:eastAsia="en-US"/>
        </w:rPr>
        <w:lastRenderedPageBreak/>
        <w:drawing>
          <wp:anchor distT="0" distB="0" distL="114300" distR="114300" simplePos="0" relativeHeight="251656192" behindDoc="0" locked="0" layoutInCell="1" allowOverlap="1" wp14:anchorId="6997BFF6" wp14:editId="7DAC2A03">
            <wp:simplePos x="0" y="0"/>
            <wp:positionH relativeFrom="column">
              <wp:posOffset>2781300</wp:posOffset>
            </wp:positionH>
            <wp:positionV relativeFrom="paragraph">
              <wp:posOffset>425450</wp:posOffset>
            </wp:positionV>
            <wp:extent cx="2874010" cy="1524000"/>
            <wp:effectExtent l="0" t="0" r="2540" b="0"/>
            <wp:wrapTopAndBottom/>
            <wp:docPr id="19"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010" cy="1524000"/>
                    </a:xfrm>
                    <a:prstGeom prst="rect">
                      <a:avLst/>
                    </a:prstGeom>
                    <a:noFill/>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7216" behindDoc="0" locked="0" layoutInCell="1" allowOverlap="1" wp14:anchorId="50D4B9A3" wp14:editId="0BE2887F">
            <wp:simplePos x="0" y="0"/>
            <wp:positionH relativeFrom="column">
              <wp:posOffset>0</wp:posOffset>
            </wp:positionH>
            <wp:positionV relativeFrom="paragraph">
              <wp:posOffset>444500</wp:posOffset>
            </wp:positionV>
            <wp:extent cx="2795270" cy="1504950"/>
            <wp:effectExtent l="0" t="0" r="5080" b="0"/>
            <wp:wrapTopAndBottom/>
            <wp:docPr id="18"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270" cy="1504950"/>
                    </a:xfrm>
                    <a:prstGeom prst="rect">
                      <a:avLst/>
                    </a:prstGeom>
                    <a:noFill/>
                  </pic:spPr>
                </pic:pic>
              </a:graphicData>
            </a:graphic>
            <wp14:sizeRelH relativeFrom="page">
              <wp14:pctWidth>0</wp14:pctWidth>
            </wp14:sizeRelH>
            <wp14:sizeRelV relativeFrom="margin">
              <wp14:pctHeight>0</wp14:pctHeight>
            </wp14:sizeRelV>
          </wp:anchor>
        </w:drawing>
      </w:r>
      <w:r w:rsidR="00D37EB8" w:rsidRPr="00FC5833">
        <w:rPr>
          <w:rFonts w:ascii="Times New Roman" w:hAnsi="Times New Roman"/>
          <w:sz w:val="24"/>
          <w:szCs w:val="24"/>
        </w:rPr>
        <w:t>A (0.00 µL/L)</w:t>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t>B (26.0 µL/L</w:t>
      </w:r>
    </w:p>
    <w:p w14:paraId="3CEF59EF" w14:textId="77777777" w:rsidR="00D37EB8" w:rsidRPr="00FC5833" w:rsidRDefault="00D37EB8" w:rsidP="004B4B12">
      <w:pPr>
        <w:spacing w:after="0" w:line="360" w:lineRule="auto"/>
        <w:jc w:val="both"/>
        <w:rPr>
          <w:rFonts w:ascii="Times New Roman" w:hAnsi="Times New Roman"/>
          <w:sz w:val="24"/>
          <w:szCs w:val="24"/>
        </w:rPr>
      </w:pPr>
    </w:p>
    <w:p w14:paraId="4559FA1E" w14:textId="77777777" w:rsidR="00D37EB8" w:rsidRPr="00FC5833" w:rsidRDefault="00E14B54" w:rsidP="004B4B12">
      <w:pPr>
        <w:spacing w:after="0" w:line="360" w:lineRule="auto"/>
        <w:jc w:val="both"/>
        <w:rPr>
          <w:rFonts w:ascii="Times New Roman" w:hAnsi="Times New Roman"/>
          <w:sz w:val="24"/>
          <w:szCs w:val="24"/>
        </w:rPr>
      </w:pPr>
      <w:r>
        <w:rPr>
          <w:noProof/>
          <w:lang w:eastAsia="en-US"/>
        </w:rPr>
        <w:drawing>
          <wp:anchor distT="0" distB="0" distL="114300" distR="114300" simplePos="0" relativeHeight="251659264" behindDoc="0" locked="0" layoutInCell="1" allowOverlap="1" wp14:anchorId="0C9B214B" wp14:editId="3658F3B8">
            <wp:simplePos x="0" y="0"/>
            <wp:positionH relativeFrom="column">
              <wp:posOffset>101600</wp:posOffset>
            </wp:positionH>
            <wp:positionV relativeFrom="paragraph">
              <wp:posOffset>344805</wp:posOffset>
            </wp:positionV>
            <wp:extent cx="2812415" cy="1441450"/>
            <wp:effectExtent l="0" t="0" r="6985" b="6350"/>
            <wp:wrapTopAndBottom/>
            <wp:docPr id="17"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2415" cy="1441450"/>
                    </a:xfrm>
                    <a:prstGeom prst="rect">
                      <a:avLst/>
                    </a:prstGeom>
                    <a:noFill/>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8240" behindDoc="0" locked="0" layoutInCell="1" allowOverlap="1" wp14:anchorId="0D8A9989" wp14:editId="1930DF62">
            <wp:simplePos x="0" y="0"/>
            <wp:positionH relativeFrom="column">
              <wp:posOffset>2927350</wp:posOffset>
            </wp:positionH>
            <wp:positionV relativeFrom="paragraph">
              <wp:posOffset>338455</wp:posOffset>
            </wp:positionV>
            <wp:extent cx="2857500" cy="1498600"/>
            <wp:effectExtent l="0" t="0" r="0" b="6350"/>
            <wp:wrapTopAndBottom/>
            <wp:docPr id="16"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498600"/>
                    </a:xfrm>
                    <a:prstGeom prst="rect">
                      <a:avLst/>
                    </a:prstGeom>
                    <a:noFill/>
                  </pic:spPr>
                </pic:pic>
              </a:graphicData>
            </a:graphic>
            <wp14:sizeRelH relativeFrom="page">
              <wp14:pctWidth>0</wp14:pctWidth>
            </wp14:sizeRelH>
            <wp14:sizeRelV relativeFrom="margin">
              <wp14:pctHeight>0</wp14:pctHeight>
            </wp14:sizeRelV>
          </wp:anchor>
        </w:drawing>
      </w:r>
      <w:r w:rsidR="00D37EB8" w:rsidRPr="00FC5833">
        <w:rPr>
          <w:rFonts w:ascii="Times New Roman" w:hAnsi="Times New Roman"/>
          <w:sz w:val="24"/>
          <w:szCs w:val="24"/>
        </w:rPr>
        <w:tab/>
        <w:t>C (34.5 µL/L)</w:t>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r>
      <w:r w:rsidR="00D37EB8" w:rsidRPr="00FC5833">
        <w:rPr>
          <w:rFonts w:ascii="Times New Roman" w:hAnsi="Times New Roman"/>
          <w:sz w:val="24"/>
          <w:szCs w:val="24"/>
        </w:rPr>
        <w:tab/>
        <w:t>D (43.25 µL/L)</w:t>
      </w:r>
    </w:p>
    <w:p w14:paraId="27DD3800" w14:textId="77777777" w:rsidR="00D37EB8" w:rsidRPr="00FC5833" w:rsidRDefault="00D37EB8" w:rsidP="004B4B12">
      <w:pPr>
        <w:spacing w:after="0" w:line="360" w:lineRule="auto"/>
        <w:jc w:val="both"/>
        <w:rPr>
          <w:rFonts w:ascii="Times New Roman" w:hAnsi="Times New Roman"/>
          <w:sz w:val="24"/>
          <w:szCs w:val="24"/>
        </w:rPr>
      </w:pPr>
    </w:p>
    <w:p w14:paraId="6CBA2F70"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ab/>
        <w:t>E (53.8 µL/L)</w:t>
      </w:r>
    </w:p>
    <w:p w14:paraId="3DBADAEB"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02F67870" wp14:editId="44771F41">
            <wp:extent cx="5619750" cy="2009775"/>
            <wp:effectExtent l="0" t="0" r="0" b="9525"/>
            <wp:docPr id="10"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2009775"/>
                    </a:xfrm>
                    <a:prstGeom prst="rect">
                      <a:avLst/>
                    </a:prstGeom>
                    <a:noFill/>
                    <a:ln>
                      <a:noFill/>
                    </a:ln>
                  </pic:spPr>
                </pic:pic>
              </a:graphicData>
            </a:graphic>
          </wp:inline>
        </w:drawing>
      </w:r>
    </w:p>
    <w:p w14:paraId="446D2D55" w14:textId="77777777"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2a-e: Light photomicrographs of Liver section of </w:t>
      </w:r>
      <w:r w:rsidR="005D5A4B" w:rsidRPr="00505E37">
        <w:rPr>
          <w:rFonts w:ascii="Times New Roman" w:hAnsi="Times New Roman"/>
          <w:b/>
          <w:bCs/>
          <w:i/>
          <w:iCs/>
          <w:sz w:val="24"/>
          <w:szCs w:val="24"/>
        </w:rPr>
        <w:t>C. gariepinus</w:t>
      </w:r>
      <w:r w:rsidR="00D37EB8" w:rsidRPr="00505E37">
        <w:rPr>
          <w:rFonts w:ascii="Times New Roman" w:hAnsi="Times New Roman"/>
          <w:b/>
          <w:bCs/>
          <w:i/>
          <w:sz w:val="24"/>
          <w:szCs w:val="24"/>
        </w:rPr>
        <w:t xml:space="preserve"> exposed to varying</w:t>
      </w:r>
      <w:r w:rsidR="00D37EB8" w:rsidRPr="00505E37">
        <w:rPr>
          <w:rFonts w:ascii="Times New Roman" w:hAnsi="Times New Roman"/>
          <w:b/>
          <w:bCs/>
          <w:i/>
          <w:color w:val="FF0000"/>
          <w:sz w:val="24"/>
          <w:szCs w:val="24"/>
        </w:rPr>
        <w:t xml:space="preserve"> </w:t>
      </w:r>
      <w:r w:rsidR="00D37EB8" w:rsidRPr="00505E37">
        <w:rPr>
          <w:rFonts w:ascii="Times New Roman" w:hAnsi="Times New Roman"/>
          <w:b/>
          <w:bCs/>
          <w:i/>
          <w:sz w:val="24"/>
          <w:szCs w:val="24"/>
        </w:rPr>
        <w:t>concentrations of DEP</w:t>
      </w:r>
    </w:p>
    <w:p w14:paraId="2B70E60E" w14:textId="77777777" w:rsidR="004B44E0" w:rsidRPr="004B44E0" w:rsidRDefault="004B44E0" w:rsidP="004B4B12">
      <w:pPr>
        <w:spacing w:after="0" w:line="360" w:lineRule="auto"/>
        <w:rPr>
          <w:rFonts w:ascii="Times New Roman" w:eastAsia="Times New Roman" w:hAnsi="Times New Roman"/>
          <w:sz w:val="24"/>
          <w:szCs w:val="24"/>
          <w:lang w:val="en-GB" w:eastAsia="en-GB"/>
        </w:rPr>
      </w:pPr>
      <w:r w:rsidRPr="004B44E0">
        <w:rPr>
          <w:rFonts w:ascii="Times New Roman" w:eastAsia="Times New Roman" w:hAnsi="Times New Roman"/>
          <w:b/>
          <w:bCs/>
          <w:sz w:val="24"/>
          <w:szCs w:val="24"/>
          <w:lang w:val="en-GB" w:eastAsia="en-GB"/>
        </w:rPr>
        <w:t>Kidney Histology</w:t>
      </w:r>
    </w:p>
    <w:p w14:paraId="25366833" w14:textId="77777777" w:rsidR="004B44E0" w:rsidRPr="004B44E0" w:rsidRDefault="004B44E0" w:rsidP="004B4B12">
      <w:pPr>
        <w:spacing w:after="0" w:line="360" w:lineRule="auto"/>
        <w:jc w:val="both"/>
        <w:rPr>
          <w:rFonts w:ascii="Times New Roman" w:eastAsia="Times New Roman" w:hAnsi="Times New Roman"/>
          <w:sz w:val="24"/>
          <w:szCs w:val="24"/>
          <w:lang w:val="en-GB" w:eastAsia="en-GB"/>
        </w:rPr>
      </w:pPr>
      <w:r w:rsidRPr="004B44E0">
        <w:rPr>
          <w:rFonts w:ascii="Times New Roman" w:eastAsia="Times New Roman" w:hAnsi="Times New Roman"/>
          <w:sz w:val="24"/>
          <w:szCs w:val="24"/>
          <w:lang w:val="en-GB" w:eastAsia="en-GB"/>
        </w:rPr>
        <w:t xml:space="preserve">Plate 3a (0.00 µL/L) showed the photomicrograph of a normal kidney showing a normal appearance of the glomerulus and the Bowman’s space, proximal and distal tubules. Plate 3b (26.0 µL/L) showed a fairly pronounced degeneration of cells of distal tubules with cloudy swelling </w:t>
      </w:r>
      <w:r w:rsidRPr="004B44E0">
        <w:rPr>
          <w:rFonts w:ascii="Times New Roman" w:eastAsia="Times New Roman" w:hAnsi="Times New Roman"/>
          <w:sz w:val="24"/>
          <w:szCs w:val="24"/>
          <w:lang w:val="en-GB" w:eastAsia="en-GB"/>
        </w:rPr>
        <w:lastRenderedPageBreak/>
        <w:t xml:space="preserve">degeneration. The presence of </w:t>
      </w:r>
      <w:proofErr w:type="spellStart"/>
      <w:r w:rsidRPr="004B44E0">
        <w:rPr>
          <w:rFonts w:ascii="Times New Roman" w:eastAsia="Times New Roman" w:hAnsi="Times New Roman"/>
          <w:sz w:val="24"/>
          <w:szCs w:val="24"/>
          <w:lang w:val="en-GB" w:eastAsia="en-GB"/>
        </w:rPr>
        <w:t>melanomacrophages</w:t>
      </w:r>
      <w:proofErr w:type="spellEnd"/>
      <w:r w:rsidRPr="004B44E0">
        <w:rPr>
          <w:rFonts w:ascii="Times New Roman" w:eastAsia="Times New Roman" w:hAnsi="Times New Roman"/>
          <w:sz w:val="24"/>
          <w:szCs w:val="24"/>
          <w:lang w:val="en-GB" w:eastAsia="en-GB"/>
        </w:rPr>
        <w:t xml:space="preserve"> and gross cellular necrosis of the kidney tubules of </w:t>
      </w:r>
      <w:r w:rsidR="005D5A4B" w:rsidRPr="005D5A4B">
        <w:rPr>
          <w:rFonts w:ascii="Times New Roman" w:eastAsia="Times New Roman" w:hAnsi="Times New Roman"/>
          <w:i/>
          <w:iCs/>
          <w:sz w:val="24"/>
          <w:szCs w:val="24"/>
          <w:lang w:val="en-GB" w:eastAsia="en-GB"/>
        </w:rPr>
        <w:t>C. gariepinus</w:t>
      </w:r>
      <w:r w:rsidRPr="004B44E0">
        <w:rPr>
          <w:rFonts w:ascii="Times New Roman" w:eastAsia="Times New Roman" w:hAnsi="Times New Roman"/>
          <w:sz w:val="24"/>
          <w:szCs w:val="24"/>
          <w:lang w:val="en-GB" w:eastAsia="en-GB"/>
        </w:rPr>
        <w:t xml:space="preserve"> was observed across all DEP-exposed concentrations, most especially at (43.25, 53.8, and 62.5 µL/L). Degenerated kidneys were recorded with vacuolation, necrosis, ruptured kidney tubules, cellular degeneration, and karyolysis, and these became manifested in all DEP-exposed kidneys, and the effects were DEP concentration dependent. Generally, the major aberrations found in the kidneys of DEP-exposed fishes were glomerulus distortion, which is characterised by cloudy swelling of hyaline droplets and the expansion of the glomerulus. All these aberrations were DEP-concentration dependent.</w:t>
      </w:r>
    </w:p>
    <w:p w14:paraId="33484073"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A (0.00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B (26.0 µL/L)</w:t>
      </w:r>
    </w:p>
    <w:p w14:paraId="75DD4009"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28F6CDCB" wp14:editId="1F41B2AD">
            <wp:extent cx="2812096" cy="1327868"/>
            <wp:effectExtent l="0" t="0" r="7620" b="5715"/>
            <wp:docPr id="11"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326819"/>
                    </a:xfrm>
                    <a:prstGeom prst="rect">
                      <a:avLst/>
                    </a:prstGeom>
                    <a:noFill/>
                    <a:ln>
                      <a:noFill/>
                    </a:ln>
                  </pic:spPr>
                </pic:pic>
              </a:graphicData>
            </a:graphic>
          </wp:inline>
        </w:drawing>
      </w:r>
      <w:r>
        <w:rPr>
          <w:rFonts w:ascii="Times New Roman" w:hAnsi="Times New Roman"/>
          <w:noProof/>
          <w:sz w:val="24"/>
          <w:szCs w:val="24"/>
          <w:lang w:eastAsia="en-US"/>
        </w:rPr>
        <w:drawing>
          <wp:inline distT="0" distB="0" distL="0" distR="0" wp14:anchorId="367046BA" wp14:editId="0C562A09">
            <wp:extent cx="2719346" cy="1327867"/>
            <wp:effectExtent l="0" t="0" r="5080" b="5715"/>
            <wp:docPr id="12"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1325562"/>
                    </a:xfrm>
                    <a:prstGeom prst="rect">
                      <a:avLst/>
                    </a:prstGeom>
                    <a:noFill/>
                    <a:ln>
                      <a:noFill/>
                    </a:ln>
                  </pic:spPr>
                </pic:pic>
              </a:graphicData>
            </a:graphic>
          </wp:inline>
        </w:drawing>
      </w:r>
    </w:p>
    <w:p w14:paraId="43EE8551"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 xml:space="preserve"> C (34.5 µL/L)</w:t>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r>
      <w:r w:rsidRPr="00FC5833">
        <w:rPr>
          <w:rFonts w:ascii="Times New Roman" w:hAnsi="Times New Roman"/>
          <w:sz w:val="24"/>
          <w:szCs w:val="24"/>
        </w:rPr>
        <w:tab/>
        <w:t>D (43.25 µL/L)</w:t>
      </w:r>
    </w:p>
    <w:p w14:paraId="307D4B92"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6097544A" wp14:editId="28897D7D">
            <wp:extent cx="2854431" cy="1423284"/>
            <wp:effectExtent l="0" t="0" r="3175" b="5715"/>
            <wp:docPr id="13"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424814"/>
                    </a:xfrm>
                    <a:prstGeom prst="rect">
                      <a:avLst/>
                    </a:prstGeom>
                    <a:noFill/>
                    <a:ln>
                      <a:noFill/>
                    </a:ln>
                  </pic:spPr>
                </pic:pic>
              </a:graphicData>
            </a:graphic>
          </wp:inline>
        </w:drawing>
      </w:r>
      <w:r>
        <w:rPr>
          <w:rFonts w:ascii="Times New Roman" w:hAnsi="Times New Roman"/>
          <w:noProof/>
          <w:sz w:val="24"/>
          <w:szCs w:val="24"/>
          <w:lang w:eastAsia="en-US"/>
        </w:rPr>
        <w:drawing>
          <wp:inline distT="0" distB="0" distL="0" distR="0" wp14:anchorId="3D9FFFC0" wp14:editId="3E232C56">
            <wp:extent cx="2679590" cy="1415332"/>
            <wp:effectExtent l="0" t="0" r="6985" b="0"/>
            <wp:docPr id="14"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1413713"/>
                    </a:xfrm>
                    <a:prstGeom prst="rect">
                      <a:avLst/>
                    </a:prstGeom>
                    <a:noFill/>
                    <a:ln>
                      <a:noFill/>
                    </a:ln>
                  </pic:spPr>
                </pic:pic>
              </a:graphicData>
            </a:graphic>
          </wp:inline>
        </w:drawing>
      </w:r>
    </w:p>
    <w:p w14:paraId="51C8DD08" w14:textId="77777777" w:rsidR="00D37EB8" w:rsidRPr="00FC5833" w:rsidRDefault="00D37EB8" w:rsidP="004B4B12">
      <w:pPr>
        <w:spacing w:after="0" w:line="360" w:lineRule="auto"/>
        <w:jc w:val="both"/>
        <w:rPr>
          <w:rFonts w:ascii="Times New Roman" w:hAnsi="Times New Roman"/>
          <w:sz w:val="24"/>
          <w:szCs w:val="24"/>
        </w:rPr>
      </w:pPr>
      <w:r w:rsidRPr="00FC5833">
        <w:rPr>
          <w:rFonts w:ascii="Times New Roman" w:hAnsi="Times New Roman"/>
          <w:sz w:val="24"/>
          <w:szCs w:val="24"/>
        </w:rPr>
        <w:t>E (53.8 µL/L)</w:t>
      </w:r>
    </w:p>
    <w:p w14:paraId="21D45034" w14:textId="77777777" w:rsidR="00D37EB8" w:rsidRPr="00FC5833" w:rsidRDefault="00E14B54" w:rsidP="004B4B12">
      <w:pPr>
        <w:spacing w:after="0" w:line="36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6668B2EF" wp14:editId="59A576E7">
            <wp:extent cx="5491580" cy="1391478"/>
            <wp:effectExtent l="0" t="0" r="0" b="0"/>
            <wp:docPr id="15"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5925" cy="1392579"/>
                    </a:xfrm>
                    <a:prstGeom prst="rect">
                      <a:avLst/>
                    </a:prstGeom>
                    <a:noFill/>
                    <a:ln>
                      <a:noFill/>
                    </a:ln>
                  </pic:spPr>
                </pic:pic>
              </a:graphicData>
            </a:graphic>
          </wp:inline>
        </w:drawing>
      </w:r>
    </w:p>
    <w:p w14:paraId="69159BA0" w14:textId="77777777" w:rsidR="00D37EB8" w:rsidRPr="00505E37" w:rsidRDefault="00915C5A" w:rsidP="00505E37">
      <w:pPr>
        <w:spacing w:after="0" w:line="240" w:lineRule="auto"/>
        <w:jc w:val="center"/>
        <w:rPr>
          <w:rFonts w:ascii="Times New Roman" w:hAnsi="Times New Roman"/>
          <w:b/>
          <w:bCs/>
          <w:i/>
          <w:sz w:val="24"/>
          <w:szCs w:val="24"/>
        </w:rPr>
      </w:pPr>
      <w:r>
        <w:rPr>
          <w:rFonts w:ascii="Times New Roman" w:hAnsi="Times New Roman"/>
          <w:b/>
          <w:bCs/>
          <w:i/>
          <w:sz w:val="24"/>
          <w:szCs w:val="24"/>
        </w:rPr>
        <w:t xml:space="preserve">Plate </w:t>
      </w:r>
      <w:r w:rsidR="00D37EB8" w:rsidRPr="00505E37">
        <w:rPr>
          <w:rFonts w:ascii="Times New Roman" w:hAnsi="Times New Roman"/>
          <w:b/>
          <w:bCs/>
          <w:i/>
          <w:sz w:val="24"/>
          <w:szCs w:val="24"/>
        </w:rPr>
        <w:t xml:space="preserve">3a - e: Revealed the Photomicrograph of the kidneys of </w:t>
      </w:r>
      <w:r w:rsidR="005D5A4B" w:rsidRPr="00505E37">
        <w:rPr>
          <w:rFonts w:ascii="Times New Roman" w:hAnsi="Times New Roman"/>
          <w:b/>
          <w:bCs/>
          <w:i/>
          <w:sz w:val="24"/>
          <w:szCs w:val="24"/>
        </w:rPr>
        <w:t>C. gariepinus</w:t>
      </w:r>
      <w:r w:rsidR="00D37EB8" w:rsidRPr="00505E37">
        <w:rPr>
          <w:rFonts w:ascii="Times New Roman" w:hAnsi="Times New Roman"/>
          <w:b/>
          <w:bCs/>
          <w:i/>
          <w:sz w:val="24"/>
          <w:szCs w:val="24"/>
        </w:rPr>
        <w:t xml:space="preserve"> on exposure to varying concentrations of DEP.</w:t>
      </w:r>
    </w:p>
    <w:p w14:paraId="7D0046ED" w14:textId="77777777" w:rsidR="00505E37" w:rsidRDefault="00505E37" w:rsidP="004B4B12">
      <w:pPr>
        <w:spacing w:after="0" w:line="360" w:lineRule="auto"/>
        <w:jc w:val="both"/>
        <w:rPr>
          <w:rFonts w:ascii="Times New Roman" w:eastAsia="sans-serif" w:hAnsi="Times New Roman"/>
          <w:b/>
          <w:bCs/>
          <w:sz w:val="24"/>
          <w:szCs w:val="24"/>
          <w:shd w:val="clear" w:color="auto" w:fill="FFFFFF"/>
        </w:rPr>
      </w:pPr>
    </w:p>
    <w:p w14:paraId="0EADF154" w14:textId="77777777" w:rsidR="00171DE5" w:rsidRPr="00EA1824" w:rsidRDefault="00C263DE" w:rsidP="004B4B12">
      <w:pPr>
        <w:spacing w:after="0" w:line="360" w:lineRule="auto"/>
        <w:jc w:val="both"/>
        <w:rPr>
          <w:rFonts w:ascii="Times New Roman" w:eastAsia="sans-serif" w:hAnsi="Times New Roman"/>
          <w:b/>
          <w:bCs/>
          <w:sz w:val="24"/>
          <w:szCs w:val="24"/>
          <w:shd w:val="clear" w:color="auto" w:fill="FFFFFF"/>
        </w:rPr>
      </w:pPr>
      <w:r w:rsidRPr="00EA1824">
        <w:rPr>
          <w:rFonts w:ascii="Times New Roman" w:eastAsia="sans-serif" w:hAnsi="Times New Roman"/>
          <w:b/>
          <w:bCs/>
          <w:sz w:val="24"/>
          <w:szCs w:val="24"/>
          <w:shd w:val="clear" w:color="auto" w:fill="FFFFFF"/>
        </w:rPr>
        <w:t>Discussion</w:t>
      </w:r>
    </w:p>
    <w:p w14:paraId="420FE77A" w14:textId="77777777" w:rsidR="008752AD" w:rsidRPr="008752AD" w:rsidRDefault="008752AD" w:rsidP="00F72BDF">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lastRenderedPageBreak/>
        <w:t>Diethyl phthalate is a man-made, colourless liquid with a slight aromatic odour and a bitter, disagreeable taste. Diethyl phthalate (DEP) is widely used in many commercially available products, including plastics and personal care products. DEP has generally not been found to share the antiandrogenic mode of action that is common among other types of phthalates, but there is emerging evidence that DEP may be associated with other types of health effects.</w:t>
      </w:r>
    </w:p>
    <w:p w14:paraId="7730037E"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Behavioural Responses</w:t>
      </w:r>
    </w:p>
    <w:p w14:paraId="0802E041" w14:textId="77777777" w:rsidR="001154AA"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Behavioural response is a change in the activity of an organism in response to a stimulus due to changing environmental conditions. Responses to stress are evoked from underlying complex physiological changes that arise consequently from stress (Lovejoy and </w:t>
      </w:r>
      <w:proofErr w:type="spellStart"/>
      <w:r w:rsidRPr="008752AD">
        <w:rPr>
          <w:rFonts w:ascii="Times New Roman" w:eastAsia="Times New Roman" w:hAnsi="Times New Roman"/>
          <w:sz w:val="24"/>
          <w:szCs w:val="24"/>
          <w:lang w:val="en-GB" w:eastAsia="en-GB"/>
        </w:rPr>
        <w:t>Barsyte</w:t>
      </w:r>
      <w:proofErr w:type="spellEnd"/>
      <w:r w:rsidRPr="008752AD">
        <w:rPr>
          <w:rFonts w:ascii="Times New Roman" w:eastAsia="Times New Roman" w:hAnsi="Times New Roman"/>
          <w:sz w:val="24"/>
          <w:szCs w:val="24"/>
          <w:lang w:val="en-GB" w:eastAsia="en-GB"/>
        </w:rPr>
        <w:t xml:space="preserve">, 2011). In this study, the behaviour of the control fish appeared normal in both the lethal and sub-lethal tests, and this observation conforms with that of Salim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(2021), who also reported normal behaviours in the juvenile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i/>
          <w:iCs/>
          <w:sz w:val="24"/>
          <w:szCs w:val="24"/>
          <w:lang w:val="en-GB" w:eastAsia="en-GB"/>
        </w:rPr>
        <w:t xml:space="preserve"> </w:t>
      </w:r>
      <w:r w:rsidRPr="008752AD">
        <w:rPr>
          <w:rFonts w:ascii="Times New Roman" w:eastAsia="Times New Roman" w:hAnsi="Times New Roman"/>
          <w:sz w:val="24"/>
          <w:szCs w:val="24"/>
          <w:lang w:val="en-GB" w:eastAsia="en-GB"/>
        </w:rPr>
        <w:t xml:space="preserve">on exposure to toxicant. </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 lack of balance, agitated or erratic swimming, air gulping, restlessness, sudden quick movement, and rapid opercula movement seen in this study also aligns with the findings of Ogundiran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 (</w:t>
      </w:r>
      <w:r w:rsidRPr="008752AD">
        <w:rPr>
          <w:rFonts w:ascii="Times New Roman" w:eastAsia="Times New Roman" w:hAnsi="Times New Roman"/>
          <w:sz w:val="24"/>
          <w:szCs w:val="24"/>
          <w:lang w:val="en-GB" w:eastAsia="en-GB"/>
        </w:rPr>
        <w:t xml:space="preserve">2012) and </w:t>
      </w:r>
      <w:proofErr w:type="spellStart"/>
      <w:r w:rsidRPr="008752AD">
        <w:rPr>
          <w:rFonts w:ascii="Times New Roman" w:eastAsia="Times New Roman" w:hAnsi="Times New Roman"/>
          <w:sz w:val="24"/>
          <w:szCs w:val="24"/>
          <w:lang w:val="en-GB" w:eastAsia="en-GB"/>
        </w:rPr>
        <w:t>Ikele</w:t>
      </w:r>
      <w:proofErr w:type="spellEnd"/>
      <w:r w:rsidRPr="008752AD">
        <w:rPr>
          <w:rFonts w:ascii="Times New Roman" w:eastAsia="Times New Roman" w:hAnsi="Times New Roman"/>
          <w:i/>
          <w:iCs/>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(2011) </w:t>
      </w:r>
      <w:r w:rsidRPr="008752AD">
        <w:rPr>
          <w:rFonts w:ascii="Times New Roman" w:eastAsia="Times New Roman" w:hAnsi="Times New Roman"/>
          <w:i/>
          <w:iCs/>
          <w:sz w:val="24"/>
          <w:szCs w:val="24"/>
          <w:lang w:val="en-GB" w:eastAsia="en-GB"/>
        </w:rPr>
        <w:t>on</w:t>
      </w:r>
      <w:r w:rsidRPr="008752AD">
        <w:rPr>
          <w:rFonts w:ascii="Times New Roman" w:eastAsia="Times New Roman" w:hAnsi="Times New Roman"/>
          <w:sz w:val="24"/>
          <w:szCs w:val="24"/>
          <w:lang w:val="en-GB" w:eastAsia="en-GB"/>
        </w:rPr>
        <w:t xml:space="preserve"> the effects of detergent effluents and diethyl phthalate on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juveniles, respectively. The rapid opercula movement, erratic swimming, and loss of balance observed in this study suggested possible nervous disorder in response to changing conditions of environmental media; this coincides with the report of </w:t>
      </w:r>
      <w:proofErr w:type="spellStart"/>
      <w:r w:rsidRPr="008752AD">
        <w:rPr>
          <w:rFonts w:ascii="Times New Roman" w:eastAsia="Times New Roman" w:hAnsi="Times New Roman"/>
          <w:sz w:val="24"/>
          <w:szCs w:val="24"/>
          <w:lang w:val="en-GB" w:eastAsia="en-GB"/>
        </w:rPr>
        <w:t>Ikele</w:t>
      </w:r>
      <w:proofErr w:type="spellEnd"/>
      <w:r w:rsidRPr="008752AD">
        <w:rPr>
          <w:rFonts w:ascii="Times New Roman" w:eastAsia="Times New Roman" w:hAnsi="Times New Roman"/>
          <w:i/>
          <w:iCs/>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(2011).</w:t>
      </w:r>
    </w:p>
    <w:p w14:paraId="7161CB3E" w14:textId="77777777"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Fish held within the higher concentrations attempted jumping out of the aquaria due to rapid opercula movement and incessant gulping of air, which became obvious throughout the exposure period. The agitated behaviours were attempts to escape from the toxic aquatic environment. Similar signs were reported in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exposed to the aqueous extract of </w:t>
      </w:r>
      <w:r w:rsidRPr="008752AD">
        <w:rPr>
          <w:rFonts w:ascii="Times New Roman" w:eastAsia="Times New Roman" w:hAnsi="Times New Roman"/>
          <w:i/>
          <w:iCs/>
          <w:sz w:val="24"/>
          <w:szCs w:val="24"/>
          <w:lang w:val="en-GB" w:eastAsia="en-GB"/>
        </w:rPr>
        <w:t>Carica papaya</w:t>
      </w:r>
      <w:r w:rsidRPr="008752AD">
        <w:rPr>
          <w:rFonts w:ascii="Times New Roman" w:eastAsia="Times New Roman" w:hAnsi="Times New Roman"/>
          <w:sz w:val="24"/>
          <w:szCs w:val="24"/>
          <w:lang w:val="en-GB" w:eastAsia="en-GB"/>
        </w:rPr>
        <w:t xml:space="preserve"> seed powder (Ayotunde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2011) and in pharmaceutical effluent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t>Ayandiran</w:t>
      </w:r>
      <w:proofErr w:type="spellEnd"/>
      <w:r w:rsidRPr="008752AD">
        <w:rPr>
          <w:rFonts w:ascii="Times New Roman" w:eastAsia="Times New Roman" w:hAnsi="Times New Roman"/>
          <w:sz w:val="24"/>
          <w:szCs w:val="24"/>
          <w:lang w:val="en-GB" w:eastAsia="en-GB"/>
        </w:rPr>
        <w:t xml:space="preserve">, 2022). The behavioural changes are directly related to complex physiological responses and have often been used as a sensitive indicator of stress (Shalaby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 xml:space="preserve">., </w:t>
      </w:r>
      <w:r w:rsidRPr="008752AD">
        <w:rPr>
          <w:rFonts w:ascii="Times New Roman" w:eastAsia="Times New Roman" w:hAnsi="Times New Roman"/>
          <w:sz w:val="24"/>
          <w:szCs w:val="24"/>
          <w:lang w:val="en-GB" w:eastAsia="en-GB"/>
        </w:rPr>
        <w:t xml:space="preserve">2006, and </w:t>
      </w:r>
      <w:proofErr w:type="spellStart"/>
      <w:r w:rsidRPr="008752AD">
        <w:rPr>
          <w:rFonts w:ascii="Times New Roman" w:eastAsia="Times New Roman" w:hAnsi="Times New Roman"/>
          <w:sz w:val="24"/>
          <w:szCs w:val="24"/>
          <w:lang w:val="en-GB" w:eastAsia="en-GB"/>
        </w:rPr>
        <w:t>Shallangwa</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t>Auta</w:t>
      </w:r>
      <w:proofErr w:type="spellEnd"/>
      <w:r w:rsidRPr="008752AD">
        <w:rPr>
          <w:rFonts w:ascii="Times New Roman" w:eastAsia="Times New Roman" w:hAnsi="Times New Roman"/>
          <w:sz w:val="24"/>
          <w:szCs w:val="24"/>
          <w:lang w:val="en-GB" w:eastAsia="en-GB"/>
        </w:rPr>
        <w:t xml:space="preserve">, 2008). These behavioural changes may be due to nervous impairment due to blockage of nervous transmission among the system and various effector sites; this agrees with the findings of </w:t>
      </w:r>
      <w:proofErr w:type="spellStart"/>
      <w:r w:rsidRPr="008752AD">
        <w:rPr>
          <w:rFonts w:ascii="Times New Roman" w:eastAsia="Times New Roman" w:hAnsi="Times New Roman"/>
          <w:sz w:val="24"/>
          <w:szCs w:val="24"/>
          <w:lang w:val="en-GB" w:eastAsia="en-GB"/>
        </w:rPr>
        <w:t>Aguigwo</w:t>
      </w:r>
      <w:proofErr w:type="spellEnd"/>
      <w:r w:rsidRPr="008752AD">
        <w:rPr>
          <w:rFonts w:ascii="Times New Roman" w:eastAsia="Times New Roman" w:hAnsi="Times New Roman"/>
          <w:sz w:val="24"/>
          <w:szCs w:val="24"/>
          <w:lang w:val="en-GB" w:eastAsia="en-GB"/>
        </w:rPr>
        <w:t xml:space="preserve"> (2002) and </w:t>
      </w:r>
      <w:proofErr w:type="spellStart"/>
      <w:r w:rsidRPr="008752AD">
        <w:rPr>
          <w:rFonts w:ascii="Times New Roman" w:eastAsia="Times New Roman" w:hAnsi="Times New Roman"/>
          <w:sz w:val="24"/>
          <w:szCs w:val="24"/>
          <w:lang w:val="en-GB" w:eastAsia="en-GB"/>
        </w:rPr>
        <w:t>Ogundiran</w:t>
      </w:r>
      <w:proofErr w:type="spellEnd"/>
      <w:r w:rsidRPr="008752AD">
        <w:rPr>
          <w:rFonts w:ascii="Times New Roman" w:eastAsia="Times New Roman" w:hAnsi="Times New Roman"/>
          <w:sz w:val="24"/>
          <w:szCs w:val="24"/>
          <w:lang w:val="en-GB" w:eastAsia="en-GB"/>
        </w:rPr>
        <w:t xml:space="preserve"> and </w:t>
      </w:r>
      <w:proofErr w:type="spellStart"/>
      <w:r w:rsidRPr="008752AD">
        <w:rPr>
          <w:rFonts w:ascii="Times New Roman" w:eastAsia="Times New Roman" w:hAnsi="Times New Roman"/>
          <w:sz w:val="24"/>
          <w:szCs w:val="24"/>
          <w:lang w:val="en-GB" w:eastAsia="en-GB"/>
        </w:rPr>
        <w:t>Ayandiran</w:t>
      </w:r>
      <w:proofErr w:type="spellEnd"/>
      <w:r w:rsidRPr="008752AD">
        <w:rPr>
          <w:rFonts w:ascii="Times New Roman" w:eastAsia="Times New Roman" w:hAnsi="Times New Roman"/>
          <w:sz w:val="24"/>
          <w:szCs w:val="24"/>
          <w:lang w:val="en-GB" w:eastAsia="en-GB"/>
        </w:rPr>
        <w:t xml:space="preserve"> (2022). Moreover, reports were made by Al-Snafi (2016) that hyperactivity of fish on introduction to an unfavourable environment was the primary and principal sign of system failure due to chemical poisoning, which affected physiological activities. At higher concentrations, the behavioural activities of the organism are </w:t>
      </w:r>
      <w:r w:rsidRPr="008752AD">
        <w:rPr>
          <w:rFonts w:ascii="Times New Roman" w:eastAsia="Times New Roman" w:hAnsi="Times New Roman"/>
          <w:sz w:val="24"/>
          <w:szCs w:val="24"/>
          <w:lang w:val="en-GB" w:eastAsia="en-GB"/>
        </w:rPr>
        <w:lastRenderedPageBreak/>
        <w:t>disrupted.</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 irregular, erratic, and darting movements coupled with the observed loss of balance and the adoption of different postures by the exposed fish might be due to the stress caused by the DEP. Similar signs were reported in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exposed to the aqueous extract of </w:t>
      </w:r>
      <w:r w:rsidRPr="008752AD">
        <w:rPr>
          <w:rFonts w:ascii="Times New Roman" w:eastAsia="Times New Roman" w:hAnsi="Times New Roman"/>
          <w:i/>
          <w:iCs/>
          <w:sz w:val="24"/>
          <w:szCs w:val="24"/>
          <w:lang w:val="en-GB" w:eastAsia="en-GB"/>
        </w:rPr>
        <w:t xml:space="preserve">Nicotiana </w:t>
      </w:r>
      <w:proofErr w:type="spellStart"/>
      <w:r w:rsidRPr="008752AD">
        <w:rPr>
          <w:rFonts w:ascii="Times New Roman" w:eastAsia="Times New Roman" w:hAnsi="Times New Roman"/>
          <w:i/>
          <w:iCs/>
          <w:sz w:val="24"/>
          <w:szCs w:val="24"/>
          <w:lang w:val="en-GB" w:eastAsia="en-GB"/>
        </w:rPr>
        <w:t>tobaccum</w:t>
      </w:r>
      <w:proofErr w:type="spellEnd"/>
      <w:r w:rsidRPr="008752AD">
        <w:rPr>
          <w:rFonts w:ascii="Times New Roman" w:eastAsia="Times New Roman" w:hAnsi="Times New Roman"/>
          <w:sz w:val="24"/>
          <w:szCs w:val="24"/>
          <w:lang w:val="en-GB" w:eastAsia="en-GB"/>
        </w:rPr>
        <w:t xml:space="preserve"> leaf dust by Kori-Siakpere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(2011). The marked deviation in the rate of behavioural changes from reference (control) suggests an adjustment in physical fitness as a result of the stress condition; this is as reported by Gabriel and Okey (2009).</w:t>
      </w:r>
    </w:p>
    <w:p w14:paraId="4FBEFB1D"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Acute Toxicity Study</w:t>
      </w:r>
    </w:p>
    <w:p w14:paraId="6CB46F75" w14:textId="77777777"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Acute toxicity refers to those adverse effects occurring following oral or dermal administration of a single dose of a substance, or multiple doses given within 24 hours, or an inhalation exposure of 4 hours (Gupta, 2018). In this study, the percentage mortality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increased with an increase in the concentration of DEP over exposure periods of 24, 48, 72, and 96 hours. This was found to be concentration-dependent, which is in consonance with a similar study by Nivedita </w:t>
      </w:r>
      <w:r w:rsidR="005D5A4B" w:rsidRPr="005D5A4B">
        <w:rPr>
          <w:rFonts w:ascii="Times New Roman" w:eastAsia="Times New Roman" w:hAnsi="Times New Roman"/>
          <w:i/>
          <w:sz w:val="24"/>
          <w:szCs w:val="24"/>
          <w:lang w:val="en-GB" w:eastAsia="en-GB"/>
        </w:rPr>
        <w:t>et al</w:t>
      </w:r>
      <w:r w:rsidRPr="008752AD">
        <w:rPr>
          <w:rFonts w:ascii="Times New Roman" w:eastAsia="Times New Roman" w:hAnsi="Times New Roman"/>
          <w:sz w:val="24"/>
          <w:szCs w:val="24"/>
          <w:lang w:val="en-GB" w:eastAsia="en-GB"/>
        </w:rPr>
        <w:t xml:space="preserve">. (2002) on the toxic effect of DEP on a freshwater fish. Results obtained from this study also showed that the mortality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increased with increased concentration of DEP. Ayoola (2008) reported that the level of toxicity of any toxicant depends on its bioaccumulation trends and potential of the exposed organism. The mortality recorded in the study might be a consequence of stress induced by DEP on the immune system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which probably slowed toxic progress and resulted in acute toxic response.</w:t>
      </w:r>
      <w:r w:rsidR="001154AA">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Since DEP binds to the sediment and remains in the water column, it is possible that it could pose a serious threat to fish and other aquatic life; these observations are in agreement with earlier reports by </w:t>
      </w:r>
      <w:proofErr w:type="spellStart"/>
      <w:r w:rsidRPr="008752AD">
        <w:rPr>
          <w:rFonts w:ascii="Times New Roman" w:eastAsia="Times New Roman" w:hAnsi="Times New Roman"/>
          <w:sz w:val="24"/>
          <w:szCs w:val="24"/>
          <w:lang w:val="en-GB" w:eastAsia="en-GB"/>
        </w:rPr>
        <w:t>Okoli-Anunobi</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(2002) on the lethal effects of the detergent effluent (Elephant blue) on the Nile tilapia. As the acute toxicity duration increases, it could alter the cellular and biochemical processes in fish due to possible changes in enzymatic, haematological, histopathological, physiological, and metabolic processes due to hassle and stress.</w:t>
      </w:r>
    </w:p>
    <w:p w14:paraId="6124D93B"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Probit Estimate</w:t>
      </w:r>
    </w:p>
    <w:p w14:paraId="5DAEA4D8" w14:textId="3CE5AABF"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Probit analysis is a specialised form of regression analysis that is applied to binomial response variables, i.e., variables with only one or two possible outcomes (positive/negative). The procedure transforms a concentration-response curve to a straight line that can then be analysed by either least squares or maximum likelihood regression. The study reveals critical insights into the acute and chronic toxicity of DEP on juvenile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Figures 1, 2, and 3 demonstrated probit responses for varying DEP concentrations, suggesting a dose-dependent increase in </w:t>
      </w:r>
      <w:r w:rsidRPr="008752AD">
        <w:rPr>
          <w:rFonts w:ascii="Times New Roman" w:eastAsia="Times New Roman" w:hAnsi="Times New Roman"/>
          <w:sz w:val="24"/>
          <w:szCs w:val="24"/>
          <w:lang w:val="en-GB" w:eastAsia="en-GB"/>
        </w:rPr>
        <w:lastRenderedPageBreak/>
        <w:t>mortality. Specifically, the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for DEP at 24 hours is calculated as 1.803 </w:t>
      </w:r>
      <w:proofErr w:type="spellStart"/>
      <w:r w:rsidRPr="008752AD">
        <w:rPr>
          <w:rFonts w:ascii="Times New Roman" w:eastAsia="Times New Roman" w:hAnsi="Times New Roman"/>
          <w:sz w:val="24"/>
          <w:szCs w:val="24"/>
          <w:lang w:val="en-GB" w:eastAsia="en-GB"/>
        </w:rPr>
        <w:t>μL</w:t>
      </w:r>
      <w:proofErr w:type="spellEnd"/>
      <w:r w:rsidRPr="008752AD">
        <w:rPr>
          <w:rFonts w:ascii="Times New Roman" w:eastAsia="Times New Roman" w:hAnsi="Times New Roman"/>
          <w:sz w:val="24"/>
          <w:szCs w:val="24"/>
          <w:lang w:val="en-GB" w:eastAsia="en-GB"/>
        </w:rPr>
        <w:t>/L (Figure 1), and this concentration remains consistent at the 96-hour mark (Figure 2). The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estimate at the chronic level slightly increases to 2.181 </w:t>
      </w:r>
      <w:proofErr w:type="spellStart"/>
      <w:r w:rsidRPr="008752AD">
        <w:rPr>
          <w:rFonts w:ascii="Times New Roman" w:eastAsia="Times New Roman" w:hAnsi="Times New Roman"/>
          <w:sz w:val="24"/>
          <w:szCs w:val="24"/>
          <w:lang w:val="en-GB" w:eastAsia="en-GB"/>
        </w:rPr>
        <w:t>μL</w:t>
      </w:r>
      <w:proofErr w:type="spellEnd"/>
      <w:r w:rsidRPr="008752AD">
        <w:rPr>
          <w:rFonts w:ascii="Times New Roman" w:eastAsia="Times New Roman" w:hAnsi="Times New Roman"/>
          <w:sz w:val="24"/>
          <w:szCs w:val="24"/>
          <w:lang w:val="en-GB" w:eastAsia="en-GB"/>
        </w:rPr>
        <w:t>/L (Figure 3), indicating a gradual tolerance adjustment over time. The high r² values of 90.86% at 24 hours and 95.85% at 96 hours confirm the model's reliability, demonstrating an adequate fit of the toxicity data to a log-probit model.</w:t>
      </w:r>
    </w:p>
    <w:p w14:paraId="0FF6C857" w14:textId="77777777"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The toxicity levels identified here align with findings from other studies on aquatic toxicity. For instance, </w:t>
      </w:r>
      <w:r w:rsidRPr="008752AD">
        <w:rPr>
          <w:rFonts w:ascii="Times New Roman" w:eastAsia="Times New Roman" w:hAnsi="Times New Roman"/>
          <w:i/>
          <w:iCs/>
          <w:sz w:val="24"/>
          <w:szCs w:val="24"/>
          <w:lang w:val="en-GB" w:eastAsia="en-GB"/>
        </w:rPr>
        <w:t>Tilapia nilotica</w:t>
      </w:r>
      <w:r w:rsidRPr="008752AD">
        <w:rPr>
          <w:rFonts w:ascii="Times New Roman" w:eastAsia="Times New Roman" w:hAnsi="Times New Roman"/>
          <w:sz w:val="24"/>
          <w:szCs w:val="24"/>
          <w:lang w:val="en-GB" w:eastAsia="en-GB"/>
        </w:rPr>
        <w:t xml:space="preserve"> exposed to DEP reported a similar time-dependent increase in tolerance (Wang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2022), aligning with the increase in LC</w:t>
      </w:r>
      <w:r w:rsidRPr="008752AD">
        <w:rPr>
          <w:rFonts w:ascii="Times New Roman" w:eastAsia="Times New Roman" w:hAnsi="Times New Roman"/>
          <w:sz w:val="24"/>
          <w:szCs w:val="24"/>
          <w:vertAlign w:val="subscript"/>
          <w:lang w:val="en-GB" w:eastAsia="en-GB"/>
        </w:rPr>
        <w:t xml:space="preserve">50 </w:t>
      </w:r>
      <w:r w:rsidRPr="008752AD">
        <w:rPr>
          <w:rFonts w:ascii="Times New Roman" w:eastAsia="Times New Roman" w:hAnsi="Times New Roman"/>
          <w:sz w:val="24"/>
          <w:szCs w:val="24"/>
          <w:lang w:val="en-GB" w:eastAsia="en-GB"/>
        </w:rPr>
        <w:t xml:space="preserve">over an extended exposure period. Moreover, studies on mercury chloride have also shown comparable acute toxicity values in fish species, emphasising that both DEP and mercury compounds disrupt vital metabolic and physiological functions in fish at similar concentration ranges (Ansari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2021). However, mercury chloride often presents higher toxicity across shorter exposure durations due to its metal accumulation in tissues, a finding supported by Guerrero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(2020).</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Comparing the toxicity responses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to DEP suggests that while DEP's lethal concentrations are relatively low, this could exert more severe toxicological effects, with LC</w:t>
      </w:r>
      <w:r w:rsidRPr="008752AD">
        <w:rPr>
          <w:rFonts w:ascii="Times New Roman" w:eastAsia="Times New Roman" w:hAnsi="Times New Roman"/>
          <w:sz w:val="24"/>
          <w:szCs w:val="24"/>
          <w:vertAlign w:val="subscript"/>
          <w:lang w:val="en-GB" w:eastAsia="en-GB"/>
        </w:rPr>
        <w:t>50</w:t>
      </w:r>
      <w:r w:rsidRPr="008752AD">
        <w:rPr>
          <w:rFonts w:ascii="Times New Roman" w:eastAsia="Times New Roman" w:hAnsi="Times New Roman"/>
          <w:sz w:val="24"/>
          <w:szCs w:val="24"/>
          <w:lang w:val="en-GB" w:eastAsia="en-GB"/>
        </w:rPr>
        <w:t xml:space="preserve"> values often recorded at lower concentrations. This aligns with findings from Mollah and Bardach (2021), who noted that organophosphates like DEP tend to require higher concentrations to reach median lethal toxicity compared to heavy metals, as they primarily impact membrane functions over time. Also, </w:t>
      </w:r>
      <w:r w:rsidR="005D5A4B" w:rsidRPr="005D5A4B">
        <w:rPr>
          <w:rFonts w:ascii="Times New Roman" w:eastAsia="Times New Roman" w:hAnsi="Times New Roman"/>
          <w:i/>
          <w:iCs/>
          <w:sz w:val="24"/>
          <w:szCs w:val="24"/>
          <w:lang w:val="en-GB" w:eastAsia="en-GB"/>
        </w:rPr>
        <w:t xml:space="preserve">C. </w:t>
      </w:r>
      <w:proofErr w:type="spellStart"/>
      <w:r w:rsidR="005D5A4B" w:rsidRPr="005D5A4B">
        <w:rPr>
          <w:rFonts w:ascii="Times New Roman" w:eastAsia="Times New Roman" w:hAnsi="Times New Roman"/>
          <w:i/>
          <w:iCs/>
          <w:sz w:val="24"/>
          <w:szCs w:val="24"/>
          <w:lang w:val="en-GB" w:eastAsia="en-GB"/>
        </w:rPr>
        <w:t>gariepinus</w:t>
      </w:r>
      <w:r w:rsidRPr="008752AD">
        <w:rPr>
          <w:rFonts w:ascii="Times New Roman" w:eastAsia="Times New Roman" w:hAnsi="Times New Roman"/>
          <w:sz w:val="24"/>
          <w:szCs w:val="24"/>
          <w:lang w:val="en-GB" w:eastAsia="en-GB"/>
        </w:rPr>
        <w:t>'s</w:t>
      </w:r>
      <w:proofErr w:type="spellEnd"/>
      <w:r w:rsidRPr="008752AD">
        <w:rPr>
          <w:rFonts w:ascii="Times New Roman" w:eastAsia="Times New Roman" w:hAnsi="Times New Roman"/>
          <w:sz w:val="24"/>
          <w:szCs w:val="24"/>
          <w:lang w:val="en-GB" w:eastAsia="en-GB"/>
        </w:rPr>
        <w:t xml:space="preserve"> tolerance observed with DEP over time highlights potential mechanisms of detoxification or biotransformation, which may not be as effective against heavy metals like mercury (Rahman and Hossain, 2021). </w:t>
      </w:r>
    </w:p>
    <w:p w14:paraId="09706B3B" w14:textId="77777777" w:rsidR="008752AD" w:rsidRPr="008752AD"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Other studies have documented similar toxic effects of various pollutants on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For instance, </w:t>
      </w:r>
      <w:proofErr w:type="spellStart"/>
      <w:r w:rsidRPr="008752AD">
        <w:rPr>
          <w:rFonts w:ascii="Times New Roman" w:eastAsia="Times New Roman" w:hAnsi="Times New Roman"/>
          <w:sz w:val="24"/>
          <w:szCs w:val="24"/>
          <w:lang w:val="en-GB" w:eastAsia="en-GB"/>
        </w:rPr>
        <w:t>Opute</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(2022) examined the impacts of atrazine on post-embryonic development and found that increasing concentrations led to significant mortality and growth retardation in juveniles, aligning with the observed effects of DEP on survival rates (</w:t>
      </w:r>
      <w:proofErr w:type="spellStart"/>
      <w:r w:rsidRPr="008752AD">
        <w:rPr>
          <w:rFonts w:ascii="Times New Roman" w:eastAsia="Times New Roman" w:hAnsi="Times New Roman"/>
          <w:sz w:val="24"/>
          <w:szCs w:val="24"/>
          <w:lang w:val="en-GB" w:eastAsia="en-GB"/>
        </w:rPr>
        <w:t>Opute</w:t>
      </w:r>
      <w:proofErr w:type="spellEnd"/>
      <w:r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2022). The r² values in this study demonstrate a well-modelled toxicological response in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to DEP, underlining the model's predictive power for acute and chronic toxicities. This model can be a valuable tool for predicting DEP’s ecological impact, especially when coupled with multi-species assessments, further supporting the notion that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serves as an effective bioindicator for assessing the aquatic toxicity of both organic and inorganic pollutants.</w:t>
      </w:r>
    </w:p>
    <w:p w14:paraId="38CE5DB2" w14:textId="77777777" w:rsidR="008752AD" w:rsidRPr="008752AD"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Haematological Response</w:t>
      </w:r>
    </w:p>
    <w:p w14:paraId="5FED5665" w14:textId="77777777" w:rsidR="005D5A4B" w:rsidRDefault="00317058" w:rsidP="00CC0327">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lastRenderedPageBreak/>
        <w:t xml:space="preserve">Diethyl </w:t>
      </w:r>
      <w:r w:rsidR="008752AD" w:rsidRPr="008752AD">
        <w:rPr>
          <w:rFonts w:ascii="Times New Roman" w:eastAsia="Times New Roman" w:hAnsi="Times New Roman"/>
          <w:sz w:val="24"/>
          <w:szCs w:val="24"/>
          <w:lang w:val="en-GB" w:eastAsia="en-GB"/>
        </w:rPr>
        <w:t xml:space="preserve">phthalate (DEP) exposure at varying concentrations resulted in significant alterations to some haematological parameters in </w:t>
      </w:r>
      <w:r w:rsidR="008752AD" w:rsidRPr="008752AD">
        <w:rPr>
          <w:rFonts w:ascii="Times New Roman" w:eastAsia="Times New Roman" w:hAnsi="Times New Roman"/>
          <w:i/>
          <w:iCs/>
          <w:sz w:val="24"/>
          <w:szCs w:val="24"/>
          <w:lang w:val="en-GB" w:eastAsia="en-GB"/>
        </w:rPr>
        <w:t>Clarias gariepinus</w:t>
      </w:r>
      <w:r w:rsidR="008752AD" w:rsidRPr="008752AD">
        <w:rPr>
          <w:rFonts w:ascii="Times New Roman" w:eastAsia="Times New Roman" w:hAnsi="Times New Roman"/>
          <w:sz w:val="24"/>
          <w:szCs w:val="24"/>
          <w:lang w:val="en-GB" w:eastAsia="en-GB"/>
        </w:rPr>
        <w:t>, though the effects were not uni</w:t>
      </w:r>
      <w:r>
        <w:rPr>
          <w:rFonts w:ascii="Times New Roman" w:eastAsia="Times New Roman" w:hAnsi="Times New Roman"/>
          <w:sz w:val="24"/>
          <w:szCs w:val="24"/>
          <w:lang w:val="en-GB" w:eastAsia="en-GB"/>
        </w:rPr>
        <w:t xml:space="preserve">versally significant across the </w:t>
      </w:r>
      <w:r w:rsidR="008752AD" w:rsidRPr="008752AD">
        <w:rPr>
          <w:rFonts w:ascii="Times New Roman" w:eastAsia="Times New Roman" w:hAnsi="Times New Roman"/>
          <w:sz w:val="24"/>
          <w:szCs w:val="24"/>
          <w:lang w:val="en-GB" w:eastAsia="en-GB"/>
        </w:rPr>
        <w:t>metrics. Notably, while most parameters showed no statistically significant variations, mean corpuscular haemoglobin concentration (MCHC) and platelet count (PLT) displayed notable changes across treatment groups, with P-values of 0.037 and 0.000, respectively.</w:t>
      </w:r>
      <w:r w:rsidR="00CC0327">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 xml:space="preserve">These findings are consistent with other studies on phthalates and their impact on haematological parameters in fish species. For example, </w:t>
      </w:r>
      <w:proofErr w:type="spellStart"/>
      <w:r w:rsidR="008752AD" w:rsidRPr="008752AD">
        <w:rPr>
          <w:rFonts w:ascii="Times New Roman" w:eastAsia="Times New Roman" w:hAnsi="Times New Roman"/>
          <w:sz w:val="24"/>
          <w:szCs w:val="24"/>
          <w:lang w:val="en-GB" w:eastAsia="en-GB"/>
        </w:rPr>
        <w:t>Umamaheswari</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(2013</w:t>
      </w:r>
      <w:r>
        <w:rPr>
          <w:rFonts w:ascii="Times New Roman" w:eastAsia="Times New Roman" w:hAnsi="Times New Roman"/>
          <w:sz w:val="24"/>
          <w:szCs w:val="24"/>
          <w:lang w:val="en-GB" w:eastAsia="en-GB"/>
        </w:rPr>
        <w:t>) reported significant increase</w:t>
      </w:r>
      <w:r w:rsidR="008752AD" w:rsidRPr="008752AD">
        <w:rPr>
          <w:rFonts w:ascii="Times New Roman" w:eastAsia="Times New Roman" w:hAnsi="Times New Roman"/>
          <w:sz w:val="24"/>
          <w:szCs w:val="24"/>
          <w:lang w:val="en-GB" w:eastAsia="en-GB"/>
        </w:rPr>
        <w:t xml:space="preserve"> in WBC and RBC counts in </w:t>
      </w:r>
      <w:r w:rsidR="008752AD" w:rsidRPr="008752AD">
        <w:rPr>
          <w:rFonts w:ascii="Times New Roman" w:eastAsia="Times New Roman" w:hAnsi="Times New Roman"/>
          <w:i/>
          <w:iCs/>
          <w:sz w:val="24"/>
          <w:szCs w:val="24"/>
          <w:lang w:val="en-GB" w:eastAsia="en-GB"/>
        </w:rPr>
        <w:t>Oreochromis</w:t>
      </w:r>
      <w:r w:rsidR="008752AD" w:rsidRPr="008752AD">
        <w:rPr>
          <w:rFonts w:ascii="Times New Roman" w:eastAsia="Times New Roman" w:hAnsi="Times New Roman"/>
          <w:sz w:val="24"/>
          <w:szCs w:val="24"/>
          <w:lang w:val="en-GB" w:eastAsia="en-GB"/>
        </w:rPr>
        <w:t xml:space="preserve"> </w:t>
      </w:r>
      <w:proofErr w:type="spellStart"/>
      <w:r w:rsidR="008752AD" w:rsidRPr="008752AD">
        <w:rPr>
          <w:rFonts w:ascii="Times New Roman" w:eastAsia="Times New Roman" w:hAnsi="Times New Roman"/>
          <w:i/>
          <w:iCs/>
          <w:sz w:val="24"/>
          <w:szCs w:val="24"/>
          <w:lang w:val="en-GB" w:eastAsia="en-GB"/>
        </w:rPr>
        <w:t>mossambicus</w:t>
      </w:r>
      <w:proofErr w:type="spellEnd"/>
      <w:r w:rsidR="008752AD" w:rsidRPr="008752AD">
        <w:rPr>
          <w:rFonts w:ascii="Times New Roman" w:eastAsia="Times New Roman" w:hAnsi="Times New Roman"/>
          <w:sz w:val="24"/>
          <w:szCs w:val="24"/>
          <w:lang w:val="en-GB" w:eastAsia="en-GB"/>
        </w:rPr>
        <w:t xml:space="preserve"> exposed to sub-lethal concentrations of DEP, suggesting that haematological parameters can serve as sensitive indicators for evaluating phthalate toxicity (</w:t>
      </w:r>
      <w:proofErr w:type="spellStart"/>
      <w:r w:rsidR="008752AD" w:rsidRPr="008752AD">
        <w:rPr>
          <w:rFonts w:ascii="Times New Roman" w:eastAsia="Times New Roman" w:hAnsi="Times New Roman"/>
          <w:sz w:val="24"/>
          <w:szCs w:val="24"/>
          <w:lang w:val="en-GB" w:eastAsia="en-GB"/>
        </w:rPr>
        <w:t>Umamaheswari</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2013). In contrast, studies by Nwani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(2013) on </w:t>
      </w:r>
      <w:r w:rsidR="005D5A4B" w:rsidRPr="005D5A4B">
        <w:rPr>
          <w:rFonts w:ascii="Times New Roman" w:eastAsia="Times New Roman" w:hAnsi="Times New Roman"/>
          <w:i/>
          <w:iCs/>
          <w:sz w:val="24"/>
          <w:szCs w:val="24"/>
          <w:lang w:val="en-GB" w:eastAsia="en-GB"/>
        </w:rPr>
        <w:t>C. gariepinus</w:t>
      </w:r>
      <w:r w:rsidR="008752AD" w:rsidRPr="008752AD">
        <w:rPr>
          <w:rFonts w:ascii="Times New Roman" w:eastAsia="Times New Roman" w:hAnsi="Times New Roman"/>
          <w:sz w:val="24"/>
          <w:szCs w:val="24"/>
          <w:lang w:val="en-GB" w:eastAsia="en-GB"/>
        </w:rPr>
        <w:t xml:space="preserve"> exposed to heavy metals indicated marked decreases in RBC and HGB levels over time, highlighting the differing responses of haematological parameters based on the type of contaminant and exposure duration (Nwani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2013). Additionally, </w:t>
      </w:r>
      <w:proofErr w:type="spellStart"/>
      <w:r w:rsidR="008752AD" w:rsidRPr="008752AD">
        <w:rPr>
          <w:rFonts w:ascii="Times New Roman" w:eastAsia="Times New Roman" w:hAnsi="Times New Roman"/>
          <w:sz w:val="24"/>
          <w:szCs w:val="24"/>
          <w:lang w:val="en-GB" w:eastAsia="en-GB"/>
        </w:rPr>
        <w:t>Opute</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xml:space="preserve">. (2022) </w:t>
      </w:r>
      <w:r>
        <w:rPr>
          <w:rFonts w:ascii="Times New Roman" w:eastAsia="Times New Roman" w:hAnsi="Times New Roman"/>
          <w:sz w:val="24"/>
          <w:szCs w:val="24"/>
          <w:lang w:val="en-GB" w:eastAsia="en-GB"/>
        </w:rPr>
        <w:t xml:space="preserve">documented </w:t>
      </w:r>
      <w:r w:rsidR="008752AD" w:rsidRPr="008752AD">
        <w:rPr>
          <w:rFonts w:ascii="Times New Roman" w:eastAsia="Times New Roman" w:hAnsi="Times New Roman"/>
          <w:sz w:val="24"/>
          <w:szCs w:val="24"/>
          <w:lang w:val="en-GB" w:eastAsia="en-GB"/>
        </w:rPr>
        <w:t>that exposure to various pollutants can lead to alterations in haematological profiles similar to those observed in this study, underscoring the relevance of monitoring these parameters for assessing aquatic health and environmental pollution impacts.</w:t>
      </w:r>
    </w:p>
    <w:p w14:paraId="2F184DA3" w14:textId="77777777"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The increase in MCHC levels, with the highest observed at 47.47±4.51% at 26 µL/L DEP, suggests that DEP exposure could influence haemoglobin concentration within erythrocytes, potentially as a response to environmental stress. Elevated MCHC levels may indicate a compensatory mechanism to maintain oxygen transport under toxicant-induced stress (Shah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2022)</w:t>
      </w:r>
      <w:r w:rsidR="00317058">
        <w:rPr>
          <w:rFonts w:ascii="Times New Roman" w:eastAsia="Times New Roman" w:hAnsi="Times New Roman"/>
          <w:sz w:val="24"/>
          <w:szCs w:val="24"/>
          <w:lang w:val="en-GB" w:eastAsia="en-GB"/>
        </w:rPr>
        <w:t>. This aligns with findings of</w:t>
      </w:r>
      <w:r w:rsidRPr="008752AD">
        <w:rPr>
          <w:rFonts w:ascii="Times New Roman" w:eastAsia="Times New Roman" w:hAnsi="Times New Roman"/>
          <w:sz w:val="24"/>
          <w:szCs w:val="24"/>
          <w:lang w:val="en-GB" w:eastAsia="en-GB"/>
        </w:rPr>
        <w:t xml:space="preserve"> Bassey </w:t>
      </w:r>
      <w:r w:rsidR="005D5A4B" w:rsidRPr="005D5A4B">
        <w:rPr>
          <w:rFonts w:ascii="Times New Roman" w:eastAsia="Times New Roman" w:hAnsi="Times New Roman"/>
          <w:i/>
          <w:iCs/>
          <w:sz w:val="24"/>
          <w:szCs w:val="24"/>
          <w:lang w:val="en-GB" w:eastAsia="en-GB"/>
        </w:rPr>
        <w:t>et al</w:t>
      </w:r>
      <w:r w:rsidR="00317058">
        <w:rPr>
          <w:rFonts w:ascii="Times New Roman" w:eastAsia="Times New Roman" w:hAnsi="Times New Roman"/>
          <w:sz w:val="24"/>
          <w:szCs w:val="24"/>
          <w:lang w:val="en-GB" w:eastAsia="en-GB"/>
        </w:rPr>
        <w:t>. (2021), that</w:t>
      </w:r>
      <w:r w:rsidRPr="008752AD">
        <w:rPr>
          <w:rFonts w:ascii="Times New Roman" w:eastAsia="Times New Roman" w:hAnsi="Times New Roman"/>
          <w:sz w:val="24"/>
          <w:szCs w:val="24"/>
          <w:lang w:val="en-GB" w:eastAsia="en-GB"/>
        </w:rPr>
        <w:t xml:space="preserve"> toxicant exposure in </w:t>
      </w:r>
      <w:r w:rsidRPr="008752AD">
        <w:rPr>
          <w:rFonts w:ascii="Times New Roman" w:eastAsia="Times New Roman" w:hAnsi="Times New Roman"/>
          <w:i/>
          <w:iCs/>
          <w:sz w:val="24"/>
          <w:szCs w:val="24"/>
          <w:lang w:val="en-GB" w:eastAsia="en-GB"/>
        </w:rPr>
        <w:t>Oreochromis niloticus</w:t>
      </w:r>
      <w:r w:rsidRPr="008752AD">
        <w:rPr>
          <w:rFonts w:ascii="Times New Roman" w:eastAsia="Times New Roman" w:hAnsi="Times New Roman"/>
          <w:sz w:val="24"/>
          <w:szCs w:val="24"/>
          <w:lang w:val="en-GB" w:eastAsia="en-GB"/>
        </w:rPr>
        <w:t xml:space="preserve"> led to significant MCHC fluctuations, attributed to erythrocyte stress response in polluted environments. These alterations may represent adaptive responses, particularly in thrombopoiesis and erythrocyte f</w:t>
      </w:r>
      <w:r w:rsidR="00317058">
        <w:rPr>
          <w:rFonts w:ascii="Times New Roman" w:eastAsia="Times New Roman" w:hAnsi="Times New Roman"/>
          <w:sz w:val="24"/>
          <w:szCs w:val="24"/>
          <w:lang w:val="en-GB" w:eastAsia="en-GB"/>
        </w:rPr>
        <w:t>unction, reflecting the species</w:t>
      </w:r>
      <w:r w:rsidRPr="008752AD">
        <w:rPr>
          <w:rFonts w:ascii="Times New Roman" w:eastAsia="Times New Roman" w:hAnsi="Times New Roman"/>
          <w:sz w:val="24"/>
          <w:szCs w:val="24"/>
          <w:lang w:val="en-GB" w:eastAsia="en-GB"/>
        </w:rPr>
        <w:t xml:space="preserve"> attempt to mitigate toxicological impacts.</w:t>
      </w:r>
    </w:p>
    <w:p w14:paraId="52674419" w14:textId="77777777" w:rsidR="005D5A4B"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Platelet count (PLT) exhibited the most profound change, with significantly elevated counts at higher DEP concentrations, reaching up to 1039.67±62.80 cells/mm³ at 62.5 µL/L. The significant P-value (0.000) suggests that DEP exposure has a marked effect on thrombopoiesis, possibly indicating an inflammatory or stress response in </w:t>
      </w:r>
      <w:r w:rsidR="005D5A4B" w:rsidRPr="005D5A4B">
        <w:rPr>
          <w:rFonts w:ascii="Times New Roman" w:eastAsia="Times New Roman" w:hAnsi="Times New Roman"/>
          <w:i/>
          <w:sz w:val="24"/>
          <w:szCs w:val="24"/>
          <w:lang w:val="en-GB" w:eastAsia="en-GB"/>
        </w:rPr>
        <w:t>C. gariepinus</w:t>
      </w:r>
      <w:r w:rsidRPr="008752AD">
        <w:rPr>
          <w:rFonts w:ascii="Times New Roman" w:eastAsia="Times New Roman" w:hAnsi="Times New Roman"/>
          <w:sz w:val="24"/>
          <w:szCs w:val="24"/>
          <w:lang w:val="en-GB" w:eastAsia="en-GB"/>
        </w:rPr>
        <w:t xml:space="preserve"> (Rahman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2022). Elevated platelet counts have been similarly reported in toxicological studies on fish, where exposure to xenobiotics such as DEP prompted immune responses involving thrombocyte production to counteract the toxin's effects (Gupta and Singh, 2023). A study conducted by </w:t>
      </w:r>
      <w:r w:rsidRPr="008752AD">
        <w:rPr>
          <w:rFonts w:ascii="Times New Roman" w:eastAsia="Times New Roman" w:hAnsi="Times New Roman"/>
          <w:sz w:val="24"/>
          <w:szCs w:val="24"/>
          <w:lang w:val="en-GB" w:eastAsia="en-GB"/>
        </w:rPr>
        <w:lastRenderedPageBreak/>
        <w:t xml:space="preserve">Adewale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xml:space="preserve">. (2022) observed a decrease in RBC, HGB, and PLT levels in </w:t>
      </w:r>
      <w:r w:rsidRPr="008752AD">
        <w:rPr>
          <w:rFonts w:ascii="Times New Roman" w:eastAsia="Times New Roman" w:hAnsi="Times New Roman"/>
          <w:i/>
          <w:iCs/>
          <w:sz w:val="24"/>
          <w:szCs w:val="24"/>
          <w:lang w:val="en-GB" w:eastAsia="en-GB"/>
        </w:rPr>
        <w:t xml:space="preserve">Tilapia </w:t>
      </w:r>
      <w:proofErr w:type="spellStart"/>
      <w:r w:rsidRPr="008752AD">
        <w:rPr>
          <w:rFonts w:ascii="Times New Roman" w:eastAsia="Times New Roman" w:hAnsi="Times New Roman"/>
          <w:i/>
          <w:iCs/>
          <w:sz w:val="24"/>
          <w:szCs w:val="24"/>
          <w:lang w:val="en-GB" w:eastAsia="en-GB"/>
        </w:rPr>
        <w:t>mossambica</w:t>
      </w:r>
      <w:proofErr w:type="spellEnd"/>
      <w:r w:rsidRPr="008752AD">
        <w:rPr>
          <w:rFonts w:ascii="Times New Roman" w:eastAsia="Times New Roman" w:hAnsi="Times New Roman"/>
          <w:sz w:val="24"/>
          <w:szCs w:val="24"/>
          <w:lang w:val="en-GB" w:eastAsia="en-GB"/>
        </w:rPr>
        <w:t xml:space="preserve"> exposed to phthalates, potentially indicating species-specific h</w:t>
      </w:r>
      <w:r w:rsidR="005D5A4B">
        <w:rPr>
          <w:rFonts w:ascii="Times New Roman" w:eastAsia="Times New Roman" w:hAnsi="Times New Roman"/>
          <w:sz w:val="24"/>
          <w:szCs w:val="24"/>
          <w:lang w:val="en-GB" w:eastAsia="en-GB"/>
        </w:rPr>
        <w:t>aematological responses to DEP.</w:t>
      </w:r>
    </w:p>
    <w:p w14:paraId="5EAC63C6" w14:textId="77777777" w:rsidR="008752AD" w:rsidRPr="008752AD" w:rsidRDefault="008752AD" w:rsidP="004B4B12">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In contrast, the lack of significant changes in RBC and HGB counts in </w:t>
      </w:r>
      <w:r w:rsidR="005D5A4B" w:rsidRPr="005D5A4B">
        <w:rPr>
          <w:rFonts w:ascii="Times New Roman" w:eastAsia="Times New Roman" w:hAnsi="Times New Roman"/>
          <w:i/>
          <w:sz w:val="24"/>
          <w:szCs w:val="24"/>
          <w:lang w:val="en-GB" w:eastAsia="en-GB"/>
        </w:rPr>
        <w:t>C. gariepinus</w:t>
      </w:r>
      <w:r w:rsidRPr="008752AD">
        <w:rPr>
          <w:rFonts w:ascii="Times New Roman" w:eastAsia="Times New Roman" w:hAnsi="Times New Roman"/>
          <w:sz w:val="24"/>
          <w:szCs w:val="24"/>
          <w:lang w:val="en-GB" w:eastAsia="en-GB"/>
        </w:rPr>
        <w:t xml:space="preserve"> in this study suggests that this species may exhibit some resilience to short-term DEP exposure or have different adaptive physiological mechanisms. In summary, while most haematological parameters in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i/>
          <w:iCs/>
          <w:sz w:val="24"/>
          <w:szCs w:val="24"/>
          <w:lang w:val="en-GB" w:eastAsia="en-GB"/>
        </w:rPr>
        <w:t xml:space="preserve"> </w:t>
      </w:r>
      <w:r w:rsidRPr="008752AD">
        <w:rPr>
          <w:rFonts w:ascii="Times New Roman" w:eastAsia="Times New Roman" w:hAnsi="Times New Roman"/>
          <w:sz w:val="24"/>
          <w:szCs w:val="24"/>
          <w:lang w:val="en-GB" w:eastAsia="en-GB"/>
        </w:rPr>
        <w:t xml:space="preserve">remained unaffected, the observed significant changes in MCHC and PLT imply a biological response to DEP at higher concentrations. Future studies with prolonged exposure and additional histopathological assessments could provide further insight into these mechanisms and their implications for the health and resilience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populations in DEP-polluted environments.</w:t>
      </w:r>
    </w:p>
    <w:p w14:paraId="167C83F7" w14:textId="77777777" w:rsidR="00317058" w:rsidRDefault="00317058" w:rsidP="004B4B12">
      <w:pPr>
        <w:spacing w:after="0" w:line="360" w:lineRule="auto"/>
        <w:jc w:val="both"/>
        <w:rPr>
          <w:rFonts w:ascii="Times New Roman" w:eastAsia="Times New Roman" w:hAnsi="Times New Roman"/>
          <w:b/>
          <w:bCs/>
          <w:sz w:val="24"/>
          <w:szCs w:val="24"/>
          <w:lang w:val="en-GB" w:eastAsia="en-GB"/>
        </w:rPr>
      </w:pPr>
    </w:p>
    <w:p w14:paraId="41DF56D3" w14:textId="77777777" w:rsidR="005D5A4B" w:rsidRDefault="008752AD" w:rsidP="004B4B12">
      <w:pPr>
        <w:spacing w:after="0" w:line="360" w:lineRule="auto"/>
        <w:jc w:val="both"/>
        <w:rPr>
          <w:rFonts w:ascii="Times New Roman" w:eastAsia="Times New Roman" w:hAnsi="Times New Roman"/>
          <w:sz w:val="24"/>
          <w:szCs w:val="24"/>
          <w:lang w:val="en-GB" w:eastAsia="en-GB"/>
        </w:rPr>
      </w:pPr>
      <w:r w:rsidRPr="008752AD">
        <w:rPr>
          <w:rFonts w:ascii="Times New Roman" w:eastAsia="Times New Roman" w:hAnsi="Times New Roman"/>
          <w:b/>
          <w:bCs/>
          <w:sz w:val="24"/>
          <w:szCs w:val="24"/>
          <w:lang w:val="en-GB" w:eastAsia="en-GB"/>
        </w:rPr>
        <w:t>Histological Response</w:t>
      </w:r>
    </w:p>
    <w:p w14:paraId="3012AA0E" w14:textId="77777777" w:rsidR="005D5A4B" w:rsidRDefault="000B2E54" w:rsidP="00C263DE">
      <w:pPr>
        <w:spacing w:after="0" w:line="360" w:lineRule="auto"/>
        <w:ind w:firstLine="720"/>
        <w:jc w:val="both"/>
        <w:rPr>
          <w:rFonts w:ascii="Times New Roman" w:eastAsia="Times New Roman" w:hAnsi="Times New Roman"/>
          <w:sz w:val="24"/>
          <w:szCs w:val="24"/>
          <w:lang w:val="en-GB" w:eastAsia="en-GB"/>
        </w:rPr>
      </w:pPr>
      <w:r w:rsidRPr="000B2E54">
        <w:rPr>
          <w:rFonts w:ascii="Times New Roman" w:eastAsia="Times New Roman" w:hAnsi="Times New Roman"/>
          <w:sz w:val="24"/>
          <w:szCs w:val="24"/>
          <w:lang w:val="en-GB" w:eastAsia="en-GB"/>
        </w:rPr>
        <w:t xml:space="preserve">The gills of the control fishes in this study showed no discernible changes, and each gill is made up of primary filament and secondary lamellae. This is in accordance with the findings of </w:t>
      </w:r>
      <w:r w:rsidR="00F568A7" w:rsidRPr="000B2E54">
        <w:rPr>
          <w:rFonts w:ascii="Times New Roman" w:eastAsia="Times New Roman" w:hAnsi="Times New Roman"/>
          <w:sz w:val="24"/>
          <w:szCs w:val="24"/>
          <w:lang w:val="en-GB" w:eastAsia="en-GB"/>
        </w:rPr>
        <w:t xml:space="preserve">Anthonio </w:t>
      </w:r>
      <w:r w:rsidR="005D5A4B" w:rsidRPr="005D5A4B">
        <w:rPr>
          <w:rFonts w:ascii="Times New Roman" w:eastAsia="Times New Roman" w:hAnsi="Times New Roman"/>
          <w:i/>
          <w:sz w:val="24"/>
          <w:szCs w:val="24"/>
          <w:lang w:val="en-GB" w:eastAsia="en-GB"/>
        </w:rPr>
        <w:t>et al</w:t>
      </w:r>
      <w:r w:rsidRPr="000B2E54">
        <w:rPr>
          <w:rFonts w:ascii="Times New Roman" w:eastAsia="Times New Roman" w:hAnsi="Times New Roman"/>
          <w:sz w:val="24"/>
          <w:szCs w:val="24"/>
          <w:lang w:val="en-GB" w:eastAsia="en-GB"/>
        </w:rPr>
        <w:t xml:space="preserve">. (2007) and </w:t>
      </w:r>
      <w:r w:rsidR="00F568A7" w:rsidRPr="000B2E54">
        <w:rPr>
          <w:rFonts w:ascii="Times New Roman" w:eastAsia="Times New Roman" w:hAnsi="Times New Roman"/>
          <w:sz w:val="24"/>
          <w:szCs w:val="24"/>
          <w:lang w:val="en-GB" w:eastAsia="en-GB"/>
        </w:rPr>
        <w:t xml:space="preserve">Hassam </w:t>
      </w:r>
      <w:r w:rsidR="005D5A4B" w:rsidRPr="005D5A4B">
        <w:rPr>
          <w:rFonts w:ascii="Times New Roman" w:eastAsia="Times New Roman" w:hAnsi="Times New Roman"/>
          <w:i/>
          <w:sz w:val="24"/>
          <w:szCs w:val="24"/>
          <w:lang w:val="en-GB" w:eastAsia="en-GB"/>
        </w:rPr>
        <w:t>et al</w:t>
      </w:r>
      <w:r w:rsidRPr="000B2E54">
        <w:rPr>
          <w:rFonts w:ascii="Times New Roman" w:eastAsia="Times New Roman" w:hAnsi="Times New Roman"/>
          <w:sz w:val="24"/>
          <w:szCs w:val="24"/>
          <w:lang w:val="en-GB" w:eastAsia="en-GB"/>
        </w:rPr>
        <w:t>. (2007) regarding the histopathological changes in the liver and gill epithelium of Nile tilap</w:t>
      </w:r>
      <w:r w:rsidR="00317058">
        <w:rPr>
          <w:rFonts w:ascii="Times New Roman" w:eastAsia="Times New Roman" w:hAnsi="Times New Roman"/>
          <w:sz w:val="24"/>
          <w:szCs w:val="24"/>
          <w:lang w:val="en-GB" w:eastAsia="en-GB"/>
        </w:rPr>
        <w:t>ia exposed to waterborne copper.</w:t>
      </w:r>
      <w:r w:rsidRPr="000B2E54">
        <w:rPr>
          <w:rFonts w:ascii="Times New Roman" w:eastAsia="Times New Roman" w:hAnsi="Times New Roman"/>
          <w:sz w:val="24"/>
          <w:szCs w:val="24"/>
          <w:lang w:val="en-GB" w:eastAsia="en-GB"/>
        </w:rPr>
        <w:t xml:space="preserve"> All pathological lesions observed in the gills of </w:t>
      </w:r>
      <w:r w:rsidR="005D5A4B" w:rsidRPr="005D5A4B">
        <w:rPr>
          <w:rFonts w:ascii="Times New Roman" w:eastAsia="Times New Roman" w:hAnsi="Times New Roman"/>
          <w:i/>
          <w:sz w:val="24"/>
          <w:szCs w:val="24"/>
          <w:lang w:val="en-GB" w:eastAsia="en-GB"/>
        </w:rPr>
        <w:t>C. gariepinus</w:t>
      </w:r>
      <w:r w:rsidRPr="000B2E54">
        <w:rPr>
          <w:rFonts w:ascii="Times New Roman" w:eastAsia="Times New Roman" w:hAnsi="Times New Roman"/>
          <w:sz w:val="24"/>
          <w:szCs w:val="24"/>
          <w:lang w:val="en-GB" w:eastAsia="en-GB"/>
        </w:rPr>
        <w:t xml:space="preserve"> in this study are classified as cellular infiltration, desquamation (displacement of epithelial cells), oedematous manifestation, and cellular necrosis. These findings could be linked with an increase in the activities of the test organisms exposed to the changing environment, diffusion distance from surrounding water to capillaries, and at the same time an increase in the amount of tissue (blood corpuscles).</w:t>
      </w:r>
      <w:r w:rsidR="005D5A4B">
        <w:rPr>
          <w:rFonts w:ascii="Times New Roman" w:eastAsia="Times New Roman" w:hAnsi="Times New Roman"/>
          <w:sz w:val="24"/>
          <w:szCs w:val="24"/>
          <w:lang w:val="en-GB" w:eastAsia="en-GB"/>
        </w:rPr>
        <w:t xml:space="preserve"> </w:t>
      </w:r>
      <w:r w:rsidRPr="000B2E54">
        <w:rPr>
          <w:rFonts w:ascii="Times New Roman" w:eastAsia="Times New Roman" w:hAnsi="Times New Roman"/>
          <w:sz w:val="24"/>
          <w:szCs w:val="24"/>
          <w:lang w:val="en-GB" w:eastAsia="en-GB"/>
        </w:rPr>
        <w:t xml:space="preserve">As a result of the observed cellular hypertrophic condition, the respiratory capacity between the lamellae decreased, which hindered the diffusion of oxygen across the gills due to the enlarged epithelium and decreased free gas exchange. This, in turn, limited compensatory changes that render the organism </w:t>
      </w:r>
      <w:proofErr w:type="spellStart"/>
      <w:r w:rsidRPr="000B2E54">
        <w:rPr>
          <w:rFonts w:ascii="Times New Roman" w:eastAsia="Times New Roman" w:hAnsi="Times New Roman"/>
          <w:sz w:val="24"/>
          <w:szCs w:val="24"/>
          <w:lang w:val="en-GB" w:eastAsia="en-GB"/>
        </w:rPr>
        <w:t>unadaptive</w:t>
      </w:r>
      <w:proofErr w:type="spellEnd"/>
      <w:r w:rsidRPr="000B2E54">
        <w:rPr>
          <w:rFonts w:ascii="Times New Roman" w:eastAsia="Times New Roman" w:hAnsi="Times New Roman"/>
          <w:sz w:val="24"/>
          <w:szCs w:val="24"/>
          <w:lang w:val="en-GB" w:eastAsia="en-GB"/>
        </w:rPr>
        <w:t xml:space="preserve"> when the exposure duration and DEP concentrations surpass biological tolerance limits; this result is consistent with the submission of Ayoola (2008).</w:t>
      </w:r>
      <w:r w:rsidR="008752AD" w:rsidRPr="008752AD">
        <w:rPr>
          <w:rFonts w:ascii="Times New Roman" w:eastAsia="Times New Roman" w:hAnsi="Times New Roman"/>
          <w:sz w:val="24"/>
          <w:szCs w:val="24"/>
          <w:lang w:val="en-GB" w:eastAsia="en-GB"/>
        </w:rPr>
        <w:t xml:space="preserve"> </w:t>
      </w:r>
    </w:p>
    <w:p w14:paraId="5712A6EA" w14:textId="77777777"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Damages done to the gills indicated that the sublethal level of this metals mixture caused impairment in the gaseous exchange efficiency of the gills (Hassam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2007, and Ayoola, 2008a and b). Moreover, the presence of a mucous-filled cavity (oedema) observed in the gill filaments of </w:t>
      </w:r>
      <w:r w:rsidR="005D5A4B" w:rsidRPr="005D5A4B">
        <w:rPr>
          <w:rFonts w:ascii="Times New Roman" w:eastAsia="Times New Roman" w:hAnsi="Times New Roman"/>
          <w:i/>
          <w:iCs/>
          <w:sz w:val="24"/>
          <w:szCs w:val="24"/>
          <w:lang w:val="en-GB" w:eastAsia="en-GB"/>
        </w:rPr>
        <w:t>C. gariepinus</w:t>
      </w:r>
      <w:r w:rsidRPr="008752AD">
        <w:rPr>
          <w:rFonts w:ascii="Times New Roman" w:eastAsia="Times New Roman" w:hAnsi="Times New Roman"/>
          <w:sz w:val="24"/>
          <w:szCs w:val="24"/>
          <w:lang w:val="en-GB" w:eastAsia="en-GB"/>
        </w:rPr>
        <w:t xml:space="preserve"> may be considered as an ion trap, in a way to concentrate free elements from surrounding water between the neighbouring secondary lamellae. The presence of mucous over </w:t>
      </w:r>
      <w:r w:rsidRPr="008752AD">
        <w:rPr>
          <w:rFonts w:ascii="Times New Roman" w:eastAsia="Times New Roman" w:hAnsi="Times New Roman"/>
          <w:sz w:val="24"/>
          <w:szCs w:val="24"/>
          <w:lang w:val="en-GB" w:eastAsia="en-GB"/>
        </w:rPr>
        <w:lastRenderedPageBreak/>
        <w:t>the body surface of the test fishes was noted to gradually increase with DEP, and this is a reflection of hyperplastic glandular cells activity in the dermis of exposed fish (Ayoola, 2008). It may as well serve to protect the epithelium against both mec</w:t>
      </w:r>
      <w:r w:rsidR="00F568A7">
        <w:rPr>
          <w:rFonts w:ascii="Times New Roman" w:eastAsia="Times New Roman" w:hAnsi="Times New Roman"/>
          <w:sz w:val="24"/>
          <w:szCs w:val="24"/>
          <w:lang w:val="en-GB" w:eastAsia="en-GB"/>
        </w:rPr>
        <w:t>hanical abrasion and infection (</w:t>
      </w:r>
      <w:r w:rsidRPr="008752AD">
        <w:rPr>
          <w:rFonts w:ascii="Times New Roman" w:eastAsia="Times New Roman" w:hAnsi="Times New Roman"/>
          <w:sz w:val="24"/>
          <w:szCs w:val="24"/>
          <w:lang w:val="en-GB" w:eastAsia="en-GB"/>
        </w:rPr>
        <w:t>Ayoola 2008b). The changes recorded in the gill structure of the test fish in this study were indicative of diminished oxygen supply to the test fish, resulting also in hypoxic respiratory response, though not lethal but not reversible. Such histopathological changes of gills, such as cellular hyperplasia and hypertrophy, epithelial lifting, and increase in mucus secretions, have been reported after the exposure of fishes to a variety of noxious agents in the water, such as pesticides, phenols, and heavy metals in their mixtures</w:t>
      </w:r>
      <w:r w:rsidR="00F568A7">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Ayoola 2008).</w:t>
      </w:r>
    </w:p>
    <w:p w14:paraId="019A31F5" w14:textId="77777777" w:rsidR="005D5A4B"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Histological analysis of </w:t>
      </w:r>
      <w:r w:rsidRPr="008752AD">
        <w:rPr>
          <w:rFonts w:ascii="Times New Roman" w:eastAsia="Times New Roman" w:hAnsi="Times New Roman"/>
          <w:i/>
          <w:iCs/>
          <w:sz w:val="24"/>
          <w:szCs w:val="24"/>
          <w:lang w:val="en-GB" w:eastAsia="en-GB"/>
        </w:rPr>
        <w:t>Clarias gariepinus</w:t>
      </w:r>
      <w:r w:rsidRPr="008752AD">
        <w:rPr>
          <w:rFonts w:ascii="Times New Roman" w:eastAsia="Times New Roman" w:hAnsi="Times New Roman"/>
          <w:sz w:val="24"/>
          <w:szCs w:val="24"/>
          <w:lang w:val="en-GB" w:eastAsia="en-GB"/>
        </w:rPr>
        <w:t xml:space="preserve"> liver parenchyma revealed that this species has the general pattern of </w:t>
      </w:r>
      <w:proofErr w:type="spellStart"/>
      <w:r w:rsidRPr="008752AD">
        <w:rPr>
          <w:rFonts w:ascii="Times New Roman" w:eastAsia="Times New Roman" w:hAnsi="Times New Roman"/>
          <w:sz w:val="24"/>
          <w:szCs w:val="24"/>
          <w:lang w:val="en-GB" w:eastAsia="en-GB"/>
        </w:rPr>
        <w:t>teleosts</w:t>
      </w:r>
      <w:proofErr w:type="spellEnd"/>
      <w:r w:rsidRPr="008752AD">
        <w:rPr>
          <w:rFonts w:ascii="Times New Roman" w:eastAsia="Times New Roman" w:hAnsi="Times New Roman"/>
          <w:sz w:val="24"/>
          <w:szCs w:val="24"/>
          <w:lang w:val="en-GB" w:eastAsia="en-GB"/>
        </w:rPr>
        <w:t xml:space="preserve">, with a thin connective tissue capsule and a simple columnar epithelium. It was not always possible to distinguish the hexagonal subdivisions, which are characteristics of the hepatic lobules. However, we observed a radial arrangement of hepatocytic cords, a classic organisation of liver lobules. </w:t>
      </w:r>
      <w:r w:rsidR="000B2E54" w:rsidRPr="000B2E54">
        <w:rPr>
          <w:rFonts w:ascii="Times New Roman" w:eastAsia="Times New Roman" w:hAnsi="Times New Roman"/>
          <w:sz w:val="24"/>
          <w:szCs w:val="24"/>
          <w:lang w:val="en-GB" w:eastAsia="en-GB"/>
        </w:rPr>
        <w:t xml:space="preserve">In contrast to </w:t>
      </w:r>
      <w:proofErr w:type="spellStart"/>
      <w:r w:rsidR="000B2E54" w:rsidRPr="00F568A7">
        <w:rPr>
          <w:rFonts w:ascii="Times New Roman" w:eastAsia="Times New Roman" w:hAnsi="Times New Roman"/>
          <w:i/>
          <w:sz w:val="24"/>
          <w:szCs w:val="24"/>
          <w:lang w:val="en-GB" w:eastAsia="en-GB"/>
        </w:rPr>
        <w:t>Acipenser</w:t>
      </w:r>
      <w:proofErr w:type="spellEnd"/>
      <w:r w:rsidR="000B2E54" w:rsidRPr="00F568A7">
        <w:rPr>
          <w:rFonts w:ascii="Times New Roman" w:eastAsia="Times New Roman" w:hAnsi="Times New Roman"/>
          <w:i/>
          <w:sz w:val="24"/>
          <w:szCs w:val="24"/>
          <w:lang w:val="en-GB" w:eastAsia="en-GB"/>
        </w:rPr>
        <w:t xml:space="preserve"> </w:t>
      </w:r>
      <w:proofErr w:type="spellStart"/>
      <w:r w:rsidR="000B2E54" w:rsidRPr="00F568A7">
        <w:rPr>
          <w:rFonts w:ascii="Times New Roman" w:eastAsia="Times New Roman" w:hAnsi="Times New Roman"/>
          <w:i/>
          <w:sz w:val="24"/>
          <w:szCs w:val="24"/>
          <w:lang w:val="en-GB" w:eastAsia="en-GB"/>
        </w:rPr>
        <w:t>stellatus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Sheybani</w:t>
      </w:r>
      <w:proofErr w:type="spellEnd"/>
      <w:r w:rsidR="000B2E54" w:rsidRPr="000B2E54">
        <w:rPr>
          <w:rFonts w:ascii="Times New Roman" w:eastAsia="Times New Roman" w:hAnsi="Times New Roman"/>
          <w:sz w:val="24"/>
          <w:szCs w:val="24"/>
          <w:lang w:val="en-GB" w:eastAsia="en-GB"/>
        </w:rPr>
        <w:t xml:space="preserve"> and </w:t>
      </w:r>
      <w:proofErr w:type="spellStart"/>
      <w:r w:rsidR="000B2E54" w:rsidRPr="000B2E54">
        <w:rPr>
          <w:rFonts w:ascii="Times New Roman" w:eastAsia="Times New Roman" w:hAnsi="Times New Roman"/>
          <w:sz w:val="24"/>
          <w:szCs w:val="24"/>
          <w:lang w:val="en-GB" w:eastAsia="en-GB"/>
        </w:rPr>
        <w:t>Adibmoradi</w:t>
      </w:r>
      <w:proofErr w:type="spellEnd"/>
      <w:r w:rsidR="000B2E54" w:rsidRPr="000B2E54">
        <w:rPr>
          <w:rFonts w:ascii="Times New Roman" w:eastAsia="Times New Roman" w:hAnsi="Times New Roman"/>
          <w:sz w:val="24"/>
          <w:szCs w:val="24"/>
          <w:lang w:val="en-GB" w:eastAsia="en-GB"/>
        </w:rPr>
        <w:t>, 2002), whose capsule was made up of dense connective tissue and a layer of cuboidal cells (</w:t>
      </w:r>
      <w:proofErr w:type="spellStart"/>
      <w:r w:rsidR="000B2E54" w:rsidRPr="000B2E54">
        <w:rPr>
          <w:rFonts w:ascii="Times New Roman" w:eastAsia="Times New Roman" w:hAnsi="Times New Roman"/>
          <w:sz w:val="24"/>
          <w:szCs w:val="24"/>
          <w:lang w:val="en-GB" w:eastAsia="en-GB"/>
        </w:rPr>
        <w:t>Monsefi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2010), the liver of the fishes under study was externally covered by a loose connective tissue and one-layer squamous cells. </w:t>
      </w:r>
      <w:proofErr w:type="spellStart"/>
      <w:r w:rsidR="000B2E54" w:rsidRPr="005D5A4B">
        <w:rPr>
          <w:rFonts w:ascii="Times New Roman" w:eastAsia="Times New Roman" w:hAnsi="Times New Roman"/>
          <w:i/>
          <w:sz w:val="24"/>
          <w:szCs w:val="24"/>
          <w:lang w:val="en-GB" w:eastAsia="en-GB"/>
        </w:rPr>
        <w:t>Cetonopharingodon</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idella</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Alboghobeish</w:t>
      </w:r>
      <w:proofErr w:type="spellEnd"/>
      <w:r w:rsidR="000B2E54" w:rsidRPr="000B2E54">
        <w:rPr>
          <w:rFonts w:ascii="Times New Roman" w:eastAsia="Times New Roman" w:hAnsi="Times New Roman"/>
          <w:sz w:val="24"/>
          <w:szCs w:val="24"/>
          <w:lang w:val="en-GB" w:eastAsia="en-GB"/>
        </w:rPr>
        <w:t xml:space="preserve"> and Khaksar-</w:t>
      </w:r>
      <w:proofErr w:type="spellStart"/>
      <w:r w:rsidR="000B2E54" w:rsidRPr="000B2E54">
        <w:rPr>
          <w:rFonts w:ascii="Times New Roman" w:eastAsia="Times New Roman" w:hAnsi="Times New Roman"/>
          <w:sz w:val="24"/>
          <w:szCs w:val="24"/>
          <w:lang w:val="en-GB" w:eastAsia="en-GB"/>
        </w:rPr>
        <w:t>Mahabady</w:t>
      </w:r>
      <w:proofErr w:type="spellEnd"/>
      <w:r w:rsidR="000B2E54" w:rsidRPr="000B2E54">
        <w:rPr>
          <w:rFonts w:ascii="Times New Roman" w:eastAsia="Times New Roman" w:hAnsi="Times New Roman"/>
          <w:sz w:val="24"/>
          <w:szCs w:val="24"/>
          <w:lang w:val="en-GB" w:eastAsia="en-GB"/>
        </w:rPr>
        <w:t xml:space="preserve">, 2005), </w:t>
      </w:r>
      <w:proofErr w:type="spellStart"/>
      <w:r w:rsidR="000B2E54" w:rsidRPr="005D5A4B">
        <w:rPr>
          <w:rFonts w:ascii="Times New Roman" w:eastAsia="Times New Roman" w:hAnsi="Times New Roman"/>
          <w:i/>
          <w:sz w:val="24"/>
          <w:szCs w:val="24"/>
          <w:lang w:val="en-GB" w:eastAsia="en-GB"/>
        </w:rPr>
        <w:t>Oligosarcus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jenynsii</w:t>
      </w:r>
      <w:proofErr w:type="spellEnd"/>
      <w:r w:rsidR="000B2E54" w:rsidRPr="000B2E54">
        <w:rPr>
          <w:rFonts w:ascii="Times New Roman" w:eastAsia="Times New Roman" w:hAnsi="Times New Roman"/>
          <w:sz w:val="24"/>
          <w:szCs w:val="24"/>
          <w:lang w:val="en-GB" w:eastAsia="en-GB"/>
        </w:rPr>
        <w:t xml:space="preserve"> (Petcoff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2006), and </w:t>
      </w:r>
      <w:r w:rsidR="000B2E54" w:rsidRPr="005D5A4B">
        <w:rPr>
          <w:rFonts w:ascii="Times New Roman" w:eastAsia="Times New Roman" w:hAnsi="Times New Roman"/>
          <w:i/>
          <w:sz w:val="24"/>
          <w:szCs w:val="24"/>
          <w:lang w:val="en-GB" w:eastAsia="en-GB"/>
        </w:rPr>
        <w:t>Pangasius</w:t>
      </w:r>
      <w:r w:rsidR="000B2E54" w:rsidRPr="000B2E54">
        <w:rPr>
          <w:rFonts w:ascii="Times New Roman" w:eastAsia="Times New Roman" w:hAnsi="Times New Roman"/>
          <w:sz w:val="24"/>
          <w:szCs w:val="24"/>
          <w:lang w:val="en-GB" w:eastAsia="en-GB"/>
        </w:rPr>
        <w:t xml:space="preserve"> </w:t>
      </w:r>
      <w:proofErr w:type="spellStart"/>
      <w:r w:rsidR="000B2E54" w:rsidRPr="005D5A4B">
        <w:rPr>
          <w:rFonts w:ascii="Times New Roman" w:eastAsia="Times New Roman" w:hAnsi="Times New Roman"/>
          <w:i/>
          <w:sz w:val="24"/>
          <w:szCs w:val="24"/>
          <w:lang w:val="en-GB" w:eastAsia="en-GB"/>
        </w:rPr>
        <w:t>sanitwongsei</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Sayrafi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2011) had similar structures.</w:t>
      </w:r>
      <w:r w:rsidR="00C263DE">
        <w:rPr>
          <w:rFonts w:ascii="Times New Roman" w:eastAsia="Times New Roman" w:hAnsi="Times New Roman"/>
          <w:sz w:val="24"/>
          <w:szCs w:val="24"/>
          <w:lang w:val="en-GB" w:eastAsia="en-GB"/>
        </w:rPr>
        <w:t xml:space="preserve"> </w:t>
      </w:r>
      <w:r w:rsidR="000B2E54" w:rsidRPr="000B2E54">
        <w:rPr>
          <w:rFonts w:ascii="Times New Roman" w:eastAsia="Times New Roman" w:hAnsi="Times New Roman"/>
          <w:sz w:val="24"/>
          <w:szCs w:val="24"/>
          <w:lang w:val="en-GB" w:eastAsia="en-GB"/>
        </w:rPr>
        <w:t xml:space="preserve">The fishes under investigation in this study had parenchymal lobular arrangement in their livers, and their histological structure was similar to that of </w:t>
      </w:r>
      <w:proofErr w:type="spellStart"/>
      <w:r w:rsidR="000B2E54" w:rsidRPr="000B2E54">
        <w:rPr>
          <w:rFonts w:ascii="Times New Roman" w:eastAsia="Times New Roman" w:hAnsi="Times New Roman"/>
          <w:i/>
          <w:sz w:val="24"/>
          <w:szCs w:val="24"/>
          <w:lang w:val="en-GB" w:eastAsia="en-GB"/>
        </w:rPr>
        <w:t>Micropogon</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i/>
          <w:sz w:val="24"/>
          <w:szCs w:val="24"/>
          <w:lang w:val="en-GB" w:eastAsia="en-GB"/>
        </w:rPr>
        <w:t>undullatus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Eurell</w:t>
      </w:r>
      <w:proofErr w:type="spellEnd"/>
      <w:r w:rsidR="000B2E54" w:rsidRPr="000B2E54">
        <w:rPr>
          <w:rFonts w:ascii="Times New Roman" w:eastAsia="Times New Roman" w:hAnsi="Times New Roman"/>
          <w:sz w:val="24"/>
          <w:szCs w:val="24"/>
          <w:lang w:val="en-GB" w:eastAsia="en-GB"/>
        </w:rPr>
        <w:t xml:space="preserve"> and Haensly, 1982), </w:t>
      </w:r>
      <w:r w:rsidR="000B2E54" w:rsidRPr="000B2E54">
        <w:rPr>
          <w:rFonts w:ascii="Times New Roman" w:eastAsia="Times New Roman" w:hAnsi="Times New Roman"/>
          <w:i/>
          <w:sz w:val="24"/>
          <w:szCs w:val="24"/>
          <w:lang w:val="en-GB" w:eastAsia="en-GB"/>
        </w:rPr>
        <w:t>Mugil</w:t>
      </w:r>
      <w:r w:rsidR="000B2E54" w:rsidRPr="000B2E54">
        <w:rPr>
          <w:rFonts w:ascii="Times New Roman" w:eastAsia="Times New Roman" w:hAnsi="Times New Roman"/>
          <w:sz w:val="24"/>
          <w:szCs w:val="24"/>
          <w:lang w:val="en-GB" w:eastAsia="en-GB"/>
        </w:rPr>
        <w:t xml:space="preserve"> </w:t>
      </w:r>
      <w:r w:rsidR="000B2E54" w:rsidRPr="000B2E54">
        <w:rPr>
          <w:rFonts w:ascii="Times New Roman" w:eastAsia="Times New Roman" w:hAnsi="Times New Roman"/>
          <w:i/>
          <w:sz w:val="24"/>
          <w:szCs w:val="24"/>
          <w:lang w:val="en-GB" w:eastAsia="en-GB"/>
        </w:rPr>
        <w:t>cephalus</w:t>
      </w:r>
      <w:r w:rsidR="000B2E54" w:rsidRPr="000B2E54">
        <w:rPr>
          <w:rFonts w:ascii="Times New Roman" w:eastAsia="Times New Roman" w:hAnsi="Times New Roman"/>
          <w:sz w:val="24"/>
          <w:szCs w:val="24"/>
          <w:lang w:val="en-GB" w:eastAsia="en-GB"/>
        </w:rPr>
        <w:t xml:space="preserve"> (El-Bakary and El-Gamal, 2010), and </w:t>
      </w:r>
      <w:proofErr w:type="spellStart"/>
      <w:r w:rsidR="000B2E54" w:rsidRPr="000B2E54">
        <w:rPr>
          <w:rFonts w:ascii="Times New Roman" w:eastAsia="Times New Roman" w:hAnsi="Times New Roman"/>
          <w:i/>
          <w:sz w:val="24"/>
          <w:szCs w:val="24"/>
          <w:lang w:val="en-GB" w:eastAsia="en-GB"/>
        </w:rPr>
        <w:t>Aphanius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i/>
          <w:sz w:val="24"/>
          <w:szCs w:val="24"/>
          <w:lang w:val="en-GB" w:eastAsia="en-GB"/>
        </w:rPr>
        <w:t>persicus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Monsefi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xml:space="preserve">., 2010). In contrast, the acinar arrangement found in the livers of </w:t>
      </w:r>
      <w:r w:rsidR="000B2E54" w:rsidRPr="000B2E54">
        <w:rPr>
          <w:rFonts w:ascii="Times New Roman" w:eastAsia="Times New Roman" w:hAnsi="Times New Roman"/>
          <w:i/>
          <w:sz w:val="24"/>
          <w:szCs w:val="24"/>
          <w:lang w:val="en-GB" w:eastAsia="en-GB"/>
        </w:rPr>
        <w:t xml:space="preserve">A. </w:t>
      </w:r>
      <w:proofErr w:type="spellStart"/>
      <w:r w:rsidR="000B2E54" w:rsidRPr="000B2E54">
        <w:rPr>
          <w:rFonts w:ascii="Times New Roman" w:eastAsia="Times New Roman" w:hAnsi="Times New Roman"/>
          <w:i/>
          <w:sz w:val="24"/>
          <w:szCs w:val="24"/>
          <w:lang w:val="en-GB" w:eastAsia="en-GB"/>
        </w:rPr>
        <w:t>stellatus</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Sheybani</w:t>
      </w:r>
      <w:proofErr w:type="spellEnd"/>
      <w:r w:rsidR="000B2E54" w:rsidRPr="000B2E54">
        <w:rPr>
          <w:rFonts w:ascii="Times New Roman" w:eastAsia="Times New Roman" w:hAnsi="Times New Roman"/>
          <w:sz w:val="24"/>
          <w:szCs w:val="24"/>
          <w:lang w:val="en-GB" w:eastAsia="en-GB"/>
        </w:rPr>
        <w:t xml:space="preserve"> and </w:t>
      </w:r>
      <w:proofErr w:type="spellStart"/>
      <w:r w:rsidR="000B2E54" w:rsidRPr="000B2E54">
        <w:rPr>
          <w:rFonts w:ascii="Times New Roman" w:eastAsia="Times New Roman" w:hAnsi="Times New Roman"/>
          <w:sz w:val="24"/>
          <w:szCs w:val="24"/>
          <w:lang w:val="en-GB" w:eastAsia="en-GB"/>
        </w:rPr>
        <w:t>Adibmoradi</w:t>
      </w:r>
      <w:proofErr w:type="spellEnd"/>
      <w:r w:rsidR="000B2E54" w:rsidRPr="000B2E54">
        <w:rPr>
          <w:rFonts w:ascii="Times New Roman" w:eastAsia="Times New Roman" w:hAnsi="Times New Roman"/>
          <w:sz w:val="24"/>
          <w:szCs w:val="24"/>
          <w:lang w:val="en-GB" w:eastAsia="en-GB"/>
        </w:rPr>
        <w:t xml:space="preserve">, 2002) and </w:t>
      </w:r>
      <w:r w:rsidR="000B2E54" w:rsidRPr="000B2E54">
        <w:rPr>
          <w:rFonts w:ascii="Times New Roman" w:eastAsia="Times New Roman" w:hAnsi="Times New Roman"/>
          <w:i/>
          <w:sz w:val="24"/>
          <w:szCs w:val="24"/>
          <w:lang w:val="en-GB" w:eastAsia="en-GB"/>
        </w:rPr>
        <w:t xml:space="preserve">P. </w:t>
      </w:r>
      <w:proofErr w:type="spellStart"/>
      <w:r w:rsidR="000B2E54" w:rsidRPr="000B2E54">
        <w:rPr>
          <w:rFonts w:ascii="Times New Roman" w:eastAsia="Times New Roman" w:hAnsi="Times New Roman"/>
          <w:i/>
          <w:sz w:val="24"/>
          <w:szCs w:val="24"/>
          <w:lang w:val="en-GB" w:eastAsia="en-GB"/>
        </w:rPr>
        <w:t>sanitwongsei</w:t>
      </w:r>
      <w:proofErr w:type="spellEnd"/>
      <w:r w:rsidR="000B2E54" w:rsidRPr="000B2E54">
        <w:rPr>
          <w:rFonts w:ascii="Times New Roman" w:eastAsia="Times New Roman" w:hAnsi="Times New Roman"/>
          <w:sz w:val="24"/>
          <w:szCs w:val="24"/>
          <w:lang w:val="en-GB" w:eastAsia="en-GB"/>
        </w:rPr>
        <w:t xml:space="preserve"> (</w:t>
      </w:r>
      <w:proofErr w:type="spellStart"/>
      <w:r w:rsidR="000B2E54" w:rsidRPr="000B2E54">
        <w:rPr>
          <w:rFonts w:ascii="Times New Roman" w:eastAsia="Times New Roman" w:hAnsi="Times New Roman"/>
          <w:sz w:val="24"/>
          <w:szCs w:val="24"/>
          <w:lang w:val="en-GB" w:eastAsia="en-GB"/>
        </w:rPr>
        <w:t>Sayrafi</w:t>
      </w:r>
      <w:proofErr w:type="spellEnd"/>
      <w:r w:rsidR="000B2E54" w:rsidRPr="000B2E54">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sz w:val="24"/>
          <w:szCs w:val="24"/>
          <w:lang w:val="en-GB" w:eastAsia="en-GB"/>
        </w:rPr>
        <w:t>et al</w:t>
      </w:r>
      <w:r w:rsidR="000B2E54" w:rsidRPr="000B2E54">
        <w:rPr>
          <w:rFonts w:ascii="Times New Roman" w:eastAsia="Times New Roman" w:hAnsi="Times New Roman"/>
          <w:sz w:val="24"/>
          <w:szCs w:val="24"/>
          <w:lang w:val="en-GB" w:eastAsia="en-GB"/>
        </w:rPr>
        <w:t>., 2011).</w:t>
      </w:r>
    </w:p>
    <w:p w14:paraId="137B3A68" w14:textId="77777777" w:rsidR="00D46A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Histological investigation of the liver tissues showed a typical structural organisation of the parenchymatous cell appearance of the hepatocytes in the untreated fishes (Plate 1a). </w:t>
      </w:r>
      <w:r w:rsidR="005D5A4B" w:rsidRPr="005D5A4B">
        <w:rPr>
          <w:rFonts w:ascii="Times New Roman" w:eastAsia="Times New Roman" w:hAnsi="Times New Roman"/>
          <w:sz w:val="24"/>
          <w:szCs w:val="24"/>
          <w:lang w:val="en-GB" w:eastAsia="en-GB"/>
        </w:rPr>
        <w:t xml:space="preserve">Ogundiran </w:t>
      </w:r>
      <w:r w:rsidR="005D5A4B" w:rsidRPr="005D5A4B">
        <w:rPr>
          <w:rFonts w:ascii="Times New Roman" w:eastAsia="Times New Roman" w:hAnsi="Times New Roman"/>
          <w:i/>
          <w:sz w:val="24"/>
          <w:szCs w:val="24"/>
          <w:lang w:val="en-GB" w:eastAsia="en-GB"/>
        </w:rPr>
        <w:t>et al</w:t>
      </w:r>
      <w:r w:rsidR="005D5A4B" w:rsidRPr="005D5A4B">
        <w:rPr>
          <w:rFonts w:ascii="Times New Roman" w:eastAsia="Times New Roman" w:hAnsi="Times New Roman"/>
          <w:sz w:val="24"/>
          <w:szCs w:val="24"/>
          <w:lang w:val="en-GB" w:eastAsia="en-GB"/>
        </w:rPr>
        <w:t xml:space="preserve">. (2010) reported a series of histological degradations in the </w:t>
      </w:r>
      <w:r w:rsidR="005D5A4B" w:rsidRPr="005D5A4B">
        <w:rPr>
          <w:rFonts w:ascii="Times New Roman" w:eastAsia="Times New Roman" w:hAnsi="Times New Roman"/>
          <w:i/>
          <w:sz w:val="24"/>
          <w:szCs w:val="24"/>
          <w:lang w:val="en-GB" w:eastAsia="en-GB"/>
        </w:rPr>
        <w:t>C. gariepinus</w:t>
      </w:r>
      <w:r w:rsidR="005D5A4B" w:rsidRPr="005D5A4B">
        <w:rPr>
          <w:rFonts w:ascii="Times New Roman" w:eastAsia="Times New Roman" w:hAnsi="Times New Roman"/>
          <w:sz w:val="24"/>
          <w:szCs w:val="24"/>
          <w:lang w:val="en-GB" w:eastAsia="en-GB"/>
        </w:rPr>
        <w:t xml:space="preserve"> exposed to varying concentrations of detergent effluents, and </w:t>
      </w:r>
      <w:r w:rsidR="005D5A4B">
        <w:rPr>
          <w:rFonts w:ascii="Times New Roman" w:eastAsia="Times New Roman" w:hAnsi="Times New Roman"/>
          <w:sz w:val="24"/>
          <w:szCs w:val="24"/>
          <w:lang w:val="en-GB" w:eastAsia="en-GB"/>
        </w:rPr>
        <w:t xml:space="preserve">the fishes in the treated group. </w:t>
      </w:r>
      <w:r w:rsidR="005D5A4B" w:rsidRPr="005D5A4B">
        <w:rPr>
          <w:rFonts w:ascii="Times New Roman" w:eastAsia="Times New Roman" w:hAnsi="Times New Roman"/>
          <w:sz w:val="24"/>
          <w:szCs w:val="24"/>
          <w:lang w:val="en-GB" w:eastAsia="en-GB"/>
        </w:rPr>
        <w:t>Plates 1b</w:t>
      </w:r>
      <w:r w:rsidR="005D5A4B">
        <w:rPr>
          <w:rFonts w:ascii="Times New Roman" w:eastAsia="Times New Roman" w:hAnsi="Times New Roman"/>
          <w:sz w:val="24"/>
          <w:szCs w:val="24"/>
          <w:lang w:val="en-GB" w:eastAsia="en-GB"/>
        </w:rPr>
        <w:t xml:space="preserve"> to 1</w:t>
      </w:r>
      <w:r w:rsidR="005D5A4B" w:rsidRPr="005D5A4B">
        <w:rPr>
          <w:rFonts w:ascii="Times New Roman" w:eastAsia="Times New Roman" w:hAnsi="Times New Roman"/>
          <w:sz w:val="24"/>
          <w:szCs w:val="24"/>
          <w:lang w:val="en-GB" w:eastAsia="en-GB"/>
        </w:rPr>
        <w:t>e in this study showed the major histological abnormalities of oedema, cellular infiltration, congestion of the central vein, and cellular necrosis, which showed a progressive architectural distortion at varied concentr</w:t>
      </w:r>
      <w:r w:rsidR="00C263DE">
        <w:rPr>
          <w:rFonts w:ascii="Times New Roman" w:eastAsia="Times New Roman" w:hAnsi="Times New Roman"/>
          <w:sz w:val="24"/>
          <w:szCs w:val="24"/>
          <w:lang w:val="en-GB" w:eastAsia="en-GB"/>
        </w:rPr>
        <w:t xml:space="preserve">ations and periods of exposure. </w:t>
      </w:r>
      <w:r w:rsidRPr="008752AD">
        <w:rPr>
          <w:rFonts w:ascii="Times New Roman" w:eastAsia="Times New Roman" w:hAnsi="Times New Roman"/>
          <w:sz w:val="24"/>
          <w:szCs w:val="24"/>
          <w:lang w:val="en-GB" w:eastAsia="en-GB"/>
        </w:rPr>
        <w:t xml:space="preserve">The most generally encountered type </w:t>
      </w:r>
      <w:r w:rsidRPr="008752AD">
        <w:rPr>
          <w:rFonts w:ascii="Times New Roman" w:eastAsia="Times New Roman" w:hAnsi="Times New Roman"/>
          <w:sz w:val="24"/>
          <w:szCs w:val="24"/>
          <w:lang w:val="en-GB" w:eastAsia="en-GB"/>
        </w:rPr>
        <w:lastRenderedPageBreak/>
        <w:t xml:space="preserve">of degenerative changes was congestion, vacuolization of hepatocytes, cellular infiltration, and focal areas of necrosis. The liver of the exposed organisms revealed slight vacuolated cells, which is an indication of fatty degeneration of hepatocytes. Cellular necrosis as observed in this work probably resulted from excessive work required by the fish to get rid of the toxicants from its body during the process of self-detoxification (Steinel and Bolnick, 2017). </w:t>
      </w:r>
    </w:p>
    <w:p w14:paraId="797C564F" w14:textId="77777777" w:rsidR="00D46A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t xml:space="preserve">High accumulation of several components of the DEP in the liver is a pointer to the fact that the liver plays a major role in the accumulation and detoxification. Ogundiran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i/>
          <w:iCs/>
          <w:sz w:val="24"/>
          <w:szCs w:val="24"/>
          <w:lang w:val="en-GB" w:eastAsia="en-GB"/>
        </w:rPr>
        <w:t>.</w:t>
      </w:r>
      <w:r w:rsidRPr="008752AD">
        <w:rPr>
          <w:rFonts w:ascii="Times New Roman" w:eastAsia="Times New Roman" w:hAnsi="Times New Roman"/>
          <w:sz w:val="24"/>
          <w:szCs w:val="24"/>
          <w:lang w:val="en-GB" w:eastAsia="en-GB"/>
        </w:rPr>
        <w:t xml:space="preserve"> (2010 and 2012) submitted that fishes are known to possess a sequestering agent (metallothionein); the bioaccumulation of these trace elements in the liver tissue reaches a proportion in which the function of the liver is impeded, thus resulting in a progressive degeneration of the liver cells syncytial arrangement.</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Therefore, cellular necrosis became evident as the concentration increases, and this may be due to the inability of fishes to regenerate new liver cells. </w:t>
      </w:r>
      <w:r w:rsidR="00D46AAD" w:rsidRPr="00D46AAD">
        <w:rPr>
          <w:rFonts w:ascii="Times New Roman" w:eastAsia="Times New Roman" w:hAnsi="Times New Roman"/>
          <w:sz w:val="24"/>
          <w:szCs w:val="24"/>
          <w:lang w:val="en-GB" w:eastAsia="en-GB"/>
        </w:rPr>
        <w:t>Additionally, it was not</w:t>
      </w:r>
      <w:r w:rsidR="00F568A7">
        <w:rPr>
          <w:rFonts w:ascii="Times New Roman" w:eastAsia="Times New Roman" w:hAnsi="Times New Roman"/>
          <w:sz w:val="24"/>
          <w:szCs w:val="24"/>
          <w:lang w:val="en-GB" w:eastAsia="en-GB"/>
        </w:rPr>
        <w:t>ic</w:t>
      </w:r>
      <w:r w:rsidR="00D46AAD" w:rsidRPr="00D46AAD">
        <w:rPr>
          <w:rFonts w:ascii="Times New Roman" w:eastAsia="Times New Roman" w:hAnsi="Times New Roman"/>
          <w:sz w:val="24"/>
          <w:szCs w:val="24"/>
          <w:lang w:val="en-GB" w:eastAsia="en-GB"/>
        </w:rPr>
        <w:t xml:space="preserve">ed that the histopathological alterations in the liver led to metabolic issues; these were particularly noticeable in the oedematous cells, which are a sign of bile stagnation in exposed fish's livers. This lesion is characterised by bile remnants in the form of droplets in the hepatocyte's cytoplasm. This provided compelling evidence in favour of the claims made by Pacheco and Santos (2002) and Ogundiran </w:t>
      </w:r>
      <w:r w:rsidR="00D46AAD" w:rsidRPr="00D46AAD">
        <w:rPr>
          <w:rFonts w:ascii="Times New Roman" w:eastAsia="Times New Roman" w:hAnsi="Times New Roman"/>
          <w:i/>
          <w:sz w:val="24"/>
          <w:szCs w:val="24"/>
          <w:lang w:val="en-GB" w:eastAsia="en-GB"/>
        </w:rPr>
        <w:t>et al</w:t>
      </w:r>
      <w:r w:rsidR="00D46AAD" w:rsidRPr="00D46AAD">
        <w:rPr>
          <w:rFonts w:ascii="Times New Roman" w:eastAsia="Times New Roman" w:hAnsi="Times New Roman"/>
          <w:sz w:val="24"/>
          <w:szCs w:val="24"/>
          <w:lang w:val="en-GB" w:eastAsia="en-GB"/>
        </w:rPr>
        <w:t>. (2010) that bile is not being released from the liver, which is also a sign of potential harm to the liver's hepatic metabolic processes.</w:t>
      </w:r>
    </w:p>
    <w:p w14:paraId="320818B0" w14:textId="77777777" w:rsidR="001F2047" w:rsidRDefault="00D46AAD" w:rsidP="00C263DE">
      <w:pPr>
        <w:spacing w:after="0" w:line="360" w:lineRule="auto"/>
        <w:ind w:firstLine="720"/>
        <w:jc w:val="both"/>
        <w:rPr>
          <w:rFonts w:ascii="Times New Roman" w:eastAsia="Times New Roman" w:hAnsi="Times New Roman"/>
          <w:sz w:val="24"/>
          <w:szCs w:val="24"/>
          <w:lang w:val="en-GB" w:eastAsia="en-GB"/>
        </w:rPr>
      </w:pPr>
      <w:r w:rsidRPr="00D46AAD">
        <w:rPr>
          <w:rFonts w:ascii="Times New Roman" w:eastAsia="Times New Roman" w:hAnsi="Times New Roman"/>
          <w:sz w:val="24"/>
          <w:szCs w:val="24"/>
          <w:lang w:val="en-GB" w:eastAsia="en-GB"/>
        </w:rPr>
        <w:t xml:space="preserve">Important hepatic lesions like degenerative and necrotic processes are typically linked to an increase in the degree of damage done to the liver tissue of the </w:t>
      </w:r>
      <w:r>
        <w:rPr>
          <w:rFonts w:ascii="Times New Roman" w:eastAsia="Times New Roman" w:hAnsi="Times New Roman"/>
          <w:sz w:val="24"/>
          <w:szCs w:val="24"/>
          <w:lang w:val="en-GB" w:eastAsia="en-GB"/>
        </w:rPr>
        <w:t>test organisms</w:t>
      </w:r>
      <w:r w:rsidRPr="00D46AAD">
        <w:rPr>
          <w:rFonts w:ascii="Times New Roman" w:eastAsia="Times New Roman" w:hAnsi="Times New Roman"/>
          <w:sz w:val="24"/>
          <w:szCs w:val="24"/>
          <w:lang w:val="en-GB" w:eastAsia="en-GB"/>
        </w:rPr>
        <w:t xml:space="preserve"> held in 26.0</w:t>
      </w:r>
      <w:r>
        <w:rPr>
          <w:rFonts w:ascii="Times New Roman" w:eastAsia="Times New Roman" w:hAnsi="Times New Roman"/>
          <w:sz w:val="24"/>
          <w:szCs w:val="24"/>
          <w:lang w:val="en-GB" w:eastAsia="en-GB"/>
        </w:rPr>
        <w:t>, 34.5, 43.25, and 53.8 µL/L DEP.</w:t>
      </w:r>
      <w:r w:rsidRPr="00D46AAD">
        <w:rPr>
          <w:rFonts w:ascii="Times New Roman" w:eastAsia="Times New Roman" w:hAnsi="Times New Roman"/>
          <w:sz w:val="24"/>
          <w:szCs w:val="24"/>
          <w:lang w:val="en-GB" w:eastAsia="en-GB"/>
        </w:rPr>
        <w:t xml:space="preserve"> </w:t>
      </w:r>
      <w:r>
        <w:rPr>
          <w:rFonts w:ascii="Times New Roman" w:eastAsia="Times New Roman" w:hAnsi="Times New Roman"/>
          <w:sz w:val="24"/>
          <w:szCs w:val="24"/>
          <w:lang w:val="en-GB" w:eastAsia="en-GB"/>
        </w:rPr>
        <w:t>T</w:t>
      </w:r>
      <w:r w:rsidRPr="00D46AAD">
        <w:rPr>
          <w:rFonts w:ascii="Times New Roman" w:eastAsia="Times New Roman" w:hAnsi="Times New Roman"/>
          <w:sz w:val="24"/>
          <w:szCs w:val="24"/>
          <w:lang w:val="en-GB" w:eastAsia="en-GB"/>
        </w:rPr>
        <w:t xml:space="preserve">his observation was consistent with the submission of Chang </w:t>
      </w:r>
      <w:r w:rsidRPr="00D46AAD">
        <w:rPr>
          <w:rFonts w:ascii="Times New Roman" w:eastAsia="Times New Roman" w:hAnsi="Times New Roman"/>
          <w:i/>
          <w:sz w:val="24"/>
          <w:szCs w:val="24"/>
          <w:lang w:val="en-GB" w:eastAsia="en-GB"/>
        </w:rPr>
        <w:t>et al</w:t>
      </w:r>
      <w:r w:rsidRPr="00D46AAD">
        <w:rPr>
          <w:rFonts w:ascii="Times New Roman" w:eastAsia="Times New Roman" w:hAnsi="Times New Roman"/>
          <w:sz w:val="24"/>
          <w:szCs w:val="24"/>
          <w:lang w:val="en-GB" w:eastAsia="en-GB"/>
        </w:rPr>
        <w:t>. (</w:t>
      </w:r>
      <w:r>
        <w:rPr>
          <w:rFonts w:ascii="Times New Roman" w:eastAsia="Times New Roman" w:hAnsi="Times New Roman"/>
          <w:sz w:val="24"/>
          <w:szCs w:val="24"/>
          <w:lang w:val="en-GB" w:eastAsia="en-GB"/>
        </w:rPr>
        <w:t>1998), Pacheco</w:t>
      </w:r>
      <w:r w:rsidR="00C263DE">
        <w:rPr>
          <w:rFonts w:ascii="Times New Roman" w:eastAsia="Times New Roman" w:hAnsi="Times New Roman"/>
          <w:sz w:val="24"/>
          <w:szCs w:val="24"/>
          <w:lang w:val="en-GB" w:eastAsia="en-GB"/>
        </w:rPr>
        <w:t xml:space="preserve"> and Santos (2002). </w:t>
      </w:r>
      <w:r w:rsidR="008752AD" w:rsidRPr="008752AD">
        <w:rPr>
          <w:rFonts w:ascii="Times New Roman" w:eastAsia="Times New Roman" w:hAnsi="Times New Roman"/>
          <w:sz w:val="24"/>
          <w:szCs w:val="24"/>
          <w:lang w:val="en-GB" w:eastAsia="en-GB"/>
        </w:rPr>
        <w:t xml:space="preserve">Furthermore, the presence of bile stagnation/accumulation and </w:t>
      </w:r>
      <w:proofErr w:type="spellStart"/>
      <w:r w:rsidR="008752AD" w:rsidRPr="008752AD">
        <w:rPr>
          <w:rFonts w:ascii="Times New Roman" w:eastAsia="Times New Roman" w:hAnsi="Times New Roman"/>
          <w:sz w:val="24"/>
          <w:szCs w:val="24"/>
          <w:lang w:val="en-GB" w:eastAsia="en-GB"/>
        </w:rPr>
        <w:t>melanomacrophages</w:t>
      </w:r>
      <w:proofErr w:type="spellEnd"/>
      <w:r w:rsidR="008752AD" w:rsidRPr="008752AD">
        <w:rPr>
          <w:rFonts w:ascii="Times New Roman" w:eastAsia="Times New Roman" w:hAnsi="Times New Roman"/>
          <w:sz w:val="24"/>
          <w:szCs w:val="24"/>
          <w:lang w:val="en-GB" w:eastAsia="en-GB"/>
        </w:rPr>
        <w:t xml:space="preserve"> in great quantity in the liver of exposed </w:t>
      </w:r>
      <w:r w:rsidR="005D5A4B" w:rsidRPr="005D5A4B">
        <w:rPr>
          <w:rFonts w:ascii="Times New Roman" w:eastAsia="Times New Roman" w:hAnsi="Times New Roman"/>
          <w:i/>
          <w:iCs/>
          <w:sz w:val="24"/>
          <w:szCs w:val="24"/>
          <w:lang w:val="en-GB" w:eastAsia="en-GB"/>
        </w:rPr>
        <w:t>C. gariepinus</w:t>
      </w:r>
      <w:r w:rsidR="008752AD" w:rsidRPr="008752AD">
        <w:rPr>
          <w:rFonts w:ascii="Times New Roman" w:eastAsia="Times New Roman" w:hAnsi="Times New Roman"/>
          <w:sz w:val="24"/>
          <w:szCs w:val="24"/>
          <w:lang w:val="en-GB" w:eastAsia="en-GB"/>
        </w:rPr>
        <w:t xml:space="preserve"> is strong evidence that this organ suffered structural and metabolic damage due to the exposure to the DEP, and this is in a way signalling the fact that the toxicant is fatal in its potency (</w:t>
      </w:r>
      <w:proofErr w:type="spellStart"/>
      <w:r w:rsidR="008752AD" w:rsidRPr="008752AD">
        <w:rPr>
          <w:rFonts w:ascii="Times New Roman" w:eastAsia="Times New Roman" w:hAnsi="Times New Roman"/>
          <w:sz w:val="24"/>
          <w:szCs w:val="24"/>
          <w:lang w:val="en-GB" w:eastAsia="en-GB"/>
        </w:rPr>
        <w:t>Haaparata</w:t>
      </w:r>
      <w:proofErr w:type="spellEnd"/>
      <w:r w:rsidR="008752AD" w:rsidRPr="008752AD">
        <w:rPr>
          <w:rFonts w:ascii="Times New Roman" w:eastAsia="Times New Roman" w:hAnsi="Times New Roman"/>
          <w:sz w:val="24"/>
          <w:szCs w:val="24"/>
          <w:lang w:val="en-GB" w:eastAsia="en-GB"/>
        </w:rPr>
        <w:t xml:space="preserve">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sz w:val="24"/>
          <w:szCs w:val="24"/>
          <w:lang w:val="en-GB" w:eastAsia="en-GB"/>
        </w:rPr>
        <w:t>., 1996).</w:t>
      </w:r>
      <w:r w:rsidR="00C263DE">
        <w:rPr>
          <w:rFonts w:ascii="Times New Roman" w:eastAsia="Times New Roman" w:hAnsi="Times New Roman"/>
          <w:sz w:val="24"/>
          <w:szCs w:val="24"/>
          <w:lang w:val="en-GB" w:eastAsia="en-GB"/>
        </w:rPr>
        <w:t xml:space="preserve"> </w:t>
      </w:r>
      <w:r w:rsidR="008752AD" w:rsidRPr="008752AD">
        <w:rPr>
          <w:rFonts w:ascii="Times New Roman" w:eastAsia="Times New Roman" w:hAnsi="Times New Roman"/>
          <w:sz w:val="24"/>
          <w:szCs w:val="24"/>
          <w:lang w:val="en-GB" w:eastAsia="en-GB"/>
        </w:rPr>
        <w:t>Generally, the alterations found in the kidney are shown in Plates 3a-e. The most important change found in the glomerulus of </w:t>
      </w:r>
      <w:r w:rsidR="005D5A4B" w:rsidRPr="005D5A4B">
        <w:rPr>
          <w:rFonts w:ascii="Times New Roman" w:eastAsia="Times New Roman" w:hAnsi="Times New Roman"/>
          <w:i/>
          <w:iCs/>
          <w:sz w:val="24"/>
          <w:szCs w:val="24"/>
          <w:lang w:val="en-GB" w:eastAsia="en-GB"/>
        </w:rPr>
        <w:t>C. gariepinus</w:t>
      </w:r>
      <w:r w:rsidR="008752AD" w:rsidRPr="008752AD">
        <w:rPr>
          <w:rFonts w:ascii="Times New Roman" w:eastAsia="Times New Roman" w:hAnsi="Times New Roman"/>
          <w:i/>
          <w:iCs/>
          <w:sz w:val="24"/>
          <w:szCs w:val="24"/>
          <w:lang w:val="en-GB" w:eastAsia="en-GB"/>
        </w:rPr>
        <w:t xml:space="preserve"> </w:t>
      </w:r>
      <w:r w:rsidR="008752AD" w:rsidRPr="008752AD">
        <w:rPr>
          <w:rFonts w:ascii="Times New Roman" w:eastAsia="Times New Roman" w:hAnsi="Times New Roman"/>
          <w:sz w:val="24"/>
          <w:szCs w:val="24"/>
          <w:lang w:val="en-GB" w:eastAsia="en-GB"/>
        </w:rPr>
        <w:t>kidney was glomerular expansion, resulting in reduction of Bowman's space. In the tubules, the most frequent alterations were cloudy swelling (Plate 3b and c), occlusion of tubular lumen (Plate 3d), and hyaline droplet degeneration (Plate 3d). Less frequently, regenerating tubules (Plate 3e) were seen. The fish kidney is one of the first organs to be affected by contaminants in the water (</w:t>
      </w:r>
      <w:proofErr w:type="spellStart"/>
      <w:r w:rsidR="008752AD" w:rsidRPr="008752AD">
        <w:rPr>
          <w:rFonts w:ascii="Times New Roman" w:eastAsia="Times New Roman" w:hAnsi="Times New Roman"/>
          <w:sz w:val="24"/>
          <w:szCs w:val="24"/>
          <w:lang w:val="en-GB" w:eastAsia="en-GB"/>
        </w:rPr>
        <w:t>Thophon</w:t>
      </w:r>
      <w:proofErr w:type="spellEnd"/>
      <w:r w:rsidR="008752AD" w:rsidRPr="008752AD">
        <w:rPr>
          <w:rFonts w:ascii="Times New Roman" w:eastAsia="Times New Roman" w:hAnsi="Times New Roman"/>
          <w:sz w:val="24"/>
          <w:szCs w:val="24"/>
          <w:lang w:val="en-GB" w:eastAsia="en-GB"/>
        </w:rPr>
        <w:t> </w:t>
      </w:r>
      <w:r w:rsidR="005D5A4B" w:rsidRPr="005D5A4B">
        <w:rPr>
          <w:rFonts w:ascii="Times New Roman" w:eastAsia="Times New Roman" w:hAnsi="Times New Roman"/>
          <w:i/>
          <w:iCs/>
          <w:sz w:val="24"/>
          <w:szCs w:val="24"/>
          <w:lang w:val="en-GB" w:eastAsia="en-GB"/>
        </w:rPr>
        <w:t>et al</w:t>
      </w:r>
      <w:r w:rsidR="008752AD" w:rsidRPr="008752AD">
        <w:rPr>
          <w:rFonts w:ascii="Times New Roman" w:eastAsia="Times New Roman" w:hAnsi="Times New Roman"/>
          <w:i/>
          <w:iCs/>
          <w:sz w:val="24"/>
          <w:szCs w:val="24"/>
          <w:lang w:val="en-GB" w:eastAsia="en-GB"/>
        </w:rPr>
        <w:t>.,</w:t>
      </w:r>
      <w:r w:rsidR="008752AD" w:rsidRPr="008752AD">
        <w:rPr>
          <w:rFonts w:ascii="Times New Roman" w:eastAsia="Times New Roman" w:hAnsi="Times New Roman"/>
          <w:sz w:val="24"/>
          <w:szCs w:val="24"/>
          <w:lang w:val="en-GB" w:eastAsia="en-GB"/>
        </w:rPr>
        <w:t xml:space="preserve"> 2003). </w:t>
      </w:r>
    </w:p>
    <w:p w14:paraId="7BA7DD18" w14:textId="77777777" w:rsidR="008752AD" w:rsidRPr="008752AD" w:rsidRDefault="008752AD" w:rsidP="00C263DE">
      <w:pPr>
        <w:spacing w:after="0" w:line="360" w:lineRule="auto"/>
        <w:ind w:firstLine="720"/>
        <w:jc w:val="both"/>
        <w:rPr>
          <w:rFonts w:ascii="Times New Roman" w:eastAsia="Times New Roman" w:hAnsi="Times New Roman"/>
          <w:sz w:val="24"/>
          <w:szCs w:val="24"/>
          <w:lang w:val="en-GB" w:eastAsia="en-GB"/>
        </w:rPr>
      </w:pPr>
      <w:r w:rsidRPr="008752AD">
        <w:rPr>
          <w:rFonts w:ascii="Times New Roman" w:eastAsia="Times New Roman" w:hAnsi="Times New Roman"/>
          <w:sz w:val="24"/>
          <w:szCs w:val="24"/>
          <w:lang w:val="en-GB" w:eastAsia="en-GB"/>
        </w:rPr>
        <w:lastRenderedPageBreak/>
        <w:t xml:space="preserve">Most common alterations found in the kidney of fishes in the control stock are mild tubule degeneration (cloudy swelling and hyaline droplets) and changes in the corpuscle, such as dilation of capillaries in the glomerulus and reduction of Bowman´s space (Takashima and Hibiya, 1995); all these may be due to mis-handling of the fishes. Exposure to DEP caused alterations in the tubules and glomerulus, such as were described by </w:t>
      </w:r>
      <w:proofErr w:type="spellStart"/>
      <w:r w:rsidRPr="008752AD">
        <w:rPr>
          <w:rFonts w:ascii="Times New Roman" w:eastAsia="Times New Roman" w:hAnsi="Times New Roman"/>
          <w:sz w:val="24"/>
          <w:szCs w:val="24"/>
          <w:lang w:val="en-GB" w:eastAsia="en-GB"/>
        </w:rPr>
        <w:t>Thophon</w:t>
      </w:r>
      <w:proofErr w:type="spellEnd"/>
      <w:r w:rsidRPr="008752AD">
        <w:rPr>
          <w:rFonts w:ascii="Times New Roman" w:eastAsia="Times New Roman" w:hAnsi="Times New Roman"/>
          <w:sz w:val="24"/>
          <w:szCs w:val="24"/>
          <w:lang w:val="en-GB" w:eastAsia="en-GB"/>
        </w:rPr>
        <w:t> </w:t>
      </w:r>
      <w:r w:rsidR="005D5A4B" w:rsidRPr="005D5A4B">
        <w:rPr>
          <w:rFonts w:ascii="Times New Roman" w:eastAsia="Times New Roman" w:hAnsi="Times New Roman"/>
          <w:i/>
          <w:iCs/>
          <w:sz w:val="24"/>
          <w:szCs w:val="24"/>
          <w:lang w:val="en-GB" w:eastAsia="en-GB"/>
        </w:rPr>
        <w:t>et al</w:t>
      </w:r>
      <w:r w:rsidRPr="008752AD">
        <w:rPr>
          <w:rFonts w:ascii="Times New Roman" w:eastAsia="Times New Roman" w:hAnsi="Times New Roman"/>
          <w:sz w:val="24"/>
          <w:szCs w:val="24"/>
          <w:lang w:val="en-GB" w:eastAsia="en-GB"/>
        </w:rPr>
        <w:t>. (2003) for the perch (</w:t>
      </w:r>
      <w:r w:rsidRPr="008752AD">
        <w:rPr>
          <w:rFonts w:ascii="Times New Roman" w:eastAsia="Times New Roman" w:hAnsi="Times New Roman"/>
          <w:i/>
          <w:iCs/>
          <w:sz w:val="24"/>
          <w:szCs w:val="24"/>
          <w:lang w:val="en-GB" w:eastAsia="en-GB"/>
        </w:rPr>
        <w:t>Lates calcarifer</w:t>
      </w:r>
      <w:r w:rsidRPr="008752AD">
        <w:rPr>
          <w:rFonts w:ascii="Times New Roman" w:eastAsia="Times New Roman" w:hAnsi="Times New Roman"/>
          <w:sz w:val="24"/>
          <w:szCs w:val="24"/>
          <w:lang w:val="en-GB" w:eastAsia="en-GB"/>
        </w:rPr>
        <w:t xml:space="preserve">) exposed to cadmium; Handy and Penrice (1993) found swollen Bowman´s capsule cells and </w:t>
      </w:r>
      <w:proofErr w:type="spellStart"/>
      <w:r w:rsidRPr="008752AD">
        <w:rPr>
          <w:rFonts w:ascii="Times New Roman" w:eastAsia="Times New Roman" w:hAnsi="Times New Roman"/>
          <w:sz w:val="24"/>
          <w:szCs w:val="24"/>
          <w:lang w:val="en-GB" w:eastAsia="en-GB"/>
        </w:rPr>
        <w:t>melanomacrophages</w:t>
      </w:r>
      <w:proofErr w:type="spellEnd"/>
      <w:r w:rsidRPr="008752AD">
        <w:rPr>
          <w:rFonts w:ascii="Times New Roman" w:eastAsia="Times New Roman" w:hAnsi="Times New Roman"/>
          <w:sz w:val="24"/>
          <w:szCs w:val="24"/>
          <w:lang w:val="en-GB" w:eastAsia="en-GB"/>
        </w:rPr>
        <w:t xml:space="preserve"> in the kidney of trout (</w:t>
      </w:r>
      <w:r w:rsidRPr="008752AD">
        <w:rPr>
          <w:rFonts w:ascii="Times New Roman" w:eastAsia="Times New Roman" w:hAnsi="Times New Roman"/>
          <w:i/>
          <w:iCs/>
          <w:sz w:val="24"/>
          <w:szCs w:val="24"/>
          <w:lang w:val="en-GB" w:eastAsia="en-GB"/>
        </w:rPr>
        <w:t>Salmo trutta</w:t>
      </w:r>
      <w:r w:rsidRPr="008752AD">
        <w:rPr>
          <w:rFonts w:ascii="Times New Roman" w:eastAsia="Times New Roman" w:hAnsi="Times New Roman"/>
          <w:sz w:val="24"/>
          <w:szCs w:val="24"/>
          <w:lang w:val="en-GB" w:eastAsia="en-GB"/>
        </w:rPr>
        <w:t>) and tilapia (</w:t>
      </w:r>
      <w:r w:rsidRPr="008752AD">
        <w:rPr>
          <w:rFonts w:ascii="Times New Roman" w:eastAsia="Times New Roman" w:hAnsi="Times New Roman"/>
          <w:i/>
          <w:iCs/>
          <w:sz w:val="24"/>
          <w:szCs w:val="24"/>
          <w:lang w:val="en-GB" w:eastAsia="en-GB"/>
        </w:rPr>
        <w:t xml:space="preserve">Oreochromis </w:t>
      </w:r>
      <w:proofErr w:type="spellStart"/>
      <w:r w:rsidRPr="008752AD">
        <w:rPr>
          <w:rFonts w:ascii="Times New Roman" w:eastAsia="Times New Roman" w:hAnsi="Times New Roman"/>
          <w:i/>
          <w:iCs/>
          <w:sz w:val="24"/>
          <w:szCs w:val="24"/>
          <w:lang w:val="en-GB" w:eastAsia="en-GB"/>
        </w:rPr>
        <w:t>mossambicus</w:t>
      </w:r>
      <w:proofErr w:type="spellEnd"/>
      <w:r w:rsidR="00C263DE">
        <w:rPr>
          <w:rFonts w:ascii="Times New Roman" w:eastAsia="Times New Roman" w:hAnsi="Times New Roman"/>
          <w:sz w:val="24"/>
          <w:szCs w:val="24"/>
          <w:lang w:val="en-GB" w:eastAsia="en-GB"/>
        </w:rPr>
        <w:t xml:space="preserve">) exposed to mercuric chloride. </w:t>
      </w:r>
      <w:r w:rsidR="001F2047" w:rsidRPr="001F2047">
        <w:rPr>
          <w:rFonts w:ascii="Times New Roman" w:eastAsia="Times New Roman" w:hAnsi="Times New Roman"/>
          <w:sz w:val="24"/>
          <w:szCs w:val="24"/>
          <w:lang w:val="en-GB" w:eastAsia="en-GB"/>
        </w:rPr>
        <w:t xml:space="preserve">Fish subjected to mixed environmental toxins (Pacheco and Santos, 2002) and organic contaminants (Veiga </w:t>
      </w:r>
      <w:r w:rsidR="001F2047" w:rsidRPr="001F2047">
        <w:rPr>
          <w:rFonts w:ascii="Times New Roman" w:eastAsia="Times New Roman" w:hAnsi="Times New Roman"/>
          <w:i/>
          <w:sz w:val="24"/>
          <w:szCs w:val="24"/>
          <w:lang w:val="en-GB" w:eastAsia="en-GB"/>
        </w:rPr>
        <w:t>et al</w:t>
      </w:r>
      <w:r w:rsidR="001F2047" w:rsidRPr="001F2047">
        <w:rPr>
          <w:rFonts w:ascii="Times New Roman" w:eastAsia="Times New Roman" w:hAnsi="Times New Roman"/>
          <w:sz w:val="24"/>
          <w:szCs w:val="24"/>
          <w:lang w:val="en-GB" w:eastAsia="en-GB"/>
        </w:rPr>
        <w:t>., 2002) showed similar changes.</w:t>
      </w:r>
      <w:r w:rsidR="001F2047">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These reports suggest that the histopathological changes in the kidney, like in gills, could not be considered specific to the stressors. In the present study, the kidney of the fish often showed cloudy swelling in tubule cells, and this alteration can be identified by the hypertrophy of the cells and the presence of small granules in the cytoplasm, which takes on the appearance of a net. This initial stage in the degeneration process can progress to hyaline degeneration, characterised by the presence of large eosinophilic granules inside the cells. </w:t>
      </w:r>
      <w:r w:rsidR="00C263DE">
        <w:rPr>
          <w:rFonts w:ascii="Times New Roman" w:eastAsia="Times New Roman" w:hAnsi="Times New Roman"/>
          <w:sz w:val="24"/>
          <w:szCs w:val="24"/>
          <w:lang w:val="en-GB" w:eastAsia="en-GB"/>
        </w:rPr>
        <w:t xml:space="preserve"> </w:t>
      </w:r>
      <w:r w:rsidRPr="008752AD">
        <w:rPr>
          <w:rFonts w:ascii="Times New Roman" w:eastAsia="Times New Roman" w:hAnsi="Times New Roman"/>
          <w:sz w:val="24"/>
          <w:szCs w:val="24"/>
          <w:lang w:val="en-GB" w:eastAsia="en-GB"/>
        </w:rPr>
        <w:t xml:space="preserve">These granules may be formed inside the cells or by the reabsorption of plasma proteins lost in the urine, indicating damage in the corpuscle (Hinton and </w:t>
      </w:r>
      <w:proofErr w:type="spellStart"/>
      <w:r w:rsidRPr="008752AD">
        <w:rPr>
          <w:rFonts w:ascii="Times New Roman" w:eastAsia="Times New Roman" w:hAnsi="Times New Roman"/>
          <w:sz w:val="24"/>
          <w:szCs w:val="24"/>
          <w:lang w:val="en-GB" w:eastAsia="en-GB"/>
        </w:rPr>
        <w:t>Laurén</w:t>
      </w:r>
      <w:proofErr w:type="spellEnd"/>
      <w:r w:rsidRPr="008752AD">
        <w:rPr>
          <w:rFonts w:ascii="Times New Roman" w:eastAsia="Times New Roman" w:hAnsi="Times New Roman"/>
          <w:sz w:val="24"/>
          <w:szCs w:val="24"/>
          <w:lang w:val="en-GB" w:eastAsia="en-GB"/>
        </w:rPr>
        <w:t>, 1990; Takashima and Hibiya, 1995). In more severe cases, the degenerative process can lead to tissue necrosis (Takashima and Hibiya, 1995). The presence of tubule degeneration, coupled with the absence of necrosis in the kidney in the present study, indicates that the kidney suffered damage after exposure to DEP, but the short period of confinement may have prevented the establishment of necrosis in this organ.</w:t>
      </w:r>
    </w:p>
    <w:p w14:paraId="71D9D4A8" w14:textId="77777777" w:rsidR="00C43A07" w:rsidRDefault="0002725C" w:rsidP="004B4B12">
      <w:pPr>
        <w:pStyle w:val="NormalWeb"/>
        <w:shd w:val="clear" w:color="auto" w:fill="FFFFFF"/>
        <w:spacing w:before="0" w:beforeAutospacing="0" w:after="0" w:afterAutospacing="0" w:line="360" w:lineRule="auto"/>
        <w:jc w:val="both"/>
        <w:rPr>
          <w:rFonts w:eastAsia="SimSun"/>
          <w:b/>
          <w:bCs/>
        </w:rPr>
      </w:pPr>
      <w:r w:rsidRPr="000B1B63">
        <w:rPr>
          <w:rFonts w:eastAsia="SimSun"/>
          <w:b/>
          <w:bCs/>
        </w:rPr>
        <w:t>Conclusion</w:t>
      </w:r>
    </w:p>
    <w:p w14:paraId="4CC02372" w14:textId="77777777" w:rsidR="00C43A07" w:rsidRPr="00C43A07" w:rsidRDefault="00C43A07" w:rsidP="004B4B12">
      <w:pPr>
        <w:pStyle w:val="NormalWeb"/>
        <w:shd w:val="clear" w:color="auto" w:fill="FFFFFF"/>
        <w:spacing w:before="0" w:beforeAutospacing="0" w:after="0" w:afterAutospacing="0" w:line="360" w:lineRule="auto"/>
        <w:ind w:firstLine="720"/>
        <w:jc w:val="both"/>
        <w:rPr>
          <w:rFonts w:eastAsia="SimSun"/>
          <w:b/>
          <w:bCs/>
        </w:rPr>
      </w:pPr>
      <w:r w:rsidRPr="00C43A07">
        <w:rPr>
          <w:lang w:val="en-GB" w:eastAsia="en-GB"/>
        </w:rPr>
        <w:t>Since different concentrations of DEP can change the blood indices, organ tissue, and histological structures of post-juvenile African catfish (</w:t>
      </w:r>
      <w:r w:rsidR="005D5A4B" w:rsidRPr="005D5A4B">
        <w:rPr>
          <w:i/>
          <w:lang w:val="en-GB" w:eastAsia="en-GB"/>
        </w:rPr>
        <w:t>C. gariepinus</w:t>
      </w:r>
      <w:r w:rsidRPr="00C43A07">
        <w:rPr>
          <w:lang w:val="en-GB" w:eastAsia="en-GB"/>
        </w:rPr>
        <w:t xml:space="preserve">), the use of DEP for the manufacturing and production of more useful materials should be closely monitored. This is because the impact of DEP in the </w:t>
      </w:r>
      <w:r w:rsidR="00F568A7">
        <w:rPr>
          <w:lang w:val="en-GB" w:eastAsia="en-GB"/>
        </w:rPr>
        <w:t>present</w:t>
      </w:r>
      <w:r w:rsidRPr="00C43A07">
        <w:rPr>
          <w:lang w:val="en-GB" w:eastAsia="en-GB"/>
        </w:rPr>
        <w:t xml:space="preserve"> study caused a variety of behavioural responses, mortality, haematological, and histological changes. </w:t>
      </w:r>
      <w:r w:rsidR="00C263DE">
        <w:rPr>
          <w:lang w:val="en-GB" w:eastAsia="en-GB"/>
        </w:rPr>
        <w:t xml:space="preserve">Therefore, these recorded physiological alterations may have long term effects on all aquatic organisms. </w:t>
      </w:r>
      <w:r w:rsidR="00862608">
        <w:rPr>
          <w:lang w:val="en-GB" w:eastAsia="en-GB"/>
        </w:rPr>
        <w:t xml:space="preserve">Indiscriminate usage and handling of DEP in areas close to fish farms and aquatic environment should be discouraged. </w:t>
      </w:r>
      <w:r w:rsidR="00C263DE">
        <w:rPr>
          <w:lang w:val="en-GB" w:eastAsia="en-GB"/>
        </w:rPr>
        <w:t>It is recommended that an</w:t>
      </w:r>
      <w:r w:rsidRPr="00C43A07">
        <w:rPr>
          <w:lang w:val="en-GB" w:eastAsia="en-GB"/>
        </w:rPr>
        <w:t xml:space="preserve"> additional research should b</w:t>
      </w:r>
      <w:r w:rsidR="000E24E3">
        <w:rPr>
          <w:lang w:val="en-GB" w:eastAsia="en-GB"/>
        </w:rPr>
        <w:t xml:space="preserve">e done on how the fish's blood and tissue </w:t>
      </w:r>
      <w:r w:rsidRPr="00C43A07">
        <w:rPr>
          <w:lang w:val="en-GB" w:eastAsia="en-GB"/>
        </w:rPr>
        <w:t>react biochemically to DEP</w:t>
      </w:r>
      <w:r w:rsidR="00C263DE">
        <w:rPr>
          <w:lang w:val="en-GB" w:eastAsia="en-GB"/>
        </w:rPr>
        <w:t xml:space="preserve"> intoxication</w:t>
      </w:r>
    </w:p>
    <w:p w14:paraId="021CB458" w14:textId="77777777" w:rsidR="00C660BD" w:rsidRDefault="00C660BD" w:rsidP="004B4B12">
      <w:pPr>
        <w:spacing w:after="0" w:line="360" w:lineRule="auto"/>
      </w:pPr>
    </w:p>
    <w:p w14:paraId="223F44F9" w14:textId="77777777" w:rsidR="0002725C" w:rsidRPr="0002725C" w:rsidRDefault="0002725C" w:rsidP="0002725C">
      <w:pPr>
        <w:jc w:val="center"/>
        <w:rPr>
          <w:rFonts w:ascii="Times New Roman" w:hAnsi="Times New Roman"/>
          <w:b/>
          <w:sz w:val="24"/>
          <w:szCs w:val="24"/>
        </w:rPr>
      </w:pPr>
      <w:r w:rsidRPr="0002725C">
        <w:rPr>
          <w:rFonts w:ascii="Times New Roman" w:hAnsi="Times New Roman"/>
          <w:b/>
          <w:sz w:val="24"/>
          <w:szCs w:val="24"/>
        </w:rPr>
        <w:t>References</w:t>
      </w:r>
    </w:p>
    <w:p w14:paraId="7045D65A"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Abbas, H. H. H., and</w:t>
      </w:r>
      <w:r w:rsidR="003F6F1A" w:rsidRPr="003F6F1A">
        <w:rPr>
          <w:rFonts w:ascii="Times New Roman" w:hAnsi="Times New Roman"/>
          <w:sz w:val="24"/>
          <w:szCs w:val="24"/>
        </w:rPr>
        <w:t xml:space="preserve"> Mahmood, H. M. (2003). The toxicological effect of water pollution on the Nile Tilapia fish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collected from four sites along the River Nile. </w:t>
      </w:r>
      <w:r w:rsidR="003F6F1A" w:rsidRPr="003F6F1A">
        <w:rPr>
          <w:rFonts w:ascii="Times New Roman" w:hAnsi="Times New Roman"/>
          <w:i/>
          <w:sz w:val="24"/>
          <w:szCs w:val="24"/>
        </w:rPr>
        <w:t>Journal of Egypt Veterinary Medical Association</w:t>
      </w:r>
      <w:r w:rsidR="003F6F1A" w:rsidRPr="003F6F1A">
        <w:rPr>
          <w:rFonts w:ascii="Times New Roman" w:hAnsi="Times New Roman"/>
          <w:sz w:val="24"/>
          <w:szCs w:val="24"/>
        </w:rPr>
        <w:t>, 63, 307-323.</w:t>
      </w:r>
    </w:p>
    <w:p w14:paraId="423D3FFE"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Abbas, H. H. H., and</w:t>
      </w:r>
      <w:r w:rsidR="003F6F1A" w:rsidRPr="003F6F1A">
        <w:rPr>
          <w:rFonts w:ascii="Times New Roman" w:hAnsi="Times New Roman"/>
          <w:sz w:val="24"/>
          <w:szCs w:val="24"/>
        </w:rPr>
        <w:t xml:space="preserve"> Mahmood, H. M. (2003). The toxicological effect of water pollution on the Nile Tilapia fish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collected from four sites along the River Nile. </w:t>
      </w:r>
      <w:r w:rsidR="003F6F1A" w:rsidRPr="003F6F1A">
        <w:rPr>
          <w:rFonts w:ascii="Times New Roman" w:hAnsi="Times New Roman"/>
          <w:i/>
          <w:sz w:val="24"/>
          <w:szCs w:val="24"/>
        </w:rPr>
        <w:t>Journal of Egypt Veterinary Medical Association</w:t>
      </w:r>
      <w:r w:rsidR="003F6F1A" w:rsidRPr="003F6F1A">
        <w:rPr>
          <w:rFonts w:ascii="Times New Roman" w:hAnsi="Times New Roman"/>
          <w:sz w:val="24"/>
          <w:szCs w:val="24"/>
        </w:rPr>
        <w:t>, 63, 307-323.</w:t>
      </w:r>
    </w:p>
    <w:p w14:paraId="42CCD282"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Abbas, H. H. H., and</w:t>
      </w:r>
      <w:r w:rsidR="003F6F1A" w:rsidRPr="003F6F1A">
        <w:rPr>
          <w:rFonts w:ascii="Times New Roman" w:hAnsi="Times New Roman"/>
          <w:sz w:val="24"/>
          <w:szCs w:val="24"/>
        </w:rPr>
        <w:t xml:space="preserve"> Mahmood, H. M. (2004).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changes in </w:t>
      </w:r>
      <w:r w:rsidR="003F6F1A" w:rsidRPr="003F6F1A">
        <w:rPr>
          <w:rFonts w:ascii="Times New Roman" w:hAnsi="Times New Roman"/>
          <w:i/>
          <w:sz w:val="24"/>
          <w:szCs w:val="24"/>
        </w:rPr>
        <w:t xml:space="preserve">Oreochromis </w:t>
      </w:r>
      <w:proofErr w:type="spellStart"/>
      <w:r w:rsidR="003F6F1A" w:rsidRPr="003F6F1A">
        <w:rPr>
          <w:rFonts w:ascii="Times New Roman" w:hAnsi="Times New Roman"/>
          <w:i/>
          <w:sz w:val="24"/>
          <w:szCs w:val="24"/>
        </w:rPr>
        <w:t>aurens</w:t>
      </w:r>
      <w:proofErr w:type="spellEnd"/>
      <w:r w:rsidR="003F6F1A" w:rsidRPr="003F6F1A">
        <w:rPr>
          <w:rFonts w:ascii="Times New Roman" w:hAnsi="Times New Roman"/>
          <w:sz w:val="24"/>
          <w:szCs w:val="24"/>
        </w:rPr>
        <w:t xml:space="preserve"> and </w:t>
      </w:r>
      <w:proofErr w:type="spellStart"/>
      <w:r w:rsidR="003F6F1A" w:rsidRPr="003F6F1A">
        <w:rPr>
          <w:rFonts w:ascii="Times New Roman" w:hAnsi="Times New Roman"/>
          <w:i/>
          <w:sz w:val="24"/>
          <w:szCs w:val="24"/>
        </w:rPr>
        <w:t>Clarias</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gariepinus</w:t>
      </w:r>
      <w:proofErr w:type="spellEnd"/>
      <w:r w:rsidR="003F6F1A" w:rsidRPr="003F6F1A">
        <w:rPr>
          <w:rFonts w:ascii="Times New Roman" w:hAnsi="Times New Roman"/>
          <w:sz w:val="24"/>
          <w:szCs w:val="24"/>
        </w:rPr>
        <w:t xml:space="preserve"> exposed to mixtures of copper and lead salts. </w:t>
      </w:r>
      <w:r w:rsidR="003F6F1A" w:rsidRPr="003F6F1A">
        <w:rPr>
          <w:rFonts w:ascii="Times New Roman" w:hAnsi="Times New Roman"/>
          <w:i/>
          <w:sz w:val="24"/>
          <w:szCs w:val="24"/>
        </w:rPr>
        <w:t>Egyptian Journal of Basic and Applied Physiology</w:t>
      </w:r>
      <w:r w:rsidR="003F6F1A" w:rsidRPr="003F6F1A">
        <w:rPr>
          <w:rFonts w:ascii="Times New Roman" w:hAnsi="Times New Roman"/>
          <w:sz w:val="24"/>
          <w:szCs w:val="24"/>
        </w:rPr>
        <w:t>, 3, 89-106.</w:t>
      </w:r>
    </w:p>
    <w:p w14:paraId="46B499E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 xml:space="preserve">Abbas, H. H. H., and </w:t>
      </w:r>
      <w:r w:rsidR="003F6F1A" w:rsidRPr="003F6F1A">
        <w:rPr>
          <w:rFonts w:ascii="Times New Roman" w:hAnsi="Times New Roman"/>
          <w:sz w:val="24"/>
          <w:szCs w:val="24"/>
        </w:rPr>
        <w:t xml:space="preserve">Mahmood, H. M. (2004).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changes in </w:t>
      </w:r>
      <w:r w:rsidR="003F6F1A" w:rsidRPr="003F6F1A">
        <w:rPr>
          <w:rFonts w:ascii="Times New Roman" w:hAnsi="Times New Roman"/>
          <w:i/>
          <w:sz w:val="24"/>
          <w:szCs w:val="24"/>
        </w:rPr>
        <w:t xml:space="preserve">Oreochromis </w:t>
      </w:r>
      <w:proofErr w:type="spellStart"/>
      <w:r w:rsidR="003F6F1A" w:rsidRPr="003F6F1A">
        <w:rPr>
          <w:rFonts w:ascii="Times New Roman" w:hAnsi="Times New Roman"/>
          <w:i/>
          <w:sz w:val="24"/>
          <w:szCs w:val="24"/>
        </w:rPr>
        <w:t>aurens</w:t>
      </w:r>
      <w:proofErr w:type="spellEnd"/>
      <w:r w:rsidR="003F6F1A" w:rsidRPr="003F6F1A">
        <w:rPr>
          <w:rFonts w:ascii="Times New Roman" w:hAnsi="Times New Roman"/>
          <w:sz w:val="24"/>
          <w:szCs w:val="24"/>
        </w:rPr>
        <w:t xml:space="preserve"> and </w:t>
      </w:r>
      <w:proofErr w:type="spellStart"/>
      <w:r w:rsidR="003F6F1A" w:rsidRPr="003F6F1A">
        <w:rPr>
          <w:rFonts w:ascii="Times New Roman" w:hAnsi="Times New Roman"/>
          <w:i/>
          <w:sz w:val="24"/>
          <w:szCs w:val="24"/>
        </w:rPr>
        <w:t>Clarias</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gariepinus</w:t>
      </w:r>
      <w:proofErr w:type="spellEnd"/>
      <w:r w:rsidR="003F6F1A" w:rsidRPr="003F6F1A">
        <w:rPr>
          <w:rFonts w:ascii="Times New Roman" w:hAnsi="Times New Roman"/>
          <w:sz w:val="24"/>
          <w:szCs w:val="24"/>
        </w:rPr>
        <w:t xml:space="preserve"> exposed to mixtures of copper and lead salts. </w:t>
      </w:r>
      <w:r w:rsidR="003F6F1A" w:rsidRPr="003F6F1A">
        <w:rPr>
          <w:rFonts w:ascii="Times New Roman" w:hAnsi="Times New Roman"/>
          <w:i/>
          <w:sz w:val="24"/>
          <w:szCs w:val="24"/>
        </w:rPr>
        <w:t>Egyptian Journal of Basic and Applied Physiology</w:t>
      </w:r>
      <w:r w:rsidR="003F6F1A" w:rsidRPr="003F6F1A">
        <w:rPr>
          <w:rFonts w:ascii="Times New Roman" w:hAnsi="Times New Roman"/>
          <w:sz w:val="24"/>
          <w:szCs w:val="24"/>
        </w:rPr>
        <w:t>, 3, 89-106.</w:t>
      </w:r>
    </w:p>
    <w:p w14:paraId="1980C9C6"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Adeogun</w:t>
      </w:r>
      <w:proofErr w:type="spellEnd"/>
      <w:r w:rsidRPr="003F6F1A">
        <w:rPr>
          <w:rFonts w:ascii="Times New Roman" w:hAnsi="Times New Roman"/>
          <w:sz w:val="24"/>
          <w:szCs w:val="24"/>
        </w:rPr>
        <w:t xml:space="preserve">, A. O., </w:t>
      </w:r>
      <w:proofErr w:type="spellStart"/>
      <w:r w:rsidRPr="003F6F1A">
        <w:rPr>
          <w:rFonts w:ascii="Times New Roman" w:hAnsi="Times New Roman"/>
          <w:sz w:val="24"/>
          <w:szCs w:val="24"/>
        </w:rPr>
        <w:t>Ibor</w:t>
      </w:r>
      <w:proofErr w:type="spellEnd"/>
      <w:r w:rsidRPr="003F6F1A">
        <w:rPr>
          <w:rFonts w:ascii="Times New Roman" w:hAnsi="Times New Roman"/>
          <w:sz w:val="24"/>
          <w:szCs w:val="24"/>
        </w:rPr>
        <w:t xml:space="preserve">, O. R., </w:t>
      </w:r>
      <w:proofErr w:type="spellStart"/>
      <w:r w:rsidRPr="003F6F1A">
        <w:rPr>
          <w:rFonts w:ascii="Times New Roman" w:hAnsi="Times New Roman"/>
          <w:sz w:val="24"/>
          <w:szCs w:val="24"/>
        </w:rPr>
        <w:t>Omogbemi</w:t>
      </w:r>
      <w:proofErr w:type="spellEnd"/>
      <w:r w:rsidRPr="003F6F1A">
        <w:rPr>
          <w:rFonts w:ascii="Times New Roman" w:hAnsi="Times New Roman"/>
          <w:sz w:val="24"/>
          <w:szCs w:val="24"/>
        </w:rPr>
        <w:t>, E. D., Chukwuka, A. V., Ad</w:t>
      </w:r>
      <w:r w:rsidR="00F568A7">
        <w:rPr>
          <w:rFonts w:ascii="Times New Roman" w:hAnsi="Times New Roman"/>
          <w:sz w:val="24"/>
          <w:szCs w:val="24"/>
        </w:rPr>
        <w:t>egbola, R. A., Adewuyi, G. A., and</w:t>
      </w:r>
      <w:r w:rsidRPr="003F6F1A">
        <w:rPr>
          <w:rFonts w:ascii="Times New Roman" w:hAnsi="Times New Roman"/>
          <w:sz w:val="24"/>
          <w:szCs w:val="24"/>
        </w:rPr>
        <w:t xml:space="preserve"> </w:t>
      </w:r>
      <w:proofErr w:type="spellStart"/>
      <w:r w:rsidRPr="003F6F1A">
        <w:rPr>
          <w:rFonts w:ascii="Times New Roman" w:hAnsi="Times New Roman"/>
          <w:sz w:val="24"/>
          <w:szCs w:val="24"/>
        </w:rPr>
        <w:t>Arukwe</w:t>
      </w:r>
      <w:proofErr w:type="spellEnd"/>
      <w:r w:rsidRPr="003F6F1A">
        <w:rPr>
          <w:rFonts w:ascii="Times New Roman" w:hAnsi="Times New Roman"/>
          <w:sz w:val="24"/>
          <w:szCs w:val="24"/>
        </w:rPr>
        <w:t xml:space="preserve">, A. (2015). Environmental occurrence and biota concentration of phthalate esters in Epe and Lagos Lagoons, Nigeria. </w:t>
      </w:r>
      <w:r w:rsidRPr="003F6F1A">
        <w:rPr>
          <w:rFonts w:ascii="Times New Roman" w:hAnsi="Times New Roman"/>
          <w:i/>
          <w:sz w:val="24"/>
          <w:szCs w:val="24"/>
        </w:rPr>
        <w:t>Marine Environmental Research</w:t>
      </w:r>
      <w:r w:rsidRPr="003F6F1A">
        <w:rPr>
          <w:rFonts w:ascii="Times New Roman" w:hAnsi="Times New Roman"/>
          <w:sz w:val="24"/>
          <w:szCs w:val="24"/>
        </w:rPr>
        <w:t>, 108, 24-32.</w:t>
      </w:r>
    </w:p>
    <w:p w14:paraId="7CC973C3"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Adeogun</w:t>
      </w:r>
      <w:proofErr w:type="spellEnd"/>
      <w:r w:rsidRPr="003F6F1A">
        <w:rPr>
          <w:rFonts w:ascii="Times New Roman" w:hAnsi="Times New Roman"/>
          <w:sz w:val="24"/>
          <w:szCs w:val="24"/>
        </w:rPr>
        <w:t xml:space="preserve">, A. O., </w:t>
      </w:r>
      <w:proofErr w:type="spellStart"/>
      <w:r w:rsidRPr="003F6F1A">
        <w:rPr>
          <w:rFonts w:ascii="Times New Roman" w:hAnsi="Times New Roman"/>
          <w:sz w:val="24"/>
          <w:szCs w:val="24"/>
        </w:rPr>
        <w:t>Ibor</w:t>
      </w:r>
      <w:proofErr w:type="spellEnd"/>
      <w:r w:rsidRPr="003F6F1A">
        <w:rPr>
          <w:rFonts w:ascii="Times New Roman" w:hAnsi="Times New Roman"/>
          <w:sz w:val="24"/>
          <w:szCs w:val="24"/>
        </w:rPr>
        <w:t xml:space="preserve">, O. R., </w:t>
      </w:r>
      <w:proofErr w:type="spellStart"/>
      <w:r w:rsidRPr="003F6F1A">
        <w:rPr>
          <w:rFonts w:ascii="Times New Roman" w:hAnsi="Times New Roman"/>
          <w:sz w:val="24"/>
          <w:szCs w:val="24"/>
        </w:rPr>
        <w:t>Omogbemi</w:t>
      </w:r>
      <w:proofErr w:type="spellEnd"/>
      <w:r w:rsidRPr="003F6F1A">
        <w:rPr>
          <w:rFonts w:ascii="Times New Roman" w:hAnsi="Times New Roman"/>
          <w:sz w:val="24"/>
          <w:szCs w:val="24"/>
        </w:rPr>
        <w:t>, E. D., Chukwuka, A. V., Ad</w:t>
      </w:r>
      <w:r w:rsidR="00F568A7">
        <w:rPr>
          <w:rFonts w:ascii="Times New Roman" w:hAnsi="Times New Roman"/>
          <w:sz w:val="24"/>
          <w:szCs w:val="24"/>
        </w:rPr>
        <w:t>egbola, R. A., Adewuyi, G. A., and</w:t>
      </w:r>
      <w:r w:rsidRPr="003F6F1A">
        <w:rPr>
          <w:rFonts w:ascii="Times New Roman" w:hAnsi="Times New Roman"/>
          <w:sz w:val="24"/>
          <w:szCs w:val="24"/>
        </w:rPr>
        <w:t xml:space="preserve"> </w:t>
      </w:r>
      <w:proofErr w:type="spellStart"/>
      <w:r w:rsidRPr="003F6F1A">
        <w:rPr>
          <w:rFonts w:ascii="Times New Roman" w:hAnsi="Times New Roman"/>
          <w:sz w:val="24"/>
          <w:szCs w:val="24"/>
        </w:rPr>
        <w:t>Arukwe</w:t>
      </w:r>
      <w:proofErr w:type="spellEnd"/>
      <w:r w:rsidRPr="003F6F1A">
        <w:rPr>
          <w:rFonts w:ascii="Times New Roman" w:hAnsi="Times New Roman"/>
          <w:sz w:val="24"/>
          <w:szCs w:val="24"/>
        </w:rPr>
        <w:t xml:space="preserve">, A. (2015). Environmental occurrence and biota concentration of phthalate esters in Epe and Lagos Lagoons, Nigeria. </w:t>
      </w:r>
      <w:r w:rsidRPr="003F6F1A">
        <w:rPr>
          <w:rFonts w:ascii="Times New Roman" w:hAnsi="Times New Roman"/>
          <w:i/>
          <w:sz w:val="24"/>
          <w:szCs w:val="24"/>
        </w:rPr>
        <w:t>Marine Environmental Research</w:t>
      </w:r>
      <w:r w:rsidRPr="003F6F1A">
        <w:rPr>
          <w:rFonts w:ascii="Times New Roman" w:hAnsi="Times New Roman"/>
          <w:sz w:val="24"/>
          <w:szCs w:val="24"/>
        </w:rPr>
        <w:t>, 108, 24-32.</w:t>
      </w:r>
    </w:p>
    <w:p w14:paraId="576B00F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Adewale, O., Uche, N., and</w:t>
      </w:r>
      <w:r w:rsidR="003F6F1A" w:rsidRPr="003F6F1A">
        <w:rPr>
          <w:rFonts w:ascii="Times New Roman" w:hAnsi="Times New Roman"/>
          <w:sz w:val="24"/>
          <w:szCs w:val="24"/>
        </w:rPr>
        <w:t xml:space="preserve"> Odion, I. (2022).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responses of </w:t>
      </w:r>
      <w:r w:rsidR="003F6F1A" w:rsidRPr="003F6F1A">
        <w:rPr>
          <w:rFonts w:ascii="Times New Roman" w:hAnsi="Times New Roman"/>
          <w:i/>
          <w:sz w:val="24"/>
          <w:szCs w:val="24"/>
        </w:rPr>
        <w:t xml:space="preserve">Tilapia </w:t>
      </w:r>
      <w:proofErr w:type="spellStart"/>
      <w:r w:rsidR="003F6F1A" w:rsidRPr="003F6F1A">
        <w:rPr>
          <w:rFonts w:ascii="Times New Roman" w:hAnsi="Times New Roman"/>
          <w:i/>
          <w:sz w:val="24"/>
          <w:szCs w:val="24"/>
        </w:rPr>
        <w:t>mossambica</w:t>
      </w:r>
      <w:proofErr w:type="spellEnd"/>
      <w:r w:rsidR="003F6F1A" w:rsidRPr="003F6F1A">
        <w:rPr>
          <w:rFonts w:ascii="Times New Roman" w:hAnsi="Times New Roman"/>
          <w:sz w:val="24"/>
          <w:szCs w:val="24"/>
        </w:rPr>
        <w:t xml:space="preserve"> to phthalate exposure. </w:t>
      </w:r>
      <w:r w:rsidR="003F6F1A" w:rsidRPr="003F6F1A">
        <w:rPr>
          <w:rFonts w:ascii="Times New Roman" w:hAnsi="Times New Roman"/>
          <w:i/>
          <w:sz w:val="24"/>
          <w:szCs w:val="24"/>
        </w:rPr>
        <w:t>Environmental Toxicology</w:t>
      </w:r>
      <w:r w:rsidR="003F6F1A" w:rsidRPr="003F6F1A">
        <w:rPr>
          <w:rFonts w:ascii="Times New Roman" w:hAnsi="Times New Roman"/>
          <w:sz w:val="24"/>
          <w:szCs w:val="24"/>
        </w:rPr>
        <w:t>, 47(1), 12-20.</w:t>
      </w:r>
    </w:p>
    <w:p w14:paraId="3F0FF631"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Adewum</w:t>
      </w:r>
      <w:proofErr w:type="spellEnd"/>
      <w:r>
        <w:rPr>
          <w:rFonts w:ascii="Times New Roman" w:hAnsi="Times New Roman"/>
          <w:sz w:val="24"/>
          <w:szCs w:val="24"/>
        </w:rPr>
        <w:t>, A. A., and</w:t>
      </w:r>
      <w:r w:rsidR="003F6F1A" w:rsidRPr="003F6F1A">
        <w:rPr>
          <w:rFonts w:ascii="Times New Roman" w:hAnsi="Times New Roman"/>
          <w:sz w:val="24"/>
          <w:szCs w:val="24"/>
        </w:rPr>
        <w:t xml:space="preserve"> Olakje, V. F. (2011). Catfish culture in Nigeria: progress, prospect and problems. </w:t>
      </w:r>
      <w:r w:rsidR="003F6F1A" w:rsidRPr="003F6F1A">
        <w:rPr>
          <w:rFonts w:ascii="Times New Roman" w:hAnsi="Times New Roman"/>
          <w:i/>
          <w:sz w:val="24"/>
          <w:szCs w:val="24"/>
        </w:rPr>
        <w:t>African Journal of Agriculture Research</w:t>
      </w:r>
      <w:r w:rsidR="003F6F1A" w:rsidRPr="003F6F1A">
        <w:rPr>
          <w:rFonts w:ascii="Times New Roman" w:hAnsi="Times New Roman"/>
          <w:sz w:val="24"/>
          <w:szCs w:val="24"/>
        </w:rPr>
        <w:t>, 6, 1281-1285.</w:t>
      </w:r>
    </w:p>
    <w:p w14:paraId="62648B11"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Aguigwo</w:t>
      </w:r>
      <w:proofErr w:type="spellEnd"/>
      <w:r w:rsidRPr="003F6F1A">
        <w:rPr>
          <w:rFonts w:ascii="Times New Roman" w:hAnsi="Times New Roman"/>
          <w:sz w:val="24"/>
          <w:szCs w:val="24"/>
        </w:rPr>
        <w:t>, J. N. (2002). The toxic effect of cassava (</w:t>
      </w:r>
      <w:r w:rsidRPr="003F6F1A">
        <w:rPr>
          <w:rFonts w:ascii="Times New Roman" w:hAnsi="Times New Roman"/>
          <w:i/>
          <w:sz w:val="24"/>
          <w:szCs w:val="24"/>
        </w:rPr>
        <w:t>Manihot esculenta</w:t>
      </w:r>
      <w:r w:rsidRPr="003F6F1A">
        <w:rPr>
          <w:rFonts w:ascii="Times New Roman" w:hAnsi="Times New Roman"/>
          <w:sz w:val="24"/>
          <w:szCs w:val="24"/>
        </w:rPr>
        <w:t xml:space="preserve">) effluent on the freshwater fish, </w:t>
      </w:r>
      <w:r w:rsidRPr="003F6F1A">
        <w:rPr>
          <w:rFonts w:ascii="Times New Roman" w:hAnsi="Times New Roman"/>
          <w:i/>
          <w:sz w:val="24"/>
          <w:szCs w:val="24"/>
        </w:rPr>
        <w:t xml:space="preserve">Tilapia </w:t>
      </w:r>
      <w:proofErr w:type="spellStart"/>
      <w:r w:rsidRPr="003F6F1A">
        <w:rPr>
          <w:rFonts w:ascii="Times New Roman" w:hAnsi="Times New Roman"/>
          <w:i/>
          <w:sz w:val="24"/>
          <w:szCs w:val="24"/>
        </w:rPr>
        <w:t>zilli</w:t>
      </w:r>
      <w:proofErr w:type="spellEnd"/>
      <w:r w:rsidRPr="003F6F1A">
        <w:rPr>
          <w:rFonts w:ascii="Times New Roman" w:hAnsi="Times New Roman"/>
          <w:sz w:val="24"/>
          <w:szCs w:val="24"/>
        </w:rPr>
        <w:t xml:space="preserve">. </w:t>
      </w:r>
      <w:r w:rsidRPr="003F6F1A">
        <w:rPr>
          <w:rFonts w:ascii="Times New Roman" w:hAnsi="Times New Roman"/>
          <w:i/>
          <w:sz w:val="24"/>
          <w:szCs w:val="24"/>
        </w:rPr>
        <w:t>Journal of Aquatic Sciences</w:t>
      </w:r>
      <w:r w:rsidRPr="003F6F1A">
        <w:rPr>
          <w:rFonts w:ascii="Times New Roman" w:hAnsi="Times New Roman"/>
          <w:sz w:val="24"/>
          <w:szCs w:val="24"/>
        </w:rPr>
        <w:t>, 17(1), 31-34.</w:t>
      </w:r>
    </w:p>
    <w:p w14:paraId="4638002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Ahmed, I., Reshi, Q. M., and</w:t>
      </w:r>
      <w:r w:rsidR="003F6F1A" w:rsidRPr="003F6F1A">
        <w:rPr>
          <w:rFonts w:ascii="Times New Roman" w:hAnsi="Times New Roman"/>
          <w:sz w:val="24"/>
          <w:szCs w:val="24"/>
        </w:rPr>
        <w:t xml:space="preserve"> Fazio, F. (2020). The influence of the endogenous and exogenous factors on hematological parameters in different fish species: A review. </w:t>
      </w:r>
      <w:r w:rsidR="003F6F1A" w:rsidRPr="003F6F1A">
        <w:rPr>
          <w:rFonts w:ascii="Times New Roman" w:hAnsi="Times New Roman"/>
          <w:i/>
          <w:sz w:val="24"/>
          <w:szCs w:val="24"/>
        </w:rPr>
        <w:t>Aquaculture International</w:t>
      </w:r>
      <w:r w:rsidR="003F6F1A" w:rsidRPr="003F6F1A">
        <w:rPr>
          <w:rFonts w:ascii="Times New Roman" w:hAnsi="Times New Roman"/>
          <w:sz w:val="24"/>
          <w:szCs w:val="24"/>
        </w:rPr>
        <w:t>, 28, 869-899.</w:t>
      </w:r>
    </w:p>
    <w:p w14:paraId="6D6A2D4E"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Al-Snafi, A. E. (2016). The chemical constituents and pharmacological effects of </w:t>
      </w:r>
      <w:r w:rsidRPr="003F6F1A">
        <w:rPr>
          <w:rFonts w:ascii="Times New Roman" w:hAnsi="Times New Roman"/>
          <w:i/>
          <w:sz w:val="24"/>
          <w:szCs w:val="24"/>
        </w:rPr>
        <w:t>Carica papaya</w:t>
      </w:r>
      <w:r w:rsidRPr="003F6F1A">
        <w:rPr>
          <w:rFonts w:ascii="Times New Roman" w:hAnsi="Times New Roman"/>
          <w:sz w:val="24"/>
          <w:szCs w:val="24"/>
        </w:rPr>
        <w:t xml:space="preserve"> - An overview. </w:t>
      </w:r>
      <w:r w:rsidRPr="003F6F1A">
        <w:rPr>
          <w:rFonts w:ascii="Times New Roman" w:hAnsi="Times New Roman"/>
          <w:i/>
          <w:sz w:val="24"/>
          <w:szCs w:val="24"/>
        </w:rPr>
        <w:t>International Journal of Pharmacology and Toxicology</w:t>
      </w:r>
      <w:r w:rsidRPr="003F6F1A">
        <w:rPr>
          <w:rFonts w:ascii="Times New Roman" w:hAnsi="Times New Roman"/>
          <w:sz w:val="24"/>
          <w:szCs w:val="24"/>
        </w:rPr>
        <w:t>, 4(2), 82-88.</w:t>
      </w:r>
    </w:p>
    <w:p w14:paraId="1D590D7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American Public Health Association. (1998). Standard methods for the examination of water and waste water (20th ed.). New York.</w:t>
      </w:r>
    </w:p>
    <w:p w14:paraId="7C653E27"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Angugwo</w:t>
      </w:r>
      <w:proofErr w:type="spellEnd"/>
      <w:r w:rsidRPr="003F6F1A">
        <w:rPr>
          <w:rFonts w:ascii="Times New Roman" w:hAnsi="Times New Roman"/>
          <w:sz w:val="24"/>
          <w:szCs w:val="24"/>
        </w:rPr>
        <w:t xml:space="preserve">, J. N. (2002). The toxic effects of </w:t>
      </w:r>
      <w:proofErr w:type="spellStart"/>
      <w:r w:rsidRPr="003F6F1A">
        <w:rPr>
          <w:rFonts w:ascii="Times New Roman" w:hAnsi="Times New Roman"/>
          <w:sz w:val="24"/>
          <w:szCs w:val="24"/>
        </w:rPr>
        <w:t>cymbush</w:t>
      </w:r>
      <w:proofErr w:type="spellEnd"/>
      <w:r w:rsidRPr="003F6F1A">
        <w:rPr>
          <w:rFonts w:ascii="Times New Roman" w:hAnsi="Times New Roman"/>
          <w:sz w:val="24"/>
          <w:szCs w:val="24"/>
        </w:rPr>
        <w:t xml:space="preserve"> pesticides on growth and survival of African catfish </w:t>
      </w:r>
      <w:r w:rsidRPr="003F6F1A">
        <w:rPr>
          <w:rFonts w:ascii="Times New Roman" w:hAnsi="Times New Roman"/>
          <w:i/>
          <w:sz w:val="24"/>
          <w:szCs w:val="24"/>
        </w:rPr>
        <w:t>Clarias gariepinus</w:t>
      </w:r>
      <w:r w:rsidRPr="003F6F1A">
        <w:rPr>
          <w:rFonts w:ascii="Times New Roman" w:hAnsi="Times New Roman"/>
          <w:sz w:val="24"/>
          <w:szCs w:val="24"/>
        </w:rPr>
        <w:t xml:space="preserve"> (Burchell). </w:t>
      </w:r>
      <w:r w:rsidRPr="003F6F1A">
        <w:rPr>
          <w:rFonts w:ascii="Times New Roman" w:hAnsi="Times New Roman"/>
          <w:i/>
          <w:sz w:val="24"/>
          <w:szCs w:val="24"/>
        </w:rPr>
        <w:t>Journal of Aquatic Sciences</w:t>
      </w:r>
      <w:r w:rsidRPr="003F6F1A">
        <w:rPr>
          <w:rFonts w:ascii="Times New Roman" w:hAnsi="Times New Roman"/>
          <w:sz w:val="24"/>
          <w:szCs w:val="24"/>
        </w:rPr>
        <w:t>, 17, 85-86.</w:t>
      </w:r>
    </w:p>
    <w:p w14:paraId="530E4E69"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Ansar</w:t>
      </w:r>
      <w:r w:rsidR="00F568A7">
        <w:rPr>
          <w:rFonts w:ascii="Times New Roman" w:hAnsi="Times New Roman"/>
          <w:sz w:val="24"/>
          <w:szCs w:val="24"/>
        </w:rPr>
        <w:t>i, S., Sharma, P., and</w:t>
      </w:r>
      <w:r w:rsidRPr="003F6F1A">
        <w:rPr>
          <w:rFonts w:ascii="Times New Roman" w:hAnsi="Times New Roman"/>
          <w:sz w:val="24"/>
          <w:szCs w:val="24"/>
        </w:rPr>
        <w:t xml:space="preserve"> Tripathi, P. (2021). Comparative toxicity of mercury chloride on freshwater fish species: A review. </w:t>
      </w:r>
      <w:r w:rsidRPr="003F6F1A">
        <w:rPr>
          <w:rFonts w:ascii="Times New Roman" w:hAnsi="Times New Roman"/>
          <w:i/>
          <w:sz w:val="24"/>
          <w:szCs w:val="24"/>
        </w:rPr>
        <w:t>Journal of Aquatic Toxicology</w:t>
      </w:r>
      <w:r w:rsidRPr="003F6F1A">
        <w:rPr>
          <w:rFonts w:ascii="Times New Roman" w:hAnsi="Times New Roman"/>
          <w:sz w:val="24"/>
          <w:szCs w:val="24"/>
        </w:rPr>
        <w:t>, 20(3), 211-219.</w:t>
      </w:r>
    </w:p>
    <w:p w14:paraId="66E2EFE1"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Ayanda, </w:t>
      </w:r>
      <w:r w:rsidR="00F568A7">
        <w:rPr>
          <w:rFonts w:ascii="Times New Roman" w:hAnsi="Times New Roman"/>
          <w:sz w:val="24"/>
          <w:szCs w:val="24"/>
        </w:rPr>
        <w:t xml:space="preserve">O. I., </w:t>
      </w:r>
      <w:proofErr w:type="spellStart"/>
      <w:r w:rsidR="00F568A7">
        <w:rPr>
          <w:rFonts w:ascii="Times New Roman" w:hAnsi="Times New Roman"/>
          <w:sz w:val="24"/>
          <w:szCs w:val="24"/>
        </w:rPr>
        <w:t>Oniye</w:t>
      </w:r>
      <w:proofErr w:type="spellEnd"/>
      <w:r w:rsidR="00F568A7">
        <w:rPr>
          <w:rFonts w:ascii="Times New Roman" w:hAnsi="Times New Roman"/>
          <w:sz w:val="24"/>
          <w:szCs w:val="24"/>
        </w:rPr>
        <w:t>, S. J., Auta, J., and</w:t>
      </w:r>
      <w:r w:rsidRPr="003F6F1A">
        <w:rPr>
          <w:rFonts w:ascii="Times New Roman" w:hAnsi="Times New Roman"/>
          <w:sz w:val="24"/>
          <w:szCs w:val="24"/>
        </w:rPr>
        <w:t xml:space="preserve"> Ajibola, V. O. (2015). Acute toxicity of glyphosate and paraquat to the African catfish (</w:t>
      </w:r>
      <w:proofErr w:type="spellStart"/>
      <w:r w:rsidRPr="003F6F1A">
        <w:rPr>
          <w:rFonts w:ascii="Times New Roman" w:hAnsi="Times New Roman"/>
          <w:i/>
          <w:sz w:val="24"/>
          <w:szCs w:val="24"/>
        </w:rPr>
        <w:t>Clarias</w:t>
      </w:r>
      <w:proofErr w:type="spellEnd"/>
      <w:r w:rsidRPr="003F6F1A">
        <w:rPr>
          <w:rFonts w:ascii="Times New Roman" w:hAnsi="Times New Roman"/>
          <w:i/>
          <w:sz w:val="24"/>
          <w:szCs w:val="24"/>
        </w:rPr>
        <w:t xml:space="preserve"> </w:t>
      </w:r>
      <w:proofErr w:type="spellStart"/>
      <w:r w:rsidRPr="003F6F1A">
        <w:rPr>
          <w:rFonts w:ascii="Times New Roman" w:hAnsi="Times New Roman"/>
          <w:i/>
          <w:sz w:val="24"/>
          <w:szCs w:val="24"/>
        </w:rPr>
        <w:t>gariepinus</w:t>
      </w:r>
      <w:proofErr w:type="spellEnd"/>
      <w:r w:rsidRPr="003F6F1A">
        <w:rPr>
          <w:rFonts w:ascii="Times New Roman" w:hAnsi="Times New Roman"/>
          <w:sz w:val="24"/>
          <w:szCs w:val="24"/>
        </w:rPr>
        <w:t xml:space="preserve">, </w:t>
      </w:r>
      <w:proofErr w:type="spellStart"/>
      <w:r w:rsidRPr="003F6F1A">
        <w:rPr>
          <w:rFonts w:ascii="Times New Roman" w:hAnsi="Times New Roman"/>
          <w:sz w:val="24"/>
          <w:szCs w:val="24"/>
        </w:rPr>
        <w:t>Buchell</w:t>
      </w:r>
      <w:proofErr w:type="spellEnd"/>
      <w:r w:rsidRPr="003F6F1A">
        <w:rPr>
          <w:rFonts w:ascii="Times New Roman" w:hAnsi="Times New Roman"/>
          <w:sz w:val="24"/>
          <w:szCs w:val="24"/>
        </w:rPr>
        <w:t xml:space="preserve">, 1822) using some biochemical indicators. </w:t>
      </w:r>
      <w:r w:rsidRPr="003F6F1A">
        <w:rPr>
          <w:rFonts w:ascii="Times New Roman" w:hAnsi="Times New Roman"/>
          <w:i/>
          <w:sz w:val="24"/>
          <w:szCs w:val="24"/>
        </w:rPr>
        <w:t>Tropical Zoology</w:t>
      </w:r>
      <w:r w:rsidRPr="003F6F1A">
        <w:rPr>
          <w:rFonts w:ascii="Times New Roman" w:hAnsi="Times New Roman"/>
          <w:sz w:val="24"/>
          <w:szCs w:val="24"/>
        </w:rPr>
        <w:t>, 28, 152-162.</w:t>
      </w:r>
    </w:p>
    <w:p w14:paraId="2B196D7F"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Ay</w:t>
      </w:r>
      <w:r w:rsidR="00F568A7">
        <w:rPr>
          <w:rFonts w:ascii="Times New Roman" w:hAnsi="Times New Roman"/>
          <w:sz w:val="24"/>
          <w:szCs w:val="24"/>
        </w:rPr>
        <w:t>andiran</w:t>
      </w:r>
      <w:proofErr w:type="spellEnd"/>
      <w:r w:rsidR="00F568A7">
        <w:rPr>
          <w:rFonts w:ascii="Times New Roman" w:hAnsi="Times New Roman"/>
          <w:sz w:val="24"/>
          <w:szCs w:val="24"/>
        </w:rPr>
        <w:t>, O. O., Fawole, O. O., and</w:t>
      </w:r>
      <w:r w:rsidRPr="003F6F1A">
        <w:rPr>
          <w:rFonts w:ascii="Times New Roman" w:hAnsi="Times New Roman"/>
          <w:sz w:val="24"/>
          <w:szCs w:val="24"/>
        </w:rPr>
        <w:t xml:space="preserve"> Ogundiran, M. A. (2022). Polycyclic aromatic hydrocarbon concentrations in </w:t>
      </w:r>
      <w:r w:rsidRPr="003F6F1A">
        <w:rPr>
          <w:rFonts w:ascii="Times New Roman" w:hAnsi="Times New Roman"/>
          <w:i/>
          <w:sz w:val="24"/>
          <w:szCs w:val="24"/>
        </w:rPr>
        <w:t>Clarias gariepinus</w:t>
      </w:r>
      <w:r w:rsidRPr="003F6F1A">
        <w:rPr>
          <w:rFonts w:ascii="Times New Roman" w:hAnsi="Times New Roman"/>
          <w:sz w:val="24"/>
          <w:szCs w:val="24"/>
        </w:rPr>
        <w:t xml:space="preserve"> from Oluwa River, Ondo State, Nigeria. </w:t>
      </w:r>
      <w:r w:rsidRPr="003F6F1A">
        <w:rPr>
          <w:rFonts w:ascii="Times New Roman" w:hAnsi="Times New Roman"/>
          <w:i/>
          <w:sz w:val="24"/>
          <w:szCs w:val="24"/>
        </w:rPr>
        <w:t>Research Journal of Environmental Toxicology</w:t>
      </w:r>
      <w:r w:rsidRPr="003F6F1A">
        <w:rPr>
          <w:rFonts w:ascii="Times New Roman" w:hAnsi="Times New Roman"/>
          <w:sz w:val="24"/>
          <w:szCs w:val="24"/>
        </w:rPr>
        <w:t>, 16, 1-11.</w:t>
      </w:r>
    </w:p>
    <w:p w14:paraId="098A640D"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Ayoola, S. O. (2008a). Toxicity of glyphosate herbicide on Nile tilapia (</w:t>
      </w:r>
      <w:r w:rsidRPr="003F6F1A">
        <w:rPr>
          <w:rFonts w:ascii="Times New Roman" w:hAnsi="Times New Roman"/>
          <w:i/>
          <w:sz w:val="24"/>
          <w:szCs w:val="24"/>
        </w:rPr>
        <w:t>Oreochromis niloticus</w:t>
      </w:r>
      <w:r w:rsidRPr="003F6F1A">
        <w:rPr>
          <w:rFonts w:ascii="Times New Roman" w:hAnsi="Times New Roman"/>
          <w:sz w:val="24"/>
          <w:szCs w:val="24"/>
        </w:rPr>
        <w:t xml:space="preserve">) (L.) juvenile. </w:t>
      </w:r>
      <w:r w:rsidRPr="003F6F1A">
        <w:rPr>
          <w:rFonts w:ascii="Times New Roman" w:hAnsi="Times New Roman"/>
          <w:i/>
          <w:sz w:val="24"/>
          <w:szCs w:val="24"/>
        </w:rPr>
        <w:t>African Journal of Agricultural Research</w:t>
      </w:r>
      <w:r w:rsidRPr="003F6F1A">
        <w:rPr>
          <w:rFonts w:ascii="Times New Roman" w:hAnsi="Times New Roman"/>
          <w:sz w:val="24"/>
          <w:szCs w:val="24"/>
        </w:rPr>
        <w:t>, 3(12), 825-834.</w:t>
      </w:r>
    </w:p>
    <w:p w14:paraId="1D2D0211"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Ayoola, S. O. (2008b). Histopathological effects of glyphosate on juvenile African catfish (</w:t>
      </w:r>
      <w:r w:rsidRPr="003F6F1A">
        <w:rPr>
          <w:rFonts w:ascii="Times New Roman" w:hAnsi="Times New Roman"/>
          <w:i/>
          <w:sz w:val="24"/>
          <w:szCs w:val="24"/>
        </w:rPr>
        <w:t>Clarias gariepinus</w:t>
      </w:r>
      <w:r w:rsidRPr="003F6F1A">
        <w:rPr>
          <w:rFonts w:ascii="Times New Roman" w:hAnsi="Times New Roman"/>
          <w:sz w:val="24"/>
          <w:szCs w:val="24"/>
        </w:rPr>
        <w:t xml:space="preserve">). </w:t>
      </w:r>
      <w:r w:rsidRPr="003F6F1A">
        <w:rPr>
          <w:rFonts w:ascii="Times New Roman" w:hAnsi="Times New Roman"/>
          <w:i/>
          <w:sz w:val="24"/>
          <w:szCs w:val="24"/>
        </w:rPr>
        <w:t>American-Eurasian Journal of Agricultural and Environmental Science</w:t>
      </w:r>
      <w:r w:rsidRPr="003F6F1A">
        <w:rPr>
          <w:rFonts w:ascii="Times New Roman" w:hAnsi="Times New Roman"/>
          <w:sz w:val="24"/>
          <w:szCs w:val="24"/>
        </w:rPr>
        <w:t>, 4, 362-367.</w:t>
      </w:r>
    </w:p>
    <w:p w14:paraId="62B51A9E"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 xml:space="preserve">Ayotunde, E. O., </w:t>
      </w:r>
      <w:proofErr w:type="spellStart"/>
      <w:r>
        <w:rPr>
          <w:rFonts w:ascii="Times New Roman" w:hAnsi="Times New Roman"/>
          <w:sz w:val="24"/>
          <w:szCs w:val="24"/>
        </w:rPr>
        <w:t>Offem</w:t>
      </w:r>
      <w:proofErr w:type="spellEnd"/>
      <w:r>
        <w:rPr>
          <w:rFonts w:ascii="Times New Roman" w:hAnsi="Times New Roman"/>
          <w:sz w:val="24"/>
          <w:szCs w:val="24"/>
        </w:rPr>
        <w:t>, B. O., and</w:t>
      </w:r>
      <w:r w:rsidR="003F6F1A" w:rsidRPr="003F6F1A">
        <w:rPr>
          <w:rFonts w:ascii="Times New Roman" w:hAnsi="Times New Roman"/>
          <w:sz w:val="24"/>
          <w:szCs w:val="24"/>
        </w:rPr>
        <w:t xml:space="preserve"> Okey, I. B. (2011). Toxicity of Carica papaya seed powder to juvenile Nile tilapia,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(Linne 1757). </w:t>
      </w:r>
      <w:r w:rsidR="003F6F1A" w:rsidRPr="003F6F1A">
        <w:rPr>
          <w:rFonts w:ascii="Times New Roman" w:hAnsi="Times New Roman"/>
          <w:i/>
          <w:sz w:val="24"/>
          <w:szCs w:val="24"/>
        </w:rPr>
        <w:t>Aquaculture Research</w:t>
      </w:r>
      <w:r w:rsidR="003F6F1A" w:rsidRPr="003F6F1A">
        <w:rPr>
          <w:rFonts w:ascii="Times New Roman" w:hAnsi="Times New Roman"/>
          <w:sz w:val="24"/>
          <w:szCs w:val="24"/>
        </w:rPr>
        <w:t>, 42(3), 392-402.</w:t>
      </w:r>
    </w:p>
    <w:p w14:paraId="58CB146F"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Bownik</w:t>
      </w:r>
      <w:proofErr w:type="spellEnd"/>
      <w:r>
        <w:rPr>
          <w:rFonts w:ascii="Times New Roman" w:hAnsi="Times New Roman"/>
          <w:sz w:val="24"/>
          <w:szCs w:val="24"/>
        </w:rPr>
        <w:t>, A.,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Wlodkowic</w:t>
      </w:r>
      <w:proofErr w:type="spellEnd"/>
      <w:r w:rsidR="003F6F1A" w:rsidRPr="003F6F1A">
        <w:rPr>
          <w:rFonts w:ascii="Times New Roman" w:hAnsi="Times New Roman"/>
          <w:sz w:val="24"/>
          <w:szCs w:val="24"/>
        </w:rPr>
        <w:t xml:space="preserve">, D. (2021). Advances in real-time monitoring of water quality using automated analysis of animal </w:t>
      </w:r>
      <w:proofErr w:type="spellStart"/>
      <w:r w:rsidR="003F6F1A" w:rsidRPr="003F6F1A">
        <w:rPr>
          <w:rFonts w:ascii="Times New Roman" w:hAnsi="Times New Roman"/>
          <w:sz w:val="24"/>
          <w:szCs w:val="24"/>
        </w:rPr>
        <w:t>behaviour</w:t>
      </w:r>
      <w:proofErr w:type="spellEnd"/>
      <w:r w:rsidR="003F6F1A" w:rsidRPr="003F6F1A">
        <w:rPr>
          <w:rFonts w:ascii="Times New Roman" w:hAnsi="Times New Roman"/>
          <w:sz w:val="24"/>
          <w:szCs w:val="24"/>
        </w:rPr>
        <w:t xml:space="preserve">. </w:t>
      </w:r>
      <w:r w:rsidR="003F6F1A" w:rsidRPr="003F6F1A">
        <w:rPr>
          <w:rFonts w:ascii="Times New Roman" w:hAnsi="Times New Roman"/>
          <w:i/>
          <w:sz w:val="24"/>
          <w:szCs w:val="24"/>
        </w:rPr>
        <w:t>Science of the Total Environment</w:t>
      </w:r>
      <w:r w:rsidR="003F6F1A" w:rsidRPr="003F6F1A">
        <w:rPr>
          <w:rFonts w:ascii="Times New Roman" w:hAnsi="Times New Roman"/>
          <w:sz w:val="24"/>
          <w:szCs w:val="24"/>
        </w:rPr>
        <w:t>, 789, 147796. https://doi.org/10.1016/j.scitotenv.2021.147796</w:t>
      </w:r>
    </w:p>
    <w:p w14:paraId="01DBDBE4"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Cordeiro Bentes, S. P., da Cruz, M. G., Je</w:t>
      </w:r>
      <w:r w:rsidR="00F568A7">
        <w:rPr>
          <w:rFonts w:ascii="Times New Roman" w:hAnsi="Times New Roman"/>
          <w:sz w:val="24"/>
          <w:szCs w:val="24"/>
        </w:rPr>
        <w:t>ronimo, G. T., Coimbra, F. C., and</w:t>
      </w:r>
      <w:r w:rsidRPr="003F6F1A">
        <w:rPr>
          <w:rFonts w:ascii="Times New Roman" w:hAnsi="Times New Roman"/>
          <w:sz w:val="24"/>
          <w:szCs w:val="24"/>
        </w:rPr>
        <w:t xml:space="preserve"> Goncalves, L. U. (2022). Chloramine-T application for </w:t>
      </w:r>
      <w:proofErr w:type="spellStart"/>
      <w:r w:rsidRPr="003F6F1A">
        <w:rPr>
          <w:rFonts w:ascii="Times New Roman" w:hAnsi="Times New Roman"/>
          <w:i/>
          <w:sz w:val="24"/>
          <w:szCs w:val="24"/>
        </w:rPr>
        <w:t>Trichodina</w:t>
      </w:r>
      <w:proofErr w:type="spellEnd"/>
      <w:r w:rsidRPr="003F6F1A">
        <w:rPr>
          <w:rFonts w:ascii="Times New Roman" w:hAnsi="Times New Roman"/>
          <w:i/>
          <w:sz w:val="24"/>
          <w:szCs w:val="24"/>
        </w:rPr>
        <w:t xml:space="preserve"> spp</w:t>
      </w:r>
      <w:r w:rsidRPr="003F6F1A">
        <w:rPr>
          <w:rFonts w:ascii="Times New Roman" w:hAnsi="Times New Roman"/>
          <w:sz w:val="24"/>
          <w:szCs w:val="24"/>
        </w:rPr>
        <w:t xml:space="preserve">. in </w:t>
      </w:r>
      <w:r w:rsidRPr="003F6F1A">
        <w:rPr>
          <w:rFonts w:ascii="Times New Roman" w:hAnsi="Times New Roman"/>
          <w:i/>
          <w:sz w:val="24"/>
          <w:szCs w:val="24"/>
        </w:rPr>
        <w:t>Arapaima giga</w:t>
      </w:r>
      <w:r w:rsidRPr="003F6F1A">
        <w:rPr>
          <w:rFonts w:ascii="Times New Roman" w:hAnsi="Times New Roman"/>
          <w:sz w:val="24"/>
          <w:szCs w:val="24"/>
        </w:rPr>
        <w:t xml:space="preserve">s juveniles: Acute toxicity, histopathology, efficacy, and physiological effects. </w:t>
      </w:r>
      <w:r w:rsidRPr="003F6F1A">
        <w:rPr>
          <w:rFonts w:ascii="Times New Roman" w:hAnsi="Times New Roman"/>
          <w:i/>
          <w:sz w:val="24"/>
          <w:szCs w:val="24"/>
        </w:rPr>
        <w:t>Veterinary Parasitology</w:t>
      </w:r>
      <w:r w:rsidRPr="003F6F1A">
        <w:rPr>
          <w:rFonts w:ascii="Times New Roman" w:hAnsi="Times New Roman"/>
          <w:sz w:val="24"/>
          <w:szCs w:val="24"/>
        </w:rPr>
        <w:t>, 303, 109667.</w:t>
      </w:r>
    </w:p>
    <w:p w14:paraId="6A8F6D1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Dacie, J. V., and</w:t>
      </w:r>
      <w:r w:rsidR="003F6F1A" w:rsidRPr="003F6F1A">
        <w:rPr>
          <w:rFonts w:ascii="Times New Roman" w:hAnsi="Times New Roman"/>
          <w:sz w:val="24"/>
          <w:szCs w:val="24"/>
        </w:rPr>
        <w:t xml:space="preserve"> Lewis, S. M. (1991). Practical </w:t>
      </w:r>
      <w:proofErr w:type="spellStart"/>
      <w:r w:rsidR="003F6F1A" w:rsidRPr="003F6F1A">
        <w:rPr>
          <w:rFonts w:ascii="Times New Roman" w:hAnsi="Times New Roman"/>
          <w:sz w:val="24"/>
          <w:szCs w:val="24"/>
        </w:rPr>
        <w:t>haematology</w:t>
      </w:r>
      <w:proofErr w:type="spellEnd"/>
      <w:r w:rsidR="003F6F1A" w:rsidRPr="003F6F1A">
        <w:rPr>
          <w:rFonts w:ascii="Times New Roman" w:hAnsi="Times New Roman"/>
          <w:sz w:val="24"/>
          <w:szCs w:val="24"/>
        </w:rPr>
        <w:t xml:space="preserve"> (7th ed.). Churchill Livingstone.</w:t>
      </w:r>
    </w:p>
    <w:p w14:paraId="1B587B6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Dias, G. M. C., Bezerra, V., Risso, W.</w:t>
      </w:r>
      <w:r w:rsidR="00F568A7">
        <w:rPr>
          <w:rFonts w:ascii="Times New Roman" w:hAnsi="Times New Roman"/>
          <w:sz w:val="24"/>
          <w:szCs w:val="24"/>
        </w:rPr>
        <w:t xml:space="preserve"> E., dos Reis Martinez, C. B., and</w:t>
      </w:r>
      <w:r w:rsidRPr="003F6F1A">
        <w:rPr>
          <w:rFonts w:ascii="Times New Roman" w:hAnsi="Times New Roman"/>
          <w:sz w:val="24"/>
          <w:szCs w:val="24"/>
        </w:rPr>
        <w:t xml:space="preserve"> Simonato, J. D. (2023). Hematological and biochemical changes in the Neotropical fish </w:t>
      </w:r>
      <w:r w:rsidRPr="003F6F1A">
        <w:rPr>
          <w:rFonts w:ascii="Times New Roman" w:hAnsi="Times New Roman"/>
          <w:i/>
          <w:sz w:val="24"/>
          <w:szCs w:val="24"/>
        </w:rPr>
        <w:t xml:space="preserve">Astyanax </w:t>
      </w:r>
      <w:proofErr w:type="spellStart"/>
      <w:r w:rsidRPr="003F6F1A">
        <w:rPr>
          <w:rFonts w:ascii="Times New Roman" w:hAnsi="Times New Roman"/>
          <w:i/>
          <w:sz w:val="24"/>
          <w:szCs w:val="24"/>
        </w:rPr>
        <w:t>altiparanae</w:t>
      </w:r>
      <w:proofErr w:type="spellEnd"/>
      <w:r w:rsidRPr="003F6F1A">
        <w:rPr>
          <w:rFonts w:ascii="Times New Roman" w:hAnsi="Times New Roman"/>
          <w:sz w:val="24"/>
          <w:szCs w:val="24"/>
        </w:rPr>
        <w:t xml:space="preserve"> after acute exposure to a cadmium and nickel mixture. </w:t>
      </w:r>
      <w:r w:rsidRPr="003F6F1A">
        <w:rPr>
          <w:rFonts w:ascii="Times New Roman" w:hAnsi="Times New Roman"/>
          <w:i/>
          <w:sz w:val="24"/>
          <w:szCs w:val="24"/>
        </w:rPr>
        <w:t>Water, Air, &amp; Soil Pollution</w:t>
      </w:r>
      <w:r w:rsidRPr="003F6F1A">
        <w:rPr>
          <w:rFonts w:ascii="Times New Roman" w:hAnsi="Times New Roman"/>
          <w:sz w:val="24"/>
          <w:szCs w:val="24"/>
        </w:rPr>
        <w:t>, 234, 307.</w:t>
      </w:r>
    </w:p>
    <w:p w14:paraId="2C82CE73"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Eurell, J., and</w:t>
      </w:r>
      <w:r w:rsidR="003F6F1A" w:rsidRPr="003F6F1A">
        <w:rPr>
          <w:rFonts w:ascii="Times New Roman" w:hAnsi="Times New Roman"/>
          <w:sz w:val="24"/>
          <w:szCs w:val="24"/>
        </w:rPr>
        <w:t xml:space="preserve"> Haensly, W. (2006). The histology and ultrastructure of the liver of Atlantic croaker </w:t>
      </w:r>
      <w:proofErr w:type="spellStart"/>
      <w:r w:rsidR="003F6F1A" w:rsidRPr="003F6F1A">
        <w:rPr>
          <w:rFonts w:ascii="Times New Roman" w:hAnsi="Times New Roman"/>
          <w:i/>
          <w:sz w:val="24"/>
          <w:szCs w:val="24"/>
        </w:rPr>
        <w:t>Micropogon</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undulatus</w:t>
      </w:r>
      <w:proofErr w:type="spellEnd"/>
      <w:r w:rsidR="003F6F1A" w:rsidRPr="003F6F1A">
        <w:rPr>
          <w:rFonts w:ascii="Times New Roman" w:hAnsi="Times New Roman"/>
          <w:i/>
          <w:sz w:val="24"/>
          <w:szCs w:val="24"/>
        </w:rPr>
        <w:t xml:space="preserve"> L. Journal of Fish Biology</w:t>
      </w:r>
      <w:r w:rsidR="003F6F1A" w:rsidRPr="003F6F1A">
        <w:rPr>
          <w:rFonts w:ascii="Times New Roman" w:hAnsi="Times New Roman"/>
          <w:sz w:val="24"/>
          <w:szCs w:val="24"/>
        </w:rPr>
        <w:t>, 21, 113-125. https://doi.org/10.1111/j.1095-8649.1982.tb02829.x</w:t>
      </w:r>
    </w:p>
    <w:p w14:paraId="3136D5D0"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Farombi</w:t>
      </w:r>
      <w:proofErr w:type="spellEnd"/>
      <w:r>
        <w:rPr>
          <w:rFonts w:ascii="Times New Roman" w:hAnsi="Times New Roman"/>
          <w:sz w:val="24"/>
          <w:szCs w:val="24"/>
        </w:rPr>
        <w:t>, O., Akanni, O.,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Emerole</w:t>
      </w:r>
      <w:proofErr w:type="spellEnd"/>
      <w:r w:rsidR="003F6F1A" w:rsidRPr="003F6F1A">
        <w:rPr>
          <w:rFonts w:ascii="Times New Roman" w:hAnsi="Times New Roman"/>
          <w:sz w:val="24"/>
          <w:szCs w:val="24"/>
        </w:rPr>
        <w:t>, G. (2008). Antioxidant and scavenging activities of flavonoid extract (</w:t>
      </w:r>
      <w:proofErr w:type="spellStart"/>
      <w:r w:rsidR="003F6F1A" w:rsidRPr="003F6F1A">
        <w:rPr>
          <w:rFonts w:ascii="Times New Roman" w:hAnsi="Times New Roman"/>
          <w:sz w:val="24"/>
          <w:szCs w:val="24"/>
        </w:rPr>
        <w:t>Kolaviron</w:t>
      </w:r>
      <w:proofErr w:type="spellEnd"/>
      <w:r w:rsidR="003F6F1A" w:rsidRPr="003F6F1A">
        <w:rPr>
          <w:rFonts w:ascii="Times New Roman" w:hAnsi="Times New Roman"/>
          <w:sz w:val="24"/>
          <w:szCs w:val="24"/>
        </w:rPr>
        <w:t xml:space="preserve">) of </w:t>
      </w:r>
      <w:r w:rsidR="003F6F1A" w:rsidRPr="003F6F1A">
        <w:rPr>
          <w:rFonts w:ascii="Times New Roman" w:hAnsi="Times New Roman"/>
          <w:i/>
          <w:sz w:val="24"/>
          <w:szCs w:val="24"/>
        </w:rPr>
        <w:t>Garcinia kola</w:t>
      </w:r>
      <w:r w:rsidR="003F6F1A" w:rsidRPr="003F6F1A">
        <w:rPr>
          <w:rFonts w:ascii="Times New Roman" w:hAnsi="Times New Roman"/>
          <w:sz w:val="24"/>
          <w:szCs w:val="24"/>
        </w:rPr>
        <w:t xml:space="preserve"> seeds. </w:t>
      </w:r>
      <w:r w:rsidR="003F6F1A" w:rsidRPr="003F6F1A">
        <w:rPr>
          <w:rFonts w:ascii="Times New Roman" w:hAnsi="Times New Roman"/>
          <w:i/>
          <w:sz w:val="24"/>
          <w:szCs w:val="24"/>
        </w:rPr>
        <w:t>Pharmaceutical Biology</w:t>
      </w:r>
      <w:r w:rsidR="003F6F1A" w:rsidRPr="003F6F1A">
        <w:rPr>
          <w:rFonts w:ascii="Times New Roman" w:hAnsi="Times New Roman"/>
          <w:sz w:val="24"/>
          <w:szCs w:val="24"/>
        </w:rPr>
        <w:t>, 40, 107-116. https://doi.org/10.1076/phbi.40.2.107.5838</w:t>
      </w:r>
    </w:p>
    <w:p w14:paraId="1FB563B5"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Fatoki</w:t>
      </w:r>
      <w:proofErr w:type="spellEnd"/>
      <w:r w:rsidRPr="003F6F1A">
        <w:rPr>
          <w:rFonts w:ascii="Times New Roman" w:hAnsi="Times New Roman"/>
          <w:sz w:val="24"/>
          <w:szCs w:val="24"/>
        </w:rPr>
        <w:t xml:space="preserve">, O. S., Bornman, M., </w:t>
      </w:r>
      <w:proofErr w:type="spellStart"/>
      <w:r w:rsidRPr="003F6F1A">
        <w:rPr>
          <w:rFonts w:ascii="Times New Roman" w:hAnsi="Times New Roman"/>
          <w:sz w:val="24"/>
          <w:szCs w:val="24"/>
        </w:rPr>
        <w:t>Ravandhalala</w:t>
      </w:r>
      <w:proofErr w:type="spellEnd"/>
      <w:r w:rsidR="00F568A7">
        <w:rPr>
          <w:rFonts w:ascii="Times New Roman" w:hAnsi="Times New Roman"/>
          <w:sz w:val="24"/>
          <w:szCs w:val="24"/>
        </w:rPr>
        <w:t>, L., Chimuka, L., Genthe, B., and</w:t>
      </w:r>
      <w:r w:rsidRPr="003F6F1A">
        <w:rPr>
          <w:rFonts w:ascii="Times New Roman" w:hAnsi="Times New Roman"/>
          <w:sz w:val="24"/>
          <w:szCs w:val="24"/>
        </w:rPr>
        <w:t xml:space="preserve"> Adeniyi, A. (2010). Phthalate ester plasticizers in freshwater systems of Venda, South Africa and potential health effects. </w:t>
      </w:r>
      <w:r w:rsidRPr="003F6F1A">
        <w:rPr>
          <w:rFonts w:ascii="Times New Roman" w:hAnsi="Times New Roman"/>
          <w:i/>
          <w:sz w:val="24"/>
          <w:szCs w:val="24"/>
        </w:rPr>
        <w:t>Water SA,</w:t>
      </w:r>
      <w:r w:rsidRPr="003F6F1A">
        <w:rPr>
          <w:rFonts w:ascii="Times New Roman" w:hAnsi="Times New Roman"/>
          <w:sz w:val="24"/>
          <w:szCs w:val="24"/>
        </w:rPr>
        <w:t xml:space="preserve"> 36(1), 117-126. https://doi.org/10.4314/wsa.v36i1.50916</w:t>
      </w:r>
    </w:p>
    <w:p w14:paraId="0CBED3C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Finney, D. J. (1971). Probit analysis (3rd ed.). Cambridge University Press.</w:t>
      </w:r>
    </w:p>
    <w:p w14:paraId="0FCE1AAF"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Fitzgerald, J. A., </w:t>
      </w:r>
      <w:proofErr w:type="spellStart"/>
      <w:r w:rsidRPr="003F6F1A">
        <w:rPr>
          <w:rFonts w:ascii="Times New Roman" w:hAnsi="Times New Roman"/>
          <w:sz w:val="24"/>
          <w:szCs w:val="24"/>
        </w:rPr>
        <w:t>Könemann</w:t>
      </w:r>
      <w:proofErr w:type="spellEnd"/>
      <w:r w:rsidRPr="003F6F1A">
        <w:rPr>
          <w:rFonts w:ascii="Times New Roman" w:hAnsi="Times New Roman"/>
          <w:sz w:val="24"/>
          <w:szCs w:val="24"/>
        </w:rPr>
        <w:t>, S.,</w:t>
      </w:r>
      <w:r w:rsidR="00F568A7">
        <w:rPr>
          <w:rFonts w:ascii="Times New Roman" w:hAnsi="Times New Roman"/>
          <w:sz w:val="24"/>
          <w:szCs w:val="24"/>
        </w:rPr>
        <w:t xml:space="preserve"> </w:t>
      </w:r>
      <w:proofErr w:type="spellStart"/>
      <w:r w:rsidR="00F568A7">
        <w:rPr>
          <w:rFonts w:ascii="Times New Roman" w:hAnsi="Times New Roman"/>
          <w:sz w:val="24"/>
          <w:szCs w:val="24"/>
        </w:rPr>
        <w:t>Krümpelmann</w:t>
      </w:r>
      <w:proofErr w:type="spellEnd"/>
      <w:r w:rsidR="00F568A7">
        <w:rPr>
          <w:rFonts w:ascii="Times New Roman" w:hAnsi="Times New Roman"/>
          <w:sz w:val="24"/>
          <w:szCs w:val="24"/>
        </w:rPr>
        <w:t xml:space="preserve">, L., </w:t>
      </w:r>
      <w:proofErr w:type="spellStart"/>
      <w:r w:rsidR="00F568A7">
        <w:rPr>
          <w:rFonts w:ascii="Times New Roman" w:hAnsi="Times New Roman"/>
          <w:sz w:val="24"/>
          <w:szCs w:val="24"/>
        </w:rPr>
        <w:t>Županič</w:t>
      </w:r>
      <w:proofErr w:type="spellEnd"/>
      <w:r w:rsidR="00F568A7">
        <w:rPr>
          <w:rFonts w:ascii="Times New Roman" w:hAnsi="Times New Roman"/>
          <w:sz w:val="24"/>
          <w:szCs w:val="24"/>
        </w:rPr>
        <w:t>, A., and</w:t>
      </w:r>
      <w:r w:rsidRPr="003F6F1A">
        <w:rPr>
          <w:rFonts w:ascii="Times New Roman" w:hAnsi="Times New Roman"/>
          <w:sz w:val="24"/>
          <w:szCs w:val="24"/>
        </w:rPr>
        <w:t xml:space="preserve"> </w:t>
      </w:r>
      <w:proofErr w:type="spellStart"/>
      <w:r w:rsidRPr="003F6F1A">
        <w:rPr>
          <w:rFonts w:ascii="Times New Roman" w:hAnsi="Times New Roman"/>
          <w:sz w:val="24"/>
          <w:szCs w:val="24"/>
        </w:rPr>
        <w:t>vom</w:t>
      </w:r>
      <w:proofErr w:type="spellEnd"/>
      <w:r w:rsidRPr="003F6F1A">
        <w:rPr>
          <w:rFonts w:ascii="Times New Roman" w:hAnsi="Times New Roman"/>
          <w:sz w:val="24"/>
          <w:szCs w:val="24"/>
        </w:rPr>
        <w:t xml:space="preserve"> Berg, C. (2021). Approaches to test the neurotoxicity of environmental contaminants in the zebrafish model: from </w:t>
      </w:r>
      <w:r w:rsidRPr="003F6F1A">
        <w:rPr>
          <w:rFonts w:ascii="Times New Roman" w:hAnsi="Times New Roman"/>
          <w:sz w:val="24"/>
          <w:szCs w:val="24"/>
        </w:rPr>
        <w:lastRenderedPageBreak/>
        <w:t xml:space="preserve">behavior to molecular mechanisms. </w:t>
      </w:r>
      <w:r w:rsidRPr="003F6F1A">
        <w:rPr>
          <w:rFonts w:ascii="Times New Roman" w:hAnsi="Times New Roman"/>
          <w:i/>
          <w:sz w:val="24"/>
          <w:szCs w:val="24"/>
        </w:rPr>
        <w:t>Environmental Toxicology and Chemistry</w:t>
      </w:r>
      <w:r w:rsidRPr="003F6F1A">
        <w:rPr>
          <w:rFonts w:ascii="Times New Roman" w:hAnsi="Times New Roman"/>
          <w:sz w:val="24"/>
          <w:szCs w:val="24"/>
        </w:rPr>
        <w:t>, 40(4), 989-1006. https://doi.org/10.1002/etc.4951</w:t>
      </w:r>
    </w:p>
    <w:p w14:paraId="70E26C4F"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Gabriel, U. U., and</w:t>
      </w:r>
      <w:r w:rsidR="003F6F1A" w:rsidRPr="003F6F1A">
        <w:rPr>
          <w:rFonts w:ascii="Times New Roman" w:hAnsi="Times New Roman"/>
          <w:sz w:val="24"/>
          <w:szCs w:val="24"/>
        </w:rPr>
        <w:t xml:space="preserve"> Okey, I. B. (2009). The effect of aqueous leaf extract of </w:t>
      </w:r>
      <w:r w:rsidR="003F6F1A" w:rsidRPr="003F6F1A">
        <w:rPr>
          <w:rFonts w:ascii="Times New Roman" w:hAnsi="Times New Roman"/>
          <w:i/>
          <w:sz w:val="24"/>
          <w:szCs w:val="24"/>
        </w:rPr>
        <w:t xml:space="preserve">Nicotiana </w:t>
      </w:r>
      <w:proofErr w:type="spellStart"/>
      <w:r w:rsidR="003F6F1A" w:rsidRPr="003F6F1A">
        <w:rPr>
          <w:rFonts w:ascii="Times New Roman" w:hAnsi="Times New Roman"/>
          <w:i/>
          <w:sz w:val="24"/>
          <w:szCs w:val="24"/>
        </w:rPr>
        <w:t>tobaccum</w:t>
      </w:r>
      <w:proofErr w:type="spellEnd"/>
      <w:r w:rsidR="003F6F1A" w:rsidRPr="003F6F1A">
        <w:rPr>
          <w:rFonts w:ascii="Times New Roman" w:hAnsi="Times New Roman"/>
          <w:sz w:val="24"/>
          <w:szCs w:val="24"/>
        </w:rPr>
        <w:t xml:space="preserve"> (tobacco) on the </w:t>
      </w:r>
      <w:proofErr w:type="spellStart"/>
      <w:r w:rsidR="003F6F1A" w:rsidRPr="003F6F1A">
        <w:rPr>
          <w:rFonts w:ascii="Times New Roman" w:hAnsi="Times New Roman"/>
          <w:sz w:val="24"/>
          <w:szCs w:val="24"/>
        </w:rPr>
        <w:t>behaviour</w:t>
      </w:r>
      <w:proofErr w:type="spellEnd"/>
      <w:r w:rsidR="003F6F1A" w:rsidRPr="003F6F1A">
        <w:rPr>
          <w:rFonts w:ascii="Times New Roman" w:hAnsi="Times New Roman"/>
          <w:sz w:val="24"/>
          <w:szCs w:val="24"/>
        </w:rPr>
        <w:t xml:space="preserve"> and mortality of </w:t>
      </w:r>
      <w:r w:rsidR="003F6F1A" w:rsidRPr="003F6F1A">
        <w:rPr>
          <w:rFonts w:ascii="Times New Roman" w:hAnsi="Times New Roman"/>
          <w:i/>
          <w:sz w:val="24"/>
          <w:szCs w:val="24"/>
        </w:rPr>
        <w:t>Clarias gariepinus</w:t>
      </w:r>
      <w:r w:rsidR="003F6F1A" w:rsidRPr="003F6F1A">
        <w:rPr>
          <w:rFonts w:ascii="Times New Roman" w:hAnsi="Times New Roman"/>
          <w:sz w:val="24"/>
          <w:szCs w:val="24"/>
        </w:rPr>
        <w:t xml:space="preserve"> (catfish) fingerlings. </w:t>
      </w:r>
      <w:r w:rsidR="003F6F1A" w:rsidRPr="003F6F1A">
        <w:rPr>
          <w:rFonts w:ascii="Times New Roman" w:hAnsi="Times New Roman"/>
          <w:i/>
          <w:sz w:val="24"/>
          <w:szCs w:val="24"/>
        </w:rPr>
        <w:t>Journal of Environmental and Biology Science</w:t>
      </w:r>
      <w:r w:rsidR="003F6F1A" w:rsidRPr="003F6F1A">
        <w:rPr>
          <w:rFonts w:ascii="Times New Roman" w:hAnsi="Times New Roman"/>
          <w:sz w:val="24"/>
          <w:szCs w:val="24"/>
        </w:rPr>
        <w:t>, 13, 79-82.</w:t>
      </w:r>
    </w:p>
    <w:p w14:paraId="3962108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Guerrero, M. A., Sanchez, F., and</w:t>
      </w:r>
      <w:r w:rsidR="003F6F1A" w:rsidRPr="003F6F1A">
        <w:rPr>
          <w:rFonts w:ascii="Times New Roman" w:hAnsi="Times New Roman"/>
          <w:sz w:val="24"/>
          <w:szCs w:val="24"/>
        </w:rPr>
        <w:t xml:space="preserve"> Ortiz, M. (2020). The accumulation and toxicological impact of mercury chloride on fish health: A focus on cellular toxicity. </w:t>
      </w:r>
      <w:r w:rsidR="003F6F1A" w:rsidRPr="003F6F1A">
        <w:rPr>
          <w:rFonts w:ascii="Times New Roman" w:hAnsi="Times New Roman"/>
          <w:i/>
          <w:sz w:val="24"/>
          <w:szCs w:val="24"/>
        </w:rPr>
        <w:t>Aquatic Ecosystem Health and Management,</w:t>
      </w:r>
      <w:r w:rsidR="003F6F1A" w:rsidRPr="003F6F1A">
        <w:rPr>
          <w:rFonts w:ascii="Times New Roman" w:hAnsi="Times New Roman"/>
          <w:sz w:val="24"/>
          <w:szCs w:val="24"/>
        </w:rPr>
        <w:t xml:space="preserve"> 23(3), 298-306.</w:t>
      </w:r>
    </w:p>
    <w:p w14:paraId="021FFDCF"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Gupta, P., and</w:t>
      </w:r>
      <w:r w:rsidR="003F6F1A" w:rsidRPr="003F6F1A">
        <w:rPr>
          <w:rFonts w:ascii="Times New Roman" w:hAnsi="Times New Roman"/>
          <w:sz w:val="24"/>
          <w:szCs w:val="24"/>
        </w:rPr>
        <w:t xml:space="preserve"> Singh, K. (2023). Immune and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response in fish exposed to DEP. </w:t>
      </w:r>
      <w:r w:rsidR="003F6F1A" w:rsidRPr="003F6F1A">
        <w:rPr>
          <w:rFonts w:ascii="Times New Roman" w:hAnsi="Times New Roman"/>
          <w:i/>
          <w:sz w:val="24"/>
          <w:szCs w:val="24"/>
        </w:rPr>
        <w:t>Journal of Fish Immunology</w:t>
      </w:r>
      <w:r w:rsidR="003F6F1A" w:rsidRPr="003F6F1A">
        <w:rPr>
          <w:rFonts w:ascii="Times New Roman" w:hAnsi="Times New Roman"/>
          <w:sz w:val="24"/>
          <w:szCs w:val="24"/>
        </w:rPr>
        <w:t>, 19(2), 245-256.</w:t>
      </w:r>
    </w:p>
    <w:p w14:paraId="2058929E"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Ha</w:t>
      </w:r>
      <w:r w:rsidR="00F568A7">
        <w:rPr>
          <w:rFonts w:ascii="Times New Roman" w:hAnsi="Times New Roman"/>
          <w:sz w:val="24"/>
          <w:szCs w:val="24"/>
        </w:rPr>
        <w:t>aparanta</w:t>
      </w:r>
      <w:proofErr w:type="spellEnd"/>
      <w:r w:rsidR="00F568A7">
        <w:rPr>
          <w:rFonts w:ascii="Times New Roman" w:hAnsi="Times New Roman"/>
          <w:sz w:val="24"/>
          <w:szCs w:val="24"/>
        </w:rPr>
        <w:t>, A., Valtonen, E. T., and</w:t>
      </w:r>
      <w:r w:rsidRPr="003F6F1A">
        <w:rPr>
          <w:rFonts w:ascii="Times New Roman" w:hAnsi="Times New Roman"/>
          <w:sz w:val="24"/>
          <w:szCs w:val="24"/>
        </w:rPr>
        <w:t xml:space="preserve"> Hoffmann, R. W. (1997). Gill anomalies of perch and roach of four lakes differing in water quality. </w:t>
      </w:r>
      <w:r w:rsidRPr="003F6F1A">
        <w:rPr>
          <w:rFonts w:ascii="Times New Roman" w:hAnsi="Times New Roman"/>
          <w:i/>
          <w:sz w:val="24"/>
          <w:szCs w:val="24"/>
        </w:rPr>
        <w:t>Journal of Fish Biology,</w:t>
      </w:r>
      <w:r w:rsidRPr="003F6F1A">
        <w:rPr>
          <w:rFonts w:ascii="Times New Roman" w:hAnsi="Times New Roman"/>
          <w:sz w:val="24"/>
          <w:szCs w:val="24"/>
        </w:rPr>
        <w:t xml:space="preserve"> 50, 575-591.</w:t>
      </w:r>
    </w:p>
    <w:p w14:paraId="00FD758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Handy, R. D., and</w:t>
      </w:r>
      <w:r w:rsidR="003F6F1A" w:rsidRPr="003F6F1A">
        <w:rPr>
          <w:rFonts w:ascii="Times New Roman" w:hAnsi="Times New Roman"/>
          <w:sz w:val="24"/>
          <w:szCs w:val="24"/>
        </w:rPr>
        <w:t xml:space="preserve"> Penrice, W. S. (1993). The influence of high oral dose of mercuric chloride on organ toxicant concentrations and histopathology in rainbow-trout, </w:t>
      </w:r>
      <w:r w:rsidR="003F6F1A" w:rsidRPr="003F6F1A">
        <w:rPr>
          <w:rFonts w:ascii="Times New Roman" w:hAnsi="Times New Roman"/>
          <w:i/>
          <w:sz w:val="24"/>
          <w:szCs w:val="24"/>
        </w:rPr>
        <w:t>Oncorhynchus mykiss</w:t>
      </w:r>
      <w:r w:rsidR="003F6F1A" w:rsidRPr="003F6F1A">
        <w:rPr>
          <w:rFonts w:ascii="Times New Roman" w:hAnsi="Times New Roman"/>
          <w:sz w:val="24"/>
          <w:szCs w:val="24"/>
        </w:rPr>
        <w:t xml:space="preserve">. Comparative Biochemistry and Physiology C: </w:t>
      </w:r>
      <w:r w:rsidR="003F6F1A" w:rsidRPr="003F6F1A">
        <w:rPr>
          <w:rFonts w:ascii="Times New Roman" w:hAnsi="Times New Roman"/>
          <w:i/>
          <w:sz w:val="24"/>
          <w:szCs w:val="24"/>
        </w:rPr>
        <w:t>Pharmacology, Toxicology and Endocrinology</w:t>
      </w:r>
      <w:r w:rsidR="003F6F1A" w:rsidRPr="003F6F1A">
        <w:rPr>
          <w:rFonts w:ascii="Times New Roman" w:hAnsi="Times New Roman"/>
          <w:sz w:val="24"/>
          <w:szCs w:val="24"/>
        </w:rPr>
        <w:t>, 717-724.</w:t>
      </w:r>
    </w:p>
    <w:p w14:paraId="169229B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Hassan, L. G., Umar, K. J., </w:t>
      </w:r>
      <w:r w:rsidR="00F568A7">
        <w:rPr>
          <w:rFonts w:ascii="Times New Roman" w:hAnsi="Times New Roman"/>
          <w:sz w:val="24"/>
          <w:szCs w:val="24"/>
        </w:rPr>
        <w:t>and</w:t>
      </w:r>
      <w:r w:rsidRPr="003F6F1A">
        <w:rPr>
          <w:rFonts w:ascii="Times New Roman" w:hAnsi="Times New Roman"/>
          <w:sz w:val="24"/>
          <w:szCs w:val="24"/>
        </w:rPr>
        <w:t xml:space="preserve"> Atiku, I. (2007). Nutritional evaluation of </w:t>
      </w:r>
      <w:proofErr w:type="spellStart"/>
      <w:r w:rsidRPr="003F6F1A">
        <w:rPr>
          <w:rFonts w:ascii="Times New Roman" w:hAnsi="Times New Roman"/>
          <w:sz w:val="24"/>
          <w:szCs w:val="24"/>
        </w:rPr>
        <w:t>Albizia</w:t>
      </w:r>
      <w:proofErr w:type="spellEnd"/>
      <w:r w:rsidRPr="003F6F1A">
        <w:rPr>
          <w:rFonts w:ascii="Times New Roman" w:hAnsi="Times New Roman"/>
          <w:sz w:val="24"/>
          <w:szCs w:val="24"/>
        </w:rPr>
        <w:t xml:space="preserve"> </w:t>
      </w:r>
      <w:proofErr w:type="spellStart"/>
      <w:r w:rsidRPr="003F6F1A">
        <w:rPr>
          <w:rFonts w:ascii="Times New Roman" w:hAnsi="Times New Roman"/>
          <w:sz w:val="24"/>
          <w:szCs w:val="24"/>
        </w:rPr>
        <w:t>lebbeck</w:t>
      </w:r>
      <w:proofErr w:type="spellEnd"/>
      <w:r w:rsidRPr="003F6F1A">
        <w:rPr>
          <w:rFonts w:ascii="Times New Roman" w:hAnsi="Times New Roman"/>
          <w:sz w:val="24"/>
          <w:szCs w:val="24"/>
        </w:rPr>
        <w:t xml:space="preserve"> (L.) pods as source of feeds for livestock. </w:t>
      </w:r>
      <w:r w:rsidRPr="003F6F1A">
        <w:rPr>
          <w:rFonts w:ascii="Times New Roman" w:hAnsi="Times New Roman"/>
          <w:i/>
          <w:sz w:val="24"/>
          <w:szCs w:val="24"/>
        </w:rPr>
        <w:t>American Journal of Food Technology</w:t>
      </w:r>
      <w:r w:rsidRPr="003F6F1A">
        <w:rPr>
          <w:rFonts w:ascii="Times New Roman" w:hAnsi="Times New Roman"/>
          <w:sz w:val="24"/>
          <w:szCs w:val="24"/>
        </w:rPr>
        <w:t>, 2(5), 435-439.</w:t>
      </w:r>
    </w:p>
    <w:p w14:paraId="00560B86"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Hellou, J. (2011). </w:t>
      </w:r>
      <w:proofErr w:type="spellStart"/>
      <w:r w:rsidRPr="003F6F1A">
        <w:rPr>
          <w:rFonts w:ascii="Times New Roman" w:hAnsi="Times New Roman"/>
          <w:sz w:val="24"/>
          <w:szCs w:val="24"/>
        </w:rPr>
        <w:t>Behavioural</w:t>
      </w:r>
      <w:proofErr w:type="spellEnd"/>
      <w:r w:rsidRPr="003F6F1A">
        <w:rPr>
          <w:rFonts w:ascii="Times New Roman" w:hAnsi="Times New Roman"/>
          <w:sz w:val="24"/>
          <w:szCs w:val="24"/>
        </w:rPr>
        <w:t xml:space="preserve"> ecotoxicology, an "early warning" signal to assess environmental quality. </w:t>
      </w:r>
      <w:r w:rsidRPr="003F6F1A">
        <w:rPr>
          <w:rFonts w:ascii="Times New Roman" w:hAnsi="Times New Roman"/>
          <w:i/>
          <w:sz w:val="24"/>
          <w:szCs w:val="24"/>
        </w:rPr>
        <w:t>Environment Science and Pollution Research International</w:t>
      </w:r>
      <w:r w:rsidRPr="003F6F1A">
        <w:rPr>
          <w:rFonts w:ascii="Times New Roman" w:hAnsi="Times New Roman"/>
          <w:sz w:val="24"/>
          <w:szCs w:val="24"/>
        </w:rPr>
        <w:t>, 18(1), 1-11. https://doi.org/10.1007/s11356-010-0367-2</w:t>
      </w:r>
    </w:p>
    <w:p w14:paraId="0004D6B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Hinton, D. E., and</w:t>
      </w:r>
      <w:r w:rsidR="003F6F1A" w:rsidRPr="003F6F1A">
        <w:rPr>
          <w:rFonts w:ascii="Times New Roman" w:hAnsi="Times New Roman"/>
          <w:sz w:val="24"/>
          <w:szCs w:val="24"/>
        </w:rPr>
        <w:t xml:space="preserve"> Lauren, D. J. (1990). Liver structural alterations accompanying chronic toxicity in fishes: Potential biomarkers of exposure. In J. F. McCarthy &amp; L. R. Shugart (Eds.), </w:t>
      </w:r>
      <w:r w:rsidR="003F6F1A" w:rsidRPr="003F6F1A">
        <w:rPr>
          <w:rFonts w:ascii="Times New Roman" w:hAnsi="Times New Roman"/>
          <w:i/>
          <w:sz w:val="24"/>
          <w:szCs w:val="24"/>
        </w:rPr>
        <w:t>Biomarkers of environmental contamination</w:t>
      </w:r>
      <w:r w:rsidR="003F6F1A" w:rsidRPr="003F6F1A">
        <w:rPr>
          <w:rFonts w:ascii="Times New Roman" w:hAnsi="Times New Roman"/>
          <w:sz w:val="24"/>
          <w:szCs w:val="24"/>
        </w:rPr>
        <w:t xml:space="preserve"> (pp. 17-57). Lewis Publishers.</w:t>
      </w:r>
    </w:p>
    <w:p w14:paraId="54AD905E"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Ikele</w:t>
      </w:r>
      <w:proofErr w:type="spellEnd"/>
      <w:r w:rsidRPr="003F6F1A">
        <w:rPr>
          <w:rFonts w:ascii="Times New Roman" w:hAnsi="Times New Roman"/>
          <w:sz w:val="24"/>
          <w:szCs w:val="24"/>
        </w:rPr>
        <w:t>, C. B., Chidiebere, I. U.,</w:t>
      </w:r>
      <w:r w:rsidR="00F568A7">
        <w:rPr>
          <w:rFonts w:ascii="Times New Roman" w:hAnsi="Times New Roman"/>
          <w:sz w:val="24"/>
          <w:szCs w:val="24"/>
        </w:rPr>
        <w:t xml:space="preserve"> and</w:t>
      </w:r>
      <w:r w:rsidRPr="003F6F1A">
        <w:rPr>
          <w:rFonts w:ascii="Times New Roman" w:hAnsi="Times New Roman"/>
          <w:sz w:val="24"/>
          <w:szCs w:val="24"/>
        </w:rPr>
        <w:t xml:space="preserve"> Alozie, F. C. (2011). The toxicity of diethyl phthalate on juveniles of African catfish, </w:t>
      </w:r>
      <w:r w:rsidRPr="003F6F1A">
        <w:rPr>
          <w:rFonts w:ascii="Times New Roman" w:hAnsi="Times New Roman"/>
          <w:i/>
          <w:sz w:val="24"/>
          <w:szCs w:val="24"/>
        </w:rPr>
        <w:t>Clarias gariepinus</w:t>
      </w:r>
      <w:r w:rsidRPr="003F6F1A">
        <w:rPr>
          <w:rFonts w:ascii="Times New Roman" w:hAnsi="Times New Roman"/>
          <w:sz w:val="24"/>
          <w:szCs w:val="24"/>
        </w:rPr>
        <w:t xml:space="preserve">. </w:t>
      </w:r>
      <w:r w:rsidRPr="003F6F1A">
        <w:rPr>
          <w:rFonts w:ascii="Times New Roman" w:hAnsi="Times New Roman"/>
          <w:i/>
          <w:sz w:val="24"/>
          <w:szCs w:val="24"/>
        </w:rPr>
        <w:t>Journal of Fish Biology and Toxicology</w:t>
      </w:r>
      <w:r w:rsidRPr="003F6F1A">
        <w:rPr>
          <w:rFonts w:ascii="Times New Roman" w:hAnsi="Times New Roman"/>
          <w:sz w:val="24"/>
          <w:szCs w:val="24"/>
        </w:rPr>
        <w:t>, 5(2), 115-122.</w:t>
      </w:r>
    </w:p>
    <w:p w14:paraId="218855F8"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Kanu, K. C., Okoboshi, A. C.,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Otitoloju</w:t>
      </w:r>
      <w:proofErr w:type="spellEnd"/>
      <w:r w:rsidR="003F6F1A" w:rsidRPr="003F6F1A">
        <w:rPr>
          <w:rFonts w:ascii="Times New Roman" w:hAnsi="Times New Roman"/>
          <w:sz w:val="24"/>
          <w:szCs w:val="24"/>
        </w:rPr>
        <w:t xml:space="preserve">, A. A. (2023).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and biochemical toxicity in freshwater fish </w:t>
      </w:r>
      <w:r w:rsidR="003F6F1A" w:rsidRPr="003F6F1A">
        <w:rPr>
          <w:rFonts w:ascii="Times New Roman" w:hAnsi="Times New Roman"/>
          <w:i/>
          <w:sz w:val="24"/>
          <w:szCs w:val="24"/>
        </w:rPr>
        <w:t>Clarias gariepinus</w:t>
      </w:r>
      <w:r w:rsidR="003F6F1A" w:rsidRPr="003F6F1A">
        <w:rPr>
          <w:rFonts w:ascii="Times New Roman" w:hAnsi="Times New Roman"/>
          <w:sz w:val="24"/>
          <w:szCs w:val="24"/>
        </w:rPr>
        <w:t xml:space="preserve"> and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following pulse exposure to atrazine, mancozeb, chlorpyrifos, lambda-cyhalothrin, and their combination. Comparative Biochemistry and Physiology Part C: </w:t>
      </w:r>
      <w:r w:rsidR="003F6F1A" w:rsidRPr="003F6F1A">
        <w:rPr>
          <w:rFonts w:ascii="Times New Roman" w:hAnsi="Times New Roman"/>
          <w:i/>
          <w:sz w:val="24"/>
          <w:szCs w:val="24"/>
        </w:rPr>
        <w:t>Toxicology &amp; Pharmacology</w:t>
      </w:r>
      <w:r w:rsidR="003F6F1A" w:rsidRPr="003F6F1A">
        <w:rPr>
          <w:rFonts w:ascii="Times New Roman" w:hAnsi="Times New Roman"/>
          <w:sz w:val="24"/>
          <w:szCs w:val="24"/>
        </w:rPr>
        <w:t>, 270, 109643.</w:t>
      </w:r>
    </w:p>
    <w:p w14:paraId="0656CF5B"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Kayode, S. J.,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Shamusideen</w:t>
      </w:r>
      <w:proofErr w:type="spellEnd"/>
      <w:r w:rsidR="003F6F1A" w:rsidRPr="003F6F1A">
        <w:rPr>
          <w:rFonts w:ascii="Times New Roman" w:hAnsi="Times New Roman"/>
          <w:sz w:val="24"/>
          <w:szCs w:val="24"/>
        </w:rPr>
        <w:t xml:space="preserve">, S. A. (2010).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studies of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exposed to diesel and drilling fluid in Lagos, Nigeria. </w:t>
      </w:r>
      <w:r w:rsidR="003F6F1A" w:rsidRPr="003F6F1A">
        <w:rPr>
          <w:rFonts w:ascii="Times New Roman" w:hAnsi="Times New Roman"/>
          <w:i/>
          <w:sz w:val="24"/>
          <w:szCs w:val="24"/>
        </w:rPr>
        <w:t>International Journal of Biodiversity and Conservation</w:t>
      </w:r>
      <w:r w:rsidR="003F6F1A" w:rsidRPr="003F6F1A">
        <w:rPr>
          <w:rFonts w:ascii="Times New Roman" w:hAnsi="Times New Roman"/>
          <w:sz w:val="24"/>
          <w:szCs w:val="24"/>
        </w:rPr>
        <w:t>, 2(5), 130-133.</w:t>
      </w:r>
    </w:p>
    <w:p w14:paraId="4B5D9BBE"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Kori-Siakpere, O., </w:t>
      </w:r>
      <w:proofErr w:type="spellStart"/>
      <w:r w:rsidRPr="003F6F1A">
        <w:rPr>
          <w:rFonts w:ascii="Times New Roman" w:hAnsi="Times New Roman"/>
          <w:sz w:val="24"/>
          <w:szCs w:val="24"/>
        </w:rPr>
        <w:t>Ogboenyiy</w:t>
      </w:r>
      <w:r w:rsidR="00F568A7">
        <w:rPr>
          <w:rFonts w:ascii="Times New Roman" w:hAnsi="Times New Roman"/>
          <w:sz w:val="24"/>
          <w:szCs w:val="24"/>
        </w:rPr>
        <w:t>a</w:t>
      </w:r>
      <w:proofErr w:type="spellEnd"/>
      <w:r w:rsidR="00F568A7">
        <w:rPr>
          <w:rFonts w:ascii="Times New Roman" w:hAnsi="Times New Roman"/>
          <w:sz w:val="24"/>
          <w:szCs w:val="24"/>
        </w:rPr>
        <w:t>, A., and</w:t>
      </w:r>
      <w:r w:rsidRPr="003F6F1A">
        <w:rPr>
          <w:rFonts w:ascii="Times New Roman" w:hAnsi="Times New Roman"/>
          <w:sz w:val="24"/>
          <w:szCs w:val="24"/>
        </w:rPr>
        <w:t xml:space="preserve"> </w:t>
      </w:r>
      <w:proofErr w:type="spellStart"/>
      <w:r w:rsidRPr="003F6F1A">
        <w:rPr>
          <w:rFonts w:ascii="Times New Roman" w:hAnsi="Times New Roman"/>
          <w:sz w:val="24"/>
          <w:szCs w:val="24"/>
        </w:rPr>
        <w:t>Avworo</w:t>
      </w:r>
      <w:proofErr w:type="spellEnd"/>
      <w:r w:rsidRPr="003F6F1A">
        <w:rPr>
          <w:rFonts w:ascii="Times New Roman" w:hAnsi="Times New Roman"/>
          <w:sz w:val="24"/>
          <w:szCs w:val="24"/>
        </w:rPr>
        <w:t xml:space="preserve">, U. M. (2011). Acute toxicity of aqueous extract of Nicotiana </w:t>
      </w:r>
      <w:proofErr w:type="spellStart"/>
      <w:r w:rsidRPr="003F6F1A">
        <w:rPr>
          <w:rFonts w:ascii="Times New Roman" w:hAnsi="Times New Roman"/>
          <w:sz w:val="24"/>
          <w:szCs w:val="24"/>
        </w:rPr>
        <w:t>tobaccum</w:t>
      </w:r>
      <w:proofErr w:type="spellEnd"/>
      <w:r w:rsidRPr="003F6F1A">
        <w:rPr>
          <w:rFonts w:ascii="Times New Roman" w:hAnsi="Times New Roman"/>
          <w:sz w:val="24"/>
          <w:szCs w:val="24"/>
        </w:rPr>
        <w:t xml:space="preserve"> leaf dust to </w:t>
      </w:r>
      <w:r w:rsidRPr="003F6F1A">
        <w:rPr>
          <w:rFonts w:ascii="Times New Roman" w:hAnsi="Times New Roman"/>
          <w:i/>
          <w:sz w:val="24"/>
          <w:szCs w:val="24"/>
        </w:rPr>
        <w:t>Clarias gariepinus</w:t>
      </w:r>
      <w:r w:rsidRPr="003F6F1A">
        <w:rPr>
          <w:rFonts w:ascii="Times New Roman" w:hAnsi="Times New Roman"/>
          <w:sz w:val="24"/>
          <w:szCs w:val="24"/>
        </w:rPr>
        <w:t xml:space="preserve">. </w:t>
      </w:r>
      <w:r w:rsidRPr="003F6F1A">
        <w:rPr>
          <w:rFonts w:ascii="Times New Roman" w:hAnsi="Times New Roman"/>
          <w:i/>
          <w:sz w:val="24"/>
          <w:szCs w:val="24"/>
        </w:rPr>
        <w:t>Nigerian Journal of Fisheries</w:t>
      </w:r>
      <w:r w:rsidRPr="003F6F1A">
        <w:rPr>
          <w:rFonts w:ascii="Times New Roman" w:hAnsi="Times New Roman"/>
          <w:sz w:val="24"/>
          <w:szCs w:val="24"/>
        </w:rPr>
        <w:t>, 8(2), 123-130.</w:t>
      </w:r>
    </w:p>
    <w:p w14:paraId="612C9F03"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 xml:space="preserve">Kubra, A. K. (2022). Anesthetic efficacy of clove oil and 2-phenoxyethanol as hematological, histopathological and echocardiographic on broodstock </w:t>
      </w:r>
      <w:r w:rsidRPr="003F6F1A">
        <w:rPr>
          <w:rFonts w:ascii="Times New Roman" w:hAnsi="Times New Roman"/>
          <w:i/>
          <w:sz w:val="24"/>
          <w:szCs w:val="24"/>
        </w:rPr>
        <w:t>Danube sturgeon</w:t>
      </w:r>
      <w:r w:rsidRPr="003F6F1A">
        <w:rPr>
          <w:rFonts w:ascii="Times New Roman" w:hAnsi="Times New Roman"/>
          <w:sz w:val="24"/>
          <w:szCs w:val="24"/>
        </w:rPr>
        <w:t xml:space="preserve"> (</w:t>
      </w:r>
      <w:proofErr w:type="spellStart"/>
      <w:r w:rsidRPr="003F6F1A">
        <w:rPr>
          <w:rFonts w:ascii="Times New Roman" w:hAnsi="Times New Roman"/>
          <w:i/>
          <w:sz w:val="24"/>
          <w:szCs w:val="24"/>
        </w:rPr>
        <w:t>Acipenser</w:t>
      </w:r>
      <w:proofErr w:type="spellEnd"/>
      <w:r w:rsidRPr="003F6F1A">
        <w:rPr>
          <w:rFonts w:ascii="Times New Roman" w:hAnsi="Times New Roman"/>
          <w:i/>
          <w:sz w:val="24"/>
          <w:szCs w:val="24"/>
        </w:rPr>
        <w:t xml:space="preserve"> </w:t>
      </w:r>
      <w:proofErr w:type="spellStart"/>
      <w:r w:rsidRPr="003F6F1A">
        <w:rPr>
          <w:rFonts w:ascii="Times New Roman" w:hAnsi="Times New Roman"/>
          <w:i/>
          <w:sz w:val="24"/>
          <w:szCs w:val="24"/>
        </w:rPr>
        <w:t>gueldenstaedtii</w:t>
      </w:r>
      <w:proofErr w:type="spellEnd"/>
      <w:r w:rsidRPr="003F6F1A">
        <w:rPr>
          <w:rFonts w:ascii="Times New Roman" w:hAnsi="Times New Roman"/>
          <w:sz w:val="24"/>
          <w:szCs w:val="24"/>
        </w:rPr>
        <w:t xml:space="preserve">). </w:t>
      </w:r>
      <w:r w:rsidRPr="003F6F1A">
        <w:rPr>
          <w:rFonts w:ascii="Times New Roman" w:hAnsi="Times New Roman"/>
          <w:i/>
          <w:sz w:val="24"/>
          <w:szCs w:val="24"/>
        </w:rPr>
        <w:t>Journal of Applied Ichthyology</w:t>
      </w:r>
      <w:r w:rsidRPr="003F6F1A">
        <w:rPr>
          <w:rFonts w:ascii="Times New Roman" w:hAnsi="Times New Roman"/>
          <w:sz w:val="24"/>
          <w:szCs w:val="24"/>
        </w:rPr>
        <w:t>, 38, 586-595.</w:t>
      </w:r>
    </w:p>
    <w:p w14:paraId="07DD31E0"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Lovejoy, D. A.,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Barsyte</w:t>
      </w:r>
      <w:proofErr w:type="spellEnd"/>
      <w:r w:rsidR="003F6F1A" w:rsidRPr="003F6F1A">
        <w:rPr>
          <w:rFonts w:ascii="Times New Roman" w:hAnsi="Times New Roman"/>
          <w:sz w:val="24"/>
          <w:szCs w:val="24"/>
        </w:rPr>
        <w:t xml:space="preserve">, D. (2011). </w:t>
      </w:r>
      <w:proofErr w:type="spellStart"/>
      <w:r w:rsidR="003F6F1A" w:rsidRPr="003F6F1A">
        <w:rPr>
          <w:rFonts w:ascii="Times New Roman" w:hAnsi="Times New Roman"/>
          <w:sz w:val="24"/>
          <w:szCs w:val="24"/>
        </w:rPr>
        <w:t>Behavioural</w:t>
      </w:r>
      <w:proofErr w:type="spellEnd"/>
      <w:r w:rsidR="003F6F1A" w:rsidRPr="003F6F1A">
        <w:rPr>
          <w:rFonts w:ascii="Times New Roman" w:hAnsi="Times New Roman"/>
          <w:sz w:val="24"/>
          <w:szCs w:val="24"/>
        </w:rPr>
        <w:t xml:space="preserve"> neuroendocrinology of stress: Evolution, mechanisms and adaptation. Comparative Biochemistry and Physiology Part D: </w:t>
      </w:r>
      <w:r w:rsidR="003F6F1A" w:rsidRPr="003F6F1A">
        <w:rPr>
          <w:rFonts w:ascii="Times New Roman" w:hAnsi="Times New Roman"/>
          <w:i/>
          <w:sz w:val="24"/>
          <w:szCs w:val="24"/>
        </w:rPr>
        <w:t>Genomics and Proteomics</w:t>
      </w:r>
      <w:r w:rsidR="003F6F1A" w:rsidRPr="003F6F1A">
        <w:rPr>
          <w:rFonts w:ascii="Times New Roman" w:hAnsi="Times New Roman"/>
          <w:sz w:val="24"/>
          <w:szCs w:val="24"/>
        </w:rPr>
        <w:t>, 6(4), 323-332.</w:t>
      </w:r>
    </w:p>
    <w:p w14:paraId="4BCF148C"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Man</w:t>
      </w:r>
      <w:r w:rsidR="00F568A7">
        <w:rPr>
          <w:rFonts w:ascii="Times New Roman" w:hAnsi="Times New Roman"/>
          <w:sz w:val="24"/>
          <w:szCs w:val="24"/>
        </w:rPr>
        <w:t>kidy</w:t>
      </w:r>
      <w:proofErr w:type="spellEnd"/>
      <w:r w:rsidR="00F568A7">
        <w:rPr>
          <w:rFonts w:ascii="Times New Roman" w:hAnsi="Times New Roman"/>
          <w:sz w:val="24"/>
          <w:szCs w:val="24"/>
        </w:rPr>
        <w:t>, R., Wiseman, S., Ma, H., and</w:t>
      </w:r>
      <w:r w:rsidRPr="003F6F1A">
        <w:rPr>
          <w:rFonts w:ascii="Times New Roman" w:hAnsi="Times New Roman"/>
          <w:sz w:val="24"/>
          <w:szCs w:val="24"/>
        </w:rPr>
        <w:t xml:space="preserve"> Giesy, J. P. (2013). Biological impact of phthalates. </w:t>
      </w:r>
      <w:r w:rsidRPr="003F6F1A">
        <w:rPr>
          <w:rFonts w:ascii="Times New Roman" w:hAnsi="Times New Roman"/>
          <w:i/>
          <w:sz w:val="24"/>
          <w:szCs w:val="24"/>
        </w:rPr>
        <w:t>Toxicology Letters</w:t>
      </w:r>
      <w:r w:rsidRPr="003F6F1A">
        <w:rPr>
          <w:rFonts w:ascii="Times New Roman" w:hAnsi="Times New Roman"/>
          <w:sz w:val="24"/>
          <w:szCs w:val="24"/>
        </w:rPr>
        <w:t>, 217(1), 50-58. https://doi.org/10.1016/j.toxlet.2012.11.025</w:t>
      </w:r>
    </w:p>
    <w:p w14:paraId="62542536"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Mgbaeruhu</w:t>
      </w:r>
      <w:proofErr w:type="spellEnd"/>
      <w:r w:rsidRPr="003F6F1A">
        <w:rPr>
          <w:rFonts w:ascii="Times New Roman" w:hAnsi="Times New Roman"/>
          <w:sz w:val="24"/>
          <w:szCs w:val="24"/>
        </w:rPr>
        <w:t xml:space="preserve">, J. E. (2002). The influence of pH on the toxicity domestic detergents against tadpoles of Rana </w:t>
      </w:r>
      <w:proofErr w:type="spellStart"/>
      <w:r w:rsidRPr="003F6F1A">
        <w:rPr>
          <w:rFonts w:ascii="Times New Roman" w:hAnsi="Times New Roman"/>
          <w:sz w:val="24"/>
          <w:szCs w:val="24"/>
        </w:rPr>
        <w:t>rana</w:t>
      </w:r>
      <w:proofErr w:type="spellEnd"/>
      <w:r w:rsidRPr="003F6F1A">
        <w:rPr>
          <w:rFonts w:ascii="Times New Roman" w:hAnsi="Times New Roman"/>
          <w:sz w:val="24"/>
          <w:szCs w:val="24"/>
        </w:rPr>
        <w:t xml:space="preserve"> and fingerlings of </w:t>
      </w:r>
      <w:r w:rsidRPr="003F6F1A">
        <w:rPr>
          <w:rFonts w:ascii="Times New Roman" w:hAnsi="Times New Roman"/>
          <w:i/>
          <w:sz w:val="24"/>
          <w:szCs w:val="24"/>
        </w:rPr>
        <w:t>Tilapia niloticus</w:t>
      </w:r>
      <w:r w:rsidRPr="003F6F1A">
        <w:rPr>
          <w:rFonts w:ascii="Times New Roman" w:hAnsi="Times New Roman"/>
          <w:sz w:val="24"/>
          <w:szCs w:val="24"/>
        </w:rPr>
        <w:t xml:space="preserve"> (Unpublished master's thesis). University of Lagos.</w:t>
      </w:r>
    </w:p>
    <w:p w14:paraId="5124671A"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 xml:space="preserve">Mollah, M. A. R., and </w:t>
      </w:r>
      <w:r w:rsidR="003F6F1A" w:rsidRPr="003F6F1A">
        <w:rPr>
          <w:rFonts w:ascii="Times New Roman" w:hAnsi="Times New Roman"/>
          <w:sz w:val="24"/>
          <w:szCs w:val="24"/>
        </w:rPr>
        <w:t xml:space="preserve">Bardach, J. E. (2021). Toxicological comparison between organophosphates and heavy metals in freshwater fish. </w:t>
      </w:r>
      <w:r w:rsidR="003F6F1A" w:rsidRPr="003F6F1A">
        <w:rPr>
          <w:rFonts w:ascii="Times New Roman" w:hAnsi="Times New Roman"/>
          <w:i/>
          <w:sz w:val="24"/>
          <w:szCs w:val="24"/>
        </w:rPr>
        <w:t>Ecotoxicology</w:t>
      </w:r>
      <w:r w:rsidR="003F6F1A" w:rsidRPr="003F6F1A">
        <w:rPr>
          <w:rFonts w:ascii="Times New Roman" w:hAnsi="Times New Roman"/>
          <w:sz w:val="24"/>
          <w:szCs w:val="24"/>
        </w:rPr>
        <w:t>, 38(4), 501-511.</w:t>
      </w:r>
    </w:p>
    <w:p w14:paraId="7C942C27"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Monsefi</w:t>
      </w:r>
      <w:proofErr w:type="spellEnd"/>
      <w:r>
        <w:rPr>
          <w:rFonts w:ascii="Times New Roman" w:hAnsi="Times New Roman"/>
          <w:sz w:val="24"/>
          <w:szCs w:val="24"/>
        </w:rPr>
        <w:t>, M., Gholami, Z., and</w:t>
      </w:r>
      <w:r w:rsidR="003F6F1A" w:rsidRPr="003F6F1A">
        <w:rPr>
          <w:rFonts w:ascii="Times New Roman" w:hAnsi="Times New Roman"/>
          <w:sz w:val="24"/>
          <w:szCs w:val="24"/>
        </w:rPr>
        <w:t xml:space="preserve"> Esmaeili, H. (2010). Histological and morphological studies of digestive tube and liver of the Persian tooth-carp, </w:t>
      </w:r>
      <w:proofErr w:type="spellStart"/>
      <w:r w:rsidR="003F6F1A" w:rsidRPr="003F6F1A">
        <w:rPr>
          <w:rFonts w:ascii="Times New Roman" w:hAnsi="Times New Roman"/>
          <w:i/>
          <w:sz w:val="24"/>
          <w:szCs w:val="24"/>
        </w:rPr>
        <w:t>Aphanius</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persicus</w:t>
      </w:r>
      <w:proofErr w:type="spellEnd"/>
      <w:r w:rsidR="003F6F1A" w:rsidRPr="003F6F1A">
        <w:rPr>
          <w:rFonts w:ascii="Times New Roman" w:hAnsi="Times New Roman"/>
          <w:sz w:val="24"/>
          <w:szCs w:val="24"/>
        </w:rPr>
        <w:t xml:space="preserve"> (Actinopterygii: Cyprinodontidae</w:t>
      </w:r>
      <w:r w:rsidR="003F6F1A" w:rsidRPr="003F6F1A">
        <w:rPr>
          <w:rFonts w:ascii="Times New Roman" w:hAnsi="Times New Roman"/>
          <w:i/>
          <w:sz w:val="24"/>
          <w:szCs w:val="24"/>
        </w:rPr>
        <w:t>). Istanbul University Faculty of Science Journal of Biology,</w:t>
      </w:r>
      <w:r w:rsidR="003F6F1A" w:rsidRPr="003F6F1A">
        <w:rPr>
          <w:rFonts w:ascii="Times New Roman" w:hAnsi="Times New Roman"/>
          <w:sz w:val="24"/>
          <w:szCs w:val="24"/>
        </w:rPr>
        <w:t xml:space="preserve"> 69.</w:t>
      </w:r>
    </w:p>
    <w:p w14:paraId="5B6EE0F5"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Moradi, S., Ja</w:t>
      </w:r>
      <w:r w:rsidR="00F568A7">
        <w:rPr>
          <w:rFonts w:ascii="Times New Roman" w:hAnsi="Times New Roman"/>
          <w:sz w:val="24"/>
          <w:szCs w:val="24"/>
        </w:rPr>
        <w:t>vanmardi, S., Gholamzadeh, P., and</w:t>
      </w:r>
      <w:r w:rsidRPr="003F6F1A">
        <w:rPr>
          <w:rFonts w:ascii="Times New Roman" w:hAnsi="Times New Roman"/>
          <w:sz w:val="24"/>
          <w:szCs w:val="24"/>
        </w:rPr>
        <w:t xml:space="preserve"> </w:t>
      </w:r>
      <w:proofErr w:type="spellStart"/>
      <w:r w:rsidRPr="003F6F1A">
        <w:rPr>
          <w:rFonts w:ascii="Times New Roman" w:hAnsi="Times New Roman"/>
          <w:sz w:val="24"/>
          <w:szCs w:val="24"/>
        </w:rPr>
        <w:t>Tavabe</w:t>
      </w:r>
      <w:proofErr w:type="spellEnd"/>
      <w:r w:rsidRPr="003F6F1A">
        <w:rPr>
          <w:rFonts w:ascii="Times New Roman" w:hAnsi="Times New Roman"/>
          <w:sz w:val="24"/>
          <w:szCs w:val="24"/>
        </w:rPr>
        <w:t>, K. R. (2022). The ameliorative role of ascorbic acid against blood disorder, immunosuppression, and oxidative damage of oxytetracycline in rainbow trout (</w:t>
      </w:r>
      <w:r w:rsidRPr="003F6F1A">
        <w:rPr>
          <w:rFonts w:ascii="Times New Roman" w:hAnsi="Times New Roman"/>
          <w:i/>
          <w:sz w:val="24"/>
          <w:szCs w:val="24"/>
        </w:rPr>
        <w:t>Oncorhynchus mykiss</w:t>
      </w:r>
      <w:r w:rsidRPr="003F6F1A">
        <w:rPr>
          <w:rFonts w:ascii="Times New Roman" w:hAnsi="Times New Roman"/>
          <w:sz w:val="24"/>
          <w:szCs w:val="24"/>
        </w:rPr>
        <w:t xml:space="preserve">). </w:t>
      </w:r>
      <w:r w:rsidRPr="003F6F1A">
        <w:rPr>
          <w:rFonts w:ascii="Times New Roman" w:hAnsi="Times New Roman"/>
          <w:i/>
          <w:sz w:val="24"/>
          <w:szCs w:val="24"/>
        </w:rPr>
        <w:t>Fish Physiology and Biochemistry</w:t>
      </w:r>
      <w:r w:rsidRPr="003F6F1A">
        <w:rPr>
          <w:rFonts w:ascii="Times New Roman" w:hAnsi="Times New Roman"/>
          <w:sz w:val="24"/>
          <w:szCs w:val="24"/>
        </w:rPr>
        <w:t>, 48, 201-213.</w:t>
      </w:r>
    </w:p>
    <w:p w14:paraId="47B8FC88"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Nivedita, T., Rajesh, M., and</w:t>
      </w:r>
      <w:r w:rsidR="003F6F1A" w:rsidRPr="003F6F1A">
        <w:rPr>
          <w:rFonts w:ascii="Times New Roman" w:hAnsi="Times New Roman"/>
          <w:sz w:val="24"/>
          <w:szCs w:val="24"/>
        </w:rPr>
        <w:t xml:space="preserve"> Garg, V. (2002). Toxic effect of diethyl phthalate on the freshwater fish, </w:t>
      </w:r>
      <w:proofErr w:type="spellStart"/>
      <w:r w:rsidR="003F6F1A" w:rsidRPr="003F6F1A">
        <w:rPr>
          <w:rFonts w:ascii="Times New Roman" w:hAnsi="Times New Roman"/>
          <w:i/>
          <w:sz w:val="24"/>
          <w:szCs w:val="24"/>
        </w:rPr>
        <w:t>Cirrhina</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mrigala</w:t>
      </w:r>
      <w:proofErr w:type="spellEnd"/>
      <w:r w:rsidR="003F6F1A" w:rsidRPr="003F6F1A">
        <w:rPr>
          <w:rFonts w:ascii="Times New Roman" w:hAnsi="Times New Roman"/>
          <w:sz w:val="24"/>
          <w:szCs w:val="24"/>
        </w:rPr>
        <w:t xml:space="preserve">. </w:t>
      </w:r>
      <w:r w:rsidR="003F6F1A" w:rsidRPr="003F6F1A">
        <w:rPr>
          <w:rFonts w:ascii="Times New Roman" w:hAnsi="Times New Roman"/>
          <w:i/>
          <w:sz w:val="24"/>
          <w:szCs w:val="24"/>
        </w:rPr>
        <w:t>Journal of Environmental Biology</w:t>
      </w:r>
      <w:r w:rsidR="003F6F1A" w:rsidRPr="003F6F1A">
        <w:rPr>
          <w:rFonts w:ascii="Times New Roman" w:hAnsi="Times New Roman"/>
          <w:sz w:val="24"/>
          <w:szCs w:val="24"/>
        </w:rPr>
        <w:t>, 23(3), 253-256.</w:t>
      </w:r>
    </w:p>
    <w:p w14:paraId="1EBCCBF8"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 xml:space="preserve">Nwani, C. D., </w:t>
      </w:r>
      <w:proofErr w:type="spellStart"/>
      <w:r>
        <w:rPr>
          <w:rFonts w:ascii="Times New Roman" w:hAnsi="Times New Roman"/>
          <w:sz w:val="24"/>
          <w:szCs w:val="24"/>
        </w:rPr>
        <w:t>Okogwu</w:t>
      </w:r>
      <w:proofErr w:type="spellEnd"/>
      <w:r>
        <w:rPr>
          <w:rFonts w:ascii="Times New Roman" w:hAnsi="Times New Roman"/>
          <w:sz w:val="24"/>
          <w:szCs w:val="24"/>
        </w:rPr>
        <w:t>, O. I., and</w:t>
      </w:r>
      <w:r w:rsidR="003F6F1A" w:rsidRPr="003F6F1A">
        <w:rPr>
          <w:rFonts w:ascii="Times New Roman" w:hAnsi="Times New Roman"/>
          <w:sz w:val="24"/>
          <w:szCs w:val="24"/>
        </w:rPr>
        <w:t xml:space="preserve"> Ude, E. F. (2013). Heavy metal impacts on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parameters in </w:t>
      </w:r>
      <w:proofErr w:type="spellStart"/>
      <w:r w:rsidR="003F6F1A" w:rsidRPr="003F6F1A">
        <w:rPr>
          <w:rFonts w:ascii="Times New Roman" w:hAnsi="Times New Roman"/>
          <w:i/>
          <w:sz w:val="24"/>
          <w:szCs w:val="24"/>
        </w:rPr>
        <w:t>Clarias</w:t>
      </w:r>
      <w:proofErr w:type="spellEnd"/>
      <w:r w:rsidR="003F6F1A" w:rsidRPr="003F6F1A">
        <w:rPr>
          <w:rFonts w:ascii="Times New Roman" w:hAnsi="Times New Roman"/>
          <w:i/>
          <w:sz w:val="24"/>
          <w:szCs w:val="24"/>
        </w:rPr>
        <w:t xml:space="preserve"> gariepinus. Journal of Environmental Science and Health</w:t>
      </w:r>
      <w:r w:rsidR="003F6F1A" w:rsidRPr="003F6F1A">
        <w:rPr>
          <w:rFonts w:ascii="Times New Roman" w:hAnsi="Times New Roman"/>
          <w:sz w:val="24"/>
          <w:szCs w:val="24"/>
        </w:rPr>
        <w:t>, 28(2), 113-120.</w:t>
      </w:r>
    </w:p>
    <w:p w14:paraId="4BE9A569"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Obiezue</w:t>
      </w:r>
      <w:proofErr w:type="spellEnd"/>
      <w:r w:rsidRPr="003F6F1A">
        <w:rPr>
          <w:rFonts w:ascii="Times New Roman" w:hAnsi="Times New Roman"/>
          <w:sz w:val="24"/>
          <w:szCs w:val="24"/>
        </w:rPr>
        <w:t xml:space="preserve">, R. N., </w:t>
      </w:r>
      <w:proofErr w:type="spellStart"/>
      <w:r w:rsidRPr="003F6F1A">
        <w:rPr>
          <w:rFonts w:ascii="Times New Roman" w:hAnsi="Times New Roman"/>
          <w:sz w:val="24"/>
          <w:szCs w:val="24"/>
        </w:rPr>
        <w:t>Ikele</w:t>
      </w:r>
      <w:proofErr w:type="spellEnd"/>
      <w:r w:rsidRPr="003F6F1A">
        <w:rPr>
          <w:rFonts w:ascii="Times New Roman" w:hAnsi="Times New Roman"/>
          <w:sz w:val="24"/>
          <w:szCs w:val="24"/>
        </w:rPr>
        <w:t xml:space="preserve">, C. B., </w:t>
      </w:r>
      <w:proofErr w:type="spellStart"/>
      <w:r w:rsidRPr="003F6F1A">
        <w:rPr>
          <w:rFonts w:ascii="Times New Roman" w:hAnsi="Times New Roman"/>
          <w:sz w:val="24"/>
          <w:szCs w:val="24"/>
        </w:rPr>
        <w:t>Mgbenka</w:t>
      </w:r>
      <w:proofErr w:type="spellEnd"/>
      <w:r w:rsidRPr="003F6F1A">
        <w:rPr>
          <w:rFonts w:ascii="Times New Roman" w:hAnsi="Times New Roman"/>
          <w:sz w:val="24"/>
          <w:szCs w:val="24"/>
        </w:rPr>
        <w:t xml:space="preserve">, B. O., Okoye, I. C., </w:t>
      </w:r>
      <w:proofErr w:type="spellStart"/>
      <w:r w:rsidRPr="003F6F1A">
        <w:rPr>
          <w:rFonts w:ascii="Times New Roman" w:hAnsi="Times New Roman"/>
          <w:sz w:val="24"/>
          <w:szCs w:val="24"/>
        </w:rPr>
        <w:t>Attamah</w:t>
      </w:r>
      <w:proofErr w:type="spellEnd"/>
      <w:r w:rsidRPr="003F6F1A">
        <w:rPr>
          <w:rFonts w:ascii="Times New Roman" w:hAnsi="Times New Roman"/>
          <w:sz w:val="24"/>
          <w:szCs w:val="24"/>
        </w:rPr>
        <w:t>, G. N</w:t>
      </w:r>
      <w:r w:rsidR="00F568A7">
        <w:rPr>
          <w:rFonts w:ascii="Times New Roman" w:hAnsi="Times New Roman"/>
          <w:sz w:val="24"/>
          <w:szCs w:val="24"/>
        </w:rPr>
        <w:t>., Uchendu, C., Ezeamachi, E., and</w:t>
      </w:r>
      <w:r w:rsidRPr="003F6F1A">
        <w:rPr>
          <w:rFonts w:ascii="Times New Roman" w:hAnsi="Times New Roman"/>
          <w:sz w:val="24"/>
          <w:szCs w:val="24"/>
        </w:rPr>
        <w:t xml:space="preserve"> Onyia, C. Q. (2014). Toxicity study of diethyl phthalate on </w:t>
      </w:r>
      <w:r w:rsidRPr="003F6F1A">
        <w:rPr>
          <w:rFonts w:ascii="Times New Roman" w:hAnsi="Times New Roman"/>
          <w:i/>
          <w:sz w:val="24"/>
          <w:szCs w:val="24"/>
        </w:rPr>
        <w:t>Clarias gariepinus</w:t>
      </w:r>
      <w:r w:rsidRPr="003F6F1A">
        <w:rPr>
          <w:rFonts w:ascii="Times New Roman" w:hAnsi="Times New Roman"/>
          <w:sz w:val="24"/>
          <w:szCs w:val="24"/>
        </w:rPr>
        <w:t xml:space="preserve"> fingerlings. </w:t>
      </w:r>
      <w:r w:rsidRPr="003F6F1A">
        <w:rPr>
          <w:rFonts w:ascii="Times New Roman" w:hAnsi="Times New Roman"/>
          <w:i/>
          <w:sz w:val="24"/>
          <w:szCs w:val="24"/>
        </w:rPr>
        <w:t>African Journal of Biotechnology,</w:t>
      </w:r>
      <w:r w:rsidRPr="003F6F1A">
        <w:rPr>
          <w:rFonts w:ascii="Times New Roman" w:hAnsi="Times New Roman"/>
          <w:sz w:val="24"/>
          <w:szCs w:val="24"/>
        </w:rPr>
        <w:t xml:space="preserve"> 13(7), 884-896. https://doi.org/10.5897/ajb2013.13210</w:t>
      </w:r>
    </w:p>
    <w:p w14:paraId="5D7B8F73"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Ogundiran, M. A., </w:t>
      </w:r>
      <w:proofErr w:type="spellStart"/>
      <w:r w:rsidRPr="003F6F1A">
        <w:rPr>
          <w:rFonts w:ascii="Times New Roman" w:hAnsi="Times New Roman"/>
          <w:sz w:val="24"/>
          <w:szCs w:val="24"/>
        </w:rPr>
        <w:t>Ayandiran</w:t>
      </w:r>
      <w:proofErr w:type="spellEnd"/>
      <w:r w:rsidRPr="003F6F1A">
        <w:rPr>
          <w:rFonts w:ascii="Times New Roman" w:hAnsi="Times New Roman"/>
          <w:sz w:val="24"/>
          <w:szCs w:val="24"/>
        </w:rPr>
        <w:t xml:space="preserve">, T. A., </w:t>
      </w:r>
      <w:proofErr w:type="spellStart"/>
      <w:r w:rsidRPr="003F6F1A">
        <w:rPr>
          <w:rFonts w:ascii="Times New Roman" w:hAnsi="Times New Roman"/>
          <w:sz w:val="24"/>
          <w:szCs w:val="24"/>
        </w:rPr>
        <w:t>Olasun</w:t>
      </w:r>
      <w:r w:rsidR="00F568A7">
        <w:rPr>
          <w:rFonts w:ascii="Times New Roman" w:hAnsi="Times New Roman"/>
          <w:sz w:val="24"/>
          <w:szCs w:val="24"/>
        </w:rPr>
        <w:t>mibo</w:t>
      </w:r>
      <w:proofErr w:type="spellEnd"/>
      <w:r w:rsidR="00F568A7">
        <w:rPr>
          <w:rFonts w:ascii="Times New Roman" w:hAnsi="Times New Roman"/>
          <w:sz w:val="24"/>
          <w:szCs w:val="24"/>
        </w:rPr>
        <w:t>, A. O., Olanipeku, A. S., and</w:t>
      </w:r>
      <w:r w:rsidRPr="003F6F1A">
        <w:rPr>
          <w:rFonts w:ascii="Times New Roman" w:hAnsi="Times New Roman"/>
          <w:sz w:val="24"/>
          <w:szCs w:val="24"/>
        </w:rPr>
        <w:t xml:space="preserve"> </w:t>
      </w:r>
      <w:proofErr w:type="spellStart"/>
      <w:r w:rsidRPr="003F6F1A">
        <w:rPr>
          <w:rFonts w:ascii="Times New Roman" w:hAnsi="Times New Roman"/>
          <w:sz w:val="24"/>
          <w:szCs w:val="24"/>
        </w:rPr>
        <w:t>Okaseun</w:t>
      </w:r>
      <w:proofErr w:type="spellEnd"/>
      <w:r w:rsidRPr="003F6F1A">
        <w:rPr>
          <w:rFonts w:ascii="Times New Roman" w:hAnsi="Times New Roman"/>
          <w:sz w:val="24"/>
          <w:szCs w:val="24"/>
        </w:rPr>
        <w:t xml:space="preserve">, O. T. (2021). Changes in some behavioral, hematological and biochemical indices of air-breathing </w:t>
      </w:r>
      <w:r w:rsidRPr="003F6F1A">
        <w:rPr>
          <w:rFonts w:ascii="Times New Roman" w:hAnsi="Times New Roman"/>
          <w:i/>
          <w:sz w:val="24"/>
          <w:szCs w:val="24"/>
        </w:rPr>
        <w:t>Clarias gariepinus</w:t>
      </w:r>
      <w:r w:rsidRPr="003F6F1A">
        <w:rPr>
          <w:rFonts w:ascii="Times New Roman" w:hAnsi="Times New Roman"/>
          <w:sz w:val="24"/>
          <w:szCs w:val="24"/>
        </w:rPr>
        <w:t xml:space="preserve"> [BUCHELL, 1822] exposed to pharmaceutical effluent. </w:t>
      </w:r>
      <w:r w:rsidRPr="003F6F1A">
        <w:rPr>
          <w:rFonts w:ascii="Times New Roman" w:hAnsi="Times New Roman"/>
          <w:i/>
          <w:sz w:val="24"/>
          <w:szCs w:val="24"/>
        </w:rPr>
        <w:t>African Journal of Biotechnology</w:t>
      </w:r>
      <w:r w:rsidRPr="003F6F1A">
        <w:rPr>
          <w:rFonts w:ascii="Times New Roman" w:hAnsi="Times New Roman"/>
          <w:sz w:val="24"/>
          <w:szCs w:val="24"/>
        </w:rPr>
        <w:t>, 20(7), 287-292.</w:t>
      </w:r>
    </w:p>
    <w:p w14:paraId="683B149A"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Ogundiran, M. A., </w:t>
      </w:r>
      <w:r w:rsidR="00F568A7">
        <w:rPr>
          <w:rFonts w:ascii="Times New Roman" w:hAnsi="Times New Roman"/>
          <w:sz w:val="24"/>
          <w:szCs w:val="24"/>
        </w:rPr>
        <w:t xml:space="preserve">Fawole, O. O., </w:t>
      </w:r>
      <w:proofErr w:type="spellStart"/>
      <w:r w:rsidR="00F568A7">
        <w:rPr>
          <w:rFonts w:ascii="Times New Roman" w:hAnsi="Times New Roman"/>
          <w:sz w:val="24"/>
          <w:szCs w:val="24"/>
        </w:rPr>
        <w:t>Adewoye</w:t>
      </w:r>
      <w:proofErr w:type="spellEnd"/>
      <w:r w:rsidR="00F568A7">
        <w:rPr>
          <w:rFonts w:ascii="Times New Roman" w:hAnsi="Times New Roman"/>
          <w:sz w:val="24"/>
          <w:szCs w:val="24"/>
        </w:rPr>
        <w:t>, S. O., and</w:t>
      </w:r>
      <w:r w:rsidRPr="003F6F1A">
        <w:rPr>
          <w:rFonts w:ascii="Times New Roman" w:hAnsi="Times New Roman"/>
          <w:sz w:val="24"/>
          <w:szCs w:val="24"/>
        </w:rPr>
        <w:t xml:space="preserve"> </w:t>
      </w:r>
      <w:proofErr w:type="spellStart"/>
      <w:r w:rsidRPr="003F6F1A">
        <w:rPr>
          <w:rFonts w:ascii="Times New Roman" w:hAnsi="Times New Roman"/>
          <w:sz w:val="24"/>
          <w:szCs w:val="24"/>
        </w:rPr>
        <w:t>Ayandiran</w:t>
      </w:r>
      <w:proofErr w:type="spellEnd"/>
      <w:r w:rsidRPr="003F6F1A">
        <w:rPr>
          <w:rFonts w:ascii="Times New Roman" w:hAnsi="Times New Roman"/>
          <w:sz w:val="24"/>
          <w:szCs w:val="24"/>
        </w:rPr>
        <w:t xml:space="preserve">, T. A. (2010). Toxicological impact of detergent effluent on African cat fish, </w:t>
      </w:r>
      <w:r w:rsidRPr="003F6F1A">
        <w:rPr>
          <w:rFonts w:ascii="Times New Roman" w:hAnsi="Times New Roman"/>
          <w:i/>
          <w:sz w:val="24"/>
          <w:szCs w:val="24"/>
        </w:rPr>
        <w:t xml:space="preserve">Clarias gariepinus </w:t>
      </w:r>
      <w:r w:rsidRPr="003F6F1A">
        <w:rPr>
          <w:rFonts w:ascii="Times New Roman" w:hAnsi="Times New Roman"/>
          <w:sz w:val="24"/>
          <w:szCs w:val="24"/>
        </w:rPr>
        <w:t xml:space="preserve">juvenile. </w:t>
      </w:r>
      <w:r w:rsidRPr="003F6F1A">
        <w:rPr>
          <w:rFonts w:ascii="Times New Roman" w:hAnsi="Times New Roman"/>
          <w:i/>
          <w:sz w:val="24"/>
          <w:szCs w:val="24"/>
        </w:rPr>
        <w:t>Agriculture and Biology Journal of North America</w:t>
      </w:r>
      <w:r w:rsidRPr="003F6F1A">
        <w:rPr>
          <w:rFonts w:ascii="Times New Roman" w:hAnsi="Times New Roman"/>
          <w:sz w:val="24"/>
          <w:szCs w:val="24"/>
        </w:rPr>
        <w:t>, 1(3), 330-342.</w:t>
      </w:r>
    </w:p>
    <w:p w14:paraId="3D925261"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Okoli</w:t>
      </w:r>
      <w:r w:rsidR="00F568A7">
        <w:rPr>
          <w:rFonts w:ascii="Times New Roman" w:hAnsi="Times New Roman"/>
          <w:sz w:val="24"/>
          <w:szCs w:val="24"/>
        </w:rPr>
        <w:t>-Anunobi</w:t>
      </w:r>
      <w:proofErr w:type="spellEnd"/>
      <w:r w:rsidR="00F568A7">
        <w:rPr>
          <w:rFonts w:ascii="Times New Roman" w:hAnsi="Times New Roman"/>
          <w:sz w:val="24"/>
          <w:szCs w:val="24"/>
        </w:rPr>
        <w:t>, A., Chikezie, R. O., and</w:t>
      </w:r>
      <w:r w:rsidRPr="003F6F1A">
        <w:rPr>
          <w:rFonts w:ascii="Times New Roman" w:hAnsi="Times New Roman"/>
          <w:sz w:val="24"/>
          <w:szCs w:val="24"/>
        </w:rPr>
        <w:t xml:space="preserve"> </w:t>
      </w:r>
      <w:proofErr w:type="spellStart"/>
      <w:r w:rsidRPr="003F6F1A">
        <w:rPr>
          <w:rFonts w:ascii="Times New Roman" w:hAnsi="Times New Roman"/>
          <w:sz w:val="24"/>
          <w:szCs w:val="24"/>
        </w:rPr>
        <w:t>Onyeike</w:t>
      </w:r>
      <w:proofErr w:type="spellEnd"/>
      <w:r w:rsidRPr="003F6F1A">
        <w:rPr>
          <w:rFonts w:ascii="Times New Roman" w:hAnsi="Times New Roman"/>
          <w:sz w:val="24"/>
          <w:szCs w:val="24"/>
        </w:rPr>
        <w:t>, E. N. (2002). Toxicity studies on detergent (Elephant Blue) using Nile tilapia (</w:t>
      </w:r>
      <w:r w:rsidRPr="003F6F1A">
        <w:rPr>
          <w:rFonts w:ascii="Times New Roman" w:hAnsi="Times New Roman"/>
          <w:i/>
          <w:sz w:val="24"/>
          <w:szCs w:val="24"/>
        </w:rPr>
        <w:t>Oreochromis niloticus</w:t>
      </w:r>
      <w:r w:rsidRPr="003F6F1A">
        <w:rPr>
          <w:rFonts w:ascii="Times New Roman" w:hAnsi="Times New Roman"/>
          <w:sz w:val="24"/>
          <w:szCs w:val="24"/>
        </w:rPr>
        <w:t xml:space="preserve">). </w:t>
      </w:r>
      <w:r w:rsidRPr="003F6F1A">
        <w:rPr>
          <w:rFonts w:ascii="Times New Roman" w:hAnsi="Times New Roman"/>
          <w:i/>
          <w:sz w:val="24"/>
          <w:szCs w:val="24"/>
        </w:rPr>
        <w:t>Nigerian Journal of Environmental Studies</w:t>
      </w:r>
      <w:r w:rsidRPr="003F6F1A">
        <w:rPr>
          <w:rFonts w:ascii="Times New Roman" w:hAnsi="Times New Roman"/>
          <w:sz w:val="24"/>
          <w:szCs w:val="24"/>
        </w:rPr>
        <w:t>, 3(1), 19-27.</w:t>
      </w:r>
    </w:p>
    <w:p w14:paraId="316F257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Olatunji, O. S.,</w:t>
      </w:r>
      <w:r w:rsidR="00F568A7">
        <w:rPr>
          <w:rFonts w:ascii="Times New Roman" w:hAnsi="Times New Roman"/>
          <w:sz w:val="24"/>
          <w:szCs w:val="24"/>
        </w:rPr>
        <w:t xml:space="preserve"> </w:t>
      </w:r>
      <w:proofErr w:type="spellStart"/>
      <w:r w:rsidR="00F568A7">
        <w:rPr>
          <w:rFonts w:ascii="Times New Roman" w:hAnsi="Times New Roman"/>
          <w:sz w:val="24"/>
          <w:szCs w:val="24"/>
        </w:rPr>
        <w:t>Fatoki</w:t>
      </w:r>
      <w:proofErr w:type="spellEnd"/>
      <w:r w:rsidR="00F568A7">
        <w:rPr>
          <w:rFonts w:ascii="Times New Roman" w:hAnsi="Times New Roman"/>
          <w:sz w:val="24"/>
          <w:szCs w:val="24"/>
        </w:rPr>
        <w:t>, O. S., Opeolu, B. O., and</w:t>
      </w:r>
      <w:r w:rsidRPr="003F6F1A">
        <w:rPr>
          <w:rFonts w:ascii="Times New Roman" w:hAnsi="Times New Roman"/>
          <w:sz w:val="24"/>
          <w:szCs w:val="24"/>
        </w:rPr>
        <w:t xml:space="preserve"> Ximba, B. J. (2020). Phthalate esters and their potential risk in water and sediment of the Diep and </w:t>
      </w:r>
      <w:proofErr w:type="spellStart"/>
      <w:r w:rsidRPr="003F6F1A">
        <w:rPr>
          <w:rFonts w:ascii="Times New Roman" w:hAnsi="Times New Roman"/>
          <w:sz w:val="24"/>
          <w:szCs w:val="24"/>
        </w:rPr>
        <w:t>Plankenburg</w:t>
      </w:r>
      <w:proofErr w:type="spellEnd"/>
      <w:r w:rsidRPr="003F6F1A">
        <w:rPr>
          <w:rFonts w:ascii="Times New Roman" w:hAnsi="Times New Roman"/>
          <w:sz w:val="24"/>
          <w:szCs w:val="24"/>
        </w:rPr>
        <w:t xml:space="preserve"> Rivers in the Western Cape Province, South Africa. </w:t>
      </w:r>
      <w:r w:rsidRPr="003F6F1A">
        <w:rPr>
          <w:rFonts w:ascii="Times New Roman" w:hAnsi="Times New Roman"/>
          <w:i/>
          <w:sz w:val="24"/>
          <w:szCs w:val="24"/>
        </w:rPr>
        <w:t>International Journal of Environmental Research and Public Health</w:t>
      </w:r>
      <w:r w:rsidRPr="003F6F1A">
        <w:rPr>
          <w:rFonts w:ascii="Times New Roman" w:hAnsi="Times New Roman"/>
          <w:sz w:val="24"/>
          <w:szCs w:val="24"/>
        </w:rPr>
        <w:t>, 17(6), 2175.</w:t>
      </w:r>
    </w:p>
    <w:p w14:paraId="0FFBF722"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Olojo</w:t>
      </w:r>
      <w:proofErr w:type="spellEnd"/>
      <w:r w:rsidRPr="003F6F1A">
        <w:rPr>
          <w:rFonts w:ascii="Times New Roman" w:hAnsi="Times New Roman"/>
          <w:sz w:val="24"/>
          <w:szCs w:val="24"/>
        </w:rPr>
        <w:t>, E. A.</w:t>
      </w:r>
      <w:r w:rsidR="00F568A7">
        <w:rPr>
          <w:rFonts w:ascii="Times New Roman" w:hAnsi="Times New Roman"/>
          <w:sz w:val="24"/>
          <w:szCs w:val="24"/>
        </w:rPr>
        <w:t xml:space="preserve"> A., </w:t>
      </w:r>
      <w:proofErr w:type="spellStart"/>
      <w:r w:rsidR="00F568A7">
        <w:rPr>
          <w:rFonts w:ascii="Times New Roman" w:hAnsi="Times New Roman"/>
          <w:sz w:val="24"/>
          <w:szCs w:val="24"/>
        </w:rPr>
        <w:t>Olurin</w:t>
      </w:r>
      <w:proofErr w:type="spellEnd"/>
      <w:r w:rsidR="00F568A7">
        <w:rPr>
          <w:rFonts w:ascii="Times New Roman" w:hAnsi="Times New Roman"/>
          <w:sz w:val="24"/>
          <w:szCs w:val="24"/>
        </w:rPr>
        <w:t>, K. B., Mbaka, C., and</w:t>
      </w:r>
      <w:r w:rsidRPr="003F6F1A">
        <w:rPr>
          <w:rFonts w:ascii="Times New Roman" w:hAnsi="Times New Roman"/>
          <w:sz w:val="24"/>
          <w:szCs w:val="24"/>
        </w:rPr>
        <w:t xml:space="preserve"> Oluwemimo, A. D. (2005). Histopathology of gills and liver tissues of the African catfish </w:t>
      </w:r>
      <w:r w:rsidRPr="003F6F1A">
        <w:rPr>
          <w:rFonts w:ascii="Times New Roman" w:hAnsi="Times New Roman"/>
          <w:i/>
          <w:sz w:val="24"/>
          <w:szCs w:val="24"/>
        </w:rPr>
        <w:t>Clarias gariepinus</w:t>
      </w:r>
      <w:r w:rsidRPr="003F6F1A">
        <w:rPr>
          <w:rFonts w:ascii="Times New Roman" w:hAnsi="Times New Roman"/>
          <w:sz w:val="24"/>
          <w:szCs w:val="24"/>
        </w:rPr>
        <w:t xml:space="preserve"> exposed to lead. </w:t>
      </w:r>
      <w:r w:rsidRPr="003F6F1A">
        <w:rPr>
          <w:rFonts w:ascii="Times New Roman" w:hAnsi="Times New Roman"/>
          <w:i/>
          <w:sz w:val="24"/>
          <w:szCs w:val="24"/>
        </w:rPr>
        <w:t>African Journal of Biotechnology,</w:t>
      </w:r>
      <w:r w:rsidRPr="003F6F1A">
        <w:rPr>
          <w:rFonts w:ascii="Times New Roman" w:hAnsi="Times New Roman"/>
          <w:sz w:val="24"/>
          <w:szCs w:val="24"/>
        </w:rPr>
        <w:t xml:space="preserve"> 4(1), 117-122.</w:t>
      </w:r>
    </w:p>
    <w:p w14:paraId="504484BB"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Opute</w:t>
      </w:r>
      <w:proofErr w:type="spellEnd"/>
      <w:r w:rsidRPr="003F6F1A">
        <w:rPr>
          <w:rFonts w:ascii="Times New Roman" w:hAnsi="Times New Roman"/>
          <w:sz w:val="24"/>
          <w:szCs w:val="24"/>
        </w:rPr>
        <w:t>, S. D</w:t>
      </w:r>
      <w:r w:rsidR="00F568A7">
        <w:rPr>
          <w:rFonts w:ascii="Times New Roman" w:hAnsi="Times New Roman"/>
          <w:sz w:val="24"/>
          <w:szCs w:val="24"/>
        </w:rPr>
        <w:t xml:space="preserve">., </w:t>
      </w:r>
      <w:proofErr w:type="spellStart"/>
      <w:r w:rsidR="00F568A7">
        <w:rPr>
          <w:rFonts w:ascii="Times New Roman" w:hAnsi="Times New Roman"/>
          <w:sz w:val="24"/>
          <w:szCs w:val="24"/>
        </w:rPr>
        <w:t>Egere</w:t>
      </w:r>
      <w:proofErr w:type="spellEnd"/>
      <w:r w:rsidR="00F568A7">
        <w:rPr>
          <w:rFonts w:ascii="Times New Roman" w:hAnsi="Times New Roman"/>
          <w:sz w:val="24"/>
          <w:szCs w:val="24"/>
        </w:rPr>
        <w:t>, O. R., and</w:t>
      </w:r>
      <w:r w:rsidRPr="003F6F1A">
        <w:rPr>
          <w:rFonts w:ascii="Times New Roman" w:hAnsi="Times New Roman"/>
          <w:sz w:val="24"/>
          <w:szCs w:val="24"/>
        </w:rPr>
        <w:t xml:space="preserve"> Okoye, E. S. (2022). Atrazine toxicity in post-embryonic development </w:t>
      </w:r>
      <w:r w:rsidRPr="003F6F1A">
        <w:rPr>
          <w:rFonts w:ascii="Times New Roman" w:hAnsi="Times New Roman"/>
          <w:i/>
          <w:sz w:val="24"/>
          <w:szCs w:val="24"/>
        </w:rPr>
        <w:t xml:space="preserve">of </w:t>
      </w:r>
      <w:proofErr w:type="spellStart"/>
      <w:r w:rsidRPr="003F6F1A">
        <w:rPr>
          <w:rFonts w:ascii="Times New Roman" w:hAnsi="Times New Roman"/>
          <w:i/>
          <w:sz w:val="24"/>
          <w:szCs w:val="24"/>
        </w:rPr>
        <w:t>Clarias</w:t>
      </w:r>
      <w:proofErr w:type="spellEnd"/>
      <w:r w:rsidRPr="003F6F1A">
        <w:rPr>
          <w:rFonts w:ascii="Times New Roman" w:hAnsi="Times New Roman"/>
          <w:i/>
          <w:sz w:val="24"/>
          <w:szCs w:val="24"/>
        </w:rPr>
        <w:t xml:space="preserve"> </w:t>
      </w:r>
      <w:proofErr w:type="spellStart"/>
      <w:r w:rsidRPr="003F6F1A">
        <w:rPr>
          <w:rFonts w:ascii="Times New Roman" w:hAnsi="Times New Roman"/>
          <w:i/>
          <w:sz w:val="24"/>
          <w:szCs w:val="24"/>
        </w:rPr>
        <w:t>gariepinus</w:t>
      </w:r>
      <w:proofErr w:type="spellEnd"/>
      <w:r w:rsidRPr="003F6F1A">
        <w:rPr>
          <w:rFonts w:ascii="Times New Roman" w:hAnsi="Times New Roman"/>
          <w:sz w:val="24"/>
          <w:szCs w:val="24"/>
        </w:rPr>
        <w:t xml:space="preserve">: A </w:t>
      </w:r>
      <w:proofErr w:type="spellStart"/>
      <w:r w:rsidRPr="003F6F1A">
        <w:rPr>
          <w:rFonts w:ascii="Times New Roman" w:hAnsi="Times New Roman"/>
          <w:sz w:val="24"/>
          <w:szCs w:val="24"/>
        </w:rPr>
        <w:t>haematological</w:t>
      </w:r>
      <w:proofErr w:type="spellEnd"/>
      <w:r w:rsidRPr="003F6F1A">
        <w:rPr>
          <w:rFonts w:ascii="Times New Roman" w:hAnsi="Times New Roman"/>
          <w:sz w:val="24"/>
          <w:szCs w:val="24"/>
        </w:rPr>
        <w:t xml:space="preserve"> approach. </w:t>
      </w:r>
      <w:r w:rsidRPr="003F6F1A">
        <w:rPr>
          <w:rFonts w:ascii="Times New Roman" w:hAnsi="Times New Roman"/>
          <w:i/>
          <w:sz w:val="24"/>
          <w:szCs w:val="24"/>
        </w:rPr>
        <w:t>African Journal of Aquatic Sciences</w:t>
      </w:r>
      <w:r w:rsidRPr="003F6F1A">
        <w:rPr>
          <w:rFonts w:ascii="Times New Roman" w:hAnsi="Times New Roman"/>
          <w:sz w:val="24"/>
          <w:szCs w:val="24"/>
        </w:rPr>
        <w:t>, 39(1), 67-75.</w:t>
      </w:r>
    </w:p>
    <w:p w14:paraId="6FA4C84E"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Pacheco, M., and</w:t>
      </w:r>
      <w:r w:rsidR="003F6F1A" w:rsidRPr="003F6F1A">
        <w:rPr>
          <w:rFonts w:ascii="Times New Roman" w:hAnsi="Times New Roman"/>
          <w:sz w:val="24"/>
          <w:szCs w:val="24"/>
        </w:rPr>
        <w:t xml:space="preserve"> Santos, M. A. (2002). Biotransformation, genotoxic and histopathological effects of environmental contaminants in European eel (</w:t>
      </w:r>
      <w:r w:rsidR="003F6F1A" w:rsidRPr="003F6F1A">
        <w:rPr>
          <w:rFonts w:ascii="Times New Roman" w:hAnsi="Times New Roman"/>
          <w:i/>
          <w:sz w:val="24"/>
          <w:szCs w:val="24"/>
        </w:rPr>
        <w:t xml:space="preserve">Anguilla </w:t>
      </w:r>
      <w:proofErr w:type="spellStart"/>
      <w:r w:rsidR="003F6F1A" w:rsidRPr="003F6F1A">
        <w:rPr>
          <w:rFonts w:ascii="Times New Roman" w:hAnsi="Times New Roman"/>
          <w:i/>
          <w:sz w:val="24"/>
          <w:szCs w:val="24"/>
        </w:rPr>
        <w:t>anguilla</w:t>
      </w:r>
      <w:proofErr w:type="spellEnd"/>
      <w:r w:rsidR="003F6F1A" w:rsidRPr="003F6F1A">
        <w:rPr>
          <w:rFonts w:ascii="Times New Roman" w:hAnsi="Times New Roman"/>
          <w:i/>
          <w:sz w:val="24"/>
          <w:szCs w:val="24"/>
        </w:rPr>
        <w:t xml:space="preserve"> L</w:t>
      </w:r>
      <w:r w:rsidR="003F6F1A" w:rsidRPr="003F6F1A">
        <w:rPr>
          <w:rFonts w:ascii="Times New Roman" w:hAnsi="Times New Roman"/>
          <w:sz w:val="24"/>
          <w:szCs w:val="24"/>
        </w:rPr>
        <w:t xml:space="preserve">.). </w:t>
      </w:r>
      <w:r w:rsidR="003F6F1A" w:rsidRPr="003F6F1A">
        <w:rPr>
          <w:rFonts w:ascii="Times New Roman" w:hAnsi="Times New Roman"/>
          <w:i/>
          <w:sz w:val="24"/>
          <w:szCs w:val="24"/>
        </w:rPr>
        <w:t>Ecotoxicology and Environmental Safety</w:t>
      </w:r>
      <w:r w:rsidR="003F6F1A" w:rsidRPr="003F6F1A">
        <w:rPr>
          <w:rFonts w:ascii="Times New Roman" w:hAnsi="Times New Roman"/>
          <w:sz w:val="24"/>
          <w:szCs w:val="24"/>
        </w:rPr>
        <w:t>, 53(3), 331-347.</w:t>
      </w:r>
    </w:p>
    <w:p w14:paraId="1FA55864"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Petcoff, G. M., Diaz, A. O., Es</w:t>
      </w:r>
      <w:r w:rsidR="00F568A7">
        <w:rPr>
          <w:rFonts w:ascii="Times New Roman" w:hAnsi="Times New Roman"/>
          <w:sz w:val="24"/>
          <w:szCs w:val="24"/>
        </w:rPr>
        <w:t>calante, A. H., and</w:t>
      </w:r>
      <w:r w:rsidRPr="003F6F1A">
        <w:rPr>
          <w:rFonts w:ascii="Times New Roman" w:hAnsi="Times New Roman"/>
          <w:sz w:val="24"/>
          <w:szCs w:val="24"/>
        </w:rPr>
        <w:t xml:space="preserve"> Goldemberg, A. L. (2006). Histology of the liver </w:t>
      </w:r>
      <w:proofErr w:type="spellStart"/>
      <w:r w:rsidRPr="003F6F1A">
        <w:rPr>
          <w:rFonts w:ascii="Times New Roman" w:hAnsi="Times New Roman"/>
          <w:sz w:val="24"/>
          <w:szCs w:val="24"/>
        </w:rPr>
        <w:t>Oligosarcus</w:t>
      </w:r>
      <w:proofErr w:type="spellEnd"/>
      <w:r w:rsidRPr="003F6F1A">
        <w:rPr>
          <w:rFonts w:ascii="Times New Roman" w:hAnsi="Times New Roman"/>
          <w:sz w:val="24"/>
          <w:szCs w:val="24"/>
        </w:rPr>
        <w:t xml:space="preserve"> </w:t>
      </w:r>
      <w:proofErr w:type="spellStart"/>
      <w:r w:rsidRPr="003F6F1A">
        <w:rPr>
          <w:rFonts w:ascii="Times New Roman" w:hAnsi="Times New Roman"/>
          <w:sz w:val="24"/>
          <w:szCs w:val="24"/>
        </w:rPr>
        <w:t>jenysii</w:t>
      </w:r>
      <w:proofErr w:type="spellEnd"/>
      <w:r w:rsidRPr="003F6F1A">
        <w:rPr>
          <w:rFonts w:ascii="Times New Roman" w:hAnsi="Times New Roman"/>
          <w:sz w:val="24"/>
          <w:szCs w:val="24"/>
        </w:rPr>
        <w:t xml:space="preserve"> (</w:t>
      </w:r>
      <w:proofErr w:type="spellStart"/>
      <w:r w:rsidRPr="003F6F1A">
        <w:rPr>
          <w:rFonts w:ascii="Times New Roman" w:hAnsi="Times New Roman"/>
          <w:i/>
          <w:sz w:val="24"/>
          <w:szCs w:val="24"/>
        </w:rPr>
        <w:t>Ostariophysi</w:t>
      </w:r>
      <w:proofErr w:type="spellEnd"/>
      <w:r w:rsidRPr="003F6F1A">
        <w:rPr>
          <w:rFonts w:ascii="Times New Roman" w:hAnsi="Times New Roman"/>
          <w:i/>
          <w:sz w:val="24"/>
          <w:szCs w:val="24"/>
        </w:rPr>
        <w:t xml:space="preserve"> </w:t>
      </w:r>
      <w:proofErr w:type="spellStart"/>
      <w:r w:rsidRPr="003F6F1A">
        <w:rPr>
          <w:rFonts w:ascii="Times New Roman" w:hAnsi="Times New Roman"/>
          <w:i/>
          <w:sz w:val="24"/>
          <w:szCs w:val="24"/>
        </w:rPr>
        <w:t>Characidae</w:t>
      </w:r>
      <w:proofErr w:type="spellEnd"/>
      <w:r w:rsidRPr="003F6F1A">
        <w:rPr>
          <w:rFonts w:ascii="Times New Roman" w:hAnsi="Times New Roman"/>
          <w:sz w:val="24"/>
          <w:szCs w:val="24"/>
        </w:rPr>
        <w:t xml:space="preserve">) from los Padres lake, Argentina. </w:t>
      </w:r>
      <w:r w:rsidRPr="003F6F1A">
        <w:rPr>
          <w:rFonts w:ascii="Times New Roman" w:hAnsi="Times New Roman"/>
          <w:i/>
          <w:sz w:val="24"/>
          <w:szCs w:val="24"/>
        </w:rPr>
        <w:t xml:space="preserve">Serie </w:t>
      </w:r>
      <w:proofErr w:type="spellStart"/>
      <w:r w:rsidRPr="003F6F1A">
        <w:rPr>
          <w:rFonts w:ascii="Times New Roman" w:hAnsi="Times New Roman"/>
          <w:i/>
          <w:sz w:val="24"/>
          <w:szCs w:val="24"/>
        </w:rPr>
        <w:t>Zoologica</w:t>
      </w:r>
      <w:proofErr w:type="spellEnd"/>
      <w:r w:rsidRPr="003F6F1A">
        <w:rPr>
          <w:rFonts w:ascii="Times New Roman" w:hAnsi="Times New Roman"/>
          <w:i/>
          <w:sz w:val="24"/>
          <w:szCs w:val="24"/>
        </w:rPr>
        <w:t>,</w:t>
      </w:r>
      <w:r w:rsidRPr="003F6F1A">
        <w:rPr>
          <w:rFonts w:ascii="Times New Roman" w:hAnsi="Times New Roman"/>
          <w:sz w:val="24"/>
          <w:szCs w:val="24"/>
        </w:rPr>
        <w:t xml:space="preserve"> 96(2), 205-208.</w:t>
      </w:r>
    </w:p>
    <w:p w14:paraId="253CB82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Rahman, M. S., and</w:t>
      </w:r>
      <w:r w:rsidR="003F6F1A" w:rsidRPr="003F6F1A">
        <w:rPr>
          <w:rFonts w:ascii="Times New Roman" w:hAnsi="Times New Roman"/>
          <w:sz w:val="24"/>
          <w:szCs w:val="24"/>
        </w:rPr>
        <w:t xml:space="preserve"> Hossain, M. Z. (2021). Mechanisms of detoxification in fish exposed to organic pollutants. </w:t>
      </w:r>
      <w:r w:rsidR="003F6F1A" w:rsidRPr="003F6F1A">
        <w:rPr>
          <w:rFonts w:ascii="Times New Roman" w:hAnsi="Times New Roman"/>
          <w:i/>
          <w:sz w:val="24"/>
          <w:szCs w:val="24"/>
        </w:rPr>
        <w:t>Ecotoxicology and Environmental Safety</w:t>
      </w:r>
      <w:r w:rsidR="003F6F1A" w:rsidRPr="003F6F1A">
        <w:rPr>
          <w:rFonts w:ascii="Times New Roman" w:hAnsi="Times New Roman"/>
          <w:sz w:val="24"/>
          <w:szCs w:val="24"/>
        </w:rPr>
        <w:t>, 47(3), 319-326.</w:t>
      </w:r>
    </w:p>
    <w:p w14:paraId="2570FF5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Rahman, S., Bhuiyan, M., and</w:t>
      </w:r>
      <w:r w:rsidR="003F6F1A" w:rsidRPr="003F6F1A">
        <w:rPr>
          <w:rFonts w:ascii="Times New Roman" w:hAnsi="Times New Roman"/>
          <w:sz w:val="24"/>
          <w:szCs w:val="24"/>
        </w:rPr>
        <w:t xml:space="preserve"> Islam, N. (2022). Influence of diethyl phthalate on platelet count in fish species: An indicator of stress response. </w:t>
      </w:r>
      <w:r w:rsidR="003F6F1A" w:rsidRPr="003F6F1A">
        <w:rPr>
          <w:rFonts w:ascii="Times New Roman" w:hAnsi="Times New Roman"/>
          <w:i/>
          <w:sz w:val="24"/>
          <w:szCs w:val="24"/>
        </w:rPr>
        <w:t>Fish and Shellfish Immunology</w:t>
      </w:r>
      <w:r w:rsidR="003F6F1A" w:rsidRPr="003F6F1A">
        <w:rPr>
          <w:rFonts w:ascii="Times New Roman" w:hAnsi="Times New Roman"/>
          <w:sz w:val="24"/>
          <w:szCs w:val="24"/>
        </w:rPr>
        <w:t>, 82(1), 312-321.</w:t>
      </w:r>
    </w:p>
    <w:p w14:paraId="7AFF8FC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Rohani, M. F. (2023). Pesticides toxicity in fish: Histopathological and </w:t>
      </w:r>
      <w:proofErr w:type="spellStart"/>
      <w:r w:rsidRPr="003F6F1A">
        <w:rPr>
          <w:rFonts w:ascii="Times New Roman" w:hAnsi="Times New Roman"/>
          <w:sz w:val="24"/>
          <w:szCs w:val="24"/>
        </w:rPr>
        <w:t>haematobiochemical</w:t>
      </w:r>
      <w:proofErr w:type="spellEnd"/>
      <w:r w:rsidRPr="003F6F1A">
        <w:rPr>
          <w:rFonts w:ascii="Times New Roman" w:hAnsi="Times New Roman"/>
          <w:sz w:val="24"/>
          <w:szCs w:val="24"/>
        </w:rPr>
        <w:t xml:space="preserve"> aspects</w:t>
      </w:r>
      <w:r w:rsidRPr="003F6F1A">
        <w:rPr>
          <w:rFonts w:ascii="Times New Roman" w:hAnsi="Times New Roman"/>
          <w:i/>
          <w:sz w:val="24"/>
          <w:szCs w:val="24"/>
        </w:rPr>
        <w:t>. Emerging Contaminants</w:t>
      </w:r>
      <w:r w:rsidRPr="003F6F1A">
        <w:rPr>
          <w:rFonts w:ascii="Times New Roman" w:hAnsi="Times New Roman"/>
          <w:sz w:val="24"/>
          <w:szCs w:val="24"/>
        </w:rPr>
        <w:t>, 9, 100234.</w:t>
      </w:r>
    </w:p>
    <w:p w14:paraId="393BBED4"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Salim, A., Adeoye, A., and</w:t>
      </w:r>
      <w:r w:rsidR="003F6F1A" w:rsidRPr="003F6F1A">
        <w:rPr>
          <w:rFonts w:ascii="Times New Roman" w:hAnsi="Times New Roman"/>
          <w:sz w:val="24"/>
          <w:szCs w:val="24"/>
        </w:rPr>
        <w:t xml:space="preserve"> Adams, J. (2021). </w:t>
      </w:r>
      <w:proofErr w:type="spellStart"/>
      <w:r w:rsidR="003F6F1A" w:rsidRPr="003F6F1A">
        <w:rPr>
          <w:rFonts w:ascii="Times New Roman" w:hAnsi="Times New Roman"/>
          <w:sz w:val="24"/>
          <w:szCs w:val="24"/>
        </w:rPr>
        <w:t>Behavioural</w:t>
      </w:r>
      <w:proofErr w:type="spellEnd"/>
      <w:r w:rsidR="003F6F1A" w:rsidRPr="003F6F1A">
        <w:rPr>
          <w:rFonts w:ascii="Times New Roman" w:hAnsi="Times New Roman"/>
          <w:sz w:val="24"/>
          <w:szCs w:val="24"/>
        </w:rPr>
        <w:t xml:space="preserve"> and physiological response of juvenile </w:t>
      </w:r>
      <w:r w:rsidR="003F6F1A" w:rsidRPr="003F6F1A">
        <w:rPr>
          <w:rFonts w:ascii="Times New Roman" w:hAnsi="Times New Roman"/>
          <w:i/>
          <w:sz w:val="24"/>
          <w:szCs w:val="24"/>
        </w:rPr>
        <w:t>Clarias gariepinus</w:t>
      </w:r>
      <w:r w:rsidR="003F6F1A" w:rsidRPr="003F6F1A">
        <w:rPr>
          <w:rFonts w:ascii="Times New Roman" w:hAnsi="Times New Roman"/>
          <w:sz w:val="24"/>
          <w:szCs w:val="24"/>
        </w:rPr>
        <w:t xml:space="preserve"> to sub-lethal concentrations of pollutants. </w:t>
      </w:r>
      <w:r w:rsidR="003F6F1A" w:rsidRPr="003F6F1A">
        <w:rPr>
          <w:rFonts w:ascii="Times New Roman" w:hAnsi="Times New Roman"/>
          <w:i/>
          <w:sz w:val="24"/>
          <w:szCs w:val="24"/>
        </w:rPr>
        <w:t>African Journal of Aquatic Science</w:t>
      </w:r>
      <w:r w:rsidR="003F6F1A" w:rsidRPr="003F6F1A">
        <w:rPr>
          <w:rFonts w:ascii="Times New Roman" w:hAnsi="Times New Roman"/>
          <w:sz w:val="24"/>
          <w:szCs w:val="24"/>
        </w:rPr>
        <w:t>, 46(2), 201-209.</w:t>
      </w:r>
    </w:p>
    <w:p w14:paraId="44149678"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Sayrafi, R., </w:t>
      </w:r>
      <w:proofErr w:type="spellStart"/>
      <w:r w:rsidRPr="003F6F1A">
        <w:rPr>
          <w:rFonts w:ascii="Times New Roman" w:hAnsi="Times New Roman"/>
          <w:sz w:val="24"/>
          <w:szCs w:val="24"/>
        </w:rPr>
        <w:t>Sol</w:t>
      </w:r>
      <w:r w:rsidR="00F568A7">
        <w:rPr>
          <w:rFonts w:ascii="Times New Roman" w:hAnsi="Times New Roman"/>
          <w:sz w:val="24"/>
          <w:szCs w:val="24"/>
        </w:rPr>
        <w:t>tanalinejad</w:t>
      </w:r>
      <w:proofErr w:type="spellEnd"/>
      <w:r w:rsidR="00F568A7">
        <w:rPr>
          <w:rFonts w:ascii="Times New Roman" w:hAnsi="Times New Roman"/>
          <w:sz w:val="24"/>
          <w:szCs w:val="24"/>
        </w:rPr>
        <w:t>, F., Shahrooz, R., and</w:t>
      </w:r>
      <w:r w:rsidRPr="003F6F1A">
        <w:rPr>
          <w:rFonts w:ascii="Times New Roman" w:hAnsi="Times New Roman"/>
          <w:sz w:val="24"/>
          <w:szCs w:val="24"/>
        </w:rPr>
        <w:t xml:space="preserve"> Rahimi, S. (2011). Effects of butyric acid glycerides and antibiotic growth promoter on the performance and intestinal histomorphometry of broiler chickens. </w:t>
      </w:r>
      <w:r w:rsidRPr="003F6F1A">
        <w:rPr>
          <w:rFonts w:ascii="Times New Roman" w:hAnsi="Times New Roman"/>
          <w:i/>
          <w:sz w:val="24"/>
          <w:szCs w:val="24"/>
        </w:rPr>
        <w:t>Journal of Food, Agriculture and Environment</w:t>
      </w:r>
      <w:r w:rsidRPr="003F6F1A">
        <w:rPr>
          <w:rFonts w:ascii="Times New Roman" w:hAnsi="Times New Roman"/>
          <w:sz w:val="24"/>
          <w:szCs w:val="24"/>
        </w:rPr>
        <w:t>, 9, 285-288.</w:t>
      </w:r>
    </w:p>
    <w:p w14:paraId="64DD500F"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Serra, C., Guido, M., and</w:t>
      </w:r>
      <w:r w:rsidR="003F6F1A" w:rsidRPr="003F6F1A">
        <w:rPr>
          <w:rFonts w:ascii="Times New Roman" w:hAnsi="Times New Roman"/>
          <w:sz w:val="24"/>
          <w:szCs w:val="24"/>
        </w:rPr>
        <w:t xml:space="preserve"> Antonio, M. (2007). Ultrasound assessment of vascularization of the thickened terminal ileum wall in Crohn's disease patients using a low-mechanical index real-time scanning technique with a </w:t>
      </w:r>
      <w:proofErr w:type="gramStart"/>
      <w:r w:rsidR="003F6F1A" w:rsidRPr="003F6F1A">
        <w:rPr>
          <w:rFonts w:ascii="Times New Roman" w:hAnsi="Times New Roman"/>
          <w:sz w:val="24"/>
          <w:szCs w:val="24"/>
        </w:rPr>
        <w:t>second generation</w:t>
      </w:r>
      <w:proofErr w:type="gramEnd"/>
      <w:r w:rsidR="003F6F1A" w:rsidRPr="003F6F1A">
        <w:rPr>
          <w:rFonts w:ascii="Times New Roman" w:hAnsi="Times New Roman"/>
          <w:sz w:val="24"/>
          <w:szCs w:val="24"/>
        </w:rPr>
        <w:t xml:space="preserve"> ultrasound contrast agent. </w:t>
      </w:r>
      <w:r w:rsidR="003F6F1A" w:rsidRPr="003F6F1A">
        <w:rPr>
          <w:rFonts w:ascii="Times New Roman" w:hAnsi="Times New Roman"/>
          <w:i/>
          <w:sz w:val="24"/>
          <w:szCs w:val="24"/>
        </w:rPr>
        <w:t>European Journal of Radiology,</w:t>
      </w:r>
      <w:r w:rsidR="003F6F1A" w:rsidRPr="003F6F1A">
        <w:rPr>
          <w:rFonts w:ascii="Times New Roman" w:hAnsi="Times New Roman"/>
          <w:sz w:val="24"/>
          <w:szCs w:val="24"/>
        </w:rPr>
        <w:t xml:space="preserve"> 62, 114-121.</w:t>
      </w:r>
    </w:p>
    <w:p w14:paraId="195540D2"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Shah, A., Singh, R., and</w:t>
      </w:r>
      <w:r w:rsidR="003F6F1A" w:rsidRPr="003F6F1A">
        <w:rPr>
          <w:rFonts w:ascii="Times New Roman" w:hAnsi="Times New Roman"/>
          <w:sz w:val="24"/>
          <w:szCs w:val="24"/>
        </w:rPr>
        <w:t xml:space="preserve"> Kumar, P. (2022).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indicators of environmental stress in </w:t>
      </w:r>
      <w:r w:rsidR="003F6F1A" w:rsidRPr="003F6F1A">
        <w:rPr>
          <w:rFonts w:ascii="Times New Roman" w:hAnsi="Times New Roman"/>
          <w:i/>
          <w:sz w:val="24"/>
          <w:szCs w:val="24"/>
        </w:rPr>
        <w:t>Oreochromis niloticus</w:t>
      </w:r>
      <w:r w:rsidR="003F6F1A" w:rsidRPr="003F6F1A">
        <w:rPr>
          <w:rFonts w:ascii="Times New Roman" w:hAnsi="Times New Roman"/>
          <w:sz w:val="24"/>
          <w:szCs w:val="24"/>
        </w:rPr>
        <w:t xml:space="preserve"> exposed to pollutants. </w:t>
      </w:r>
      <w:r w:rsidR="003F6F1A" w:rsidRPr="003F6F1A">
        <w:rPr>
          <w:rFonts w:ascii="Times New Roman" w:hAnsi="Times New Roman"/>
          <w:i/>
          <w:sz w:val="24"/>
          <w:szCs w:val="24"/>
        </w:rPr>
        <w:t>International Journal of Fisheries Science</w:t>
      </w:r>
      <w:r w:rsidR="003F6F1A" w:rsidRPr="003F6F1A">
        <w:rPr>
          <w:rFonts w:ascii="Times New Roman" w:hAnsi="Times New Roman"/>
          <w:sz w:val="24"/>
          <w:szCs w:val="24"/>
        </w:rPr>
        <w:t>, 45(4), 98-107.</w:t>
      </w:r>
    </w:p>
    <w:p w14:paraId="76A464F1"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Shah, S. L.,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Altindag</w:t>
      </w:r>
      <w:proofErr w:type="spellEnd"/>
      <w:r w:rsidR="003F6F1A" w:rsidRPr="003F6F1A">
        <w:rPr>
          <w:rFonts w:ascii="Times New Roman" w:hAnsi="Times New Roman"/>
          <w:sz w:val="24"/>
          <w:szCs w:val="24"/>
        </w:rPr>
        <w:t xml:space="preserve">, A. (2004). </w:t>
      </w:r>
      <w:proofErr w:type="spellStart"/>
      <w:r w:rsidR="003F6F1A" w:rsidRPr="003F6F1A">
        <w:rPr>
          <w:rFonts w:ascii="Times New Roman" w:hAnsi="Times New Roman"/>
          <w:sz w:val="24"/>
          <w:szCs w:val="24"/>
        </w:rPr>
        <w:t>Haematological</w:t>
      </w:r>
      <w:proofErr w:type="spellEnd"/>
      <w:r w:rsidR="003F6F1A" w:rsidRPr="003F6F1A">
        <w:rPr>
          <w:rFonts w:ascii="Times New Roman" w:hAnsi="Times New Roman"/>
          <w:sz w:val="24"/>
          <w:szCs w:val="24"/>
        </w:rPr>
        <w:t xml:space="preserve"> parameters of </w:t>
      </w:r>
      <w:proofErr w:type="spellStart"/>
      <w:r w:rsidR="003F6F1A" w:rsidRPr="003F6F1A">
        <w:rPr>
          <w:rFonts w:ascii="Times New Roman" w:hAnsi="Times New Roman"/>
          <w:sz w:val="24"/>
          <w:szCs w:val="24"/>
        </w:rPr>
        <w:t>tench</w:t>
      </w:r>
      <w:proofErr w:type="spellEnd"/>
      <w:r w:rsidR="003F6F1A" w:rsidRPr="003F6F1A">
        <w:rPr>
          <w:rFonts w:ascii="Times New Roman" w:hAnsi="Times New Roman"/>
          <w:sz w:val="24"/>
          <w:szCs w:val="24"/>
        </w:rPr>
        <w:t xml:space="preserve"> (</w:t>
      </w:r>
      <w:proofErr w:type="spellStart"/>
      <w:r w:rsidR="003F6F1A" w:rsidRPr="003F6F1A">
        <w:rPr>
          <w:rFonts w:ascii="Times New Roman" w:hAnsi="Times New Roman"/>
          <w:i/>
          <w:sz w:val="24"/>
          <w:szCs w:val="24"/>
        </w:rPr>
        <w:t>Tinca</w:t>
      </w:r>
      <w:proofErr w:type="spellEnd"/>
      <w:r w:rsidR="003F6F1A" w:rsidRPr="003F6F1A">
        <w:rPr>
          <w:rFonts w:ascii="Times New Roman" w:hAnsi="Times New Roman"/>
          <w:i/>
          <w:sz w:val="24"/>
          <w:szCs w:val="24"/>
        </w:rPr>
        <w:t xml:space="preserve"> </w:t>
      </w:r>
      <w:proofErr w:type="spellStart"/>
      <w:r w:rsidR="003F6F1A" w:rsidRPr="003F6F1A">
        <w:rPr>
          <w:rFonts w:ascii="Times New Roman" w:hAnsi="Times New Roman"/>
          <w:i/>
          <w:sz w:val="24"/>
          <w:szCs w:val="24"/>
        </w:rPr>
        <w:t>tinca</w:t>
      </w:r>
      <w:proofErr w:type="spellEnd"/>
      <w:r w:rsidR="003F6F1A" w:rsidRPr="003F6F1A">
        <w:rPr>
          <w:rFonts w:ascii="Times New Roman" w:hAnsi="Times New Roman"/>
          <w:i/>
          <w:sz w:val="24"/>
          <w:szCs w:val="24"/>
        </w:rPr>
        <w:t xml:space="preserve"> L</w:t>
      </w:r>
      <w:r w:rsidR="003F6F1A" w:rsidRPr="003F6F1A">
        <w:rPr>
          <w:rFonts w:ascii="Times New Roman" w:hAnsi="Times New Roman"/>
          <w:sz w:val="24"/>
          <w:szCs w:val="24"/>
        </w:rPr>
        <w:t xml:space="preserve">.) after acute and chronic exposure to lethal and sublethal mercury treatments. </w:t>
      </w:r>
      <w:r w:rsidR="003F6F1A" w:rsidRPr="003F6F1A">
        <w:rPr>
          <w:rFonts w:ascii="Times New Roman" w:hAnsi="Times New Roman"/>
          <w:i/>
          <w:sz w:val="24"/>
          <w:szCs w:val="24"/>
        </w:rPr>
        <w:t>Bulletin of Environmental Contamination and Toxicology</w:t>
      </w:r>
      <w:r w:rsidR="003F6F1A" w:rsidRPr="003F6F1A">
        <w:rPr>
          <w:rFonts w:ascii="Times New Roman" w:hAnsi="Times New Roman"/>
          <w:sz w:val="24"/>
          <w:szCs w:val="24"/>
        </w:rPr>
        <w:t>, 73, 911-918.</w:t>
      </w:r>
    </w:p>
    <w:p w14:paraId="1BC17BA5"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lastRenderedPageBreak/>
        <w:t>Shalab</w:t>
      </w:r>
      <w:r w:rsidR="00F568A7">
        <w:rPr>
          <w:rFonts w:ascii="Times New Roman" w:hAnsi="Times New Roman"/>
          <w:sz w:val="24"/>
          <w:szCs w:val="24"/>
        </w:rPr>
        <w:t>y, A. M., Abd El-Monem, A. M., and</w:t>
      </w:r>
      <w:r w:rsidRPr="003F6F1A">
        <w:rPr>
          <w:rFonts w:ascii="Times New Roman" w:hAnsi="Times New Roman"/>
          <w:sz w:val="24"/>
          <w:szCs w:val="24"/>
        </w:rPr>
        <w:t xml:space="preserve"> Abdella, M. M. (2006). Toxicity of aluminum sulfate to Nile tilapia</w:t>
      </w:r>
      <w:r w:rsidRPr="003F6F1A">
        <w:rPr>
          <w:rFonts w:ascii="Times New Roman" w:hAnsi="Times New Roman"/>
          <w:i/>
          <w:sz w:val="24"/>
          <w:szCs w:val="24"/>
        </w:rPr>
        <w:t>, Oreochromis niloticus. Aquatic Toxicology</w:t>
      </w:r>
      <w:r w:rsidRPr="003F6F1A">
        <w:rPr>
          <w:rFonts w:ascii="Times New Roman" w:hAnsi="Times New Roman"/>
          <w:sz w:val="24"/>
          <w:szCs w:val="24"/>
        </w:rPr>
        <w:t>, 79(3), 309-316.</w:t>
      </w:r>
    </w:p>
    <w:p w14:paraId="68B139C9"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Sha</w:t>
      </w:r>
      <w:r w:rsidR="00F568A7">
        <w:rPr>
          <w:rFonts w:ascii="Times New Roman" w:hAnsi="Times New Roman"/>
          <w:sz w:val="24"/>
          <w:szCs w:val="24"/>
        </w:rPr>
        <w:t>llangwa, M. T., and</w:t>
      </w:r>
      <w:r w:rsidRPr="003F6F1A">
        <w:rPr>
          <w:rFonts w:ascii="Times New Roman" w:hAnsi="Times New Roman"/>
          <w:sz w:val="24"/>
          <w:szCs w:val="24"/>
        </w:rPr>
        <w:t xml:space="preserve"> Auta, J. (2008). Comparative toxicity of some industrial chemicals to juvenile fish. </w:t>
      </w:r>
      <w:proofErr w:type="spellStart"/>
      <w:r w:rsidRPr="003F6F1A">
        <w:rPr>
          <w:rFonts w:ascii="Times New Roman" w:hAnsi="Times New Roman"/>
          <w:i/>
          <w:sz w:val="24"/>
          <w:szCs w:val="24"/>
        </w:rPr>
        <w:t>Biokemistri</w:t>
      </w:r>
      <w:proofErr w:type="spellEnd"/>
      <w:r w:rsidRPr="003F6F1A">
        <w:rPr>
          <w:rFonts w:ascii="Times New Roman" w:hAnsi="Times New Roman"/>
          <w:i/>
          <w:sz w:val="24"/>
          <w:szCs w:val="24"/>
        </w:rPr>
        <w:t>, 17</w:t>
      </w:r>
      <w:r w:rsidRPr="003F6F1A">
        <w:rPr>
          <w:rFonts w:ascii="Times New Roman" w:hAnsi="Times New Roman"/>
          <w:sz w:val="24"/>
          <w:szCs w:val="24"/>
        </w:rPr>
        <w:t>(2), 71-76.</w:t>
      </w:r>
    </w:p>
    <w:p w14:paraId="7202D3D8"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Sheybani</w:t>
      </w:r>
      <w:proofErr w:type="spellEnd"/>
      <w:r>
        <w:rPr>
          <w:rFonts w:ascii="Times New Roman" w:hAnsi="Times New Roman"/>
          <w:sz w:val="24"/>
          <w:szCs w:val="24"/>
        </w:rPr>
        <w:t>, M. T.,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Adibmoradi</w:t>
      </w:r>
      <w:proofErr w:type="spellEnd"/>
      <w:r w:rsidR="003F6F1A" w:rsidRPr="003F6F1A">
        <w:rPr>
          <w:rFonts w:ascii="Times New Roman" w:hAnsi="Times New Roman"/>
          <w:sz w:val="24"/>
          <w:szCs w:val="24"/>
        </w:rPr>
        <w:t xml:space="preserve">, M. (2002). Histological study of liver and pancreas and their ducts in </w:t>
      </w:r>
      <w:r w:rsidR="003F6F1A" w:rsidRPr="003F6F1A">
        <w:rPr>
          <w:rFonts w:ascii="Times New Roman" w:hAnsi="Times New Roman"/>
          <w:i/>
          <w:sz w:val="24"/>
          <w:szCs w:val="24"/>
        </w:rPr>
        <w:t>Acipenser stellatus. Journal of Faculty of Veterinary Medicine, University of Tehran</w:t>
      </w:r>
      <w:r w:rsidR="003F6F1A" w:rsidRPr="003F6F1A">
        <w:rPr>
          <w:rFonts w:ascii="Times New Roman" w:hAnsi="Times New Roman"/>
          <w:sz w:val="24"/>
          <w:szCs w:val="24"/>
        </w:rPr>
        <w:t>, 57, 19-23.</w:t>
      </w:r>
    </w:p>
    <w:p w14:paraId="71860106"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Steinel, N. C., and</w:t>
      </w:r>
      <w:r w:rsidR="003F6F1A" w:rsidRPr="003F6F1A">
        <w:rPr>
          <w:rFonts w:ascii="Times New Roman" w:hAnsi="Times New Roman"/>
          <w:sz w:val="24"/>
          <w:szCs w:val="24"/>
        </w:rPr>
        <w:t xml:space="preserve"> Bolnick, D. I. (2017). </w:t>
      </w:r>
      <w:proofErr w:type="spellStart"/>
      <w:r w:rsidR="003F6F1A" w:rsidRPr="003F6F1A">
        <w:rPr>
          <w:rFonts w:ascii="Times New Roman" w:hAnsi="Times New Roman"/>
          <w:sz w:val="24"/>
          <w:szCs w:val="24"/>
        </w:rPr>
        <w:t>Melanomacrophage</w:t>
      </w:r>
      <w:proofErr w:type="spellEnd"/>
      <w:r w:rsidR="003F6F1A" w:rsidRPr="003F6F1A">
        <w:rPr>
          <w:rFonts w:ascii="Times New Roman" w:hAnsi="Times New Roman"/>
          <w:sz w:val="24"/>
          <w:szCs w:val="24"/>
        </w:rPr>
        <w:t xml:space="preserve"> centers as a histological indicator of immune function in fish and other poikilotherms. </w:t>
      </w:r>
      <w:r w:rsidR="003F6F1A" w:rsidRPr="003F6F1A">
        <w:rPr>
          <w:rFonts w:ascii="Times New Roman" w:hAnsi="Times New Roman"/>
          <w:i/>
          <w:sz w:val="24"/>
          <w:szCs w:val="24"/>
        </w:rPr>
        <w:t>Frontiers in Immunology</w:t>
      </w:r>
      <w:r w:rsidR="003F6F1A" w:rsidRPr="003F6F1A">
        <w:rPr>
          <w:rFonts w:ascii="Times New Roman" w:hAnsi="Times New Roman"/>
          <w:sz w:val="24"/>
          <w:szCs w:val="24"/>
        </w:rPr>
        <w:t>, 8(1), 827.</w:t>
      </w:r>
    </w:p>
    <w:p w14:paraId="3CE23140"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S</w:t>
      </w:r>
      <w:r w:rsidR="00F568A7">
        <w:rPr>
          <w:rFonts w:ascii="Times New Roman" w:hAnsi="Times New Roman"/>
          <w:sz w:val="24"/>
          <w:szCs w:val="24"/>
        </w:rPr>
        <w:t>un, J., Zhang, X., Wang, Y., and</w:t>
      </w:r>
      <w:r w:rsidRPr="003F6F1A">
        <w:rPr>
          <w:rFonts w:ascii="Times New Roman" w:hAnsi="Times New Roman"/>
          <w:sz w:val="24"/>
          <w:szCs w:val="24"/>
        </w:rPr>
        <w:t xml:space="preserve"> Li, Y. (2021). Ecological risk assessment of phthalate esters (DBP and DEHP) in surface water of China. </w:t>
      </w:r>
      <w:r w:rsidRPr="003F6F1A">
        <w:rPr>
          <w:rFonts w:ascii="Times New Roman" w:hAnsi="Times New Roman"/>
          <w:i/>
          <w:sz w:val="24"/>
          <w:szCs w:val="24"/>
        </w:rPr>
        <w:t>Frontiers in Environmental Science</w:t>
      </w:r>
      <w:r w:rsidRPr="003F6F1A">
        <w:rPr>
          <w:rFonts w:ascii="Times New Roman" w:hAnsi="Times New Roman"/>
          <w:sz w:val="24"/>
          <w:szCs w:val="24"/>
        </w:rPr>
        <w:t>, 9, 710125. https://doi.org/10.3389/fenvs.2021.710125</w:t>
      </w:r>
    </w:p>
    <w:p w14:paraId="4C8837A5"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Takashima, F., and</w:t>
      </w:r>
      <w:r w:rsidR="003F6F1A" w:rsidRPr="003F6F1A">
        <w:rPr>
          <w:rFonts w:ascii="Times New Roman" w:hAnsi="Times New Roman"/>
          <w:sz w:val="24"/>
          <w:szCs w:val="24"/>
        </w:rPr>
        <w:t xml:space="preserve"> Hibiya, T. (1995). An atlas of fish histology. </w:t>
      </w:r>
      <w:r w:rsidR="003F6F1A" w:rsidRPr="003F6F1A">
        <w:rPr>
          <w:rFonts w:ascii="Times New Roman" w:hAnsi="Times New Roman"/>
          <w:i/>
          <w:sz w:val="24"/>
          <w:szCs w:val="24"/>
        </w:rPr>
        <w:t>Environmental Science</w:t>
      </w:r>
      <w:r w:rsidR="003F6F1A" w:rsidRPr="003F6F1A">
        <w:rPr>
          <w:rFonts w:ascii="Times New Roman" w:hAnsi="Times New Roman"/>
          <w:sz w:val="24"/>
          <w:szCs w:val="24"/>
        </w:rPr>
        <w:t>.</w:t>
      </w:r>
    </w:p>
    <w:p w14:paraId="20CB9527"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Thophon</w:t>
      </w:r>
      <w:proofErr w:type="spellEnd"/>
      <w:r w:rsidRPr="003F6F1A">
        <w:rPr>
          <w:rFonts w:ascii="Times New Roman" w:hAnsi="Times New Roman"/>
          <w:sz w:val="24"/>
          <w:szCs w:val="24"/>
        </w:rPr>
        <w:t xml:space="preserve">, S. K., </w:t>
      </w:r>
      <w:proofErr w:type="spellStart"/>
      <w:r w:rsidRPr="003F6F1A">
        <w:rPr>
          <w:rFonts w:ascii="Times New Roman" w:hAnsi="Times New Roman"/>
          <w:sz w:val="24"/>
          <w:szCs w:val="24"/>
        </w:rPr>
        <w:t>Kruatrachue</w:t>
      </w:r>
      <w:proofErr w:type="spellEnd"/>
      <w:r w:rsidRPr="003F6F1A">
        <w:rPr>
          <w:rFonts w:ascii="Times New Roman" w:hAnsi="Times New Roman"/>
          <w:sz w:val="24"/>
          <w:szCs w:val="24"/>
        </w:rPr>
        <w:t xml:space="preserve">, M., </w:t>
      </w:r>
      <w:proofErr w:type="spellStart"/>
      <w:r w:rsidRPr="003F6F1A">
        <w:rPr>
          <w:rFonts w:ascii="Times New Roman" w:hAnsi="Times New Roman"/>
          <w:sz w:val="24"/>
          <w:szCs w:val="24"/>
        </w:rPr>
        <w:t>Upathan</w:t>
      </w:r>
      <w:proofErr w:type="spellEnd"/>
      <w:r w:rsidRPr="003F6F1A">
        <w:rPr>
          <w:rFonts w:ascii="Times New Roman" w:hAnsi="Times New Roman"/>
          <w:sz w:val="24"/>
          <w:szCs w:val="24"/>
        </w:rPr>
        <w:t xml:space="preserve">, E. S., </w:t>
      </w:r>
      <w:proofErr w:type="spellStart"/>
      <w:r w:rsidRPr="003F6F1A">
        <w:rPr>
          <w:rFonts w:ascii="Times New Roman" w:hAnsi="Times New Roman"/>
          <w:sz w:val="24"/>
          <w:szCs w:val="24"/>
        </w:rPr>
        <w:t>Po</w:t>
      </w:r>
      <w:r w:rsidR="00F568A7">
        <w:rPr>
          <w:rFonts w:ascii="Times New Roman" w:hAnsi="Times New Roman"/>
          <w:sz w:val="24"/>
          <w:szCs w:val="24"/>
        </w:rPr>
        <w:t>kthitiyook</w:t>
      </w:r>
      <w:proofErr w:type="spellEnd"/>
      <w:r w:rsidR="00F568A7">
        <w:rPr>
          <w:rFonts w:ascii="Times New Roman" w:hAnsi="Times New Roman"/>
          <w:sz w:val="24"/>
          <w:szCs w:val="24"/>
        </w:rPr>
        <w:t xml:space="preserve">, P., </w:t>
      </w:r>
      <w:proofErr w:type="spellStart"/>
      <w:r w:rsidR="00F568A7">
        <w:rPr>
          <w:rFonts w:ascii="Times New Roman" w:hAnsi="Times New Roman"/>
          <w:sz w:val="24"/>
          <w:szCs w:val="24"/>
        </w:rPr>
        <w:t>Sahaphong</w:t>
      </w:r>
      <w:proofErr w:type="spellEnd"/>
      <w:r w:rsidR="00F568A7">
        <w:rPr>
          <w:rFonts w:ascii="Times New Roman" w:hAnsi="Times New Roman"/>
          <w:sz w:val="24"/>
          <w:szCs w:val="24"/>
        </w:rPr>
        <w:t>, S., and</w:t>
      </w:r>
      <w:r w:rsidRPr="003F6F1A">
        <w:rPr>
          <w:rFonts w:ascii="Times New Roman" w:hAnsi="Times New Roman"/>
          <w:sz w:val="24"/>
          <w:szCs w:val="24"/>
        </w:rPr>
        <w:t xml:space="preserve"> </w:t>
      </w:r>
      <w:proofErr w:type="spellStart"/>
      <w:r w:rsidRPr="003F6F1A">
        <w:rPr>
          <w:rFonts w:ascii="Times New Roman" w:hAnsi="Times New Roman"/>
          <w:sz w:val="24"/>
          <w:szCs w:val="24"/>
        </w:rPr>
        <w:t>Jaritkhuan</w:t>
      </w:r>
      <w:proofErr w:type="spellEnd"/>
      <w:r w:rsidRPr="003F6F1A">
        <w:rPr>
          <w:rFonts w:ascii="Times New Roman" w:hAnsi="Times New Roman"/>
          <w:sz w:val="24"/>
          <w:szCs w:val="24"/>
        </w:rPr>
        <w:t xml:space="preserve">, S. (2003). Histopathological alterations of white sea bass, </w:t>
      </w:r>
      <w:r w:rsidRPr="003F6F1A">
        <w:rPr>
          <w:rFonts w:ascii="Times New Roman" w:hAnsi="Times New Roman"/>
          <w:i/>
          <w:sz w:val="24"/>
          <w:szCs w:val="24"/>
        </w:rPr>
        <w:t>Lates calcarifer</w:t>
      </w:r>
      <w:r w:rsidRPr="003F6F1A">
        <w:rPr>
          <w:rFonts w:ascii="Times New Roman" w:hAnsi="Times New Roman"/>
          <w:sz w:val="24"/>
          <w:szCs w:val="24"/>
        </w:rPr>
        <w:t xml:space="preserve">, in acute and </w:t>
      </w:r>
      <w:proofErr w:type="spellStart"/>
      <w:r w:rsidRPr="003F6F1A">
        <w:rPr>
          <w:rFonts w:ascii="Times New Roman" w:hAnsi="Times New Roman"/>
          <w:sz w:val="24"/>
          <w:szCs w:val="24"/>
        </w:rPr>
        <w:t>subchronic</w:t>
      </w:r>
      <w:proofErr w:type="spellEnd"/>
      <w:r w:rsidRPr="003F6F1A">
        <w:rPr>
          <w:rFonts w:ascii="Times New Roman" w:hAnsi="Times New Roman"/>
          <w:sz w:val="24"/>
          <w:szCs w:val="24"/>
        </w:rPr>
        <w:t xml:space="preserve"> cadmium exposure</w:t>
      </w:r>
      <w:r w:rsidRPr="003F6F1A">
        <w:rPr>
          <w:rFonts w:ascii="Times New Roman" w:hAnsi="Times New Roman"/>
          <w:i/>
          <w:sz w:val="24"/>
          <w:szCs w:val="24"/>
        </w:rPr>
        <w:t>. Environmental Pollution</w:t>
      </w:r>
      <w:r w:rsidRPr="003F6F1A">
        <w:rPr>
          <w:rFonts w:ascii="Times New Roman" w:hAnsi="Times New Roman"/>
          <w:sz w:val="24"/>
          <w:szCs w:val="24"/>
        </w:rPr>
        <w:t>, 121, 307-320.</w:t>
      </w:r>
    </w:p>
    <w:p w14:paraId="3D25B556" w14:textId="77777777" w:rsidR="003F6F1A" w:rsidRPr="003F6F1A" w:rsidRDefault="003F6F1A" w:rsidP="0002725C">
      <w:pPr>
        <w:spacing w:line="240" w:lineRule="auto"/>
        <w:jc w:val="both"/>
        <w:rPr>
          <w:rFonts w:ascii="Times New Roman" w:hAnsi="Times New Roman"/>
          <w:sz w:val="24"/>
          <w:szCs w:val="24"/>
        </w:rPr>
      </w:pPr>
      <w:proofErr w:type="spellStart"/>
      <w:r w:rsidRPr="003F6F1A">
        <w:rPr>
          <w:rFonts w:ascii="Times New Roman" w:hAnsi="Times New Roman"/>
          <w:sz w:val="24"/>
          <w:szCs w:val="24"/>
        </w:rPr>
        <w:t>Uma</w:t>
      </w:r>
      <w:r w:rsidR="00F568A7">
        <w:rPr>
          <w:rFonts w:ascii="Times New Roman" w:hAnsi="Times New Roman"/>
          <w:sz w:val="24"/>
          <w:szCs w:val="24"/>
        </w:rPr>
        <w:t>maheswari</w:t>
      </w:r>
      <w:proofErr w:type="spellEnd"/>
      <w:r w:rsidR="00F568A7">
        <w:rPr>
          <w:rFonts w:ascii="Times New Roman" w:hAnsi="Times New Roman"/>
          <w:sz w:val="24"/>
          <w:szCs w:val="24"/>
        </w:rPr>
        <w:t xml:space="preserve">, M., Ramalingam, V., and </w:t>
      </w:r>
      <w:proofErr w:type="spellStart"/>
      <w:r w:rsidRPr="003F6F1A">
        <w:rPr>
          <w:rFonts w:ascii="Times New Roman" w:hAnsi="Times New Roman"/>
          <w:sz w:val="24"/>
          <w:szCs w:val="24"/>
        </w:rPr>
        <w:t>Vembuli</w:t>
      </w:r>
      <w:proofErr w:type="spellEnd"/>
      <w:r w:rsidRPr="003F6F1A">
        <w:rPr>
          <w:rFonts w:ascii="Times New Roman" w:hAnsi="Times New Roman"/>
          <w:sz w:val="24"/>
          <w:szCs w:val="24"/>
        </w:rPr>
        <w:t xml:space="preserve">, R. (2013). </w:t>
      </w:r>
      <w:proofErr w:type="spellStart"/>
      <w:r w:rsidRPr="003F6F1A">
        <w:rPr>
          <w:rFonts w:ascii="Times New Roman" w:hAnsi="Times New Roman"/>
          <w:sz w:val="24"/>
          <w:szCs w:val="24"/>
        </w:rPr>
        <w:t>Haematological</w:t>
      </w:r>
      <w:proofErr w:type="spellEnd"/>
      <w:r w:rsidRPr="003F6F1A">
        <w:rPr>
          <w:rFonts w:ascii="Times New Roman" w:hAnsi="Times New Roman"/>
          <w:sz w:val="24"/>
          <w:szCs w:val="24"/>
        </w:rPr>
        <w:t xml:space="preserve"> and biochemical responses of </w:t>
      </w:r>
      <w:r w:rsidRPr="003F6F1A">
        <w:rPr>
          <w:rFonts w:ascii="Times New Roman" w:hAnsi="Times New Roman"/>
          <w:i/>
          <w:sz w:val="24"/>
          <w:szCs w:val="24"/>
        </w:rPr>
        <w:t xml:space="preserve">Oreochromis </w:t>
      </w:r>
      <w:proofErr w:type="spellStart"/>
      <w:r w:rsidRPr="003F6F1A">
        <w:rPr>
          <w:rFonts w:ascii="Times New Roman" w:hAnsi="Times New Roman"/>
          <w:i/>
          <w:sz w:val="24"/>
          <w:szCs w:val="24"/>
        </w:rPr>
        <w:t>mossambicus</w:t>
      </w:r>
      <w:proofErr w:type="spellEnd"/>
      <w:r w:rsidRPr="003F6F1A">
        <w:rPr>
          <w:rFonts w:ascii="Times New Roman" w:hAnsi="Times New Roman"/>
          <w:sz w:val="24"/>
          <w:szCs w:val="24"/>
        </w:rPr>
        <w:t xml:space="preserve"> to phthalate exposure. </w:t>
      </w:r>
      <w:r w:rsidRPr="003F6F1A">
        <w:rPr>
          <w:rFonts w:ascii="Times New Roman" w:hAnsi="Times New Roman"/>
          <w:i/>
          <w:sz w:val="24"/>
          <w:szCs w:val="24"/>
        </w:rPr>
        <w:t>Toxicology Reports</w:t>
      </w:r>
      <w:r w:rsidRPr="003F6F1A">
        <w:rPr>
          <w:rFonts w:ascii="Times New Roman" w:hAnsi="Times New Roman"/>
          <w:sz w:val="24"/>
          <w:szCs w:val="24"/>
        </w:rPr>
        <w:t>, 5(1), 87-95.</w:t>
      </w:r>
    </w:p>
    <w:p w14:paraId="6AAA789C"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Veiga, M. M., Maxson, </w:t>
      </w:r>
      <w:r w:rsidR="00F568A7">
        <w:rPr>
          <w:rFonts w:ascii="Times New Roman" w:hAnsi="Times New Roman"/>
          <w:sz w:val="24"/>
          <w:szCs w:val="24"/>
        </w:rPr>
        <w:t>P. A., and</w:t>
      </w:r>
      <w:r w:rsidRPr="003F6F1A">
        <w:rPr>
          <w:rFonts w:ascii="Times New Roman" w:hAnsi="Times New Roman"/>
          <w:sz w:val="24"/>
          <w:szCs w:val="24"/>
        </w:rPr>
        <w:t xml:space="preserve"> Hylander, L. (2003). Origin and consumption of mercury in small-scale gold mining. </w:t>
      </w:r>
      <w:r w:rsidRPr="003F6F1A">
        <w:rPr>
          <w:rFonts w:ascii="Times New Roman" w:hAnsi="Times New Roman"/>
          <w:i/>
          <w:sz w:val="24"/>
          <w:szCs w:val="24"/>
        </w:rPr>
        <w:t>Journal of Cleaner Production</w:t>
      </w:r>
      <w:r w:rsidRPr="003F6F1A">
        <w:rPr>
          <w:rFonts w:ascii="Times New Roman" w:hAnsi="Times New Roman"/>
          <w:sz w:val="24"/>
          <w:szCs w:val="24"/>
        </w:rPr>
        <w:t>, 14(3), 436-447.</w:t>
      </w:r>
    </w:p>
    <w:p w14:paraId="28E1E6BE"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Wang, L., Lee, K. M., and</w:t>
      </w:r>
      <w:r w:rsidR="003F6F1A" w:rsidRPr="003F6F1A">
        <w:rPr>
          <w:rFonts w:ascii="Times New Roman" w:hAnsi="Times New Roman"/>
          <w:sz w:val="24"/>
          <w:szCs w:val="24"/>
        </w:rPr>
        <w:t xml:space="preserve"> Chen, Y. (2022). Time-dependent tolerance development in </w:t>
      </w:r>
      <w:r w:rsidR="003F6F1A" w:rsidRPr="003F6F1A">
        <w:rPr>
          <w:rFonts w:ascii="Times New Roman" w:hAnsi="Times New Roman"/>
          <w:i/>
          <w:sz w:val="24"/>
          <w:szCs w:val="24"/>
        </w:rPr>
        <w:t xml:space="preserve">Tilapia nilotica </w:t>
      </w:r>
      <w:r w:rsidR="003F6F1A" w:rsidRPr="003F6F1A">
        <w:rPr>
          <w:rFonts w:ascii="Times New Roman" w:hAnsi="Times New Roman"/>
          <w:sz w:val="24"/>
          <w:szCs w:val="24"/>
        </w:rPr>
        <w:t xml:space="preserve">exposed to diethyl phthalate. </w:t>
      </w:r>
      <w:r w:rsidR="003F6F1A" w:rsidRPr="003F6F1A">
        <w:rPr>
          <w:rFonts w:ascii="Times New Roman" w:hAnsi="Times New Roman"/>
          <w:i/>
          <w:sz w:val="24"/>
          <w:szCs w:val="24"/>
        </w:rPr>
        <w:t>Environmental Pollution</w:t>
      </w:r>
      <w:r w:rsidR="003F6F1A" w:rsidRPr="003F6F1A">
        <w:rPr>
          <w:rFonts w:ascii="Times New Roman" w:hAnsi="Times New Roman"/>
          <w:sz w:val="24"/>
          <w:szCs w:val="24"/>
        </w:rPr>
        <w:t>, 301(3), 121-130.</w:t>
      </w:r>
    </w:p>
    <w:p w14:paraId="7D5DDA57"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Wang, W.-L.</w:t>
      </w:r>
      <w:r w:rsidR="00F568A7">
        <w:rPr>
          <w:rFonts w:ascii="Times New Roman" w:hAnsi="Times New Roman"/>
          <w:sz w:val="24"/>
          <w:szCs w:val="24"/>
        </w:rPr>
        <w:t>, Wu, Q.-Y., Wang, C., He, T., and</w:t>
      </w:r>
      <w:r w:rsidRPr="003F6F1A">
        <w:rPr>
          <w:rFonts w:ascii="Times New Roman" w:hAnsi="Times New Roman"/>
          <w:sz w:val="24"/>
          <w:szCs w:val="24"/>
        </w:rPr>
        <w:t xml:space="preserve"> Hu, H.-Y. (2015). Health risk assessment of phthalate esters (PAEs) in drinking water sources of China. </w:t>
      </w:r>
      <w:r w:rsidRPr="003F6F1A">
        <w:rPr>
          <w:rFonts w:ascii="Times New Roman" w:hAnsi="Times New Roman"/>
          <w:i/>
          <w:sz w:val="24"/>
          <w:szCs w:val="24"/>
        </w:rPr>
        <w:t>Environmental Science and Pollution Research</w:t>
      </w:r>
      <w:r w:rsidRPr="003F6F1A">
        <w:rPr>
          <w:rFonts w:ascii="Times New Roman" w:hAnsi="Times New Roman"/>
          <w:sz w:val="24"/>
          <w:szCs w:val="24"/>
        </w:rPr>
        <w:t>, 22(5), 3620-3630.</w:t>
      </w:r>
    </w:p>
    <w:p w14:paraId="148E3B36" w14:textId="77777777" w:rsidR="003F6F1A" w:rsidRPr="003F6F1A" w:rsidRDefault="00F568A7" w:rsidP="0002725C">
      <w:pPr>
        <w:spacing w:line="240" w:lineRule="auto"/>
        <w:jc w:val="both"/>
        <w:rPr>
          <w:rFonts w:ascii="Times New Roman" w:hAnsi="Times New Roman"/>
          <w:sz w:val="24"/>
          <w:szCs w:val="24"/>
        </w:rPr>
      </w:pPr>
      <w:r>
        <w:rPr>
          <w:rFonts w:ascii="Times New Roman" w:hAnsi="Times New Roman"/>
          <w:sz w:val="24"/>
          <w:szCs w:val="24"/>
        </w:rPr>
        <w:t>Weis, J. S., Samson, J., and</w:t>
      </w:r>
      <w:r w:rsidR="003F6F1A" w:rsidRPr="003F6F1A">
        <w:rPr>
          <w:rFonts w:ascii="Times New Roman" w:hAnsi="Times New Roman"/>
          <w:sz w:val="24"/>
          <w:szCs w:val="24"/>
        </w:rPr>
        <w:t xml:space="preserve"> Zhou, T. (2001). Prey capture ability of mummichogs (</w:t>
      </w:r>
      <w:proofErr w:type="spellStart"/>
      <w:r w:rsidR="003F6F1A" w:rsidRPr="003F6F1A">
        <w:rPr>
          <w:rFonts w:ascii="Times New Roman" w:hAnsi="Times New Roman"/>
          <w:sz w:val="24"/>
          <w:szCs w:val="24"/>
        </w:rPr>
        <w:t>Fundulus</w:t>
      </w:r>
      <w:proofErr w:type="spellEnd"/>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heteroclitus</w:t>
      </w:r>
      <w:proofErr w:type="spellEnd"/>
      <w:r w:rsidR="003F6F1A" w:rsidRPr="003F6F1A">
        <w:rPr>
          <w:rFonts w:ascii="Times New Roman" w:hAnsi="Times New Roman"/>
          <w:sz w:val="24"/>
          <w:szCs w:val="24"/>
        </w:rPr>
        <w:t xml:space="preserve">) as a </w:t>
      </w:r>
      <w:proofErr w:type="spellStart"/>
      <w:r w:rsidR="003F6F1A" w:rsidRPr="003F6F1A">
        <w:rPr>
          <w:rFonts w:ascii="Times New Roman" w:hAnsi="Times New Roman"/>
          <w:sz w:val="24"/>
          <w:szCs w:val="24"/>
        </w:rPr>
        <w:t>behavioural</w:t>
      </w:r>
      <w:proofErr w:type="spellEnd"/>
      <w:r w:rsidR="003F6F1A" w:rsidRPr="003F6F1A">
        <w:rPr>
          <w:rFonts w:ascii="Times New Roman" w:hAnsi="Times New Roman"/>
          <w:sz w:val="24"/>
          <w:szCs w:val="24"/>
        </w:rPr>
        <w:t xml:space="preserve"> biomarker for contaminants in estuarine systems. </w:t>
      </w:r>
      <w:r w:rsidR="003F6F1A" w:rsidRPr="003F6F1A">
        <w:rPr>
          <w:rFonts w:ascii="Times New Roman" w:hAnsi="Times New Roman"/>
          <w:i/>
          <w:sz w:val="24"/>
          <w:szCs w:val="24"/>
        </w:rPr>
        <w:t>Canadian Journal of Fisheries and Aquatic Sciences</w:t>
      </w:r>
      <w:r w:rsidR="003F6F1A" w:rsidRPr="003F6F1A">
        <w:rPr>
          <w:rFonts w:ascii="Times New Roman" w:hAnsi="Times New Roman"/>
          <w:sz w:val="24"/>
          <w:szCs w:val="24"/>
        </w:rPr>
        <w:t>, 58, 1442-1452.</w:t>
      </w:r>
    </w:p>
    <w:p w14:paraId="2F8246FB" w14:textId="77777777" w:rsidR="003F6F1A" w:rsidRPr="003F6F1A" w:rsidRDefault="003F6F1A" w:rsidP="0002725C">
      <w:pPr>
        <w:spacing w:line="240" w:lineRule="auto"/>
        <w:jc w:val="both"/>
        <w:rPr>
          <w:rFonts w:ascii="Times New Roman" w:hAnsi="Times New Roman"/>
          <w:sz w:val="24"/>
          <w:szCs w:val="24"/>
        </w:rPr>
      </w:pPr>
      <w:r w:rsidRPr="003F6F1A">
        <w:rPr>
          <w:rFonts w:ascii="Times New Roman" w:hAnsi="Times New Roman"/>
          <w:sz w:val="24"/>
          <w:szCs w:val="24"/>
        </w:rPr>
        <w:t xml:space="preserve">Wilson, R. </w:t>
      </w:r>
      <w:r w:rsidR="00F568A7">
        <w:rPr>
          <w:rFonts w:ascii="Times New Roman" w:hAnsi="Times New Roman"/>
          <w:sz w:val="24"/>
          <w:szCs w:val="24"/>
        </w:rPr>
        <w:t>W., and</w:t>
      </w:r>
      <w:r w:rsidRPr="003F6F1A">
        <w:rPr>
          <w:rFonts w:ascii="Times New Roman" w:hAnsi="Times New Roman"/>
          <w:sz w:val="24"/>
          <w:szCs w:val="24"/>
        </w:rPr>
        <w:t xml:space="preserve"> Taylor, E. W. (1993). The physiological responses of freshwater rainbow trout, </w:t>
      </w:r>
      <w:r w:rsidRPr="003F6F1A">
        <w:rPr>
          <w:rFonts w:ascii="Times New Roman" w:hAnsi="Times New Roman"/>
          <w:i/>
          <w:sz w:val="24"/>
          <w:szCs w:val="24"/>
        </w:rPr>
        <w:t>Oncorhynchus mykiss</w:t>
      </w:r>
      <w:r w:rsidRPr="003F6F1A">
        <w:rPr>
          <w:rFonts w:ascii="Times New Roman" w:hAnsi="Times New Roman"/>
          <w:sz w:val="24"/>
          <w:szCs w:val="24"/>
        </w:rPr>
        <w:t xml:space="preserve">, during acute exposure. </w:t>
      </w:r>
      <w:r w:rsidRPr="003F6F1A">
        <w:rPr>
          <w:rFonts w:ascii="Times New Roman" w:hAnsi="Times New Roman"/>
          <w:i/>
          <w:sz w:val="24"/>
          <w:szCs w:val="24"/>
        </w:rPr>
        <w:t>Journal of Comparative Physiology</w:t>
      </w:r>
      <w:r w:rsidRPr="003F6F1A">
        <w:rPr>
          <w:rFonts w:ascii="Times New Roman" w:hAnsi="Times New Roman"/>
          <w:sz w:val="24"/>
          <w:szCs w:val="24"/>
        </w:rPr>
        <w:t xml:space="preserve"> B, 163, 38-47.</w:t>
      </w:r>
    </w:p>
    <w:p w14:paraId="33E9E626" w14:textId="77777777" w:rsidR="003F6F1A" w:rsidRPr="003F6F1A" w:rsidRDefault="00F568A7" w:rsidP="0002725C">
      <w:pPr>
        <w:spacing w:line="240" w:lineRule="auto"/>
        <w:jc w:val="both"/>
        <w:rPr>
          <w:rFonts w:ascii="Times New Roman" w:hAnsi="Times New Roman"/>
          <w:sz w:val="24"/>
          <w:szCs w:val="24"/>
        </w:rPr>
      </w:pPr>
      <w:proofErr w:type="spellStart"/>
      <w:r>
        <w:rPr>
          <w:rFonts w:ascii="Times New Roman" w:hAnsi="Times New Roman"/>
          <w:sz w:val="24"/>
          <w:szCs w:val="24"/>
        </w:rPr>
        <w:t>Witeska</w:t>
      </w:r>
      <w:proofErr w:type="spellEnd"/>
      <w:r>
        <w:rPr>
          <w:rFonts w:ascii="Times New Roman" w:hAnsi="Times New Roman"/>
          <w:sz w:val="24"/>
          <w:szCs w:val="24"/>
        </w:rPr>
        <w:t xml:space="preserve">, M., </w:t>
      </w:r>
      <w:proofErr w:type="spellStart"/>
      <w:r>
        <w:rPr>
          <w:rFonts w:ascii="Times New Roman" w:hAnsi="Times New Roman"/>
          <w:sz w:val="24"/>
          <w:szCs w:val="24"/>
        </w:rPr>
        <w:t>Lugowska</w:t>
      </w:r>
      <w:proofErr w:type="spellEnd"/>
      <w:r>
        <w:rPr>
          <w:rFonts w:ascii="Times New Roman" w:hAnsi="Times New Roman"/>
          <w:sz w:val="24"/>
          <w:szCs w:val="24"/>
        </w:rPr>
        <w:t>, K., and</w:t>
      </w:r>
      <w:r w:rsidR="003F6F1A" w:rsidRPr="003F6F1A">
        <w:rPr>
          <w:rFonts w:ascii="Times New Roman" w:hAnsi="Times New Roman"/>
          <w:sz w:val="24"/>
          <w:szCs w:val="24"/>
        </w:rPr>
        <w:t xml:space="preserve"> </w:t>
      </w:r>
      <w:proofErr w:type="spellStart"/>
      <w:r w:rsidR="003F6F1A" w:rsidRPr="003F6F1A">
        <w:rPr>
          <w:rFonts w:ascii="Times New Roman" w:hAnsi="Times New Roman"/>
          <w:sz w:val="24"/>
          <w:szCs w:val="24"/>
        </w:rPr>
        <w:t>Kondera</w:t>
      </w:r>
      <w:proofErr w:type="spellEnd"/>
      <w:r w:rsidR="003F6F1A" w:rsidRPr="003F6F1A">
        <w:rPr>
          <w:rFonts w:ascii="Times New Roman" w:hAnsi="Times New Roman"/>
          <w:sz w:val="24"/>
          <w:szCs w:val="24"/>
        </w:rPr>
        <w:t xml:space="preserve">, E. (2016). Reference values of hematological parameters for juvenile common carp </w:t>
      </w:r>
      <w:r w:rsidR="003F6F1A" w:rsidRPr="003F6F1A">
        <w:rPr>
          <w:rFonts w:ascii="Times New Roman" w:hAnsi="Times New Roman"/>
          <w:i/>
          <w:sz w:val="24"/>
          <w:szCs w:val="24"/>
        </w:rPr>
        <w:t>Cyprinus carpio</w:t>
      </w:r>
      <w:r w:rsidR="003F6F1A" w:rsidRPr="003F6F1A">
        <w:rPr>
          <w:rFonts w:ascii="Times New Roman" w:hAnsi="Times New Roman"/>
          <w:sz w:val="24"/>
          <w:szCs w:val="24"/>
        </w:rPr>
        <w:t xml:space="preserve">. </w:t>
      </w:r>
      <w:r w:rsidR="003F6F1A" w:rsidRPr="003F6F1A">
        <w:rPr>
          <w:rFonts w:ascii="Times New Roman" w:hAnsi="Times New Roman"/>
          <w:i/>
          <w:sz w:val="24"/>
          <w:szCs w:val="24"/>
        </w:rPr>
        <w:t>Bulletin of the European Association of Fish Pathologists</w:t>
      </w:r>
      <w:r w:rsidR="003F6F1A" w:rsidRPr="003F6F1A">
        <w:rPr>
          <w:rFonts w:ascii="Times New Roman" w:hAnsi="Times New Roman"/>
          <w:sz w:val="24"/>
          <w:szCs w:val="24"/>
        </w:rPr>
        <w:t>, 6, 169-180.</w:t>
      </w:r>
    </w:p>
    <w:sectPr w:rsidR="003F6F1A" w:rsidRPr="003F6F1A">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BD7FB" w14:textId="77777777" w:rsidR="002D0489" w:rsidRDefault="002D0489" w:rsidP="000B4883">
      <w:pPr>
        <w:spacing w:after="0" w:line="240" w:lineRule="auto"/>
      </w:pPr>
      <w:r>
        <w:separator/>
      </w:r>
    </w:p>
  </w:endnote>
  <w:endnote w:type="continuationSeparator" w:id="0">
    <w:p w14:paraId="25392493" w14:textId="77777777" w:rsidR="002D0489" w:rsidRDefault="002D0489" w:rsidP="000B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091D3" w14:textId="77777777" w:rsidR="001A2001" w:rsidRDefault="001A2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B043" w14:textId="77777777" w:rsidR="00CE7170" w:rsidRDefault="00CE7170" w:rsidP="000B4883">
    <w:pPr>
      <w:pStyle w:val="Footer"/>
      <w:tabs>
        <w:tab w:val="left" w:pos="7501"/>
      </w:tabs>
    </w:pPr>
    <w:r>
      <w:tab/>
    </w:r>
    <w:sdt>
      <w:sdtPr>
        <w:id w:val="8487627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976CF">
          <w:rPr>
            <w:noProof/>
          </w:rPr>
          <w:t>3</w:t>
        </w:r>
        <w:r>
          <w:rPr>
            <w:noProof/>
          </w:rPr>
          <w:fldChar w:fldCharType="end"/>
        </w:r>
      </w:sdtContent>
    </w:sdt>
    <w:r>
      <w:rPr>
        <w:noProof/>
      </w:rPr>
      <w:tab/>
    </w:r>
  </w:p>
  <w:p w14:paraId="4966C81D" w14:textId="77777777" w:rsidR="00CE7170" w:rsidRDefault="00CE7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3A0DE" w14:textId="77777777" w:rsidR="001A2001" w:rsidRDefault="001A2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75572" w14:textId="77777777" w:rsidR="002D0489" w:rsidRDefault="002D0489" w:rsidP="000B4883">
      <w:pPr>
        <w:spacing w:after="0" w:line="240" w:lineRule="auto"/>
      </w:pPr>
      <w:r>
        <w:separator/>
      </w:r>
    </w:p>
  </w:footnote>
  <w:footnote w:type="continuationSeparator" w:id="0">
    <w:p w14:paraId="6CEB84BB" w14:textId="77777777" w:rsidR="002D0489" w:rsidRDefault="002D0489" w:rsidP="000B4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7D3B" w14:textId="737F72C6" w:rsidR="001A2001" w:rsidRDefault="001A2001">
    <w:pPr>
      <w:pStyle w:val="Header"/>
    </w:pPr>
    <w:r>
      <w:rPr>
        <w:noProof/>
      </w:rPr>
      <w:pict w14:anchorId="42132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11514" w14:textId="02E2B2F2" w:rsidR="001A2001" w:rsidRDefault="001A2001">
    <w:pPr>
      <w:pStyle w:val="Header"/>
    </w:pPr>
    <w:r>
      <w:rPr>
        <w:noProof/>
      </w:rPr>
      <w:pict w14:anchorId="0CA3C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2FE1C" w14:textId="7A3CF5FC" w:rsidR="001A2001" w:rsidRDefault="001A2001">
    <w:pPr>
      <w:pStyle w:val="Header"/>
    </w:pPr>
    <w:r>
      <w:rPr>
        <w:noProof/>
      </w:rPr>
      <w:pict w14:anchorId="5AC60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0155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C2sDQwszAzMjE1NrRQ0lEKTi0uzszPAykwrAUAPbbaxywAAAA="/>
  </w:docVars>
  <w:rsids>
    <w:rsidRoot w:val="00E27058"/>
    <w:rsid w:val="0002725C"/>
    <w:rsid w:val="000312DF"/>
    <w:rsid w:val="00040FF2"/>
    <w:rsid w:val="00067C8E"/>
    <w:rsid w:val="00091CDA"/>
    <w:rsid w:val="000B2E54"/>
    <w:rsid w:val="000B4883"/>
    <w:rsid w:val="000B700D"/>
    <w:rsid w:val="000D0B3C"/>
    <w:rsid w:val="000E24E3"/>
    <w:rsid w:val="001154AA"/>
    <w:rsid w:val="00171DE5"/>
    <w:rsid w:val="001A2001"/>
    <w:rsid w:val="001F2047"/>
    <w:rsid w:val="001F4F2F"/>
    <w:rsid w:val="00211522"/>
    <w:rsid w:val="00216E34"/>
    <w:rsid w:val="0022325D"/>
    <w:rsid w:val="00275188"/>
    <w:rsid w:val="002C530F"/>
    <w:rsid w:val="002C598B"/>
    <w:rsid w:val="002C5BD5"/>
    <w:rsid w:val="002D0489"/>
    <w:rsid w:val="00307909"/>
    <w:rsid w:val="00317058"/>
    <w:rsid w:val="00381FE0"/>
    <w:rsid w:val="003F3004"/>
    <w:rsid w:val="003F6F1A"/>
    <w:rsid w:val="004976CF"/>
    <w:rsid w:val="004B44E0"/>
    <w:rsid w:val="004B4B12"/>
    <w:rsid w:val="004E240A"/>
    <w:rsid w:val="004F628C"/>
    <w:rsid w:val="00505E37"/>
    <w:rsid w:val="00510152"/>
    <w:rsid w:val="00521938"/>
    <w:rsid w:val="00571B17"/>
    <w:rsid w:val="005D57DE"/>
    <w:rsid w:val="005D5A4B"/>
    <w:rsid w:val="005D6FE3"/>
    <w:rsid w:val="0061327B"/>
    <w:rsid w:val="006305A8"/>
    <w:rsid w:val="0063148E"/>
    <w:rsid w:val="00685BA5"/>
    <w:rsid w:val="006F3268"/>
    <w:rsid w:val="007610E3"/>
    <w:rsid w:val="007A19CB"/>
    <w:rsid w:val="00862608"/>
    <w:rsid w:val="008752AD"/>
    <w:rsid w:val="008A16D1"/>
    <w:rsid w:val="00913AE6"/>
    <w:rsid w:val="00915C5A"/>
    <w:rsid w:val="00941C87"/>
    <w:rsid w:val="00977CC1"/>
    <w:rsid w:val="0098348F"/>
    <w:rsid w:val="00A55283"/>
    <w:rsid w:val="00AB023C"/>
    <w:rsid w:val="00AC2535"/>
    <w:rsid w:val="00AE2B82"/>
    <w:rsid w:val="00AF3B65"/>
    <w:rsid w:val="00B01F9A"/>
    <w:rsid w:val="00B22B4D"/>
    <w:rsid w:val="00B47E47"/>
    <w:rsid w:val="00C263DE"/>
    <w:rsid w:val="00C411DC"/>
    <w:rsid w:val="00C43A07"/>
    <w:rsid w:val="00C660BD"/>
    <w:rsid w:val="00CA3DD2"/>
    <w:rsid w:val="00CB11F1"/>
    <w:rsid w:val="00CC0327"/>
    <w:rsid w:val="00CE7170"/>
    <w:rsid w:val="00D2244F"/>
    <w:rsid w:val="00D37EB8"/>
    <w:rsid w:val="00D46AAD"/>
    <w:rsid w:val="00D52EB2"/>
    <w:rsid w:val="00DA0E8E"/>
    <w:rsid w:val="00E14B54"/>
    <w:rsid w:val="00E27058"/>
    <w:rsid w:val="00F565C8"/>
    <w:rsid w:val="00F568A7"/>
    <w:rsid w:val="00F72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662786"/>
  <w15:docId w15:val="{AA12713D-DA27-48AB-B84E-0BFFED5C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C660BD"/>
    <w:rPr>
      <w:rFonts w:ascii="Times New Roman" w:eastAsia="Calibri" w:hAnsi="Times New Roman" w:cs="Segoe UI"/>
      <w:sz w:val="24"/>
      <w:szCs w:val="21"/>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uiPriority w:val="99"/>
    <w:unhideWhenUsed/>
    <w:qFormat/>
    <w:rsid w:val="00171DE5"/>
    <w:rPr>
      <w:color w:val="0000FF"/>
      <w:u w:val="single"/>
    </w:rPr>
  </w:style>
  <w:style w:type="paragraph" w:styleId="NormalWeb">
    <w:name w:val="Normal (Web)"/>
    <w:basedOn w:val="Normal"/>
    <w:uiPriority w:val="99"/>
    <w:unhideWhenUsed/>
    <w:qFormat/>
    <w:rsid w:val="00171DE5"/>
    <w:pPr>
      <w:spacing w:before="100" w:beforeAutospacing="1" w:after="100" w:afterAutospacing="1" w:line="240" w:lineRule="auto"/>
    </w:pPr>
    <w:rPr>
      <w:rFonts w:ascii="Times New Roman" w:eastAsia="Times New Roman" w:hAnsi="Times New Roman"/>
      <w:sz w:val="24"/>
      <w:szCs w:val="24"/>
      <w:lang w:eastAsia="en-US"/>
    </w:rPr>
  </w:style>
  <w:style w:type="character" w:styleId="Emphasis">
    <w:name w:val="Emphasis"/>
    <w:uiPriority w:val="20"/>
    <w:qFormat/>
    <w:rsid w:val="00275188"/>
    <w:rPr>
      <w:i/>
      <w:iCs/>
    </w:rPr>
  </w:style>
  <w:style w:type="character" w:styleId="Strong">
    <w:name w:val="Strong"/>
    <w:uiPriority w:val="22"/>
    <w:qFormat/>
    <w:rsid w:val="0098348F"/>
    <w:rPr>
      <w:b/>
      <w:bCs/>
    </w:rPr>
  </w:style>
  <w:style w:type="paragraph" w:styleId="BalloonText">
    <w:name w:val="Balloon Text"/>
    <w:basedOn w:val="Normal"/>
    <w:link w:val="BalloonTextChar"/>
    <w:uiPriority w:val="99"/>
    <w:semiHidden/>
    <w:unhideWhenUsed/>
    <w:rsid w:val="00CA3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DD2"/>
    <w:rPr>
      <w:rFonts w:ascii="Tahoma" w:hAnsi="Tahoma" w:cs="Tahoma"/>
      <w:sz w:val="16"/>
      <w:szCs w:val="16"/>
      <w:lang w:val="en-US" w:eastAsia="zh-CN"/>
    </w:rPr>
  </w:style>
  <w:style w:type="character" w:customStyle="1" w:styleId="ff1">
    <w:name w:val="ff1"/>
    <w:basedOn w:val="DefaultParagraphFont"/>
    <w:qFormat/>
    <w:rsid w:val="00040FF2"/>
  </w:style>
  <w:style w:type="paragraph" w:styleId="Header">
    <w:name w:val="header"/>
    <w:basedOn w:val="Normal"/>
    <w:link w:val="HeaderChar"/>
    <w:uiPriority w:val="99"/>
    <w:unhideWhenUsed/>
    <w:rsid w:val="000B4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883"/>
    <w:rPr>
      <w:sz w:val="22"/>
      <w:szCs w:val="22"/>
      <w:lang w:val="en-US" w:eastAsia="zh-CN"/>
    </w:rPr>
  </w:style>
  <w:style w:type="paragraph" w:styleId="Footer">
    <w:name w:val="footer"/>
    <w:basedOn w:val="Normal"/>
    <w:link w:val="FooterChar"/>
    <w:uiPriority w:val="99"/>
    <w:unhideWhenUsed/>
    <w:rsid w:val="000B4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883"/>
    <w:rPr>
      <w:sz w:val="22"/>
      <w:szCs w:val="22"/>
      <w:lang w:val="en-US" w:eastAsia="zh-CN"/>
    </w:rPr>
  </w:style>
  <w:style w:type="character" w:styleId="UnresolvedMention">
    <w:name w:val="Unresolved Mention"/>
    <w:basedOn w:val="DefaultParagraphFont"/>
    <w:uiPriority w:val="99"/>
    <w:semiHidden/>
    <w:unhideWhenUsed/>
    <w:rsid w:val="001F4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4237">
      <w:bodyDiv w:val="1"/>
      <w:marLeft w:val="0"/>
      <w:marRight w:val="0"/>
      <w:marTop w:val="0"/>
      <w:marBottom w:val="0"/>
      <w:divBdr>
        <w:top w:val="none" w:sz="0" w:space="0" w:color="auto"/>
        <w:left w:val="none" w:sz="0" w:space="0" w:color="auto"/>
        <w:bottom w:val="none" w:sz="0" w:space="0" w:color="auto"/>
        <w:right w:val="none" w:sz="0" w:space="0" w:color="auto"/>
      </w:divBdr>
    </w:div>
    <w:div w:id="248924965">
      <w:bodyDiv w:val="1"/>
      <w:marLeft w:val="0"/>
      <w:marRight w:val="0"/>
      <w:marTop w:val="0"/>
      <w:marBottom w:val="0"/>
      <w:divBdr>
        <w:top w:val="none" w:sz="0" w:space="0" w:color="auto"/>
        <w:left w:val="none" w:sz="0" w:space="0" w:color="auto"/>
        <w:bottom w:val="none" w:sz="0" w:space="0" w:color="auto"/>
        <w:right w:val="none" w:sz="0" w:space="0" w:color="auto"/>
      </w:divBdr>
    </w:div>
    <w:div w:id="615795737">
      <w:bodyDiv w:val="1"/>
      <w:marLeft w:val="0"/>
      <w:marRight w:val="0"/>
      <w:marTop w:val="0"/>
      <w:marBottom w:val="0"/>
      <w:divBdr>
        <w:top w:val="none" w:sz="0" w:space="0" w:color="auto"/>
        <w:left w:val="none" w:sz="0" w:space="0" w:color="auto"/>
        <w:bottom w:val="none" w:sz="0" w:space="0" w:color="auto"/>
        <w:right w:val="none" w:sz="0" w:space="0" w:color="auto"/>
      </w:divBdr>
    </w:div>
    <w:div w:id="680859774">
      <w:bodyDiv w:val="1"/>
      <w:marLeft w:val="0"/>
      <w:marRight w:val="0"/>
      <w:marTop w:val="0"/>
      <w:marBottom w:val="0"/>
      <w:divBdr>
        <w:top w:val="none" w:sz="0" w:space="0" w:color="auto"/>
        <w:left w:val="none" w:sz="0" w:space="0" w:color="auto"/>
        <w:bottom w:val="none" w:sz="0" w:space="0" w:color="auto"/>
        <w:right w:val="none" w:sz="0" w:space="0" w:color="auto"/>
      </w:divBdr>
    </w:div>
    <w:div w:id="989677387">
      <w:bodyDiv w:val="1"/>
      <w:marLeft w:val="0"/>
      <w:marRight w:val="0"/>
      <w:marTop w:val="0"/>
      <w:marBottom w:val="0"/>
      <w:divBdr>
        <w:top w:val="none" w:sz="0" w:space="0" w:color="auto"/>
        <w:left w:val="none" w:sz="0" w:space="0" w:color="auto"/>
        <w:bottom w:val="none" w:sz="0" w:space="0" w:color="auto"/>
        <w:right w:val="none" w:sz="0" w:space="0" w:color="auto"/>
      </w:divBdr>
    </w:div>
    <w:div w:id="994383681">
      <w:bodyDiv w:val="1"/>
      <w:marLeft w:val="0"/>
      <w:marRight w:val="0"/>
      <w:marTop w:val="0"/>
      <w:marBottom w:val="0"/>
      <w:divBdr>
        <w:top w:val="none" w:sz="0" w:space="0" w:color="auto"/>
        <w:left w:val="none" w:sz="0" w:space="0" w:color="auto"/>
        <w:bottom w:val="none" w:sz="0" w:space="0" w:color="auto"/>
        <w:right w:val="none" w:sz="0" w:space="0" w:color="auto"/>
      </w:divBdr>
    </w:div>
    <w:div w:id="1012032104">
      <w:bodyDiv w:val="1"/>
      <w:marLeft w:val="0"/>
      <w:marRight w:val="0"/>
      <w:marTop w:val="0"/>
      <w:marBottom w:val="0"/>
      <w:divBdr>
        <w:top w:val="none" w:sz="0" w:space="0" w:color="auto"/>
        <w:left w:val="none" w:sz="0" w:space="0" w:color="auto"/>
        <w:bottom w:val="none" w:sz="0" w:space="0" w:color="auto"/>
        <w:right w:val="none" w:sz="0" w:space="0" w:color="auto"/>
      </w:divBdr>
    </w:div>
    <w:div w:id="1123118074">
      <w:bodyDiv w:val="1"/>
      <w:marLeft w:val="0"/>
      <w:marRight w:val="0"/>
      <w:marTop w:val="0"/>
      <w:marBottom w:val="0"/>
      <w:divBdr>
        <w:top w:val="none" w:sz="0" w:space="0" w:color="auto"/>
        <w:left w:val="none" w:sz="0" w:space="0" w:color="auto"/>
        <w:bottom w:val="none" w:sz="0" w:space="0" w:color="auto"/>
        <w:right w:val="none" w:sz="0" w:space="0" w:color="auto"/>
      </w:divBdr>
    </w:div>
    <w:div w:id="1147894072">
      <w:bodyDiv w:val="1"/>
      <w:marLeft w:val="0"/>
      <w:marRight w:val="0"/>
      <w:marTop w:val="0"/>
      <w:marBottom w:val="0"/>
      <w:divBdr>
        <w:top w:val="none" w:sz="0" w:space="0" w:color="auto"/>
        <w:left w:val="none" w:sz="0" w:space="0" w:color="auto"/>
        <w:bottom w:val="none" w:sz="0" w:space="0" w:color="auto"/>
        <w:right w:val="none" w:sz="0" w:space="0" w:color="auto"/>
      </w:divBdr>
    </w:div>
    <w:div w:id="1155292552">
      <w:bodyDiv w:val="1"/>
      <w:marLeft w:val="0"/>
      <w:marRight w:val="0"/>
      <w:marTop w:val="0"/>
      <w:marBottom w:val="0"/>
      <w:divBdr>
        <w:top w:val="none" w:sz="0" w:space="0" w:color="auto"/>
        <w:left w:val="none" w:sz="0" w:space="0" w:color="auto"/>
        <w:bottom w:val="none" w:sz="0" w:space="0" w:color="auto"/>
        <w:right w:val="none" w:sz="0" w:space="0" w:color="auto"/>
      </w:divBdr>
    </w:div>
    <w:div w:id="1265917664">
      <w:bodyDiv w:val="1"/>
      <w:marLeft w:val="0"/>
      <w:marRight w:val="0"/>
      <w:marTop w:val="0"/>
      <w:marBottom w:val="0"/>
      <w:divBdr>
        <w:top w:val="none" w:sz="0" w:space="0" w:color="auto"/>
        <w:left w:val="none" w:sz="0" w:space="0" w:color="auto"/>
        <w:bottom w:val="none" w:sz="0" w:space="0" w:color="auto"/>
        <w:right w:val="none" w:sz="0" w:space="0" w:color="auto"/>
      </w:divBdr>
    </w:div>
    <w:div w:id="1275821910">
      <w:bodyDiv w:val="1"/>
      <w:marLeft w:val="0"/>
      <w:marRight w:val="0"/>
      <w:marTop w:val="0"/>
      <w:marBottom w:val="0"/>
      <w:divBdr>
        <w:top w:val="none" w:sz="0" w:space="0" w:color="auto"/>
        <w:left w:val="none" w:sz="0" w:space="0" w:color="auto"/>
        <w:bottom w:val="none" w:sz="0" w:space="0" w:color="auto"/>
        <w:right w:val="none" w:sz="0" w:space="0" w:color="auto"/>
      </w:divBdr>
    </w:div>
    <w:div w:id="1370688118">
      <w:bodyDiv w:val="1"/>
      <w:marLeft w:val="0"/>
      <w:marRight w:val="0"/>
      <w:marTop w:val="0"/>
      <w:marBottom w:val="0"/>
      <w:divBdr>
        <w:top w:val="none" w:sz="0" w:space="0" w:color="auto"/>
        <w:left w:val="none" w:sz="0" w:space="0" w:color="auto"/>
        <w:bottom w:val="none" w:sz="0" w:space="0" w:color="auto"/>
        <w:right w:val="none" w:sz="0" w:space="0" w:color="auto"/>
      </w:divBdr>
    </w:div>
    <w:div w:id="1521773953">
      <w:bodyDiv w:val="1"/>
      <w:marLeft w:val="0"/>
      <w:marRight w:val="0"/>
      <w:marTop w:val="0"/>
      <w:marBottom w:val="0"/>
      <w:divBdr>
        <w:top w:val="none" w:sz="0" w:space="0" w:color="auto"/>
        <w:left w:val="none" w:sz="0" w:space="0" w:color="auto"/>
        <w:bottom w:val="none" w:sz="0" w:space="0" w:color="auto"/>
        <w:right w:val="none" w:sz="0" w:space="0" w:color="auto"/>
      </w:divBdr>
    </w:div>
    <w:div w:id="1547332247">
      <w:bodyDiv w:val="1"/>
      <w:marLeft w:val="0"/>
      <w:marRight w:val="0"/>
      <w:marTop w:val="0"/>
      <w:marBottom w:val="0"/>
      <w:divBdr>
        <w:top w:val="none" w:sz="0" w:space="0" w:color="auto"/>
        <w:left w:val="none" w:sz="0" w:space="0" w:color="auto"/>
        <w:bottom w:val="none" w:sz="0" w:space="0" w:color="auto"/>
        <w:right w:val="none" w:sz="0" w:space="0" w:color="auto"/>
      </w:divBdr>
    </w:div>
    <w:div w:id="1576283735">
      <w:bodyDiv w:val="1"/>
      <w:marLeft w:val="0"/>
      <w:marRight w:val="0"/>
      <w:marTop w:val="0"/>
      <w:marBottom w:val="0"/>
      <w:divBdr>
        <w:top w:val="none" w:sz="0" w:space="0" w:color="auto"/>
        <w:left w:val="none" w:sz="0" w:space="0" w:color="auto"/>
        <w:bottom w:val="none" w:sz="0" w:space="0" w:color="auto"/>
        <w:right w:val="none" w:sz="0" w:space="0" w:color="auto"/>
      </w:divBdr>
    </w:div>
    <w:div w:id="1633439298">
      <w:bodyDiv w:val="1"/>
      <w:marLeft w:val="0"/>
      <w:marRight w:val="0"/>
      <w:marTop w:val="0"/>
      <w:marBottom w:val="0"/>
      <w:divBdr>
        <w:top w:val="none" w:sz="0" w:space="0" w:color="auto"/>
        <w:left w:val="none" w:sz="0" w:space="0" w:color="auto"/>
        <w:bottom w:val="none" w:sz="0" w:space="0" w:color="auto"/>
        <w:right w:val="none" w:sz="0" w:space="0" w:color="auto"/>
      </w:divBdr>
    </w:div>
    <w:div w:id="1668245379">
      <w:bodyDiv w:val="1"/>
      <w:marLeft w:val="0"/>
      <w:marRight w:val="0"/>
      <w:marTop w:val="0"/>
      <w:marBottom w:val="0"/>
      <w:divBdr>
        <w:top w:val="none" w:sz="0" w:space="0" w:color="auto"/>
        <w:left w:val="none" w:sz="0" w:space="0" w:color="auto"/>
        <w:bottom w:val="none" w:sz="0" w:space="0" w:color="auto"/>
        <w:right w:val="none" w:sz="0" w:space="0" w:color="auto"/>
      </w:divBdr>
    </w:div>
    <w:div w:id="1771969160">
      <w:bodyDiv w:val="1"/>
      <w:marLeft w:val="0"/>
      <w:marRight w:val="0"/>
      <w:marTop w:val="0"/>
      <w:marBottom w:val="0"/>
      <w:divBdr>
        <w:top w:val="none" w:sz="0" w:space="0" w:color="auto"/>
        <w:left w:val="none" w:sz="0" w:space="0" w:color="auto"/>
        <w:bottom w:val="none" w:sz="0" w:space="0" w:color="auto"/>
        <w:right w:val="none" w:sz="0" w:space="0" w:color="auto"/>
      </w:divBdr>
    </w:div>
    <w:div w:id="1972900084">
      <w:bodyDiv w:val="1"/>
      <w:marLeft w:val="0"/>
      <w:marRight w:val="0"/>
      <w:marTop w:val="0"/>
      <w:marBottom w:val="0"/>
      <w:divBdr>
        <w:top w:val="none" w:sz="0" w:space="0" w:color="auto"/>
        <w:left w:val="none" w:sz="0" w:space="0" w:color="auto"/>
        <w:bottom w:val="none" w:sz="0" w:space="0" w:color="auto"/>
        <w:right w:val="none" w:sz="0" w:space="0" w:color="auto"/>
      </w:divBdr>
    </w:div>
    <w:div w:id="2028367227">
      <w:bodyDiv w:val="1"/>
      <w:marLeft w:val="0"/>
      <w:marRight w:val="0"/>
      <w:marTop w:val="0"/>
      <w:marBottom w:val="0"/>
      <w:divBdr>
        <w:top w:val="none" w:sz="0" w:space="0" w:color="auto"/>
        <w:left w:val="none" w:sz="0" w:space="0" w:color="auto"/>
        <w:bottom w:val="none" w:sz="0" w:space="0" w:color="auto"/>
        <w:right w:val="none" w:sz="0" w:space="0" w:color="auto"/>
      </w:divBdr>
    </w:div>
    <w:div w:id="2106345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chart" Target="charts/chart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ocuments\Thesis\Manuscripts\Dr%20Ogundiran\Diethyl%20Pthylate\HAEMATOLOGY%20DATA.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24 h</a:t>
            </a:r>
          </a:p>
        </c:rich>
      </c:tx>
      <c:overlay val="0"/>
      <c:spPr>
        <a:noFill/>
        <a:ln>
          <a:noFill/>
        </a:ln>
        <a:effectLst/>
      </c:spPr>
    </c:title>
    <c:autoTitleDeleted val="0"/>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rgbClr val="002060"/>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trendline>
            <c:spPr>
              <a:ln w="19050" cap="rnd">
                <a:solidFill>
                  <a:srgbClr val="002060"/>
                </a:solidFill>
                <a:prstDash val="sysDot"/>
              </a:ln>
              <a:effectLst/>
            </c:spPr>
            <c:trendlineType val="linear"/>
            <c:dispRSqr val="0"/>
            <c:dispEq val="0"/>
          </c:trendline>
          <c:xVal>
            <c:numRef>
              <c:f>Sheet12!$D$6:$D$11</c:f>
              <c:numCache>
                <c:formatCode>0.000</c:formatCode>
                <c:ptCount val="6"/>
                <c:pt idx="0">
                  <c:v>1.3979400086720377</c:v>
                </c:pt>
                <c:pt idx="1">
                  <c:v>1.5740312677277188</c:v>
                </c:pt>
                <c:pt idx="2">
                  <c:v>1.6989700043360187</c:v>
                </c:pt>
                <c:pt idx="3">
                  <c:v>1.7958800173440752</c:v>
                </c:pt>
                <c:pt idx="4">
                  <c:v>1.8750612633917001</c:v>
                </c:pt>
                <c:pt idx="5">
                  <c:v>1.9420080530223132</c:v>
                </c:pt>
              </c:numCache>
            </c:numRef>
          </c:xVal>
          <c:yVal>
            <c:numRef>
              <c:f>Sheet12!$G$6:$G$11</c:f>
              <c:numCache>
                <c:formatCode>0.000</c:formatCode>
                <c:ptCount val="6"/>
                <c:pt idx="0">
                  <c:v>-1.2815515655446006</c:v>
                </c:pt>
                <c:pt idx="1">
                  <c:v>-0.25334710313579978</c:v>
                </c:pt>
                <c:pt idx="2">
                  <c:v>-0.52440051270804089</c:v>
                </c:pt>
                <c:pt idx="3">
                  <c:v>0.52440051270804078</c:v>
                </c:pt>
                <c:pt idx="4">
                  <c:v>0.84162123357291474</c:v>
                </c:pt>
                <c:pt idx="5">
                  <c:v>1.2815515655446006</c:v>
                </c:pt>
              </c:numCache>
            </c:numRef>
          </c:yVal>
          <c:smooth val="1"/>
          <c:extLst>
            <c:ext xmlns:c16="http://schemas.microsoft.com/office/drawing/2014/chart" uri="{C3380CC4-5D6E-409C-BE32-E72D297353CC}">
              <c16:uniqueId val="{00000000-666B-447F-8C2A-ADE168E634A8}"/>
            </c:ext>
          </c:extLst>
        </c:ser>
        <c:dLbls>
          <c:showLegendKey val="0"/>
          <c:showVal val="0"/>
          <c:showCatName val="0"/>
          <c:showSerName val="0"/>
          <c:showPercent val="0"/>
          <c:showBubbleSize val="0"/>
        </c:dLbls>
        <c:axId val="271302656"/>
        <c:axId val="271501184"/>
      </c:scatterChart>
      <c:valAx>
        <c:axId val="271302656"/>
        <c:scaling>
          <c:orientation val="minMax"/>
          <c:min val="1.3"/>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Log Toxicant Concentration (</a:t>
                </a:r>
                <a:r>
                  <a:rPr lang="el-GR" sz="1100" b="1" i="0" baseline="0">
                    <a:effectLst/>
                  </a:rPr>
                  <a:t>μ</a:t>
                </a:r>
                <a:r>
                  <a:rPr lang="en-GB" sz="1100" b="1" i="0" baseline="0">
                    <a:effectLst/>
                  </a:rPr>
                  <a:t>L/L)</a:t>
                </a:r>
                <a:endParaRPr lang="en-GB" sz="11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501184"/>
        <c:crosses val="autoZero"/>
        <c:crossBetween val="midCat"/>
      </c:valAx>
      <c:valAx>
        <c:axId val="27150118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Probit Response</a:t>
                </a:r>
                <a:endParaRPr lang="en-GB" sz="1100" b="1">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13026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chemeClr val="tx2"/>
                </a:solidFill>
                <a:prstDash val="sysDot"/>
              </a:ln>
              <a:effectLst/>
            </c:spPr>
            <c:trendlineType val="linear"/>
            <c:dispRSqr val="1"/>
            <c:dispEq val="1"/>
            <c:trendlineLbl>
              <c:layout>
                <c:manualLayout>
                  <c:x val="3.1766916709375828E-2"/>
                  <c:y val="-0.14248774186105648"/>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Sheet11!$C$6:$C$11</c:f>
              <c:numCache>
                <c:formatCode>0.000</c:formatCode>
                <c:ptCount val="6"/>
                <c:pt idx="0">
                  <c:v>1.3979400086720377</c:v>
                </c:pt>
                <c:pt idx="1">
                  <c:v>1.5740312677277188</c:v>
                </c:pt>
                <c:pt idx="2">
                  <c:v>1.6989700043360187</c:v>
                </c:pt>
                <c:pt idx="3">
                  <c:v>1.7958800173440752</c:v>
                </c:pt>
                <c:pt idx="4">
                  <c:v>1.8750612633917001</c:v>
                </c:pt>
                <c:pt idx="5">
                  <c:v>1.9420080530223132</c:v>
                </c:pt>
              </c:numCache>
            </c:numRef>
          </c:xVal>
          <c:yVal>
            <c:numRef>
              <c:f>Sheet11!$F$6:$F$11</c:f>
              <c:numCache>
                <c:formatCode>General</c:formatCode>
                <c:ptCount val="6"/>
                <c:pt idx="0">
                  <c:v>-1.2815515655446006</c:v>
                </c:pt>
                <c:pt idx="1">
                  <c:v>-0.67448975019608193</c:v>
                </c:pt>
                <c:pt idx="2">
                  <c:v>-0.25334710313579978</c:v>
                </c:pt>
                <c:pt idx="3">
                  <c:v>0</c:v>
                </c:pt>
                <c:pt idx="4">
                  <c:v>0.38532046640756784</c:v>
                </c:pt>
                <c:pt idx="5">
                  <c:v>1.0364333894937898</c:v>
                </c:pt>
              </c:numCache>
            </c:numRef>
          </c:yVal>
          <c:smooth val="1"/>
          <c:extLst>
            <c:ext xmlns:c16="http://schemas.microsoft.com/office/drawing/2014/chart" uri="{C3380CC4-5D6E-409C-BE32-E72D297353CC}">
              <c16:uniqueId val="{00000000-7402-499C-BAFF-B97584FB7B9F}"/>
            </c:ext>
          </c:extLst>
        </c:ser>
        <c:dLbls>
          <c:showLegendKey val="0"/>
          <c:showVal val="0"/>
          <c:showCatName val="0"/>
          <c:showSerName val="0"/>
          <c:showPercent val="0"/>
          <c:showBubbleSize val="0"/>
        </c:dLbls>
        <c:axId val="273815040"/>
        <c:axId val="274317312"/>
      </c:scatterChart>
      <c:valAx>
        <c:axId val="273815040"/>
        <c:scaling>
          <c:orientation val="minMax"/>
          <c:min val="1.35"/>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Log Toxicant Concentration (</a:t>
                </a:r>
                <a:r>
                  <a:rPr lang="el-GR" b="1"/>
                  <a:t>μ</a:t>
                </a:r>
                <a:r>
                  <a:rPr lang="en-GB" b="1"/>
                  <a:t>L/L)</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4317312"/>
        <c:crosses val="autoZero"/>
        <c:crossBetween val="midCat"/>
      </c:valAx>
      <c:valAx>
        <c:axId val="27431731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Probit Response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3815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Chronic</a:t>
            </a:r>
          </a:p>
        </c:rich>
      </c:tx>
      <c:overlay val="0"/>
      <c:spPr>
        <a:noFill/>
        <a:ln>
          <a:noFill/>
        </a:ln>
        <a:effectLst/>
      </c:spPr>
    </c:title>
    <c:autoTitleDeleted val="0"/>
    <c:plotArea>
      <c:layout/>
      <c:scatterChart>
        <c:scatterStyle val="smoothMarker"/>
        <c:varyColors val="0"/>
        <c:ser>
          <c:idx val="0"/>
          <c:order val="0"/>
          <c:spPr>
            <a:ln w="19050" cap="rnd">
              <a:solidFill>
                <a:srgbClr val="FF0000"/>
              </a:solidFill>
              <a:round/>
            </a:ln>
            <a:effectLst/>
          </c:spPr>
          <c:marker>
            <c:symbol val="circle"/>
            <c:size val="5"/>
            <c:spPr>
              <a:solidFill>
                <a:srgbClr val="FF0000"/>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002060"/>
                </a:solidFill>
                <a:prstDash val="sysDot"/>
              </a:ln>
              <a:effectLst/>
            </c:spPr>
            <c:trendlineType val="linear"/>
            <c:dispRSqr val="1"/>
            <c:dispEq val="1"/>
            <c:trendlineLbl>
              <c:layout>
                <c:manualLayout>
                  <c:x val="1.5859249608187465E-2"/>
                  <c:y val="-7.0245486948587038E-2"/>
                </c:manualLayout>
              </c:layout>
              <c:numFmt formatCode="General"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Sheet8!$D$3:$D$7</c:f>
              <c:numCache>
                <c:formatCode>0.000</c:formatCode>
                <c:ptCount val="5"/>
                <c:pt idx="0">
                  <c:v>1.414973347970818</c:v>
                </c:pt>
                <c:pt idx="1">
                  <c:v>1.5378190950732742</c:v>
                </c:pt>
                <c:pt idx="2">
                  <c:v>1.635986111800833</c:v>
                </c:pt>
                <c:pt idx="3">
                  <c:v>1.7303784685876429</c:v>
                </c:pt>
                <c:pt idx="4">
                  <c:v>1.7958800173440752</c:v>
                </c:pt>
              </c:numCache>
            </c:numRef>
          </c:xVal>
          <c:yVal>
            <c:numRef>
              <c:f>Sheet8!$I$3:$I$7</c:f>
              <c:numCache>
                <c:formatCode>0.000</c:formatCode>
                <c:ptCount val="5"/>
                <c:pt idx="0">
                  <c:v>-1.8343638634790997</c:v>
                </c:pt>
                <c:pt idx="1">
                  <c:v>-1.2815515655446006</c:v>
                </c:pt>
                <c:pt idx="2">
                  <c:v>-1.2815515655446006</c:v>
                </c:pt>
                <c:pt idx="3">
                  <c:v>-0.84162123357291452</c:v>
                </c:pt>
                <c:pt idx="4">
                  <c:v>-0.62282428163020642</c:v>
                </c:pt>
              </c:numCache>
            </c:numRef>
          </c:yVal>
          <c:smooth val="1"/>
          <c:extLst>
            <c:ext xmlns:c16="http://schemas.microsoft.com/office/drawing/2014/chart" uri="{C3380CC4-5D6E-409C-BE32-E72D297353CC}">
              <c16:uniqueId val="{00000000-BDE5-45E3-9158-FFB3DCE9C16A}"/>
            </c:ext>
          </c:extLst>
        </c:ser>
        <c:dLbls>
          <c:showLegendKey val="0"/>
          <c:showVal val="0"/>
          <c:showCatName val="0"/>
          <c:showSerName val="0"/>
          <c:showPercent val="0"/>
          <c:showBubbleSize val="0"/>
        </c:dLbls>
        <c:axId val="289169408"/>
        <c:axId val="289171712"/>
      </c:scatterChart>
      <c:valAx>
        <c:axId val="289169408"/>
        <c:scaling>
          <c:orientation val="minMax"/>
          <c:min val="1.3"/>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Log Toxicant Concentration (</a:t>
                </a:r>
                <a:r>
                  <a:rPr lang="el-GR" sz="1100" b="1" i="0" baseline="0">
                    <a:effectLst/>
                  </a:rPr>
                  <a:t>μ</a:t>
                </a:r>
                <a:r>
                  <a:rPr lang="en-GB" sz="1100" b="1" i="0" baseline="0">
                    <a:effectLst/>
                  </a:rPr>
                  <a:t>L/L)</a:t>
                </a:r>
                <a:endParaRPr lang="en-GB" sz="8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171712"/>
        <c:crosses val="autoZero"/>
        <c:crossBetween val="midCat"/>
        <c:majorUnit val="0.1"/>
      </c:valAx>
      <c:valAx>
        <c:axId val="289171712"/>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baseline="0">
                    <a:effectLst/>
                  </a:rPr>
                  <a:t>Probit Response</a:t>
                </a:r>
                <a:endParaRPr lang="en-GB" sz="800">
                  <a:effectLst/>
                </a:endParaRP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9169408"/>
        <c:crosses val="autoZero"/>
        <c:crossBetween val="midCat"/>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31</TotalTime>
  <Pages>28</Pages>
  <Words>9650</Words>
  <Characters>55005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23106RN0DA</dc:creator>
  <cp:lastModifiedBy>SDI 1084</cp:lastModifiedBy>
  <cp:revision>5</cp:revision>
  <cp:lastPrinted>2025-05-24T11:46:00Z</cp:lastPrinted>
  <dcterms:created xsi:type="dcterms:W3CDTF">2026-01-26T08:34:00Z</dcterms:created>
  <dcterms:modified xsi:type="dcterms:W3CDTF">2026-01-27T10:42:00Z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aa90f95d7153494a8c3c121ce4157615</vt:lpwstr>
  </property>
</Properties>
</file>