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05CD3" w14:textId="327C78F8" w:rsidR="00A145A5" w:rsidRPr="007C4F71" w:rsidRDefault="00A145A5" w:rsidP="00295F3F">
      <w:pPr>
        <w:rPr>
          <w:rFonts w:ascii="Times New Roman" w:hAnsi="Times New Roman" w:cs="Times New Roman"/>
          <w:b/>
          <w:bCs/>
        </w:rPr>
      </w:pPr>
      <w:r w:rsidRPr="007C4F71">
        <w:rPr>
          <w:rFonts w:ascii="Times New Roman" w:hAnsi="Times New Roman" w:cs="Times New Roman"/>
          <w:b/>
          <w:bCs/>
        </w:rPr>
        <w:t xml:space="preserve">Bioaccumulation of Total Petroleum Hydrocarbon in </w:t>
      </w:r>
      <w:proofErr w:type="spellStart"/>
      <w:r w:rsidR="00D007B8" w:rsidRPr="007C4F71">
        <w:rPr>
          <w:rFonts w:ascii="Times New Roman" w:hAnsi="Times New Roman" w:cs="Times New Roman"/>
          <w:b/>
          <w:bCs/>
          <w:i/>
          <w:iCs/>
        </w:rPr>
        <w:t>Tympanotono</w:t>
      </w:r>
      <w:r w:rsidRPr="007C4F71">
        <w:rPr>
          <w:rFonts w:ascii="Times New Roman" w:hAnsi="Times New Roman" w:cs="Times New Roman"/>
          <w:b/>
          <w:bCs/>
          <w:i/>
          <w:iCs/>
        </w:rPr>
        <w:t>s</w:t>
      </w:r>
      <w:proofErr w:type="spellEnd"/>
      <w:r w:rsidR="00D007B8" w:rsidRPr="007C4F71">
        <w:rPr>
          <w:rFonts w:ascii="Times New Roman" w:hAnsi="Times New Roman" w:cs="Times New Roman"/>
          <w:b/>
          <w:bCs/>
          <w:i/>
          <w:iCs/>
        </w:rPr>
        <w:t xml:space="preserve"> </w:t>
      </w:r>
      <w:proofErr w:type="spellStart"/>
      <w:r w:rsidRPr="007C4F71">
        <w:rPr>
          <w:rFonts w:ascii="Times New Roman" w:hAnsi="Times New Roman" w:cs="Times New Roman"/>
          <w:b/>
          <w:bCs/>
          <w:i/>
          <w:iCs/>
        </w:rPr>
        <w:t>fuscatus</w:t>
      </w:r>
      <w:proofErr w:type="spellEnd"/>
      <w:r w:rsidRPr="007C4F71">
        <w:rPr>
          <w:rFonts w:ascii="Times New Roman" w:hAnsi="Times New Roman" w:cs="Times New Roman"/>
          <w:b/>
          <w:bCs/>
        </w:rPr>
        <w:t xml:space="preserve"> and </w:t>
      </w:r>
      <w:r w:rsidRPr="007C4F71">
        <w:rPr>
          <w:rFonts w:ascii="Times New Roman" w:hAnsi="Times New Roman" w:cs="Times New Roman"/>
          <w:b/>
          <w:bCs/>
          <w:i/>
          <w:iCs/>
        </w:rPr>
        <w:t>Crassostrea</w:t>
      </w:r>
      <w:r w:rsidR="00D007B8" w:rsidRPr="007C4F71">
        <w:rPr>
          <w:rFonts w:ascii="Times New Roman" w:hAnsi="Times New Roman" w:cs="Times New Roman"/>
          <w:b/>
          <w:bCs/>
          <w:i/>
          <w:iCs/>
        </w:rPr>
        <w:t xml:space="preserve"> </w:t>
      </w:r>
      <w:proofErr w:type="spellStart"/>
      <w:r w:rsidRPr="007C4F71">
        <w:rPr>
          <w:rFonts w:ascii="Times New Roman" w:hAnsi="Times New Roman" w:cs="Times New Roman"/>
          <w:b/>
          <w:bCs/>
          <w:i/>
          <w:iCs/>
        </w:rPr>
        <w:t>gasar</w:t>
      </w:r>
      <w:proofErr w:type="spellEnd"/>
      <w:r w:rsidR="00D007B8" w:rsidRPr="007C4F71">
        <w:rPr>
          <w:rFonts w:ascii="Times New Roman" w:hAnsi="Times New Roman" w:cs="Times New Roman"/>
          <w:b/>
          <w:bCs/>
          <w:i/>
          <w:iCs/>
        </w:rPr>
        <w:t xml:space="preserve"> </w:t>
      </w:r>
      <w:r w:rsidR="00927870" w:rsidRPr="007C4F71">
        <w:rPr>
          <w:rFonts w:ascii="Times New Roman" w:hAnsi="Times New Roman" w:cs="Times New Roman"/>
          <w:b/>
          <w:bCs/>
        </w:rPr>
        <w:t>from the upper reaches of the Bonny Estuary</w:t>
      </w:r>
    </w:p>
    <w:p w14:paraId="4C345337" w14:textId="6B9DDDAF" w:rsidR="00404F94" w:rsidRDefault="00404F94" w:rsidP="006619E2">
      <w:pPr>
        <w:spacing w:line="240" w:lineRule="auto"/>
        <w:jc w:val="both"/>
        <w:rPr>
          <w:rFonts w:ascii="Times New Roman" w:hAnsi="Times New Roman" w:cs="Times New Roman"/>
          <w:b/>
          <w:bCs/>
          <w:sz w:val="22"/>
        </w:rPr>
      </w:pPr>
    </w:p>
    <w:p w14:paraId="224E69C1" w14:textId="77777777" w:rsidR="002A1FF7" w:rsidRPr="007C4F71" w:rsidRDefault="002A1FF7" w:rsidP="006619E2">
      <w:pPr>
        <w:spacing w:line="240" w:lineRule="auto"/>
        <w:jc w:val="both"/>
        <w:rPr>
          <w:rFonts w:ascii="Times New Roman" w:hAnsi="Times New Roman" w:cs="Times New Roman"/>
          <w:b/>
          <w:i/>
          <w:sz w:val="22"/>
          <w:szCs w:val="22"/>
        </w:rPr>
      </w:pPr>
    </w:p>
    <w:p w14:paraId="374740A1" w14:textId="77777777" w:rsidR="00F70EDC" w:rsidRPr="007C4F71" w:rsidRDefault="00F70EDC" w:rsidP="006619E2">
      <w:pPr>
        <w:jc w:val="both"/>
        <w:rPr>
          <w:rFonts w:ascii="Times New Roman" w:hAnsi="Times New Roman" w:cs="Times New Roman"/>
          <w:b/>
          <w:sz w:val="22"/>
        </w:rPr>
      </w:pPr>
      <w:r w:rsidRPr="007C4F71">
        <w:rPr>
          <w:rFonts w:ascii="Times New Roman" w:hAnsi="Times New Roman" w:cs="Times New Roman"/>
          <w:b/>
          <w:sz w:val="22"/>
        </w:rPr>
        <w:t>ABSTRACT</w:t>
      </w:r>
    </w:p>
    <w:p w14:paraId="43873921" w14:textId="77777777" w:rsidR="00344DEB" w:rsidRPr="00022105" w:rsidRDefault="00F70EDC" w:rsidP="006619E2">
      <w:pPr>
        <w:jc w:val="both"/>
        <w:rPr>
          <w:rFonts w:ascii="Times New Roman" w:hAnsi="Times New Roman" w:cs="Times New Roman"/>
          <w:sz w:val="22"/>
          <w:szCs w:val="22"/>
        </w:rPr>
      </w:pPr>
      <w:r w:rsidRPr="00022105">
        <w:rPr>
          <w:rFonts w:ascii="Times New Roman" w:hAnsi="Times New Roman" w:cs="Times New Roman"/>
          <w:sz w:val="22"/>
          <w:szCs w:val="22"/>
        </w:rPr>
        <w:t>This study assessed temporal variations of Total Petroleum Hydrocarbons (TPH) in water, sediment, Oyster (</w:t>
      </w:r>
      <w:r w:rsidRPr="00022105">
        <w:rPr>
          <w:rStyle w:val="Emphasis"/>
          <w:rFonts w:ascii="Times New Roman" w:hAnsi="Times New Roman" w:cs="Times New Roman"/>
          <w:sz w:val="22"/>
          <w:szCs w:val="22"/>
        </w:rPr>
        <w:t xml:space="preserve">Crassostrea </w:t>
      </w:r>
      <w:proofErr w:type="spellStart"/>
      <w:r w:rsidRPr="00022105">
        <w:rPr>
          <w:rStyle w:val="Emphasis"/>
          <w:rFonts w:ascii="Times New Roman" w:hAnsi="Times New Roman" w:cs="Times New Roman"/>
          <w:sz w:val="22"/>
          <w:szCs w:val="22"/>
        </w:rPr>
        <w:t>gasar</w:t>
      </w:r>
      <w:proofErr w:type="spellEnd"/>
      <w:r w:rsidRPr="00022105">
        <w:rPr>
          <w:rFonts w:ascii="Times New Roman" w:hAnsi="Times New Roman" w:cs="Times New Roman"/>
          <w:sz w:val="22"/>
          <w:szCs w:val="22"/>
        </w:rPr>
        <w:t>), and Periwinkle (</w:t>
      </w:r>
      <w:proofErr w:type="spellStart"/>
      <w:r w:rsidR="00BF563C" w:rsidRPr="00022105">
        <w:rPr>
          <w:rStyle w:val="Emphasis"/>
          <w:rFonts w:ascii="Times New Roman" w:hAnsi="Times New Roman" w:cs="Times New Roman"/>
          <w:sz w:val="22"/>
          <w:szCs w:val="22"/>
        </w:rPr>
        <w:t>Tympanotonos</w:t>
      </w:r>
      <w:proofErr w:type="spellEnd"/>
      <w:r w:rsidRPr="00022105">
        <w:rPr>
          <w:rStyle w:val="Emphasis"/>
          <w:rFonts w:ascii="Times New Roman" w:hAnsi="Times New Roman" w:cs="Times New Roman"/>
          <w:sz w:val="22"/>
          <w:szCs w:val="22"/>
        </w:rPr>
        <w:t xml:space="preserve"> </w:t>
      </w:r>
      <w:proofErr w:type="spellStart"/>
      <w:r w:rsidRPr="00022105">
        <w:rPr>
          <w:rStyle w:val="Emphasis"/>
          <w:rFonts w:ascii="Times New Roman" w:hAnsi="Times New Roman" w:cs="Times New Roman"/>
          <w:sz w:val="22"/>
          <w:szCs w:val="22"/>
        </w:rPr>
        <w:t>fuscatus</w:t>
      </w:r>
      <w:proofErr w:type="spellEnd"/>
      <w:r w:rsidRPr="00022105">
        <w:rPr>
          <w:rFonts w:ascii="Times New Roman" w:hAnsi="Times New Roman" w:cs="Times New Roman"/>
          <w:sz w:val="22"/>
          <w:szCs w:val="22"/>
        </w:rPr>
        <w:t xml:space="preserve">) from the </w:t>
      </w:r>
      <w:proofErr w:type="spellStart"/>
      <w:r w:rsidRPr="00022105">
        <w:rPr>
          <w:rFonts w:ascii="Times New Roman" w:hAnsi="Times New Roman" w:cs="Times New Roman"/>
          <w:sz w:val="22"/>
          <w:szCs w:val="22"/>
        </w:rPr>
        <w:t>Iwofe</w:t>
      </w:r>
      <w:proofErr w:type="spellEnd"/>
      <w:r w:rsidRPr="00022105">
        <w:rPr>
          <w:rFonts w:ascii="Times New Roman" w:hAnsi="Times New Roman" w:cs="Times New Roman"/>
          <w:sz w:val="22"/>
          <w:szCs w:val="22"/>
        </w:rPr>
        <w:t xml:space="preserve"> River, Niger Delta. Samples collected bimonthly from July 2018 to May 2019 were analyzed using gas chromatography. Sediment recorded consistently higher TPH concentrations than water, peaking in January (8.89 mg/kg), while water values remained low (0.01–0.02 mg/L). Oyster accumulated higher and more variable TPH levels (0.002–0.029 mg/kg) than Periwinkle (0.003–0.005 mg/kg), with significant temporal changes observed only in Oyster. Seasonal comparisons showed no significant difference for Oyster but a minor yet significant variation for Periwinkle. The overall pattern confirmed a clear accumulation hierarchy of sediment &gt; Oyster &gt; Periwinkle &gt; water. These findings highlight sediments and Oysters as sensitive indicators of petroleum contamination and the importance of using multiple matrices to better understand hydrocarbon dynamics in polluted coastal ecosystems. The elevated sediment and Oyster concentrations underscore potential ecological risks and reinforce the need for continuous monitoring and improved management in oil-impacted environments such as the Niger Delta.</w:t>
      </w:r>
    </w:p>
    <w:p w14:paraId="35A77C42" w14:textId="77777777" w:rsidR="00BF563C" w:rsidRPr="007C4F71" w:rsidRDefault="00BF563C" w:rsidP="006619E2">
      <w:pPr>
        <w:jc w:val="both"/>
        <w:rPr>
          <w:rFonts w:ascii="Times New Roman" w:hAnsi="Times New Roman" w:cs="Times New Roman"/>
          <w:sz w:val="22"/>
        </w:rPr>
      </w:pPr>
      <w:r w:rsidRPr="007C4F71">
        <w:rPr>
          <w:rFonts w:ascii="Times New Roman" w:hAnsi="Times New Roman" w:cs="Times New Roman"/>
          <w:b/>
          <w:sz w:val="22"/>
        </w:rPr>
        <w:t>Keywords:</w:t>
      </w:r>
      <w:r w:rsidRPr="007C4F71">
        <w:rPr>
          <w:rFonts w:ascii="Times New Roman" w:hAnsi="Times New Roman" w:cs="Times New Roman"/>
          <w:sz w:val="22"/>
        </w:rPr>
        <w:t xml:space="preserve"> Total Petroleum Hydrocarbon, Bioaccumulation, </w:t>
      </w:r>
      <w:proofErr w:type="spellStart"/>
      <w:r w:rsidRPr="007C4F71">
        <w:rPr>
          <w:rFonts w:ascii="Times New Roman" w:hAnsi="Times New Roman" w:cs="Times New Roman"/>
          <w:i/>
          <w:sz w:val="22"/>
        </w:rPr>
        <w:t>Tympanotonos</w:t>
      </w:r>
      <w:proofErr w:type="spellEnd"/>
      <w:r w:rsidRPr="007C4F71">
        <w:rPr>
          <w:rFonts w:ascii="Times New Roman" w:hAnsi="Times New Roman" w:cs="Times New Roman"/>
          <w:i/>
          <w:sz w:val="22"/>
        </w:rPr>
        <w:t xml:space="preserve"> </w:t>
      </w:r>
      <w:proofErr w:type="spellStart"/>
      <w:r w:rsidRPr="007C4F71">
        <w:rPr>
          <w:rFonts w:ascii="Times New Roman" w:hAnsi="Times New Roman" w:cs="Times New Roman"/>
          <w:i/>
          <w:sz w:val="22"/>
        </w:rPr>
        <w:t>fuscatus</w:t>
      </w:r>
      <w:proofErr w:type="spellEnd"/>
      <w:r w:rsidRPr="007C4F71">
        <w:rPr>
          <w:rFonts w:ascii="Times New Roman" w:hAnsi="Times New Roman" w:cs="Times New Roman"/>
          <w:i/>
          <w:sz w:val="22"/>
        </w:rPr>
        <w:t xml:space="preserve">, Crassostrea </w:t>
      </w:r>
      <w:proofErr w:type="spellStart"/>
      <w:r w:rsidRPr="007C4F71">
        <w:rPr>
          <w:rFonts w:ascii="Times New Roman" w:hAnsi="Times New Roman" w:cs="Times New Roman"/>
          <w:i/>
          <w:sz w:val="22"/>
        </w:rPr>
        <w:t>gasar</w:t>
      </w:r>
      <w:proofErr w:type="spellEnd"/>
      <w:r w:rsidRPr="007C4F71">
        <w:rPr>
          <w:rFonts w:ascii="Times New Roman" w:hAnsi="Times New Roman" w:cs="Times New Roman"/>
          <w:sz w:val="22"/>
        </w:rPr>
        <w:t>, Sediment and Water</w:t>
      </w:r>
    </w:p>
    <w:p w14:paraId="7556BE93" w14:textId="77777777" w:rsidR="00344DEB" w:rsidRPr="007C4F71" w:rsidRDefault="00283565" w:rsidP="0080496F">
      <w:pPr>
        <w:spacing w:after="0" w:line="240" w:lineRule="auto"/>
        <w:jc w:val="both"/>
        <w:rPr>
          <w:rFonts w:ascii="Times New Roman" w:hAnsi="Times New Roman" w:cs="Times New Roman"/>
          <w:b/>
          <w:sz w:val="22"/>
        </w:rPr>
      </w:pPr>
      <w:r w:rsidRPr="007C4F71">
        <w:rPr>
          <w:rFonts w:ascii="Times New Roman" w:hAnsi="Times New Roman" w:cs="Times New Roman"/>
          <w:b/>
          <w:sz w:val="22"/>
        </w:rPr>
        <w:t>INTRODUCTION</w:t>
      </w:r>
    </w:p>
    <w:p w14:paraId="1BD9FC00" w14:textId="77777777" w:rsidR="00544504" w:rsidRPr="007C4F71" w:rsidRDefault="00544504" w:rsidP="0080496F">
      <w:pPr>
        <w:pStyle w:val="NormalWeb"/>
        <w:spacing w:before="0" w:beforeAutospacing="0" w:after="0" w:afterAutospacing="0"/>
        <w:jc w:val="both"/>
        <w:rPr>
          <w:sz w:val="22"/>
        </w:rPr>
      </w:pPr>
      <w:r w:rsidRPr="007C4F71">
        <w:rPr>
          <w:sz w:val="22"/>
        </w:rPr>
        <w:t xml:space="preserve">Petroleum contamination remains one of the most persistent environmental problems affecting coastal and estuarine ecosystems, especially in regions with intensive oil exploration and production activities such as the Niger Delta (Nwankwo &amp; </w:t>
      </w:r>
      <w:proofErr w:type="spellStart"/>
      <w:r w:rsidRPr="007C4F71">
        <w:rPr>
          <w:sz w:val="22"/>
        </w:rPr>
        <w:t>Ogamba</w:t>
      </w:r>
      <w:proofErr w:type="spellEnd"/>
      <w:r w:rsidRPr="007C4F71">
        <w:rPr>
          <w:sz w:val="22"/>
        </w:rPr>
        <w:t xml:space="preserve">, 2019). Total Petroleum Hydrocarbons (TPHs) are a broad group of petroleum-derived compounds that pose ecological and public health concerns due to their persistence, toxicity, and tendency to bioaccumulate in aquatic organisms (Abdel-Shafy &amp; Mansour, 2016). When discharged into aquatic environments through spills, runoff, industrial effluents, or maritime activities, TPHs become incorporated into sediments and water columns, where they may enter the food chain (Dosunmu </w:t>
      </w:r>
      <w:r w:rsidRPr="007C4F71">
        <w:rPr>
          <w:i/>
          <w:sz w:val="22"/>
        </w:rPr>
        <w:t>et al</w:t>
      </w:r>
      <w:r w:rsidRPr="007C4F71">
        <w:rPr>
          <w:sz w:val="22"/>
        </w:rPr>
        <w:t>., 2020).</w:t>
      </w:r>
    </w:p>
    <w:p w14:paraId="14A54360" w14:textId="77777777" w:rsidR="00544504" w:rsidRPr="007C4F71" w:rsidRDefault="00544504" w:rsidP="0038366A">
      <w:pPr>
        <w:pStyle w:val="NormalWeb"/>
        <w:jc w:val="both"/>
        <w:rPr>
          <w:sz w:val="22"/>
        </w:rPr>
      </w:pPr>
      <w:r w:rsidRPr="007C4F71">
        <w:rPr>
          <w:sz w:val="22"/>
        </w:rPr>
        <w:t>Shellfish such as Oyster (</w:t>
      </w:r>
      <w:r w:rsidRPr="007C4F71">
        <w:rPr>
          <w:rStyle w:val="Emphasis"/>
          <w:rFonts w:eastAsiaTheme="majorEastAsia"/>
          <w:sz w:val="22"/>
        </w:rPr>
        <w:t>Crassostrea</w:t>
      </w:r>
      <w:r w:rsidRPr="007C4F71">
        <w:rPr>
          <w:sz w:val="22"/>
        </w:rPr>
        <w:t xml:space="preserve"> </w:t>
      </w:r>
      <w:r w:rsidRPr="007C4F71">
        <w:rPr>
          <w:i/>
          <w:sz w:val="22"/>
        </w:rPr>
        <w:t>spp</w:t>
      </w:r>
      <w:r w:rsidRPr="007C4F71">
        <w:rPr>
          <w:sz w:val="22"/>
        </w:rPr>
        <w:t>.) and Periwinkle (</w:t>
      </w:r>
      <w:proofErr w:type="spellStart"/>
      <w:r w:rsidR="00BF563C" w:rsidRPr="007C4F71">
        <w:rPr>
          <w:bCs/>
          <w:i/>
          <w:iCs/>
          <w:sz w:val="22"/>
        </w:rPr>
        <w:t>Tympanotonos</w:t>
      </w:r>
      <w:proofErr w:type="spellEnd"/>
      <w:r w:rsidRPr="007C4F71">
        <w:rPr>
          <w:sz w:val="22"/>
        </w:rPr>
        <w:t xml:space="preserve"> </w:t>
      </w:r>
      <w:r w:rsidRPr="007C4F71">
        <w:rPr>
          <w:i/>
          <w:sz w:val="22"/>
        </w:rPr>
        <w:t>spp</w:t>
      </w:r>
      <w:r w:rsidRPr="007C4F71">
        <w:rPr>
          <w:sz w:val="22"/>
        </w:rPr>
        <w:t xml:space="preserve">.) are recognized bioindicators of hydrocarbon pollution because of their sedentary nature, filter-feeding behavior, and close interaction with contaminated sediments (Adebiyi </w:t>
      </w:r>
      <w:r w:rsidRPr="007C4F71">
        <w:rPr>
          <w:i/>
          <w:sz w:val="22"/>
        </w:rPr>
        <w:t>et al.</w:t>
      </w:r>
      <w:r w:rsidRPr="007C4F71">
        <w:rPr>
          <w:sz w:val="22"/>
        </w:rPr>
        <w:t>, 2018). These organisms readily accumulate hydrocarbons from their surroundings, making them useful sentinels for monitoring pollution levels and assessing potential risks to consumers (</w:t>
      </w:r>
      <w:proofErr w:type="spellStart"/>
      <w:r w:rsidRPr="007C4F71">
        <w:rPr>
          <w:sz w:val="22"/>
        </w:rPr>
        <w:t>Otitoloju</w:t>
      </w:r>
      <w:proofErr w:type="spellEnd"/>
      <w:r w:rsidRPr="007C4F71">
        <w:rPr>
          <w:sz w:val="22"/>
        </w:rPr>
        <w:t xml:space="preserve"> &amp; Don-Pedro, 2017). Their ecological and socioeconomic importance in coastal communities further underscores the need to understand contaminant dynamics in these species.</w:t>
      </w:r>
    </w:p>
    <w:p w14:paraId="23167645" w14:textId="77777777" w:rsidR="00544504" w:rsidRPr="007C4F71" w:rsidRDefault="00544504" w:rsidP="0038366A">
      <w:pPr>
        <w:pStyle w:val="NormalWeb"/>
        <w:jc w:val="both"/>
        <w:rPr>
          <w:sz w:val="22"/>
        </w:rPr>
      </w:pPr>
      <w:r w:rsidRPr="007C4F71">
        <w:rPr>
          <w:sz w:val="22"/>
        </w:rPr>
        <w:t xml:space="preserve">Seasonal changes, hydrodynamic conditions, and pollutant input patterns strongly influence hydrocarbon availability and uptake in aquatic organisms (Okoro </w:t>
      </w:r>
      <w:r w:rsidRPr="007C4F71">
        <w:rPr>
          <w:i/>
          <w:sz w:val="22"/>
        </w:rPr>
        <w:t>et al</w:t>
      </w:r>
      <w:r w:rsidRPr="007C4F71">
        <w:rPr>
          <w:sz w:val="22"/>
        </w:rPr>
        <w:t>., 2021). Dry and wet seasons often differ markedly in terms of runoff intensity, dilution capacity, temperature, and organic load, which may affect the concentration of TPHs in water bodies and in organisms inhabiting them. Investigating these temporal variations provides insight into the environmental processes governing pollutant distribution and helps in evaluating the health status of aquatic ecosystems.</w:t>
      </w:r>
    </w:p>
    <w:p w14:paraId="2FC3F7FB" w14:textId="77777777" w:rsidR="00544504" w:rsidRPr="007C4F71" w:rsidRDefault="00544504" w:rsidP="0038366A">
      <w:pPr>
        <w:pStyle w:val="NormalWeb"/>
        <w:jc w:val="both"/>
        <w:rPr>
          <w:sz w:val="22"/>
        </w:rPr>
      </w:pPr>
      <w:r w:rsidRPr="007C4F71">
        <w:rPr>
          <w:sz w:val="22"/>
        </w:rPr>
        <w:lastRenderedPageBreak/>
        <w:t>This study therefore</w:t>
      </w:r>
      <w:r w:rsidR="00FC5E98" w:rsidRPr="007C4F71">
        <w:rPr>
          <w:b/>
          <w:bCs/>
          <w:sz w:val="22"/>
        </w:rPr>
        <w:t xml:space="preserve"> </w:t>
      </w:r>
      <w:r w:rsidR="00FC5E98" w:rsidRPr="007C4F71">
        <w:rPr>
          <w:bCs/>
          <w:sz w:val="22"/>
        </w:rPr>
        <w:t xml:space="preserve">assessed the Bioaccumulation of Total Petroleum Hydrocarbon in water, sediment and </w:t>
      </w:r>
      <w:proofErr w:type="spellStart"/>
      <w:r w:rsidR="00FC5E98" w:rsidRPr="007C4F71">
        <w:rPr>
          <w:bCs/>
          <w:i/>
          <w:iCs/>
          <w:sz w:val="22"/>
        </w:rPr>
        <w:t>Tympanotonos</w:t>
      </w:r>
      <w:proofErr w:type="spellEnd"/>
      <w:r w:rsidR="00FC5E98" w:rsidRPr="007C4F71">
        <w:rPr>
          <w:bCs/>
          <w:i/>
          <w:iCs/>
          <w:sz w:val="22"/>
        </w:rPr>
        <w:t xml:space="preserve"> </w:t>
      </w:r>
      <w:proofErr w:type="spellStart"/>
      <w:r w:rsidR="00FC5E98" w:rsidRPr="007C4F71">
        <w:rPr>
          <w:bCs/>
          <w:i/>
          <w:iCs/>
          <w:sz w:val="22"/>
        </w:rPr>
        <w:t>fuscatus</w:t>
      </w:r>
      <w:proofErr w:type="spellEnd"/>
      <w:r w:rsidR="00FC5E98" w:rsidRPr="007C4F71">
        <w:rPr>
          <w:bCs/>
          <w:sz w:val="22"/>
        </w:rPr>
        <w:t xml:space="preserve"> and </w:t>
      </w:r>
      <w:r w:rsidR="00FC5E98" w:rsidRPr="007C4F71">
        <w:rPr>
          <w:bCs/>
          <w:i/>
          <w:iCs/>
          <w:sz w:val="22"/>
        </w:rPr>
        <w:t xml:space="preserve">Crassostrea </w:t>
      </w:r>
      <w:proofErr w:type="spellStart"/>
      <w:r w:rsidR="00FC5E98" w:rsidRPr="007C4F71">
        <w:rPr>
          <w:bCs/>
          <w:i/>
          <w:iCs/>
          <w:sz w:val="22"/>
        </w:rPr>
        <w:t>gasar</w:t>
      </w:r>
      <w:proofErr w:type="spellEnd"/>
      <w:r w:rsidR="00FC5E98" w:rsidRPr="007C4F71">
        <w:rPr>
          <w:sz w:val="22"/>
        </w:rPr>
        <w:t xml:space="preserve"> </w:t>
      </w:r>
      <w:r w:rsidRPr="007C4F71">
        <w:rPr>
          <w:sz w:val="22"/>
        </w:rPr>
        <w:t>across different months and seasons within the study area. By comparing the levels detected during dry and wet seasons and evaluating species-specific accumulation patterns, the study contributes to a better understanding of hydrocarbon behavior in coastal environments and supports environmental monitoring, seafood safety assessment, and resource management.</w:t>
      </w:r>
    </w:p>
    <w:p w14:paraId="0C0D1388" w14:textId="77777777" w:rsidR="00344DEB" w:rsidRPr="007C4F71" w:rsidRDefault="00344DEB" w:rsidP="0038366A">
      <w:pPr>
        <w:spacing w:line="240" w:lineRule="auto"/>
        <w:jc w:val="both"/>
        <w:rPr>
          <w:rFonts w:ascii="Times New Roman" w:hAnsi="Times New Roman" w:cs="Times New Roman"/>
          <w:b/>
          <w:sz w:val="22"/>
        </w:rPr>
      </w:pPr>
      <w:r w:rsidRPr="007C4F71">
        <w:rPr>
          <w:rFonts w:ascii="Times New Roman" w:hAnsi="Times New Roman" w:cs="Times New Roman"/>
          <w:b/>
          <w:sz w:val="22"/>
        </w:rPr>
        <w:t xml:space="preserve">MATERIALS AND METHODS </w:t>
      </w:r>
    </w:p>
    <w:p w14:paraId="6CB2F67C" w14:textId="77777777" w:rsidR="00D061B3" w:rsidRPr="007C4F71" w:rsidRDefault="00D061B3" w:rsidP="0038366A">
      <w:pPr>
        <w:spacing w:line="240" w:lineRule="auto"/>
        <w:jc w:val="both"/>
        <w:rPr>
          <w:rFonts w:ascii="Times New Roman" w:hAnsi="Times New Roman" w:cs="Times New Roman"/>
          <w:b/>
          <w:sz w:val="22"/>
        </w:rPr>
      </w:pPr>
      <w:r w:rsidRPr="007C4F71">
        <w:rPr>
          <w:rFonts w:ascii="Times New Roman" w:hAnsi="Times New Roman" w:cs="Times New Roman"/>
          <w:b/>
          <w:sz w:val="22"/>
        </w:rPr>
        <w:t>Description of Study Site</w:t>
      </w:r>
    </w:p>
    <w:p w14:paraId="28A6E816" w14:textId="77777777" w:rsidR="00391AE9" w:rsidRPr="007C4F71" w:rsidRDefault="00D061B3" w:rsidP="0038366A">
      <w:pPr>
        <w:spacing w:line="240" w:lineRule="auto"/>
        <w:jc w:val="both"/>
        <w:rPr>
          <w:rFonts w:ascii="Times New Roman" w:hAnsi="Times New Roman" w:cs="Times New Roman"/>
          <w:sz w:val="22"/>
        </w:rPr>
      </w:pPr>
      <w:r w:rsidRPr="007C4F71">
        <w:rPr>
          <w:rFonts w:ascii="Times New Roman" w:hAnsi="Times New Roman" w:cs="Times New Roman"/>
          <w:sz w:val="22"/>
        </w:rPr>
        <w:t>The study area is located at 4.089361</w:t>
      </w:r>
      <w:r w:rsidRPr="007C4F71">
        <w:rPr>
          <w:rFonts w:ascii="Times New Roman" w:hAnsi="Times New Roman" w:cs="Times New Roman"/>
          <w:sz w:val="22"/>
          <w:vertAlign w:val="superscript"/>
        </w:rPr>
        <w:t>0</w:t>
      </w:r>
      <w:r w:rsidRPr="007C4F71">
        <w:rPr>
          <w:rFonts w:ascii="Times New Roman" w:hAnsi="Times New Roman" w:cs="Times New Roman"/>
          <w:sz w:val="22"/>
        </w:rPr>
        <w:t>N and 6.928667</w:t>
      </w:r>
      <w:r w:rsidRPr="007C4F71">
        <w:rPr>
          <w:rFonts w:ascii="Times New Roman" w:hAnsi="Times New Roman" w:cs="Times New Roman"/>
          <w:sz w:val="22"/>
          <w:vertAlign w:val="superscript"/>
        </w:rPr>
        <w:t>0</w:t>
      </w:r>
      <w:r w:rsidRPr="007C4F71">
        <w:rPr>
          <w:rFonts w:ascii="Times New Roman" w:hAnsi="Times New Roman" w:cs="Times New Roman"/>
          <w:sz w:val="22"/>
        </w:rPr>
        <w:t xml:space="preserve">E, along the </w:t>
      </w:r>
      <w:proofErr w:type="spellStart"/>
      <w:r w:rsidRPr="007C4F71">
        <w:rPr>
          <w:rFonts w:ascii="Times New Roman" w:hAnsi="Times New Roman" w:cs="Times New Roman"/>
          <w:sz w:val="22"/>
        </w:rPr>
        <w:t>Iwofe</w:t>
      </w:r>
      <w:proofErr w:type="spellEnd"/>
      <w:r w:rsidRPr="007C4F71">
        <w:rPr>
          <w:rFonts w:ascii="Times New Roman" w:hAnsi="Times New Roman" w:cs="Times New Roman"/>
          <w:sz w:val="22"/>
        </w:rPr>
        <w:t xml:space="preserve"> River, which is heavily stressed by extensive anthropogenic activities like drilling and other bunkering activities. The study area is also connected with an underground drainage culvert network where waste water, sewage, sludge, human bodily wastes from the neighboring communities and </w:t>
      </w:r>
      <w:proofErr w:type="spellStart"/>
      <w:r w:rsidRPr="007C4F71">
        <w:rPr>
          <w:rFonts w:ascii="Times New Roman" w:hAnsi="Times New Roman" w:cs="Times New Roman"/>
          <w:sz w:val="22"/>
        </w:rPr>
        <w:t>Rumuolumeni</w:t>
      </w:r>
      <w:proofErr w:type="spellEnd"/>
      <w:r w:rsidRPr="007C4F71">
        <w:rPr>
          <w:rFonts w:ascii="Times New Roman" w:hAnsi="Times New Roman" w:cs="Times New Roman"/>
          <w:sz w:val="22"/>
        </w:rPr>
        <w:t xml:space="preserve"> campus of Ignatius </w:t>
      </w:r>
      <w:proofErr w:type="spellStart"/>
      <w:r w:rsidRPr="007C4F71">
        <w:rPr>
          <w:rFonts w:ascii="Times New Roman" w:hAnsi="Times New Roman" w:cs="Times New Roman"/>
          <w:sz w:val="22"/>
        </w:rPr>
        <w:t>Ajuru</w:t>
      </w:r>
      <w:proofErr w:type="spellEnd"/>
      <w:r w:rsidRPr="007C4F71">
        <w:rPr>
          <w:rFonts w:ascii="Times New Roman" w:hAnsi="Times New Roman" w:cs="Times New Roman"/>
          <w:sz w:val="22"/>
        </w:rPr>
        <w:t xml:space="preserve"> University are carried in to the tidal stream.</w:t>
      </w:r>
    </w:p>
    <w:p w14:paraId="26226358" w14:textId="77777777" w:rsidR="00391AE9" w:rsidRPr="007C4F71" w:rsidRDefault="00391AE9" w:rsidP="0038366A">
      <w:pPr>
        <w:pStyle w:val="Body"/>
        <w:jc w:val="both"/>
        <w:rPr>
          <w:rFonts w:ascii="Times New Roman" w:eastAsia="Times New Roman" w:hAnsi="Times New Roman" w:cs="Times New Roman"/>
          <w:b/>
          <w:bCs/>
          <w:szCs w:val="24"/>
        </w:rPr>
      </w:pPr>
      <w:r w:rsidRPr="007C4F71">
        <w:rPr>
          <w:rFonts w:ascii="Times New Roman" w:hAnsi="Times New Roman" w:cs="Times New Roman"/>
          <w:b/>
          <w:bCs/>
          <w:szCs w:val="24"/>
        </w:rPr>
        <w:t>Collection of Sub surface Water Samples</w:t>
      </w:r>
    </w:p>
    <w:p w14:paraId="1049E829" w14:textId="77777777" w:rsidR="00391AE9" w:rsidRPr="007C4F71" w:rsidRDefault="00391AE9" w:rsidP="0038366A">
      <w:pPr>
        <w:pStyle w:val="Body"/>
        <w:jc w:val="both"/>
        <w:rPr>
          <w:rFonts w:ascii="Times New Roman" w:eastAsia="Times New Roman" w:hAnsi="Times New Roman" w:cs="Times New Roman"/>
          <w:szCs w:val="24"/>
        </w:rPr>
      </w:pPr>
      <w:r w:rsidRPr="007C4F71">
        <w:rPr>
          <w:rFonts w:ascii="Times New Roman" w:hAnsi="Times New Roman" w:cs="Times New Roman"/>
          <w:szCs w:val="24"/>
        </w:rPr>
        <w:t>Water samples were collected using</w:t>
      </w:r>
      <w:r w:rsidR="00D07198" w:rsidRPr="007C4F71">
        <w:rPr>
          <w:rFonts w:ascii="Times New Roman" w:hAnsi="Times New Roman" w:cs="Times New Roman"/>
          <w:szCs w:val="24"/>
        </w:rPr>
        <w:t xml:space="preserve"> a clean</w:t>
      </w:r>
      <w:r w:rsidRPr="007C4F71">
        <w:rPr>
          <w:rFonts w:ascii="Times New Roman" w:hAnsi="Times New Roman" w:cs="Times New Roman"/>
          <w:szCs w:val="24"/>
        </w:rPr>
        <w:t xml:space="preserve"> 500 ml amber glass bottles</w:t>
      </w:r>
      <w:r w:rsidR="00D07198" w:rsidRPr="007C4F71">
        <w:rPr>
          <w:rFonts w:ascii="Times New Roman" w:hAnsi="Times New Roman" w:cs="Times New Roman"/>
          <w:szCs w:val="24"/>
        </w:rPr>
        <w:t xml:space="preserve"> for</w:t>
      </w:r>
      <w:r w:rsidRPr="007C4F71">
        <w:rPr>
          <w:rFonts w:ascii="Times New Roman" w:hAnsi="Times New Roman" w:cs="Times New Roman"/>
          <w:szCs w:val="24"/>
        </w:rPr>
        <w:t xml:space="preserve"> TPH analysis by dipping it 10 cm below the water surface. The bottles were covered with foil paper befor</w:t>
      </w:r>
      <w:r w:rsidR="00D07198" w:rsidRPr="007C4F71">
        <w:rPr>
          <w:rFonts w:ascii="Times New Roman" w:hAnsi="Times New Roman" w:cs="Times New Roman"/>
          <w:szCs w:val="24"/>
        </w:rPr>
        <w:t>e they were sealed with the lid</w:t>
      </w:r>
      <w:r w:rsidRPr="007C4F71">
        <w:rPr>
          <w:rFonts w:ascii="Times New Roman" w:hAnsi="Times New Roman" w:cs="Times New Roman"/>
          <w:szCs w:val="24"/>
        </w:rPr>
        <w:t>. Water samples were collected bimonthly over a period of 12 months (July 2018 – May 2019).</w:t>
      </w:r>
    </w:p>
    <w:p w14:paraId="7E5C216A" w14:textId="77777777" w:rsidR="00391AE9" w:rsidRPr="007C4F71" w:rsidRDefault="00391AE9" w:rsidP="0038366A">
      <w:pPr>
        <w:pStyle w:val="Body"/>
        <w:jc w:val="both"/>
        <w:rPr>
          <w:rFonts w:ascii="Times New Roman" w:eastAsia="Times New Roman" w:hAnsi="Times New Roman" w:cs="Times New Roman"/>
          <w:b/>
          <w:bCs/>
          <w:szCs w:val="24"/>
        </w:rPr>
      </w:pPr>
      <w:r w:rsidRPr="007C4F71">
        <w:rPr>
          <w:rFonts w:ascii="Times New Roman" w:hAnsi="Times New Roman" w:cs="Times New Roman"/>
          <w:b/>
          <w:bCs/>
          <w:szCs w:val="24"/>
        </w:rPr>
        <w:t>Collection of Sediment</w:t>
      </w:r>
    </w:p>
    <w:p w14:paraId="2F7AEC60" w14:textId="77777777" w:rsidR="00391AE9" w:rsidRPr="007C4F71" w:rsidRDefault="00391AE9" w:rsidP="0038366A">
      <w:pPr>
        <w:pStyle w:val="Body"/>
        <w:jc w:val="both"/>
        <w:rPr>
          <w:rFonts w:ascii="Times New Roman" w:hAnsi="Times New Roman" w:cs="Times New Roman"/>
          <w:szCs w:val="24"/>
        </w:rPr>
      </w:pPr>
      <w:r w:rsidRPr="007C4F71">
        <w:rPr>
          <w:rFonts w:ascii="Times New Roman" w:hAnsi="Times New Roman" w:cs="Times New Roman"/>
          <w:szCs w:val="24"/>
        </w:rPr>
        <w:t>Sediments samples were collected bimonthly from each of the sampling stations for 12 months. Sediment sample was collected at a depth of 4-5 cm. Method of sediment collection was the destructive sampling of the littoral zone, using a wooden spatula. Sediment samples were wrapped in foil papers and placed in labeled polythene bags for preservation in the freezer (0</w:t>
      </w:r>
      <w:r w:rsidRPr="007C4F71">
        <w:rPr>
          <w:rFonts w:ascii="Times New Roman" w:hAnsi="Times New Roman" w:cs="Times New Roman"/>
          <w:szCs w:val="24"/>
          <w:vertAlign w:val="superscript"/>
        </w:rPr>
        <w:t>0</w:t>
      </w:r>
      <w:r w:rsidRPr="007C4F71">
        <w:rPr>
          <w:rFonts w:ascii="Times New Roman" w:hAnsi="Times New Roman" w:cs="Times New Roman"/>
          <w:szCs w:val="24"/>
        </w:rPr>
        <w:t xml:space="preserve">C) prior to sediment analysis. </w:t>
      </w:r>
    </w:p>
    <w:p w14:paraId="19CAE4F0" w14:textId="77777777" w:rsidR="00E87AC6" w:rsidRPr="007C4F71" w:rsidRDefault="00391AE9" w:rsidP="0038366A">
      <w:pPr>
        <w:pStyle w:val="Body"/>
        <w:ind w:left="720" w:hanging="720"/>
        <w:jc w:val="both"/>
        <w:rPr>
          <w:rFonts w:ascii="Times New Roman" w:eastAsia="Times New Roman" w:hAnsi="Times New Roman" w:cs="Times New Roman"/>
          <w:b/>
          <w:bCs/>
          <w:szCs w:val="24"/>
        </w:rPr>
      </w:pPr>
      <w:r w:rsidRPr="007C4F71">
        <w:rPr>
          <w:rFonts w:ascii="Times New Roman" w:hAnsi="Times New Roman" w:cs="Times New Roman"/>
          <w:b/>
          <w:bCs/>
          <w:szCs w:val="24"/>
        </w:rPr>
        <w:t xml:space="preserve">Collection of </w:t>
      </w:r>
      <w:r w:rsidRPr="007C4F71">
        <w:rPr>
          <w:rFonts w:ascii="Times New Roman" w:hAnsi="Times New Roman" w:cs="Times New Roman"/>
          <w:b/>
          <w:bCs/>
          <w:i/>
          <w:iCs/>
          <w:szCs w:val="24"/>
          <w:lang w:val="it-IT"/>
        </w:rPr>
        <w:t xml:space="preserve">Crassostrea </w:t>
      </w:r>
      <w:proofErr w:type="spellStart"/>
      <w:r w:rsidRPr="007C4F71">
        <w:rPr>
          <w:rFonts w:ascii="Times New Roman" w:hAnsi="Times New Roman" w:cs="Times New Roman"/>
          <w:b/>
          <w:bCs/>
          <w:i/>
          <w:iCs/>
          <w:szCs w:val="24"/>
          <w:lang w:val="es-ES_tradnl"/>
        </w:rPr>
        <w:t>gasar</w:t>
      </w:r>
      <w:proofErr w:type="spellEnd"/>
      <w:r w:rsidR="00D07198" w:rsidRPr="007C4F71">
        <w:rPr>
          <w:rFonts w:ascii="Times New Roman" w:hAnsi="Times New Roman" w:cs="Times New Roman"/>
          <w:b/>
          <w:bCs/>
          <w:szCs w:val="24"/>
        </w:rPr>
        <w:t xml:space="preserve"> and</w:t>
      </w:r>
      <w:r w:rsidRPr="007C4F71">
        <w:rPr>
          <w:rFonts w:ascii="Times New Roman" w:hAnsi="Times New Roman" w:cs="Times New Roman"/>
          <w:b/>
          <w:bCs/>
          <w:szCs w:val="24"/>
        </w:rPr>
        <w:t xml:space="preserve"> </w:t>
      </w:r>
      <w:proofErr w:type="spellStart"/>
      <w:r w:rsidR="00BF563C" w:rsidRPr="007C4F71">
        <w:rPr>
          <w:rFonts w:ascii="Times New Roman" w:hAnsi="Times New Roman" w:cs="Times New Roman"/>
          <w:b/>
          <w:bCs/>
          <w:i/>
          <w:iCs/>
          <w:szCs w:val="24"/>
        </w:rPr>
        <w:t>Tympanotonos</w:t>
      </w:r>
      <w:proofErr w:type="spellEnd"/>
      <w:r w:rsidRPr="007C4F71">
        <w:rPr>
          <w:rFonts w:ascii="Times New Roman" w:hAnsi="Times New Roman" w:cs="Times New Roman"/>
          <w:b/>
          <w:bCs/>
          <w:i/>
          <w:iCs/>
          <w:szCs w:val="24"/>
        </w:rPr>
        <w:t xml:space="preserve"> </w:t>
      </w:r>
      <w:r w:rsidRPr="007C4F71">
        <w:rPr>
          <w:rFonts w:ascii="Times New Roman" w:hAnsi="Times New Roman" w:cs="Times New Roman"/>
          <w:b/>
          <w:bCs/>
          <w:i/>
          <w:iCs/>
          <w:szCs w:val="24"/>
          <w:lang w:val="it-IT"/>
        </w:rPr>
        <w:t>fuscatus</w:t>
      </w:r>
      <w:r w:rsidRPr="007C4F71">
        <w:rPr>
          <w:rFonts w:ascii="Times New Roman" w:hAnsi="Times New Roman" w:cs="Times New Roman"/>
          <w:b/>
          <w:bCs/>
          <w:szCs w:val="24"/>
        </w:rPr>
        <w:t xml:space="preserve"> </w:t>
      </w:r>
      <w:r w:rsidR="00D07198" w:rsidRPr="007C4F71">
        <w:rPr>
          <w:rFonts w:ascii="Times New Roman" w:hAnsi="Times New Roman" w:cs="Times New Roman"/>
          <w:b/>
          <w:bCs/>
          <w:szCs w:val="24"/>
        </w:rPr>
        <w:t xml:space="preserve">for TPH </w:t>
      </w:r>
      <w:r w:rsidRPr="007C4F71">
        <w:rPr>
          <w:rFonts w:ascii="Times New Roman" w:hAnsi="Times New Roman" w:cs="Times New Roman"/>
          <w:b/>
          <w:bCs/>
          <w:szCs w:val="24"/>
        </w:rPr>
        <w:t>Analysis</w:t>
      </w:r>
    </w:p>
    <w:p w14:paraId="17BD784C" w14:textId="77777777" w:rsidR="00391AE9" w:rsidRPr="007C4F71" w:rsidRDefault="00391AE9" w:rsidP="0038366A">
      <w:pPr>
        <w:spacing w:line="240" w:lineRule="auto"/>
        <w:jc w:val="both"/>
        <w:rPr>
          <w:rFonts w:ascii="Times New Roman" w:hAnsi="Times New Roman" w:cs="Times New Roman"/>
          <w:b/>
          <w:sz w:val="22"/>
        </w:rPr>
      </w:pPr>
      <w:r w:rsidRPr="007C4F71">
        <w:rPr>
          <w:rFonts w:ascii="Times New Roman" w:hAnsi="Times New Roman" w:cs="Times New Roman"/>
          <w:i/>
          <w:iCs/>
          <w:sz w:val="22"/>
          <w:lang w:val="it-IT"/>
        </w:rPr>
        <w:t>T. fuscatus</w:t>
      </w:r>
      <w:r w:rsidRPr="007C4F71">
        <w:rPr>
          <w:rFonts w:ascii="Times New Roman" w:hAnsi="Times New Roman" w:cs="Times New Roman"/>
          <w:sz w:val="22"/>
        </w:rPr>
        <w:t xml:space="preserve"> </w:t>
      </w:r>
      <w:r w:rsidR="00E87AC6" w:rsidRPr="007C4F71">
        <w:rPr>
          <w:rFonts w:ascii="Times New Roman" w:hAnsi="Times New Roman" w:cs="Times New Roman"/>
          <w:sz w:val="22"/>
        </w:rPr>
        <w:t>of marketable sizes (average weight of 14.65 g, 11.95 g and 20.0 g respectively) were</w:t>
      </w:r>
      <w:r w:rsidRPr="007C4F71">
        <w:rPr>
          <w:rFonts w:ascii="Times New Roman" w:hAnsi="Times New Roman" w:cs="Times New Roman"/>
          <w:sz w:val="22"/>
        </w:rPr>
        <w:t xml:space="preserve"> handpicked at the swamps during low tide. </w:t>
      </w:r>
      <w:r w:rsidRPr="007C4F71">
        <w:rPr>
          <w:rFonts w:ascii="Times New Roman" w:hAnsi="Times New Roman" w:cs="Times New Roman"/>
          <w:i/>
          <w:iCs/>
          <w:sz w:val="22"/>
          <w:lang w:val="it-IT"/>
        </w:rPr>
        <w:t>C. gasar</w:t>
      </w:r>
      <w:r w:rsidRPr="007C4F71">
        <w:rPr>
          <w:rFonts w:ascii="Times New Roman" w:hAnsi="Times New Roman" w:cs="Times New Roman"/>
          <w:sz w:val="22"/>
        </w:rPr>
        <w:t xml:space="preserve"> was harvested by cutting the roots of the mangrove trees on which they were found. </w:t>
      </w:r>
      <w:r w:rsidRPr="007C4F71">
        <w:rPr>
          <w:rFonts w:ascii="Times New Roman" w:hAnsi="Times New Roman" w:cs="Times New Roman"/>
          <w:i/>
          <w:iCs/>
          <w:sz w:val="22"/>
          <w:lang w:val="pt-PT"/>
        </w:rPr>
        <w:t>B. africanus</w:t>
      </w:r>
      <w:r w:rsidRPr="007C4F71">
        <w:rPr>
          <w:rFonts w:ascii="Times New Roman" w:hAnsi="Times New Roman" w:cs="Times New Roman"/>
          <w:sz w:val="22"/>
        </w:rPr>
        <w:t xml:space="preserve"> was collected using a scoop net from tidal pools in the study area. Samples for TPH and PAH were stored in the freezer (0</w:t>
      </w:r>
      <w:r w:rsidRPr="007C4F71">
        <w:rPr>
          <w:rFonts w:ascii="Times New Roman" w:hAnsi="Times New Roman" w:cs="Times New Roman"/>
          <w:sz w:val="22"/>
          <w:vertAlign w:val="superscript"/>
        </w:rPr>
        <w:t>0</w:t>
      </w:r>
      <w:r w:rsidRPr="007C4F71">
        <w:rPr>
          <w:rFonts w:ascii="Times New Roman" w:hAnsi="Times New Roman" w:cs="Times New Roman"/>
          <w:sz w:val="22"/>
        </w:rPr>
        <w:t>C) prior to analysis while enzyme analysis was carried out immediately after harvesting.</w:t>
      </w:r>
    </w:p>
    <w:p w14:paraId="5ABCBC6C" w14:textId="77777777" w:rsidR="00251B73" w:rsidRPr="007C4F71" w:rsidRDefault="00251B73" w:rsidP="0038366A">
      <w:pPr>
        <w:spacing w:line="240" w:lineRule="auto"/>
        <w:jc w:val="both"/>
        <w:rPr>
          <w:rFonts w:ascii="Times New Roman" w:hAnsi="Times New Roman" w:cs="Times New Roman"/>
          <w:sz w:val="22"/>
        </w:rPr>
      </w:pPr>
      <w:r w:rsidRPr="007C4F71">
        <w:rPr>
          <w:rFonts w:ascii="Times New Roman" w:hAnsi="Times New Roman" w:cs="Times New Roman"/>
          <w:b/>
          <w:sz w:val="22"/>
        </w:rPr>
        <w:t>Determination of TPH and PAH</w:t>
      </w:r>
      <w:r w:rsidRPr="007C4F71">
        <w:rPr>
          <w:rFonts w:ascii="Times New Roman" w:hAnsi="Times New Roman" w:cs="Times New Roman"/>
          <w:sz w:val="22"/>
        </w:rPr>
        <w:t xml:space="preserve">  </w:t>
      </w:r>
    </w:p>
    <w:p w14:paraId="159559A6" w14:textId="77777777" w:rsidR="00251B73" w:rsidRPr="007C4F71" w:rsidRDefault="00251B73" w:rsidP="0038366A">
      <w:pPr>
        <w:spacing w:line="240" w:lineRule="auto"/>
        <w:jc w:val="both"/>
        <w:rPr>
          <w:rFonts w:ascii="Times New Roman" w:hAnsi="Times New Roman" w:cs="Times New Roman"/>
          <w:sz w:val="22"/>
        </w:rPr>
      </w:pPr>
      <w:r w:rsidRPr="007C4F71">
        <w:rPr>
          <w:rFonts w:ascii="Times New Roman" w:hAnsi="Times New Roman" w:cs="Times New Roman"/>
          <w:sz w:val="22"/>
        </w:rPr>
        <w:t xml:space="preserve">Whole samples of aquatic biota were oven dried at 600C for 24 hours, until there was no trace of moisture. The dry specimen was pulverized and sieved through a 2mm size sieve. </w:t>
      </w:r>
    </w:p>
    <w:p w14:paraId="1D9CE3B0" w14:textId="77777777" w:rsidR="00251B73" w:rsidRPr="007C4F71" w:rsidRDefault="00251B73" w:rsidP="0038366A">
      <w:pPr>
        <w:spacing w:line="240" w:lineRule="auto"/>
        <w:jc w:val="both"/>
        <w:rPr>
          <w:rFonts w:ascii="Times New Roman" w:hAnsi="Times New Roman" w:cs="Times New Roman"/>
          <w:sz w:val="22"/>
        </w:rPr>
      </w:pPr>
      <w:r w:rsidRPr="007C4F71">
        <w:rPr>
          <w:rFonts w:ascii="Times New Roman" w:hAnsi="Times New Roman" w:cs="Times New Roman"/>
          <w:sz w:val="22"/>
        </w:rPr>
        <w:t>Extraction – 2 grams of dry aquatic biota samples were weighed into clean extraction container. 20ml of extraction solvent (1:1, hexane dichloromethane mixture) was added to the sample, mixed thoroughly and filtered through solvent-rinsed chromatographic column containing glass wool, a slurry of 2g activated silica in 10ml dichloromethane and 0.5cm of sodium sulphate at the top layer. The eluent was collected into 10ml graduated sample vials. Solvent extracts were concentrated to 1ml and 1µl was injected into the gas chromatography using a hypodermic syringe. From the gas chromatography, TPH was analyzed by applying a TPH program.  TPH chromatograms were generated for each sample; these printouts reflected ionizations peaks which were the concentration of each constituent aliphatic (TPH) hydrocarbons.</w:t>
      </w:r>
    </w:p>
    <w:p w14:paraId="26D79B20" w14:textId="77777777" w:rsidR="00E32DF7" w:rsidRPr="007C4F71" w:rsidRDefault="00E32DF7" w:rsidP="0038366A">
      <w:pPr>
        <w:spacing w:line="240" w:lineRule="auto"/>
        <w:jc w:val="both"/>
        <w:rPr>
          <w:rFonts w:ascii="Times New Roman" w:hAnsi="Times New Roman" w:cs="Times New Roman"/>
          <w:b/>
          <w:sz w:val="22"/>
        </w:rPr>
      </w:pPr>
      <w:r w:rsidRPr="007C4F71">
        <w:rPr>
          <w:rFonts w:ascii="Times New Roman" w:hAnsi="Times New Roman" w:cs="Times New Roman"/>
          <w:b/>
          <w:sz w:val="22"/>
        </w:rPr>
        <w:t>Data Analysis</w:t>
      </w:r>
    </w:p>
    <w:p w14:paraId="3866D957" w14:textId="77777777" w:rsidR="00E32DF7" w:rsidRPr="007C4F71" w:rsidRDefault="00E32DF7" w:rsidP="0038366A">
      <w:pPr>
        <w:spacing w:line="240" w:lineRule="auto"/>
        <w:jc w:val="both"/>
        <w:rPr>
          <w:rFonts w:ascii="Times New Roman" w:hAnsi="Times New Roman" w:cs="Times New Roman"/>
          <w:sz w:val="22"/>
        </w:rPr>
      </w:pPr>
      <w:r w:rsidRPr="007C4F71">
        <w:rPr>
          <w:rFonts w:ascii="Times New Roman" w:hAnsi="Times New Roman" w:cs="Times New Roman"/>
          <w:sz w:val="22"/>
        </w:rPr>
        <w:t>Data analysis was done in form of descriptive and inferential statistics.</w:t>
      </w:r>
    </w:p>
    <w:p w14:paraId="5CACB9B8" w14:textId="77777777" w:rsidR="00E32DF7" w:rsidRPr="007C4F71" w:rsidRDefault="00E32DF7" w:rsidP="0038366A">
      <w:pPr>
        <w:spacing w:line="240" w:lineRule="auto"/>
        <w:jc w:val="both"/>
        <w:rPr>
          <w:rFonts w:ascii="Times New Roman" w:hAnsi="Times New Roman" w:cs="Times New Roman"/>
          <w:sz w:val="22"/>
        </w:rPr>
      </w:pPr>
      <w:r w:rsidRPr="007C4F71">
        <w:rPr>
          <w:rFonts w:ascii="Times New Roman" w:hAnsi="Times New Roman" w:cs="Times New Roman"/>
          <w:sz w:val="22"/>
        </w:rPr>
        <w:t>The descriptive statistical tools adopted for this analysis were the means and standard deviations.</w:t>
      </w:r>
    </w:p>
    <w:p w14:paraId="695D9CE3" w14:textId="77777777" w:rsidR="00E32DF7" w:rsidRPr="007C4F71" w:rsidRDefault="00E32DF7" w:rsidP="0038366A">
      <w:pPr>
        <w:spacing w:line="240" w:lineRule="auto"/>
        <w:jc w:val="both"/>
        <w:rPr>
          <w:rFonts w:ascii="Times New Roman" w:hAnsi="Times New Roman" w:cs="Times New Roman"/>
          <w:sz w:val="22"/>
        </w:rPr>
      </w:pPr>
      <w:r w:rsidRPr="007C4F71">
        <w:rPr>
          <w:rFonts w:ascii="Times New Roman" w:hAnsi="Times New Roman" w:cs="Times New Roman"/>
          <w:sz w:val="22"/>
        </w:rPr>
        <w:t xml:space="preserve"> The inferential statistical tool applied were the analysis of variance (ANOVA) and T-test.</w:t>
      </w:r>
    </w:p>
    <w:p w14:paraId="47589086" w14:textId="77777777" w:rsidR="00E32DF7" w:rsidRPr="007C4F71" w:rsidRDefault="00E32DF7" w:rsidP="0038366A">
      <w:pPr>
        <w:spacing w:line="240" w:lineRule="auto"/>
        <w:jc w:val="both"/>
        <w:rPr>
          <w:rFonts w:ascii="Times New Roman" w:hAnsi="Times New Roman" w:cs="Times New Roman"/>
          <w:sz w:val="22"/>
        </w:rPr>
      </w:pPr>
      <w:r w:rsidRPr="007C4F71">
        <w:rPr>
          <w:rFonts w:ascii="Times New Roman" w:hAnsi="Times New Roman" w:cs="Times New Roman"/>
          <w:sz w:val="22"/>
        </w:rPr>
        <w:lastRenderedPageBreak/>
        <w:t>A post-hoc test was conducted using Tukey High Significant Difference method to separate pair of means that were significantly different.</w:t>
      </w:r>
    </w:p>
    <w:p w14:paraId="2BAD3946" w14:textId="77777777" w:rsidR="00AF5083" w:rsidRDefault="00E32DF7" w:rsidP="0038366A">
      <w:pPr>
        <w:spacing w:line="240" w:lineRule="auto"/>
        <w:jc w:val="both"/>
        <w:rPr>
          <w:rFonts w:ascii="Times New Roman" w:hAnsi="Times New Roman" w:cs="Times New Roman"/>
          <w:sz w:val="22"/>
        </w:rPr>
      </w:pPr>
      <w:r w:rsidRPr="007C4F71">
        <w:rPr>
          <w:rFonts w:ascii="Times New Roman" w:hAnsi="Times New Roman" w:cs="Times New Roman"/>
          <w:sz w:val="22"/>
        </w:rPr>
        <w:t>The results were then presented in the forms of tables</w:t>
      </w:r>
      <w:r w:rsidR="00AF5083" w:rsidRPr="007C4F71">
        <w:rPr>
          <w:rFonts w:ascii="Times New Roman" w:hAnsi="Times New Roman" w:cs="Times New Roman"/>
          <w:sz w:val="22"/>
        </w:rPr>
        <w:t>.</w:t>
      </w:r>
    </w:p>
    <w:p w14:paraId="1282A96A" w14:textId="77777777" w:rsidR="00D72828" w:rsidRPr="007C4F71" w:rsidRDefault="00D72828" w:rsidP="0038366A">
      <w:pPr>
        <w:spacing w:line="240" w:lineRule="auto"/>
        <w:jc w:val="both"/>
        <w:rPr>
          <w:rFonts w:ascii="Times New Roman" w:hAnsi="Times New Roman" w:cs="Times New Roman"/>
          <w:b/>
          <w:sz w:val="22"/>
        </w:rPr>
      </w:pPr>
    </w:p>
    <w:p w14:paraId="2F7B0F0B" w14:textId="77777777" w:rsidR="008E0C68" w:rsidRPr="007C4F71" w:rsidRDefault="00E32DF7" w:rsidP="0038366A">
      <w:pPr>
        <w:spacing w:line="240" w:lineRule="auto"/>
        <w:jc w:val="both"/>
        <w:rPr>
          <w:rFonts w:ascii="Times New Roman" w:hAnsi="Times New Roman" w:cs="Times New Roman"/>
          <w:b/>
          <w:sz w:val="22"/>
        </w:rPr>
      </w:pPr>
      <w:r w:rsidRPr="007C4F71">
        <w:rPr>
          <w:rFonts w:ascii="Times New Roman" w:hAnsi="Times New Roman" w:cs="Times New Roman"/>
          <w:sz w:val="22"/>
        </w:rPr>
        <w:t xml:space="preserve"> </w:t>
      </w:r>
      <w:r w:rsidR="00AF5083" w:rsidRPr="007C4F71">
        <w:rPr>
          <w:rFonts w:ascii="Times New Roman" w:hAnsi="Times New Roman" w:cs="Times New Roman"/>
          <w:b/>
          <w:sz w:val="22"/>
        </w:rPr>
        <w:t>RESULTS AND DISCUSSION</w:t>
      </w:r>
      <w:r w:rsidR="008E0C68" w:rsidRPr="007C4F71">
        <w:rPr>
          <w:rFonts w:ascii="Times New Roman" w:hAnsi="Times New Roman" w:cs="Times New Roman"/>
          <w:b/>
          <w:bCs/>
          <w:sz w:val="22"/>
        </w:rPr>
        <w:t xml:space="preserve"> </w:t>
      </w:r>
    </w:p>
    <w:p w14:paraId="1EFCDFF5" w14:textId="77777777" w:rsidR="00814EFA" w:rsidRPr="007C4F71" w:rsidRDefault="00814EFA" w:rsidP="0038366A">
      <w:pPr>
        <w:spacing w:line="240" w:lineRule="auto"/>
        <w:jc w:val="both"/>
        <w:rPr>
          <w:rFonts w:ascii="Times New Roman" w:hAnsi="Times New Roman" w:cs="Times New Roman"/>
          <w:b/>
          <w:sz w:val="22"/>
        </w:rPr>
      </w:pPr>
      <w:r w:rsidRPr="007C4F71">
        <w:rPr>
          <w:rFonts w:ascii="Times New Roman" w:hAnsi="Times New Roman" w:cs="Times New Roman"/>
          <w:b/>
          <w:bCs/>
          <w:sz w:val="22"/>
          <w:lang w:val="fr-FR"/>
        </w:rPr>
        <w:t xml:space="preserve">Table </w:t>
      </w:r>
      <w:proofErr w:type="gramStart"/>
      <w:r w:rsidR="00542578" w:rsidRPr="007C4F71">
        <w:rPr>
          <w:rFonts w:ascii="Times New Roman" w:hAnsi="Times New Roman" w:cs="Times New Roman"/>
          <w:b/>
          <w:bCs/>
          <w:sz w:val="22"/>
          <w:lang w:val="fr-FR"/>
        </w:rPr>
        <w:t>1</w:t>
      </w:r>
      <w:r w:rsidRPr="007C4F71">
        <w:rPr>
          <w:rFonts w:ascii="Times New Roman" w:hAnsi="Times New Roman" w:cs="Times New Roman"/>
          <w:b/>
          <w:bCs/>
          <w:sz w:val="22"/>
          <w:lang w:val="ru-RU"/>
        </w:rPr>
        <w:t>:</w:t>
      </w:r>
      <w:proofErr w:type="gramEnd"/>
      <w:r w:rsidRPr="007C4F71">
        <w:rPr>
          <w:rFonts w:ascii="Times New Roman" w:hAnsi="Times New Roman" w:cs="Times New Roman"/>
          <w:b/>
          <w:bCs/>
          <w:sz w:val="22"/>
          <w:lang w:val="ru-RU"/>
        </w:rPr>
        <w:t xml:space="preserve"> </w:t>
      </w:r>
      <w:r w:rsidRPr="007C4F71">
        <w:rPr>
          <w:rFonts w:ascii="Times New Roman" w:hAnsi="Times New Roman" w:cs="Times New Roman"/>
          <w:b/>
          <w:bCs/>
          <w:sz w:val="22"/>
        </w:rPr>
        <w:t xml:space="preserve">Mean TPH Concentration in Water and Sediment in Months of Study </w:t>
      </w:r>
    </w:p>
    <w:tbl>
      <w:tblPr>
        <w:tblW w:w="65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5"/>
        <w:gridCol w:w="2572"/>
        <w:gridCol w:w="2570"/>
      </w:tblGrid>
      <w:tr w:rsidR="00814EFA" w:rsidRPr="007C4F71" w14:paraId="01F6A86D" w14:textId="77777777" w:rsidTr="00EC1B94">
        <w:trPr>
          <w:trHeight w:val="300"/>
        </w:trPr>
        <w:tc>
          <w:tcPr>
            <w:tcW w:w="1405" w:type="dxa"/>
            <w:tcBorders>
              <w:top w:val="single" w:sz="4" w:space="0" w:color="000000"/>
              <w:left w:val="nil"/>
              <w:bottom w:val="single" w:sz="4" w:space="0" w:color="000000"/>
              <w:right w:val="nil"/>
            </w:tcBorders>
            <w:tcMar>
              <w:top w:w="80" w:type="dxa"/>
              <w:left w:w="80" w:type="dxa"/>
              <w:bottom w:w="80" w:type="dxa"/>
              <w:right w:w="80" w:type="dxa"/>
            </w:tcMar>
          </w:tcPr>
          <w:p w14:paraId="66286E01"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Month</w:t>
            </w:r>
          </w:p>
        </w:tc>
        <w:tc>
          <w:tcPr>
            <w:tcW w:w="2572" w:type="dxa"/>
            <w:tcBorders>
              <w:top w:val="single" w:sz="4" w:space="0" w:color="000000"/>
              <w:left w:val="nil"/>
              <w:bottom w:val="single" w:sz="4" w:space="0" w:color="000000"/>
              <w:right w:val="nil"/>
            </w:tcBorders>
            <w:tcMar>
              <w:top w:w="80" w:type="dxa"/>
              <w:left w:w="80" w:type="dxa"/>
              <w:bottom w:w="80" w:type="dxa"/>
              <w:right w:w="80" w:type="dxa"/>
            </w:tcMar>
          </w:tcPr>
          <w:p w14:paraId="3810F87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Sediment</w:t>
            </w:r>
          </w:p>
        </w:tc>
        <w:tc>
          <w:tcPr>
            <w:tcW w:w="2570" w:type="dxa"/>
            <w:tcBorders>
              <w:top w:val="single" w:sz="4" w:space="0" w:color="000000"/>
              <w:left w:val="nil"/>
              <w:bottom w:val="single" w:sz="4" w:space="0" w:color="000000"/>
              <w:right w:val="nil"/>
            </w:tcBorders>
            <w:tcMar>
              <w:top w:w="80" w:type="dxa"/>
              <w:left w:w="80" w:type="dxa"/>
              <w:bottom w:w="80" w:type="dxa"/>
              <w:right w:w="80" w:type="dxa"/>
            </w:tcMar>
          </w:tcPr>
          <w:p w14:paraId="7E1836A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Water</w:t>
            </w:r>
          </w:p>
        </w:tc>
      </w:tr>
      <w:tr w:rsidR="00814EFA" w:rsidRPr="007C4F71" w14:paraId="39B98054" w14:textId="77777777" w:rsidTr="00EC1B94">
        <w:trPr>
          <w:trHeight w:val="295"/>
        </w:trPr>
        <w:tc>
          <w:tcPr>
            <w:tcW w:w="1405" w:type="dxa"/>
            <w:tcBorders>
              <w:top w:val="single" w:sz="4" w:space="0" w:color="000000"/>
              <w:left w:val="nil"/>
              <w:bottom w:val="nil"/>
              <w:right w:val="nil"/>
            </w:tcBorders>
            <w:tcMar>
              <w:top w:w="80" w:type="dxa"/>
              <w:left w:w="80" w:type="dxa"/>
              <w:bottom w:w="80" w:type="dxa"/>
              <w:right w:w="80" w:type="dxa"/>
            </w:tcMar>
          </w:tcPr>
          <w:p w14:paraId="6EA810C5"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Nov</w:t>
            </w:r>
          </w:p>
        </w:tc>
        <w:tc>
          <w:tcPr>
            <w:tcW w:w="2572" w:type="dxa"/>
            <w:tcBorders>
              <w:top w:val="single" w:sz="4" w:space="0" w:color="000000"/>
              <w:left w:val="nil"/>
              <w:bottom w:val="nil"/>
              <w:right w:val="nil"/>
            </w:tcBorders>
            <w:tcMar>
              <w:top w:w="80" w:type="dxa"/>
              <w:left w:w="80" w:type="dxa"/>
              <w:bottom w:w="80" w:type="dxa"/>
              <w:right w:w="80" w:type="dxa"/>
            </w:tcMar>
          </w:tcPr>
          <w:p w14:paraId="40985818"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3.19±0.99</w:t>
            </w:r>
          </w:p>
        </w:tc>
        <w:tc>
          <w:tcPr>
            <w:tcW w:w="2570" w:type="dxa"/>
            <w:tcBorders>
              <w:top w:val="single" w:sz="4" w:space="0" w:color="000000"/>
              <w:left w:val="nil"/>
              <w:bottom w:val="nil"/>
              <w:right w:val="nil"/>
            </w:tcBorders>
            <w:tcMar>
              <w:top w:w="80" w:type="dxa"/>
              <w:left w:w="80" w:type="dxa"/>
              <w:bottom w:w="80" w:type="dxa"/>
              <w:right w:w="80" w:type="dxa"/>
            </w:tcMar>
          </w:tcPr>
          <w:p w14:paraId="2F786B4F"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0.0141±0.01</w:t>
            </w:r>
          </w:p>
        </w:tc>
      </w:tr>
      <w:tr w:rsidR="00814EFA" w:rsidRPr="007C4F71" w14:paraId="4E483C88" w14:textId="77777777" w:rsidTr="00EC1B94">
        <w:trPr>
          <w:trHeight w:val="290"/>
        </w:trPr>
        <w:tc>
          <w:tcPr>
            <w:tcW w:w="1405" w:type="dxa"/>
            <w:tcBorders>
              <w:top w:val="nil"/>
              <w:left w:val="nil"/>
              <w:bottom w:val="nil"/>
              <w:right w:val="nil"/>
            </w:tcBorders>
            <w:tcMar>
              <w:top w:w="80" w:type="dxa"/>
              <w:left w:w="80" w:type="dxa"/>
              <w:bottom w:w="80" w:type="dxa"/>
              <w:right w:w="80" w:type="dxa"/>
            </w:tcMar>
          </w:tcPr>
          <w:p w14:paraId="1C7CED0F"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Jan</w:t>
            </w:r>
          </w:p>
        </w:tc>
        <w:tc>
          <w:tcPr>
            <w:tcW w:w="2572" w:type="dxa"/>
            <w:tcBorders>
              <w:top w:val="nil"/>
              <w:left w:val="nil"/>
              <w:bottom w:val="nil"/>
              <w:right w:val="nil"/>
            </w:tcBorders>
            <w:tcMar>
              <w:top w:w="80" w:type="dxa"/>
              <w:left w:w="80" w:type="dxa"/>
              <w:bottom w:w="80" w:type="dxa"/>
              <w:right w:w="80" w:type="dxa"/>
            </w:tcMar>
          </w:tcPr>
          <w:p w14:paraId="7F9F2A6B"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8.89±6.09</w:t>
            </w:r>
          </w:p>
        </w:tc>
        <w:tc>
          <w:tcPr>
            <w:tcW w:w="2570" w:type="dxa"/>
            <w:tcBorders>
              <w:top w:val="nil"/>
              <w:left w:val="nil"/>
              <w:bottom w:val="nil"/>
              <w:right w:val="nil"/>
            </w:tcBorders>
            <w:tcMar>
              <w:top w:w="80" w:type="dxa"/>
              <w:left w:w="80" w:type="dxa"/>
              <w:bottom w:w="80" w:type="dxa"/>
              <w:right w:w="80" w:type="dxa"/>
            </w:tcMar>
          </w:tcPr>
          <w:p w14:paraId="182B402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0.0096±0.00</w:t>
            </w:r>
          </w:p>
        </w:tc>
      </w:tr>
      <w:tr w:rsidR="00814EFA" w:rsidRPr="007C4F71" w14:paraId="1ECB18C6" w14:textId="77777777" w:rsidTr="00EC1B94">
        <w:trPr>
          <w:trHeight w:val="290"/>
        </w:trPr>
        <w:tc>
          <w:tcPr>
            <w:tcW w:w="1405" w:type="dxa"/>
            <w:tcBorders>
              <w:top w:val="nil"/>
              <w:left w:val="nil"/>
              <w:bottom w:val="nil"/>
              <w:right w:val="nil"/>
            </w:tcBorders>
            <w:tcMar>
              <w:top w:w="80" w:type="dxa"/>
              <w:left w:w="80" w:type="dxa"/>
              <w:bottom w:w="80" w:type="dxa"/>
              <w:right w:w="80" w:type="dxa"/>
            </w:tcMar>
          </w:tcPr>
          <w:p w14:paraId="444701A0"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March</w:t>
            </w:r>
          </w:p>
        </w:tc>
        <w:tc>
          <w:tcPr>
            <w:tcW w:w="2572" w:type="dxa"/>
            <w:tcBorders>
              <w:top w:val="nil"/>
              <w:left w:val="nil"/>
              <w:bottom w:val="nil"/>
              <w:right w:val="nil"/>
            </w:tcBorders>
            <w:tcMar>
              <w:top w:w="80" w:type="dxa"/>
              <w:left w:w="80" w:type="dxa"/>
              <w:bottom w:w="80" w:type="dxa"/>
              <w:right w:w="80" w:type="dxa"/>
            </w:tcMar>
          </w:tcPr>
          <w:p w14:paraId="73163741"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3.31±0.39</w:t>
            </w:r>
          </w:p>
        </w:tc>
        <w:tc>
          <w:tcPr>
            <w:tcW w:w="2570" w:type="dxa"/>
            <w:tcBorders>
              <w:top w:val="nil"/>
              <w:left w:val="nil"/>
              <w:bottom w:val="nil"/>
              <w:right w:val="nil"/>
            </w:tcBorders>
            <w:tcMar>
              <w:top w:w="80" w:type="dxa"/>
              <w:left w:w="80" w:type="dxa"/>
              <w:bottom w:w="80" w:type="dxa"/>
              <w:right w:w="80" w:type="dxa"/>
            </w:tcMar>
          </w:tcPr>
          <w:p w14:paraId="3652BA8A"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0.0074±0.01</w:t>
            </w:r>
          </w:p>
        </w:tc>
      </w:tr>
      <w:tr w:rsidR="00814EFA" w:rsidRPr="007C4F71" w14:paraId="252D1BF4" w14:textId="77777777" w:rsidTr="00EC1B94">
        <w:trPr>
          <w:trHeight w:val="290"/>
        </w:trPr>
        <w:tc>
          <w:tcPr>
            <w:tcW w:w="1405" w:type="dxa"/>
            <w:tcBorders>
              <w:top w:val="nil"/>
              <w:left w:val="nil"/>
              <w:bottom w:val="nil"/>
              <w:right w:val="nil"/>
            </w:tcBorders>
            <w:tcMar>
              <w:top w:w="80" w:type="dxa"/>
              <w:left w:w="80" w:type="dxa"/>
              <w:bottom w:w="80" w:type="dxa"/>
              <w:right w:w="80" w:type="dxa"/>
            </w:tcMar>
          </w:tcPr>
          <w:p w14:paraId="70823932"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May</w:t>
            </w:r>
          </w:p>
        </w:tc>
        <w:tc>
          <w:tcPr>
            <w:tcW w:w="2572" w:type="dxa"/>
            <w:tcBorders>
              <w:top w:val="nil"/>
              <w:left w:val="nil"/>
              <w:bottom w:val="nil"/>
              <w:right w:val="nil"/>
            </w:tcBorders>
            <w:tcMar>
              <w:top w:w="80" w:type="dxa"/>
              <w:left w:w="80" w:type="dxa"/>
              <w:bottom w:w="80" w:type="dxa"/>
              <w:right w:w="80" w:type="dxa"/>
            </w:tcMar>
          </w:tcPr>
          <w:p w14:paraId="4ED92820"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1.4685±0.79</w:t>
            </w:r>
          </w:p>
        </w:tc>
        <w:tc>
          <w:tcPr>
            <w:tcW w:w="2570" w:type="dxa"/>
            <w:tcBorders>
              <w:top w:val="nil"/>
              <w:left w:val="nil"/>
              <w:bottom w:val="nil"/>
              <w:right w:val="nil"/>
            </w:tcBorders>
            <w:tcMar>
              <w:top w:w="80" w:type="dxa"/>
              <w:left w:w="80" w:type="dxa"/>
              <w:bottom w:w="80" w:type="dxa"/>
              <w:right w:w="80" w:type="dxa"/>
            </w:tcMar>
          </w:tcPr>
          <w:p w14:paraId="7BE5424A"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0.0108±0.00</w:t>
            </w:r>
          </w:p>
        </w:tc>
      </w:tr>
      <w:tr w:rsidR="00814EFA" w:rsidRPr="007C4F71" w14:paraId="1AD9183E" w14:textId="77777777" w:rsidTr="00EC1B94">
        <w:trPr>
          <w:trHeight w:val="290"/>
        </w:trPr>
        <w:tc>
          <w:tcPr>
            <w:tcW w:w="1405" w:type="dxa"/>
            <w:tcBorders>
              <w:top w:val="nil"/>
              <w:left w:val="nil"/>
              <w:bottom w:val="nil"/>
              <w:right w:val="nil"/>
            </w:tcBorders>
            <w:tcMar>
              <w:top w:w="80" w:type="dxa"/>
              <w:left w:w="80" w:type="dxa"/>
              <w:bottom w:w="80" w:type="dxa"/>
              <w:right w:w="80" w:type="dxa"/>
            </w:tcMar>
          </w:tcPr>
          <w:p w14:paraId="4E9617E9"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July</w:t>
            </w:r>
          </w:p>
        </w:tc>
        <w:tc>
          <w:tcPr>
            <w:tcW w:w="2572" w:type="dxa"/>
            <w:tcBorders>
              <w:top w:val="nil"/>
              <w:left w:val="nil"/>
              <w:bottom w:val="nil"/>
              <w:right w:val="nil"/>
            </w:tcBorders>
            <w:tcMar>
              <w:top w:w="80" w:type="dxa"/>
              <w:left w:w="80" w:type="dxa"/>
              <w:bottom w:w="80" w:type="dxa"/>
              <w:right w:w="80" w:type="dxa"/>
            </w:tcMar>
          </w:tcPr>
          <w:p w14:paraId="6F202F4A"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0.5765±0.48</w:t>
            </w:r>
          </w:p>
        </w:tc>
        <w:tc>
          <w:tcPr>
            <w:tcW w:w="2570" w:type="dxa"/>
            <w:tcBorders>
              <w:top w:val="nil"/>
              <w:left w:val="nil"/>
              <w:bottom w:val="nil"/>
              <w:right w:val="nil"/>
            </w:tcBorders>
            <w:tcMar>
              <w:top w:w="80" w:type="dxa"/>
              <w:left w:w="80" w:type="dxa"/>
              <w:bottom w:w="80" w:type="dxa"/>
              <w:right w:w="80" w:type="dxa"/>
            </w:tcMar>
          </w:tcPr>
          <w:p w14:paraId="40C32E6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0.0093±0.00</w:t>
            </w:r>
          </w:p>
        </w:tc>
      </w:tr>
      <w:tr w:rsidR="00814EFA" w:rsidRPr="007C4F71" w14:paraId="43B21377" w14:textId="77777777" w:rsidTr="00EC1B94">
        <w:trPr>
          <w:trHeight w:val="295"/>
        </w:trPr>
        <w:tc>
          <w:tcPr>
            <w:tcW w:w="1405" w:type="dxa"/>
            <w:tcBorders>
              <w:top w:val="nil"/>
              <w:left w:val="nil"/>
              <w:bottom w:val="single" w:sz="4" w:space="0" w:color="000000"/>
              <w:right w:val="nil"/>
            </w:tcBorders>
            <w:tcMar>
              <w:top w:w="80" w:type="dxa"/>
              <w:left w:w="80" w:type="dxa"/>
              <w:bottom w:w="80" w:type="dxa"/>
              <w:right w:w="80" w:type="dxa"/>
            </w:tcMar>
          </w:tcPr>
          <w:p w14:paraId="1583B3A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Sept</w:t>
            </w:r>
          </w:p>
        </w:tc>
        <w:tc>
          <w:tcPr>
            <w:tcW w:w="2572" w:type="dxa"/>
            <w:tcBorders>
              <w:top w:val="nil"/>
              <w:left w:val="nil"/>
              <w:bottom w:val="single" w:sz="4" w:space="0" w:color="000000"/>
              <w:right w:val="nil"/>
            </w:tcBorders>
            <w:tcMar>
              <w:top w:w="80" w:type="dxa"/>
              <w:left w:w="80" w:type="dxa"/>
              <w:bottom w:w="80" w:type="dxa"/>
              <w:right w:w="80" w:type="dxa"/>
            </w:tcMar>
          </w:tcPr>
          <w:p w14:paraId="7890D3A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2.67±0.17</w:t>
            </w:r>
          </w:p>
        </w:tc>
        <w:tc>
          <w:tcPr>
            <w:tcW w:w="2570" w:type="dxa"/>
            <w:tcBorders>
              <w:top w:val="nil"/>
              <w:left w:val="nil"/>
              <w:bottom w:val="single" w:sz="4" w:space="0" w:color="000000"/>
              <w:right w:val="nil"/>
            </w:tcBorders>
            <w:tcMar>
              <w:top w:w="80" w:type="dxa"/>
              <w:left w:w="80" w:type="dxa"/>
              <w:bottom w:w="80" w:type="dxa"/>
              <w:right w:w="80" w:type="dxa"/>
            </w:tcMar>
          </w:tcPr>
          <w:p w14:paraId="6715A04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0.0191±0.01</w:t>
            </w:r>
          </w:p>
        </w:tc>
      </w:tr>
    </w:tbl>
    <w:p w14:paraId="21A19001" w14:textId="77777777" w:rsidR="00814EFA" w:rsidRPr="007C4F71" w:rsidRDefault="00814EFA" w:rsidP="0038366A">
      <w:pPr>
        <w:pStyle w:val="Body"/>
        <w:widowControl w:val="0"/>
        <w:jc w:val="both"/>
        <w:rPr>
          <w:rFonts w:ascii="Times New Roman" w:eastAsia="Times New Roman" w:hAnsi="Times New Roman" w:cs="Times New Roman"/>
          <w:b/>
          <w:bCs/>
          <w:szCs w:val="24"/>
        </w:rPr>
      </w:pPr>
    </w:p>
    <w:p w14:paraId="4E1E2CB0" w14:textId="77777777" w:rsidR="00814EFA" w:rsidRPr="007C4F71" w:rsidRDefault="00542578" w:rsidP="0038366A">
      <w:pPr>
        <w:pStyle w:val="Body"/>
        <w:jc w:val="both"/>
        <w:rPr>
          <w:rFonts w:ascii="Times New Roman" w:hAnsi="Times New Roman" w:cs="Times New Roman"/>
          <w:sz w:val="20"/>
        </w:rPr>
      </w:pPr>
      <w:r w:rsidRPr="007C4F71">
        <w:rPr>
          <w:rFonts w:ascii="Times New Roman" w:hAnsi="Times New Roman" w:cs="Times New Roman"/>
          <w:b/>
          <w:bCs/>
          <w:szCs w:val="24"/>
        </w:rPr>
        <w:t>Table 2</w:t>
      </w:r>
      <w:r w:rsidR="00814EFA" w:rsidRPr="007C4F71">
        <w:rPr>
          <w:rFonts w:ascii="Times New Roman" w:hAnsi="Times New Roman" w:cs="Times New Roman"/>
          <w:b/>
          <w:bCs/>
          <w:szCs w:val="24"/>
        </w:rPr>
        <w:t xml:space="preserve">a: ANOVA and Mean Separation of TPH levels in the </w:t>
      </w:r>
      <w:r w:rsidR="00814EFA" w:rsidRPr="007C4F71">
        <w:rPr>
          <w:rFonts w:ascii="Times New Roman" w:hAnsi="Times New Roman" w:cs="Times New Roman"/>
          <w:b/>
          <w:bCs/>
          <w:color w:val="auto"/>
          <w:szCs w:val="24"/>
        </w:rPr>
        <w:t xml:space="preserve">Water and Sediment </w:t>
      </w:r>
      <w:r w:rsidR="00814EFA" w:rsidRPr="007C4F71">
        <w:rPr>
          <w:rFonts w:ascii="Times New Roman" w:hAnsi="Times New Roman" w:cs="Times New Roman"/>
          <w:b/>
          <w:bCs/>
          <w:szCs w:val="24"/>
        </w:rPr>
        <w:t>Samples for Dry Season</w:t>
      </w:r>
    </w:p>
    <w:p w14:paraId="76A529DC" w14:textId="77777777" w:rsidR="00814EFA" w:rsidRPr="007C4F71" w:rsidRDefault="00814EFA" w:rsidP="0038366A">
      <w:pPr>
        <w:pStyle w:val="Body"/>
        <w:jc w:val="both"/>
        <w:rPr>
          <w:rFonts w:ascii="Times New Roman" w:eastAsia="Times New Roman" w:hAnsi="Times New Roman" w:cs="Times New Roman"/>
          <w:szCs w:val="24"/>
        </w:rPr>
      </w:pPr>
    </w:p>
    <w:tbl>
      <w:tblPr>
        <w:tblW w:w="90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20"/>
        <w:gridCol w:w="3405"/>
        <w:gridCol w:w="2647"/>
      </w:tblGrid>
      <w:tr w:rsidR="00814EFA" w:rsidRPr="007C4F71" w14:paraId="0A98ED89" w14:textId="77777777" w:rsidTr="00EC1B94">
        <w:trPr>
          <w:trHeight w:val="310"/>
        </w:trPr>
        <w:tc>
          <w:tcPr>
            <w:tcW w:w="3020" w:type="dxa"/>
            <w:tcBorders>
              <w:top w:val="single" w:sz="8" w:space="0" w:color="000000"/>
              <w:left w:val="nil"/>
              <w:bottom w:val="single" w:sz="8" w:space="0" w:color="000000"/>
              <w:right w:val="nil"/>
            </w:tcBorders>
            <w:tcMar>
              <w:top w:w="80" w:type="dxa"/>
              <w:left w:w="80" w:type="dxa"/>
              <w:bottom w:w="80" w:type="dxa"/>
              <w:right w:w="80" w:type="dxa"/>
            </w:tcMar>
          </w:tcPr>
          <w:p w14:paraId="3943D987"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Month</w:t>
            </w:r>
          </w:p>
        </w:tc>
        <w:tc>
          <w:tcPr>
            <w:tcW w:w="3405" w:type="dxa"/>
            <w:tcBorders>
              <w:top w:val="single" w:sz="8" w:space="0" w:color="000000"/>
              <w:left w:val="nil"/>
              <w:bottom w:val="single" w:sz="8" w:space="0" w:color="000000"/>
              <w:right w:val="nil"/>
            </w:tcBorders>
            <w:tcMar>
              <w:top w:w="80" w:type="dxa"/>
              <w:left w:w="80" w:type="dxa"/>
              <w:bottom w:w="80" w:type="dxa"/>
              <w:right w:w="80" w:type="dxa"/>
            </w:tcMar>
          </w:tcPr>
          <w:p w14:paraId="7AFCEC9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Sediment</w:t>
            </w:r>
          </w:p>
        </w:tc>
        <w:tc>
          <w:tcPr>
            <w:tcW w:w="2647" w:type="dxa"/>
            <w:tcBorders>
              <w:top w:val="single" w:sz="8" w:space="0" w:color="000000"/>
              <w:left w:val="nil"/>
              <w:bottom w:val="single" w:sz="8" w:space="0" w:color="000000"/>
              <w:right w:val="nil"/>
            </w:tcBorders>
            <w:tcMar>
              <w:top w:w="80" w:type="dxa"/>
              <w:left w:w="80" w:type="dxa"/>
              <w:bottom w:w="80" w:type="dxa"/>
              <w:right w:w="80" w:type="dxa"/>
            </w:tcMar>
          </w:tcPr>
          <w:p w14:paraId="540CD01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Water</w:t>
            </w:r>
          </w:p>
        </w:tc>
      </w:tr>
      <w:tr w:rsidR="00814EFA" w:rsidRPr="007C4F71" w14:paraId="2324339E" w14:textId="77777777" w:rsidTr="00EC1B94">
        <w:trPr>
          <w:trHeight w:val="310"/>
        </w:trPr>
        <w:tc>
          <w:tcPr>
            <w:tcW w:w="3020" w:type="dxa"/>
            <w:tcBorders>
              <w:top w:val="single" w:sz="8" w:space="0" w:color="000000"/>
              <w:left w:val="nil"/>
              <w:bottom w:val="nil"/>
              <w:right w:val="nil"/>
            </w:tcBorders>
            <w:tcMar>
              <w:top w:w="80" w:type="dxa"/>
              <w:left w:w="80" w:type="dxa"/>
              <w:bottom w:w="80" w:type="dxa"/>
              <w:right w:w="80" w:type="dxa"/>
            </w:tcMar>
          </w:tcPr>
          <w:p w14:paraId="27DD640F"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Nov</w:t>
            </w:r>
          </w:p>
        </w:tc>
        <w:tc>
          <w:tcPr>
            <w:tcW w:w="3405" w:type="dxa"/>
            <w:tcBorders>
              <w:top w:val="single" w:sz="8" w:space="0" w:color="000000"/>
              <w:left w:val="nil"/>
              <w:bottom w:val="nil"/>
              <w:right w:val="nil"/>
            </w:tcBorders>
            <w:tcMar>
              <w:top w:w="80" w:type="dxa"/>
              <w:left w:w="80" w:type="dxa"/>
              <w:bottom w:w="80" w:type="dxa"/>
              <w:right w:w="80" w:type="dxa"/>
            </w:tcMar>
          </w:tcPr>
          <w:p w14:paraId="73544B45"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3.190</w:t>
            </w:r>
            <w:r w:rsidRPr="007C4F71">
              <w:rPr>
                <w:rFonts w:ascii="Times New Roman" w:hAnsi="Times New Roman" w:cs="Times New Roman"/>
                <w:szCs w:val="24"/>
                <w:vertAlign w:val="superscript"/>
              </w:rPr>
              <w:t>a</w:t>
            </w:r>
          </w:p>
        </w:tc>
        <w:tc>
          <w:tcPr>
            <w:tcW w:w="2647" w:type="dxa"/>
            <w:tcBorders>
              <w:top w:val="single" w:sz="8" w:space="0" w:color="000000"/>
              <w:left w:val="nil"/>
              <w:bottom w:val="nil"/>
              <w:right w:val="nil"/>
            </w:tcBorders>
            <w:tcMar>
              <w:top w:w="80" w:type="dxa"/>
              <w:left w:w="80" w:type="dxa"/>
              <w:bottom w:w="80" w:type="dxa"/>
              <w:right w:w="80" w:type="dxa"/>
            </w:tcMar>
          </w:tcPr>
          <w:p w14:paraId="03D87C46" w14:textId="77777777" w:rsidR="00814EFA" w:rsidRPr="007C4F71" w:rsidRDefault="00814EFA" w:rsidP="0038366A">
            <w:pPr>
              <w:pStyle w:val="Body"/>
              <w:jc w:val="both"/>
              <w:rPr>
                <w:rFonts w:ascii="Times New Roman" w:hAnsi="Times New Roman" w:cs="Times New Roman"/>
                <w:sz w:val="20"/>
              </w:rPr>
            </w:pPr>
            <w:r w:rsidRPr="007C4F71">
              <w:rPr>
                <w:rFonts w:ascii="Times New Roman" w:eastAsia="Calibri" w:hAnsi="Times New Roman" w:cs="Times New Roman"/>
                <w:szCs w:val="24"/>
              </w:rPr>
              <w:t>0.0141</w:t>
            </w:r>
            <w:r w:rsidRPr="007C4F71">
              <w:rPr>
                <w:rFonts w:ascii="Times New Roman" w:eastAsia="Calibri" w:hAnsi="Times New Roman" w:cs="Times New Roman"/>
                <w:szCs w:val="24"/>
                <w:vertAlign w:val="superscript"/>
              </w:rPr>
              <w:t xml:space="preserve"> a</w:t>
            </w:r>
          </w:p>
        </w:tc>
      </w:tr>
      <w:tr w:rsidR="00814EFA" w:rsidRPr="007C4F71" w14:paraId="00830E5A" w14:textId="77777777" w:rsidTr="00EC1B94">
        <w:trPr>
          <w:trHeight w:val="310"/>
        </w:trPr>
        <w:tc>
          <w:tcPr>
            <w:tcW w:w="3020" w:type="dxa"/>
            <w:tcBorders>
              <w:top w:val="nil"/>
              <w:left w:val="nil"/>
              <w:bottom w:val="nil"/>
              <w:right w:val="nil"/>
            </w:tcBorders>
            <w:tcMar>
              <w:top w:w="80" w:type="dxa"/>
              <w:left w:w="80" w:type="dxa"/>
              <w:bottom w:w="80" w:type="dxa"/>
              <w:right w:w="80" w:type="dxa"/>
            </w:tcMar>
          </w:tcPr>
          <w:p w14:paraId="3EDCF1FD"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Jan</w:t>
            </w:r>
          </w:p>
        </w:tc>
        <w:tc>
          <w:tcPr>
            <w:tcW w:w="3405" w:type="dxa"/>
            <w:tcBorders>
              <w:top w:val="nil"/>
              <w:left w:val="nil"/>
              <w:bottom w:val="nil"/>
              <w:right w:val="nil"/>
            </w:tcBorders>
            <w:tcMar>
              <w:top w:w="80" w:type="dxa"/>
              <w:left w:w="80" w:type="dxa"/>
              <w:bottom w:w="80" w:type="dxa"/>
              <w:right w:w="80" w:type="dxa"/>
            </w:tcMar>
          </w:tcPr>
          <w:p w14:paraId="3D3C5C97"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8.890</w:t>
            </w:r>
            <w:r w:rsidRPr="007C4F71">
              <w:rPr>
                <w:rFonts w:ascii="Times New Roman" w:hAnsi="Times New Roman" w:cs="Times New Roman"/>
                <w:szCs w:val="24"/>
                <w:vertAlign w:val="superscript"/>
              </w:rPr>
              <w:t>a</w:t>
            </w:r>
          </w:p>
        </w:tc>
        <w:tc>
          <w:tcPr>
            <w:tcW w:w="2647" w:type="dxa"/>
            <w:tcBorders>
              <w:top w:val="nil"/>
              <w:left w:val="nil"/>
              <w:bottom w:val="nil"/>
              <w:right w:val="nil"/>
            </w:tcBorders>
            <w:tcMar>
              <w:top w:w="80" w:type="dxa"/>
              <w:left w:w="80" w:type="dxa"/>
              <w:bottom w:w="80" w:type="dxa"/>
              <w:right w:w="80" w:type="dxa"/>
            </w:tcMar>
          </w:tcPr>
          <w:p w14:paraId="4FB8D2FD" w14:textId="77777777" w:rsidR="00814EFA" w:rsidRPr="007C4F71" w:rsidRDefault="00814EFA" w:rsidP="0038366A">
            <w:pPr>
              <w:pStyle w:val="Body"/>
              <w:jc w:val="both"/>
              <w:rPr>
                <w:rFonts w:ascii="Times New Roman" w:hAnsi="Times New Roman" w:cs="Times New Roman"/>
                <w:sz w:val="20"/>
              </w:rPr>
            </w:pPr>
            <w:r w:rsidRPr="007C4F71">
              <w:rPr>
                <w:rFonts w:ascii="Times New Roman" w:eastAsia="Calibri" w:hAnsi="Times New Roman" w:cs="Times New Roman"/>
                <w:szCs w:val="24"/>
              </w:rPr>
              <w:t>0.0096</w:t>
            </w:r>
            <w:r w:rsidRPr="007C4F71">
              <w:rPr>
                <w:rFonts w:ascii="Times New Roman" w:eastAsia="Calibri" w:hAnsi="Times New Roman" w:cs="Times New Roman"/>
                <w:szCs w:val="24"/>
                <w:vertAlign w:val="superscript"/>
              </w:rPr>
              <w:t xml:space="preserve"> a</w:t>
            </w:r>
          </w:p>
        </w:tc>
      </w:tr>
      <w:tr w:rsidR="00814EFA" w:rsidRPr="007C4F71" w14:paraId="14994FB1" w14:textId="77777777" w:rsidTr="00EC1B94">
        <w:trPr>
          <w:trHeight w:val="310"/>
        </w:trPr>
        <w:tc>
          <w:tcPr>
            <w:tcW w:w="3020" w:type="dxa"/>
            <w:tcBorders>
              <w:top w:val="nil"/>
              <w:left w:val="nil"/>
              <w:bottom w:val="nil"/>
              <w:right w:val="nil"/>
            </w:tcBorders>
            <w:tcMar>
              <w:top w:w="80" w:type="dxa"/>
              <w:left w:w="80" w:type="dxa"/>
              <w:bottom w:w="80" w:type="dxa"/>
              <w:right w:w="80" w:type="dxa"/>
            </w:tcMar>
          </w:tcPr>
          <w:p w14:paraId="3ECA4F6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March</w:t>
            </w:r>
          </w:p>
        </w:tc>
        <w:tc>
          <w:tcPr>
            <w:tcW w:w="3405" w:type="dxa"/>
            <w:tcBorders>
              <w:top w:val="nil"/>
              <w:left w:val="nil"/>
              <w:bottom w:val="nil"/>
              <w:right w:val="nil"/>
            </w:tcBorders>
            <w:tcMar>
              <w:top w:w="80" w:type="dxa"/>
              <w:left w:w="80" w:type="dxa"/>
              <w:bottom w:w="80" w:type="dxa"/>
              <w:right w:w="80" w:type="dxa"/>
            </w:tcMar>
          </w:tcPr>
          <w:p w14:paraId="725467BF"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3.310</w:t>
            </w:r>
            <w:r w:rsidRPr="007C4F71">
              <w:rPr>
                <w:rFonts w:ascii="Times New Roman" w:hAnsi="Times New Roman" w:cs="Times New Roman"/>
                <w:szCs w:val="24"/>
                <w:vertAlign w:val="superscript"/>
              </w:rPr>
              <w:t>a</w:t>
            </w:r>
          </w:p>
        </w:tc>
        <w:tc>
          <w:tcPr>
            <w:tcW w:w="2647" w:type="dxa"/>
            <w:tcBorders>
              <w:top w:val="nil"/>
              <w:left w:val="nil"/>
              <w:bottom w:val="nil"/>
              <w:right w:val="nil"/>
            </w:tcBorders>
            <w:tcMar>
              <w:top w:w="80" w:type="dxa"/>
              <w:left w:w="80" w:type="dxa"/>
              <w:bottom w:w="80" w:type="dxa"/>
              <w:right w:w="80" w:type="dxa"/>
            </w:tcMar>
          </w:tcPr>
          <w:p w14:paraId="2B1D0D70" w14:textId="77777777" w:rsidR="00814EFA" w:rsidRPr="007C4F71" w:rsidRDefault="00814EFA" w:rsidP="0038366A">
            <w:pPr>
              <w:pStyle w:val="Body"/>
              <w:jc w:val="both"/>
              <w:rPr>
                <w:rFonts w:ascii="Times New Roman" w:hAnsi="Times New Roman" w:cs="Times New Roman"/>
                <w:sz w:val="20"/>
              </w:rPr>
            </w:pPr>
            <w:r w:rsidRPr="007C4F71">
              <w:rPr>
                <w:rFonts w:ascii="Times New Roman" w:eastAsia="Calibri" w:hAnsi="Times New Roman" w:cs="Times New Roman"/>
                <w:szCs w:val="24"/>
              </w:rPr>
              <w:t>0.0074</w:t>
            </w:r>
            <w:r w:rsidRPr="007C4F71">
              <w:rPr>
                <w:rFonts w:ascii="Times New Roman" w:eastAsia="Calibri" w:hAnsi="Times New Roman" w:cs="Times New Roman"/>
                <w:szCs w:val="24"/>
                <w:vertAlign w:val="superscript"/>
              </w:rPr>
              <w:t xml:space="preserve"> a</w:t>
            </w:r>
          </w:p>
        </w:tc>
      </w:tr>
      <w:tr w:rsidR="00814EFA" w:rsidRPr="007C4F71" w14:paraId="6A766C9C" w14:textId="77777777" w:rsidTr="00EC1B94">
        <w:trPr>
          <w:trHeight w:val="310"/>
        </w:trPr>
        <w:tc>
          <w:tcPr>
            <w:tcW w:w="3020" w:type="dxa"/>
            <w:tcBorders>
              <w:top w:val="nil"/>
              <w:left w:val="nil"/>
              <w:bottom w:val="single" w:sz="8" w:space="0" w:color="000000"/>
              <w:right w:val="nil"/>
            </w:tcBorders>
            <w:tcMar>
              <w:top w:w="80" w:type="dxa"/>
              <w:left w:w="80" w:type="dxa"/>
              <w:bottom w:w="80" w:type="dxa"/>
              <w:right w:w="80" w:type="dxa"/>
            </w:tcMar>
          </w:tcPr>
          <w:p w14:paraId="5892F02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P-value</w:t>
            </w:r>
          </w:p>
        </w:tc>
        <w:tc>
          <w:tcPr>
            <w:tcW w:w="3405" w:type="dxa"/>
            <w:tcBorders>
              <w:top w:val="nil"/>
              <w:left w:val="nil"/>
              <w:bottom w:val="single" w:sz="8" w:space="0" w:color="000000"/>
              <w:right w:val="nil"/>
            </w:tcBorders>
            <w:tcMar>
              <w:top w:w="80" w:type="dxa"/>
              <w:left w:w="80" w:type="dxa"/>
              <w:bottom w:w="80" w:type="dxa"/>
              <w:right w:w="80" w:type="dxa"/>
            </w:tcMar>
          </w:tcPr>
          <w:p w14:paraId="1813BA2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0.33</w:t>
            </w:r>
          </w:p>
        </w:tc>
        <w:tc>
          <w:tcPr>
            <w:tcW w:w="2647" w:type="dxa"/>
            <w:tcBorders>
              <w:top w:val="nil"/>
              <w:left w:val="nil"/>
              <w:bottom w:val="single" w:sz="4" w:space="0" w:color="auto"/>
              <w:right w:val="nil"/>
            </w:tcBorders>
            <w:tcMar>
              <w:top w:w="80" w:type="dxa"/>
              <w:left w:w="80" w:type="dxa"/>
              <w:bottom w:w="80" w:type="dxa"/>
              <w:right w:w="80" w:type="dxa"/>
            </w:tcMar>
          </w:tcPr>
          <w:p w14:paraId="47D8FD33" w14:textId="77777777" w:rsidR="00814EFA" w:rsidRPr="007C4F71" w:rsidRDefault="00814EFA" w:rsidP="0038366A">
            <w:pPr>
              <w:pStyle w:val="Body"/>
              <w:jc w:val="both"/>
              <w:rPr>
                <w:rFonts w:ascii="Times New Roman" w:hAnsi="Times New Roman" w:cs="Times New Roman"/>
                <w:sz w:val="20"/>
              </w:rPr>
            </w:pPr>
            <w:r w:rsidRPr="007C4F71">
              <w:rPr>
                <w:rFonts w:ascii="Times New Roman" w:eastAsia="Calibri" w:hAnsi="Times New Roman" w:cs="Times New Roman"/>
                <w:szCs w:val="24"/>
              </w:rPr>
              <w:t>0.451</w:t>
            </w:r>
          </w:p>
        </w:tc>
      </w:tr>
    </w:tbl>
    <w:p w14:paraId="5C3189C4" w14:textId="77777777" w:rsidR="00814EFA" w:rsidRPr="007C4F71" w:rsidRDefault="00814EFA" w:rsidP="0038366A">
      <w:pPr>
        <w:pStyle w:val="Body"/>
        <w:widowControl w:val="0"/>
        <w:jc w:val="both"/>
        <w:rPr>
          <w:rFonts w:ascii="Times New Roman" w:eastAsia="Times New Roman" w:hAnsi="Times New Roman" w:cs="Times New Roman"/>
          <w:szCs w:val="24"/>
        </w:rPr>
      </w:pPr>
      <w:r w:rsidRPr="007C4F71">
        <w:rPr>
          <w:rFonts w:ascii="Times New Roman" w:hAnsi="Times New Roman" w:cs="Times New Roman"/>
          <w:szCs w:val="24"/>
        </w:rPr>
        <w:t>*Pair of mean with dissimilar superscript is significantly different across the column</w:t>
      </w:r>
    </w:p>
    <w:p w14:paraId="737F1006" w14:textId="77777777" w:rsidR="00814EFA" w:rsidRPr="007C4F71" w:rsidRDefault="00814EFA" w:rsidP="0038366A">
      <w:pPr>
        <w:pStyle w:val="Body"/>
        <w:jc w:val="both"/>
        <w:rPr>
          <w:rFonts w:ascii="Times New Roman" w:eastAsia="Times New Roman" w:hAnsi="Times New Roman" w:cs="Times New Roman"/>
          <w:szCs w:val="24"/>
        </w:rPr>
      </w:pPr>
    </w:p>
    <w:p w14:paraId="6C969EA1" w14:textId="77777777" w:rsidR="00814EFA" w:rsidRPr="007C4F71" w:rsidRDefault="00814EFA" w:rsidP="0038366A">
      <w:pPr>
        <w:pStyle w:val="Body"/>
        <w:jc w:val="both"/>
        <w:rPr>
          <w:rFonts w:ascii="Times New Roman" w:eastAsia="Times New Roman" w:hAnsi="Times New Roman" w:cs="Times New Roman"/>
          <w:szCs w:val="24"/>
        </w:rPr>
      </w:pPr>
    </w:p>
    <w:p w14:paraId="6950686B" w14:textId="77777777" w:rsidR="00814EFA" w:rsidRPr="007C4F71" w:rsidRDefault="00542578" w:rsidP="0038366A">
      <w:pPr>
        <w:pStyle w:val="Body"/>
        <w:jc w:val="both"/>
        <w:rPr>
          <w:rFonts w:ascii="Times New Roman" w:hAnsi="Times New Roman" w:cs="Times New Roman"/>
          <w:b/>
          <w:bCs/>
          <w:szCs w:val="24"/>
        </w:rPr>
      </w:pPr>
      <w:r w:rsidRPr="007C4F71">
        <w:rPr>
          <w:rFonts w:ascii="Times New Roman" w:hAnsi="Times New Roman" w:cs="Times New Roman"/>
          <w:b/>
          <w:bCs/>
          <w:szCs w:val="24"/>
        </w:rPr>
        <w:t>Table 2</w:t>
      </w:r>
      <w:r w:rsidR="00814EFA" w:rsidRPr="007C4F71">
        <w:rPr>
          <w:rFonts w:ascii="Times New Roman" w:hAnsi="Times New Roman" w:cs="Times New Roman"/>
          <w:b/>
          <w:bCs/>
          <w:szCs w:val="24"/>
        </w:rPr>
        <w:t>b: ANOVA and Mean Separation of TPH levels in the Samples for Wet Season</w:t>
      </w:r>
    </w:p>
    <w:p w14:paraId="4CC2BA4B" w14:textId="77777777" w:rsidR="00814EFA" w:rsidRPr="007C4F71" w:rsidRDefault="00814EFA" w:rsidP="0038366A">
      <w:pPr>
        <w:pStyle w:val="Body"/>
        <w:jc w:val="both"/>
        <w:rPr>
          <w:rFonts w:ascii="Times New Roman" w:eastAsia="Times New Roman" w:hAnsi="Times New Roman" w:cs="Times New Roman"/>
          <w:b/>
          <w:bCs/>
          <w:szCs w:val="24"/>
        </w:rPr>
      </w:pPr>
    </w:p>
    <w:tbl>
      <w:tblPr>
        <w:tblW w:w="87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96"/>
        <w:gridCol w:w="3198"/>
        <w:gridCol w:w="2590"/>
      </w:tblGrid>
      <w:tr w:rsidR="00814EFA" w:rsidRPr="007C4F71" w14:paraId="425FE409" w14:textId="77777777" w:rsidTr="00EC1B94">
        <w:trPr>
          <w:trHeight w:val="300"/>
        </w:trPr>
        <w:tc>
          <w:tcPr>
            <w:tcW w:w="2996" w:type="dxa"/>
            <w:tcBorders>
              <w:top w:val="single" w:sz="4" w:space="0" w:color="000000"/>
              <w:left w:val="nil"/>
              <w:bottom w:val="single" w:sz="4" w:space="0" w:color="000000"/>
              <w:right w:val="nil"/>
            </w:tcBorders>
            <w:tcMar>
              <w:top w:w="80" w:type="dxa"/>
              <w:left w:w="80" w:type="dxa"/>
              <w:bottom w:w="80" w:type="dxa"/>
              <w:right w:w="80" w:type="dxa"/>
            </w:tcMar>
          </w:tcPr>
          <w:p w14:paraId="6571BEE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Level</w:t>
            </w:r>
          </w:p>
        </w:tc>
        <w:tc>
          <w:tcPr>
            <w:tcW w:w="3198" w:type="dxa"/>
            <w:tcBorders>
              <w:top w:val="single" w:sz="4" w:space="0" w:color="000000"/>
              <w:left w:val="nil"/>
              <w:bottom w:val="single" w:sz="4" w:space="0" w:color="000000"/>
              <w:right w:val="nil"/>
            </w:tcBorders>
            <w:tcMar>
              <w:top w:w="80" w:type="dxa"/>
              <w:left w:w="80" w:type="dxa"/>
              <w:bottom w:w="80" w:type="dxa"/>
              <w:right w:w="80" w:type="dxa"/>
            </w:tcMar>
          </w:tcPr>
          <w:p w14:paraId="57B4FD07"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Sediment</w:t>
            </w:r>
          </w:p>
        </w:tc>
        <w:tc>
          <w:tcPr>
            <w:tcW w:w="2590" w:type="dxa"/>
            <w:tcBorders>
              <w:top w:val="single" w:sz="4" w:space="0" w:color="000000"/>
              <w:left w:val="nil"/>
              <w:bottom w:val="single" w:sz="4" w:space="0" w:color="000000"/>
              <w:right w:val="nil"/>
            </w:tcBorders>
            <w:tcMar>
              <w:top w:w="80" w:type="dxa"/>
              <w:left w:w="80" w:type="dxa"/>
              <w:bottom w:w="80" w:type="dxa"/>
              <w:right w:w="80" w:type="dxa"/>
            </w:tcMar>
          </w:tcPr>
          <w:p w14:paraId="555BEB54"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Water</w:t>
            </w:r>
          </w:p>
        </w:tc>
      </w:tr>
      <w:tr w:rsidR="00814EFA" w:rsidRPr="007C4F71" w14:paraId="234546B5" w14:textId="77777777" w:rsidTr="00EC1B94">
        <w:trPr>
          <w:trHeight w:val="305"/>
        </w:trPr>
        <w:tc>
          <w:tcPr>
            <w:tcW w:w="2996" w:type="dxa"/>
            <w:tcBorders>
              <w:top w:val="single" w:sz="4" w:space="0" w:color="000000"/>
              <w:left w:val="nil"/>
              <w:bottom w:val="nil"/>
              <w:right w:val="nil"/>
            </w:tcBorders>
            <w:tcMar>
              <w:top w:w="80" w:type="dxa"/>
              <w:left w:w="80" w:type="dxa"/>
              <w:bottom w:w="80" w:type="dxa"/>
              <w:right w:w="80" w:type="dxa"/>
            </w:tcMar>
          </w:tcPr>
          <w:p w14:paraId="73BC0409"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July</w:t>
            </w:r>
          </w:p>
        </w:tc>
        <w:tc>
          <w:tcPr>
            <w:tcW w:w="3198" w:type="dxa"/>
            <w:tcBorders>
              <w:top w:val="single" w:sz="4" w:space="0" w:color="000000"/>
              <w:left w:val="nil"/>
              <w:bottom w:val="nil"/>
              <w:right w:val="nil"/>
            </w:tcBorders>
            <w:tcMar>
              <w:top w:w="80" w:type="dxa"/>
              <w:left w:w="80" w:type="dxa"/>
              <w:bottom w:w="80" w:type="dxa"/>
              <w:right w:w="80" w:type="dxa"/>
            </w:tcMar>
          </w:tcPr>
          <w:p w14:paraId="0EF3B42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0.58</w:t>
            </w:r>
            <w:r w:rsidRPr="007C4F71">
              <w:rPr>
                <w:rFonts w:ascii="Times New Roman" w:hAnsi="Times New Roman" w:cs="Times New Roman"/>
                <w:szCs w:val="24"/>
                <w:vertAlign w:val="superscript"/>
              </w:rPr>
              <w:t xml:space="preserve"> a</w:t>
            </w:r>
          </w:p>
        </w:tc>
        <w:tc>
          <w:tcPr>
            <w:tcW w:w="2590" w:type="dxa"/>
            <w:tcBorders>
              <w:top w:val="single" w:sz="4" w:space="0" w:color="000000"/>
              <w:left w:val="nil"/>
              <w:bottom w:val="nil"/>
              <w:right w:val="nil"/>
            </w:tcBorders>
            <w:tcMar>
              <w:top w:w="80" w:type="dxa"/>
              <w:left w:w="80" w:type="dxa"/>
              <w:bottom w:w="80" w:type="dxa"/>
              <w:right w:w="80" w:type="dxa"/>
            </w:tcMar>
          </w:tcPr>
          <w:p w14:paraId="3652D86B"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0.01</w:t>
            </w:r>
            <w:r w:rsidRPr="007C4F71">
              <w:rPr>
                <w:rFonts w:ascii="Times New Roman" w:hAnsi="Times New Roman" w:cs="Times New Roman"/>
                <w:szCs w:val="24"/>
                <w:vertAlign w:val="superscript"/>
              </w:rPr>
              <w:t>a</w:t>
            </w:r>
          </w:p>
        </w:tc>
      </w:tr>
      <w:tr w:rsidR="00814EFA" w:rsidRPr="007C4F71" w14:paraId="2B71F7D7" w14:textId="77777777" w:rsidTr="00EC1B94">
        <w:trPr>
          <w:trHeight w:val="310"/>
        </w:trPr>
        <w:tc>
          <w:tcPr>
            <w:tcW w:w="2996" w:type="dxa"/>
            <w:tcBorders>
              <w:top w:val="nil"/>
              <w:left w:val="nil"/>
              <w:bottom w:val="nil"/>
              <w:right w:val="nil"/>
            </w:tcBorders>
            <w:tcMar>
              <w:top w:w="80" w:type="dxa"/>
              <w:left w:w="80" w:type="dxa"/>
              <w:bottom w:w="80" w:type="dxa"/>
              <w:right w:w="80" w:type="dxa"/>
            </w:tcMar>
          </w:tcPr>
          <w:p w14:paraId="33B64C52"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May</w:t>
            </w:r>
          </w:p>
        </w:tc>
        <w:tc>
          <w:tcPr>
            <w:tcW w:w="3198" w:type="dxa"/>
            <w:tcBorders>
              <w:top w:val="nil"/>
              <w:left w:val="nil"/>
              <w:bottom w:val="nil"/>
              <w:right w:val="nil"/>
            </w:tcBorders>
            <w:tcMar>
              <w:top w:w="80" w:type="dxa"/>
              <w:left w:w="80" w:type="dxa"/>
              <w:bottom w:w="80" w:type="dxa"/>
              <w:right w:w="80" w:type="dxa"/>
            </w:tcMar>
          </w:tcPr>
          <w:p w14:paraId="739AB2F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1.47</w:t>
            </w:r>
            <w:r w:rsidRPr="007C4F71">
              <w:rPr>
                <w:rFonts w:ascii="Times New Roman" w:hAnsi="Times New Roman" w:cs="Times New Roman"/>
                <w:szCs w:val="24"/>
                <w:vertAlign w:val="superscript"/>
              </w:rPr>
              <w:t>a</w:t>
            </w:r>
          </w:p>
        </w:tc>
        <w:tc>
          <w:tcPr>
            <w:tcW w:w="2590" w:type="dxa"/>
            <w:tcBorders>
              <w:top w:val="nil"/>
              <w:left w:val="nil"/>
              <w:bottom w:val="nil"/>
              <w:right w:val="nil"/>
            </w:tcBorders>
            <w:tcMar>
              <w:top w:w="80" w:type="dxa"/>
              <w:left w:w="80" w:type="dxa"/>
              <w:bottom w:w="80" w:type="dxa"/>
              <w:right w:w="80" w:type="dxa"/>
            </w:tcMar>
          </w:tcPr>
          <w:p w14:paraId="10D08B05"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0.01</w:t>
            </w:r>
            <w:r w:rsidRPr="007C4F71">
              <w:rPr>
                <w:rFonts w:ascii="Times New Roman" w:hAnsi="Times New Roman" w:cs="Times New Roman"/>
                <w:szCs w:val="24"/>
                <w:vertAlign w:val="superscript"/>
              </w:rPr>
              <w:t xml:space="preserve"> a</w:t>
            </w:r>
          </w:p>
        </w:tc>
      </w:tr>
      <w:tr w:rsidR="00814EFA" w:rsidRPr="007C4F71" w14:paraId="52358C3C" w14:textId="77777777" w:rsidTr="00EC1B94">
        <w:trPr>
          <w:trHeight w:val="310"/>
        </w:trPr>
        <w:tc>
          <w:tcPr>
            <w:tcW w:w="2996" w:type="dxa"/>
            <w:tcBorders>
              <w:top w:val="nil"/>
              <w:left w:val="nil"/>
              <w:bottom w:val="nil"/>
              <w:right w:val="nil"/>
            </w:tcBorders>
            <w:tcMar>
              <w:top w:w="80" w:type="dxa"/>
              <w:left w:w="80" w:type="dxa"/>
              <w:bottom w:w="80" w:type="dxa"/>
              <w:right w:w="80" w:type="dxa"/>
            </w:tcMar>
          </w:tcPr>
          <w:p w14:paraId="4E3DAF59"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Sept</w:t>
            </w:r>
          </w:p>
        </w:tc>
        <w:tc>
          <w:tcPr>
            <w:tcW w:w="3198" w:type="dxa"/>
            <w:tcBorders>
              <w:top w:val="nil"/>
              <w:left w:val="nil"/>
              <w:bottom w:val="nil"/>
              <w:right w:val="nil"/>
            </w:tcBorders>
            <w:tcMar>
              <w:top w:w="80" w:type="dxa"/>
              <w:left w:w="80" w:type="dxa"/>
              <w:bottom w:w="80" w:type="dxa"/>
              <w:right w:w="80" w:type="dxa"/>
            </w:tcMar>
          </w:tcPr>
          <w:p w14:paraId="2F7CC4AC"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2.67</w:t>
            </w:r>
            <w:r w:rsidRPr="007C4F71">
              <w:rPr>
                <w:rFonts w:ascii="Times New Roman" w:hAnsi="Times New Roman" w:cs="Times New Roman"/>
                <w:szCs w:val="24"/>
                <w:vertAlign w:val="superscript"/>
              </w:rPr>
              <w:t xml:space="preserve"> a</w:t>
            </w:r>
          </w:p>
        </w:tc>
        <w:tc>
          <w:tcPr>
            <w:tcW w:w="2590" w:type="dxa"/>
            <w:tcBorders>
              <w:top w:val="nil"/>
              <w:left w:val="nil"/>
              <w:bottom w:val="nil"/>
              <w:right w:val="nil"/>
            </w:tcBorders>
            <w:tcMar>
              <w:top w:w="80" w:type="dxa"/>
              <w:left w:w="80" w:type="dxa"/>
              <w:bottom w:w="80" w:type="dxa"/>
              <w:right w:w="80" w:type="dxa"/>
            </w:tcMar>
          </w:tcPr>
          <w:p w14:paraId="6091BE11"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0.02</w:t>
            </w:r>
            <w:r w:rsidRPr="007C4F71">
              <w:rPr>
                <w:rFonts w:ascii="Times New Roman" w:hAnsi="Times New Roman" w:cs="Times New Roman"/>
                <w:szCs w:val="24"/>
                <w:vertAlign w:val="superscript"/>
              </w:rPr>
              <w:t>a</w:t>
            </w:r>
          </w:p>
        </w:tc>
      </w:tr>
      <w:tr w:rsidR="00814EFA" w:rsidRPr="007C4F71" w14:paraId="4113BA81" w14:textId="77777777" w:rsidTr="00EC1B94">
        <w:trPr>
          <w:trHeight w:val="305"/>
        </w:trPr>
        <w:tc>
          <w:tcPr>
            <w:tcW w:w="2996" w:type="dxa"/>
            <w:tcBorders>
              <w:top w:val="nil"/>
              <w:left w:val="nil"/>
              <w:bottom w:val="single" w:sz="4" w:space="0" w:color="000000"/>
              <w:right w:val="nil"/>
            </w:tcBorders>
            <w:tcMar>
              <w:top w:w="80" w:type="dxa"/>
              <w:left w:w="80" w:type="dxa"/>
              <w:bottom w:w="80" w:type="dxa"/>
              <w:right w:w="80" w:type="dxa"/>
            </w:tcMar>
          </w:tcPr>
          <w:p w14:paraId="6B51AF8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P-value</w:t>
            </w:r>
          </w:p>
        </w:tc>
        <w:tc>
          <w:tcPr>
            <w:tcW w:w="3198" w:type="dxa"/>
            <w:tcBorders>
              <w:top w:val="nil"/>
              <w:left w:val="nil"/>
              <w:bottom w:val="single" w:sz="4" w:space="0" w:color="000000"/>
              <w:right w:val="nil"/>
            </w:tcBorders>
            <w:tcMar>
              <w:top w:w="80" w:type="dxa"/>
              <w:left w:w="80" w:type="dxa"/>
              <w:bottom w:w="80" w:type="dxa"/>
              <w:right w:w="80" w:type="dxa"/>
            </w:tcMar>
          </w:tcPr>
          <w:p w14:paraId="37C72D00"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0.07</w:t>
            </w:r>
          </w:p>
        </w:tc>
        <w:tc>
          <w:tcPr>
            <w:tcW w:w="2590" w:type="dxa"/>
            <w:tcBorders>
              <w:top w:val="nil"/>
              <w:left w:val="nil"/>
              <w:bottom w:val="single" w:sz="4" w:space="0" w:color="000000"/>
              <w:right w:val="nil"/>
            </w:tcBorders>
            <w:tcMar>
              <w:top w:w="80" w:type="dxa"/>
              <w:left w:w="80" w:type="dxa"/>
              <w:bottom w:w="80" w:type="dxa"/>
              <w:right w:w="80" w:type="dxa"/>
            </w:tcMar>
          </w:tcPr>
          <w:p w14:paraId="6F162EF1"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0.26</w:t>
            </w:r>
          </w:p>
        </w:tc>
      </w:tr>
    </w:tbl>
    <w:p w14:paraId="2CE6B085" w14:textId="77777777" w:rsidR="00814EFA" w:rsidRPr="007C4F71" w:rsidRDefault="00814EFA" w:rsidP="0038366A">
      <w:pPr>
        <w:pStyle w:val="Body"/>
        <w:jc w:val="both"/>
        <w:rPr>
          <w:rFonts w:ascii="Times New Roman" w:eastAsia="Times New Roman" w:hAnsi="Times New Roman" w:cs="Times New Roman"/>
          <w:sz w:val="20"/>
        </w:rPr>
      </w:pPr>
      <w:r w:rsidRPr="007C4F71">
        <w:rPr>
          <w:rFonts w:ascii="Times New Roman" w:hAnsi="Times New Roman" w:cs="Times New Roman"/>
          <w:szCs w:val="24"/>
        </w:rPr>
        <w:t>*Pair of mean with dissimilar superscript is significantly different across the column</w:t>
      </w:r>
    </w:p>
    <w:p w14:paraId="290EA700" w14:textId="77777777" w:rsidR="00814EFA" w:rsidRPr="007C4F71" w:rsidRDefault="00814EFA" w:rsidP="0038366A">
      <w:pPr>
        <w:pStyle w:val="Body"/>
        <w:jc w:val="both"/>
        <w:rPr>
          <w:rFonts w:ascii="Times New Roman" w:hAnsi="Times New Roman" w:cs="Times New Roman"/>
          <w:szCs w:val="24"/>
        </w:rPr>
      </w:pPr>
    </w:p>
    <w:p w14:paraId="322965D2" w14:textId="77777777" w:rsidR="00E04827" w:rsidRPr="007C4F71" w:rsidRDefault="00542578" w:rsidP="0038366A">
      <w:pPr>
        <w:pStyle w:val="Body"/>
        <w:jc w:val="both"/>
        <w:rPr>
          <w:rFonts w:ascii="Times New Roman" w:hAnsi="Times New Roman" w:cs="Times New Roman"/>
          <w:sz w:val="20"/>
        </w:rPr>
      </w:pPr>
      <w:r w:rsidRPr="007C4F71">
        <w:rPr>
          <w:rFonts w:ascii="Times New Roman" w:hAnsi="Times New Roman" w:cs="Times New Roman"/>
          <w:b/>
          <w:bCs/>
          <w:szCs w:val="24"/>
        </w:rPr>
        <w:t>Table 3</w:t>
      </w:r>
      <w:r w:rsidR="00E04827" w:rsidRPr="007C4F71">
        <w:rPr>
          <w:rFonts w:ascii="Times New Roman" w:hAnsi="Times New Roman" w:cs="Times New Roman"/>
          <w:b/>
          <w:bCs/>
          <w:szCs w:val="24"/>
        </w:rPr>
        <w:t>: Average TPH Concentration in the Matrix in the Months of Study</w:t>
      </w:r>
    </w:p>
    <w:p w14:paraId="7933F351" w14:textId="77777777" w:rsidR="00E04827" w:rsidRPr="007C4F71" w:rsidRDefault="00E04827" w:rsidP="0038366A">
      <w:pPr>
        <w:pStyle w:val="Body"/>
        <w:jc w:val="both"/>
        <w:rPr>
          <w:rFonts w:ascii="Times New Roman" w:eastAsia="Times New Roman" w:hAnsi="Times New Roman" w:cs="Times New Roman"/>
          <w:b/>
          <w:bCs/>
          <w:szCs w:val="24"/>
        </w:rPr>
      </w:pPr>
    </w:p>
    <w:tbl>
      <w:tblPr>
        <w:tblW w:w="519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0"/>
        <w:gridCol w:w="1527"/>
        <w:gridCol w:w="2745"/>
      </w:tblGrid>
      <w:tr w:rsidR="00E04827" w:rsidRPr="007C4F71" w14:paraId="05620AD3" w14:textId="77777777" w:rsidTr="00E04827">
        <w:trPr>
          <w:trHeight w:val="305"/>
        </w:trPr>
        <w:tc>
          <w:tcPr>
            <w:tcW w:w="920" w:type="dxa"/>
            <w:tcBorders>
              <w:top w:val="single" w:sz="4" w:space="0" w:color="000000"/>
              <w:left w:val="nil"/>
              <w:bottom w:val="single" w:sz="4" w:space="0" w:color="000000"/>
              <w:right w:val="nil"/>
            </w:tcBorders>
            <w:tcMar>
              <w:top w:w="80" w:type="dxa"/>
              <w:left w:w="80" w:type="dxa"/>
              <w:bottom w:w="80" w:type="dxa"/>
              <w:right w:w="80" w:type="dxa"/>
            </w:tcMar>
          </w:tcPr>
          <w:p w14:paraId="590A55F2"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b/>
                <w:bCs/>
                <w:szCs w:val="24"/>
              </w:rPr>
              <w:t>Month</w:t>
            </w:r>
          </w:p>
        </w:tc>
        <w:tc>
          <w:tcPr>
            <w:tcW w:w="1527" w:type="dxa"/>
            <w:tcBorders>
              <w:top w:val="single" w:sz="4" w:space="0" w:color="000000"/>
              <w:left w:val="nil"/>
              <w:bottom w:val="single" w:sz="8" w:space="0" w:color="000000"/>
              <w:right w:val="nil"/>
            </w:tcBorders>
            <w:tcMar>
              <w:top w:w="80" w:type="dxa"/>
              <w:left w:w="80" w:type="dxa"/>
              <w:bottom w:w="80" w:type="dxa"/>
              <w:right w:w="80" w:type="dxa"/>
            </w:tcMar>
          </w:tcPr>
          <w:p w14:paraId="7C9017ED"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b/>
                <w:bCs/>
                <w:szCs w:val="24"/>
              </w:rPr>
              <w:t>Oyster</w:t>
            </w:r>
          </w:p>
        </w:tc>
        <w:tc>
          <w:tcPr>
            <w:tcW w:w="2745" w:type="dxa"/>
            <w:tcBorders>
              <w:top w:val="single" w:sz="4" w:space="0" w:color="000000"/>
              <w:left w:val="nil"/>
              <w:bottom w:val="single" w:sz="8" w:space="0" w:color="000000"/>
              <w:right w:val="nil"/>
            </w:tcBorders>
            <w:tcMar>
              <w:top w:w="80" w:type="dxa"/>
              <w:left w:w="80" w:type="dxa"/>
              <w:bottom w:w="80" w:type="dxa"/>
              <w:right w:w="80" w:type="dxa"/>
            </w:tcMar>
          </w:tcPr>
          <w:p w14:paraId="3EF2D855"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b/>
                <w:bCs/>
                <w:szCs w:val="24"/>
              </w:rPr>
              <w:t xml:space="preserve">             Periwinkle</w:t>
            </w:r>
          </w:p>
        </w:tc>
      </w:tr>
      <w:tr w:rsidR="00E04827" w:rsidRPr="007C4F71" w14:paraId="13A29BBB" w14:textId="77777777" w:rsidTr="00E04827">
        <w:trPr>
          <w:trHeight w:val="300"/>
        </w:trPr>
        <w:tc>
          <w:tcPr>
            <w:tcW w:w="920" w:type="dxa"/>
            <w:tcBorders>
              <w:top w:val="single" w:sz="4" w:space="0" w:color="000000"/>
              <w:left w:val="nil"/>
              <w:bottom w:val="nil"/>
              <w:right w:val="nil"/>
            </w:tcBorders>
            <w:tcMar>
              <w:top w:w="80" w:type="dxa"/>
              <w:left w:w="80" w:type="dxa"/>
              <w:bottom w:w="80" w:type="dxa"/>
              <w:right w:w="80" w:type="dxa"/>
            </w:tcMar>
          </w:tcPr>
          <w:p w14:paraId="1D46013E"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Nov</w:t>
            </w:r>
          </w:p>
        </w:tc>
        <w:tc>
          <w:tcPr>
            <w:tcW w:w="1527" w:type="dxa"/>
            <w:tcBorders>
              <w:top w:val="single" w:sz="8" w:space="0" w:color="000000"/>
              <w:left w:val="nil"/>
              <w:bottom w:val="nil"/>
              <w:right w:val="nil"/>
            </w:tcBorders>
            <w:tcMar>
              <w:top w:w="80" w:type="dxa"/>
              <w:left w:w="80" w:type="dxa"/>
              <w:bottom w:w="80" w:type="dxa"/>
              <w:right w:w="80" w:type="dxa"/>
            </w:tcMar>
          </w:tcPr>
          <w:p w14:paraId="21AA7108"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0.005±0.00</w:t>
            </w:r>
          </w:p>
        </w:tc>
        <w:tc>
          <w:tcPr>
            <w:tcW w:w="2745" w:type="dxa"/>
            <w:tcBorders>
              <w:top w:val="single" w:sz="8" w:space="0" w:color="000000"/>
              <w:left w:val="nil"/>
              <w:bottom w:val="nil"/>
              <w:right w:val="nil"/>
            </w:tcBorders>
            <w:tcMar>
              <w:top w:w="80" w:type="dxa"/>
              <w:left w:w="80" w:type="dxa"/>
              <w:bottom w:w="80" w:type="dxa"/>
              <w:right w:w="80" w:type="dxa"/>
            </w:tcMar>
          </w:tcPr>
          <w:p w14:paraId="22BEFAA7"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 xml:space="preserve">            0.003±0.00</w:t>
            </w:r>
          </w:p>
        </w:tc>
      </w:tr>
      <w:tr w:rsidR="00E04827" w:rsidRPr="007C4F71" w14:paraId="003A98A9" w14:textId="77777777" w:rsidTr="00E04827">
        <w:trPr>
          <w:trHeight w:val="290"/>
        </w:trPr>
        <w:tc>
          <w:tcPr>
            <w:tcW w:w="920" w:type="dxa"/>
            <w:tcBorders>
              <w:top w:val="nil"/>
              <w:left w:val="nil"/>
              <w:bottom w:val="nil"/>
              <w:right w:val="nil"/>
            </w:tcBorders>
            <w:tcMar>
              <w:top w:w="80" w:type="dxa"/>
              <w:left w:w="80" w:type="dxa"/>
              <w:bottom w:w="80" w:type="dxa"/>
              <w:right w:w="80" w:type="dxa"/>
            </w:tcMar>
          </w:tcPr>
          <w:p w14:paraId="603D1E36"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Jan</w:t>
            </w:r>
          </w:p>
        </w:tc>
        <w:tc>
          <w:tcPr>
            <w:tcW w:w="1527" w:type="dxa"/>
            <w:tcBorders>
              <w:top w:val="nil"/>
              <w:left w:val="nil"/>
              <w:bottom w:val="nil"/>
              <w:right w:val="nil"/>
            </w:tcBorders>
            <w:tcMar>
              <w:top w:w="80" w:type="dxa"/>
              <w:left w:w="80" w:type="dxa"/>
              <w:bottom w:w="80" w:type="dxa"/>
              <w:right w:w="80" w:type="dxa"/>
            </w:tcMar>
          </w:tcPr>
          <w:p w14:paraId="23BCF02F"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0.021±0.00</w:t>
            </w:r>
          </w:p>
        </w:tc>
        <w:tc>
          <w:tcPr>
            <w:tcW w:w="2745" w:type="dxa"/>
            <w:tcBorders>
              <w:top w:val="nil"/>
              <w:left w:val="nil"/>
              <w:bottom w:val="nil"/>
              <w:right w:val="nil"/>
            </w:tcBorders>
            <w:tcMar>
              <w:top w:w="80" w:type="dxa"/>
              <w:left w:w="80" w:type="dxa"/>
              <w:bottom w:w="80" w:type="dxa"/>
              <w:right w:w="80" w:type="dxa"/>
            </w:tcMar>
          </w:tcPr>
          <w:p w14:paraId="22570A80"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 xml:space="preserve">            0.005±0.00</w:t>
            </w:r>
          </w:p>
        </w:tc>
      </w:tr>
      <w:tr w:rsidR="00E04827" w:rsidRPr="007C4F71" w14:paraId="6F03BCCF" w14:textId="77777777" w:rsidTr="00E04827">
        <w:trPr>
          <w:trHeight w:val="290"/>
        </w:trPr>
        <w:tc>
          <w:tcPr>
            <w:tcW w:w="920" w:type="dxa"/>
            <w:tcBorders>
              <w:top w:val="nil"/>
              <w:left w:val="nil"/>
              <w:bottom w:val="nil"/>
              <w:right w:val="nil"/>
            </w:tcBorders>
            <w:tcMar>
              <w:top w:w="80" w:type="dxa"/>
              <w:left w:w="80" w:type="dxa"/>
              <w:bottom w:w="80" w:type="dxa"/>
              <w:right w:w="80" w:type="dxa"/>
            </w:tcMar>
          </w:tcPr>
          <w:p w14:paraId="62FF3BCC"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March</w:t>
            </w:r>
          </w:p>
        </w:tc>
        <w:tc>
          <w:tcPr>
            <w:tcW w:w="1527" w:type="dxa"/>
            <w:tcBorders>
              <w:top w:val="nil"/>
              <w:left w:val="nil"/>
              <w:bottom w:val="nil"/>
              <w:right w:val="nil"/>
            </w:tcBorders>
            <w:tcMar>
              <w:top w:w="80" w:type="dxa"/>
              <w:left w:w="80" w:type="dxa"/>
              <w:bottom w:w="80" w:type="dxa"/>
              <w:right w:w="80" w:type="dxa"/>
            </w:tcMar>
          </w:tcPr>
          <w:p w14:paraId="74A5E7FC"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0.025±0.01</w:t>
            </w:r>
          </w:p>
        </w:tc>
        <w:tc>
          <w:tcPr>
            <w:tcW w:w="2745" w:type="dxa"/>
            <w:tcBorders>
              <w:top w:val="nil"/>
              <w:left w:val="nil"/>
              <w:bottom w:val="nil"/>
              <w:right w:val="nil"/>
            </w:tcBorders>
            <w:tcMar>
              <w:top w:w="80" w:type="dxa"/>
              <w:left w:w="80" w:type="dxa"/>
              <w:bottom w:w="80" w:type="dxa"/>
              <w:right w:w="80" w:type="dxa"/>
            </w:tcMar>
          </w:tcPr>
          <w:p w14:paraId="1BC1A5D6"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 xml:space="preserve">            0.003±0.00</w:t>
            </w:r>
          </w:p>
        </w:tc>
      </w:tr>
      <w:tr w:rsidR="00E04827" w:rsidRPr="007C4F71" w14:paraId="0786568B" w14:textId="77777777" w:rsidTr="00E04827">
        <w:trPr>
          <w:trHeight w:val="290"/>
        </w:trPr>
        <w:tc>
          <w:tcPr>
            <w:tcW w:w="920" w:type="dxa"/>
            <w:tcBorders>
              <w:top w:val="nil"/>
              <w:left w:val="nil"/>
              <w:bottom w:val="nil"/>
              <w:right w:val="nil"/>
            </w:tcBorders>
            <w:tcMar>
              <w:top w:w="80" w:type="dxa"/>
              <w:left w:w="80" w:type="dxa"/>
              <w:bottom w:w="80" w:type="dxa"/>
              <w:right w:w="80" w:type="dxa"/>
            </w:tcMar>
          </w:tcPr>
          <w:p w14:paraId="7D6F48A2"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May</w:t>
            </w:r>
          </w:p>
        </w:tc>
        <w:tc>
          <w:tcPr>
            <w:tcW w:w="1527" w:type="dxa"/>
            <w:tcBorders>
              <w:top w:val="nil"/>
              <w:left w:val="nil"/>
              <w:bottom w:val="nil"/>
              <w:right w:val="nil"/>
            </w:tcBorders>
            <w:tcMar>
              <w:top w:w="80" w:type="dxa"/>
              <w:left w:w="80" w:type="dxa"/>
              <w:bottom w:w="80" w:type="dxa"/>
              <w:right w:w="80" w:type="dxa"/>
            </w:tcMar>
          </w:tcPr>
          <w:p w14:paraId="31425D5F"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0.029±0.01</w:t>
            </w:r>
          </w:p>
        </w:tc>
        <w:tc>
          <w:tcPr>
            <w:tcW w:w="2745" w:type="dxa"/>
            <w:tcBorders>
              <w:top w:val="nil"/>
              <w:left w:val="nil"/>
              <w:bottom w:val="nil"/>
              <w:right w:val="nil"/>
            </w:tcBorders>
            <w:tcMar>
              <w:top w:w="80" w:type="dxa"/>
              <w:left w:w="80" w:type="dxa"/>
              <w:bottom w:w="80" w:type="dxa"/>
              <w:right w:w="80" w:type="dxa"/>
            </w:tcMar>
          </w:tcPr>
          <w:p w14:paraId="5A04DC5A"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 xml:space="preserve">            0.004±0.00</w:t>
            </w:r>
          </w:p>
        </w:tc>
      </w:tr>
      <w:tr w:rsidR="00E04827" w:rsidRPr="007C4F71" w14:paraId="21165F12" w14:textId="77777777" w:rsidTr="00E04827">
        <w:trPr>
          <w:trHeight w:val="290"/>
        </w:trPr>
        <w:tc>
          <w:tcPr>
            <w:tcW w:w="920" w:type="dxa"/>
            <w:tcBorders>
              <w:top w:val="nil"/>
              <w:left w:val="nil"/>
              <w:bottom w:val="nil"/>
              <w:right w:val="nil"/>
            </w:tcBorders>
            <w:tcMar>
              <w:top w:w="80" w:type="dxa"/>
              <w:left w:w="80" w:type="dxa"/>
              <w:bottom w:w="80" w:type="dxa"/>
              <w:right w:w="80" w:type="dxa"/>
            </w:tcMar>
          </w:tcPr>
          <w:p w14:paraId="47B2D0E9"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July</w:t>
            </w:r>
          </w:p>
        </w:tc>
        <w:tc>
          <w:tcPr>
            <w:tcW w:w="1527" w:type="dxa"/>
            <w:tcBorders>
              <w:top w:val="nil"/>
              <w:left w:val="nil"/>
              <w:bottom w:val="nil"/>
              <w:right w:val="nil"/>
            </w:tcBorders>
            <w:tcMar>
              <w:top w:w="80" w:type="dxa"/>
              <w:left w:w="80" w:type="dxa"/>
              <w:bottom w:w="80" w:type="dxa"/>
              <w:right w:w="80" w:type="dxa"/>
            </w:tcMar>
          </w:tcPr>
          <w:p w14:paraId="32056040"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0.002±0.00</w:t>
            </w:r>
          </w:p>
        </w:tc>
        <w:tc>
          <w:tcPr>
            <w:tcW w:w="2745" w:type="dxa"/>
            <w:tcBorders>
              <w:top w:val="nil"/>
              <w:left w:val="nil"/>
              <w:bottom w:val="nil"/>
              <w:right w:val="nil"/>
            </w:tcBorders>
            <w:tcMar>
              <w:top w:w="80" w:type="dxa"/>
              <w:left w:w="80" w:type="dxa"/>
              <w:bottom w:w="80" w:type="dxa"/>
              <w:right w:w="80" w:type="dxa"/>
            </w:tcMar>
          </w:tcPr>
          <w:p w14:paraId="134A366B"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 xml:space="preserve">            0.003±0.00</w:t>
            </w:r>
          </w:p>
        </w:tc>
      </w:tr>
      <w:tr w:rsidR="00E04827" w:rsidRPr="007C4F71" w14:paraId="1322E09C" w14:textId="77777777" w:rsidTr="00E04827">
        <w:trPr>
          <w:trHeight w:val="295"/>
        </w:trPr>
        <w:tc>
          <w:tcPr>
            <w:tcW w:w="920" w:type="dxa"/>
            <w:tcBorders>
              <w:top w:val="nil"/>
              <w:left w:val="nil"/>
              <w:bottom w:val="single" w:sz="4" w:space="0" w:color="000000"/>
              <w:right w:val="nil"/>
            </w:tcBorders>
            <w:tcMar>
              <w:top w:w="80" w:type="dxa"/>
              <w:left w:w="80" w:type="dxa"/>
              <w:bottom w:w="80" w:type="dxa"/>
              <w:right w:w="80" w:type="dxa"/>
            </w:tcMar>
          </w:tcPr>
          <w:p w14:paraId="7249F1DB"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Sept</w:t>
            </w:r>
          </w:p>
        </w:tc>
        <w:tc>
          <w:tcPr>
            <w:tcW w:w="1527" w:type="dxa"/>
            <w:tcBorders>
              <w:top w:val="nil"/>
              <w:left w:val="nil"/>
              <w:bottom w:val="single" w:sz="4" w:space="0" w:color="000000"/>
              <w:right w:val="nil"/>
            </w:tcBorders>
            <w:tcMar>
              <w:top w:w="80" w:type="dxa"/>
              <w:left w:w="80" w:type="dxa"/>
              <w:bottom w:w="80" w:type="dxa"/>
              <w:right w:w="80" w:type="dxa"/>
            </w:tcMar>
          </w:tcPr>
          <w:p w14:paraId="19D040DE"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0.003±0.00</w:t>
            </w:r>
          </w:p>
        </w:tc>
        <w:tc>
          <w:tcPr>
            <w:tcW w:w="2745" w:type="dxa"/>
            <w:tcBorders>
              <w:top w:val="nil"/>
              <w:left w:val="nil"/>
              <w:bottom w:val="single" w:sz="4" w:space="0" w:color="000000"/>
              <w:right w:val="nil"/>
            </w:tcBorders>
            <w:tcMar>
              <w:top w:w="80" w:type="dxa"/>
              <w:left w:w="80" w:type="dxa"/>
              <w:bottom w:w="80" w:type="dxa"/>
              <w:right w:w="80" w:type="dxa"/>
            </w:tcMar>
          </w:tcPr>
          <w:p w14:paraId="6555441C"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 xml:space="preserve">            0.004±0.00</w:t>
            </w:r>
          </w:p>
        </w:tc>
      </w:tr>
    </w:tbl>
    <w:p w14:paraId="3C0F6C81" w14:textId="77777777" w:rsidR="00E04827" w:rsidRPr="007C4F71" w:rsidRDefault="00E04827" w:rsidP="0038366A">
      <w:pPr>
        <w:pStyle w:val="Body"/>
        <w:spacing w:after="160"/>
        <w:jc w:val="both"/>
        <w:rPr>
          <w:rFonts w:ascii="Times New Roman" w:eastAsia="Times New Roman" w:hAnsi="Times New Roman" w:cs="Times New Roman"/>
          <w:szCs w:val="24"/>
        </w:rPr>
      </w:pPr>
    </w:p>
    <w:p w14:paraId="36C274AB" w14:textId="77777777" w:rsidR="00E04827" w:rsidRPr="007C4F71" w:rsidRDefault="00542578" w:rsidP="0038366A">
      <w:pPr>
        <w:pStyle w:val="Body"/>
        <w:jc w:val="both"/>
        <w:rPr>
          <w:rFonts w:ascii="Times New Roman" w:eastAsia="Times New Roman" w:hAnsi="Times New Roman" w:cs="Times New Roman"/>
          <w:szCs w:val="24"/>
        </w:rPr>
      </w:pPr>
      <w:bookmarkStart w:id="0" w:name="_Hlk77799293"/>
      <w:bookmarkEnd w:id="0"/>
      <w:r w:rsidRPr="007C4F71">
        <w:rPr>
          <w:rFonts w:ascii="Times New Roman" w:hAnsi="Times New Roman" w:cs="Times New Roman"/>
          <w:b/>
          <w:bCs/>
          <w:szCs w:val="24"/>
        </w:rPr>
        <w:t>Table 4</w:t>
      </w:r>
      <w:r w:rsidR="00E04827" w:rsidRPr="007C4F71">
        <w:rPr>
          <w:rFonts w:ascii="Times New Roman" w:hAnsi="Times New Roman" w:cs="Times New Roman"/>
          <w:b/>
          <w:bCs/>
          <w:szCs w:val="24"/>
        </w:rPr>
        <w:t>a: ANOVA and Mean Separation of TPH levels in the Samples for Dry Season</w:t>
      </w:r>
    </w:p>
    <w:tbl>
      <w:tblPr>
        <w:tblW w:w="44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76"/>
        <w:gridCol w:w="1211"/>
        <w:gridCol w:w="1885"/>
      </w:tblGrid>
      <w:tr w:rsidR="00814EFA" w:rsidRPr="007C4F71" w14:paraId="100BBBBB" w14:textId="77777777" w:rsidTr="00814EFA">
        <w:trPr>
          <w:trHeight w:val="310"/>
        </w:trPr>
        <w:tc>
          <w:tcPr>
            <w:tcW w:w="1376" w:type="dxa"/>
            <w:tcBorders>
              <w:top w:val="single" w:sz="8" w:space="0" w:color="000000"/>
              <w:left w:val="nil"/>
              <w:bottom w:val="single" w:sz="8" w:space="0" w:color="000000"/>
              <w:right w:val="nil"/>
            </w:tcBorders>
            <w:tcMar>
              <w:top w:w="80" w:type="dxa"/>
              <w:left w:w="80" w:type="dxa"/>
              <w:bottom w:w="80" w:type="dxa"/>
              <w:right w:w="80" w:type="dxa"/>
            </w:tcMar>
          </w:tcPr>
          <w:p w14:paraId="5D029BDC"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Month</w:t>
            </w:r>
          </w:p>
        </w:tc>
        <w:tc>
          <w:tcPr>
            <w:tcW w:w="1211" w:type="dxa"/>
            <w:tcBorders>
              <w:top w:val="single" w:sz="8" w:space="0" w:color="000000"/>
              <w:left w:val="nil"/>
              <w:bottom w:val="single" w:sz="8" w:space="0" w:color="000000"/>
              <w:right w:val="nil"/>
            </w:tcBorders>
            <w:tcMar>
              <w:top w:w="80" w:type="dxa"/>
              <w:left w:w="80" w:type="dxa"/>
              <w:bottom w:w="80" w:type="dxa"/>
              <w:right w:w="80" w:type="dxa"/>
            </w:tcMar>
          </w:tcPr>
          <w:p w14:paraId="48223BA9"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Oyster</w:t>
            </w:r>
          </w:p>
        </w:tc>
        <w:tc>
          <w:tcPr>
            <w:tcW w:w="1885" w:type="dxa"/>
            <w:tcBorders>
              <w:top w:val="single" w:sz="8" w:space="0" w:color="000000"/>
              <w:left w:val="nil"/>
              <w:bottom w:val="single" w:sz="8" w:space="0" w:color="000000"/>
              <w:right w:val="nil"/>
            </w:tcBorders>
            <w:tcMar>
              <w:top w:w="80" w:type="dxa"/>
              <w:left w:w="80" w:type="dxa"/>
              <w:bottom w:w="80" w:type="dxa"/>
              <w:right w:w="80" w:type="dxa"/>
            </w:tcMar>
          </w:tcPr>
          <w:p w14:paraId="64579C15"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Periwinkle</w:t>
            </w:r>
          </w:p>
        </w:tc>
      </w:tr>
      <w:tr w:rsidR="00814EFA" w:rsidRPr="007C4F71" w14:paraId="752F22BC" w14:textId="77777777" w:rsidTr="00814EFA">
        <w:trPr>
          <w:trHeight w:val="310"/>
        </w:trPr>
        <w:tc>
          <w:tcPr>
            <w:tcW w:w="1376" w:type="dxa"/>
            <w:tcBorders>
              <w:top w:val="single" w:sz="8" w:space="0" w:color="000000"/>
              <w:left w:val="nil"/>
              <w:bottom w:val="nil"/>
              <w:right w:val="nil"/>
            </w:tcBorders>
            <w:tcMar>
              <w:top w:w="80" w:type="dxa"/>
              <w:left w:w="80" w:type="dxa"/>
              <w:bottom w:w="80" w:type="dxa"/>
              <w:right w:w="80" w:type="dxa"/>
            </w:tcMar>
          </w:tcPr>
          <w:p w14:paraId="2D2DB034"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Nov</w:t>
            </w:r>
          </w:p>
        </w:tc>
        <w:tc>
          <w:tcPr>
            <w:tcW w:w="1211" w:type="dxa"/>
            <w:tcBorders>
              <w:top w:val="single" w:sz="8" w:space="0" w:color="000000"/>
              <w:left w:val="nil"/>
              <w:bottom w:val="nil"/>
              <w:right w:val="nil"/>
            </w:tcBorders>
            <w:tcMar>
              <w:top w:w="80" w:type="dxa"/>
              <w:left w:w="80" w:type="dxa"/>
              <w:bottom w:w="80" w:type="dxa"/>
              <w:right w:w="80" w:type="dxa"/>
            </w:tcMar>
          </w:tcPr>
          <w:p w14:paraId="4CCD885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0.005</w:t>
            </w:r>
            <w:r w:rsidRPr="007C4F71">
              <w:rPr>
                <w:rFonts w:ascii="Times New Roman" w:hAnsi="Times New Roman" w:cs="Times New Roman"/>
                <w:szCs w:val="24"/>
                <w:vertAlign w:val="superscript"/>
              </w:rPr>
              <w:t>b</w:t>
            </w:r>
          </w:p>
        </w:tc>
        <w:tc>
          <w:tcPr>
            <w:tcW w:w="1885" w:type="dxa"/>
            <w:tcBorders>
              <w:top w:val="single" w:sz="8" w:space="0" w:color="000000"/>
              <w:left w:val="nil"/>
              <w:bottom w:val="nil"/>
              <w:right w:val="nil"/>
            </w:tcBorders>
            <w:tcMar>
              <w:top w:w="80" w:type="dxa"/>
              <w:left w:w="80" w:type="dxa"/>
              <w:bottom w:w="80" w:type="dxa"/>
              <w:right w:w="80" w:type="dxa"/>
            </w:tcMar>
          </w:tcPr>
          <w:p w14:paraId="03F550F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0.003</w:t>
            </w:r>
            <w:r w:rsidRPr="007C4F71">
              <w:rPr>
                <w:rFonts w:ascii="Times New Roman" w:hAnsi="Times New Roman" w:cs="Times New Roman"/>
                <w:szCs w:val="24"/>
                <w:vertAlign w:val="superscript"/>
              </w:rPr>
              <w:t>a</w:t>
            </w:r>
          </w:p>
        </w:tc>
      </w:tr>
      <w:tr w:rsidR="00814EFA" w:rsidRPr="007C4F71" w14:paraId="17CC0EEA" w14:textId="77777777" w:rsidTr="00814EFA">
        <w:trPr>
          <w:trHeight w:val="317"/>
        </w:trPr>
        <w:tc>
          <w:tcPr>
            <w:tcW w:w="1376" w:type="dxa"/>
            <w:tcBorders>
              <w:top w:val="nil"/>
              <w:left w:val="nil"/>
              <w:bottom w:val="nil"/>
              <w:right w:val="nil"/>
            </w:tcBorders>
            <w:tcMar>
              <w:top w:w="80" w:type="dxa"/>
              <w:left w:w="80" w:type="dxa"/>
              <w:bottom w:w="80" w:type="dxa"/>
              <w:right w:w="80" w:type="dxa"/>
            </w:tcMar>
          </w:tcPr>
          <w:p w14:paraId="2C5489CC"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Jan</w:t>
            </w:r>
          </w:p>
        </w:tc>
        <w:tc>
          <w:tcPr>
            <w:tcW w:w="1211" w:type="dxa"/>
            <w:tcBorders>
              <w:top w:val="nil"/>
              <w:left w:val="nil"/>
              <w:bottom w:val="nil"/>
              <w:right w:val="nil"/>
            </w:tcBorders>
            <w:tcMar>
              <w:top w:w="80" w:type="dxa"/>
              <w:left w:w="80" w:type="dxa"/>
              <w:bottom w:w="80" w:type="dxa"/>
              <w:right w:w="80" w:type="dxa"/>
            </w:tcMar>
          </w:tcPr>
          <w:p w14:paraId="4237288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0.021</w:t>
            </w:r>
            <w:r w:rsidRPr="007C4F71">
              <w:rPr>
                <w:rFonts w:ascii="Times New Roman" w:hAnsi="Times New Roman" w:cs="Times New Roman"/>
                <w:szCs w:val="24"/>
                <w:vertAlign w:val="superscript"/>
              </w:rPr>
              <w:t>a</w:t>
            </w:r>
          </w:p>
        </w:tc>
        <w:tc>
          <w:tcPr>
            <w:tcW w:w="1885" w:type="dxa"/>
            <w:tcBorders>
              <w:top w:val="nil"/>
              <w:left w:val="nil"/>
              <w:bottom w:val="nil"/>
              <w:right w:val="nil"/>
            </w:tcBorders>
            <w:tcMar>
              <w:top w:w="80" w:type="dxa"/>
              <w:left w:w="80" w:type="dxa"/>
              <w:bottom w:w="80" w:type="dxa"/>
              <w:right w:w="80" w:type="dxa"/>
            </w:tcMar>
          </w:tcPr>
          <w:p w14:paraId="591BBA6F"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0.005</w:t>
            </w:r>
            <w:r w:rsidRPr="007C4F71">
              <w:rPr>
                <w:rFonts w:ascii="Times New Roman" w:hAnsi="Times New Roman" w:cs="Times New Roman"/>
                <w:szCs w:val="24"/>
                <w:vertAlign w:val="superscript"/>
              </w:rPr>
              <w:t>a</w:t>
            </w:r>
          </w:p>
        </w:tc>
      </w:tr>
      <w:tr w:rsidR="00814EFA" w:rsidRPr="007C4F71" w14:paraId="34272EAE" w14:textId="77777777" w:rsidTr="00814EFA">
        <w:trPr>
          <w:trHeight w:val="317"/>
        </w:trPr>
        <w:tc>
          <w:tcPr>
            <w:tcW w:w="1376" w:type="dxa"/>
            <w:tcBorders>
              <w:top w:val="nil"/>
              <w:left w:val="nil"/>
              <w:bottom w:val="nil"/>
              <w:right w:val="nil"/>
            </w:tcBorders>
            <w:tcMar>
              <w:top w:w="80" w:type="dxa"/>
              <w:left w:w="80" w:type="dxa"/>
              <w:bottom w:w="80" w:type="dxa"/>
              <w:right w:w="80" w:type="dxa"/>
            </w:tcMar>
          </w:tcPr>
          <w:p w14:paraId="0A64F1A4"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March</w:t>
            </w:r>
          </w:p>
        </w:tc>
        <w:tc>
          <w:tcPr>
            <w:tcW w:w="1211" w:type="dxa"/>
            <w:tcBorders>
              <w:top w:val="nil"/>
              <w:left w:val="nil"/>
              <w:bottom w:val="nil"/>
              <w:right w:val="nil"/>
            </w:tcBorders>
            <w:tcMar>
              <w:top w:w="80" w:type="dxa"/>
              <w:left w:w="80" w:type="dxa"/>
              <w:bottom w:w="80" w:type="dxa"/>
              <w:right w:w="80" w:type="dxa"/>
            </w:tcMar>
          </w:tcPr>
          <w:p w14:paraId="5D96D0C1"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0.003</w:t>
            </w:r>
            <w:r w:rsidRPr="007C4F71">
              <w:rPr>
                <w:rFonts w:ascii="Times New Roman" w:hAnsi="Times New Roman" w:cs="Times New Roman"/>
                <w:szCs w:val="24"/>
                <w:vertAlign w:val="superscript"/>
              </w:rPr>
              <w:t>a</w:t>
            </w:r>
          </w:p>
        </w:tc>
        <w:tc>
          <w:tcPr>
            <w:tcW w:w="1885" w:type="dxa"/>
            <w:tcBorders>
              <w:top w:val="nil"/>
              <w:left w:val="nil"/>
              <w:bottom w:val="nil"/>
              <w:right w:val="nil"/>
            </w:tcBorders>
            <w:tcMar>
              <w:top w:w="80" w:type="dxa"/>
              <w:left w:w="80" w:type="dxa"/>
              <w:bottom w:w="80" w:type="dxa"/>
              <w:right w:w="80" w:type="dxa"/>
            </w:tcMar>
          </w:tcPr>
          <w:p w14:paraId="7DD37472"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0.003</w:t>
            </w:r>
            <w:r w:rsidRPr="007C4F71">
              <w:rPr>
                <w:rFonts w:ascii="Times New Roman" w:hAnsi="Times New Roman" w:cs="Times New Roman"/>
                <w:szCs w:val="24"/>
                <w:vertAlign w:val="superscript"/>
              </w:rPr>
              <w:t>a</w:t>
            </w:r>
          </w:p>
        </w:tc>
      </w:tr>
      <w:tr w:rsidR="00814EFA" w:rsidRPr="007C4F71" w14:paraId="0ADA6719" w14:textId="77777777" w:rsidTr="00814EFA">
        <w:trPr>
          <w:trHeight w:val="317"/>
        </w:trPr>
        <w:tc>
          <w:tcPr>
            <w:tcW w:w="1376" w:type="dxa"/>
            <w:tcBorders>
              <w:top w:val="nil"/>
              <w:left w:val="nil"/>
              <w:bottom w:val="single" w:sz="8" w:space="0" w:color="000000"/>
              <w:right w:val="nil"/>
            </w:tcBorders>
            <w:tcMar>
              <w:top w:w="80" w:type="dxa"/>
              <w:left w:w="80" w:type="dxa"/>
              <w:bottom w:w="80" w:type="dxa"/>
              <w:right w:w="80" w:type="dxa"/>
            </w:tcMar>
          </w:tcPr>
          <w:p w14:paraId="5E36870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P-value</w:t>
            </w:r>
          </w:p>
        </w:tc>
        <w:tc>
          <w:tcPr>
            <w:tcW w:w="1211" w:type="dxa"/>
            <w:tcBorders>
              <w:top w:val="nil"/>
              <w:left w:val="nil"/>
              <w:bottom w:val="single" w:sz="8" w:space="0" w:color="000000"/>
              <w:right w:val="nil"/>
            </w:tcBorders>
            <w:tcMar>
              <w:top w:w="80" w:type="dxa"/>
              <w:left w:w="80" w:type="dxa"/>
              <w:bottom w:w="80" w:type="dxa"/>
              <w:right w:w="80" w:type="dxa"/>
            </w:tcMar>
          </w:tcPr>
          <w:p w14:paraId="6CE6EBC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0.0006*</w:t>
            </w:r>
          </w:p>
        </w:tc>
        <w:tc>
          <w:tcPr>
            <w:tcW w:w="1885" w:type="dxa"/>
            <w:tcBorders>
              <w:top w:val="nil"/>
              <w:left w:val="nil"/>
              <w:bottom w:val="single" w:sz="8" w:space="0" w:color="000000"/>
              <w:right w:val="nil"/>
            </w:tcBorders>
            <w:tcMar>
              <w:top w:w="80" w:type="dxa"/>
              <w:left w:w="80" w:type="dxa"/>
              <w:bottom w:w="80" w:type="dxa"/>
              <w:right w:w="80" w:type="dxa"/>
            </w:tcMar>
          </w:tcPr>
          <w:p w14:paraId="71EF77F8"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0.3173</w:t>
            </w:r>
          </w:p>
        </w:tc>
      </w:tr>
    </w:tbl>
    <w:p w14:paraId="77B1E340" w14:textId="77777777" w:rsidR="00E04827" w:rsidRPr="007C4F71" w:rsidRDefault="00E04827" w:rsidP="0038366A">
      <w:pPr>
        <w:pStyle w:val="Body"/>
        <w:jc w:val="both"/>
        <w:rPr>
          <w:rFonts w:ascii="Times New Roman" w:eastAsia="Times New Roman" w:hAnsi="Times New Roman" w:cs="Times New Roman"/>
          <w:szCs w:val="24"/>
        </w:rPr>
      </w:pPr>
      <w:r w:rsidRPr="007C4F71">
        <w:rPr>
          <w:rFonts w:ascii="Times New Roman" w:hAnsi="Times New Roman" w:cs="Times New Roman"/>
          <w:szCs w:val="24"/>
        </w:rPr>
        <w:t>*Pair of mean with dissimilar superscript is significantly different across the column</w:t>
      </w:r>
    </w:p>
    <w:p w14:paraId="7E67FECA" w14:textId="77777777" w:rsidR="00E04827" w:rsidRPr="007C4F71" w:rsidRDefault="00E04827" w:rsidP="0038366A">
      <w:pPr>
        <w:pStyle w:val="Body"/>
        <w:jc w:val="both"/>
        <w:rPr>
          <w:rFonts w:ascii="Times New Roman" w:eastAsia="Times New Roman" w:hAnsi="Times New Roman" w:cs="Times New Roman"/>
          <w:szCs w:val="24"/>
        </w:rPr>
      </w:pPr>
    </w:p>
    <w:p w14:paraId="76A684FD" w14:textId="77777777" w:rsidR="00E04827" w:rsidRPr="007C4F71" w:rsidRDefault="00542578" w:rsidP="0038366A">
      <w:pPr>
        <w:pStyle w:val="Body"/>
        <w:jc w:val="both"/>
        <w:rPr>
          <w:rFonts w:ascii="Times New Roman" w:hAnsi="Times New Roman" w:cs="Times New Roman"/>
          <w:b/>
          <w:bCs/>
          <w:szCs w:val="24"/>
        </w:rPr>
      </w:pPr>
      <w:r w:rsidRPr="007C4F71">
        <w:rPr>
          <w:rFonts w:ascii="Times New Roman" w:hAnsi="Times New Roman" w:cs="Times New Roman"/>
          <w:b/>
          <w:bCs/>
          <w:szCs w:val="24"/>
        </w:rPr>
        <w:t>Table 4</w:t>
      </w:r>
      <w:r w:rsidR="00E04827" w:rsidRPr="007C4F71">
        <w:rPr>
          <w:rFonts w:ascii="Times New Roman" w:hAnsi="Times New Roman" w:cs="Times New Roman"/>
          <w:b/>
          <w:bCs/>
          <w:szCs w:val="24"/>
        </w:rPr>
        <w:t>b: ANOVA and Mean Separation of TPH levels in the Samples for Wet Season</w:t>
      </w:r>
    </w:p>
    <w:p w14:paraId="6D48D69E" w14:textId="77777777" w:rsidR="00E04827" w:rsidRPr="007C4F71" w:rsidRDefault="00E04827" w:rsidP="0038366A">
      <w:pPr>
        <w:pStyle w:val="Body"/>
        <w:jc w:val="both"/>
        <w:rPr>
          <w:rFonts w:ascii="Times New Roman" w:eastAsia="Times New Roman" w:hAnsi="Times New Roman" w:cs="Times New Roman"/>
          <w:szCs w:val="24"/>
        </w:rPr>
      </w:pPr>
    </w:p>
    <w:tbl>
      <w:tblPr>
        <w:tblW w:w="43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0"/>
        <w:gridCol w:w="1311"/>
        <w:gridCol w:w="1632"/>
      </w:tblGrid>
      <w:tr w:rsidR="00814EFA" w:rsidRPr="007C4F71" w14:paraId="0F0DE892" w14:textId="77777777" w:rsidTr="00814EFA">
        <w:trPr>
          <w:trHeight w:val="392"/>
        </w:trPr>
        <w:tc>
          <w:tcPr>
            <w:tcW w:w="1400" w:type="dxa"/>
            <w:tcBorders>
              <w:top w:val="single" w:sz="4" w:space="0" w:color="000000"/>
              <w:left w:val="nil"/>
              <w:bottom w:val="single" w:sz="4" w:space="0" w:color="000000"/>
              <w:right w:val="nil"/>
            </w:tcBorders>
            <w:tcMar>
              <w:top w:w="80" w:type="dxa"/>
              <w:left w:w="80" w:type="dxa"/>
              <w:bottom w:w="80" w:type="dxa"/>
              <w:right w:w="80" w:type="dxa"/>
            </w:tcMar>
          </w:tcPr>
          <w:p w14:paraId="1E5E5D38"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Level</w:t>
            </w:r>
          </w:p>
        </w:tc>
        <w:tc>
          <w:tcPr>
            <w:tcW w:w="1311" w:type="dxa"/>
            <w:tcBorders>
              <w:top w:val="single" w:sz="4" w:space="0" w:color="000000"/>
              <w:left w:val="nil"/>
              <w:bottom w:val="single" w:sz="4" w:space="0" w:color="000000"/>
              <w:right w:val="nil"/>
            </w:tcBorders>
            <w:tcMar>
              <w:top w:w="80" w:type="dxa"/>
              <w:left w:w="80" w:type="dxa"/>
              <w:bottom w:w="80" w:type="dxa"/>
              <w:right w:w="80" w:type="dxa"/>
            </w:tcMar>
          </w:tcPr>
          <w:p w14:paraId="252ADD8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Oyster</w:t>
            </w:r>
          </w:p>
        </w:tc>
        <w:tc>
          <w:tcPr>
            <w:tcW w:w="1632" w:type="dxa"/>
            <w:tcBorders>
              <w:top w:val="single" w:sz="4" w:space="0" w:color="000000"/>
              <w:left w:val="nil"/>
              <w:bottom w:val="single" w:sz="4" w:space="0" w:color="000000"/>
              <w:right w:val="nil"/>
            </w:tcBorders>
            <w:tcMar>
              <w:top w:w="80" w:type="dxa"/>
              <w:left w:w="80" w:type="dxa"/>
              <w:bottom w:w="80" w:type="dxa"/>
              <w:right w:w="80" w:type="dxa"/>
            </w:tcMar>
          </w:tcPr>
          <w:p w14:paraId="78812FA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Periwinkle</w:t>
            </w:r>
          </w:p>
        </w:tc>
      </w:tr>
      <w:tr w:rsidR="00814EFA" w:rsidRPr="007C4F71" w14:paraId="2482E629" w14:textId="77777777" w:rsidTr="00814EFA">
        <w:trPr>
          <w:trHeight w:val="407"/>
        </w:trPr>
        <w:tc>
          <w:tcPr>
            <w:tcW w:w="1400" w:type="dxa"/>
            <w:tcBorders>
              <w:top w:val="single" w:sz="4" w:space="0" w:color="000000"/>
              <w:left w:val="nil"/>
              <w:bottom w:val="nil"/>
              <w:right w:val="nil"/>
            </w:tcBorders>
            <w:tcMar>
              <w:top w:w="80" w:type="dxa"/>
              <w:left w:w="80" w:type="dxa"/>
              <w:bottom w:w="80" w:type="dxa"/>
              <w:right w:w="80" w:type="dxa"/>
            </w:tcMar>
          </w:tcPr>
          <w:p w14:paraId="239FE6DB"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July</w:t>
            </w:r>
          </w:p>
        </w:tc>
        <w:tc>
          <w:tcPr>
            <w:tcW w:w="1311" w:type="dxa"/>
            <w:tcBorders>
              <w:top w:val="single" w:sz="4" w:space="0" w:color="000000"/>
              <w:left w:val="nil"/>
              <w:bottom w:val="nil"/>
              <w:right w:val="nil"/>
            </w:tcBorders>
            <w:tcMar>
              <w:top w:w="80" w:type="dxa"/>
              <w:left w:w="80" w:type="dxa"/>
              <w:bottom w:w="80" w:type="dxa"/>
              <w:right w:w="80" w:type="dxa"/>
            </w:tcMar>
          </w:tcPr>
          <w:p w14:paraId="486833C7"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0.002</w:t>
            </w:r>
            <w:r w:rsidRPr="007C4F71">
              <w:rPr>
                <w:rFonts w:ascii="Times New Roman" w:hAnsi="Times New Roman" w:cs="Times New Roman"/>
                <w:szCs w:val="24"/>
                <w:vertAlign w:val="superscript"/>
              </w:rPr>
              <w:t>b</w:t>
            </w:r>
          </w:p>
        </w:tc>
        <w:tc>
          <w:tcPr>
            <w:tcW w:w="1632" w:type="dxa"/>
            <w:tcBorders>
              <w:top w:val="single" w:sz="4" w:space="0" w:color="000000"/>
              <w:left w:val="nil"/>
              <w:bottom w:val="nil"/>
              <w:right w:val="nil"/>
            </w:tcBorders>
            <w:tcMar>
              <w:top w:w="80" w:type="dxa"/>
              <w:left w:w="80" w:type="dxa"/>
              <w:bottom w:w="80" w:type="dxa"/>
              <w:right w:w="80" w:type="dxa"/>
            </w:tcMar>
          </w:tcPr>
          <w:p w14:paraId="6097396D"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0.003</w:t>
            </w:r>
            <w:r w:rsidRPr="007C4F71">
              <w:rPr>
                <w:rFonts w:ascii="Times New Roman" w:hAnsi="Times New Roman" w:cs="Times New Roman"/>
                <w:szCs w:val="24"/>
                <w:vertAlign w:val="superscript"/>
              </w:rPr>
              <w:t xml:space="preserve"> a</w:t>
            </w:r>
          </w:p>
        </w:tc>
      </w:tr>
      <w:tr w:rsidR="00814EFA" w:rsidRPr="007C4F71" w14:paraId="778D379F" w14:textId="77777777" w:rsidTr="00814EFA">
        <w:trPr>
          <w:trHeight w:val="397"/>
        </w:trPr>
        <w:tc>
          <w:tcPr>
            <w:tcW w:w="1400" w:type="dxa"/>
            <w:tcBorders>
              <w:top w:val="nil"/>
              <w:left w:val="nil"/>
              <w:bottom w:val="nil"/>
              <w:right w:val="nil"/>
            </w:tcBorders>
            <w:tcMar>
              <w:top w:w="80" w:type="dxa"/>
              <w:left w:w="80" w:type="dxa"/>
              <w:bottom w:w="80" w:type="dxa"/>
              <w:right w:w="80" w:type="dxa"/>
            </w:tcMar>
          </w:tcPr>
          <w:p w14:paraId="4CC48B62"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May</w:t>
            </w:r>
          </w:p>
        </w:tc>
        <w:tc>
          <w:tcPr>
            <w:tcW w:w="1311" w:type="dxa"/>
            <w:tcBorders>
              <w:top w:val="nil"/>
              <w:left w:val="nil"/>
              <w:bottom w:val="nil"/>
              <w:right w:val="nil"/>
            </w:tcBorders>
            <w:tcMar>
              <w:top w:w="80" w:type="dxa"/>
              <w:left w:w="80" w:type="dxa"/>
              <w:bottom w:w="80" w:type="dxa"/>
              <w:right w:w="80" w:type="dxa"/>
            </w:tcMar>
          </w:tcPr>
          <w:p w14:paraId="2B241C4C"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0.029</w:t>
            </w:r>
            <w:r w:rsidRPr="007C4F71">
              <w:rPr>
                <w:rFonts w:ascii="Times New Roman" w:hAnsi="Times New Roman" w:cs="Times New Roman"/>
                <w:szCs w:val="24"/>
                <w:vertAlign w:val="superscript"/>
              </w:rPr>
              <w:t>a</w:t>
            </w:r>
          </w:p>
        </w:tc>
        <w:tc>
          <w:tcPr>
            <w:tcW w:w="1632" w:type="dxa"/>
            <w:tcBorders>
              <w:top w:val="nil"/>
              <w:left w:val="nil"/>
              <w:bottom w:val="nil"/>
              <w:right w:val="nil"/>
            </w:tcBorders>
            <w:tcMar>
              <w:top w:w="80" w:type="dxa"/>
              <w:left w:w="80" w:type="dxa"/>
              <w:bottom w:w="80" w:type="dxa"/>
              <w:right w:w="80" w:type="dxa"/>
            </w:tcMar>
          </w:tcPr>
          <w:p w14:paraId="235E6674"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0.004</w:t>
            </w:r>
            <w:r w:rsidRPr="007C4F71">
              <w:rPr>
                <w:rFonts w:ascii="Times New Roman" w:hAnsi="Times New Roman" w:cs="Times New Roman"/>
                <w:szCs w:val="24"/>
                <w:vertAlign w:val="superscript"/>
              </w:rPr>
              <w:t xml:space="preserve"> a</w:t>
            </w:r>
          </w:p>
        </w:tc>
      </w:tr>
      <w:tr w:rsidR="00814EFA" w:rsidRPr="007C4F71" w14:paraId="6EACDDF8" w14:textId="77777777" w:rsidTr="00814EFA">
        <w:trPr>
          <w:trHeight w:val="397"/>
        </w:trPr>
        <w:tc>
          <w:tcPr>
            <w:tcW w:w="1400" w:type="dxa"/>
            <w:tcBorders>
              <w:top w:val="nil"/>
              <w:left w:val="nil"/>
              <w:bottom w:val="nil"/>
              <w:right w:val="nil"/>
            </w:tcBorders>
            <w:tcMar>
              <w:top w:w="80" w:type="dxa"/>
              <w:left w:w="80" w:type="dxa"/>
              <w:bottom w:w="80" w:type="dxa"/>
              <w:right w:w="80" w:type="dxa"/>
            </w:tcMar>
          </w:tcPr>
          <w:p w14:paraId="7F9BB389"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Sep</w:t>
            </w:r>
          </w:p>
        </w:tc>
        <w:tc>
          <w:tcPr>
            <w:tcW w:w="1311" w:type="dxa"/>
            <w:tcBorders>
              <w:top w:val="nil"/>
              <w:left w:val="nil"/>
              <w:bottom w:val="nil"/>
              <w:right w:val="nil"/>
            </w:tcBorders>
            <w:tcMar>
              <w:top w:w="80" w:type="dxa"/>
              <w:left w:w="80" w:type="dxa"/>
              <w:bottom w:w="80" w:type="dxa"/>
              <w:right w:w="80" w:type="dxa"/>
            </w:tcMar>
          </w:tcPr>
          <w:p w14:paraId="13439AD0"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0.003</w:t>
            </w:r>
            <w:r w:rsidRPr="007C4F71">
              <w:rPr>
                <w:rFonts w:ascii="Times New Roman" w:hAnsi="Times New Roman" w:cs="Times New Roman"/>
                <w:szCs w:val="24"/>
                <w:vertAlign w:val="superscript"/>
              </w:rPr>
              <w:t>b</w:t>
            </w:r>
          </w:p>
        </w:tc>
        <w:tc>
          <w:tcPr>
            <w:tcW w:w="1632" w:type="dxa"/>
            <w:tcBorders>
              <w:top w:val="nil"/>
              <w:left w:val="nil"/>
              <w:bottom w:val="nil"/>
              <w:right w:val="nil"/>
            </w:tcBorders>
            <w:tcMar>
              <w:top w:w="80" w:type="dxa"/>
              <w:left w:w="80" w:type="dxa"/>
              <w:bottom w:w="80" w:type="dxa"/>
              <w:right w:w="80" w:type="dxa"/>
            </w:tcMar>
          </w:tcPr>
          <w:p w14:paraId="2396E3C6"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0.004</w:t>
            </w:r>
            <w:r w:rsidRPr="007C4F71">
              <w:rPr>
                <w:rFonts w:ascii="Times New Roman" w:hAnsi="Times New Roman" w:cs="Times New Roman"/>
                <w:szCs w:val="24"/>
                <w:vertAlign w:val="superscript"/>
              </w:rPr>
              <w:t xml:space="preserve"> a</w:t>
            </w:r>
          </w:p>
        </w:tc>
      </w:tr>
      <w:tr w:rsidR="00814EFA" w:rsidRPr="007C4F71" w14:paraId="527173A2" w14:textId="77777777" w:rsidTr="00814EFA">
        <w:trPr>
          <w:trHeight w:val="382"/>
        </w:trPr>
        <w:tc>
          <w:tcPr>
            <w:tcW w:w="1400" w:type="dxa"/>
            <w:tcBorders>
              <w:top w:val="nil"/>
              <w:left w:val="nil"/>
              <w:bottom w:val="single" w:sz="4" w:space="0" w:color="000000"/>
              <w:right w:val="nil"/>
            </w:tcBorders>
            <w:tcMar>
              <w:top w:w="80" w:type="dxa"/>
              <w:left w:w="80" w:type="dxa"/>
              <w:bottom w:w="80" w:type="dxa"/>
              <w:right w:w="80" w:type="dxa"/>
            </w:tcMar>
          </w:tcPr>
          <w:p w14:paraId="78CC7863"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b/>
                <w:bCs/>
                <w:szCs w:val="24"/>
              </w:rPr>
              <w:t>P-value</w:t>
            </w:r>
          </w:p>
        </w:tc>
        <w:tc>
          <w:tcPr>
            <w:tcW w:w="1311" w:type="dxa"/>
            <w:tcBorders>
              <w:top w:val="nil"/>
              <w:left w:val="nil"/>
              <w:bottom w:val="single" w:sz="4" w:space="0" w:color="000000"/>
              <w:right w:val="nil"/>
            </w:tcBorders>
            <w:tcMar>
              <w:top w:w="80" w:type="dxa"/>
              <w:left w:w="80" w:type="dxa"/>
              <w:bottom w:w="80" w:type="dxa"/>
              <w:right w:w="80" w:type="dxa"/>
            </w:tcMar>
          </w:tcPr>
          <w:p w14:paraId="57337390"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0.0038*</w:t>
            </w:r>
          </w:p>
        </w:tc>
        <w:tc>
          <w:tcPr>
            <w:tcW w:w="1632" w:type="dxa"/>
            <w:tcBorders>
              <w:top w:val="nil"/>
              <w:left w:val="nil"/>
              <w:bottom w:val="single" w:sz="4" w:space="0" w:color="000000"/>
              <w:right w:val="nil"/>
            </w:tcBorders>
            <w:tcMar>
              <w:top w:w="80" w:type="dxa"/>
              <w:left w:w="80" w:type="dxa"/>
              <w:bottom w:w="80" w:type="dxa"/>
              <w:right w:w="80" w:type="dxa"/>
            </w:tcMar>
          </w:tcPr>
          <w:p w14:paraId="6BE5300E" w14:textId="77777777" w:rsidR="00814EFA" w:rsidRPr="007C4F71" w:rsidRDefault="00814EFA" w:rsidP="0038366A">
            <w:pPr>
              <w:pStyle w:val="Body"/>
              <w:jc w:val="both"/>
              <w:rPr>
                <w:rFonts w:ascii="Times New Roman" w:hAnsi="Times New Roman" w:cs="Times New Roman"/>
                <w:sz w:val="20"/>
              </w:rPr>
            </w:pPr>
            <w:r w:rsidRPr="007C4F71">
              <w:rPr>
                <w:rFonts w:ascii="Times New Roman" w:hAnsi="Times New Roman" w:cs="Times New Roman"/>
                <w:szCs w:val="24"/>
              </w:rPr>
              <w:t>0.7064</w:t>
            </w:r>
          </w:p>
        </w:tc>
      </w:tr>
    </w:tbl>
    <w:p w14:paraId="656DF314" w14:textId="77777777" w:rsidR="00E04827" w:rsidRPr="007C4F71" w:rsidRDefault="00E04827" w:rsidP="0038366A">
      <w:pPr>
        <w:pStyle w:val="Body"/>
        <w:jc w:val="both"/>
        <w:rPr>
          <w:rFonts w:ascii="Times New Roman" w:eastAsia="Times New Roman" w:hAnsi="Times New Roman" w:cs="Times New Roman"/>
          <w:szCs w:val="24"/>
        </w:rPr>
      </w:pPr>
      <w:r w:rsidRPr="007C4F71">
        <w:rPr>
          <w:rFonts w:ascii="Times New Roman" w:hAnsi="Times New Roman" w:cs="Times New Roman"/>
          <w:szCs w:val="24"/>
        </w:rPr>
        <w:t>*Pair of mean with dissimilar superscript is significantly different across the column</w:t>
      </w:r>
    </w:p>
    <w:p w14:paraId="46132F51" w14:textId="77777777" w:rsidR="00E04827" w:rsidRPr="007C4F71" w:rsidRDefault="00E04827" w:rsidP="0038366A">
      <w:pPr>
        <w:pStyle w:val="Body"/>
        <w:jc w:val="both"/>
        <w:rPr>
          <w:rFonts w:ascii="Times New Roman" w:eastAsia="Times New Roman" w:hAnsi="Times New Roman" w:cs="Times New Roman"/>
          <w:szCs w:val="24"/>
        </w:rPr>
      </w:pPr>
    </w:p>
    <w:p w14:paraId="690B033A" w14:textId="77777777" w:rsidR="00E04827" w:rsidRPr="007C4F71" w:rsidRDefault="00542578" w:rsidP="0038366A">
      <w:pPr>
        <w:pStyle w:val="Body"/>
        <w:jc w:val="both"/>
        <w:rPr>
          <w:rFonts w:ascii="Times New Roman" w:hAnsi="Times New Roman" w:cs="Times New Roman"/>
          <w:sz w:val="20"/>
        </w:rPr>
      </w:pPr>
      <w:r w:rsidRPr="007C4F71">
        <w:rPr>
          <w:rFonts w:ascii="Times New Roman" w:hAnsi="Times New Roman" w:cs="Times New Roman"/>
          <w:b/>
          <w:bCs/>
          <w:szCs w:val="24"/>
        </w:rPr>
        <w:t>Table 5</w:t>
      </w:r>
      <w:r w:rsidR="00E04827" w:rsidRPr="007C4F71">
        <w:rPr>
          <w:rFonts w:ascii="Times New Roman" w:hAnsi="Times New Roman" w:cs="Times New Roman"/>
          <w:b/>
          <w:bCs/>
          <w:szCs w:val="24"/>
        </w:rPr>
        <w:t>: ANOVA and Tukey Mean Separation of TPH between Matrix by Season</w:t>
      </w:r>
    </w:p>
    <w:p w14:paraId="6687A8E0" w14:textId="77777777" w:rsidR="00E04827" w:rsidRPr="007C4F71" w:rsidRDefault="00E04827" w:rsidP="0038366A">
      <w:pPr>
        <w:pStyle w:val="Body"/>
        <w:jc w:val="both"/>
        <w:rPr>
          <w:rFonts w:ascii="Times New Roman" w:eastAsia="Times New Roman" w:hAnsi="Times New Roman" w:cs="Times New Roman"/>
          <w:b/>
          <w:bCs/>
          <w:szCs w:val="24"/>
        </w:rPr>
      </w:pPr>
    </w:p>
    <w:tbl>
      <w:tblPr>
        <w:tblW w:w="7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1939"/>
        <w:gridCol w:w="1857"/>
        <w:gridCol w:w="1857"/>
      </w:tblGrid>
      <w:tr w:rsidR="00E04827" w:rsidRPr="007C4F71" w14:paraId="42E517CB" w14:textId="77777777" w:rsidTr="00EC1B94">
        <w:trPr>
          <w:trHeight w:val="300"/>
        </w:trPr>
        <w:tc>
          <w:tcPr>
            <w:tcW w:w="1985" w:type="dxa"/>
            <w:tcBorders>
              <w:top w:val="single" w:sz="4" w:space="0" w:color="000000"/>
              <w:left w:val="nil"/>
              <w:bottom w:val="single" w:sz="4" w:space="0" w:color="000000"/>
              <w:right w:val="nil"/>
            </w:tcBorders>
            <w:tcMar>
              <w:top w:w="80" w:type="dxa"/>
              <w:left w:w="80" w:type="dxa"/>
              <w:bottom w:w="80" w:type="dxa"/>
              <w:right w:w="80" w:type="dxa"/>
            </w:tcMar>
          </w:tcPr>
          <w:p w14:paraId="7D668D49"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b/>
                <w:bCs/>
                <w:szCs w:val="24"/>
              </w:rPr>
              <w:t>Matrix</w:t>
            </w:r>
          </w:p>
        </w:tc>
        <w:tc>
          <w:tcPr>
            <w:tcW w:w="1939" w:type="dxa"/>
            <w:tcBorders>
              <w:top w:val="single" w:sz="4" w:space="0" w:color="000000"/>
              <w:left w:val="nil"/>
              <w:bottom w:val="single" w:sz="4" w:space="0" w:color="000000"/>
              <w:right w:val="nil"/>
            </w:tcBorders>
            <w:tcMar>
              <w:top w:w="80" w:type="dxa"/>
              <w:left w:w="80" w:type="dxa"/>
              <w:bottom w:w="80" w:type="dxa"/>
              <w:right w:w="80" w:type="dxa"/>
            </w:tcMar>
          </w:tcPr>
          <w:p w14:paraId="624729A5" w14:textId="77777777" w:rsidR="00E04827" w:rsidRPr="007C4F71" w:rsidRDefault="00E04827" w:rsidP="0038366A">
            <w:pPr>
              <w:pStyle w:val="Body"/>
              <w:jc w:val="both"/>
              <w:rPr>
                <w:rFonts w:ascii="Times New Roman" w:hAnsi="Times New Roman" w:cs="Times New Roman"/>
                <w:b/>
                <w:sz w:val="20"/>
              </w:rPr>
            </w:pPr>
            <w:proofErr w:type="spellStart"/>
            <w:r w:rsidRPr="007C4F71">
              <w:rPr>
                <w:rFonts w:ascii="Times New Roman" w:hAnsi="Times New Roman" w:cs="Times New Roman"/>
                <w:b/>
                <w:szCs w:val="24"/>
              </w:rPr>
              <w:t>TPH_Dry</w:t>
            </w:r>
            <w:proofErr w:type="spellEnd"/>
            <w:r w:rsidRPr="007C4F71">
              <w:rPr>
                <w:rFonts w:ascii="Times New Roman" w:hAnsi="Times New Roman" w:cs="Times New Roman"/>
                <w:b/>
                <w:szCs w:val="24"/>
              </w:rPr>
              <w:t xml:space="preserve"> </w:t>
            </w:r>
          </w:p>
        </w:tc>
        <w:tc>
          <w:tcPr>
            <w:tcW w:w="1857" w:type="dxa"/>
            <w:tcBorders>
              <w:top w:val="single" w:sz="4" w:space="0" w:color="000000"/>
              <w:left w:val="nil"/>
              <w:bottom w:val="single" w:sz="4" w:space="0" w:color="000000"/>
              <w:right w:val="nil"/>
            </w:tcBorders>
            <w:tcMar>
              <w:top w:w="80" w:type="dxa"/>
              <w:left w:w="80" w:type="dxa"/>
              <w:bottom w:w="80" w:type="dxa"/>
              <w:right w:w="80" w:type="dxa"/>
            </w:tcMar>
          </w:tcPr>
          <w:p w14:paraId="5F159028" w14:textId="77777777" w:rsidR="00E04827" w:rsidRPr="007C4F71" w:rsidRDefault="00E04827" w:rsidP="0038366A">
            <w:pPr>
              <w:pStyle w:val="Body"/>
              <w:jc w:val="both"/>
              <w:rPr>
                <w:rFonts w:ascii="Times New Roman" w:hAnsi="Times New Roman" w:cs="Times New Roman"/>
                <w:b/>
                <w:sz w:val="20"/>
              </w:rPr>
            </w:pPr>
            <w:r w:rsidRPr="007C4F71">
              <w:rPr>
                <w:rFonts w:ascii="Times New Roman" w:hAnsi="Times New Roman" w:cs="Times New Roman"/>
                <w:b/>
                <w:szCs w:val="24"/>
              </w:rPr>
              <w:t xml:space="preserve">TPH_ Wet </w:t>
            </w:r>
          </w:p>
        </w:tc>
        <w:tc>
          <w:tcPr>
            <w:tcW w:w="1857" w:type="dxa"/>
            <w:tcBorders>
              <w:top w:val="single" w:sz="4" w:space="0" w:color="000000"/>
              <w:left w:val="nil"/>
              <w:bottom w:val="single" w:sz="4" w:space="0" w:color="000000"/>
              <w:right w:val="nil"/>
            </w:tcBorders>
            <w:tcMar>
              <w:top w:w="80" w:type="dxa"/>
              <w:left w:w="80" w:type="dxa"/>
              <w:bottom w:w="80" w:type="dxa"/>
              <w:right w:w="80" w:type="dxa"/>
            </w:tcMar>
          </w:tcPr>
          <w:p w14:paraId="594839FA" w14:textId="77777777" w:rsidR="00E04827" w:rsidRPr="007C4F71" w:rsidRDefault="00E04827" w:rsidP="0038366A">
            <w:pPr>
              <w:pStyle w:val="Body"/>
              <w:jc w:val="both"/>
              <w:rPr>
                <w:rFonts w:ascii="Times New Roman" w:hAnsi="Times New Roman" w:cs="Times New Roman"/>
                <w:b/>
                <w:sz w:val="20"/>
              </w:rPr>
            </w:pPr>
            <w:r w:rsidRPr="007C4F71">
              <w:rPr>
                <w:rFonts w:ascii="Times New Roman" w:hAnsi="Times New Roman" w:cs="Times New Roman"/>
                <w:b/>
                <w:szCs w:val="24"/>
              </w:rPr>
              <w:t>Wet and Dry</w:t>
            </w:r>
          </w:p>
        </w:tc>
      </w:tr>
      <w:tr w:rsidR="00E04827" w:rsidRPr="007C4F71" w14:paraId="2E138DD2" w14:textId="77777777" w:rsidTr="00EC1B94">
        <w:trPr>
          <w:trHeight w:val="290"/>
        </w:trPr>
        <w:tc>
          <w:tcPr>
            <w:tcW w:w="1985" w:type="dxa"/>
            <w:tcBorders>
              <w:top w:val="nil"/>
              <w:left w:val="nil"/>
              <w:bottom w:val="nil"/>
              <w:right w:val="nil"/>
            </w:tcBorders>
            <w:tcMar>
              <w:top w:w="80" w:type="dxa"/>
              <w:left w:w="80" w:type="dxa"/>
              <w:bottom w:w="80" w:type="dxa"/>
              <w:right w:w="80" w:type="dxa"/>
            </w:tcMar>
          </w:tcPr>
          <w:p w14:paraId="69CE96C4"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Oyster</w:t>
            </w:r>
          </w:p>
        </w:tc>
        <w:tc>
          <w:tcPr>
            <w:tcW w:w="1939" w:type="dxa"/>
            <w:tcBorders>
              <w:top w:val="nil"/>
              <w:left w:val="nil"/>
              <w:bottom w:val="nil"/>
              <w:right w:val="nil"/>
            </w:tcBorders>
            <w:tcMar>
              <w:top w:w="80" w:type="dxa"/>
              <w:left w:w="80" w:type="dxa"/>
              <w:bottom w:w="80" w:type="dxa"/>
              <w:right w:w="80" w:type="dxa"/>
            </w:tcMar>
          </w:tcPr>
          <w:p w14:paraId="357ADD1B"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0.017±0.009</w:t>
            </w:r>
            <w:r w:rsidRPr="007C4F71">
              <w:rPr>
                <w:rFonts w:ascii="Times New Roman" w:hAnsi="Times New Roman" w:cs="Times New Roman"/>
                <w:szCs w:val="24"/>
                <w:vertAlign w:val="superscript"/>
              </w:rPr>
              <w:t xml:space="preserve"> a</w:t>
            </w:r>
          </w:p>
        </w:tc>
        <w:tc>
          <w:tcPr>
            <w:tcW w:w="1857" w:type="dxa"/>
            <w:tcBorders>
              <w:top w:val="nil"/>
              <w:left w:val="nil"/>
              <w:bottom w:val="nil"/>
              <w:right w:val="nil"/>
            </w:tcBorders>
            <w:tcMar>
              <w:top w:w="80" w:type="dxa"/>
              <w:left w:w="80" w:type="dxa"/>
              <w:bottom w:w="80" w:type="dxa"/>
              <w:right w:w="80" w:type="dxa"/>
            </w:tcMar>
          </w:tcPr>
          <w:p w14:paraId="458130F8"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0.011±0.014</w:t>
            </w:r>
            <w:r w:rsidRPr="007C4F71">
              <w:rPr>
                <w:rFonts w:ascii="Times New Roman" w:hAnsi="Times New Roman" w:cs="Times New Roman"/>
                <w:szCs w:val="24"/>
                <w:vertAlign w:val="superscript"/>
              </w:rPr>
              <w:t xml:space="preserve"> ab</w:t>
            </w:r>
          </w:p>
        </w:tc>
        <w:tc>
          <w:tcPr>
            <w:tcW w:w="1857" w:type="dxa"/>
            <w:tcBorders>
              <w:top w:val="nil"/>
              <w:left w:val="nil"/>
              <w:bottom w:val="nil"/>
              <w:right w:val="nil"/>
            </w:tcBorders>
            <w:tcMar>
              <w:top w:w="80" w:type="dxa"/>
              <w:left w:w="80" w:type="dxa"/>
              <w:bottom w:w="80" w:type="dxa"/>
              <w:right w:w="80" w:type="dxa"/>
            </w:tcMar>
          </w:tcPr>
          <w:p w14:paraId="084083F9"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0.014±0.012</w:t>
            </w:r>
            <w:r w:rsidRPr="007C4F71">
              <w:rPr>
                <w:rFonts w:ascii="Times New Roman" w:hAnsi="Times New Roman" w:cs="Times New Roman"/>
                <w:szCs w:val="24"/>
                <w:vertAlign w:val="superscript"/>
              </w:rPr>
              <w:t xml:space="preserve"> a</w:t>
            </w:r>
          </w:p>
        </w:tc>
      </w:tr>
      <w:tr w:rsidR="00E04827" w:rsidRPr="007C4F71" w14:paraId="6AD42BA3" w14:textId="77777777" w:rsidTr="00EC1B94">
        <w:trPr>
          <w:trHeight w:val="290"/>
        </w:trPr>
        <w:tc>
          <w:tcPr>
            <w:tcW w:w="1985" w:type="dxa"/>
            <w:tcBorders>
              <w:top w:val="nil"/>
              <w:left w:val="nil"/>
              <w:bottom w:val="nil"/>
              <w:right w:val="nil"/>
            </w:tcBorders>
            <w:tcMar>
              <w:top w:w="80" w:type="dxa"/>
              <w:left w:w="80" w:type="dxa"/>
              <w:bottom w:w="80" w:type="dxa"/>
              <w:right w:w="80" w:type="dxa"/>
            </w:tcMar>
          </w:tcPr>
          <w:p w14:paraId="3F348B21"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lastRenderedPageBreak/>
              <w:t>Periwinkle</w:t>
            </w:r>
          </w:p>
        </w:tc>
        <w:tc>
          <w:tcPr>
            <w:tcW w:w="1939" w:type="dxa"/>
            <w:tcBorders>
              <w:top w:val="nil"/>
              <w:left w:val="nil"/>
              <w:bottom w:val="nil"/>
              <w:right w:val="nil"/>
            </w:tcBorders>
            <w:tcMar>
              <w:top w:w="80" w:type="dxa"/>
              <w:left w:w="80" w:type="dxa"/>
              <w:bottom w:w="80" w:type="dxa"/>
              <w:right w:w="80" w:type="dxa"/>
            </w:tcMar>
          </w:tcPr>
          <w:p w14:paraId="5DCA42A9"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0.004±0.002</w:t>
            </w:r>
            <w:r w:rsidRPr="007C4F71">
              <w:rPr>
                <w:rFonts w:ascii="Times New Roman" w:hAnsi="Times New Roman" w:cs="Times New Roman"/>
                <w:szCs w:val="24"/>
                <w:vertAlign w:val="superscript"/>
              </w:rPr>
              <w:t xml:space="preserve"> a</w:t>
            </w:r>
          </w:p>
        </w:tc>
        <w:tc>
          <w:tcPr>
            <w:tcW w:w="1857" w:type="dxa"/>
            <w:tcBorders>
              <w:top w:val="nil"/>
              <w:left w:val="nil"/>
              <w:bottom w:val="nil"/>
              <w:right w:val="nil"/>
            </w:tcBorders>
            <w:tcMar>
              <w:top w:w="80" w:type="dxa"/>
              <w:left w:w="80" w:type="dxa"/>
              <w:bottom w:w="80" w:type="dxa"/>
              <w:right w:w="80" w:type="dxa"/>
            </w:tcMar>
          </w:tcPr>
          <w:p w14:paraId="336C26C9"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0.004±0.002</w:t>
            </w:r>
            <w:r w:rsidRPr="007C4F71">
              <w:rPr>
                <w:rFonts w:ascii="Times New Roman" w:hAnsi="Times New Roman" w:cs="Times New Roman"/>
                <w:szCs w:val="24"/>
                <w:vertAlign w:val="superscript"/>
              </w:rPr>
              <w:t>b</w:t>
            </w:r>
          </w:p>
        </w:tc>
        <w:tc>
          <w:tcPr>
            <w:tcW w:w="1857" w:type="dxa"/>
            <w:tcBorders>
              <w:top w:val="nil"/>
              <w:left w:val="nil"/>
              <w:bottom w:val="nil"/>
              <w:right w:val="nil"/>
            </w:tcBorders>
            <w:tcMar>
              <w:top w:w="80" w:type="dxa"/>
              <w:left w:w="80" w:type="dxa"/>
              <w:bottom w:w="80" w:type="dxa"/>
              <w:right w:w="80" w:type="dxa"/>
            </w:tcMar>
          </w:tcPr>
          <w:p w14:paraId="5718BB3E"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0.004±0.002</w:t>
            </w:r>
            <w:r w:rsidRPr="007C4F71">
              <w:rPr>
                <w:rFonts w:ascii="Times New Roman" w:hAnsi="Times New Roman" w:cs="Times New Roman"/>
                <w:szCs w:val="24"/>
                <w:vertAlign w:val="superscript"/>
              </w:rPr>
              <w:t xml:space="preserve"> a</w:t>
            </w:r>
          </w:p>
        </w:tc>
      </w:tr>
      <w:tr w:rsidR="00E04827" w:rsidRPr="007C4F71" w14:paraId="70257C31" w14:textId="77777777" w:rsidTr="00EC1B94">
        <w:trPr>
          <w:trHeight w:val="295"/>
        </w:trPr>
        <w:tc>
          <w:tcPr>
            <w:tcW w:w="1985" w:type="dxa"/>
            <w:tcBorders>
              <w:top w:val="nil"/>
              <w:left w:val="nil"/>
              <w:bottom w:val="single" w:sz="4" w:space="0" w:color="000000"/>
              <w:right w:val="nil"/>
            </w:tcBorders>
            <w:tcMar>
              <w:top w:w="80" w:type="dxa"/>
              <w:left w:w="80" w:type="dxa"/>
              <w:bottom w:w="80" w:type="dxa"/>
              <w:right w:w="80" w:type="dxa"/>
            </w:tcMar>
          </w:tcPr>
          <w:p w14:paraId="689AFE8E"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P-Value</w:t>
            </w:r>
          </w:p>
        </w:tc>
        <w:tc>
          <w:tcPr>
            <w:tcW w:w="1939" w:type="dxa"/>
            <w:tcBorders>
              <w:top w:val="nil"/>
              <w:left w:val="nil"/>
              <w:bottom w:val="single" w:sz="4" w:space="0" w:color="000000"/>
              <w:right w:val="nil"/>
            </w:tcBorders>
            <w:tcMar>
              <w:top w:w="80" w:type="dxa"/>
              <w:left w:w="80" w:type="dxa"/>
              <w:bottom w:w="80" w:type="dxa"/>
              <w:right w:w="80" w:type="dxa"/>
            </w:tcMar>
            <w:vAlign w:val="bottom"/>
          </w:tcPr>
          <w:p w14:paraId="1D246E9F"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0.3899</w:t>
            </w:r>
          </w:p>
        </w:tc>
        <w:tc>
          <w:tcPr>
            <w:tcW w:w="1857" w:type="dxa"/>
            <w:tcBorders>
              <w:top w:val="nil"/>
              <w:left w:val="nil"/>
              <w:bottom w:val="single" w:sz="4" w:space="0" w:color="000000"/>
              <w:right w:val="nil"/>
            </w:tcBorders>
            <w:tcMar>
              <w:top w:w="80" w:type="dxa"/>
              <w:left w:w="80" w:type="dxa"/>
              <w:bottom w:w="80" w:type="dxa"/>
              <w:right w:w="80" w:type="dxa"/>
            </w:tcMar>
          </w:tcPr>
          <w:p w14:paraId="19B485DB"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0.0061*</w:t>
            </w:r>
          </w:p>
        </w:tc>
        <w:tc>
          <w:tcPr>
            <w:tcW w:w="1857" w:type="dxa"/>
            <w:tcBorders>
              <w:top w:val="nil"/>
              <w:left w:val="nil"/>
              <w:bottom w:val="single" w:sz="4" w:space="0" w:color="000000"/>
              <w:right w:val="nil"/>
            </w:tcBorders>
            <w:tcMar>
              <w:top w:w="80" w:type="dxa"/>
              <w:left w:w="80" w:type="dxa"/>
              <w:bottom w:w="80" w:type="dxa"/>
              <w:right w:w="80" w:type="dxa"/>
            </w:tcMar>
          </w:tcPr>
          <w:p w14:paraId="3D7FEFF6" w14:textId="77777777" w:rsidR="00E04827" w:rsidRPr="007C4F71" w:rsidRDefault="00E04827" w:rsidP="0038366A">
            <w:pPr>
              <w:pStyle w:val="Body"/>
              <w:jc w:val="both"/>
              <w:rPr>
                <w:rFonts w:ascii="Times New Roman" w:hAnsi="Times New Roman" w:cs="Times New Roman"/>
                <w:sz w:val="20"/>
              </w:rPr>
            </w:pPr>
            <w:r w:rsidRPr="007C4F71">
              <w:rPr>
                <w:rFonts w:ascii="Times New Roman" w:hAnsi="Times New Roman" w:cs="Times New Roman"/>
                <w:szCs w:val="24"/>
              </w:rPr>
              <w:t>0.403</w:t>
            </w:r>
          </w:p>
        </w:tc>
      </w:tr>
    </w:tbl>
    <w:p w14:paraId="691A5D1C" w14:textId="77777777" w:rsidR="00E04827" w:rsidRPr="007C4F71" w:rsidRDefault="00E04827" w:rsidP="0038366A">
      <w:pPr>
        <w:spacing w:line="240" w:lineRule="auto"/>
        <w:jc w:val="both"/>
        <w:rPr>
          <w:rFonts w:ascii="Times New Roman" w:hAnsi="Times New Roman" w:cs="Times New Roman"/>
          <w:sz w:val="22"/>
        </w:rPr>
      </w:pPr>
    </w:p>
    <w:p w14:paraId="3372D802" w14:textId="77777777" w:rsidR="00E767BE" w:rsidRPr="007C4F71" w:rsidRDefault="00E767BE" w:rsidP="00E767BE">
      <w:pPr>
        <w:pStyle w:val="NormalWeb"/>
        <w:jc w:val="both"/>
        <w:rPr>
          <w:sz w:val="22"/>
          <w:szCs w:val="22"/>
        </w:rPr>
      </w:pPr>
      <w:r w:rsidRPr="007C4F71">
        <w:rPr>
          <w:sz w:val="22"/>
          <w:szCs w:val="22"/>
        </w:rPr>
        <w:t xml:space="preserve">The present study demonstrates a consistent partitioning of total petroleum hydrocarbons (TPH) between environmental matrices, with sediments acting as the primary reservoir relative to the overlying water column. Sediment TPH concentrations (0.58–8.89 mg/kg) were markedly higher than those measured in water (0.01–0.02 mg/L) throughout the study period. This distribution reflects the hydrophobic and lipophilic nature of petroleum hydrocarbons, which preferentially adsorb to fine-grained sediments and organic matter (Abdel-Shafy &amp; Mansour, 2016). Comparable sediment-dominated accumulation has been widely reported, with sediment TPH concentrations ranging from 1.2–15.6 mg/kg in contaminated coastal systems (Abdel-Shafy &amp; Mansour, 2016), 2.14–12.87 mg/kg in Niger Delta creeks (Dosunmu </w:t>
      </w:r>
      <w:r w:rsidRPr="007C4F71">
        <w:rPr>
          <w:i/>
          <w:sz w:val="22"/>
          <w:szCs w:val="22"/>
        </w:rPr>
        <w:t>et al</w:t>
      </w:r>
      <w:r w:rsidRPr="007C4F71">
        <w:rPr>
          <w:sz w:val="22"/>
          <w:szCs w:val="22"/>
        </w:rPr>
        <w:t xml:space="preserve">., 2020), and 3.6–18.4 mg/kg in tropical estuaries influenced by oil-related activities (Benson </w:t>
      </w:r>
      <w:r w:rsidRPr="007C4F71">
        <w:rPr>
          <w:i/>
          <w:sz w:val="22"/>
          <w:szCs w:val="22"/>
        </w:rPr>
        <w:t>et al</w:t>
      </w:r>
      <w:r w:rsidRPr="007C4F71">
        <w:rPr>
          <w:sz w:val="22"/>
          <w:szCs w:val="22"/>
        </w:rPr>
        <w:t>., 2021).</w:t>
      </w:r>
    </w:p>
    <w:p w14:paraId="57D5A096" w14:textId="77777777" w:rsidR="00E767BE" w:rsidRPr="007C4F71" w:rsidRDefault="00E767BE" w:rsidP="00E767BE">
      <w:pPr>
        <w:pStyle w:val="NormalWeb"/>
        <w:jc w:val="both"/>
        <w:rPr>
          <w:sz w:val="22"/>
          <w:szCs w:val="22"/>
        </w:rPr>
      </w:pPr>
      <w:r w:rsidRPr="007C4F71">
        <w:rPr>
          <w:sz w:val="22"/>
          <w:szCs w:val="22"/>
        </w:rPr>
        <w:t xml:space="preserve">In contrast, the low and relatively stable TPH concentrations recorded in water are consistent with the rapid removal of hydrocarbons from the dissolved phase through volatilization, dilution, photooxidation, and microbial degradation. Wang </w:t>
      </w:r>
      <w:r w:rsidRPr="007C4F71">
        <w:rPr>
          <w:i/>
          <w:sz w:val="22"/>
          <w:szCs w:val="22"/>
        </w:rPr>
        <w:t>et al</w:t>
      </w:r>
      <w:r w:rsidRPr="007C4F71">
        <w:rPr>
          <w:sz w:val="22"/>
          <w:szCs w:val="22"/>
        </w:rPr>
        <w:t>. (2018) reported that 40–60% of lighter hydrocarbon fractions may volatilize within days of release, while ATSDR (1999) noted that dissolved TPH concentrations in polluted surface waters rarely exceed 0.1 mg/L. Additionally, microbial degradation rates of approximately 0.02–0.3 mg/L/day have been documented in tropical aquatic systems (NRC, 2003), further limiting hydrocarbon persistence in the water column. These processes collectively enhance the transfer and long-term retention of hydrocarbons in sediments, which may act as secondary contamination sources through resuspension and bioturbation (Eggleton &amp; Thomas, 2004).</w:t>
      </w:r>
    </w:p>
    <w:p w14:paraId="397E8EDB" w14:textId="77777777" w:rsidR="00E767BE" w:rsidRPr="007C4F71" w:rsidRDefault="00E767BE" w:rsidP="00E767BE">
      <w:pPr>
        <w:pStyle w:val="NormalWeb"/>
        <w:jc w:val="both"/>
        <w:rPr>
          <w:sz w:val="22"/>
          <w:szCs w:val="22"/>
        </w:rPr>
      </w:pPr>
      <w:r w:rsidRPr="007C4F71">
        <w:rPr>
          <w:sz w:val="22"/>
          <w:szCs w:val="22"/>
        </w:rPr>
        <w:t xml:space="preserve">Seasonal assessment revealed no statistically significant differences in TPH concentrations between dry and wet seasons for either sediment or water, although sediments consistently exhibited higher mean concentrations across seasons. Similar overlapping seasonal ranges have been reported by Okoro </w:t>
      </w:r>
      <w:r w:rsidRPr="007C4F71">
        <w:rPr>
          <w:i/>
          <w:sz w:val="22"/>
          <w:szCs w:val="22"/>
        </w:rPr>
        <w:t>et al</w:t>
      </w:r>
      <w:r w:rsidRPr="007C4F71">
        <w:rPr>
          <w:sz w:val="22"/>
          <w:szCs w:val="22"/>
        </w:rPr>
        <w:t xml:space="preserve">. (2021), who documented sediment TPH concentrations of 5.4–10.2 mg/kg during the dry season and 3.1–8.7 mg/kg during the wet season. Zakaria </w:t>
      </w:r>
      <w:r w:rsidRPr="007C4F71">
        <w:rPr>
          <w:i/>
          <w:sz w:val="22"/>
          <w:szCs w:val="22"/>
        </w:rPr>
        <w:t>et al</w:t>
      </w:r>
      <w:r w:rsidRPr="007C4F71">
        <w:rPr>
          <w:sz w:val="22"/>
          <w:szCs w:val="22"/>
        </w:rPr>
        <w:t xml:space="preserve">. (2002) likewise reported sediment TPH values of 4.2–14.8 mg/kg across seasons in the Straits of Malacca, concluding that continuous hydrocarbon inputs often obscure seasonal signals. The absence of pronounced seasonal variation in the present study therefore suggests sustained, low-level anthropogenic inputs rather than episodic spill events, a pattern characteristic of chronically impacted oil-producing regions (Dosunmu </w:t>
      </w:r>
      <w:r w:rsidRPr="007C4F71">
        <w:rPr>
          <w:i/>
          <w:sz w:val="22"/>
          <w:szCs w:val="22"/>
        </w:rPr>
        <w:t>et al</w:t>
      </w:r>
      <w:r w:rsidRPr="007C4F71">
        <w:rPr>
          <w:sz w:val="22"/>
          <w:szCs w:val="22"/>
        </w:rPr>
        <w:t>., 2020; UNEP, 2011).</w:t>
      </w:r>
    </w:p>
    <w:p w14:paraId="473B44C5" w14:textId="77777777" w:rsidR="00E767BE" w:rsidRPr="007C4F71" w:rsidRDefault="00E767BE" w:rsidP="00E767BE">
      <w:pPr>
        <w:pStyle w:val="NormalWeb"/>
        <w:jc w:val="both"/>
        <w:rPr>
          <w:sz w:val="22"/>
          <w:szCs w:val="22"/>
        </w:rPr>
      </w:pPr>
      <w:r w:rsidRPr="007C4F71">
        <w:rPr>
          <w:sz w:val="22"/>
          <w:szCs w:val="22"/>
        </w:rPr>
        <w:t xml:space="preserve">Bioaccumulation of TPH in benthic organisms was clearly species-dependent. Oysters accumulated higher and more variable TPH concentrations (0.002–0.029 mg/kg) than periwinkles (0.003–0.005 mg/kg), consistent with their contrasting feeding strategies. Filter-feeding bivalves have been shown to accumulate greater hydrocarbon burdens due to continuous filtration of suspended particulate matter, which often carries particle-bound hydrocarbons (Rainbow, 2002). Similar concentration ranges have been reported in Nigerian coastal waters, where oyster TPH concentrations ranged from 0.006–0.041 mg/kg, compared to 0.002–0.009 mg/kg in periwinkles (Adebiyi </w:t>
      </w:r>
      <w:r w:rsidRPr="007C4F71">
        <w:rPr>
          <w:i/>
          <w:sz w:val="22"/>
          <w:szCs w:val="22"/>
        </w:rPr>
        <w:t>et al</w:t>
      </w:r>
      <w:r w:rsidRPr="007C4F71">
        <w:rPr>
          <w:sz w:val="22"/>
          <w:szCs w:val="22"/>
        </w:rPr>
        <w:t xml:space="preserve">., 2018), and mean oyster values of 0.018 ± 0.006 mg/kg exceeded those of gastropods (0.004 ± 0.002 mg/kg) (Nwankwo &amp; </w:t>
      </w:r>
      <w:proofErr w:type="spellStart"/>
      <w:r w:rsidRPr="007C4F71">
        <w:rPr>
          <w:sz w:val="22"/>
          <w:szCs w:val="22"/>
        </w:rPr>
        <w:t>Ogamba</w:t>
      </w:r>
      <w:proofErr w:type="spellEnd"/>
      <w:r w:rsidRPr="007C4F71">
        <w:rPr>
          <w:sz w:val="22"/>
          <w:szCs w:val="22"/>
        </w:rPr>
        <w:t>, 2019).</w:t>
      </w:r>
    </w:p>
    <w:p w14:paraId="47CA11E8" w14:textId="77777777" w:rsidR="00E767BE" w:rsidRPr="007C4F71" w:rsidRDefault="00E767BE" w:rsidP="00E767BE">
      <w:pPr>
        <w:pStyle w:val="NormalWeb"/>
        <w:jc w:val="both"/>
        <w:rPr>
          <w:sz w:val="22"/>
          <w:szCs w:val="22"/>
        </w:rPr>
      </w:pPr>
      <w:r w:rsidRPr="007C4F71">
        <w:rPr>
          <w:sz w:val="22"/>
          <w:szCs w:val="22"/>
        </w:rPr>
        <w:t xml:space="preserve">Seasonal variability in oyster TPH concentrations further underscores their sensitivity as </w:t>
      </w:r>
      <w:proofErr w:type="spellStart"/>
      <w:r w:rsidRPr="007C4F71">
        <w:rPr>
          <w:sz w:val="22"/>
          <w:szCs w:val="22"/>
        </w:rPr>
        <w:t>biomonitors</w:t>
      </w:r>
      <w:proofErr w:type="spellEnd"/>
      <w:r w:rsidRPr="007C4F71">
        <w:rPr>
          <w:sz w:val="22"/>
          <w:szCs w:val="22"/>
        </w:rPr>
        <w:t xml:space="preserve"> of petroleum contamination. </w:t>
      </w:r>
      <w:proofErr w:type="spellStart"/>
      <w:r w:rsidRPr="007C4F71">
        <w:rPr>
          <w:sz w:val="22"/>
          <w:szCs w:val="22"/>
        </w:rPr>
        <w:t>Otitoloju</w:t>
      </w:r>
      <w:proofErr w:type="spellEnd"/>
      <w:r w:rsidRPr="007C4F71">
        <w:rPr>
          <w:sz w:val="22"/>
          <w:szCs w:val="22"/>
        </w:rPr>
        <w:t xml:space="preserve"> and Don-Pedro (2017) reported seasonal oyster TPH concentrations of 0.009–0.033 mg/kg, with dry-season maxima linked to reduced dilution and wet-season increases associated with runoff and sediment resuspension. Comparable seasonal ranges (0.011–0.038 mg/kg) were reported by Benson </w:t>
      </w:r>
      <w:r w:rsidRPr="007C4F71">
        <w:rPr>
          <w:i/>
          <w:sz w:val="22"/>
          <w:szCs w:val="22"/>
        </w:rPr>
        <w:t>et al</w:t>
      </w:r>
      <w:r w:rsidRPr="007C4F71">
        <w:rPr>
          <w:sz w:val="22"/>
          <w:szCs w:val="22"/>
        </w:rPr>
        <w:t xml:space="preserve">. (2021) in estuarine systems influenced by oil exploration activities. In contrast, periwinkles consistently exhibited low TPH concentrations with minimal seasonal variability, </w:t>
      </w:r>
      <w:r w:rsidRPr="007C4F71">
        <w:rPr>
          <w:sz w:val="22"/>
          <w:szCs w:val="22"/>
        </w:rPr>
        <w:lastRenderedPageBreak/>
        <w:t xml:space="preserve">rarely exceeding 0.01 mg/kg, suggesting lower exposure or more efficient depuration mechanisms (Adebiyi </w:t>
      </w:r>
      <w:r w:rsidRPr="007C4F71">
        <w:rPr>
          <w:i/>
          <w:sz w:val="22"/>
          <w:szCs w:val="22"/>
        </w:rPr>
        <w:t>et al</w:t>
      </w:r>
      <w:r w:rsidRPr="007C4F71">
        <w:rPr>
          <w:sz w:val="22"/>
          <w:szCs w:val="22"/>
        </w:rPr>
        <w:t>., 2018; Rainbow, 2002).</w:t>
      </w:r>
    </w:p>
    <w:p w14:paraId="2E1DD10B" w14:textId="77777777" w:rsidR="00E767BE" w:rsidRPr="007C4F71" w:rsidRDefault="00E767BE" w:rsidP="00E767BE">
      <w:pPr>
        <w:pStyle w:val="NormalWeb"/>
        <w:jc w:val="both"/>
        <w:rPr>
          <w:sz w:val="22"/>
          <w:szCs w:val="22"/>
        </w:rPr>
      </w:pPr>
      <w:r w:rsidRPr="007C4F71">
        <w:rPr>
          <w:sz w:val="22"/>
          <w:szCs w:val="22"/>
        </w:rPr>
        <w:t xml:space="preserve">The lack of a significant difference in oyster TPH concentrations between dry and wet seasons indicates year-round exposure, consistent with findings by Dosunmu </w:t>
      </w:r>
      <w:r w:rsidRPr="007C4F71">
        <w:rPr>
          <w:i/>
          <w:sz w:val="22"/>
          <w:szCs w:val="22"/>
        </w:rPr>
        <w:t>et al</w:t>
      </w:r>
      <w:r w:rsidRPr="007C4F71">
        <w:rPr>
          <w:sz w:val="22"/>
          <w:szCs w:val="22"/>
        </w:rPr>
        <w:t xml:space="preserve">. (2020), who reported annual mean oyster TPH concentrations of 0.021–0.026 mg/kg with no clear seasonal separation. Although periwinkles showed a statistically significant seasonal difference in the present study, absolute concentrations remained low and within ranges (0.003–0.015 mg/kg) previously reported for minimally impacted gastropods (Zakaria </w:t>
      </w:r>
      <w:r w:rsidRPr="007C4F71">
        <w:rPr>
          <w:i/>
          <w:sz w:val="22"/>
          <w:szCs w:val="22"/>
        </w:rPr>
        <w:t>et al</w:t>
      </w:r>
      <w:r w:rsidRPr="007C4F71">
        <w:rPr>
          <w:sz w:val="22"/>
          <w:szCs w:val="22"/>
        </w:rPr>
        <w:t xml:space="preserve">., 2002; Benson </w:t>
      </w:r>
      <w:r w:rsidRPr="007C4F71">
        <w:rPr>
          <w:i/>
          <w:sz w:val="22"/>
          <w:szCs w:val="22"/>
        </w:rPr>
        <w:t>et al</w:t>
      </w:r>
      <w:r w:rsidRPr="007C4F71">
        <w:rPr>
          <w:sz w:val="22"/>
          <w:szCs w:val="22"/>
        </w:rPr>
        <w:t>., 2021).</w:t>
      </w:r>
    </w:p>
    <w:p w14:paraId="48E94BB7" w14:textId="77777777" w:rsidR="00E767BE" w:rsidRPr="007C4F71" w:rsidRDefault="00D14B7D" w:rsidP="0038366A">
      <w:pPr>
        <w:pStyle w:val="NormalWeb"/>
        <w:jc w:val="both"/>
        <w:rPr>
          <w:sz w:val="22"/>
          <w:szCs w:val="22"/>
        </w:rPr>
      </w:pPr>
      <w:r w:rsidRPr="007C4F71">
        <w:rPr>
          <w:sz w:val="22"/>
          <w:szCs w:val="22"/>
        </w:rPr>
        <w:t>However</w:t>
      </w:r>
      <w:r w:rsidR="00E767BE" w:rsidRPr="007C4F71">
        <w:rPr>
          <w:sz w:val="22"/>
          <w:szCs w:val="22"/>
        </w:rPr>
        <w:t>, the TPH concentrations recorded in sediments and biota fall within ranges reported for chronically impacted but non-catastrophic coastal environments. According to FAO/WHO (2016), petroleum-related hydrocarbon concentrations in seafood below 1 mg/kg are generally considered to pose low immediate risk to consumers, while ATSDR (1999) indicates that concern for chronic exposure increases when dietary intake exceeds approximately 0.05 mg/kg/day. Although TPH levels in edible organisms in this study were well below these thresholds, the persistence of hydrocarbons in sediments and their bioaccumulation in oysters highlight the need for continued environmental monitoring. This is particularly important in coastal communities with high dependence on shellfish for dietary protein, where long-term, cumulative exposure may have ecological and public health implications (UNEP, 2011; NRC, 2003).</w:t>
      </w:r>
    </w:p>
    <w:p w14:paraId="390A9894" w14:textId="77777777" w:rsidR="009642F1" w:rsidRPr="007C4F71" w:rsidRDefault="009642F1" w:rsidP="0038366A">
      <w:pPr>
        <w:pStyle w:val="NormalWeb"/>
        <w:jc w:val="both"/>
        <w:rPr>
          <w:b/>
          <w:sz w:val="22"/>
        </w:rPr>
      </w:pPr>
      <w:r w:rsidRPr="007C4F71">
        <w:rPr>
          <w:b/>
          <w:sz w:val="22"/>
        </w:rPr>
        <w:t>Conclusion</w:t>
      </w:r>
    </w:p>
    <w:p w14:paraId="668C2B39" w14:textId="77777777" w:rsidR="00544504" w:rsidRDefault="002E7082" w:rsidP="0038366A">
      <w:pPr>
        <w:pStyle w:val="NormalWeb"/>
        <w:jc w:val="both"/>
        <w:rPr>
          <w:sz w:val="22"/>
        </w:rPr>
      </w:pPr>
      <w:r w:rsidRPr="007C4F71">
        <w:rPr>
          <w:sz w:val="22"/>
        </w:rPr>
        <w:t xml:space="preserve">This study demonstrates that Total Petroleum Hydrocarbon contamination in the </w:t>
      </w:r>
      <w:proofErr w:type="spellStart"/>
      <w:r w:rsidRPr="007C4F71">
        <w:rPr>
          <w:sz w:val="22"/>
        </w:rPr>
        <w:t>Iwofe</w:t>
      </w:r>
      <w:proofErr w:type="spellEnd"/>
      <w:r w:rsidRPr="007C4F71">
        <w:rPr>
          <w:sz w:val="22"/>
        </w:rPr>
        <w:t xml:space="preserve"> River is strongly influenced by environmental dynamics and matrix characteristics. Sediment consistently served as the major reservoir for hydrocarbons, while Oyster accumulated higher and more variable concentrations than Periwinkle, reflecting differences in feeding strategies and exposure pathways. The established hierarchy of TPH accumulation sediment &gt; Oyster &gt; Periwinkle &gt; water confirms the differential sensitivity of these matrices and highlights the value of combining abiotic and biotic indicators for a more accurate assessment of ecosystem health. Although water concentrations remained low, the elevated levels observed in sediment and Oyster during specific months indicate episodic pollutant input and potential ecological risks. The findings emphasize the need for continuous environmental monitoring, stricter control of pollution sources, and improved management strategies to safeguard aquatic biodiversity and public health in oil-impacted regions of the Niger Delta.</w:t>
      </w:r>
    </w:p>
    <w:p w14:paraId="4CD43BC4" w14:textId="77777777" w:rsidR="00D72828" w:rsidRDefault="00D72828" w:rsidP="0038366A">
      <w:pPr>
        <w:pStyle w:val="NormalWeb"/>
        <w:jc w:val="both"/>
        <w:rPr>
          <w:sz w:val="22"/>
        </w:rPr>
      </w:pPr>
    </w:p>
    <w:p w14:paraId="403169A9" w14:textId="77777777" w:rsidR="005243AC" w:rsidRDefault="005243AC" w:rsidP="008033EB">
      <w:pPr>
        <w:pStyle w:val="Heading2"/>
        <w:spacing w:before="0" w:after="0" w:line="240" w:lineRule="auto"/>
        <w:jc w:val="both"/>
        <w:rPr>
          <w:rStyle w:val="Strong"/>
          <w:rFonts w:ascii="Times New Roman" w:hAnsi="Times New Roman" w:cs="Times New Roman"/>
          <w:b w:val="0"/>
          <w:bCs w:val="0"/>
          <w:color w:val="auto"/>
          <w:sz w:val="28"/>
        </w:rPr>
      </w:pPr>
    </w:p>
    <w:p w14:paraId="2A631229" w14:textId="5EB0D03C" w:rsidR="008033EB" w:rsidRPr="007C4F71" w:rsidRDefault="00544504" w:rsidP="008033EB">
      <w:pPr>
        <w:pStyle w:val="Heading2"/>
        <w:spacing w:before="0" w:after="0" w:line="240" w:lineRule="auto"/>
        <w:jc w:val="both"/>
        <w:rPr>
          <w:rFonts w:ascii="Times New Roman" w:hAnsi="Times New Roman" w:cs="Times New Roman"/>
          <w:color w:val="auto"/>
          <w:sz w:val="28"/>
        </w:rPr>
      </w:pPr>
      <w:bookmarkStart w:id="1" w:name="_GoBack"/>
      <w:bookmarkEnd w:id="1"/>
      <w:r w:rsidRPr="007C4F71">
        <w:rPr>
          <w:rStyle w:val="Strong"/>
          <w:rFonts w:ascii="Times New Roman" w:hAnsi="Times New Roman" w:cs="Times New Roman"/>
          <w:b w:val="0"/>
          <w:bCs w:val="0"/>
          <w:color w:val="auto"/>
          <w:sz w:val="28"/>
        </w:rPr>
        <w:t>References</w:t>
      </w:r>
    </w:p>
    <w:p w14:paraId="35BC6A50" w14:textId="77777777" w:rsidR="008033EB" w:rsidRPr="007C4F71" w:rsidRDefault="008033EB" w:rsidP="008033EB">
      <w:pPr>
        <w:spacing w:after="0" w:line="240" w:lineRule="auto"/>
        <w:jc w:val="both"/>
        <w:rPr>
          <w:rFonts w:ascii="Times New Roman" w:hAnsi="Times New Roman" w:cs="Times New Roman"/>
          <w:sz w:val="22"/>
        </w:rPr>
      </w:pPr>
    </w:p>
    <w:p w14:paraId="18475A7A"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Abdel-Shafy, H. I., &amp; Mansour, M. S. M. (2016). A review on polycyclic aromatic hydrocarbons: Source, environmental impact, effect on human health and remediation. </w:t>
      </w:r>
      <w:r w:rsidRPr="007C4F71">
        <w:rPr>
          <w:rStyle w:val="Emphasis"/>
          <w:rFonts w:ascii="Times New Roman" w:hAnsi="Times New Roman" w:cs="Times New Roman"/>
          <w:sz w:val="22"/>
          <w:szCs w:val="22"/>
        </w:rPr>
        <w:t>Egyptian Journal of Petroleum, 25</w:t>
      </w:r>
      <w:r w:rsidRPr="007C4F71">
        <w:rPr>
          <w:rFonts w:ascii="Times New Roman" w:hAnsi="Times New Roman" w:cs="Times New Roman"/>
          <w:sz w:val="22"/>
          <w:szCs w:val="22"/>
        </w:rPr>
        <w:t>(1), 107–123.</w:t>
      </w:r>
    </w:p>
    <w:p w14:paraId="0466C4E1"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Adebiyi, A. O., Adeyemi, D. H., &amp; </w:t>
      </w:r>
      <w:proofErr w:type="spellStart"/>
      <w:r w:rsidRPr="007C4F71">
        <w:rPr>
          <w:rFonts w:ascii="Times New Roman" w:hAnsi="Times New Roman" w:cs="Times New Roman"/>
          <w:sz w:val="22"/>
          <w:szCs w:val="22"/>
        </w:rPr>
        <w:t>Otitoloju</w:t>
      </w:r>
      <w:proofErr w:type="spellEnd"/>
      <w:r w:rsidRPr="007C4F71">
        <w:rPr>
          <w:rFonts w:ascii="Times New Roman" w:hAnsi="Times New Roman" w:cs="Times New Roman"/>
          <w:sz w:val="22"/>
          <w:szCs w:val="22"/>
        </w:rPr>
        <w:t xml:space="preserve">, A. A. (2018). Bioaccumulation of petroleum hydrocarbons in benthic organisms from coastal waters of Nigeria. </w:t>
      </w:r>
      <w:r w:rsidRPr="007C4F71">
        <w:rPr>
          <w:rStyle w:val="Emphasis"/>
          <w:rFonts w:ascii="Times New Roman" w:hAnsi="Times New Roman" w:cs="Times New Roman"/>
          <w:sz w:val="22"/>
          <w:szCs w:val="22"/>
        </w:rPr>
        <w:t>Environmental Monitoring and Assessment, 190</w:t>
      </w:r>
      <w:r w:rsidRPr="007C4F71">
        <w:rPr>
          <w:rFonts w:ascii="Times New Roman" w:hAnsi="Times New Roman" w:cs="Times New Roman"/>
          <w:sz w:val="22"/>
          <w:szCs w:val="22"/>
        </w:rPr>
        <w:t>, 1–12.</w:t>
      </w:r>
    </w:p>
    <w:p w14:paraId="759B94F2"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ATSDR. (1999). </w:t>
      </w:r>
      <w:r w:rsidRPr="007C4F71">
        <w:rPr>
          <w:rStyle w:val="Emphasis"/>
          <w:rFonts w:ascii="Times New Roman" w:hAnsi="Times New Roman" w:cs="Times New Roman"/>
          <w:sz w:val="22"/>
          <w:szCs w:val="22"/>
        </w:rPr>
        <w:t>Toxicological profile for total petroleum hydrocarbons</w:t>
      </w:r>
      <w:r w:rsidRPr="007C4F71">
        <w:rPr>
          <w:rFonts w:ascii="Times New Roman" w:hAnsi="Times New Roman" w:cs="Times New Roman"/>
          <w:sz w:val="22"/>
          <w:szCs w:val="22"/>
        </w:rPr>
        <w:t>. Agency for Toxic Substances and Disease Registry.</w:t>
      </w:r>
    </w:p>
    <w:p w14:paraId="6CAE045E"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lastRenderedPageBreak/>
        <w:t xml:space="preserve">Benson, N. U., Adedapo, A. E., &amp; Fred-Ahmadu, O. H. (2021). Distribution and ecological risk assessment of petroleum hydrocarbons in sediments of tropical estuaries. </w:t>
      </w:r>
      <w:r w:rsidRPr="007C4F71">
        <w:rPr>
          <w:rStyle w:val="Emphasis"/>
          <w:rFonts w:ascii="Times New Roman" w:hAnsi="Times New Roman" w:cs="Times New Roman"/>
          <w:sz w:val="22"/>
          <w:szCs w:val="22"/>
        </w:rPr>
        <w:t>Marine Pollution Bulletin, 164</w:t>
      </w:r>
      <w:r w:rsidRPr="007C4F71">
        <w:rPr>
          <w:rFonts w:ascii="Times New Roman" w:hAnsi="Times New Roman" w:cs="Times New Roman"/>
          <w:sz w:val="22"/>
          <w:szCs w:val="22"/>
        </w:rPr>
        <w:t>, 112041.</w:t>
      </w:r>
    </w:p>
    <w:p w14:paraId="6AEA7F1C"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Dosunmu, O. O., Ajayi, O. O., &amp; </w:t>
      </w:r>
      <w:proofErr w:type="spellStart"/>
      <w:r w:rsidRPr="007C4F71">
        <w:rPr>
          <w:rFonts w:ascii="Times New Roman" w:hAnsi="Times New Roman" w:cs="Times New Roman"/>
          <w:sz w:val="22"/>
          <w:szCs w:val="22"/>
        </w:rPr>
        <w:t>Ogunjinmi</w:t>
      </w:r>
      <w:proofErr w:type="spellEnd"/>
      <w:r w:rsidRPr="007C4F71">
        <w:rPr>
          <w:rFonts w:ascii="Times New Roman" w:hAnsi="Times New Roman" w:cs="Times New Roman"/>
          <w:sz w:val="22"/>
          <w:szCs w:val="22"/>
        </w:rPr>
        <w:t xml:space="preserve">, A. A. (2020). Seasonal variation of total petroleum hydrocarbons in water, sediment and biota from Niger Delta coastal waters. </w:t>
      </w:r>
      <w:r w:rsidRPr="007C4F71">
        <w:rPr>
          <w:rStyle w:val="Emphasis"/>
          <w:rFonts w:ascii="Times New Roman" w:hAnsi="Times New Roman" w:cs="Times New Roman"/>
          <w:sz w:val="22"/>
          <w:szCs w:val="22"/>
        </w:rPr>
        <w:t>Journal of Environmental Chemistry and Ecotoxicology, 12</w:t>
      </w:r>
      <w:r w:rsidRPr="007C4F71">
        <w:rPr>
          <w:rFonts w:ascii="Times New Roman" w:hAnsi="Times New Roman" w:cs="Times New Roman"/>
          <w:sz w:val="22"/>
          <w:szCs w:val="22"/>
        </w:rPr>
        <w:t>(2), 45–56.</w:t>
      </w:r>
    </w:p>
    <w:p w14:paraId="411B43D7"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Eggleton, J., &amp; Thomas, K. V. (2004). A review of factors affecting the release and bioavailability of contaminants during sediment disturbance events. </w:t>
      </w:r>
      <w:r w:rsidRPr="007C4F71">
        <w:rPr>
          <w:rStyle w:val="Emphasis"/>
          <w:rFonts w:ascii="Times New Roman" w:hAnsi="Times New Roman" w:cs="Times New Roman"/>
          <w:sz w:val="22"/>
          <w:szCs w:val="22"/>
        </w:rPr>
        <w:t>Environment International, 30</w:t>
      </w:r>
      <w:r w:rsidRPr="007C4F71">
        <w:rPr>
          <w:rFonts w:ascii="Times New Roman" w:hAnsi="Times New Roman" w:cs="Times New Roman"/>
          <w:sz w:val="22"/>
          <w:szCs w:val="22"/>
        </w:rPr>
        <w:t>(7), 973–980.</w:t>
      </w:r>
    </w:p>
    <w:p w14:paraId="4E0673E2"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FAO/WHO. (2016). </w:t>
      </w:r>
      <w:r w:rsidRPr="007C4F71">
        <w:rPr>
          <w:rStyle w:val="Emphasis"/>
          <w:rFonts w:ascii="Times New Roman" w:hAnsi="Times New Roman" w:cs="Times New Roman"/>
          <w:sz w:val="22"/>
          <w:szCs w:val="22"/>
        </w:rPr>
        <w:t>Evaluation of certain food contaminants</w:t>
      </w:r>
      <w:r w:rsidRPr="007C4F71">
        <w:rPr>
          <w:rFonts w:ascii="Times New Roman" w:hAnsi="Times New Roman" w:cs="Times New Roman"/>
          <w:sz w:val="22"/>
          <w:szCs w:val="22"/>
        </w:rPr>
        <w:t>. Joint FAO/WHO Expert Committee on Food Additives.</w:t>
      </w:r>
    </w:p>
    <w:p w14:paraId="68988AB4"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Goldberg, E. D., Bowen, V. T., Farrington, J. W., Harvey, G., Martin, J. H., Parker, P. L., </w:t>
      </w:r>
      <w:proofErr w:type="spellStart"/>
      <w:r w:rsidRPr="007C4F71">
        <w:rPr>
          <w:rFonts w:ascii="Times New Roman" w:hAnsi="Times New Roman" w:cs="Times New Roman"/>
          <w:sz w:val="22"/>
          <w:szCs w:val="22"/>
        </w:rPr>
        <w:t>Risebrough</w:t>
      </w:r>
      <w:proofErr w:type="spellEnd"/>
      <w:r w:rsidRPr="007C4F71">
        <w:rPr>
          <w:rFonts w:ascii="Times New Roman" w:hAnsi="Times New Roman" w:cs="Times New Roman"/>
          <w:sz w:val="22"/>
          <w:szCs w:val="22"/>
        </w:rPr>
        <w:t xml:space="preserve">, R. W., Robertson, W., Schneider, E., &amp; Gamble, E. (1978). The Mussel Watch. </w:t>
      </w:r>
      <w:r w:rsidRPr="007C4F71">
        <w:rPr>
          <w:rStyle w:val="Emphasis"/>
          <w:rFonts w:ascii="Times New Roman" w:hAnsi="Times New Roman" w:cs="Times New Roman"/>
          <w:sz w:val="22"/>
          <w:szCs w:val="22"/>
        </w:rPr>
        <w:t>Environmental Conservation, 5</w:t>
      </w:r>
      <w:r w:rsidRPr="007C4F71">
        <w:rPr>
          <w:rFonts w:ascii="Times New Roman" w:hAnsi="Times New Roman" w:cs="Times New Roman"/>
          <w:sz w:val="22"/>
          <w:szCs w:val="22"/>
        </w:rPr>
        <w:t>(2), 101–125.</w:t>
      </w:r>
    </w:p>
    <w:p w14:paraId="3F0E00EB"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NRC. (2003). </w:t>
      </w:r>
      <w:r w:rsidRPr="007C4F71">
        <w:rPr>
          <w:rStyle w:val="Emphasis"/>
          <w:rFonts w:ascii="Times New Roman" w:hAnsi="Times New Roman" w:cs="Times New Roman"/>
          <w:sz w:val="22"/>
          <w:szCs w:val="22"/>
        </w:rPr>
        <w:t>Oil in the sea III: Inputs, fates, and effects</w:t>
      </w:r>
      <w:r w:rsidRPr="007C4F71">
        <w:rPr>
          <w:rFonts w:ascii="Times New Roman" w:hAnsi="Times New Roman" w:cs="Times New Roman"/>
          <w:sz w:val="22"/>
          <w:szCs w:val="22"/>
        </w:rPr>
        <w:t>. National Academies Press.</w:t>
      </w:r>
    </w:p>
    <w:p w14:paraId="174615EF"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Nwankwo, D. I., &amp; </w:t>
      </w:r>
      <w:proofErr w:type="spellStart"/>
      <w:r w:rsidRPr="007C4F71">
        <w:rPr>
          <w:rFonts w:ascii="Times New Roman" w:hAnsi="Times New Roman" w:cs="Times New Roman"/>
          <w:sz w:val="22"/>
          <w:szCs w:val="22"/>
        </w:rPr>
        <w:t>Ogamba</w:t>
      </w:r>
      <w:proofErr w:type="spellEnd"/>
      <w:r w:rsidRPr="007C4F71">
        <w:rPr>
          <w:rFonts w:ascii="Times New Roman" w:hAnsi="Times New Roman" w:cs="Times New Roman"/>
          <w:sz w:val="22"/>
          <w:szCs w:val="22"/>
        </w:rPr>
        <w:t xml:space="preserve">, E. N. (2019). Hydrocarbon pollution and ecological risk assessment of coastal waters in the Niger Delta, Nigeria. </w:t>
      </w:r>
      <w:r w:rsidRPr="007C4F71">
        <w:rPr>
          <w:rStyle w:val="Emphasis"/>
          <w:rFonts w:ascii="Times New Roman" w:hAnsi="Times New Roman" w:cs="Times New Roman"/>
          <w:sz w:val="22"/>
          <w:szCs w:val="22"/>
        </w:rPr>
        <w:t>Marine Pollution Bulletin, 146</w:t>
      </w:r>
      <w:r w:rsidRPr="007C4F71">
        <w:rPr>
          <w:rFonts w:ascii="Times New Roman" w:hAnsi="Times New Roman" w:cs="Times New Roman"/>
          <w:sz w:val="22"/>
          <w:szCs w:val="22"/>
        </w:rPr>
        <w:t>, 764–772.</w:t>
      </w:r>
    </w:p>
    <w:p w14:paraId="76C42E23"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Okoro, H. K., </w:t>
      </w:r>
      <w:proofErr w:type="spellStart"/>
      <w:r w:rsidRPr="007C4F71">
        <w:rPr>
          <w:rFonts w:ascii="Times New Roman" w:hAnsi="Times New Roman" w:cs="Times New Roman"/>
          <w:sz w:val="22"/>
          <w:szCs w:val="22"/>
        </w:rPr>
        <w:t>Fatoki</w:t>
      </w:r>
      <w:proofErr w:type="spellEnd"/>
      <w:r w:rsidRPr="007C4F71">
        <w:rPr>
          <w:rFonts w:ascii="Times New Roman" w:hAnsi="Times New Roman" w:cs="Times New Roman"/>
          <w:sz w:val="22"/>
          <w:szCs w:val="22"/>
        </w:rPr>
        <w:t xml:space="preserve">, O. S., Adekola, F. A., &amp; Ximba, B. J. (2021). Distribution and sources of petroleum hydrocarbons in water and sediments of coastal environments. </w:t>
      </w:r>
      <w:r w:rsidRPr="007C4F71">
        <w:rPr>
          <w:rStyle w:val="Emphasis"/>
          <w:rFonts w:ascii="Times New Roman" w:hAnsi="Times New Roman" w:cs="Times New Roman"/>
          <w:sz w:val="22"/>
          <w:szCs w:val="22"/>
        </w:rPr>
        <w:t>Environmental Forensics, 22</w:t>
      </w:r>
      <w:r w:rsidRPr="007C4F71">
        <w:rPr>
          <w:rFonts w:ascii="Times New Roman" w:hAnsi="Times New Roman" w:cs="Times New Roman"/>
          <w:sz w:val="22"/>
          <w:szCs w:val="22"/>
        </w:rPr>
        <w:t>(3), 229–242.</w:t>
      </w:r>
    </w:p>
    <w:p w14:paraId="5F2AFD62"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proofErr w:type="spellStart"/>
      <w:r w:rsidRPr="007C4F71">
        <w:rPr>
          <w:rFonts w:ascii="Times New Roman" w:hAnsi="Times New Roman" w:cs="Times New Roman"/>
          <w:sz w:val="22"/>
          <w:szCs w:val="22"/>
        </w:rPr>
        <w:t>Otitoloju</w:t>
      </w:r>
      <w:proofErr w:type="spellEnd"/>
      <w:r w:rsidRPr="007C4F71">
        <w:rPr>
          <w:rFonts w:ascii="Times New Roman" w:hAnsi="Times New Roman" w:cs="Times New Roman"/>
          <w:sz w:val="22"/>
          <w:szCs w:val="22"/>
        </w:rPr>
        <w:t xml:space="preserve">, A. A., &amp; Don-Pedro, K. N. (2017). Integrated assessment of crude oil contamination in aquatic ecosystems using chemical and biological indices. </w:t>
      </w:r>
      <w:r w:rsidRPr="007C4F71">
        <w:rPr>
          <w:rStyle w:val="Emphasis"/>
          <w:rFonts w:ascii="Times New Roman" w:hAnsi="Times New Roman" w:cs="Times New Roman"/>
          <w:sz w:val="22"/>
          <w:szCs w:val="22"/>
        </w:rPr>
        <w:t>Environmental Toxicology and Chemistry, 36</w:t>
      </w:r>
      <w:r w:rsidRPr="007C4F71">
        <w:rPr>
          <w:rFonts w:ascii="Times New Roman" w:hAnsi="Times New Roman" w:cs="Times New Roman"/>
          <w:sz w:val="22"/>
          <w:szCs w:val="22"/>
        </w:rPr>
        <w:t>(7), 1891–1902.</w:t>
      </w:r>
    </w:p>
    <w:p w14:paraId="0F477E6F"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Phillips, D. J. H. (1990). </w:t>
      </w:r>
      <w:r w:rsidRPr="007C4F71">
        <w:rPr>
          <w:rStyle w:val="Emphasis"/>
          <w:rFonts w:ascii="Times New Roman" w:hAnsi="Times New Roman" w:cs="Times New Roman"/>
          <w:sz w:val="22"/>
          <w:szCs w:val="22"/>
        </w:rPr>
        <w:t>The use of biological indicator organisms to monitor trace metal pollution in marine and estuarine environments</w:t>
      </w:r>
      <w:r w:rsidRPr="007C4F71">
        <w:rPr>
          <w:rFonts w:ascii="Times New Roman" w:hAnsi="Times New Roman" w:cs="Times New Roman"/>
          <w:sz w:val="22"/>
          <w:szCs w:val="22"/>
        </w:rPr>
        <w:t>. Applied Science Publishers.</w:t>
      </w:r>
    </w:p>
    <w:p w14:paraId="44CA1608"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Rainbow, P. S. (2002). Trace metal concentrations in aquatic invertebrates: Why and so what? </w:t>
      </w:r>
      <w:r w:rsidRPr="007C4F71">
        <w:rPr>
          <w:rStyle w:val="Emphasis"/>
          <w:rFonts w:ascii="Times New Roman" w:hAnsi="Times New Roman" w:cs="Times New Roman"/>
          <w:sz w:val="22"/>
          <w:szCs w:val="22"/>
        </w:rPr>
        <w:t>Environmental Pollution, 120</w:t>
      </w:r>
      <w:r w:rsidRPr="007C4F71">
        <w:rPr>
          <w:rFonts w:ascii="Times New Roman" w:hAnsi="Times New Roman" w:cs="Times New Roman"/>
          <w:sz w:val="22"/>
          <w:szCs w:val="22"/>
        </w:rPr>
        <w:t>(3), 497–507.</w:t>
      </w:r>
    </w:p>
    <w:p w14:paraId="17BC031B"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Tolosa, I., de Mora, S., </w:t>
      </w:r>
      <w:proofErr w:type="spellStart"/>
      <w:r w:rsidRPr="007C4F71">
        <w:rPr>
          <w:rFonts w:ascii="Times New Roman" w:hAnsi="Times New Roman" w:cs="Times New Roman"/>
          <w:sz w:val="22"/>
          <w:szCs w:val="22"/>
        </w:rPr>
        <w:t>Sheikholeslami</w:t>
      </w:r>
      <w:proofErr w:type="spellEnd"/>
      <w:r w:rsidRPr="007C4F71">
        <w:rPr>
          <w:rFonts w:ascii="Times New Roman" w:hAnsi="Times New Roman" w:cs="Times New Roman"/>
          <w:sz w:val="22"/>
          <w:szCs w:val="22"/>
        </w:rPr>
        <w:t xml:space="preserve">, M. R., Villeneuve, J. P., Bartocci, J., &amp; </w:t>
      </w:r>
      <w:proofErr w:type="spellStart"/>
      <w:r w:rsidRPr="007C4F71">
        <w:rPr>
          <w:rFonts w:ascii="Times New Roman" w:hAnsi="Times New Roman" w:cs="Times New Roman"/>
          <w:sz w:val="22"/>
          <w:szCs w:val="22"/>
        </w:rPr>
        <w:t>Cattini</w:t>
      </w:r>
      <w:proofErr w:type="spellEnd"/>
      <w:r w:rsidRPr="007C4F71">
        <w:rPr>
          <w:rFonts w:ascii="Times New Roman" w:hAnsi="Times New Roman" w:cs="Times New Roman"/>
          <w:sz w:val="22"/>
          <w:szCs w:val="22"/>
        </w:rPr>
        <w:t xml:space="preserve">, C. (2004). Aliphatic and aromatic hydrocarbons in coastal Caspian Sea sediments. </w:t>
      </w:r>
      <w:r w:rsidRPr="007C4F71">
        <w:rPr>
          <w:rStyle w:val="Emphasis"/>
          <w:rFonts w:ascii="Times New Roman" w:hAnsi="Times New Roman" w:cs="Times New Roman"/>
          <w:sz w:val="22"/>
          <w:szCs w:val="22"/>
        </w:rPr>
        <w:t>Marine Pollution Bulletin, 48</w:t>
      </w:r>
      <w:r w:rsidRPr="007C4F71">
        <w:rPr>
          <w:rFonts w:ascii="Times New Roman" w:hAnsi="Times New Roman" w:cs="Times New Roman"/>
          <w:sz w:val="22"/>
          <w:szCs w:val="22"/>
        </w:rPr>
        <w:t>(1–2), 44–60.</w:t>
      </w:r>
    </w:p>
    <w:p w14:paraId="22CFE040"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UNEP. (2011). </w:t>
      </w:r>
      <w:r w:rsidRPr="007C4F71">
        <w:rPr>
          <w:rStyle w:val="Emphasis"/>
          <w:rFonts w:ascii="Times New Roman" w:hAnsi="Times New Roman" w:cs="Times New Roman"/>
          <w:sz w:val="22"/>
          <w:szCs w:val="22"/>
        </w:rPr>
        <w:t xml:space="preserve">Environmental assessment of </w:t>
      </w:r>
      <w:proofErr w:type="spellStart"/>
      <w:r w:rsidRPr="007C4F71">
        <w:rPr>
          <w:rStyle w:val="Emphasis"/>
          <w:rFonts w:ascii="Times New Roman" w:hAnsi="Times New Roman" w:cs="Times New Roman"/>
          <w:sz w:val="22"/>
          <w:szCs w:val="22"/>
        </w:rPr>
        <w:t>Ogoniland</w:t>
      </w:r>
      <w:proofErr w:type="spellEnd"/>
      <w:r w:rsidRPr="007C4F71">
        <w:rPr>
          <w:rFonts w:ascii="Times New Roman" w:hAnsi="Times New Roman" w:cs="Times New Roman"/>
          <w:sz w:val="22"/>
          <w:szCs w:val="22"/>
        </w:rPr>
        <w:t xml:space="preserve">. United Nations Environment </w:t>
      </w:r>
      <w:proofErr w:type="spellStart"/>
      <w:r w:rsidRPr="007C4F71">
        <w:rPr>
          <w:rFonts w:ascii="Times New Roman" w:hAnsi="Times New Roman" w:cs="Times New Roman"/>
          <w:sz w:val="22"/>
          <w:szCs w:val="22"/>
        </w:rPr>
        <w:t>Programme</w:t>
      </w:r>
      <w:proofErr w:type="spellEnd"/>
      <w:r w:rsidRPr="007C4F71">
        <w:rPr>
          <w:rFonts w:ascii="Times New Roman" w:hAnsi="Times New Roman" w:cs="Times New Roman"/>
          <w:sz w:val="22"/>
          <w:szCs w:val="22"/>
        </w:rPr>
        <w:t>.</w:t>
      </w:r>
    </w:p>
    <w:p w14:paraId="1BDACEFE"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Wang, Z., </w:t>
      </w:r>
      <w:proofErr w:type="spellStart"/>
      <w:r w:rsidRPr="007C4F71">
        <w:rPr>
          <w:rFonts w:ascii="Times New Roman" w:hAnsi="Times New Roman" w:cs="Times New Roman"/>
          <w:sz w:val="22"/>
          <w:szCs w:val="22"/>
        </w:rPr>
        <w:t>Fingas</w:t>
      </w:r>
      <w:proofErr w:type="spellEnd"/>
      <w:r w:rsidRPr="007C4F71">
        <w:rPr>
          <w:rFonts w:ascii="Times New Roman" w:hAnsi="Times New Roman" w:cs="Times New Roman"/>
          <w:sz w:val="22"/>
          <w:szCs w:val="22"/>
        </w:rPr>
        <w:t xml:space="preserve">, M., &amp; Page, D. S. (2018). Oil spill identification. </w:t>
      </w:r>
      <w:r w:rsidRPr="007C4F71">
        <w:rPr>
          <w:rStyle w:val="Emphasis"/>
          <w:rFonts w:ascii="Times New Roman" w:hAnsi="Times New Roman" w:cs="Times New Roman"/>
          <w:sz w:val="22"/>
          <w:szCs w:val="22"/>
        </w:rPr>
        <w:t>Journal of Chromatography A, 843</w:t>
      </w:r>
      <w:r w:rsidRPr="007C4F71">
        <w:rPr>
          <w:rFonts w:ascii="Times New Roman" w:hAnsi="Times New Roman" w:cs="Times New Roman"/>
          <w:sz w:val="22"/>
          <w:szCs w:val="22"/>
        </w:rPr>
        <w:t>(1–2), 369–411.</w:t>
      </w:r>
    </w:p>
    <w:p w14:paraId="3443B4A6" w14:textId="77777777" w:rsidR="008033EB" w:rsidRPr="007C4F71" w:rsidRDefault="008033EB" w:rsidP="008033EB">
      <w:pPr>
        <w:spacing w:after="0" w:line="240" w:lineRule="auto"/>
        <w:ind w:left="851" w:hanging="851"/>
        <w:jc w:val="both"/>
        <w:rPr>
          <w:rFonts w:ascii="Times New Roman" w:hAnsi="Times New Roman" w:cs="Times New Roman"/>
          <w:sz w:val="22"/>
          <w:szCs w:val="22"/>
        </w:rPr>
      </w:pPr>
      <w:r w:rsidRPr="007C4F71">
        <w:rPr>
          <w:rFonts w:ascii="Times New Roman" w:hAnsi="Times New Roman" w:cs="Times New Roman"/>
          <w:sz w:val="22"/>
          <w:szCs w:val="22"/>
        </w:rPr>
        <w:t xml:space="preserve">Zakaria, M. P., Takada, H., Tsutsumi, S., Ohno, K., Yamada, J., </w:t>
      </w:r>
      <w:proofErr w:type="spellStart"/>
      <w:r w:rsidRPr="007C4F71">
        <w:rPr>
          <w:rFonts w:ascii="Times New Roman" w:hAnsi="Times New Roman" w:cs="Times New Roman"/>
          <w:sz w:val="22"/>
          <w:szCs w:val="22"/>
        </w:rPr>
        <w:t>Kouno</w:t>
      </w:r>
      <w:proofErr w:type="spellEnd"/>
      <w:r w:rsidRPr="007C4F71">
        <w:rPr>
          <w:rFonts w:ascii="Times New Roman" w:hAnsi="Times New Roman" w:cs="Times New Roman"/>
          <w:sz w:val="22"/>
          <w:szCs w:val="22"/>
        </w:rPr>
        <w:t xml:space="preserve">, E., &amp; </w:t>
      </w:r>
      <w:proofErr w:type="spellStart"/>
      <w:r w:rsidRPr="007C4F71">
        <w:rPr>
          <w:rFonts w:ascii="Times New Roman" w:hAnsi="Times New Roman" w:cs="Times New Roman"/>
          <w:sz w:val="22"/>
          <w:szCs w:val="22"/>
        </w:rPr>
        <w:t>Kumata</w:t>
      </w:r>
      <w:proofErr w:type="spellEnd"/>
      <w:r w:rsidRPr="007C4F71">
        <w:rPr>
          <w:rFonts w:ascii="Times New Roman" w:hAnsi="Times New Roman" w:cs="Times New Roman"/>
          <w:sz w:val="22"/>
          <w:szCs w:val="22"/>
        </w:rPr>
        <w:t xml:space="preserve">, H. (2002). Distribution of petroleum hydrocarbons in sediments from the Straits of Malacca and adjacent areas. </w:t>
      </w:r>
      <w:r w:rsidRPr="007C4F71">
        <w:rPr>
          <w:rStyle w:val="Emphasis"/>
          <w:rFonts w:ascii="Times New Roman" w:hAnsi="Times New Roman" w:cs="Times New Roman"/>
          <w:sz w:val="22"/>
          <w:szCs w:val="22"/>
        </w:rPr>
        <w:t>Marine Pollution Bulletin, 44</w:t>
      </w:r>
      <w:r w:rsidRPr="007C4F71">
        <w:rPr>
          <w:rFonts w:ascii="Times New Roman" w:hAnsi="Times New Roman" w:cs="Times New Roman"/>
          <w:sz w:val="22"/>
          <w:szCs w:val="22"/>
        </w:rPr>
        <w:t>(8), 697–708.</w:t>
      </w:r>
    </w:p>
    <w:sectPr w:rsidR="008033EB" w:rsidRPr="007C4F71" w:rsidSect="00A162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A0A7A" w14:textId="77777777" w:rsidR="00C74BB9" w:rsidRDefault="00C74BB9" w:rsidP="0090418E">
      <w:pPr>
        <w:spacing w:after="0" w:line="240" w:lineRule="auto"/>
      </w:pPr>
      <w:r>
        <w:separator/>
      </w:r>
    </w:p>
  </w:endnote>
  <w:endnote w:type="continuationSeparator" w:id="0">
    <w:p w14:paraId="7DA85C48" w14:textId="77777777" w:rsidR="00C74BB9" w:rsidRDefault="00C74BB9" w:rsidP="0090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8D28" w14:textId="77777777" w:rsidR="0090418E" w:rsidRDefault="00904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F2B5" w14:textId="77777777" w:rsidR="0090418E" w:rsidRDefault="00904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9BAB" w14:textId="77777777" w:rsidR="0090418E" w:rsidRDefault="0090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037B4" w14:textId="77777777" w:rsidR="00C74BB9" w:rsidRDefault="00C74BB9" w:rsidP="0090418E">
      <w:pPr>
        <w:spacing w:after="0" w:line="240" w:lineRule="auto"/>
      </w:pPr>
      <w:r>
        <w:separator/>
      </w:r>
    </w:p>
  </w:footnote>
  <w:footnote w:type="continuationSeparator" w:id="0">
    <w:p w14:paraId="1D36481B" w14:textId="77777777" w:rsidR="00C74BB9" w:rsidRDefault="00C74BB9" w:rsidP="0090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335D" w14:textId="4DAC3B85" w:rsidR="0090418E" w:rsidRDefault="0090418E">
    <w:pPr>
      <w:pStyle w:val="Header"/>
    </w:pPr>
    <w:r>
      <w:rPr>
        <w:noProof/>
      </w:rPr>
      <w:pict w14:anchorId="5306F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1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21E2E" w14:textId="124B7018" w:rsidR="0090418E" w:rsidRDefault="0090418E">
    <w:pPr>
      <w:pStyle w:val="Header"/>
    </w:pPr>
    <w:r>
      <w:rPr>
        <w:noProof/>
      </w:rPr>
      <w:pict w14:anchorId="791AC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1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D9ED" w14:textId="001ECAFC" w:rsidR="0090418E" w:rsidRDefault="0090418E">
    <w:pPr>
      <w:pStyle w:val="Header"/>
    </w:pPr>
    <w:r>
      <w:rPr>
        <w:noProof/>
      </w:rPr>
      <w:pict w14:anchorId="03FC4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91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45A5"/>
    <w:rsid w:val="00022105"/>
    <w:rsid w:val="00023DEE"/>
    <w:rsid w:val="00024452"/>
    <w:rsid w:val="000373D6"/>
    <w:rsid w:val="0005236A"/>
    <w:rsid w:val="00062DC4"/>
    <w:rsid w:val="00065A3F"/>
    <w:rsid w:val="00077BA8"/>
    <w:rsid w:val="00094CC2"/>
    <w:rsid w:val="00095CB4"/>
    <w:rsid w:val="000A6210"/>
    <w:rsid w:val="000C39FC"/>
    <w:rsid w:val="000D78B8"/>
    <w:rsid w:val="00100CF5"/>
    <w:rsid w:val="001051C2"/>
    <w:rsid w:val="00114B9F"/>
    <w:rsid w:val="00116BF7"/>
    <w:rsid w:val="0012470A"/>
    <w:rsid w:val="00130821"/>
    <w:rsid w:val="00144CDD"/>
    <w:rsid w:val="00156D66"/>
    <w:rsid w:val="00180727"/>
    <w:rsid w:val="00187542"/>
    <w:rsid w:val="001A1633"/>
    <w:rsid w:val="001E057D"/>
    <w:rsid w:val="001E170A"/>
    <w:rsid w:val="001F54EC"/>
    <w:rsid w:val="00224683"/>
    <w:rsid w:val="00251B73"/>
    <w:rsid w:val="00272EF1"/>
    <w:rsid w:val="00283565"/>
    <w:rsid w:val="00295F3F"/>
    <w:rsid w:val="002A1FF7"/>
    <w:rsid w:val="002C6907"/>
    <w:rsid w:val="002E7082"/>
    <w:rsid w:val="002F7095"/>
    <w:rsid w:val="00344DEB"/>
    <w:rsid w:val="00352EF9"/>
    <w:rsid w:val="00373703"/>
    <w:rsid w:val="00374FCD"/>
    <w:rsid w:val="0038366A"/>
    <w:rsid w:val="00391AE9"/>
    <w:rsid w:val="00396171"/>
    <w:rsid w:val="003C05DE"/>
    <w:rsid w:val="003C50AA"/>
    <w:rsid w:val="004032D6"/>
    <w:rsid w:val="00404F94"/>
    <w:rsid w:val="004723A2"/>
    <w:rsid w:val="004737E5"/>
    <w:rsid w:val="004B75F5"/>
    <w:rsid w:val="004C3C59"/>
    <w:rsid w:val="004D233D"/>
    <w:rsid w:val="004F0C7D"/>
    <w:rsid w:val="004F5840"/>
    <w:rsid w:val="005062F6"/>
    <w:rsid w:val="005243AC"/>
    <w:rsid w:val="00542578"/>
    <w:rsid w:val="00544504"/>
    <w:rsid w:val="005538AE"/>
    <w:rsid w:val="00573145"/>
    <w:rsid w:val="005743BA"/>
    <w:rsid w:val="005A03AB"/>
    <w:rsid w:val="005A14AC"/>
    <w:rsid w:val="005B7C3A"/>
    <w:rsid w:val="005E2C3F"/>
    <w:rsid w:val="005E49EA"/>
    <w:rsid w:val="00660F55"/>
    <w:rsid w:val="006616D8"/>
    <w:rsid w:val="006619E2"/>
    <w:rsid w:val="006629B5"/>
    <w:rsid w:val="00663401"/>
    <w:rsid w:val="00686995"/>
    <w:rsid w:val="006B7EEE"/>
    <w:rsid w:val="006D158E"/>
    <w:rsid w:val="006E196D"/>
    <w:rsid w:val="0070005C"/>
    <w:rsid w:val="00703EEA"/>
    <w:rsid w:val="007056D1"/>
    <w:rsid w:val="007517FC"/>
    <w:rsid w:val="00783F0E"/>
    <w:rsid w:val="00797658"/>
    <w:rsid w:val="007B1740"/>
    <w:rsid w:val="007C4F71"/>
    <w:rsid w:val="007D2511"/>
    <w:rsid w:val="007D3F40"/>
    <w:rsid w:val="008033EB"/>
    <w:rsid w:val="0080496F"/>
    <w:rsid w:val="00814EFA"/>
    <w:rsid w:val="00816EBD"/>
    <w:rsid w:val="00834054"/>
    <w:rsid w:val="008C4749"/>
    <w:rsid w:val="008E0C68"/>
    <w:rsid w:val="0090418E"/>
    <w:rsid w:val="0092553E"/>
    <w:rsid w:val="00927870"/>
    <w:rsid w:val="009642F1"/>
    <w:rsid w:val="009654E0"/>
    <w:rsid w:val="00974696"/>
    <w:rsid w:val="00975A7C"/>
    <w:rsid w:val="00982DF8"/>
    <w:rsid w:val="009E1DC5"/>
    <w:rsid w:val="00A145A5"/>
    <w:rsid w:val="00A16237"/>
    <w:rsid w:val="00A23B7A"/>
    <w:rsid w:val="00A33223"/>
    <w:rsid w:val="00A5432E"/>
    <w:rsid w:val="00AF0C8D"/>
    <w:rsid w:val="00AF5083"/>
    <w:rsid w:val="00B46A2D"/>
    <w:rsid w:val="00B74451"/>
    <w:rsid w:val="00BD12DA"/>
    <w:rsid w:val="00BD775A"/>
    <w:rsid w:val="00BE6980"/>
    <w:rsid w:val="00BF563C"/>
    <w:rsid w:val="00BF7CBF"/>
    <w:rsid w:val="00C03DCE"/>
    <w:rsid w:val="00C21EF0"/>
    <w:rsid w:val="00C237C6"/>
    <w:rsid w:val="00C55108"/>
    <w:rsid w:val="00C74BB9"/>
    <w:rsid w:val="00CC718C"/>
    <w:rsid w:val="00CD16E3"/>
    <w:rsid w:val="00CD4CBD"/>
    <w:rsid w:val="00CD5087"/>
    <w:rsid w:val="00CD56BB"/>
    <w:rsid w:val="00D007B8"/>
    <w:rsid w:val="00D061B3"/>
    <w:rsid w:val="00D07198"/>
    <w:rsid w:val="00D120FC"/>
    <w:rsid w:val="00D14B7D"/>
    <w:rsid w:val="00D41DEB"/>
    <w:rsid w:val="00D52D9E"/>
    <w:rsid w:val="00D72828"/>
    <w:rsid w:val="00D8786E"/>
    <w:rsid w:val="00D914BE"/>
    <w:rsid w:val="00D95665"/>
    <w:rsid w:val="00DA487A"/>
    <w:rsid w:val="00DD2279"/>
    <w:rsid w:val="00DE59DB"/>
    <w:rsid w:val="00DF6EE9"/>
    <w:rsid w:val="00E04827"/>
    <w:rsid w:val="00E04FFC"/>
    <w:rsid w:val="00E31974"/>
    <w:rsid w:val="00E32DF7"/>
    <w:rsid w:val="00E615E5"/>
    <w:rsid w:val="00E767BE"/>
    <w:rsid w:val="00E87AC6"/>
    <w:rsid w:val="00E97606"/>
    <w:rsid w:val="00ED0080"/>
    <w:rsid w:val="00ED1AE1"/>
    <w:rsid w:val="00ED5BC3"/>
    <w:rsid w:val="00EF51D8"/>
    <w:rsid w:val="00F6569A"/>
    <w:rsid w:val="00F70EDC"/>
    <w:rsid w:val="00F82E9F"/>
    <w:rsid w:val="00F870A6"/>
    <w:rsid w:val="00FB721B"/>
    <w:rsid w:val="00FC5E98"/>
    <w:rsid w:val="00FC61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F19EA"/>
  <w15:docId w15:val="{1C033707-2C0C-4BAA-B5CC-3EB6C090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1B3"/>
  </w:style>
  <w:style w:type="paragraph" w:styleId="Heading1">
    <w:name w:val="heading 1"/>
    <w:basedOn w:val="Normal"/>
    <w:next w:val="Normal"/>
    <w:link w:val="Heading1Char"/>
    <w:uiPriority w:val="9"/>
    <w:qFormat/>
    <w:rsid w:val="00A1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4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5A5"/>
    <w:rPr>
      <w:rFonts w:eastAsiaTheme="majorEastAsia" w:cstheme="majorBidi"/>
      <w:color w:val="272727" w:themeColor="text1" w:themeTint="D8"/>
    </w:rPr>
  </w:style>
  <w:style w:type="paragraph" w:styleId="Title">
    <w:name w:val="Title"/>
    <w:basedOn w:val="Normal"/>
    <w:next w:val="Normal"/>
    <w:link w:val="TitleChar"/>
    <w:uiPriority w:val="10"/>
    <w:qFormat/>
    <w:rsid w:val="00A1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5A5"/>
    <w:pPr>
      <w:spacing w:before="160"/>
      <w:jc w:val="center"/>
    </w:pPr>
    <w:rPr>
      <w:i/>
      <w:iCs/>
      <w:color w:val="404040" w:themeColor="text1" w:themeTint="BF"/>
    </w:rPr>
  </w:style>
  <w:style w:type="character" w:customStyle="1" w:styleId="QuoteChar">
    <w:name w:val="Quote Char"/>
    <w:basedOn w:val="DefaultParagraphFont"/>
    <w:link w:val="Quote"/>
    <w:uiPriority w:val="29"/>
    <w:rsid w:val="00A145A5"/>
    <w:rPr>
      <w:i/>
      <w:iCs/>
      <w:color w:val="404040" w:themeColor="text1" w:themeTint="BF"/>
    </w:rPr>
  </w:style>
  <w:style w:type="paragraph" w:styleId="ListParagraph">
    <w:name w:val="List Paragraph"/>
    <w:basedOn w:val="Normal"/>
    <w:uiPriority w:val="34"/>
    <w:qFormat/>
    <w:rsid w:val="00A145A5"/>
    <w:pPr>
      <w:ind w:left="720"/>
      <w:contextualSpacing/>
    </w:pPr>
  </w:style>
  <w:style w:type="character" w:styleId="IntenseEmphasis">
    <w:name w:val="Intense Emphasis"/>
    <w:basedOn w:val="DefaultParagraphFont"/>
    <w:uiPriority w:val="21"/>
    <w:qFormat/>
    <w:rsid w:val="00A145A5"/>
    <w:rPr>
      <w:i/>
      <w:iCs/>
      <w:color w:val="0F4761" w:themeColor="accent1" w:themeShade="BF"/>
    </w:rPr>
  </w:style>
  <w:style w:type="paragraph" w:styleId="IntenseQuote">
    <w:name w:val="Intense Quote"/>
    <w:basedOn w:val="Normal"/>
    <w:next w:val="Normal"/>
    <w:link w:val="IntenseQuoteChar"/>
    <w:uiPriority w:val="30"/>
    <w:qFormat/>
    <w:rsid w:val="00A1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5A5"/>
    <w:rPr>
      <w:i/>
      <w:iCs/>
      <w:color w:val="0F4761" w:themeColor="accent1" w:themeShade="BF"/>
    </w:rPr>
  </w:style>
  <w:style w:type="character" w:styleId="IntenseReference">
    <w:name w:val="Intense Reference"/>
    <w:basedOn w:val="DefaultParagraphFont"/>
    <w:uiPriority w:val="32"/>
    <w:qFormat/>
    <w:rsid w:val="00A145A5"/>
    <w:rPr>
      <w:b/>
      <w:bCs/>
      <w:smallCaps/>
      <w:color w:val="0F4761" w:themeColor="accent1" w:themeShade="BF"/>
      <w:spacing w:val="5"/>
    </w:rPr>
  </w:style>
  <w:style w:type="paragraph" w:customStyle="1" w:styleId="Body">
    <w:name w:val="Body"/>
    <w:rsid w:val="00E04827"/>
    <w:pPr>
      <w:pBdr>
        <w:top w:val="nil"/>
        <w:left w:val="nil"/>
        <w:bottom w:val="nil"/>
        <w:right w:val="nil"/>
        <w:between w:val="nil"/>
        <w:bar w:val="nil"/>
      </w:pBdr>
      <w:spacing w:after="0" w:line="240" w:lineRule="auto"/>
    </w:pPr>
    <w:rPr>
      <w:rFonts w:ascii="Calibri" w:eastAsia="Arial Unicode MS" w:hAnsi="Calibri" w:cs="Arial Unicode MS"/>
      <w:color w:val="000000"/>
      <w:kern w:val="0"/>
      <w:sz w:val="22"/>
      <w:szCs w:val="22"/>
      <w:u w:color="000000"/>
      <w:bdr w:val="nil"/>
      <w:lang w:eastAsia="en-GB"/>
    </w:rPr>
  </w:style>
  <w:style w:type="paragraph" w:styleId="BalloonText">
    <w:name w:val="Balloon Text"/>
    <w:basedOn w:val="Normal"/>
    <w:link w:val="BalloonTextChar"/>
    <w:uiPriority w:val="99"/>
    <w:semiHidden/>
    <w:unhideWhenUsed/>
    <w:rsid w:val="00391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AE9"/>
    <w:rPr>
      <w:rFonts w:ascii="Tahoma" w:hAnsi="Tahoma" w:cs="Tahoma"/>
      <w:sz w:val="16"/>
      <w:szCs w:val="16"/>
    </w:rPr>
  </w:style>
  <w:style w:type="character" w:styleId="Emphasis">
    <w:name w:val="Emphasis"/>
    <w:basedOn w:val="DefaultParagraphFont"/>
    <w:uiPriority w:val="20"/>
    <w:qFormat/>
    <w:rsid w:val="006B7EEE"/>
    <w:rPr>
      <w:i/>
      <w:iCs/>
    </w:rPr>
  </w:style>
  <w:style w:type="character" w:styleId="Strong">
    <w:name w:val="Strong"/>
    <w:basedOn w:val="DefaultParagraphFont"/>
    <w:uiPriority w:val="22"/>
    <w:qFormat/>
    <w:rsid w:val="004723A2"/>
    <w:rPr>
      <w:b/>
      <w:bCs/>
    </w:rPr>
  </w:style>
  <w:style w:type="paragraph" w:styleId="NormalWeb">
    <w:name w:val="Normal (Web)"/>
    <w:basedOn w:val="Normal"/>
    <w:uiPriority w:val="99"/>
    <w:unhideWhenUsed/>
    <w:rsid w:val="004723A2"/>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E97606"/>
    <w:rPr>
      <w:color w:val="467886" w:themeColor="hyperlink"/>
      <w:u w:val="single"/>
    </w:rPr>
  </w:style>
  <w:style w:type="character" w:styleId="UnresolvedMention">
    <w:name w:val="Unresolved Mention"/>
    <w:basedOn w:val="DefaultParagraphFont"/>
    <w:uiPriority w:val="99"/>
    <w:semiHidden/>
    <w:unhideWhenUsed/>
    <w:rsid w:val="00295F3F"/>
    <w:rPr>
      <w:color w:val="605E5C"/>
      <w:shd w:val="clear" w:color="auto" w:fill="E1DFDD"/>
    </w:rPr>
  </w:style>
  <w:style w:type="paragraph" w:styleId="Header">
    <w:name w:val="header"/>
    <w:basedOn w:val="Normal"/>
    <w:link w:val="HeaderChar"/>
    <w:uiPriority w:val="99"/>
    <w:unhideWhenUsed/>
    <w:rsid w:val="00904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18E"/>
  </w:style>
  <w:style w:type="paragraph" w:styleId="Footer">
    <w:name w:val="footer"/>
    <w:basedOn w:val="Normal"/>
    <w:link w:val="FooterChar"/>
    <w:uiPriority w:val="99"/>
    <w:unhideWhenUsed/>
    <w:rsid w:val="00904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831641">
      <w:bodyDiv w:val="1"/>
      <w:marLeft w:val="0"/>
      <w:marRight w:val="0"/>
      <w:marTop w:val="0"/>
      <w:marBottom w:val="0"/>
      <w:divBdr>
        <w:top w:val="none" w:sz="0" w:space="0" w:color="auto"/>
        <w:left w:val="none" w:sz="0" w:space="0" w:color="auto"/>
        <w:bottom w:val="none" w:sz="0" w:space="0" w:color="auto"/>
        <w:right w:val="none" w:sz="0" w:space="0" w:color="auto"/>
      </w:divBdr>
    </w:div>
    <w:div w:id="1231576193">
      <w:bodyDiv w:val="1"/>
      <w:marLeft w:val="0"/>
      <w:marRight w:val="0"/>
      <w:marTop w:val="0"/>
      <w:marBottom w:val="0"/>
      <w:divBdr>
        <w:top w:val="none" w:sz="0" w:space="0" w:color="auto"/>
        <w:left w:val="none" w:sz="0" w:space="0" w:color="auto"/>
        <w:bottom w:val="none" w:sz="0" w:space="0" w:color="auto"/>
        <w:right w:val="none" w:sz="0" w:space="0" w:color="auto"/>
      </w:divBdr>
    </w:div>
    <w:div w:id="1351906537">
      <w:bodyDiv w:val="1"/>
      <w:marLeft w:val="0"/>
      <w:marRight w:val="0"/>
      <w:marTop w:val="0"/>
      <w:marBottom w:val="0"/>
      <w:divBdr>
        <w:top w:val="none" w:sz="0" w:space="0" w:color="auto"/>
        <w:left w:val="none" w:sz="0" w:space="0" w:color="auto"/>
        <w:bottom w:val="none" w:sz="0" w:space="0" w:color="auto"/>
        <w:right w:val="none" w:sz="0" w:space="0" w:color="auto"/>
      </w:divBdr>
    </w:div>
    <w:div w:id="16704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7</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anngreen729@gmail.com</dc:creator>
  <cp:keywords/>
  <dc:description/>
  <cp:lastModifiedBy>SDI PC 1170</cp:lastModifiedBy>
  <cp:revision>111</cp:revision>
  <dcterms:created xsi:type="dcterms:W3CDTF">2025-08-11T13:16:00Z</dcterms:created>
  <dcterms:modified xsi:type="dcterms:W3CDTF">2026-01-16T10:52:00Z</dcterms:modified>
</cp:coreProperties>
</file>