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98690" w14:textId="0AB903FA" w:rsidR="00B656FC" w:rsidRPr="00B656FC" w:rsidRDefault="00B656FC" w:rsidP="00B656FC">
      <w:pPr>
        <w:pStyle w:val="NormalWeb"/>
        <w:rPr>
          <w:rStyle w:val="ai-insert"/>
          <w:rFonts w:ascii="Arial" w:hAnsi="Arial" w:cs="Arial"/>
          <w:b/>
          <w:u w:val="single"/>
        </w:rPr>
      </w:pPr>
      <w:r w:rsidRPr="00B656FC">
        <w:rPr>
          <w:rStyle w:val="ai-insert"/>
          <w:rFonts w:ascii="Arial" w:hAnsi="Arial" w:cs="Arial"/>
          <w:b/>
          <w:u w:val="single"/>
        </w:rPr>
        <w:t>Original Research Article</w:t>
      </w:r>
    </w:p>
    <w:p w14:paraId="0B4BD0BB" w14:textId="43D44D62" w:rsidR="006B076F" w:rsidRPr="00D7220B" w:rsidRDefault="00D5242A" w:rsidP="00B656FC">
      <w:pPr>
        <w:pStyle w:val="NormalWeb"/>
        <w:rPr>
          <w:rStyle w:val="ai-insert"/>
          <w:rFonts w:ascii="Arial" w:hAnsi="Arial" w:cs="Arial"/>
          <w:b/>
        </w:rPr>
      </w:pPr>
      <w:r w:rsidRPr="00D7220B">
        <w:rPr>
          <w:rStyle w:val="ai-insert"/>
          <w:rFonts w:ascii="Arial" w:hAnsi="Arial" w:cs="Arial"/>
          <w:b/>
        </w:rPr>
        <w:t>School Climate, Culture, and Academic Success: A Social Identity Theory Approach</w:t>
      </w:r>
    </w:p>
    <w:p w14:paraId="3EFF2341" w14:textId="77777777" w:rsidR="00B656FC" w:rsidRDefault="00B656FC" w:rsidP="002B75BB">
      <w:pPr>
        <w:pStyle w:val="NormalWeb"/>
        <w:spacing w:before="0" w:beforeAutospacing="0" w:after="0" w:afterAutospacing="0"/>
        <w:jc w:val="center"/>
        <w:rPr>
          <w:rStyle w:val="ai-insert"/>
          <w:rFonts w:ascii="Arial" w:hAnsi="Arial" w:cs="Arial"/>
        </w:rPr>
      </w:pPr>
    </w:p>
    <w:p w14:paraId="6F7C45A7" w14:textId="77777777" w:rsidR="00723F0C" w:rsidRDefault="00723F0C" w:rsidP="00723F0C">
      <w:pPr>
        <w:pStyle w:val="NormalWeb"/>
        <w:spacing w:before="0" w:beforeAutospacing="0" w:after="0" w:afterAutospacing="0"/>
        <w:jc w:val="both"/>
        <w:rPr>
          <w:rStyle w:val="ai-insert"/>
          <w:rFonts w:ascii="Arial" w:hAnsi="Arial" w:cs="Arial"/>
        </w:rPr>
      </w:pPr>
    </w:p>
    <w:p w14:paraId="0D88F8A1" w14:textId="77777777" w:rsidR="006B076F" w:rsidRPr="00723F0C" w:rsidRDefault="00D5242A" w:rsidP="00723F0C">
      <w:pPr>
        <w:pStyle w:val="NormalWeb"/>
        <w:spacing w:before="0" w:beforeAutospacing="0" w:after="0" w:afterAutospacing="0"/>
        <w:jc w:val="both"/>
        <w:rPr>
          <w:rStyle w:val="ai-insert"/>
          <w:rFonts w:ascii="Arial" w:hAnsi="Arial" w:cs="Arial"/>
        </w:rPr>
      </w:pPr>
      <w:r w:rsidRPr="00D7220B">
        <w:rPr>
          <w:rStyle w:val="ai-insert"/>
          <w:rFonts w:ascii="Arial" w:hAnsi="Arial" w:cs="Arial"/>
          <w:b/>
        </w:rPr>
        <w:t>ABSTRACT</w:t>
      </w:r>
    </w:p>
    <w:p w14:paraId="5AB6EDC3" w14:textId="77777777" w:rsidR="006B076F"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rPr>
        <w:t xml:space="preserve">This study quantitatively examined the complex relationships </w:t>
      </w:r>
      <w:r w:rsidR="00473348">
        <w:rPr>
          <w:rStyle w:val="ai-insert"/>
          <w:rFonts w:ascii="Arial" w:hAnsi="Arial" w:cs="Arial"/>
        </w:rPr>
        <w:t>among school climate, school culture, and student achievement in Zambian secondary schools by comparing government- and</w:t>
      </w:r>
      <w:r w:rsidRPr="00D7220B">
        <w:rPr>
          <w:rStyle w:val="ai-insert"/>
          <w:rFonts w:ascii="Arial" w:hAnsi="Arial" w:cs="Arial"/>
        </w:rPr>
        <w:t xml:space="preserve"> grant-aided institutions. Grounded in the Social Identity Approach, this research aimed to identify the mechanisms by which a school's environment impacts its success. A self-administered questionnaire was distributed to 304 teachers from 12 secondary schools in the Kabwe District, Zambia. Structural equation modelling (SEM) was employed to analyse the data. </w:t>
      </w:r>
    </w:p>
    <w:p w14:paraId="36CC314D" w14:textId="77777777" w:rsidR="007E21D2" w:rsidRPr="00D7220B" w:rsidRDefault="007E21D2" w:rsidP="00D7220B">
      <w:pPr>
        <w:pStyle w:val="NormalWeb"/>
        <w:spacing w:before="0" w:beforeAutospacing="0" w:after="0" w:afterAutospacing="0"/>
        <w:jc w:val="both"/>
        <w:rPr>
          <w:rStyle w:val="ai-insert"/>
          <w:rFonts w:ascii="Arial" w:hAnsi="Arial" w:cs="Arial"/>
        </w:rPr>
      </w:pPr>
    </w:p>
    <w:p w14:paraId="528C1A2F" w14:textId="77777777" w:rsidR="002452D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rPr>
        <w:t xml:space="preserve">The results revealed that the school climate had a significant positive influence on school culture, with a more pronounced effect in grant-aided schools. School culture also has a direct and positive impact on student achievement, particularly in grant-aided institutions. Furthermore, the school climate </w:t>
      </w:r>
      <w:r w:rsidR="00473348">
        <w:rPr>
          <w:rStyle w:val="ai-insert"/>
          <w:rFonts w:ascii="Arial" w:hAnsi="Arial" w:cs="Arial"/>
        </w:rPr>
        <w:t>had a significant and direct influence on student achievement, with a greater</w:t>
      </w:r>
      <w:r w:rsidRPr="00D7220B">
        <w:rPr>
          <w:rStyle w:val="ai-insert"/>
          <w:rFonts w:ascii="Arial" w:hAnsi="Arial" w:cs="Arial"/>
        </w:rPr>
        <w:t xml:space="preserve"> effect in grant-aided schools. Notably, school culture significantly mediated the relationship between school climate and student achievement, with the mediating effect more substantial in grant-aided schools. These findings suggest that a favourable school climate not only directly enhances student success but also indirectly does so by nurturing a strong and positive school culture, which subsequently becomes a key driver of student achievement.</w:t>
      </w:r>
    </w:p>
    <w:p w14:paraId="63D5544A" w14:textId="77777777" w:rsidR="007E21D2" w:rsidRPr="00D7220B" w:rsidRDefault="007E21D2" w:rsidP="00D7220B">
      <w:pPr>
        <w:pStyle w:val="NormalWeb"/>
        <w:spacing w:before="0" w:beforeAutospacing="0" w:after="0" w:afterAutospacing="0"/>
        <w:jc w:val="both"/>
        <w:rPr>
          <w:rStyle w:val="ai-insert"/>
          <w:rFonts w:ascii="Arial" w:hAnsi="Arial" w:cs="Arial"/>
        </w:rPr>
      </w:pPr>
    </w:p>
    <w:p w14:paraId="0A0F8536" w14:textId="77777777" w:rsidR="007218AB" w:rsidRPr="00D7220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rPr>
        <w:t xml:space="preserve">This study offers practical implications for educational policymakers, school leaders, and teachers, providing a comprehensive plan for improvement initiatives that emphasise the importance of investing in school climate and culture to enhance student outcomes. </w:t>
      </w:r>
    </w:p>
    <w:p w14:paraId="1076126E" w14:textId="77777777" w:rsidR="002452DB" w:rsidRPr="00D7220B" w:rsidRDefault="002452DB" w:rsidP="00D7220B">
      <w:pPr>
        <w:pStyle w:val="NormalWeb"/>
        <w:spacing w:before="0" w:beforeAutospacing="0" w:after="0" w:afterAutospacing="0"/>
        <w:jc w:val="both"/>
        <w:rPr>
          <w:rStyle w:val="ai-insert"/>
          <w:rFonts w:ascii="Arial" w:hAnsi="Arial" w:cs="Arial"/>
        </w:rPr>
      </w:pPr>
    </w:p>
    <w:p w14:paraId="1CADC713" w14:textId="77777777" w:rsidR="007218AB" w:rsidRPr="00D7220B" w:rsidRDefault="00D5242A" w:rsidP="00D7220B">
      <w:pPr>
        <w:pStyle w:val="NormalWeb"/>
        <w:jc w:val="both"/>
        <w:rPr>
          <w:rStyle w:val="ai-insert"/>
          <w:rFonts w:ascii="Arial" w:hAnsi="Arial" w:cs="Arial"/>
        </w:rPr>
      </w:pPr>
      <w:r w:rsidRPr="00D7220B">
        <w:rPr>
          <w:rStyle w:val="ai-insert"/>
          <w:rFonts w:ascii="Arial" w:hAnsi="Arial" w:cs="Arial"/>
          <w:b/>
        </w:rPr>
        <w:t>KEYWORDS</w:t>
      </w:r>
      <w:r w:rsidR="006B076F" w:rsidRPr="00D7220B">
        <w:rPr>
          <w:rStyle w:val="ai-insert"/>
          <w:rFonts w:ascii="Arial" w:hAnsi="Arial" w:cs="Arial"/>
          <w:b/>
        </w:rPr>
        <w:t xml:space="preserve">: </w:t>
      </w:r>
      <w:r w:rsidR="006B076F" w:rsidRPr="007E21D2">
        <w:rPr>
          <w:rStyle w:val="ai-insert"/>
          <w:rFonts w:ascii="Arial" w:hAnsi="Arial" w:cs="Arial"/>
          <w:i/>
        </w:rPr>
        <w:t>School climate, school culture, academic achievement, social identity, grant-aided schools</w:t>
      </w:r>
    </w:p>
    <w:p w14:paraId="51BAF7D2" w14:textId="77777777" w:rsidR="00A11B65" w:rsidRPr="00D7220B" w:rsidRDefault="00D5242A" w:rsidP="007E21D2">
      <w:pPr>
        <w:pStyle w:val="NormalWeb"/>
        <w:numPr>
          <w:ilvl w:val="0"/>
          <w:numId w:val="2"/>
        </w:numPr>
        <w:spacing w:before="0" w:beforeAutospacing="0" w:after="0" w:afterAutospacing="0"/>
        <w:ind w:left="0" w:firstLine="0"/>
        <w:jc w:val="both"/>
        <w:rPr>
          <w:rStyle w:val="ai-insert"/>
          <w:rFonts w:ascii="Arial" w:hAnsi="Arial" w:cs="Arial"/>
          <w:b/>
        </w:rPr>
      </w:pPr>
      <w:r w:rsidRPr="00D7220B">
        <w:rPr>
          <w:rStyle w:val="ai-insert"/>
          <w:rFonts w:ascii="Arial" w:hAnsi="Arial" w:cs="Arial"/>
          <w:b/>
        </w:rPr>
        <w:t>INTRODUCTION</w:t>
      </w:r>
    </w:p>
    <w:p w14:paraId="0CC21DEA" w14:textId="77777777" w:rsidR="00AC37DA" w:rsidRPr="00D7220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rPr>
        <w:t xml:space="preserve">Education is widely acknowledged as a fundamental component of empowering individuals and advancing society, serving as a crucial catalyst for social mobility, economic development, and national prosperity (Busemeyer et al., 2018). In an increasingly interconnected world, it equips individuals with the requisite knowledge, skills, and abilities for success (Mathews &amp; Savarimuthu, 2020). Despite their transformative potential, education systems worldwide continue to </w:t>
      </w:r>
      <w:r w:rsidR="007218AB" w:rsidRPr="00D7220B">
        <w:rPr>
          <w:rStyle w:val="ai-insert"/>
          <w:rFonts w:ascii="Arial" w:hAnsi="Arial" w:cs="Arial"/>
        </w:rPr>
        <w:t>face persistent challenges, including unequal access, inconsistent quality, and outdated curricula, which collectively hinder</w:t>
      </w:r>
      <w:r w:rsidRPr="00D7220B">
        <w:rPr>
          <w:rStyle w:val="ai-insert"/>
          <w:rFonts w:ascii="Arial" w:hAnsi="Arial" w:cs="Arial"/>
        </w:rPr>
        <w:t xml:space="preserve"> the attainment of optimal academic outcomes (Garcia, 2021).</w:t>
      </w:r>
    </w:p>
    <w:p w14:paraId="0E025FB2" w14:textId="77777777" w:rsidR="002452DB" w:rsidRPr="00D7220B" w:rsidRDefault="002452DB" w:rsidP="00D7220B">
      <w:pPr>
        <w:pStyle w:val="NormalWeb"/>
        <w:spacing w:before="0" w:beforeAutospacing="0" w:after="0" w:afterAutospacing="0"/>
        <w:jc w:val="both"/>
        <w:rPr>
          <w:rStyle w:val="ai-insert"/>
          <w:rFonts w:ascii="Arial" w:hAnsi="Arial" w:cs="Arial"/>
        </w:rPr>
      </w:pPr>
    </w:p>
    <w:p w14:paraId="0C1DE04C" w14:textId="77777777" w:rsidR="00AC37DA" w:rsidRPr="00D7220B" w:rsidRDefault="00143E85" w:rsidP="00D7220B">
      <w:pPr>
        <w:pStyle w:val="NormalWeb"/>
        <w:spacing w:before="0" w:beforeAutospacing="0" w:after="0" w:afterAutospacing="0"/>
        <w:jc w:val="both"/>
        <w:rPr>
          <w:rStyle w:val="ai-insert"/>
          <w:rFonts w:ascii="Arial" w:hAnsi="Arial" w:cs="Arial"/>
        </w:rPr>
      </w:pPr>
      <w:r>
        <w:rPr>
          <w:rStyle w:val="ai-insert"/>
          <w:rFonts w:ascii="Arial" w:hAnsi="Arial" w:cs="Arial"/>
        </w:rPr>
        <w:lastRenderedPageBreak/>
        <w:t>Within this complex landscape, schools’ internal environments have become crucial factors in their success. Research consistently demonstrates that school climate, which includes tangible and experiential aspects of school life such as safety, teacher-student relationships, and institutional support, directly and significantly affects academic performance (Amsalu &amp; Belay, 2024; Thapa et al., 2013). Additionally, school culture, representing a deeper, more lasting layer of shared values, beliefs, norms, and traditions that shape a school’s identity, influences the behaviours and interactions of all its members (Deal &amp; Peterson, 2009). Although often used interchangeably, climate and culture are distinct but interconnected; climate reflects a school’</w:t>
      </w:r>
      <w:r w:rsidR="00956594">
        <w:rPr>
          <w:rStyle w:val="ai-insert"/>
          <w:rFonts w:ascii="Arial" w:hAnsi="Arial" w:cs="Arial"/>
        </w:rPr>
        <w:t>s current “weather,”</w:t>
      </w:r>
      <w:r>
        <w:rPr>
          <w:rStyle w:val="ai-insert"/>
          <w:rFonts w:ascii="Arial" w:hAnsi="Arial" w:cs="Arial"/>
        </w:rPr>
        <w:t xml:space="preserve"> while culture illustrates its long-term “ecology” (Hoy &amp; Hannum, 1997).</w:t>
      </w:r>
    </w:p>
    <w:p w14:paraId="713272A9" w14:textId="77777777" w:rsidR="002452DB" w:rsidRPr="00D7220B" w:rsidRDefault="002452DB" w:rsidP="00D7220B">
      <w:pPr>
        <w:pStyle w:val="NormalWeb"/>
        <w:spacing w:before="0" w:beforeAutospacing="0" w:after="0" w:afterAutospacing="0"/>
        <w:jc w:val="both"/>
        <w:rPr>
          <w:rStyle w:val="ai-insert"/>
          <w:rFonts w:ascii="Arial" w:hAnsi="Arial" w:cs="Arial"/>
        </w:rPr>
      </w:pPr>
    </w:p>
    <w:p w14:paraId="3765C04C" w14:textId="77777777" w:rsidR="00A14F5B" w:rsidRPr="00D7220B" w:rsidRDefault="00143E85" w:rsidP="00D7220B">
      <w:pPr>
        <w:pStyle w:val="NormalWeb"/>
        <w:spacing w:before="0" w:beforeAutospacing="0" w:after="0" w:afterAutospacing="0"/>
        <w:jc w:val="both"/>
        <w:rPr>
          <w:rStyle w:val="ai-insert"/>
          <w:rFonts w:ascii="Arial" w:hAnsi="Arial" w:cs="Arial"/>
        </w:rPr>
      </w:pPr>
      <w:r>
        <w:rPr>
          <w:rStyle w:val="ai-insert"/>
          <w:rFonts w:ascii="Arial" w:hAnsi="Arial" w:cs="Arial"/>
        </w:rPr>
        <w:t>While the Zambian education system aims for equitable quality, a persistent and concerning performance gap remains between government- and grant-aided secondary schools, with the latter showing better academic results (ECZ 2020, 2021). This disparity indicates that factors beyond official policy and curriculum, specifically the internal institutional environment, are vital determinants of student success. Although an increasing body of international research has established a positive link between a favourable school climate, a healthy school culture, and enhanced student achievement (e.g., Thapa et al., 2013; Wang &amp; Degol, 2016), notable gaps still exist, especially in the Zambian context.</w:t>
      </w:r>
    </w:p>
    <w:p w14:paraId="558EE3AC" w14:textId="77777777" w:rsidR="002452DB" w:rsidRPr="00D7220B" w:rsidRDefault="002452DB" w:rsidP="00D7220B">
      <w:pPr>
        <w:pStyle w:val="NormalWeb"/>
        <w:spacing w:before="0" w:beforeAutospacing="0" w:after="0" w:afterAutospacing="0"/>
        <w:jc w:val="both"/>
        <w:rPr>
          <w:rStyle w:val="ai-insert"/>
          <w:rFonts w:ascii="Arial" w:hAnsi="Arial" w:cs="Arial"/>
        </w:rPr>
      </w:pPr>
    </w:p>
    <w:p w14:paraId="65C122EF" w14:textId="77777777" w:rsidR="00AC37DA" w:rsidRPr="00D7220B" w:rsidRDefault="00143E85" w:rsidP="00D7220B">
      <w:pPr>
        <w:pStyle w:val="NormalWeb"/>
        <w:spacing w:before="0" w:beforeAutospacing="0" w:after="0" w:afterAutospacing="0"/>
        <w:jc w:val="both"/>
        <w:rPr>
          <w:rStyle w:val="ai-insert"/>
          <w:rFonts w:ascii="Arial" w:hAnsi="Arial" w:cs="Arial"/>
        </w:rPr>
      </w:pPr>
      <w:r>
        <w:rPr>
          <w:rStyle w:val="ai-insert"/>
          <w:rFonts w:ascii="Arial" w:hAnsi="Arial" w:cs="Arial"/>
        </w:rPr>
        <w:t>Firstly, there is a scarcity of empirical and quantitative research in Zambia that explicitly examines the combined effects of school climate and culture on academic outcomes. Most studies have treated these constructs as separate (Azeem et al., 2021), overlooking their synergistic relationships. As Darling-Hammond (2020) emphasises, this interconnectedness is crucial for understanding student success.</w:t>
      </w:r>
    </w:p>
    <w:p w14:paraId="3D6628C7" w14:textId="77777777" w:rsidR="002452DB" w:rsidRPr="00D7220B" w:rsidRDefault="002452DB" w:rsidP="00D7220B">
      <w:pPr>
        <w:pStyle w:val="NormalWeb"/>
        <w:spacing w:before="0" w:beforeAutospacing="0" w:after="0" w:afterAutospacing="0"/>
        <w:jc w:val="both"/>
        <w:rPr>
          <w:rStyle w:val="ai-insert"/>
          <w:rFonts w:ascii="Arial" w:hAnsi="Arial" w:cs="Arial"/>
        </w:rPr>
      </w:pPr>
    </w:p>
    <w:p w14:paraId="13374119" w14:textId="77777777" w:rsidR="00AC37DA" w:rsidRDefault="00143E85" w:rsidP="00D7220B">
      <w:pPr>
        <w:pStyle w:val="NormalWeb"/>
        <w:spacing w:before="0" w:beforeAutospacing="0" w:after="0" w:afterAutospacing="0"/>
        <w:jc w:val="both"/>
        <w:rPr>
          <w:rStyle w:val="ai-insert"/>
          <w:rFonts w:ascii="Arial" w:hAnsi="Arial" w:cs="Arial"/>
        </w:rPr>
      </w:pPr>
      <w:r>
        <w:rPr>
          <w:rStyle w:val="ai-insert"/>
          <w:rFonts w:ascii="Arial" w:hAnsi="Arial" w:cs="Arial"/>
        </w:rPr>
        <w:t>Secondly, and more critically, there is a lack of investigation into the mechanisms linking climate and achievement. A key gap is the limited understanding of whether school culture acts as a mediating variable — a conduit through which a favourable school climate leads to tangible academic gains. While scholars have theorised this mediating role (Wang &amp; Holcombe, 2010), empirical evidence from sub-Saharan African contexts such as Zambia is virtually nonexistent. Hallinger and Heck (1998) have long called for research to uncover the “black-box processes within schools.</w:t>
      </w:r>
    </w:p>
    <w:p w14:paraId="49C917A6" w14:textId="77777777" w:rsidR="00473348" w:rsidRPr="00D7220B" w:rsidRDefault="00473348" w:rsidP="00D7220B">
      <w:pPr>
        <w:pStyle w:val="NormalWeb"/>
        <w:spacing w:before="0" w:beforeAutospacing="0" w:after="0" w:afterAutospacing="0"/>
        <w:jc w:val="both"/>
        <w:rPr>
          <w:rStyle w:val="ai-insert"/>
          <w:rFonts w:ascii="Arial" w:hAnsi="Arial" w:cs="Arial"/>
        </w:rPr>
      </w:pPr>
    </w:p>
    <w:p w14:paraId="429D24A7" w14:textId="77777777" w:rsidR="00A11B65" w:rsidRDefault="00143E85" w:rsidP="00D7220B">
      <w:pPr>
        <w:pStyle w:val="NormalWeb"/>
        <w:spacing w:before="0" w:beforeAutospacing="0" w:after="0" w:afterAutospacing="0"/>
        <w:jc w:val="both"/>
        <w:rPr>
          <w:rStyle w:val="ai-insert"/>
          <w:rFonts w:ascii="Arial" w:hAnsi="Arial" w:cs="Arial"/>
        </w:rPr>
      </w:pPr>
      <w:r>
        <w:rPr>
          <w:rStyle w:val="ai-insert"/>
          <w:rFonts w:ascii="Arial" w:hAnsi="Arial" w:cs="Arial"/>
        </w:rPr>
        <w:t>Thirdly, existing research often fails to provide a robust theoretical explanation for why these relationships might be stronger in certain types of schools. The Social Identity Approach offers a promising perspective for explaining how a strong, favourable climate can foster a shared sense of identity (culture) that motivates teachers and students in grant-aided schools to maintain higher academic standards. However, this issue remains unexplored.</w:t>
      </w:r>
    </w:p>
    <w:p w14:paraId="21940358" w14:textId="77777777" w:rsidR="00143E85" w:rsidRPr="00D7220B" w:rsidRDefault="00143E85" w:rsidP="00D7220B">
      <w:pPr>
        <w:pStyle w:val="NormalWeb"/>
        <w:spacing w:before="0" w:beforeAutospacing="0" w:after="0" w:afterAutospacing="0"/>
        <w:jc w:val="both"/>
        <w:rPr>
          <w:rStyle w:val="ai-insert"/>
          <w:rFonts w:ascii="Arial" w:hAnsi="Arial" w:cs="Arial"/>
        </w:rPr>
      </w:pPr>
    </w:p>
    <w:p w14:paraId="4651174B" w14:textId="77777777" w:rsidR="00A11B65" w:rsidRPr="00D7220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rPr>
        <w:t xml:space="preserve">This study aimed to quantitatively examine the complex relationships among school climate, school culture, and student achievement in Zambia. Grounded in the Social Identity Approach (Tajfel &amp; Turner, 1979; Turner, 1999), which provides a framework for understanding how group membership and shared identity influence </w:t>
      </w:r>
      <w:r w:rsidR="00F411C3" w:rsidRPr="00D7220B">
        <w:rPr>
          <w:rStyle w:val="ai-insert"/>
          <w:rFonts w:ascii="Arial" w:hAnsi="Arial" w:cs="Arial"/>
        </w:rPr>
        <w:t>behaviour</w:t>
      </w:r>
      <w:r w:rsidRPr="00D7220B">
        <w:rPr>
          <w:rStyle w:val="ai-insert"/>
          <w:rFonts w:ascii="Arial" w:hAnsi="Arial" w:cs="Arial"/>
        </w:rPr>
        <w:t xml:space="preserve">, this study </w:t>
      </w:r>
      <w:r w:rsidRPr="00D7220B">
        <w:rPr>
          <w:rStyle w:val="ai-insert"/>
          <w:rFonts w:ascii="Arial" w:hAnsi="Arial" w:cs="Arial"/>
        </w:rPr>
        <w:lastRenderedPageBreak/>
        <w:t>seeks to move beyond descriptive comparisons to uncover the mechanisms through which a school's environment impacts its success.</w:t>
      </w:r>
    </w:p>
    <w:p w14:paraId="2FF7674C" w14:textId="77777777" w:rsidR="00A14F5B" w:rsidRPr="00D7220B" w:rsidRDefault="009B3860" w:rsidP="009B3860">
      <w:pPr>
        <w:pStyle w:val="NormalWeb"/>
        <w:numPr>
          <w:ilvl w:val="0"/>
          <w:numId w:val="3"/>
        </w:numPr>
        <w:jc w:val="both"/>
        <w:rPr>
          <w:rStyle w:val="ai-insert"/>
          <w:rFonts w:ascii="Arial" w:hAnsi="Arial" w:cs="Arial"/>
          <w:b/>
        </w:rPr>
      </w:pPr>
      <w:r>
        <w:rPr>
          <w:rStyle w:val="ai-insert"/>
          <w:rFonts w:ascii="Arial" w:hAnsi="Arial" w:cs="Arial"/>
          <w:b/>
          <w:sz w:val="28"/>
        </w:rPr>
        <w:t> </w:t>
      </w:r>
      <w:r w:rsidR="00D5242A" w:rsidRPr="009B3860">
        <w:rPr>
          <w:rStyle w:val="ai-insert"/>
          <w:rFonts w:ascii="Arial" w:hAnsi="Arial" w:cs="Arial"/>
          <w:b/>
          <w:sz w:val="28"/>
        </w:rPr>
        <w:t>LITERATURE</w:t>
      </w:r>
      <w:r w:rsidR="00D5242A" w:rsidRPr="00D7220B">
        <w:rPr>
          <w:rStyle w:val="ai-insert"/>
          <w:rFonts w:ascii="Arial" w:hAnsi="Arial" w:cs="Arial"/>
          <w:b/>
        </w:rPr>
        <w:t xml:space="preserve"> REVIEW</w:t>
      </w:r>
    </w:p>
    <w:p w14:paraId="41429A4A" w14:textId="77777777" w:rsidR="00A14F5B" w:rsidRPr="00D7220B" w:rsidRDefault="009B3860" w:rsidP="00D7220B">
      <w:pPr>
        <w:pStyle w:val="NormalWeb"/>
        <w:jc w:val="both"/>
        <w:rPr>
          <w:rStyle w:val="ai-insert"/>
          <w:rFonts w:ascii="Arial" w:hAnsi="Arial" w:cs="Arial"/>
          <w:b/>
        </w:rPr>
      </w:pPr>
      <w:r>
        <w:rPr>
          <w:rStyle w:val="ai-insert"/>
          <w:rFonts w:ascii="Arial" w:hAnsi="Arial" w:cs="Arial"/>
          <w:b/>
        </w:rPr>
        <w:t>2.1 </w:t>
      </w:r>
      <w:r w:rsidR="00D5242A" w:rsidRPr="00D7220B">
        <w:rPr>
          <w:rStyle w:val="ai-insert"/>
          <w:rFonts w:ascii="Arial" w:hAnsi="Arial" w:cs="Arial"/>
          <w:b/>
        </w:rPr>
        <w:t>THEORETICAL FRAMEWORK</w:t>
      </w:r>
    </w:p>
    <w:p w14:paraId="3325CDE5" w14:textId="77777777" w:rsidR="00304D9A" w:rsidRDefault="0090289B" w:rsidP="00D7220B">
      <w:pPr>
        <w:pStyle w:val="NormalWeb"/>
        <w:spacing w:before="0" w:beforeAutospacing="0" w:after="0" w:afterAutospacing="0"/>
        <w:jc w:val="both"/>
        <w:rPr>
          <w:rStyle w:val="ai-insert"/>
          <w:rFonts w:ascii="Arial" w:hAnsi="Arial" w:cs="Arial"/>
        </w:rPr>
      </w:pPr>
      <w:r>
        <w:rPr>
          <w:rStyle w:val="ai-insert"/>
          <w:rFonts w:ascii="Arial" w:hAnsi="Arial" w:cs="Arial"/>
        </w:rPr>
        <w:t>This study employs the Social Identity Approach (SIA), a comprehensive theoretical framework that integrates Social Identity Theory (SIT) (Tajfel &amp; Turner, 1979) and self-</w:t>
      </w:r>
      <w:proofErr w:type="spellStart"/>
      <w:r>
        <w:rPr>
          <w:rStyle w:val="ai-insert"/>
          <w:rFonts w:ascii="Arial" w:hAnsi="Arial" w:cs="Arial"/>
        </w:rPr>
        <w:t>categorisation</w:t>
      </w:r>
      <w:proofErr w:type="spellEnd"/>
      <w:r>
        <w:rPr>
          <w:rStyle w:val="ai-insert"/>
          <w:rFonts w:ascii="Arial" w:hAnsi="Arial" w:cs="Arial"/>
        </w:rPr>
        <w:t xml:space="preserve"> theory (SCT) (Turner, 1999). This framework was chosen for its effectiveness in explaining how group membership and collective identity within organisations, such as schools, influence the attitudes, norms, and behaviours of members, thereby impacting </w:t>
      </w:r>
      <w:proofErr w:type="spellStart"/>
      <w:r>
        <w:rPr>
          <w:rStyle w:val="ai-insert"/>
          <w:rFonts w:ascii="Arial" w:hAnsi="Arial" w:cs="Arial"/>
        </w:rPr>
        <w:t>organisational</w:t>
      </w:r>
      <w:proofErr w:type="spellEnd"/>
      <w:r>
        <w:rPr>
          <w:rStyle w:val="ai-insert"/>
          <w:rFonts w:ascii="Arial" w:hAnsi="Arial" w:cs="Arial"/>
        </w:rPr>
        <w:t xml:space="preserve"> outcomes (</w:t>
      </w:r>
      <w:proofErr w:type="spellStart"/>
      <w:r>
        <w:rPr>
          <w:rStyle w:val="ai-insert"/>
          <w:rFonts w:ascii="Arial" w:hAnsi="Arial" w:cs="Arial"/>
        </w:rPr>
        <w:t>Trepte</w:t>
      </w:r>
      <w:proofErr w:type="spellEnd"/>
      <w:r>
        <w:rPr>
          <w:rStyle w:val="ai-insert"/>
          <w:rFonts w:ascii="Arial" w:hAnsi="Arial" w:cs="Arial"/>
        </w:rPr>
        <w:t xml:space="preserve"> &amp; Loy, 2017). </w:t>
      </w:r>
    </w:p>
    <w:p w14:paraId="4C5888D5" w14:textId="77777777" w:rsidR="0090289B" w:rsidRPr="00D7220B" w:rsidRDefault="0090289B" w:rsidP="00D7220B">
      <w:pPr>
        <w:pStyle w:val="NormalWeb"/>
        <w:spacing w:before="0" w:beforeAutospacing="0" w:after="0" w:afterAutospacing="0"/>
        <w:jc w:val="both"/>
        <w:rPr>
          <w:rStyle w:val="ai-insert"/>
          <w:rFonts w:ascii="Arial" w:hAnsi="Arial" w:cs="Arial"/>
        </w:rPr>
      </w:pPr>
    </w:p>
    <w:p w14:paraId="7B862785" w14:textId="77777777" w:rsidR="00304D9A" w:rsidRPr="00D7220B" w:rsidRDefault="0090289B" w:rsidP="00D7220B">
      <w:pPr>
        <w:pStyle w:val="NormalWeb"/>
        <w:spacing w:before="0" w:beforeAutospacing="0" w:after="0" w:afterAutospacing="0"/>
        <w:jc w:val="both"/>
        <w:rPr>
          <w:rStyle w:val="ai-insert"/>
          <w:rFonts w:ascii="Arial" w:hAnsi="Arial" w:cs="Arial"/>
        </w:rPr>
      </w:pPr>
      <w:r>
        <w:rPr>
          <w:rStyle w:val="ai-insert"/>
          <w:rFonts w:ascii="Arial" w:hAnsi="Arial" w:cs="Arial"/>
        </w:rPr>
        <w:t>According to the SIA, an individual’s self-concept is shaped not only by their personal identity (“I” or “me”) but also by their social identities (“we” or “us”), which are linked to their membership in various social groups (Turner et al., 2021; Turner et al., 1987). This theory is based on several core principles relevant to this research.</w:t>
      </w:r>
    </w:p>
    <w:p w14:paraId="64A718D8" w14:textId="77777777" w:rsidR="00304D9A"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i/>
        </w:rPr>
        <w:t>Social Categorisation</w:t>
      </w:r>
      <w:r w:rsidRPr="00D7220B">
        <w:rPr>
          <w:rStyle w:val="ai-insert"/>
          <w:rFonts w:ascii="Arial" w:hAnsi="Arial" w:cs="Arial"/>
        </w:rPr>
        <w:t>: Individuals naturally classify themselves and others into social groups. In the school context, these groups might be as broa</w:t>
      </w:r>
      <w:r w:rsidR="0090289B">
        <w:rPr>
          <w:rStyle w:val="ai-insert"/>
          <w:rFonts w:ascii="Arial" w:hAnsi="Arial" w:cs="Arial"/>
        </w:rPr>
        <w:t>d as “staff of this school” or “students of this school,” or more specifically, such as “</w:t>
      </w:r>
      <w:r w:rsidRPr="00D7220B">
        <w:rPr>
          <w:rStyle w:val="ai-insert"/>
          <w:rFonts w:ascii="Arial" w:hAnsi="Arial" w:cs="Arial"/>
        </w:rPr>
        <w:t>science dep</w:t>
      </w:r>
      <w:r w:rsidR="0090289B">
        <w:rPr>
          <w:rStyle w:val="ai-insert"/>
          <w:rFonts w:ascii="Arial" w:hAnsi="Arial" w:cs="Arial"/>
        </w:rPr>
        <w:t>artment” or “grade level team.”</w:t>
      </w:r>
    </w:p>
    <w:p w14:paraId="7970F64D" w14:textId="77777777" w:rsidR="009B3860" w:rsidRPr="00D7220B" w:rsidRDefault="009B3860" w:rsidP="00D7220B">
      <w:pPr>
        <w:pStyle w:val="NormalWeb"/>
        <w:spacing w:before="0" w:beforeAutospacing="0" w:after="0" w:afterAutospacing="0"/>
        <w:jc w:val="both"/>
        <w:rPr>
          <w:rStyle w:val="ai-insert"/>
          <w:rFonts w:ascii="Arial" w:hAnsi="Arial" w:cs="Arial"/>
        </w:rPr>
      </w:pPr>
    </w:p>
    <w:p w14:paraId="7DA5CE06" w14:textId="77777777" w:rsidR="0090289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i/>
        </w:rPr>
        <w:t>Social Identification</w:t>
      </w:r>
      <w:r w:rsidRPr="00D7220B">
        <w:rPr>
          <w:rStyle w:val="ai-insert"/>
          <w:rFonts w:ascii="Arial" w:hAnsi="Arial" w:cs="Arial"/>
        </w:rPr>
        <w:t xml:space="preserve">: Individuals adopt the identity of the group to which they belong, </w:t>
      </w:r>
      <w:proofErr w:type="spellStart"/>
      <w:r w:rsidRPr="00D7220B">
        <w:rPr>
          <w:rStyle w:val="ai-insert"/>
          <w:rFonts w:ascii="Arial" w:hAnsi="Arial" w:cs="Arial"/>
        </w:rPr>
        <w:t>internalising</w:t>
      </w:r>
      <w:proofErr w:type="spellEnd"/>
      <w:r w:rsidRPr="00D7220B">
        <w:rPr>
          <w:rStyle w:val="ai-insert"/>
          <w:rFonts w:ascii="Arial" w:hAnsi="Arial" w:cs="Arial"/>
        </w:rPr>
        <w:t xml:space="preserve"> their norms, values, and characteristics as their own (Turner, 1985). When teachers strongly identify with their school, their successes and failures become their own, and their self-esteem is linked to the</w:t>
      </w:r>
      <w:r w:rsidR="0090289B">
        <w:rPr>
          <w:rStyle w:val="ai-insert"/>
          <w:rFonts w:ascii="Arial" w:hAnsi="Arial" w:cs="Arial"/>
        </w:rPr>
        <w:t xml:space="preserve"> group’</w:t>
      </w:r>
      <w:r w:rsidRPr="00D7220B">
        <w:rPr>
          <w:rStyle w:val="ai-insert"/>
          <w:rFonts w:ascii="Arial" w:hAnsi="Arial" w:cs="Arial"/>
        </w:rPr>
        <w:t>s status.</w:t>
      </w:r>
    </w:p>
    <w:p w14:paraId="5CDDA54D" w14:textId="77777777" w:rsidR="00304D9A" w:rsidRPr="00D7220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rPr>
        <w:t xml:space="preserve"> </w:t>
      </w:r>
    </w:p>
    <w:p w14:paraId="3E1B752E" w14:textId="77777777" w:rsidR="0090289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i/>
        </w:rPr>
        <w:t>Social Comparison</w:t>
      </w:r>
      <w:r w:rsidRPr="00D7220B">
        <w:rPr>
          <w:rStyle w:val="ai-insert"/>
          <w:rFonts w:ascii="Arial" w:hAnsi="Arial" w:cs="Arial"/>
        </w:rPr>
        <w:t xml:space="preserve">: Groups maintain their positive distinctiveness by comparing themselves to other relevant groups (e.g., our school vs. other schools), often in ways that </w:t>
      </w:r>
      <w:proofErr w:type="spellStart"/>
      <w:r w:rsidR="00F411C3" w:rsidRPr="00D7220B">
        <w:rPr>
          <w:rStyle w:val="ai-insert"/>
          <w:rFonts w:ascii="Arial" w:hAnsi="Arial" w:cs="Arial"/>
        </w:rPr>
        <w:t>favour</w:t>
      </w:r>
      <w:proofErr w:type="spellEnd"/>
      <w:r w:rsidRPr="00D7220B">
        <w:rPr>
          <w:rStyle w:val="ai-insert"/>
          <w:rFonts w:ascii="Arial" w:hAnsi="Arial" w:cs="Arial"/>
        </w:rPr>
        <w:t xml:space="preserve"> the ingroup. This can foster a desire for the in-group to be perceived as successful and high-achieving.</w:t>
      </w:r>
    </w:p>
    <w:p w14:paraId="3E6B495E" w14:textId="77777777" w:rsidR="00304D9A" w:rsidRPr="00D7220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rPr>
        <w:t xml:space="preserve"> </w:t>
      </w:r>
    </w:p>
    <w:p w14:paraId="34EA64F4" w14:textId="77777777" w:rsidR="00304D9A" w:rsidRPr="00D7220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i/>
        </w:rPr>
        <w:t>Psychological Group Membership</w:t>
      </w:r>
      <w:r w:rsidRPr="00D7220B">
        <w:rPr>
          <w:rStyle w:val="ai-insert"/>
          <w:rFonts w:ascii="Arial" w:hAnsi="Arial" w:cs="Arial"/>
        </w:rPr>
        <w:t xml:space="preserve">: The strength of this process is </w:t>
      </w:r>
      <w:r w:rsidR="00473348">
        <w:rPr>
          <w:rStyle w:val="ai-insert"/>
          <w:rFonts w:ascii="Arial" w:hAnsi="Arial" w:cs="Arial"/>
        </w:rPr>
        <w:t>determined not solely by formal membership</w:t>
      </w:r>
      <w:r w:rsidR="0090289B">
        <w:rPr>
          <w:rStyle w:val="ai-insert"/>
          <w:rFonts w:ascii="Arial" w:hAnsi="Arial" w:cs="Arial"/>
        </w:rPr>
        <w:t xml:space="preserve"> but also by the individual’</w:t>
      </w:r>
      <w:r w:rsidRPr="00D7220B">
        <w:rPr>
          <w:rStyle w:val="ai-insert"/>
          <w:rFonts w:ascii="Arial" w:hAnsi="Arial" w:cs="Arial"/>
        </w:rPr>
        <w:t xml:space="preserve">s psychological commitment to the group, including their sense of belonging, pride, and shared destiny with other members (Hogg, 2018; Haslam, 2001). </w:t>
      </w:r>
    </w:p>
    <w:p w14:paraId="1F2FBB43" w14:textId="77777777" w:rsidR="00396538" w:rsidRPr="00D7220B" w:rsidRDefault="00396538" w:rsidP="00D7220B">
      <w:pPr>
        <w:pStyle w:val="NormalWeb"/>
        <w:spacing w:before="0" w:beforeAutospacing="0" w:after="0" w:afterAutospacing="0"/>
        <w:jc w:val="both"/>
        <w:rPr>
          <w:rStyle w:val="ai-insert"/>
          <w:rFonts w:ascii="Arial" w:hAnsi="Arial" w:cs="Arial"/>
        </w:rPr>
      </w:pPr>
    </w:p>
    <w:p w14:paraId="052FABEC" w14:textId="77777777" w:rsidR="00A14F5B" w:rsidRPr="00D7220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rPr>
        <w:t xml:space="preserve">The SIA provides a coherent perspective for exploring and connecting the core variables of this study: school climate (foundation for social identity), school culture (expression of shared social identity), and </w:t>
      </w:r>
      <w:r w:rsidR="00C40DCF" w:rsidRPr="00D7220B">
        <w:rPr>
          <w:rStyle w:val="ai-insert"/>
          <w:rFonts w:ascii="Arial" w:hAnsi="Arial" w:cs="Arial"/>
        </w:rPr>
        <w:t xml:space="preserve">learner </w:t>
      </w:r>
      <w:r w:rsidRPr="00D7220B">
        <w:rPr>
          <w:rStyle w:val="ai-insert"/>
          <w:rFonts w:ascii="Arial" w:hAnsi="Arial" w:cs="Arial"/>
        </w:rPr>
        <w:t xml:space="preserve">achievement (outcome of group norms and </w:t>
      </w:r>
      <w:proofErr w:type="spellStart"/>
      <w:r w:rsidRPr="00D7220B">
        <w:rPr>
          <w:rStyle w:val="ai-insert"/>
          <w:rFonts w:ascii="Arial" w:hAnsi="Arial" w:cs="Arial"/>
        </w:rPr>
        <w:t>behaviour</w:t>
      </w:r>
      <w:proofErr w:type="spellEnd"/>
      <w:r w:rsidRPr="00D7220B">
        <w:rPr>
          <w:rStyle w:val="ai-insert"/>
          <w:rFonts w:ascii="Arial" w:hAnsi="Arial" w:cs="Arial"/>
        </w:rPr>
        <w:t xml:space="preserve">) (Scheepers &amp; </w:t>
      </w:r>
      <w:proofErr w:type="spellStart"/>
      <w:r w:rsidRPr="00D7220B">
        <w:rPr>
          <w:rStyle w:val="ai-insert"/>
          <w:rFonts w:ascii="Arial" w:hAnsi="Arial" w:cs="Arial"/>
        </w:rPr>
        <w:t>Ellemers</w:t>
      </w:r>
      <w:proofErr w:type="spellEnd"/>
      <w:r w:rsidRPr="00D7220B">
        <w:rPr>
          <w:rStyle w:val="ai-insert"/>
          <w:rFonts w:ascii="Arial" w:hAnsi="Arial" w:cs="Arial"/>
        </w:rPr>
        <w:t>, 2019; Reynolds et al., 2017).</w:t>
      </w:r>
    </w:p>
    <w:p w14:paraId="10E32127" w14:textId="77777777" w:rsidR="00396538" w:rsidRPr="00D7220B" w:rsidRDefault="00396538" w:rsidP="00D7220B">
      <w:pPr>
        <w:pStyle w:val="NormalWeb"/>
        <w:spacing w:before="0" w:beforeAutospacing="0" w:after="0" w:afterAutospacing="0"/>
        <w:jc w:val="both"/>
        <w:rPr>
          <w:rStyle w:val="ai-insert"/>
          <w:rFonts w:ascii="Arial" w:hAnsi="Arial" w:cs="Arial"/>
        </w:rPr>
      </w:pPr>
    </w:p>
    <w:p w14:paraId="747B9348" w14:textId="77777777" w:rsidR="00396538" w:rsidRPr="00D7220B" w:rsidRDefault="009B3860" w:rsidP="00D7220B">
      <w:pPr>
        <w:pStyle w:val="NormalWeb"/>
        <w:spacing w:before="0" w:beforeAutospacing="0" w:after="0" w:afterAutospacing="0"/>
        <w:jc w:val="both"/>
        <w:rPr>
          <w:rStyle w:val="ai-insert"/>
          <w:rFonts w:ascii="Arial" w:hAnsi="Arial" w:cs="Arial"/>
          <w:b/>
        </w:rPr>
      </w:pPr>
      <w:r>
        <w:rPr>
          <w:rStyle w:val="ai-insert"/>
          <w:rFonts w:ascii="Arial" w:hAnsi="Arial" w:cs="Arial"/>
          <w:b/>
        </w:rPr>
        <w:t>2.2 </w:t>
      </w:r>
      <w:r w:rsidR="00D5242A" w:rsidRPr="00D7220B">
        <w:rPr>
          <w:rStyle w:val="ai-insert"/>
          <w:rFonts w:ascii="Arial" w:hAnsi="Arial" w:cs="Arial"/>
          <w:b/>
        </w:rPr>
        <w:t>School Climate and School Culture</w:t>
      </w:r>
    </w:p>
    <w:p w14:paraId="43CE2140" w14:textId="77777777" w:rsidR="00D80810" w:rsidRPr="00D7220B" w:rsidRDefault="00524151" w:rsidP="00D7220B">
      <w:pPr>
        <w:pStyle w:val="NormalWeb"/>
        <w:jc w:val="both"/>
        <w:rPr>
          <w:rFonts w:ascii="Arial" w:hAnsi="Arial" w:cs="Arial"/>
        </w:rPr>
      </w:pPr>
      <w:r>
        <w:rPr>
          <w:rFonts w:ascii="Arial" w:hAnsi="Arial" w:cs="Arial"/>
        </w:rPr>
        <w:lastRenderedPageBreak/>
        <w:t>The atmosphere within secondary schools greatly impacts the overall culture. School climate involves the quality and character of school life, including norms, aims, values, interpersonal interactions, teaching and learning approaches, and organisational structures (Huang et al., 2024; Bradshaw et al., 2021). While research strongly supports the link between school climate and culture, some studies have pointed out the complexity and distinctiveness of these concepts. For instance, Schoen and Teddlie (2008) argued that although school climate is an important element, it does not fully embody the essence of school culture. Thus, its role should be more clearly outlined within the wider context of educational reforms, emphasising the need to differentiate it from school culture for more effective policy development and intervention (Bradshaw et al., 2021).</w:t>
      </w:r>
    </w:p>
    <w:p w14:paraId="55DE63E6" w14:textId="77777777" w:rsidR="00D80810" w:rsidRPr="00D7220B" w:rsidRDefault="00D5242A" w:rsidP="00D7220B">
      <w:pPr>
        <w:pStyle w:val="NormalWeb"/>
        <w:jc w:val="both"/>
        <w:rPr>
          <w:rFonts w:ascii="Arial" w:hAnsi="Arial" w:cs="Arial"/>
        </w:rPr>
      </w:pPr>
      <w:r w:rsidRPr="00D7220B">
        <w:rPr>
          <w:rFonts w:ascii="Arial" w:hAnsi="Arial" w:cs="Arial"/>
        </w:rPr>
        <w:t xml:space="preserve">Conversely, some studies have found a positive relationship between school climate and culture (Kalkan &amp; </w:t>
      </w:r>
      <w:proofErr w:type="spellStart"/>
      <w:r w:rsidRPr="00D7220B">
        <w:rPr>
          <w:rFonts w:ascii="Arial" w:hAnsi="Arial" w:cs="Arial"/>
        </w:rPr>
        <w:t>Dağli</w:t>
      </w:r>
      <w:proofErr w:type="spellEnd"/>
      <w:r w:rsidRPr="00D7220B">
        <w:rPr>
          <w:rFonts w:ascii="Arial" w:hAnsi="Arial" w:cs="Arial"/>
        </w:rPr>
        <w:t xml:space="preserve">, 2022; </w:t>
      </w:r>
      <w:proofErr w:type="spellStart"/>
      <w:r w:rsidRPr="00D7220B">
        <w:rPr>
          <w:rFonts w:ascii="Arial" w:hAnsi="Arial" w:cs="Arial"/>
        </w:rPr>
        <w:t>Kutsyuruba</w:t>
      </w:r>
      <w:proofErr w:type="spellEnd"/>
      <w:r w:rsidRPr="00D7220B">
        <w:rPr>
          <w:rFonts w:ascii="Arial" w:hAnsi="Arial" w:cs="Arial"/>
        </w:rPr>
        <w:t xml:space="preserve"> et al., 2015; Di Sano et al., 2024). A supportive climate fosters teacher satisfaction, contributing to a productive and positive school culture that enhances the educational environment (Duan et al., 2018). Essentially, a nurturing school climate lays the foundation for a constructive school culture by instilling values of safety, inclusivity, respect, and belonging, thereby enhancing the overall effectiveness and well-being of the school community. Additionally, Hendron and Kearney (2016) found that a favourable school climate is associated with reduced </w:t>
      </w:r>
      <w:r w:rsidR="00C40DCF" w:rsidRPr="00D7220B">
        <w:rPr>
          <w:rFonts w:ascii="Arial" w:hAnsi="Arial" w:cs="Arial"/>
        </w:rPr>
        <w:t>student</w:t>
      </w:r>
      <w:r w:rsidRPr="00D7220B">
        <w:rPr>
          <w:rFonts w:ascii="Arial" w:hAnsi="Arial" w:cs="Arial"/>
        </w:rPr>
        <w:t xml:space="preserve"> absenteeism. The relationship between teachers and students plays a significant role in academic performance. Improving school climate and culture often involves evaluating and addressing relationships, communication, discipline policies, inclusivity, diversity, equity, and support services. Based on this argument, the following hypothesis is formulated: </w:t>
      </w:r>
    </w:p>
    <w:p w14:paraId="4FAB4B9D" w14:textId="77777777" w:rsidR="00586560" w:rsidRPr="00D7220B" w:rsidRDefault="00D5242A" w:rsidP="00D7220B">
      <w:pPr>
        <w:pStyle w:val="NormalWeb"/>
        <w:jc w:val="both"/>
        <w:rPr>
          <w:rFonts w:ascii="Arial" w:hAnsi="Arial" w:cs="Arial"/>
          <w:i/>
        </w:rPr>
      </w:pPr>
      <w:r w:rsidRPr="00D7220B">
        <w:rPr>
          <w:rFonts w:ascii="Arial" w:hAnsi="Arial" w:cs="Arial"/>
          <w:i/>
        </w:rPr>
        <w:t>H1: School Climate has a positive effect on School Culture</w:t>
      </w:r>
    </w:p>
    <w:p w14:paraId="7980B6CD" w14:textId="77777777" w:rsidR="00D80810" w:rsidRPr="00D7220B" w:rsidRDefault="009B3860" w:rsidP="00D7220B">
      <w:pPr>
        <w:pStyle w:val="NormalWeb"/>
        <w:jc w:val="both"/>
        <w:rPr>
          <w:rFonts w:ascii="Arial" w:hAnsi="Arial" w:cs="Arial"/>
          <w:b/>
        </w:rPr>
      </w:pPr>
      <w:r>
        <w:rPr>
          <w:rFonts w:ascii="Arial" w:hAnsi="Arial" w:cs="Arial"/>
          <w:b/>
        </w:rPr>
        <w:t>2.3 </w:t>
      </w:r>
      <w:r w:rsidR="00D5242A" w:rsidRPr="00D7220B">
        <w:rPr>
          <w:rFonts w:ascii="Arial" w:hAnsi="Arial" w:cs="Arial"/>
          <w:b/>
        </w:rPr>
        <w:t>School Culture and Learner Achievement</w:t>
      </w:r>
    </w:p>
    <w:p w14:paraId="59F1BE79" w14:textId="77777777" w:rsidR="000440C9" w:rsidRPr="00D7220B" w:rsidRDefault="00CB6E29" w:rsidP="00D7220B">
      <w:pPr>
        <w:pStyle w:val="NormalWeb"/>
        <w:jc w:val="both"/>
        <w:rPr>
          <w:rFonts w:ascii="Arial" w:hAnsi="Arial" w:cs="Arial"/>
        </w:rPr>
      </w:pPr>
      <w:r>
        <w:rPr>
          <w:rFonts w:ascii="Arial" w:hAnsi="Arial" w:cs="Arial"/>
        </w:rPr>
        <w:t>The term “culture” is derived from the Latin word “</w:t>
      </w:r>
      <w:proofErr w:type="spellStart"/>
      <w:r>
        <w:rPr>
          <w:rFonts w:ascii="Arial" w:hAnsi="Arial" w:cs="Arial"/>
        </w:rPr>
        <w:t>cultura</w:t>
      </w:r>
      <w:proofErr w:type="spellEnd"/>
      <w:r>
        <w:rPr>
          <w:rFonts w:ascii="Arial" w:hAnsi="Arial" w:cs="Arial"/>
        </w:rPr>
        <w:t>,” which denotes a collective moral purpose and vision rooted in trust and cultivation (Doherty, 2023). It includes the school’s mission, vision, objectives, organisational structure, leadership strategies, and decision-making processes. The impact of school culture on student performance is complex, involving both positive and negative aspects. For example, in schools characterised by a competitive culture, resources and attention may be disproportionately directed, favouring high-achieving students. This can create disparities in academic performance and negatively affect the educational experiences of less-advantaged students (Berkowitz et al., 2016). Additionally, large class sizes, common in schools that prioritise efficiency over personalised attention, can reduce student-teacher interactions and lower student satisfaction. This may harm students’ academic outcomes by not meeting their individual learning needs (Wang &amp; Calvano, 2022). School cultures that emphasise academic results may unintentionally foster high-pressure environments for teachers. These conditions can har</w:t>
      </w:r>
      <w:r w:rsidR="00956594">
        <w:rPr>
          <w:rFonts w:ascii="Arial" w:hAnsi="Arial" w:cs="Arial"/>
        </w:rPr>
        <w:t>m students’</w:t>
      </w:r>
      <w:r>
        <w:rPr>
          <w:rFonts w:ascii="Arial" w:hAnsi="Arial" w:cs="Arial"/>
        </w:rPr>
        <w:t xml:space="preserve"> emotional well-being, cause burnout, and ultimately impair their academic achievement (Barker, 2007).</w:t>
      </w:r>
    </w:p>
    <w:p w14:paraId="2A25064B" w14:textId="77777777" w:rsidR="00C40DCF" w:rsidRPr="00D7220B" w:rsidRDefault="00E44C15" w:rsidP="00D7220B">
      <w:pPr>
        <w:pStyle w:val="NormalWeb"/>
        <w:jc w:val="both"/>
        <w:rPr>
          <w:rFonts w:ascii="Arial" w:hAnsi="Arial" w:cs="Arial"/>
        </w:rPr>
      </w:pPr>
      <w:r>
        <w:rPr>
          <w:rFonts w:ascii="Arial" w:hAnsi="Arial" w:cs="Arial"/>
        </w:rPr>
        <w:lastRenderedPageBreak/>
        <w:t>Conversely, some studies have suggested that a positive school climate significantly boosts student engagement, thereby enhancing academic performance (Berkowitz et al., 2024; La Salle-Finley et al., 2024; Berkowitz et al., 2016; Ismail et al., 2022). A supportive climate can lessen the negative effects of socioeconomic disadvantages. This can help narrow academic achievement gaps between students from different socioeconomic backgrounds by promoting a sense of community and offering support. This underscores the importance of fostering a positive and collaborative school culture that enables all members to work together towards shared goals, thereby improving the school’s overall effectiveness. School culture plays a vital role in shaping students’ academic and social outcomes. Creating a positive and inclusive environment that meets diverse educational needs can increase student engagement and success, while focusing solely on academic results may have negative repercussions. Therefore, the following hypothesis was formulated:</w:t>
      </w:r>
    </w:p>
    <w:p w14:paraId="696F3905" w14:textId="77777777" w:rsidR="00A11B65" w:rsidRPr="00D7220B" w:rsidRDefault="00D5242A" w:rsidP="00D7220B">
      <w:pPr>
        <w:pStyle w:val="NormalWeb"/>
        <w:jc w:val="both"/>
        <w:rPr>
          <w:rFonts w:ascii="Arial" w:hAnsi="Arial" w:cs="Arial"/>
        </w:rPr>
      </w:pPr>
      <w:r w:rsidRPr="00D7220B">
        <w:rPr>
          <w:rFonts w:ascii="Arial" w:hAnsi="Arial" w:cs="Arial"/>
          <w:i/>
        </w:rPr>
        <w:t>H2: School culture positively affects learner performance</w:t>
      </w:r>
      <w:r w:rsidRPr="00D7220B">
        <w:rPr>
          <w:rFonts w:ascii="Arial" w:hAnsi="Arial" w:cs="Arial"/>
        </w:rPr>
        <w:t>.</w:t>
      </w:r>
    </w:p>
    <w:p w14:paraId="6AEB637C" w14:textId="77777777" w:rsidR="00C40DCF" w:rsidRPr="00D7220B" w:rsidRDefault="009B3860" w:rsidP="00D7220B">
      <w:pPr>
        <w:spacing w:line="240" w:lineRule="auto"/>
        <w:jc w:val="both"/>
        <w:rPr>
          <w:rFonts w:ascii="Arial" w:hAnsi="Arial" w:cs="Arial"/>
          <w:b/>
          <w:sz w:val="24"/>
          <w:szCs w:val="24"/>
        </w:rPr>
      </w:pPr>
      <w:r>
        <w:rPr>
          <w:rFonts w:ascii="Arial" w:hAnsi="Arial" w:cs="Arial"/>
          <w:b/>
          <w:sz w:val="24"/>
          <w:szCs w:val="24"/>
        </w:rPr>
        <w:t>2.4 </w:t>
      </w:r>
      <w:r w:rsidR="00D5242A" w:rsidRPr="00D7220B">
        <w:rPr>
          <w:rFonts w:ascii="Arial" w:hAnsi="Arial" w:cs="Arial"/>
          <w:b/>
          <w:sz w:val="24"/>
          <w:szCs w:val="24"/>
        </w:rPr>
        <w:t>School Climate and Learner Achievement</w:t>
      </w:r>
    </w:p>
    <w:p w14:paraId="635470C0" w14:textId="77777777" w:rsidR="00F20ED8" w:rsidRPr="00D7220B" w:rsidRDefault="00E44C15" w:rsidP="00D7220B">
      <w:pPr>
        <w:spacing w:line="240" w:lineRule="auto"/>
        <w:jc w:val="both"/>
        <w:rPr>
          <w:rFonts w:ascii="Arial" w:hAnsi="Arial" w:cs="Arial"/>
          <w:sz w:val="24"/>
          <w:szCs w:val="24"/>
        </w:rPr>
      </w:pPr>
      <w:r>
        <w:rPr>
          <w:rFonts w:ascii="Arial" w:hAnsi="Arial" w:cs="Arial"/>
          <w:sz w:val="24"/>
          <w:szCs w:val="24"/>
        </w:rPr>
        <w:t>The school environment is vital for building a strong foundation for all educational activities. Many studies have shown that this s</w:t>
      </w:r>
      <w:r w:rsidR="00956594">
        <w:rPr>
          <w:rFonts w:ascii="Arial" w:hAnsi="Arial" w:cs="Arial"/>
          <w:sz w:val="24"/>
          <w:szCs w:val="24"/>
        </w:rPr>
        <w:t>etting greatly impacts students’</w:t>
      </w:r>
      <w:r>
        <w:rPr>
          <w:rFonts w:ascii="Arial" w:hAnsi="Arial" w:cs="Arial"/>
          <w:sz w:val="24"/>
          <w:szCs w:val="24"/>
        </w:rPr>
        <w:t xml:space="preserve"> academic achievement and overall growth (Greenway, 2017). School climate, which includes the quality and character of school life, is especially important in shaping student performance (Maxwell et al., 2017; Sanders et al., 2018)</w:t>
      </w:r>
      <w:r w:rsidR="00956594">
        <w:rPr>
          <w:rFonts w:ascii="Arial" w:hAnsi="Arial" w:cs="Arial"/>
          <w:sz w:val="24"/>
          <w:szCs w:val="24"/>
        </w:rPr>
        <w:t>. This climate affects students’</w:t>
      </w:r>
      <w:r>
        <w:rPr>
          <w:rFonts w:ascii="Arial" w:hAnsi="Arial" w:cs="Arial"/>
          <w:sz w:val="24"/>
          <w:szCs w:val="24"/>
        </w:rPr>
        <w:t xml:space="preserve"> academic results in both positive and negative ways. Harmful aspects of the school climate, such as bullying and perceived safety concerns, can negatively influence academic performance. Bullying may result in poorer academic outcomes, while strong student-teacher relationships can help lessen these negative effects (Konishi et al., 2010; Milam et al., 2010). In urban schools, problems like poor classroom management and strained staff relationships can create hostile school environments, thereby lowering academic achievement (Back et al., 2016). Additionally, although positive climates usually support academic success, the level of improvement can differ among student groups. For some students, socioeconomic factors may outweigh the advantages of a supportive school climate, indicating the need for targeted interventions (Maxwell et al., 2017). </w:t>
      </w:r>
    </w:p>
    <w:p w14:paraId="39765463" w14:textId="77777777" w:rsidR="00C40DCF" w:rsidRPr="00D7220B" w:rsidRDefault="00E44C15" w:rsidP="00D7220B">
      <w:pPr>
        <w:spacing w:line="240" w:lineRule="auto"/>
        <w:jc w:val="both"/>
        <w:rPr>
          <w:rFonts w:ascii="Arial" w:hAnsi="Arial" w:cs="Arial"/>
          <w:sz w:val="24"/>
          <w:szCs w:val="24"/>
        </w:rPr>
      </w:pPr>
      <w:r>
        <w:rPr>
          <w:rFonts w:ascii="Arial" w:hAnsi="Arial" w:cs="Arial"/>
          <w:sz w:val="24"/>
          <w:szCs w:val="24"/>
        </w:rPr>
        <w:t xml:space="preserve">Conversely, previous research has highlighted that factors such as relationship quality, focus on teaching and learning, shared values, and collaborative practices are essential for improving positive student outcomes (Maxwell et al., 2017; Raman, 2015; Thapa et al., 2013). A positive school climate is often linked to higher academic achievement across different subjects. Studies suggest that a supportive climate characterised by safety, connectedness, and positive relationships can result in better outcomes (Maxwell et al., 2017; Sanders et al., 2018; Berkowitz et al., 2016; Sanders et al., 2018; Dutta &amp; </w:t>
      </w:r>
      <w:proofErr w:type="spellStart"/>
      <w:r>
        <w:rPr>
          <w:rFonts w:ascii="Arial" w:hAnsi="Arial" w:cs="Arial"/>
          <w:sz w:val="24"/>
          <w:szCs w:val="24"/>
        </w:rPr>
        <w:t>Sahney</w:t>
      </w:r>
      <w:proofErr w:type="spellEnd"/>
      <w:r>
        <w:rPr>
          <w:rFonts w:ascii="Arial" w:hAnsi="Arial" w:cs="Arial"/>
          <w:sz w:val="24"/>
          <w:szCs w:val="24"/>
        </w:rPr>
        <w:t>, 2021; La Salle-Finley et al., 2024). The school climate significantly influences student performance. Creating a favourable environment improves academic success, aids at-risk students, and enhances their social-emotional well-being. Conversely, negative factors like bullying and safety concerns can hinder progress, emphasising the importance of targeted strategies to foster a supportive learning environment. This hypothesis is formulated as follows:</w:t>
      </w:r>
    </w:p>
    <w:p w14:paraId="0B901D41" w14:textId="77777777" w:rsidR="00F20ED8" w:rsidRPr="00D7220B" w:rsidRDefault="00D5242A" w:rsidP="00D7220B">
      <w:pPr>
        <w:spacing w:line="240" w:lineRule="auto"/>
        <w:jc w:val="both"/>
        <w:rPr>
          <w:rFonts w:ascii="Arial" w:hAnsi="Arial" w:cs="Arial"/>
          <w:i/>
          <w:sz w:val="24"/>
          <w:szCs w:val="24"/>
        </w:rPr>
      </w:pPr>
      <w:r w:rsidRPr="00D7220B">
        <w:rPr>
          <w:rFonts w:ascii="Arial" w:eastAsia="Calibri" w:hAnsi="Arial" w:cs="Arial"/>
          <w:i/>
          <w:sz w:val="24"/>
          <w:szCs w:val="24"/>
        </w:rPr>
        <w:lastRenderedPageBreak/>
        <w:t>H3: School climate has a positive effect on learner achievement.</w:t>
      </w:r>
    </w:p>
    <w:p w14:paraId="32BEFE70" w14:textId="77777777" w:rsidR="00F20ED8" w:rsidRPr="00D7220B" w:rsidRDefault="00D5242A" w:rsidP="00D7220B">
      <w:pPr>
        <w:spacing w:line="240" w:lineRule="auto"/>
        <w:jc w:val="both"/>
        <w:rPr>
          <w:rFonts w:ascii="Arial" w:hAnsi="Arial" w:cs="Arial"/>
          <w:b/>
          <w:sz w:val="24"/>
          <w:szCs w:val="24"/>
        </w:rPr>
      </w:pPr>
      <w:r w:rsidRPr="00D7220B">
        <w:rPr>
          <w:rFonts w:ascii="Arial" w:hAnsi="Arial" w:cs="Arial"/>
          <w:b/>
          <w:sz w:val="24"/>
          <w:szCs w:val="24"/>
        </w:rPr>
        <w:t>School Culture as a mediator</w:t>
      </w:r>
    </w:p>
    <w:p w14:paraId="6433CE86" w14:textId="77777777" w:rsidR="00F20ED8"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t xml:space="preserve">Research indicates that a nurturing and supportive school environment is </w:t>
      </w:r>
      <w:r w:rsidR="00E44C15">
        <w:rPr>
          <w:rFonts w:ascii="Arial" w:hAnsi="Arial" w:cs="Arial"/>
          <w:sz w:val="24"/>
          <w:szCs w:val="24"/>
        </w:rPr>
        <w:t>associated with improved academic performance, increased attendance, and enhanced</w:t>
      </w:r>
      <w:r w:rsidRPr="00D7220B">
        <w:rPr>
          <w:rFonts w:ascii="Arial" w:hAnsi="Arial" w:cs="Arial"/>
          <w:sz w:val="24"/>
          <w:szCs w:val="24"/>
        </w:rPr>
        <w:t xml:space="preserve"> socioemotional well-being among students (Thapa et al., 2013; Wang &amp; Degol, 2016). Key components</w:t>
      </w:r>
      <w:r w:rsidRPr="00D7220B">
        <w:rPr>
          <w:rFonts w:ascii="Arial" w:eastAsia="Calibri" w:hAnsi="Arial" w:cs="Arial"/>
          <w:sz w:val="24"/>
          <w:szCs w:val="24"/>
        </w:rPr>
        <w:t xml:space="preserve">, such as safety, mutual respect, and a sense of belonging, contribute to a conducive learning atmosphere, thereby enhancing student outcomes (Cohen et al., 2009; </w:t>
      </w:r>
      <w:r w:rsidRPr="00D7220B">
        <w:rPr>
          <w:rFonts w:ascii="Arial" w:hAnsi="Arial" w:cs="Arial"/>
          <w:sz w:val="24"/>
          <w:szCs w:val="24"/>
        </w:rPr>
        <w:t xml:space="preserve">Thapa et al., 2013). </w:t>
      </w:r>
    </w:p>
    <w:p w14:paraId="3286E198" w14:textId="77777777" w:rsidR="00F20ED8"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t xml:space="preserve">Culture within a school acts as a link between </w:t>
      </w:r>
      <w:r w:rsidRPr="00D7220B">
        <w:rPr>
          <w:rFonts w:ascii="Arial" w:eastAsia="Calibri" w:hAnsi="Arial" w:cs="Arial"/>
          <w:sz w:val="24"/>
          <w:szCs w:val="24"/>
        </w:rPr>
        <w:t>the school climate and student achievement. A cohesive and positive school culture enhances the effects of a supportive school climate on student</w:t>
      </w:r>
      <w:r w:rsidRPr="00D7220B">
        <w:rPr>
          <w:rFonts w:ascii="Arial" w:hAnsi="Arial" w:cs="Arial"/>
          <w:sz w:val="24"/>
          <w:szCs w:val="24"/>
        </w:rPr>
        <w:t xml:space="preserve"> success. Wang and Holcombe (2010) argued that strong organisational culture mediates the relationship between school climate and academic performance. Schools that </w:t>
      </w:r>
      <w:r w:rsidR="007218AB" w:rsidRPr="00D7220B">
        <w:rPr>
          <w:rFonts w:ascii="Arial" w:hAnsi="Arial" w:cs="Arial"/>
          <w:sz w:val="24"/>
          <w:szCs w:val="24"/>
        </w:rPr>
        <w:t>foster a culture of high expectations, collaboration, and shared values enhance the positive impact</w:t>
      </w:r>
      <w:r w:rsidRPr="00D7220B">
        <w:rPr>
          <w:rFonts w:ascii="Arial" w:hAnsi="Arial" w:cs="Arial"/>
          <w:sz w:val="24"/>
          <w:szCs w:val="24"/>
        </w:rPr>
        <w:t xml:space="preserve"> of a supportive climate on student</w:t>
      </w:r>
      <w:r w:rsidRPr="00D7220B">
        <w:rPr>
          <w:rFonts w:ascii="Arial" w:eastAsia="Calibri" w:hAnsi="Arial" w:cs="Arial"/>
          <w:sz w:val="24"/>
          <w:szCs w:val="24"/>
        </w:rPr>
        <w:t xml:space="preserve">s’ achievement. </w:t>
      </w:r>
      <w:r w:rsidRPr="00D7220B">
        <w:rPr>
          <w:rFonts w:ascii="Arial" w:hAnsi="Arial" w:cs="Arial"/>
          <w:sz w:val="24"/>
          <w:szCs w:val="24"/>
        </w:rPr>
        <w:t>Organisational culture influences individuals’ perceptions and responses to their environment (Louis et al., 1996). Consequently, a supportive school climate lays the foundation for a positive organisational culture, which in turn reinforces behaviours and practices that foster academic success. Therefore, we propose the following hypotheses:</w:t>
      </w:r>
    </w:p>
    <w:p w14:paraId="7B8941CE" w14:textId="77777777" w:rsidR="00F20ED8" w:rsidRPr="00D7220B" w:rsidRDefault="00D5242A" w:rsidP="00D7220B">
      <w:pPr>
        <w:spacing w:line="240" w:lineRule="auto"/>
        <w:jc w:val="both"/>
        <w:rPr>
          <w:rFonts w:ascii="Arial" w:hAnsi="Arial" w:cs="Arial"/>
          <w:i/>
          <w:sz w:val="24"/>
          <w:szCs w:val="24"/>
        </w:rPr>
      </w:pPr>
      <w:r w:rsidRPr="00D7220B">
        <w:rPr>
          <w:rFonts w:ascii="Arial" w:eastAsia="Calibri" w:hAnsi="Arial" w:cs="Arial"/>
          <w:i/>
          <w:sz w:val="24"/>
          <w:szCs w:val="24"/>
        </w:rPr>
        <w:t xml:space="preserve">H4: School culture mediates the relationship between school climate and learner achievement. </w:t>
      </w:r>
    </w:p>
    <w:p w14:paraId="5BAE87E0" w14:textId="77777777" w:rsidR="00F20ED8" w:rsidRPr="00D7220B" w:rsidRDefault="009B3860" w:rsidP="00D7220B">
      <w:pPr>
        <w:spacing w:line="240" w:lineRule="auto"/>
        <w:jc w:val="both"/>
        <w:rPr>
          <w:rFonts w:ascii="Arial" w:hAnsi="Arial" w:cs="Arial"/>
          <w:b/>
          <w:sz w:val="24"/>
          <w:szCs w:val="24"/>
        </w:rPr>
      </w:pPr>
      <w:r>
        <w:rPr>
          <w:rFonts w:ascii="Arial" w:hAnsi="Arial" w:cs="Arial"/>
          <w:b/>
          <w:sz w:val="24"/>
          <w:szCs w:val="24"/>
        </w:rPr>
        <w:t>2.5 </w:t>
      </w:r>
      <w:r w:rsidR="00D5242A" w:rsidRPr="00D7220B">
        <w:rPr>
          <w:rFonts w:ascii="Arial" w:hAnsi="Arial" w:cs="Arial"/>
          <w:b/>
          <w:sz w:val="24"/>
          <w:szCs w:val="24"/>
        </w:rPr>
        <w:t>Learner Achievement</w:t>
      </w:r>
    </w:p>
    <w:p w14:paraId="519F88F2" w14:textId="77777777" w:rsidR="00F20ED8" w:rsidRPr="00D7220B" w:rsidRDefault="00E44C15" w:rsidP="00D7220B">
      <w:pPr>
        <w:spacing w:line="240" w:lineRule="auto"/>
        <w:jc w:val="both"/>
        <w:rPr>
          <w:rFonts w:ascii="Arial" w:hAnsi="Arial" w:cs="Arial"/>
          <w:sz w:val="24"/>
          <w:szCs w:val="24"/>
        </w:rPr>
      </w:pPr>
      <w:r>
        <w:rPr>
          <w:rFonts w:ascii="Arial" w:hAnsi="Arial" w:cs="Arial"/>
          <w:sz w:val="24"/>
          <w:szCs w:val="24"/>
        </w:rPr>
        <w:t xml:space="preserve">Ballafkih and Middelkoop (2019) emphasised the increasing importance of education and student success in political discourse over recent decades. They argued that the heightened focus on student success is partly driven by the modern emphasis on developing a knowledge-based economy and reducing dropout rates to cut government spending. Conversely, Guskey (2013) asserted that pursuing student success is a fundamental goal in nearly all educational fields, making it difficult to define precisely. In discussions about student success, there is often an emphasis on improving students’ hard skills, particularly their cognitive abilities. Guskey (2013) suggested that student success is generally associated with specific learning objectives across various subjects and areas, highlighting its complex nature and connection to educational goals. </w:t>
      </w:r>
    </w:p>
    <w:p w14:paraId="70558D51" w14:textId="77777777" w:rsidR="00F20ED8"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t xml:space="preserve">According to Haines and Mueller (2013), student success mainly involves </w:t>
      </w:r>
      <w:r w:rsidRPr="00D7220B">
        <w:rPr>
          <w:rFonts w:ascii="Arial" w:eastAsia="Calibri" w:hAnsi="Arial" w:cs="Arial"/>
          <w:sz w:val="24"/>
          <w:szCs w:val="24"/>
        </w:rPr>
        <w:t>the students’ ability to recall information and complete tasks. Much research on student success adopts this narrow</w:t>
      </w:r>
      <w:r w:rsidRPr="00D7220B">
        <w:rPr>
          <w:rFonts w:ascii="Arial" w:hAnsi="Arial" w:cs="Arial"/>
          <w:sz w:val="24"/>
          <w:szCs w:val="24"/>
        </w:rPr>
        <w:t xml:space="preserve"> definition, often using grades as a standard measure</w:t>
      </w:r>
      <w:r w:rsidR="007218AB" w:rsidRPr="00D7220B">
        <w:rPr>
          <w:rFonts w:ascii="Arial" w:hAnsi="Arial" w:cs="Arial"/>
          <w:sz w:val="24"/>
          <w:szCs w:val="24"/>
        </w:rPr>
        <w:t xml:space="preserve"> of success</w:t>
      </w:r>
      <w:r w:rsidRPr="00D7220B">
        <w:rPr>
          <w:rFonts w:ascii="Arial" w:hAnsi="Arial" w:cs="Arial"/>
          <w:sz w:val="24"/>
          <w:szCs w:val="24"/>
        </w:rPr>
        <w:t xml:space="preserve">. The broader </w:t>
      </w:r>
      <w:r w:rsidR="007218AB" w:rsidRPr="00D7220B">
        <w:rPr>
          <w:rFonts w:ascii="Arial" w:hAnsi="Arial" w:cs="Arial"/>
          <w:sz w:val="24"/>
          <w:szCs w:val="24"/>
        </w:rPr>
        <w:t>concept of student success encompasses a comprehensive view of</w:t>
      </w:r>
      <w:r w:rsidRPr="00D7220B">
        <w:rPr>
          <w:rFonts w:ascii="Arial" w:hAnsi="Arial" w:cs="Arial"/>
          <w:sz w:val="24"/>
          <w:szCs w:val="24"/>
        </w:rPr>
        <w:t xml:space="preserve"> qualitative aspects, including participation in educational activities, satisfaction, knowledge acquisition, persistence, and the achievement of educational goals (Kuh et al., 2006). It also considers post-educational factors, including family dynamics, parental involvement, behaviour, health, labour market performance, and citizenship (Seginer, 2006). </w:t>
      </w:r>
    </w:p>
    <w:p w14:paraId="1D1B61BA" w14:textId="77777777" w:rsidR="00F20ED8" w:rsidRPr="00D7220B" w:rsidRDefault="00E44C15" w:rsidP="00D7220B">
      <w:pPr>
        <w:spacing w:line="240" w:lineRule="auto"/>
        <w:jc w:val="both"/>
        <w:rPr>
          <w:rFonts w:ascii="Arial" w:hAnsi="Arial" w:cs="Arial"/>
          <w:sz w:val="24"/>
          <w:szCs w:val="24"/>
        </w:rPr>
      </w:pPr>
      <w:r>
        <w:rPr>
          <w:rFonts w:ascii="Arial" w:hAnsi="Arial" w:cs="Arial"/>
          <w:sz w:val="24"/>
          <w:szCs w:val="24"/>
        </w:rPr>
        <w:t xml:space="preserve">Although these elements are challenging to evaluate through standardised tests, academic success, as outlined by Steinmayr et al. (2014), focuses on performance outcomes that demonstrate the achievement of specific goals in educational settings </w:t>
      </w:r>
      <w:r>
        <w:rPr>
          <w:rFonts w:ascii="Arial" w:hAnsi="Arial" w:cs="Arial"/>
          <w:sz w:val="24"/>
          <w:szCs w:val="24"/>
        </w:rPr>
        <w:lastRenderedPageBreak/>
        <w:t>across different subjects and intellectual domains. The definition of academic success varies depending on the indicators used for measurement, reflecting the diverse educational results it encompasses.</w:t>
      </w:r>
    </w:p>
    <w:p w14:paraId="3E80D571" w14:textId="77777777" w:rsidR="00653A68" w:rsidRPr="009B3860" w:rsidRDefault="006A4521" w:rsidP="009B3860">
      <w:pPr>
        <w:spacing w:line="240" w:lineRule="auto"/>
        <w:jc w:val="both"/>
        <w:rPr>
          <w:rFonts w:ascii="Arial" w:hAnsi="Arial" w:cs="Arial"/>
          <w:b/>
          <w:sz w:val="24"/>
          <w:szCs w:val="24"/>
        </w:rPr>
      </w:pPr>
      <w:r>
        <w:rPr>
          <w:rFonts w:ascii="Arial" w:hAnsi="Arial" w:cs="Arial"/>
          <w:b/>
          <w:sz w:val="28"/>
          <w:szCs w:val="24"/>
        </w:rPr>
        <w:t>2</w:t>
      </w:r>
      <w:r w:rsidR="009B3860">
        <w:rPr>
          <w:rFonts w:ascii="Arial" w:hAnsi="Arial" w:cs="Arial"/>
          <w:b/>
          <w:sz w:val="28"/>
          <w:szCs w:val="24"/>
        </w:rPr>
        <w:t>.</w:t>
      </w:r>
      <w:r>
        <w:rPr>
          <w:rFonts w:ascii="Arial" w:hAnsi="Arial" w:cs="Arial"/>
          <w:b/>
          <w:sz w:val="28"/>
          <w:szCs w:val="24"/>
        </w:rPr>
        <w:t>6</w:t>
      </w:r>
      <w:r w:rsidR="009B3860">
        <w:rPr>
          <w:rFonts w:ascii="Arial" w:hAnsi="Arial" w:cs="Arial"/>
          <w:b/>
          <w:sz w:val="28"/>
          <w:szCs w:val="24"/>
        </w:rPr>
        <w:t> </w:t>
      </w:r>
      <w:r w:rsidR="00D5242A" w:rsidRPr="009B3860">
        <w:rPr>
          <w:rFonts w:ascii="Arial" w:hAnsi="Arial" w:cs="Arial"/>
          <w:b/>
          <w:sz w:val="28"/>
          <w:szCs w:val="24"/>
        </w:rPr>
        <w:t>R</w:t>
      </w:r>
      <w:r w:rsidR="000E30ED" w:rsidRPr="009B3860">
        <w:rPr>
          <w:rFonts w:ascii="Arial" w:hAnsi="Arial" w:cs="Arial"/>
          <w:b/>
          <w:sz w:val="28"/>
          <w:szCs w:val="24"/>
        </w:rPr>
        <w:t>esearch</w:t>
      </w:r>
      <w:r w:rsidR="00D5242A" w:rsidRPr="009B3860">
        <w:rPr>
          <w:rFonts w:ascii="Arial" w:hAnsi="Arial" w:cs="Arial"/>
          <w:b/>
          <w:sz w:val="24"/>
          <w:szCs w:val="24"/>
        </w:rPr>
        <w:t xml:space="preserve"> C</w:t>
      </w:r>
      <w:r w:rsidR="000E30ED" w:rsidRPr="009B3860">
        <w:rPr>
          <w:rFonts w:ascii="Arial" w:hAnsi="Arial" w:cs="Arial"/>
          <w:b/>
          <w:sz w:val="24"/>
          <w:szCs w:val="24"/>
        </w:rPr>
        <w:t>onceptual</w:t>
      </w:r>
      <w:r w:rsidR="00D5242A" w:rsidRPr="009B3860">
        <w:rPr>
          <w:rFonts w:ascii="Arial" w:hAnsi="Arial" w:cs="Arial"/>
          <w:b/>
          <w:sz w:val="24"/>
          <w:szCs w:val="24"/>
        </w:rPr>
        <w:t xml:space="preserve"> F</w:t>
      </w:r>
      <w:r w:rsidR="000E30ED" w:rsidRPr="009B3860">
        <w:rPr>
          <w:rFonts w:ascii="Arial" w:hAnsi="Arial" w:cs="Arial"/>
          <w:b/>
          <w:sz w:val="24"/>
          <w:szCs w:val="24"/>
        </w:rPr>
        <w:t>ramework</w:t>
      </w:r>
    </w:p>
    <w:p w14:paraId="6F8924B8" w14:textId="77777777" w:rsidR="00653A68"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t>Jarvis et al. (2014) emphasised the importance of establishing a solid conceptual foundation, whereas Akintoye (1997) explored its practical applications. This study employs Social Identity Theory (SIT) (Tajfel &amp; Turner, 1979) and Social Cognitive Theory (SCT) (Turner, 1999) to develop hypotheses based on the constructs outlined in this conceptual framework</w:t>
      </w:r>
      <w:r w:rsidR="00630A19" w:rsidRPr="00D7220B">
        <w:rPr>
          <w:rFonts w:ascii="Arial" w:hAnsi="Arial" w:cs="Arial"/>
          <w:sz w:val="24"/>
          <w:szCs w:val="24"/>
        </w:rPr>
        <w:t>.</w:t>
      </w:r>
    </w:p>
    <w:p w14:paraId="7B528A6C" w14:textId="77777777" w:rsidR="00653A68" w:rsidRPr="00D7220B" w:rsidRDefault="004D2BCA" w:rsidP="00D7220B">
      <w:pPr>
        <w:spacing w:line="240" w:lineRule="auto"/>
        <w:jc w:val="both"/>
        <w:rPr>
          <w:rFonts w:ascii="Arial" w:hAnsi="Arial" w:cs="Arial"/>
          <w:bCs/>
          <w:color w:val="FF0000"/>
          <w:sz w:val="24"/>
          <w:szCs w:val="24"/>
        </w:rPr>
      </w:pPr>
      <w:r w:rsidRPr="00D7220B">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083F0AA9" wp14:editId="7588AD4A">
                <wp:simplePos x="0" y="0"/>
                <wp:positionH relativeFrom="margin">
                  <wp:posOffset>2266950</wp:posOffset>
                </wp:positionH>
                <wp:positionV relativeFrom="paragraph">
                  <wp:posOffset>117475</wp:posOffset>
                </wp:positionV>
                <wp:extent cx="1352550" cy="68580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1352550" cy="685800"/>
                        </a:xfrm>
                        <a:prstGeom prst="roundRect">
                          <a:avLst/>
                        </a:prstGeom>
                        <a:solidFill>
                          <a:srgbClr val="ED7D31"/>
                        </a:solidFill>
                        <a:ln w="12700">
                          <a:solidFill>
                            <a:srgbClr val="ED7D31">
                              <a:shade val="50000"/>
                            </a:srgbClr>
                          </a:solidFill>
                          <a:prstDash val="solid"/>
                          <a:miter lim="800000"/>
                        </a:ln>
                        <a:effectLst/>
                      </wps:spPr>
                      <wps:txbx>
                        <w:txbxContent>
                          <w:p w14:paraId="212AB933" w14:textId="77777777" w:rsidR="002142E7" w:rsidRPr="00092D92" w:rsidRDefault="002142E7" w:rsidP="00653A68">
                            <w:pPr>
                              <w:jc w:val="center"/>
                              <w:rPr>
                                <w:rFonts w:ascii="Arial" w:hAnsi="Arial" w:cs="Arial"/>
                              </w:rPr>
                            </w:pPr>
                            <w:r w:rsidRPr="00092D92">
                              <w:rPr>
                                <w:rFonts w:ascii="Arial" w:hAnsi="Arial" w:cs="Arial"/>
                              </w:rPr>
                              <w:t>School culture</w:t>
                            </w:r>
                            <w:r w:rsidRPr="00092D92">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3F0AA9" id="Rounded Rectangle 13" o:spid="_x0000_s1026" style="position:absolute;left:0;text-align:left;margin-left:178.5pt;margin-top:9.25pt;width:106.5pt;height:5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" fillcolor="#ed7d31" strokecolor="#ae5a21" strokeweight="1pt">
                <v:stroke joinstyle="miter"/>
                <v:textbox>
                  <w:txbxContent>
                    <w:p w14:paraId="212AB933" w14:textId="77777777" w:rsidR="002142E7" w:rsidRPr="00092D92" w:rsidRDefault="002142E7" w:rsidP="00653A68">
                      <w:pPr>
                        <w:jc w:val="center"/>
                        <w:rPr>
                          <w:rFonts w:ascii="Arial" w:hAnsi="Arial" w:cs="Arial"/>
                        </w:rPr>
                      </w:pPr>
                      <w:r w:rsidRPr="00092D92">
                        <w:rPr>
                          <w:rFonts w:ascii="Arial" w:hAnsi="Arial" w:cs="Arial"/>
                        </w:rPr>
                        <w:t>School culture</w:t>
                      </w:r>
                      <w:r w:rsidRPr="00092D92">
                        <w:rPr>
                          <w:rFonts w:ascii="Arial" w:hAnsi="Arial" w:cs="Arial"/>
                          <w:sz w:val="20"/>
                          <w:szCs w:val="20"/>
                        </w:rPr>
                        <w:t xml:space="preserve"> </w:t>
                      </w:r>
                    </w:p>
                  </w:txbxContent>
                </v:textbox>
                <w10:wrap anchorx="margin"/>
              </v:roundrect>
            </w:pict>
          </mc:Fallback>
        </mc:AlternateContent>
      </w:r>
      <w:r w:rsidR="00D5242A" w:rsidRPr="00D7220B">
        <w:rPr>
          <w:rFonts w:ascii="Arial" w:hAnsi="Arial" w:cs="Arial"/>
          <w:sz w:val="24"/>
          <w:szCs w:val="24"/>
        </w:rPr>
        <w:br/>
      </w:r>
    </w:p>
    <w:p w14:paraId="28953A83" w14:textId="77777777" w:rsidR="00653A68" w:rsidRPr="00D7220B" w:rsidRDefault="00D5242A" w:rsidP="00D7220B">
      <w:pPr>
        <w:spacing w:line="240" w:lineRule="auto"/>
        <w:jc w:val="both"/>
        <w:rPr>
          <w:rFonts w:ascii="Arial" w:hAnsi="Arial" w:cs="Arial"/>
          <w:bCs/>
          <w:color w:val="FF0000"/>
          <w:sz w:val="24"/>
          <w:szCs w:val="24"/>
        </w:rPr>
      </w:pPr>
      <w:r w:rsidRPr="00D7220B">
        <w:rPr>
          <w:rFonts w:ascii="Arial" w:hAnsi="Arial" w:cs="Arial"/>
          <w:bCs/>
          <w:color w:val="FF0000"/>
          <w:sz w:val="24"/>
          <w:szCs w:val="24"/>
        </w:rPr>
        <w:t xml:space="preserve">                         </w:t>
      </w:r>
    </w:p>
    <w:p w14:paraId="7FF26F01" w14:textId="77777777" w:rsidR="00653A68" w:rsidRPr="00D7220B" w:rsidRDefault="00DE62EE" w:rsidP="00D7220B">
      <w:pPr>
        <w:spacing w:line="240" w:lineRule="auto"/>
        <w:jc w:val="both"/>
        <w:rPr>
          <w:rFonts w:ascii="Arial" w:hAnsi="Arial" w:cs="Arial"/>
          <w:sz w:val="24"/>
          <w:szCs w:val="24"/>
        </w:rPr>
      </w:pPr>
      <w:r w:rsidRPr="00D7220B">
        <w:rPr>
          <w:rFonts w:ascii="Arial" w:hAnsi="Arial" w:cs="Arial"/>
          <w:b/>
          <w:bCs/>
          <w:noProof/>
          <w:sz w:val="24"/>
          <w:szCs w:val="24"/>
        </w:rPr>
        <mc:AlternateContent>
          <mc:Choice Requires="wps">
            <w:drawing>
              <wp:anchor distT="0" distB="0" distL="114300" distR="114300" simplePos="0" relativeHeight="251668480" behindDoc="0" locked="0" layoutInCell="1" allowOverlap="1" wp14:anchorId="176CDD0E" wp14:editId="46692E96">
                <wp:simplePos x="0" y="0"/>
                <wp:positionH relativeFrom="column">
                  <wp:posOffset>2133601</wp:posOffset>
                </wp:positionH>
                <wp:positionV relativeFrom="paragraph">
                  <wp:posOffset>55245</wp:posOffset>
                </wp:positionV>
                <wp:extent cx="857250" cy="1390650"/>
                <wp:effectExtent l="0" t="38100" r="57150" b="19050"/>
                <wp:wrapNone/>
                <wp:docPr id="3" name="Straight Arrow Connector 3"/>
                <wp:cNvGraphicFramePr/>
                <a:graphic xmlns:a="http://schemas.openxmlformats.org/drawingml/2006/main">
                  <a:graphicData uri="http://schemas.microsoft.com/office/word/2010/wordprocessingShape">
                    <wps:wsp>
                      <wps:cNvCnPr/>
                      <wps:spPr>
                        <a:xfrm flipV="1">
                          <a:off x="0" y="0"/>
                          <a:ext cx="857250" cy="1390650"/>
                        </a:xfrm>
                        <a:prstGeom prst="straightConnector1">
                          <a:avLst/>
                        </a:prstGeom>
                        <a:noFill/>
                        <a:ln w="19050">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C27FDF" id="_x0000_t32" coordsize="21600,21600" o:spt="32" o:oned="t" path="m,l21600,21600e" filled="f">
                <v:path arrowok="t" fillok="f" o:connecttype="none"/>
                <o:lock v:ext="edit" shapetype="t"/>
              </v:shapetype>
              <v:shape id="Straight Arrow Connector 3" o:spid="_x0000_s1026" type="#_x0000_t32" style="position:absolute;margin-left:168pt;margin-top:4.35pt;width:67.5pt;height:109.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" strokecolor="windowText" strokeweight="1.5pt">
                <v:stroke endarrow="block" joinstyle="miter"/>
              </v:shape>
            </w:pict>
          </mc:Fallback>
        </mc:AlternateContent>
      </w:r>
      <w:r w:rsidR="004D2BCA" w:rsidRPr="00D7220B">
        <w:rPr>
          <w:rFonts w:ascii="Arial" w:hAnsi="Arial" w:cs="Arial"/>
          <w:b/>
          <w:bCs/>
          <w:noProof/>
          <w:sz w:val="24"/>
          <w:szCs w:val="24"/>
        </w:rPr>
        <mc:AlternateContent>
          <mc:Choice Requires="wps">
            <w:drawing>
              <wp:anchor distT="0" distB="0" distL="114300" distR="114300" simplePos="0" relativeHeight="251666432" behindDoc="0" locked="0" layoutInCell="1" allowOverlap="1" wp14:anchorId="4C2D1BCA" wp14:editId="798FF26A">
                <wp:simplePos x="0" y="0"/>
                <wp:positionH relativeFrom="column">
                  <wp:posOffset>2961640</wp:posOffset>
                </wp:positionH>
                <wp:positionV relativeFrom="paragraph">
                  <wp:posOffset>93345</wp:posOffset>
                </wp:positionV>
                <wp:extent cx="885825" cy="1428750"/>
                <wp:effectExtent l="0" t="0" r="66675" b="57150"/>
                <wp:wrapNone/>
                <wp:docPr id="5" name="Straight Arrow Connector 5"/>
                <wp:cNvGraphicFramePr/>
                <a:graphic xmlns:a="http://schemas.openxmlformats.org/drawingml/2006/main">
                  <a:graphicData uri="http://schemas.microsoft.com/office/word/2010/wordprocessingShape">
                    <wps:wsp>
                      <wps:cNvCnPr/>
                      <wps:spPr>
                        <a:xfrm>
                          <a:off x="0" y="0"/>
                          <a:ext cx="885825" cy="1428750"/>
                        </a:xfrm>
                        <a:prstGeom prst="straightConnector1">
                          <a:avLst/>
                        </a:prstGeom>
                        <a:noFill/>
                        <a:ln w="19050">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3C9DCA" id="Straight Arrow Connector 5" o:spid="_x0000_s1026" type="#_x0000_t32" style="position:absolute;margin-left:233.2pt;margin-top:7.35pt;width:69.7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" strokecolor="windowText" strokeweight="1.5pt">
                <v:stroke endarrow="block" joinstyle="miter"/>
              </v:shape>
            </w:pict>
          </mc:Fallback>
        </mc:AlternateContent>
      </w:r>
    </w:p>
    <w:p w14:paraId="12997B24" w14:textId="77777777" w:rsidR="00653A68" w:rsidRPr="00D7220B" w:rsidRDefault="00653A68" w:rsidP="00D7220B">
      <w:pPr>
        <w:spacing w:line="240" w:lineRule="auto"/>
        <w:jc w:val="both"/>
        <w:rPr>
          <w:rFonts w:ascii="Arial" w:hAnsi="Arial" w:cs="Arial"/>
          <w:b/>
          <w:bCs/>
          <w:sz w:val="24"/>
          <w:szCs w:val="24"/>
        </w:rPr>
      </w:pPr>
    </w:p>
    <w:p w14:paraId="2515DEA2" w14:textId="77777777" w:rsidR="00653A68" w:rsidRPr="00D7220B" w:rsidRDefault="004D2BCA" w:rsidP="00D7220B">
      <w:pPr>
        <w:spacing w:line="240" w:lineRule="auto"/>
        <w:jc w:val="both"/>
        <w:rPr>
          <w:rFonts w:ascii="Arial" w:hAnsi="Arial" w:cs="Arial"/>
          <w:b/>
          <w:bCs/>
          <w:sz w:val="24"/>
          <w:szCs w:val="24"/>
        </w:rPr>
      </w:pPr>
      <w:r>
        <w:rPr>
          <w:rFonts w:ascii="Arial" w:hAnsi="Arial" w:cs="Arial"/>
          <w:b/>
          <w:bCs/>
          <w:sz w:val="24"/>
          <w:szCs w:val="24"/>
        </w:rPr>
        <w:t xml:space="preserve">                                                    </w:t>
      </w:r>
      <w:r w:rsidR="00D5242A" w:rsidRPr="00D7220B">
        <w:rPr>
          <w:rFonts w:ascii="Arial" w:hAnsi="Arial" w:cs="Arial"/>
          <w:b/>
          <w:bCs/>
          <w:sz w:val="24"/>
          <w:szCs w:val="24"/>
        </w:rPr>
        <w:t xml:space="preserve"> H1                        H2</w:t>
      </w:r>
    </w:p>
    <w:p w14:paraId="530ABC6D" w14:textId="77777777" w:rsidR="00653A68" w:rsidRPr="00D7220B" w:rsidRDefault="00653A68" w:rsidP="00D7220B">
      <w:pPr>
        <w:spacing w:line="240" w:lineRule="auto"/>
        <w:jc w:val="both"/>
        <w:rPr>
          <w:rFonts w:ascii="Arial" w:hAnsi="Arial" w:cs="Arial"/>
          <w:b/>
          <w:bCs/>
          <w:sz w:val="24"/>
          <w:szCs w:val="24"/>
        </w:rPr>
      </w:pPr>
    </w:p>
    <w:p w14:paraId="5DEB77B0" w14:textId="77777777" w:rsidR="00653A68" w:rsidRPr="00D7220B" w:rsidRDefault="00BD101F" w:rsidP="00D7220B">
      <w:pPr>
        <w:spacing w:line="240" w:lineRule="auto"/>
        <w:jc w:val="both"/>
        <w:rPr>
          <w:rFonts w:ascii="Arial" w:hAnsi="Arial" w:cs="Arial"/>
          <w:b/>
          <w:bCs/>
          <w:sz w:val="24"/>
          <w:szCs w:val="24"/>
        </w:rPr>
      </w:pPr>
      <w:r>
        <w:rPr>
          <w:rFonts w:ascii="Arial" w:hAnsi="Arial" w:cs="Arial"/>
          <w:b/>
          <w:bCs/>
          <w:sz w:val="24"/>
          <w:szCs w:val="24"/>
        </w:rPr>
        <w:t xml:space="preserve">                                                                    </w:t>
      </w:r>
    </w:p>
    <w:p w14:paraId="2D5B8FD4" w14:textId="77777777" w:rsidR="004D2BCA" w:rsidRDefault="009B3860" w:rsidP="00D7220B">
      <w:pPr>
        <w:spacing w:line="240" w:lineRule="auto"/>
        <w:jc w:val="both"/>
        <w:rPr>
          <w:rFonts w:ascii="Arial" w:hAnsi="Arial" w:cs="Arial"/>
          <w:b/>
          <w:sz w:val="24"/>
          <w:szCs w:val="24"/>
        </w:rPr>
      </w:pPr>
      <w:r w:rsidRPr="00D7220B">
        <w:rPr>
          <w:rFonts w:ascii="Arial" w:hAnsi="Arial" w:cs="Arial"/>
          <w:b/>
          <w:bCs/>
          <w:noProof/>
          <w:sz w:val="24"/>
          <w:szCs w:val="24"/>
        </w:rPr>
        <mc:AlternateContent>
          <mc:Choice Requires="wps">
            <w:drawing>
              <wp:anchor distT="0" distB="0" distL="114300" distR="114300" simplePos="0" relativeHeight="251662336" behindDoc="0" locked="0" layoutInCell="1" allowOverlap="1" wp14:anchorId="2253CB24" wp14:editId="03A4D6A9">
                <wp:simplePos x="0" y="0"/>
                <wp:positionH relativeFrom="column">
                  <wp:posOffset>3847381</wp:posOffset>
                </wp:positionH>
                <wp:positionV relativeFrom="paragraph">
                  <wp:posOffset>73348</wp:posOffset>
                </wp:positionV>
                <wp:extent cx="1219200" cy="596841"/>
                <wp:effectExtent l="0" t="0" r="19050" b="13335"/>
                <wp:wrapNone/>
                <wp:docPr id="6" name="Rounded Rectangle 6"/>
                <wp:cNvGraphicFramePr/>
                <a:graphic xmlns:a="http://schemas.openxmlformats.org/drawingml/2006/main">
                  <a:graphicData uri="http://schemas.microsoft.com/office/word/2010/wordprocessingShape">
                    <wps:wsp>
                      <wps:cNvSpPr/>
                      <wps:spPr>
                        <a:xfrm>
                          <a:off x="0" y="0"/>
                          <a:ext cx="1219200" cy="596841"/>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a:solidFill>
                            <a:srgbClr val="A5A5A5"/>
                          </a:solidFill>
                          <a:prstDash val="solid"/>
                          <a:miter lim="800000"/>
                        </a:ln>
                        <a:effectLst/>
                      </wps:spPr>
                      <wps:txbx>
                        <w:txbxContent>
                          <w:p w14:paraId="15CEAC70" w14:textId="77777777" w:rsidR="002142E7" w:rsidRPr="00092D92" w:rsidRDefault="002142E7" w:rsidP="00653A68">
                            <w:pPr>
                              <w:jc w:val="center"/>
                              <w:rPr>
                                <w:rFonts w:ascii="Arial" w:hAnsi="Arial" w:cs="Arial"/>
                              </w:rPr>
                            </w:pPr>
                            <w:r w:rsidRPr="00092D92">
                              <w:rPr>
                                <w:rFonts w:ascii="Arial" w:hAnsi="Arial" w:cs="Arial"/>
                              </w:rPr>
                              <w:t>Influence on Learner Achievement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53CB24" id="Rounded Rectangle 6" o:spid="_x0000_s1027" style="position:absolute;left:0;text-align:left;margin-left:302.95pt;margin-top:5.8pt;width:96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" fillcolor="#d2d2d2" strokecolor="#a5a5a5" strokeweight=".5pt">
                <v:fill color2="silver" rotate="t" colors="0 #d2d2d2;.5 #c8c8c8;1 silver" focus="100%" type="gradient">
                  <o:fill v:ext="view" type="gradientUnscaled"/>
                </v:fill>
                <v:stroke joinstyle="miter"/>
                <v:textbox>
                  <w:txbxContent>
                    <w:p w14:paraId="15CEAC70" w14:textId="77777777" w:rsidR="002142E7" w:rsidRPr="00092D92" w:rsidRDefault="002142E7" w:rsidP="00653A68">
                      <w:pPr>
                        <w:jc w:val="center"/>
                        <w:rPr>
                          <w:rFonts w:ascii="Arial" w:hAnsi="Arial" w:cs="Arial"/>
                        </w:rPr>
                      </w:pPr>
                      <w:r w:rsidRPr="00092D92">
                        <w:rPr>
                          <w:rFonts w:ascii="Arial" w:hAnsi="Arial" w:cs="Arial"/>
                        </w:rPr>
                        <w:t>Influence on Learner Achievement</w:t>
                      </w:r>
                    </w:p>
                  </w:txbxContent>
                </v:textbox>
              </v:roundrect>
            </w:pict>
          </mc:Fallback>
        </mc:AlternateContent>
      </w:r>
      <w:r w:rsidRPr="00D7220B">
        <w:rPr>
          <w:rFonts w:ascii="Arial" w:hAnsi="Arial" w:cs="Arial"/>
          <w:b/>
          <w:bCs/>
          <w:noProof/>
          <w:sz w:val="24"/>
          <w:szCs w:val="24"/>
        </w:rPr>
        <mc:AlternateContent>
          <mc:Choice Requires="wps">
            <w:drawing>
              <wp:anchor distT="0" distB="0" distL="114300" distR="114300" simplePos="0" relativeHeight="251660288" behindDoc="0" locked="0" layoutInCell="1" allowOverlap="1" wp14:anchorId="65CBB5CF" wp14:editId="530AAAAD">
                <wp:simplePos x="0" y="0"/>
                <wp:positionH relativeFrom="column">
                  <wp:posOffset>940279</wp:posOffset>
                </wp:positionH>
                <wp:positionV relativeFrom="paragraph">
                  <wp:posOffset>38843</wp:posOffset>
                </wp:positionV>
                <wp:extent cx="1216325" cy="618118"/>
                <wp:effectExtent l="57150" t="38100" r="60325" b="67945"/>
                <wp:wrapNone/>
                <wp:docPr id="7" name="Rounded Rectangle 7"/>
                <wp:cNvGraphicFramePr/>
                <a:graphic xmlns:a="http://schemas.openxmlformats.org/drawingml/2006/main">
                  <a:graphicData uri="http://schemas.microsoft.com/office/word/2010/wordprocessingShape">
                    <wps:wsp>
                      <wps:cNvSpPr/>
                      <wps:spPr>
                        <a:xfrm>
                          <a:off x="0" y="0"/>
                          <a:ext cx="1216325" cy="618118"/>
                        </a:xfrm>
                        <a:prstGeom prst="round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60D64DDF" w14:textId="77777777" w:rsidR="002142E7" w:rsidRPr="00092D92" w:rsidRDefault="002142E7" w:rsidP="00653A68">
                            <w:pPr>
                              <w:jc w:val="center"/>
                              <w:rPr>
                                <w:rFonts w:ascii="Arial" w:hAnsi="Arial" w:cs="Arial"/>
                              </w:rPr>
                            </w:pPr>
                            <w:r w:rsidRPr="00092D92">
                              <w:rPr>
                                <w:rFonts w:ascii="Arial" w:hAnsi="Arial" w:cs="Arial"/>
                              </w:rPr>
                              <w:t>School climate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CBB5CF" id="Rounded Rectangle 7" o:spid="_x0000_s1028" style="position:absolute;left:0;text-align:left;margin-left:74.05pt;margin-top:3.05pt;width:95.75pt;height:4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" fillcolor="#ffc746" stroked="f">
                <v:fill color2="#e5b600" rotate="t" colors="0 #ffc746;.5 #ffc600;1 #e5b600" focus="100%" type="gradient">
                  <o:fill v:ext="view" type="gradientUnscaled"/>
                </v:fill>
                <v:shadow on="t" color="black" opacity="41287f" offset="0,1.5pt"/>
                <v:textbox>
                  <w:txbxContent>
                    <w:p w14:paraId="60D64DDF" w14:textId="77777777" w:rsidR="002142E7" w:rsidRPr="00092D92" w:rsidRDefault="002142E7" w:rsidP="00653A68">
                      <w:pPr>
                        <w:jc w:val="center"/>
                        <w:rPr>
                          <w:rFonts w:ascii="Arial" w:hAnsi="Arial" w:cs="Arial"/>
                        </w:rPr>
                      </w:pPr>
                      <w:r w:rsidRPr="00092D92">
                        <w:rPr>
                          <w:rFonts w:ascii="Arial" w:hAnsi="Arial" w:cs="Arial"/>
                        </w:rPr>
                        <w:t>School climate</w:t>
                      </w:r>
                    </w:p>
                  </w:txbxContent>
                </v:textbox>
              </v:roundrect>
            </w:pict>
          </mc:Fallback>
        </mc:AlternateContent>
      </w:r>
      <w:r w:rsidR="00BD101F" w:rsidRPr="00D7220B">
        <w:rPr>
          <w:rFonts w:ascii="Arial" w:hAnsi="Arial" w:cs="Arial"/>
          <w:b/>
          <w:bCs/>
          <w:noProof/>
          <w:sz w:val="24"/>
          <w:szCs w:val="24"/>
        </w:rPr>
        <mc:AlternateContent>
          <mc:Choice Requires="wps">
            <w:drawing>
              <wp:anchor distT="0" distB="0" distL="114300" distR="114300" simplePos="0" relativeHeight="251664384" behindDoc="0" locked="0" layoutInCell="1" allowOverlap="1" wp14:anchorId="5B429EF0" wp14:editId="25D85334">
                <wp:simplePos x="0" y="0"/>
                <wp:positionH relativeFrom="column">
                  <wp:posOffset>2142490</wp:posOffset>
                </wp:positionH>
                <wp:positionV relativeFrom="paragraph">
                  <wp:posOffset>200025</wp:posOffset>
                </wp:positionV>
                <wp:extent cx="1724025" cy="38100"/>
                <wp:effectExtent l="0" t="76200" r="28575" b="57150"/>
                <wp:wrapNone/>
                <wp:docPr id="8" name="Straight Arrow Connector 8"/>
                <wp:cNvGraphicFramePr/>
                <a:graphic xmlns:a="http://schemas.openxmlformats.org/drawingml/2006/main">
                  <a:graphicData uri="http://schemas.microsoft.com/office/word/2010/wordprocessingShape">
                    <wps:wsp>
                      <wps:cNvCnPr/>
                      <wps:spPr>
                        <a:xfrm flipV="1">
                          <a:off x="0" y="0"/>
                          <a:ext cx="1724025" cy="38100"/>
                        </a:xfrm>
                        <a:prstGeom prst="straightConnector1">
                          <a:avLst/>
                        </a:prstGeom>
                        <a:noFill/>
                        <a:ln w="19050">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3C96F1" id="Straight Arrow Connector 8" o:spid="_x0000_s1026" type="#_x0000_t32" style="position:absolute;margin-left:168.7pt;margin-top:15.75pt;width:135.75pt;height:3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" strokecolor="windowText" strokeweight="1.5pt">
                <v:stroke endarrow="block" joinstyle="miter"/>
              </v:shape>
            </w:pict>
          </mc:Fallback>
        </mc:AlternateContent>
      </w:r>
      <w:r w:rsidR="00BD101F">
        <w:rPr>
          <w:rFonts w:ascii="Arial" w:hAnsi="Arial" w:cs="Arial"/>
          <w:b/>
          <w:sz w:val="24"/>
          <w:szCs w:val="24"/>
        </w:rPr>
        <w:t xml:space="preserve">                                                                                                                                                       </w:t>
      </w:r>
    </w:p>
    <w:p w14:paraId="2CA97948" w14:textId="77777777" w:rsidR="004D2BCA" w:rsidRDefault="00BD101F" w:rsidP="00D7220B">
      <w:pPr>
        <w:spacing w:line="240" w:lineRule="auto"/>
        <w:jc w:val="both"/>
        <w:rPr>
          <w:rFonts w:ascii="Arial" w:hAnsi="Arial" w:cs="Arial"/>
          <w:b/>
          <w:sz w:val="24"/>
          <w:szCs w:val="24"/>
        </w:rPr>
      </w:pPr>
      <w:r>
        <w:rPr>
          <w:rFonts w:ascii="Arial" w:hAnsi="Arial" w:cs="Arial"/>
          <w:b/>
          <w:sz w:val="24"/>
          <w:szCs w:val="24"/>
        </w:rPr>
        <w:t xml:space="preserve">                                                                     H3</w:t>
      </w:r>
    </w:p>
    <w:p w14:paraId="7C9E7AA5" w14:textId="77777777" w:rsidR="004D2BCA" w:rsidRDefault="004D2BCA" w:rsidP="00D7220B">
      <w:pPr>
        <w:spacing w:line="240" w:lineRule="auto"/>
        <w:jc w:val="both"/>
        <w:rPr>
          <w:rFonts w:ascii="Arial" w:hAnsi="Arial" w:cs="Arial"/>
          <w:b/>
          <w:sz w:val="24"/>
          <w:szCs w:val="24"/>
        </w:rPr>
      </w:pPr>
    </w:p>
    <w:p w14:paraId="66D414AF" w14:textId="1E591666" w:rsidR="00653A68" w:rsidRPr="00D7220B" w:rsidRDefault="00D5242A" w:rsidP="00D7220B">
      <w:pPr>
        <w:spacing w:line="240" w:lineRule="auto"/>
        <w:jc w:val="both"/>
        <w:rPr>
          <w:rFonts w:ascii="Arial" w:hAnsi="Arial" w:cs="Arial"/>
          <w:bCs/>
          <w:color w:val="FF0000"/>
          <w:sz w:val="24"/>
          <w:szCs w:val="24"/>
        </w:rPr>
      </w:pPr>
      <w:r w:rsidRPr="00D7220B">
        <w:rPr>
          <w:rFonts w:ascii="Arial" w:hAnsi="Arial" w:cs="Arial"/>
          <w:b/>
          <w:sz w:val="24"/>
          <w:szCs w:val="24"/>
        </w:rPr>
        <w:t xml:space="preserve">Figure </w:t>
      </w:r>
      <w:r w:rsidR="005A5EFC">
        <w:rPr>
          <w:rFonts w:ascii="Arial" w:hAnsi="Arial" w:cs="Arial"/>
          <w:b/>
          <w:sz w:val="24"/>
          <w:szCs w:val="24"/>
        </w:rPr>
        <w:t>1</w:t>
      </w:r>
      <w:r w:rsidRPr="00D7220B">
        <w:rPr>
          <w:rFonts w:ascii="Arial" w:hAnsi="Arial" w:cs="Arial"/>
          <w:sz w:val="24"/>
          <w:szCs w:val="24"/>
        </w:rPr>
        <w:t xml:space="preserve">. </w:t>
      </w:r>
      <w:r w:rsidRPr="00473348">
        <w:rPr>
          <w:rFonts w:ascii="Arial" w:hAnsi="Arial" w:cs="Arial"/>
          <w:i/>
          <w:sz w:val="24"/>
          <w:szCs w:val="24"/>
        </w:rPr>
        <w:t>Conceptual Framework</w:t>
      </w:r>
    </w:p>
    <w:p w14:paraId="712A6A71"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b/>
          <w:sz w:val="24"/>
          <w:szCs w:val="24"/>
        </w:rPr>
        <w:t>Source:</w:t>
      </w:r>
      <w:r w:rsidRPr="00D7220B">
        <w:rPr>
          <w:rFonts w:ascii="Arial" w:hAnsi="Arial" w:cs="Arial"/>
          <w:sz w:val="24"/>
          <w:szCs w:val="24"/>
        </w:rPr>
        <w:t xml:space="preserve"> Li, Zhu</w:t>
      </w:r>
      <w:r w:rsidRPr="00D7220B">
        <w:rPr>
          <w:rFonts w:ascii="Arial" w:eastAsia="Calibri" w:hAnsi="Arial" w:cs="Arial"/>
          <w:sz w:val="24"/>
          <w:szCs w:val="24"/>
        </w:rPr>
        <w:t xml:space="preserve">, &amp; Li, 2022; </w:t>
      </w:r>
      <w:r w:rsidRPr="00D7220B">
        <w:rPr>
          <w:rFonts w:ascii="Arial" w:hAnsi="Arial" w:cs="Arial"/>
          <w:sz w:val="24"/>
          <w:szCs w:val="24"/>
        </w:rPr>
        <w:t>Buyar &amp; Kuraduman, 2021; Wang &amp; Holcombe, 2010</w:t>
      </w:r>
      <w:r w:rsidRPr="00D7220B">
        <w:rPr>
          <w:rFonts w:ascii="Arial" w:eastAsia="Calibri" w:hAnsi="Arial" w:cs="Arial"/>
          <w:sz w:val="24"/>
          <w:szCs w:val="24"/>
        </w:rPr>
        <w:t>.</w:t>
      </w:r>
    </w:p>
    <w:p w14:paraId="03426E56" w14:textId="77777777" w:rsidR="00653A68" w:rsidRPr="00D7220B" w:rsidRDefault="00D5242A" w:rsidP="00D7220B">
      <w:pPr>
        <w:spacing w:after="0" w:line="240" w:lineRule="auto"/>
        <w:jc w:val="both"/>
        <w:rPr>
          <w:rFonts w:ascii="Arial" w:hAnsi="Arial" w:cs="Arial"/>
          <w:i/>
          <w:sz w:val="24"/>
          <w:szCs w:val="24"/>
        </w:rPr>
      </w:pPr>
      <w:r w:rsidRPr="00D7220B">
        <w:rPr>
          <w:rFonts w:ascii="Arial" w:hAnsi="Arial" w:cs="Arial"/>
          <w:i/>
          <w:sz w:val="24"/>
          <w:szCs w:val="24"/>
        </w:rPr>
        <w:t>Illustration of the interaction between the school climate, culture and learner achievement</w:t>
      </w:r>
    </w:p>
    <w:p w14:paraId="268F8155" w14:textId="77777777" w:rsidR="00653A68" w:rsidRPr="00D7220B" w:rsidRDefault="00653A68" w:rsidP="00D7220B">
      <w:pPr>
        <w:spacing w:line="240" w:lineRule="auto"/>
        <w:jc w:val="both"/>
        <w:rPr>
          <w:rFonts w:ascii="Arial" w:hAnsi="Arial" w:cs="Arial"/>
          <w:i/>
          <w:sz w:val="24"/>
          <w:szCs w:val="24"/>
        </w:rPr>
      </w:pPr>
    </w:p>
    <w:p w14:paraId="6A61542C" w14:textId="77777777" w:rsidR="00653A68" w:rsidRPr="00D7220B" w:rsidRDefault="00D1463E" w:rsidP="00D7220B">
      <w:pPr>
        <w:spacing w:line="240" w:lineRule="auto"/>
        <w:jc w:val="both"/>
        <w:rPr>
          <w:rFonts w:ascii="Arial" w:hAnsi="Arial" w:cs="Arial"/>
          <w:b/>
          <w:sz w:val="24"/>
          <w:szCs w:val="24"/>
        </w:rPr>
      </w:pPr>
      <w:r>
        <w:rPr>
          <w:rFonts w:ascii="Arial" w:hAnsi="Arial" w:cs="Arial"/>
          <w:b/>
          <w:sz w:val="24"/>
          <w:szCs w:val="24"/>
        </w:rPr>
        <w:t>3</w:t>
      </w:r>
      <w:r w:rsidR="00A53B44">
        <w:rPr>
          <w:rFonts w:ascii="Arial" w:hAnsi="Arial" w:cs="Arial"/>
          <w:b/>
          <w:sz w:val="24"/>
          <w:szCs w:val="24"/>
        </w:rPr>
        <w:t>.0 </w:t>
      </w:r>
      <w:r w:rsidR="00D5242A" w:rsidRPr="00D7220B">
        <w:rPr>
          <w:rFonts w:ascii="Arial" w:hAnsi="Arial" w:cs="Arial"/>
          <w:b/>
          <w:sz w:val="24"/>
          <w:szCs w:val="24"/>
        </w:rPr>
        <w:t>METHODOLOGY</w:t>
      </w:r>
    </w:p>
    <w:p w14:paraId="32E718F7" w14:textId="77777777" w:rsidR="00653A68" w:rsidRPr="00D7220B" w:rsidRDefault="00D1463E" w:rsidP="00D7220B">
      <w:pPr>
        <w:spacing w:line="240" w:lineRule="auto"/>
        <w:jc w:val="both"/>
        <w:rPr>
          <w:rFonts w:ascii="Arial" w:hAnsi="Arial" w:cs="Arial"/>
          <w:b/>
          <w:sz w:val="24"/>
          <w:szCs w:val="24"/>
        </w:rPr>
      </w:pPr>
      <w:r>
        <w:rPr>
          <w:rFonts w:ascii="Arial" w:hAnsi="Arial" w:cs="Arial"/>
          <w:b/>
          <w:sz w:val="24"/>
          <w:szCs w:val="24"/>
        </w:rPr>
        <w:t>3</w:t>
      </w:r>
      <w:r w:rsidR="00A53B44">
        <w:rPr>
          <w:rFonts w:ascii="Arial" w:hAnsi="Arial" w:cs="Arial"/>
          <w:b/>
          <w:sz w:val="24"/>
          <w:szCs w:val="24"/>
        </w:rPr>
        <w:t>.1 </w:t>
      </w:r>
      <w:r w:rsidR="00D5242A" w:rsidRPr="00D7220B">
        <w:rPr>
          <w:rFonts w:ascii="Arial" w:hAnsi="Arial" w:cs="Arial"/>
          <w:b/>
          <w:sz w:val="24"/>
          <w:szCs w:val="24"/>
        </w:rPr>
        <w:t>S</w:t>
      </w:r>
      <w:r w:rsidR="008A01D2" w:rsidRPr="00D7220B">
        <w:rPr>
          <w:rFonts w:ascii="Arial" w:hAnsi="Arial" w:cs="Arial"/>
          <w:b/>
          <w:sz w:val="24"/>
          <w:szCs w:val="24"/>
        </w:rPr>
        <w:t>tudy</w:t>
      </w:r>
      <w:r w:rsidR="00D5242A" w:rsidRPr="00D7220B">
        <w:rPr>
          <w:rFonts w:ascii="Arial" w:hAnsi="Arial" w:cs="Arial"/>
          <w:b/>
          <w:sz w:val="24"/>
          <w:szCs w:val="24"/>
        </w:rPr>
        <w:t xml:space="preserve"> D</w:t>
      </w:r>
      <w:r w:rsidR="008A01D2" w:rsidRPr="00D7220B">
        <w:rPr>
          <w:rFonts w:ascii="Arial" w:hAnsi="Arial" w:cs="Arial"/>
          <w:b/>
          <w:sz w:val="24"/>
          <w:szCs w:val="24"/>
        </w:rPr>
        <w:t>esign</w:t>
      </w:r>
    </w:p>
    <w:p w14:paraId="66B594AB" w14:textId="77777777" w:rsidR="00653A68" w:rsidRPr="00D7220B" w:rsidRDefault="000E30ED" w:rsidP="00D7220B">
      <w:pPr>
        <w:spacing w:line="240" w:lineRule="auto"/>
        <w:jc w:val="both"/>
        <w:rPr>
          <w:rFonts w:ascii="Arial" w:hAnsi="Arial" w:cs="Arial"/>
          <w:sz w:val="24"/>
          <w:szCs w:val="24"/>
        </w:rPr>
      </w:pPr>
      <w:r>
        <w:rPr>
          <w:rFonts w:ascii="Arial" w:hAnsi="Arial" w:cs="Arial"/>
          <w:sz w:val="24"/>
          <w:szCs w:val="24"/>
        </w:rPr>
        <w:t xml:space="preserve">This study combines the theoretical frameworks of Social Identity Theory (SIT) and Social Cognitive Theory (SCT). Established scales were employed for the survey, and data were collected from secondary school teachers through a self-administered questionnaire. For the analysis, the advantages of quantitative structural equation modelling (SEM) within a correlational research framework were utilised to examine the relationships between multiple variables without modifying them, focusing on the strength and direction of these connections (Creswell &amp; Creswell, 2018). This method does not establish causality but highlights trends and patterns within the data (Fraenkel, Wallen, &amp; Hyun, 2019). Ultimately, this research identifies the key factors and underlying processes through </w:t>
      </w:r>
      <w:r>
        <w:rPr>
          <w:rFonts w:ascii="Arial" w:hAnsi="Arial" w:cs="Arial"/>
          <w:sz w:val="24"/>
          <w:szCs w:val="24"/>
        </w:rPr>
        <w:lastRenderedPageBreak/>
        <w:t>which school climate and culture influence student achievement in both government- and grant-aided schools.</w:t>
      </w:r>
    </w:p>
    <w:p w14:paraId="5F155543" w14:textId="77777777" w:rsidR="00653A68" w:rsidRPr="00D7220B" w:rsidRDefault="00D1463E" w:rsidP="00D7220B">
      <w:pPr>
        <w:spacing w:line="240" w:lineRule="auto"/>
        <w:jc w:val="both"/>
        <w:rPr>
          <w:rFonts w:ascii="Arial" w:hAnsi="Arial" w:cs="Arial"/>
          <w:b/>
          <w:sz w:val="24"/>
          <w:szCs w:val="24"/>
        </w:rPr>
      </w:pPr>
      <w:r>
        <w:rPr>
          <w:rFonts w:ascii="Arial" w:hAnsi="Arial" w:cs="Arial"/>
          <w:b/>
          <w:sz w:val="24"/>
          <w:szCs w:val="24"/>
        </w:rPr>
        <w:t>3.2 </w:t>
      </w:r>
      <w:r w:rsidR="00A53B44" w:rsidRPr="00D7220B">
        <w:rPr>
          <w:rFonts w:ascii="Arial" w:hAnsi="Arial" w:cs="Arial"/>
          <w:b/>
          <w:sz w:val="24"/>
          <w:szCs w:val="24"/>
        </w:rPr>
        <w:t>D</w:t>
      </w:r>
      <w:r w:rsidR="008A01D2" w:rsidRPr="00D7220B">
        <w:rPr>
          <w:rFonts w:ascii="Arial" w:hAnsi="Arial" w:cs="Arial"/>
          <w:b/>
          <w:sz w:val="24"/>
          <w:szCs w:val="24"/>
        </w:rPr>
        <w:t>ata</w:t>
      </w:r>
      <w:r w:rsidR="00A53B44" w:rsidRPr="00D7220B">
        <w:rPr>
          <w:rFonts w:ascii="Arial" w:hAnsi="Arial" w:cs="Arial"/>
          <w:b/>
          <w:sz w:val="24"/>
          <w:szCs w:val="24"/>
        </w:rPr>
        <w:t xml:space="preserve"> A</w:t>
      </w:r>
      <w:r w:rsidR="008A01D2" w:rsidRPr="00D7220B">
        <w:rPr>
          <w:rFonts w:ascii="Arial" w:hAnsi="Arial" w:cs="Arial"/>
          <w:b/>
          <w:sz w:val="24"/>
          <w:szCs w:val="24"/>
        </w:rPr>
        <w:t>nalysis</w:t>
      </w:r>
    </w:p>
    <w:p w14:paraId="5074CFD1" w14:textId="77777777" w:rsidR="00653A68" w:rsidRPr="00D7220B" w:rsidRDefault="00A53B44" w:rsidP="00D7220B">
      <w:pPr>
        <w:spacing w:line="240" w:lineRule="auto"/>
        <w:jc w:val="both"/>
        <w:rPr>
          <w:rFonts w:ascii="Arial" w:hAnsi="Arial" w:cs="Arial"/>
          <w:sz w:val="24"/>
          <w:szCs w:val="24"/>
        </w:rPr>
      </w:pPr>
      <w:r>
        <w:rPr>
          <w:rFonts w:ascii="Arial" w:hAnsi="Arial" w:cs="Arial"/>
          <w:sz w:val="24"/>
          <w:szCs w:val="24"/>
        </w:rPr>
        <w:t xml:space="preserve">This study employed quantitative methods to evaluate the effect of school climate and culture on student performance in both grant-aided and government secondary schools. Data collected through questionnaires were analysed using the Statistical Package for the Social Sciences (SPSS) and structural equation modelling (SEM) in Stata 18. Statistical techniques, such as the Pearson correlation coefficient, are routinely used to measure the strength of relationships between variables (Field, 2018). The use of these two methods together not only enhances the study’s comprehensiveness and depth but also improves the model’s predictive accuracy and interpretive flexibility (Hsu &amp; </w:t>
      </w:r>
      <w:proofErr w:type="spellStart"/>
      <w:r>
        <w:rPr>
          <w:rFonts w:ascii="Arial" w:hAnsi="Arial" w:cs="Arial"/>
          <w:sz w:val="24"/>
          <w:szCs w:val="24"/>
        </w:rPr>
        <w:t>Silalahi</w:t>
      </w:r>
      <w:proofErr w:type="spellEnd"/>
      <w:r>
        <w:rPr>
          <w:rFonts w:ascii="Arial" w:hAnsi="Arial" w:cs="Arial"/>
          <w:sz w:val="24"/>
          <w:szCs w:val="24"/>
        </w:rPr>
        <w:t>, 2024; Ning et al., 2025).</w:t>
      </w:r>
    </w:p>
    <w:p w14:paraId="2C557505" w14:textId="77777777" w:rsidR="00653A68" w:rsidRPr="00D7220B" w:rsidRDefault="00D1463E" w:rsidP="00D7220B">
      <w:pPr>
        <w:spacing w:line="240" w:lineRule="auto"/>
        <w:jc w:val="both"/>
        <w:rPr>
          <w:rFonts w:ascii="Arial" w:hAnsi="Arial" w:cs="Arial"/>
          <w:b/>
          <w:sz w:val="24"/>
          <w:szCs w:val="24"/>
        </w:rPr>
      </w:pPr>
      <w:r>
        <w:rPr>
          <w:rFonts w:ascii="Arial" w:hAnsi="Arial" w:cs="Arial"/>
          <w:b/>
          <w:sz w:val="24"/>
          <w:szCs w:val="24"/>
        </w:rPr>
        <w:t>3.3 </w:t>
      </w:r>
      <w:r w:rsidR="00E44C15" w:rsidRPr="00D7220B">
        <w:rPr>
          <w:rFonts w:ascii="Arial" w:hAnsi="Arial" w:cs="Arial"/>
          <w:b/>
          <w:sz w:val="24"/>
          <w:szCs w:val="24"/>
        </w:rPr>
        <w:t>D</w:t>
      </w:r>
      <w:r w:rsidR="008A01D2" w:rsidRPr="00D7220B">
        <w:rPr>
          <w:rFonts w:ascii="Arial" w:hAnsi="Arial" w:cs="Arial"/>
          <w:b/>
          <w:sz w:val="24"/>
          <w:szCs w:val="24"/>
        </w:rPr>
        <w:t>ata</w:t>
      </w:r>
      <w:r w:rsidR="00E44C15" w:rsidRPr="00D7220B">
        <w:rPr>
          <w:rFonts w:ascii="Arial" w:hAnsi="Arial" w:cs="Arial"/>
          <w:b/>
          <w:sz w:val="24"/>
          <w:szCs w:val="24"/>
        </w:rPr>
        <w:t xml:space="preserve"> C</w:t>
      </w:r>
      <w:r w:rsidR="008A01D2" w:rsidRPr="00D7220B">
        <w:rPr>
          <w:rFonts w:ascii="Arial" w:hAnsi="Arial" w:cs="Arial"/>
          <w:b/>
          <w:sz w:val="24"/>
          <w:szCs w:val="24"/>
        </w:rPr>
        <w:t>ollection</w:t>
      </w:r>
    </w:p>
    <w:p w14:paraId="65771077" w14:textId="77777777" w:rsidR="00653A68" w:rsidRPr="00D7220B" w:rsidRDefault="008A01D2" w:rsidP="00D7220B">
      <w:pPr>
        <w:spacing w:line="240" w:lineRule="auto"/>
        <w:jc w:val="both"/>
        <w:rPr>
          <w:rFonts w:ascii="Arial" w:hAnsi="Arial" w:cs="Arial"/>
          <w:sz w:val="24"/>
          <w:szCs w:val="24"/>
        </w:rPr>
      </w:pPr>
      <w:r>
        <w:rPr>
          <w:rFonts w:ascii="Arial" w:hAnsi="Arial" w:cs="Arial"/>
          <w:sz w:val="24"/>
          <w:szCs w:val="24"/>
        </w:rPr>
        <w:t xml:space="preserve">A self-administered questionnaire with closed-ended items was used to systematically collect factual data from all participants. This method was chosen to ensure that each participant received the same set of questions, maintaining consistency in data collection (Sapsford, 2007). Before distributing the questionnaire, informed consent was obtained from </w:t>
      </w:r>
      <w:r w:rsidR="00D1463E">
        <w:rPr>
          <w:rFonts w:ascii="Arial" w:hAnsi="Arial" w:cs="Arial"/>
          <w:sz w:val="24"/>
          <w:szCs w:val="24"/>
        </w:rPr>
        <w:t xml:space="preserve">participants, who were assured that their responses would be kept anonymous to protect </w:t>
      </w:r>
      <w:r>
        <w:rPr>
          <w:rFonts w:ascii="Arial" w:hAnsi="Arial" w:cs="Arial"/>
          <w:sz w:val="24"/>
          <w:szCs w:val="24"/>
        </w:rPr>
        <w:t>confidentiality. The survey was conducted between June and August 2024. To encourage structured responses, the questions employed a Likert scale ranging from “strongly disagree” to “strongly agree,” with the following scale: 1 = strongly disagree, 2 = disagree, 3 = neutral, 4 = agree, and 5 = strongly agree. This method is particularly effective in increasing response rates compared with open-ended formats, especially in self-completion surveys (Dillman et al., 2009). To improve clarity and facilitate completion, all closed-ended questions were presented in tabular form, enabling respondents to make selections more efficiently. A total of 304 responses were received.</w:t>
      </w:r>
    </w:p>
    <w:p w14:paraId="23BF824B" w14:textId="77777777" w:rsidR="00653A68" w:rsidRPr="00D7220B" w:rsidRDefault="00D1463E" w:rsidP="00D7220B">
      <w:pPr>
        <w:spacing w:line="240" w:lineRule="auto"/>
        <w:jc w:val="both"/>
        <w:rPr>
          <w:rFonts w:ascii="Arial" w:hAnsi="Arial" w:cs="Arial"/>
          <w:b/>
          <w:sz w:val="24"/>
          <w:szCs w:val="24"/>
        </w:rPr>
      </w:pPr>
      <w:r>
        <w:rPr>
          <w:rFonts w:ascii="Arial" w:hAnsi="Arial" w:cs="Arial"/>
          <w:b/>
          <w:sz w:val="24"/>
          <w:szCs w:val="24"/>
        </w:rPr>
        <w:t>3.4 </w:t>
      </w:r>
      <w:r w:rsidR="00E44C15" w:rsidRPr="00D7220B">
        <w:rPr>
          <w:rFonts w:ascii="Arial" w:hAnsi="Arial" w:cs="Arial"/>
          <w:b/>
          <w:sz w:val="24"/>
          <w:szCs w:val="24"/>
        </w:rPr>
        <w:t>M</w:t>
      </w:r>
      <w:r w:rsidR="000E30ED" w:rsidRPr="00D7220B">
        <w:rPr>
          <w:rFonts w:ascii="Arial" w:hAnsi="Arial" w:cs="Arial"/>
          <w:b/>
          <w:sz w:val="24"/>
          <w:szCs w:val="24"/>
        </w:rPr>
        <w:t>easurement</w:t>
      </w:r>
      <w:r w:rsidR="00E44C15" w:rsidRPr="00D7220B">
        <w:rPr>
          <w:rFonts w:ascii="Arial" w:hAnsi="Arial" w:cs="Arial"/>
          <w:b/>
          <w:sz w:val="24"/>
          <w:szCs w:val="24"/>
        </w:rPr>
        <w:t xml:space="preserve"> I</w:t>
      </w:r>
      <w:r w:rsidR="000E30ED" w:rsidRPr="00D7220B">
        <w:rPr>
          <w:rFonts w:ascii="Arial" w:hAnsi="Arial" w:cs="Arial"/>
          <w:b/>
          <w:sz w:val="24"/>
          <w:szCs w:val="24"/>
        </w:rPr>
        <w:t>nstrument</w:t>
      </w:r>
    </w:p>
    <w:p w14:paraId="04F641A7" w14:textId="77777777" w:rsidR="00653A68" w:rsidRPr="00D7220B" w:rsidRDefault="00D1463E" w:rsidP="00D7220B">
      <w:pPr>
        <w:spacing w:line="240" w:lineRule="auto"/>
        <w:jc w:val="both"/>
        <w:rPr>
          <w:rFonts w:ascii="Arial" w:hAnsi="Arial" w:cs="Arial"/>
          <w:sz w:val="24"/>
          <w:szCs w:val="24"/>
        </w:rPr>
      </w:pPr>
      <w:r>
        <w:rPr>
          <w:rFonts w:ascii="Arial" w:hAnsi="Arial" w:cs="Arial"/>
          <w:sz w:val="24"/>
          <w:szCs w:val="24"/>
        </w:rPr>
        <w:t>The instruments utilised in this study included scales adapted from previous research. The questionnaire was carefully crafted to conform with established best practices in survey development, as recommended by Mugenda and Mugenda (1999). These questions assessed the influence of school climate and culture on learner achievement in both grant-aided and government schools, as adopted by Zhu and Li (2012). Furthermore, the tool investigated the mediating role of school culture in the relationship between school climate and learner performance (Reynolds et al., 2017; Bayar &amp; Karaduman, 2021; Wang &amp; Holcombe, 2010).</w:t>
      </w:r>
    </w:p>
    <w:p w14:paraId="7641654D" w14:textId="77777777" w:rsidR="00653A68" w:rsidRPr="00D7220B" w:rsidRDefault="00D1463E" w:rsidP="00D7220B">
      <w:pPr>
        <w:spacing w:line="240" w:lineRule="auto"/>
        <w:jc w:val="both"/>
        <w:rPr>
          <w:rFonts w:ascii="Arial" w:hAnsi="Arial" w:cs="Arial"/>
          <w:sz w:val="24"/>
          <w:szCs w:val="24"/>
        </w:rPr>
      </w:pPr>
      <w:r>
        <w:rPr>
          <w:rFonts w:ascii="Arial" w:hAnsi="Arial" w:cs="Arial"/>
          <w:sz w:val="24"/>
          <w:szCs w:val="24"/>
        </w:rPr>
        <w:t>The instrument was divided into two main thematic sections: school culture and school climate. The subsections within the school culture section include leadership and decision-making participation, beliefs and values, staff well-being and professional development, and community engagement. These areas were selected to reflect the key institutional factors relevant to the study.</w:t>
      </w:r>
    </w:p>
    <w:p w14:paraId="45D83FAC" w14:textId="77777777" w:rsidR="00653A68" w:rsidRPr="00D7220B" w:rsidRDefault="00D1463E" w:rsidP="00D7220B">
      <w:pPr>
        <w:spacing w:line="240" w:lineRule="auto"/>
        <w:jc w:val="both"/>
        <w:rPr>
          <w:rFonts w:ascii="Arial" w:hAnsi="Arial" w:cs="Arial"/>
          <w:b/>
          <w:sz w:val="24"/>
          <w:szCs w:val="24"/>
        </w:rPr>
      </w:pPr>
      <w:r>
        <w:rPr>
          <w:rFonts w:ascii="Arial" w:hAnsi="Arial" w:cs="Arial"/>
          <w:b/>
          <w:sz w:val="24"/>
          <w:szCs w:val="24"/>
        </w:rPr>
        <w:t>3.5 </w:t>
      </w:r>
      <w:r w:rsidR="00D5242A" w:rsidRPr="00D7220B">
        <w:rPr>
          <w:rFonts w:ascii="Arial" w:hAnsi="Arial" w:cs="Arial"/>
          <w:b/>
          <w:sz w:val="24"/>
          <w:szCs w:val="24"/>
        </w:rPr>
        <w:t>Participants</w:t>
      </w:r>
    </w:p>
    <w:p w14:paraId="140F7756" w14:textId="77777777" w:rsidR="00653A68" w:rsidRPr="00D7220B" w:rsidRDefault="009E1FA3" w:rsidP="00D7220B">
      <w:pPr>
        <w:spacing w:before="100" w:beforeAutospacing="1" w:after="100" w:afterAutospacing="1" w:line="240" w:lineRule="auto"/>
        <w:jc w:val="both"/>
        <w:rPr>
          <w:rFonts w:ascii="Arial" w:eastAsia="Times New Roman" w:hAnsi="Arial" w:cs="Arial"/>
          <w:b/>
          <w:sz w:val="24"/>
          <w:szCs w:val="24"/>
        </w:rPr>
      </w:pPr>
      <w:r>
        <w:rPr>
          <w:rFonts w:ascii="Arial" w:eastAsia="Times New Roman" w:hAnsi="Arial" w:cs="Arial"/>
          <w:sz w:val="24"/>
          <w:szCs w:val="24"/>
        </w:rPr>
        <w:lastRenderedPageBreak/>
        <w:t>The overall response rate from the questionnaires distributed to respondents in grant-aided and government secondary schools was very high at 95%, with non-responses accounting for only five per cent (5%). This indicates that the questionnaire items were relevant and engaging, thereby strengthening the validity of the findings. It also suggests that the study is credible and based on sufficient data, thus enhancing the reliability and generalisability of the results. This confirms the effectiveness of research practices and improves the overall quality of the study.</w:t>
      </w:r>
    </w:p>
    <w:p w14:paraId="3061ED85" w14:textId="1680B9E3" w:rsidR="00653A68" w:rsidRPr="00D7220B" w:rsidRDefault="00D5242A" w:rsidP="00D7220B">
      <w:pPr>
        <w:spacing w:before="100" w:beforeAutospacing="1" w:after="100" w:afterAutospacing="1" w:line="240" w:lineRule="auto"/>
        <w:jc w:val="both"/>
        <w:rPr>
          <w:rFonts w:ascii="Arial" w:eastAsia="Times New Roman" w:hAnsi="Arial" w:cs="Arial"/>
          <w:sz w:val="24"/>
          <w:szCs w:val="24"/>
        </w:rPr>
      </w:pPr>
      <w:r w:rsidRPr="00D7220B">
        <w:rPr>
          <w:rFonts w:ascii="Arial" w:eastAsia="Times New Roman" w:hAnsi="Arial" w:cs="Arial"/>
          <w:sz w:val="24"/>
          <w:szCs w:val="24"/>
        </w:rPr>
        <w:t xml:space="preserve">All participant groups were asked to provide background information before completing the questionnaires, answering the latent items, and participating in interviews. Five categories were identified as the most significant for the quantitative data analysis: gender, age, position within the school, years of service, and type of school. As shown in Table </w:t>
      </w:r>
      <w:r w:rsidR="005A5EFC">
        <w:rPr>
          <w:rFonts w:ascii="Arial" w:eastAsia="Times New Roman" w:hAnsi="Arial" w:cs="Arial"/>
          <w:sz w:val="24"/>
          <w:szCs w:val="24"/>
        </w:rPr>
        <w:t>1</w:t>
      </w:r>
      <w:r w:rsidRPr="00D7220B">
        <w:rPr>
          <w:rFonts w:ascii="Arial" w:eastAsia="Times New Roman" w:hAnsi="Arial" w:cs="Arial"/>
          <w:sz w:val="24"/>
          <w:szCs w:val="24"/>
        </w:rPr>
        <w:t xml:space="preserve">, most respondents </w:t>
      </w:r>
      <w:r w:rsidR="00622D9E">
        <w:rPr>
          <w:rFonts w:ascii="Arial" w:eastAsia="Times New Roman" w:hAnsi="Arial" w:cs="Arial"/>
          <w:sz w:val="24"/>
          <w:szCs w:val="24"/>
        </w:rPr>
        <w:t>were aged 31-</w:t>
      </w:r>
      <w:r w:rsidRPr="00D7220B">
        <w:rPr>
          <w:rFonts w:ascii="Arial" w:eastAsia="Times New Roman" w:hAnsi="Arial" w:cs="Arial"/>
          <w:sz w:val="24"/>
          <w:szCs w:val="24"/>
        </w:rPr>
        <w:t>50 years. Regarding gender, the majority were female</w:t>
      </w:r>
      <w:r w:rsidR="00622D9E">
        <w:rPr>
          <w:rFonts w:ascii="Arial" w:eastAsia="Times New Roman" w:hAnsi="Arial" w:cs="Arial"/>
          <w:sz w:val="24"/>
          <w:szCs w:val="24"/>
        </w:rPr>
        <w:t xml:space="preserve"> (55.6 per cent)</w:t>
      </w:r>
      <w:r w:rsidRPr="00D7220B">
        <w:rPr>
          <w:rFonts w:ascii="Arial" w:eastAsia="Times New Roman" w:hAnsi="Arial" w:cs="Arial"/>
          <w:sz w:val="24"/>
          <w:szCs w:val="24"/>
        </w:rPr>
        <w:t xml:space="preserve">, while 44.4 per cent were </w:t>
      </w:r>
      <w:r w:rsidR="00F411C3" w:rsidRPr="00D7220B">
        <w:rPr>
          <w:rFonts w:ascii="Arial" w:eastAsia="Times New Roman" w:hAnsi="Arial" w:cs="Arial"/>
          <w:sz w:val="24"/>
          <w:szCs w:val="24"/>
        </w:rPr>
        <w:t>male</w:t>
      </w:r>
      <w:r w:rsidRPr="00D7220B">
        <w:rPr>
          <w:rFonts w:ascii="Arial" w:eastAsia="Times New Roman" w:hAnsi="Arial" w:cs="Arial"/>
          <w:sz w:val="24"/>
          <w:szCs w:val="24"/>
        </w:rPr>
        <w:t>. Most respondents were classroom teachers</w:t>
      </w:r>
      <w:r w:rsidR="00622D9E">
        <w:rPr>
          <w:rFonts w:ascii="Arial" w:eastAsia="Times New Roman" w:hAnsi="Arial" w:cs="Arial"/>
          <w:sz w:val="24"/>
          <w:szCs w:val="24"/>
        </w:rPr>
        <w:t xml:space="preserve"> (72.15%), with 27.85% holding</w:t>
      </w:r>
      <w:r w:rsidRPr="00D7220B">
        <w:rPr>
          <w:rFonts w:ascii="Arial" w:eastAsia="Times New Roman" w:hAnsi="Arial" w:cs="Arial"/>
          <w:sz w:val="24"/>
          <w:szCs w:val="24"/>
        </w:rPr>
        <w:t xml:space="preserve"> other positions within schools. The distribution of years of service among respondents was as follows: 32.9</w:t>
      </w:r>
      <w:r w:rsidR="007218AB" w:rsidRPr="00D7220B">
        <w:rPr>
          <w:rFonts w:ascii="Arial" w:eastAsia="Times New Roman" w:hAnsi="Arial" w:cs="Arial"/>
          <w:sz w:val="24"/>
          <w:szCs w:val="24"/>
        </w:rPr>
        <w:t xml:space="preserve">% had served </w:t>
      </w:r>
      <w:r w:rsidRPr="00D7220B">
        <w:rPr>
          <w:rFonts w:ascii="Arial" w:eastAsia="Times New Roman" w:hAnsi="Arial" w:cs="Arial"/>
          <w:sz w:val="24"/>
          <w:szCs w:val="24"/>
        </w:rPr>
        <w:t>for 1-10 years, 18.5% had served for 11-15 years, 23.3% had served for 16-20 years, and 25.3% had served for over 20 years.</w:t>
      </w:r>
    </w:p>
    <w:p w14:paraId="37E1C189" w14:textId="25FF3F75" w:rsidR="00653A68" w:rsidRPr="00D7220B" w:rsidRDefault="00D5242A" w:rsidP="00D7220B">
      <w:pPr>
        <w:spacing w:after="0" w:line="240" w:lineRule="auto"/>
        <w:jc w:val="both"/>
        <w:rPr>
          <w:rFonts w:ascii="Arial" w:eastAsia="Times New Roman" w:hAnsi="Arial" w:cs="Arial"/>
          <w:i/>
        </w:rPr>
      </w:pPr>
      <w:r w:rsidRPr="00D7220B">
        <w:rPr>
          <w:rFonts w:ascii="Arial" w:eastAsia="Times New Roman" w:hAnsi="Arial" w:cs="Arial"/>
          <w:b/>
        </w:rPr>
        <w:t xml:space="preserve">Table </w:t>
      </w:r>
      <w:r w:rsidR="005A5EFC">
        <w:rPr>
          <w:rFonts w:ascii="Arial" w:eastAsia="Times New Roman" w:hAnsi="Arial" w:cs="Arial"/>
          <w:b/>
        </w:rPr>
        <w:t>1</w:t>
      </w:r>
      <w:r w:rsidRPr="00D7220B">
        <w:rPr>
          <w:rFonts w:ascii="Arial" w:eastAsia="Times New Roman" w:hAnsi="Arial" w:cs="Arial"/>
          <w:b/>
          <w:i/>
        </w:rPr>
        <w:t>:</w:t>
      </w:r>
      <w:r w:rsidRPr="00D7220B">
        <w:rPr>
          <w:rFonts w:ascii="Arial" w:eastAsia="Times New Roman" w:hAnsi="Arial" w:cs="Arial"/>
          <w:i/>
        </w:rPr>
        <w:t xml:space="preserve"> Participant Information (N=304)</w:t>
      </w:r>
    </w:p>
    <w:tbl>
      <w:tblPr>
        <w:tblStyle w:val="GridTable4-Accent2"/>
        <w:tblW w:w="9356" w:type="dxa"/>
        <w:tblLayout w:type="fixed"/>
        <w:tblLook w:val="04A0" w:firstRow="1" w:lastRow="0" w:firstColumn="1" w:lastColumn="0" w:noHBand="0" w:noVBand="1"/>
      </w:tblPr>
      <w:tblGrid>
        <w:gridCol w:w="2836"/>
        <w:gridCol w:w="1701"/>
        <w:gridCol w:w="1275"/>
        <w:gridCol w:w="993"/>
        <w:gridCol w:w="1559"/>
        <w:gridCol w:w="992"/>
      </w:tblGrid>
      <w:tr w:rsidR="005C5102" w:rsidRPr="00D7220B" w14:paraId="41B9C648" w14:textId="77777777" w:rsidTr="005C5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gridSpan w:val="2"/>
            <w:vMerge w:val="restart"/>
            <w:tcBorders>
              <w:top w:val="single" w:sz="12" w:space="0" w:color="auto"/>
              <w:left w:val="nil"/>
              <w:bottom w:val="nil"/>
            </w:tcBorders>
            <w:shd w:val="clear" w:color="auto" w:fill="auto"/>
          </w:tcPr>
          <w:p w14:paraId="6ACA83C7" w14:textId="77777777" w:rsidR="00653A68" w:rsidRPr="00D7220B" w:rsidRDefault="00653A68" w:rsidP="00D7220B">
            <w:pPr>
              <w:tabs>
                <w:tab w:val="left" w:pos="630"/>
              </w:tabs>
              <w:jc w:val="both"/>
              <w:rPr>
                <w:rFonts w:ascii="Arial" w:hAnsi="Arial" w:cs="Arial"/>
              </w:rPr>
            </w:pPr>
          </w:p>
          <w:p w14:paraId="762E4F6B" w14:textId="77777777" w:rsidR="00653A68" w:rsidRPr="00D7220B" w:rsidRDefault="00D5242A" w:rsidP="00D7220B">
            <w:pPr>
              <w:tabs>
                <w:tab w:val="left" w:pos="630"/>
              </w:tabs>
              <w:jc w:val="both"/>
              <w:rPr>
                <w:rFonts w:ascii="Arial" w:hAnsi="Arial" w:cs="Arial"/>
              </w:rPr>
            </w:pPr>
            <w:r w:rsidRPr="00D7220B">
              <w:rPr>
                <w:rFonts w:ascii="Arial" w:hAnsi="Arial" w:cs="Arial"/>
              </w:rPr>
              <w:t>Demographic Characteristic</w:t>
            </w:r>
          </w:p>
        </w:tc>
        <w:tc>
          <w:tcPr>
            <w:tcW w:w="2268" w:type="dxa"/>
            <w:gridSpan w:val="2"/>
            <w:tcBorders>
              <w:top w:val="single" w:sz="12" w:space="0" w:color="auto"/>
              <w:bottom w:val="nil"/>
            </w:tcBorders>
            <w:shd w:val="clear" w:color="auto" w:fill="auto"/>
          </w:tcPr>
          <w:p w14:paraId="69A9ABE3" w14:textId="77777777" w:rsidR="00653A68" w:rsidRPr="00D7220B" w:rsidRDefault="00D5242A" w:rsidP="00D7220B">
            <w:pPr>
              <w:tabs>
                <w:tab w:val="left" w:pos="630"/>
              </w:tabs>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Grant Aided</w:t>
            </w:r>
          </w:p>
        </w:tc>
        <w:tc>
          <w:tcPr>
            <w:tcW w:w="2551" w:type="dxa"/>
            <w:gridSpan w:val="2"/>
            <w:tcBorders>
              <w:top w:val="single" w:sz="12" w:space="0" w:color="auto"/>
              <w:bottom w:val="nil"/>
              <w:right w:val="nil"/>
            </w:tcBorders>
            <w:shd w:val="clear" w:color="auto" w:fill="auto"/>
          </w:tcPr>
          <w:p w14:paraId="2D341296" w14:textId="77777777" w:rsidR="00653A68" w:rsidRPr="00D7220B" w:rsidRDefault="00D5242A" w:rsidP="00D7220B">
            <w:pPr>
              <w:tabs>
                <w:tab w:val="left" w:pos="630"/>
              </w:tabs>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Government</w:t>
            </w:r>
          </w:p>
        </w:tc>
      </w:tr>
      <w:tr w:rsidR="005C5102" w:rsidRPr="00D7220B" w14:paraId="34368B28" w14:textId="77777777" w:rsidTr="005C5102">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4537" w:type="dxa"/>
            <w:gridSpan w:val="2"/>
            <w:vMerge/>
            <w:tcBorders>
              <w:top w:val="nil"/>
              <w:left w:val="nil"/>
              <w:bottom w:val="single" w:sz="12" w:space="0" w:color="auto"/>
              <w:right w:val="nil"/>
            </w:tcBorders>
            <w:shd w:val="clear" w:color="auto" w:fill="auto"/>
          </w:tcPr>
          <w:p w14:paraId="0EF87E11" w14:textId="77777777" w:rsidR="00653A68" w:rsidRPr="00D7220B" w:rsidRDefault="00653A68" w:rsidP="00D7220B">
            <w:pPr>
              <w:tabs>
                <w:tab w:val="left" w:pos="630"/>
              </w:tabs>
              <w:jc w:val="both"/>
              <w:rPr>
                <w:rFonts w:ascii="Arial" w:hAnsi="Arial" w:cs="Arial"/>
              </w:rPr>
            </w:pPr>
          </w:p>
        </w:tc>
        <w:tc>
          <w:tcPr>
            <w:tcW w:w="1275" w:type="dxa"/>
            <w:tcBorders>
              <w:top w:val="nil"/>
              <w:left w:val="nil"/>
              <w:bottom w:val="single" w:sz="12" w:space="0" w:color="auto"/>
              <w:right w:val="nil"/>
            </w:tcBorders>
            <w:shd w:val="clear" w:color="auto" w:fill="auto"/>
          </w:tcPr>
          <w:p w14:paraId="6E0917B5"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D7220B">
              <w:rPr>
                <w:rFonts w:ascii="Arial" w:hAnsi="Arial" w:cs="Arial"/>
                <w:b/>
              </w:rPr>
              <w:t>Frequency</w:t>
            </w:r>
          </w:p>
        </w:tc>
        <w:tc>
          <w:tcPr>
            <w:tcW w:w="993" w:type="dxa"/>
            <w:tcBorders>
              <w:top w:val="nil"/>
              <w:left w:val="nil"/>
              <w:bottom w:val="single" w:sz="12" w:space="0" w:color="auto"/>
              <w:right w:val="nil"/>
            </w:tcBorders>
            <w:shd w:val="clear" w:color="auto" w:fill="auto"/>
          </w:tcPr>
          <w:p w14:paraId="6DDF6A2B"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D7220B">
              <w:rPr>
                <w:rFonts w:ascii="Arial" w:hAnsi="Arial" w:cs="Arial"/>
                <w:b/>
              </w:rPr>
              <w:t>Percent</w:t>
            </w:r>
          </w:p>
        </w:tc>
        <w:tc>
          <w:tcPr>
            <w:tcW w:w="1559" w:type="dxa"/>
            <w:tcBorders>
              <w:top w:val="nil"/>
              <w:left w:val="nil"/>
              <w:bottom w:val="single" w:sz="12" w:space="0" w:color="auto"/>
              <w:right w:val="nil"/>
            </w:tcBorders>
            <w:shd w:val="clear" w:color="auto" w:fill="auto"/>
          </w:tcPr>
          <w:p w14:paraId="2EF8F7B9"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D7220B">
              <w:rPr>
                <w:rFonts w:ascii="Arial" w:hAnsi="Arial" w:cs="Arial"/>
                <w:b/>
              </w:rPr>
              <w:t>Frequency</w:t>
            </w:r>
          </w:p>
          <w:p w14:paraId="204430AD"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992" w:type="dxa"/>
            <w:tcBorders>
              <w:top w:val="nil"/>
              <w:left w:val="nil"/>
              <w:bottom w:val="single" w:sz="12" w:space="0" w:color="auto"/>
              <w:right w:val="nil"/>
            </w:tcBorders>
            <w:shd w:val="clear" w:color="auto" w:fill="auto"/>
          </w:tcPr>
          <w:p w14:paraId="730C26B9"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D7220B">
              <w:rPr>
                <w:rFonts w:ascii="Arial" w:hAnsi="Arial" w:cs="Arial"/>
                <w:b/>
              </w:rPr>
              <w:t>Percent</w:t>
            </w:r>
          </w:p>
        </w:tc>
      </w:tr>
      <w:tr w:rsidR="005C5102" w:rsidRPr="00D7220B" w14:paraId="4E1CD623" w14:textId="77777777" w:rsidTr="005C5102">
        <w:tc>
          <w:tcPr>
            <w:cnfStyle w:val="001000000000" w:firstRow="0" w:lastRow="0" w:firstColumn="1" w:lastColumn="0" w:oddVBand="0" w:evenVBand="0" w:oddHBand="0" w:evenHBand="0" w:firstRowFirstColumn="0" w:firstRowLastColumn="0" w:lastRowFirstColumn="0" w:lastRowLastColumn="0"/>
            <w:tcW w:w="2836" w:type="dxa"/>
            <w:tcBorders>
              <w:top w:val="single" w:sz="12" w:space="0" w:color="auto"/>
              <w:left w:val="nil"/>
              <w:bottom w:val="single" w:sz="12" w:space="0" w:color="auto"/>
              <w:right w:val="nil"/>
            </w:tcBorders>
          </w:tcPr>
          <w:p w14:paraId="2B85526D" w14:textId="77777777" w:rsidR="00653A68" w:rsidRPr="00D7220B" w:rsidRDefault="00D5242A" w:rsidP="00D7220B">
            <w:pPr>
              <w:tabs>
                <w:tab w:val="left" w:pos="630"/>
              </w:tabs>
              <w:jc w:val="both"/>
              <w:rPr>
                <w:rFonts w:ascii="Arial" w:hAnsi="Arial" w:cs="Arial"/>
              </w:rPr>
            </w:pPr>
            <w:r w:rsidRPr="00D7220B">
              <w:rPr>
                <w:rFonts w:ascii="Arial" w:hAnsi="Arial" w:cs="Arial"/>
              </w:rPr>
              <w:t>Age</w:t>
            </w:r>
          </w:p>
        </w:tc>
        <w:tc>
          <w:tcPr>
            <w:tcW w:w="1701" w:type="dxa"/>
            <w:tcBorders>
              <w:top w:val="single" w:sz="12" w:space="0" w:color="auto"/>
              <w:left w:val="nil"/>
              <w:bottom w:val="single" w:sz="12" w:space="0" w:color="auto"/>
              <w:right w:val="nil"/>
            </w:tcBorders>
          </w:tcPr>
          <w:p w14:paraId="34B7F1B8"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20-30</w:t>
            </w:r>
          </w:p>
          <w:p w14:paraId="0FC0FCAF"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26-30</w:t>
            </w:r>
          </w:p>
          <w:p w14:paraId="79AA7B12"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31-35</w:t>
            </w:r>
          </w:p>
          <w:p w14:paraId="1C4055E8"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36-40</w:t>
            </w:r>
          </w:p>
          <w:p w14:paraId="6B2C5C3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41-50</w:t>
            </w:r>
          </w:p>
          <w:p w14:paraId="1FDA163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51+</w:t>
            </w:r>
          </w:p>
        </w:tc>
        <w:tc>
          <w:tcPr>
            <w:tcW w:w="1275" w:type="dxa"/>
            <w:tcBorders>
              <w:top w:val="single" w:sz="12" w:space="0" w:color="auto"/>
              <w:left w:val="nil"/>
              <w:bottom w:val="single" w:sz="12" w:space="0" w:color="auto"/>
              <w:right w:val="nil"/>
            </w:tcBorders>
          </w:tcPr>
          <w:p w14:paraId="0C927E2B"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5</w:t>
            </w:r>
          </w:p>
          <w:p w14:paraId="6AFEF0B7"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12</w:t>
            </w:r>
          </w:p>
          <w:p w14:paraId="5165860E"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30</w:t>
            </w:r>
          </w:p>
          <w:p w14:paraId="3ED49E6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42</w:t>
            </w:r>
          </w:p>
          <w:p w14:paraId="7DCCBA2A"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44</w:t>
            </w:r>
          </w:p>
          <w:p w14:paraId="320ECFAD"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13</w:t>
            </w:r>
          </w:p>
        </w:tc>
        <w:tc>
          <w:tcPr>
            <w:tcW w:w="993" w:type="dxa"/>
            <w:tcBorders>
              <w:top w:val="single" w:sz="12" w:space="0" w:color="auto"/>
              <w:left w:val="nil"/>
              <w:bottom w:val="single" w:sz="12" w:space="0" w:color="auto"/>
              <w:right w:val="nil"/>
            </w:tcBorders>
          </w:tcPr>
          <w:p w14:paraId="7D41E168"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3.4</w:t>
            </w:r>
          </w:p>
          <w:p w14:paraId="63715082"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8.2</w:t>
            </w:r>
          </w:p>
          <w:p w14:paraId="0D2A83A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20.5</w:t>
            </w:r>
          </w:p>
          <w:p w14:paraId="3308DA15"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28.8</w:t>
            </w:r>
          </w:p>
          <w:p w14:paraId="75A3379C"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30.1</w:t>
            </w:r>
          </w:p>
          <w:p w14:paraId="11994FAA"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8.9</w:t>
            </w:r>
          </w:p>
        </w:tc>
        <w:tc>
          <w:tcPr>
            <w:tcW w:w="1559" w:type="dxa"/>
            <w:tcBorders>
              <w:top w:val="single" w:sz="12" w:space="0" w:color="auto"/>
              <w:left w:val="nil"/>
              <w:bottom w:val="single" w:sz="12" w:space="0" w:color="auto"/>
              <w:right w:val="nil"/>
            </w:tcBorders>
          </w:tcPr>
          <w:p w14:paraId="4191E72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4</w:t>
            </w:r>
          </w:p>
          <w:p w14:paraId="155CA393"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12</w:t>
            </w:r>
          </w:p>
          <w:p w14:paraId="1DFBF5ED"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37</w:t>
            </w:r>
          </w:p>
          <w:p w14:paraId="66164F6D"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47</w:t>
            </w:r>
          </w:p>
          <w:p w14:paraId="00F1E9A2"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46</w:t>
            </w:r>
          </w:p>
          <w:p w14:paraId="5B9CA7F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12</w:t>
            </w:r>
          </w:p>
        </w:tc>
        <w:tc>
          <w:tcPr>
            <w:tcW w:w="992" w:type="dxa"/>
            <w:tcBorders>
              <w:top w:val="single" w:sz="12" w:space="0" w:color="auto"/>
              <w:left w:val="nil"/>
              <w:bottom w:val="single" w:sz="12" w:space="0" w:color="auto"/>
              <w:right w:val="nil"/>
            </w:tcBorders>
          </w:tcPr>
          <w:p w14:paraId="23E3BC5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2.5</w:t>
            </w:r>
          </w:p>
          <w:p w14:paraId="72BC46B7"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7.6</w:t>
            </w:r>
          </w:p>
          <w:p w14:paraId="3BF1CBC6"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33.3</w:t>
            </w:r>
          </w:p>
          <w:p w14:paraId="462336FB"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29.7</w:t>
            </w:r>
          </w:p>
          <w:p w14:paraId="50012309"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29.1</w:t>
            </w:r>
          </w:p>
          <w:p w14:paraId="56A9E0AB"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7.6</w:t>
            </w:r>
          </w:p>
        </w:tc>
      </w:tr>
      <w:tr w:rsidR="005C5102" w:rsidRPr="00D7220B" w14:paraId="04A0B8F4" w14:textId="77777777" w:rsidTr="005C5102">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836" w:type="dxa"/>
            <w:tcBorders>
              <w:top w:val="single" w:sz="12" w:space="0" w:color="auto"/>
              <w:left w:val="nil"/>
              <w:bottom w:val="single" w:sz="12" w:space="0" w:color="auto"/>
              <w:right w:val="nil"/>
            </w:tcBorders>
            <w:shd w:val="clear" w:color="auto" w:fill="auto"/>
          </w:tcPr>
          <w:p w14:paraId="434FEAA3" w14:textId="77777777" w:rsidR="00653A68" w:rsidRPr="00D7220B" w:rsidRDefault="00D5242A" w:rsidP="00D7220B">
            <w:pPr>
              <w:tabs>
                <w:tab w:val="left" w:pos="630"/>
              </w:tabs>
              <w:jc w:val="both"/>
              <w:rPr>
                <w:rFonts w:ascii="Arial" w:hAnsi="Arial" w:cs="Arial"/>
              </w:rPr>
            </w:pPr>
            <w:r w:rsidRPr="00D7220B">
              <w:rPr>
                <w:rFonts w:ascii="Arial" w:hAnsi="Arial" w:cs="Arial"/>
              </w:rPr>
              <w:t>Gender</w:t>
            </w:r>
          </w:p>
        </w:tc>
        <w:tc>
          <w:tcPr>
            <w:tcW w:w="1701" w:type="dxa"/>
            <w:tcBorders>
              <w:top w:val="single" w:sz="12" w:space="0" w:color="auto"/>
              <w:left w:val="nil"/>
              <w:bottom w:val="single" w:sz="12" w:space="0" w:color="auto"/>
              <w:right w:val="nil"/>
            </w:tcBorders>
            <w:shd w:val="clear" w:color="auto" w:fill="auto"/>
          </w:tcPr>
          <w:p w14:paraId="6BE93499"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Male</w:t>
            </w:r>
          </w:p>
          <w:p w14:paraId="6C93B310"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Female</w:t>
            </w:r>
          </w:p>
          <w:p w14:paraId="794952C9"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D7220B">
              <w:rPr>
                <w:rFonts w:ascii="Arial" w:hAnsi="Arial" w:cs="Arial"/>
                <w:b/>
              </w:rPr>
              <w:t>Total</w:t>
            </w:r>
          </w:p>
        </w:tc>
        <w:tc>
          <w:tcPr>
            <w:tcW w:w="1275" w:type="dxa"/>
            <w:tcBorders>
              <w:top w:val="single" w:sz="12" w:space="0" w:color="auto"/>
              <w:left w:val="nil"/>
              <w:bottom w:val="single" w:sz="12" w:space="0" w:color="auto"/>
              <w:right w:val="nil"/>
            </w:tcBorders>
            <w:shd w:val="clear" w:color="auto" w:fill="auto"/>
          </w:tcPr>
          <w:p w14:paraId="0CF9F178"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65</w:t>
            </w:r>
          </w:p>
          <w:p w14:paraId="6BB1333A"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81</w:t>
            </w:r>
          </w:p>
          <w:p w14:paraId="08071F7A"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D7220B">
              <w:rPr>
                <w:rFonts w:ascii="Arial" w:hAnsi="Arial" w:cs="Arial"/>
                <w:b/>
              </w:rPr>
              <w:t>146</w:t>
            </w:r>
          </w:p>
        </w:tc>
        <w:tc>
          <w:tcPr>
            <w:tcW w:w="993" w:type="dxa"/>
            <w:tcBorders>
              <w:top w:val="single" w:sz="12" w:space="0" w:color="auto"/>
              <w:left w:val="nil"/>
              <w:bottom w:val="single" w:sz="12" w:space="0" w:color="auto"/>
              <w:right w:val="nil"/>
            </w:tcBorders>
            <w:shd w:val="clear" w:color="auto" w:fill="auto"/>
          </w:tcPr>
          <w:p w14:paraId="144F31E9"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44.5</w:t>
            </w:r>
          </w:p>
          <w:p w14:paraId="3D3A8007"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55.5</w:t>
            </w:r>
          </w:p>
          <w:p w14:paraId="084E51DB"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D7220B">
              <w:rPr>
                <w:rFonts w:ascii="Arial" w:hAnsi="Arial" w:cs="Arial"/>
                <w:b/>
              </w:rPr>
              <w:t>100</w:t>
            </w:r>
          </w:p>
        </w:tc>
        <w:tc>
          <w:tcPr>
            <w:tcW w:w="1559" w:type="dxa"/>
            <w:tcBorders>
              <w:top w:val="single" w:sz="12" w:space="0" w:color="auto"/>
              <w:left w:val="nil"/>
              <w:bottom w:val="single" w:sz="12" w:space="0" w:color="auto"/>
              <w:right w:val="nil"/>
            </w:tcBorders>
            <w:shd w:val="clear" w:color="auto" w:fill="auto"/>
          </w:tcPr>
          <w:p w14:paraId="3FA6F2B6"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70</w:t>
            </w:r>
          </w:p>
          <w:p w14:paraId="02B9F3C8"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88</w:t>
            </w:r>
          </w:p>
          <w:p w14:paraId="32C9F3F5"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D7220B">
              <w:rPr>
                <w:rFonts w:ascii="Arial" w:hAnsi="Arial" w:cs="Arial"/>
                <w:b/>
              </w:rPr>
              <w:t>158</w:t>
            </w:r>
          </w:p>
        </w:tc>
        <w:tc>
          <w:tcPr>
            <w:tcW w:w="992" w:type="dxa"/>
            <w:tcBorders>
              <w:top w:val="single" w:sz="12" w:space="0" w:color="auto"/>
              <w:left w:val="nil"/>
              <w:bottom w:val="single" w:sz="12" w:space="0" w:color="auto"/>
              <w:right w:val="nil"/>
            </w:tcBorders>
            <w:shd w:val="clear" w:color="auto" w:fill="auto"/>
          </w:tcPr>
          <w:p w14:paraId="08A0CF9B"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44.3</w:t>
            </w:r>
          </w:p>
          <w:p w14:paraId="1C49305F"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55.7</w:t>
            </w:r>
          </w:p>
          <w:p w14:paraId="3ED175CB"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D7220B">
              <w:rPr>
                <w:rFonts w:ascii="Arial" w:hAnsi="Arial" w:cs="Arial"/>
                <w:b/>
              </w:rPr>
              <w:t>100</w:t>
            </w:r>
          </w:p>
        </w:tc>
      </w:tr>
      <w:tr w:rsidR="005C5102" w:rsidRPr="00D7220B" w14:paraId="108551F9" w14:textId="77777777" w:rsidTr="005C5102">
        <w:tc>
          <w:tcPr>
            <w:cnfStyle w:val="001000000000" w:firstRow="0" w:lastRow="0" w:firstColumn="1" w:lastColumn="0" w:oddVBand="0" w:evenVBand="0" w:oddHBand="0" w:evenHBand="0" w:firstRowFirstColumn="0" w:firstRowLastColumn="0" w:lastRowFirstColumn="0" w:lastRowLastColumn="0"/>
            <w:tcW w:w="2836" w:type="dxa"/>
            <w:tcBorders>
              <w:top w:val="single" w:sz="12" w:space="0" w:color="auto"/>
              <w:left w:val="nil"/>
              <w:bottom w:val="single" w:sz="12" w:space="0" w:color="auto"/>
              <w:right w:val="nil"/>
            </w:tcBorders>
          </w:tcPr>
          <w:p w14:paraId="24E411B4" w14:textId="77777777" w:rsidR="00653A68" w:rsidRPr="00D7220B" w:rsidRDefault="00D5242A" w:rsidP="00D7220B">
            <w:pPr>
              <w:tabs>
                <w:tab w:val="left" w:pos="630"/>
              </w:tabs>
              <w:jc w:val="both"/>
              <w:rPr>
                <w:rFonts w:ascii="Arial" w:hAnsi="Arial" w:cs="Arial"/>
              </w:rPr>
            </w:pPr>
            <w:r w:rsidRPr="00D7220B">
              <w:rPr>
                <w:rFonts w:ascii="Arial" w:hAnsi="Arial" w:cs="Arial"/>
              </w:rPr>
              <w:t>Position in the school</w:t>
            </w:r>
          </w:p>
        </w:tc>
        <w:tc>
          <w:tcPr>
            <w:tcW w:w="1701" w:type="dxa"/>
            <w:tcBorders>
              <w:top w:val="single" w:sz="12" w:space="0" w:color="auto"/>
              <w:left w:val="nil"/>
              <w:bottom w:val="single" w:sz="12" w:space="0" w:color="auto"/>
              <w:right w:val="nil"/>
            </w:tcBorders>
          </w:tcPr>
          <w:p w14:paraId="5C87EE8C"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HOD</w:t>
            </w:r>
          </w:p>
          <w:p w14:paraId="65D747A0"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Class Teacher</w:t>
            </w:r>
          </w:p>
          <w:p w14:paraId="0EE3AC0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D7220B">
              <w:rPr>
                <w:rFonts w:ascii="Arial" w:hAnsi="Arial" w:cs="Arial"/>
                <w:b/>
              </w:rPr>
              <w:t>Total</w:t>
            </w:r>
          </w:p>
        </w:tc>
        <w:tc>
          <w:tcPr>
            <w:tcW w:w="1275" w:type="dxa"/>
            <w:tcBorders>
              <w:top w:val="single" w:sz="12" w:space="0" w:color="auto"/>
              <w:left w:val="nil"/>
              <w:bottom w:val="single" w:sz="12" w:space="0" w:color="auto"/>
              <w:right w:val="nil"/>
            </w:tcBorders>
          </w:tcPr>
          <w:p w14:paraId="4F4A64E6"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48</w:t>
            </w:r>
          </w:p>
          <w:p w14:paraId="740DB0C8"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108</w:t>
            </w:r>
          </w:p>
          <w:p w14:paraId="4C43D1B5"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D7220B">
              <w:rPr>
                <w:rFonts w:ascii="Arial" w:hAnsi="Arial" w:cs="Arial"/>
                <w:b/>
              </w:rPr>
              <w:t>146</w:t>
            </w:r>
          </w:p>
        </w:tc>
        <w:tc>
          <w:tcPr>
            <w:tcW w:w="993" w:type="dxa"/>
            <w:tcBorders>
              <w:top w:val="single" w:sz="12" w:space="0" w:color="auto"/>
              <w:left w:val="nil"/>
              <w:bottom w:val="single" w:sz="12" w:space="0" w:color="auto"/>
              <w:right w:val="nil"/>
            </w:tcBorders>
          </w:tcPr>
          <w:p w14:paraId="60D0D9B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27.0</w:t>
            </w:r>
          </w:p>
          <w:p w14:paraId="473CBD22"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73.0</w:t>
            </w:r>
          </w:p>
          <w:p w14:paraId="0030AD07"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D7220B">
              <w:rPr>
                <w:rFonts w:ascii="Arial" w:hAnsi="Arial" w:cs="Arial"/>
                <w:b/>
              </w:rPr>
              <w:t>100</w:t>
            </w:r>
          </w:p>
        </w:tc>
        <w:tc>
          <w:tcPr>
            <w:tcW w:w="1559" w:type="dxa"/>
            <w:tcBorders>
              <w:top w:val="single" w:sz="12" w:space="0" w:color="auto"/>
              <w:left w:val="nil"/>
              <w:bottom w:val="single" w:sz="12" w:space="0" w:color="auto"/>
              <w:right w:val="nil"/>
            </w:tcBorders>
          </w:tcPr>
          <w:p w14:paraId="666A99B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47</w:t>
            </w:r>
          </w:p>
          <w:p w14:paraId="2297055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111</w:t>
            </w:r>
          </w:p>
          <w:p w14:paraId="16B42A3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D7220B">
              <w:rPr>
                <w:rFonts w:ascii="Arial" w:hAnsi="Arial" w:cs="Arial"/>
                <w:b/>
              </w:rPr>
              <w:t>158</w:t>
            </w:r>
          </w:p>
        </w:tc>
        <w:tc>
          <w:tcPr>
            <w:tcW w:w="992" w:type="dxa"/>
            <w:tcBorders>
              <w:top w:val="single" w:sz="12" w:space="0" w:color="auto"/>
              <w:left w:val="nil"/>
              <w:bottom w:val="single" w:sz="12" w:space="0" w:color="auto"/>
              <w:right w:val="nil"/>
            </w:tcBorders>
          </w:tcPr>
          <w:p w14:paraId="18C3D9B2"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29.7</w:t>
            </w:r>
          </w:p>
          <w:p w14:paraId="2C833C1C"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70.3</w:t>
            </w:r>
          </w:p>
          <w:p w14:paraId="41A5CBB9"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D7220B">
              <w:rPr>
                <w:rFonts w:ascii="Arial" w:hAnsi="Arial" w:cs="Arial"/>
                <w:b/>
              </w:rPr>
              <w:t>100</w:t>
            </w:r>
          </w:p>
        </w:tc>
      </w:tr>
      <w:tr w:rsidR="005C5102" w:rsidRPr="00D7220B" w14:paraId="5569907B" w14:textId="77777777" w:rsidTr="005C5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Borders>
              <w:top w:val="single" w:sz="12" w:space="0" w:color="auto"/>
              <w:left w:val="nil"/>
              <w:bottom w:val="single" w:sz="12" w:space="0" w:color="auto"/>
              <w:right w:val="nil"/>
            </w:tcBorders>
            <w:shd w:val="clear" w:color="auto" w:fill="auto"/>
          </w:tcPr>
          <w:p w14:paraId="65A68829" w14:textId="77777777" w:rsidR="00653A68" w:rsidRPr="00D7220B" w:rsidRDefault="00D5242A" w:rsidP="00D7220B">
            <w:pPr>
              <w:tabs>
                <w:tab w:val="left" w:pos="630"/>
              </w:tabs>
              <w:jc w:val="both"/>
              <w:rPr>
                <w:rFonts w:ascii="Arial" w:hAnsi="Arial" w:cs="Arial"/>
              </w:rPr>
            </w:pPr>
            <w:r w:rsidRPr="00D7220B">
              <w:rPr>
                <w:rFonts w:ascii="Arial" w:hAnsi="Arial" w:cs="Arial"/>
              </w:rPr>
              <w:t>Years of Service</w:t>
            </w:r>
          </w:p>
        </w:tc>
        <w:tc>
          <w:tcPr>
            <w:tcW w:w="1701" w:type="dxa"/>
            <w:tcBorders>
              <w:top w:val="single" w:sz="12" w:space="0" w:color="auto"/>
              <w:left w:val="nil"/>
              <w:bottom w:val="single" w:sz="12" w:space="0" w:color="auto"/>
              <w:right w:val="nil"/>
            </w:tcBorders>
            <w:shd w:val="clear" w:color="auto" w:fill="auto"/>
          </w:tcPr>
          <w:p w14:paraId="40C26A68"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1-10</w:t>
            </w:r>
          </w:p>
          <w:p w14:paraId="7D78E5A1"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11-15</w:t>
            </w:r>
          </w:p>
          <w:p w14:paraId="220E4721"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16-20</w:t>
            </w:r>
          </w:p>
          <w:p w14:paraId="18CB775C"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20+</w:t>
            </w:r>
          </w:p>
        </w:tc>
        <w:tc>
          <w:tcPr>
            <w:tcW w:w="1275" w:type="dxa"/>
            <w:tcBorders>
              <w:top w:val="single" w:sz="12" w:space="0" w:color="auto"/>
              <w:left w:val="nil"/>
              <w:bottom w:val="single" w:sz="12" w:space="0" w:color="auto"/>
              <w:right w:val="nil"/>
            </w:tcBorders>
            <w:shd w:val="clear" w:color="auto" w:fill="auto"/>
          </w:tcPr>
          <w:p w14:paraId="50AECB01"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48</w:t>
            </w:r>
          </w:p>
          <w:p w14:paraId="5CAEC33F"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27</w:t>
            </w:r>
          </w:p>
          <w:p w14:paraId="37853894"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34</w:t>
            </w:r>
          </w:p>
          <w:p w14:paraId="0CD866CD"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37</w:t>
            </w:r>
          </w:p>
        </w:tc>
        <w:tc>
          <w:tcPr>
            <w:tcW w:w="993" w:type="dxa"/>
            <w:tcBorders>
              <w:top w:val="single" w:sz="12" w:space="0" w:color="auto"/>
              <w:left w:val="nil"/>
              <w:bottom w:val="single" w:sz="12" w:space="0" w:color="auto"/>
              <w:right w:val="nil"/>
            </w:tcBorders>
            <w:shd w:val="clear" w:color="auto" w:fill="auto"/>
          </w:tcPr>
          <w:p w14:paraId="64EC8290"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32.9</w:t>
            </w:r>
          </w:p>
          <w:p w14:paraId="6059C213"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18.5</w:t>
            </w:r>
          </w:p>
          <w:p w14:paraId="6E774517"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23.3</w:t>
            </w:r>
          </w:p>
          <w:p w14:paraId="70A27CA9"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25.3</w:t>
            </w:r>
          </w:p>
        </w:tc>
        <w:tc>
          <w:tcPr>
            <w:tcW w:w="1559" w:type="dxa"/>
            <w:tcBorders>
              <w:top w:val="single" w:sz="12" w:space="0" w:color="auto"/>
              <w:left w:val="nil"/>
              <w:bottom w:val="single" w:sz="12" w:space="0" w:color="auto"/>
              <w:right w:val="nil"/>
            </w:tcBorders>
            <w:shd w:val="clear" w:color="auto" w:fill="auto"/>
          </w:tcPr>
          <w:p w14:paraId="24956299"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46</w:t>
            </w:r>
          </w:p>
          <w:p w14:paraId="11F43D29"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28</w:t>
            </w:r>
          </w:p>
          <w:p w14:paraId="61DAFC80"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47</w:t>
            </w:r>
          </w:p>
          <w:p w14:paraId="29159397"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37</w:t>
            </w:r>
          </w:p>
        </w:tc>
        <w:tc>
          <w:tcPr>
            <w:tcW w:w="992" w:type="dxa"/>
            <w:tcBorders>
              <w:top w:val="single" w:sz="12" w:space="0" w:color="auto"/>
              <w:left w:val="nil"/>
              <w:bottom w:val="single" w:sz="12" w:space="0" w:color="auto"/>
              <w:right w:val="nil"/>
            </w:tcBorders>
            <w:shd w:val="clear" w:color="auto" w:fill="auto"/>
          </w:tcPr>
          <w:p w14:paraId="3BCBE092"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29.1</w:t>
            </w:r>
          </w:p>
          <w:p w14:paraId="17731D47"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17.7</w:t>
            </w:r>
          </w:p>
          <w:p w14:paraId="3636F746"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29.7</w:t>
            </w:r>
          </w:p>
          <w:p w14:paraId="75B90108"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23.4</w:t>
            </w:r>
          </w:p>
        </w:tc>
      </w:tr>
    </w:tbl>
    <w:p w14:paraId="4DD8B332" w14:textId="77777777" w:rsidR="00653A68" w:rsidRPr="00D7220B" w:rsidRDefault="00653A68" w:rsidP="00D7220B">
      <w:pPr>
        <w:keepNext/>
        <w:keepLines/>
        <w:spacing w:before="40" w:after="0" w:line="240" w:lineRule="auto"/>
        <w:jc w:val="both"/>
        <w:outlineLvl w:val="1"/>
        <w:rPr>
          <w:rFonts w:ascii="Arial" w:eastAsiaTheme="majorEastAsia" w:hAnsi="Arial" w:cs="Arial"/>
          <w:b/>
          <w:color w:val="000000" w:themeColor="text1"/>
          <w:sz w:val="24"/>
          <w:szCs w:val="24"/>
          <w:lang w:val="en-GB"/>
        </w:rPr>
      </w:pPr>
    </w:p>
    <w:p w14:paraId="0D5F7051" w14:textId="77777777" w:rsidR="00653A68" w:rsidRPr="00D7220B" w:rsidRDefault="00653A68" w:rsidP="00D7220B">
      <w:pPr>
        <w:keepNext/>
        <w:keepLines/>
        <w:spacing w:before="40" w:after="0" w:line="240" w:lineRule="auto"/>
        <w:jc w:val="both"/>
        <w:outlineLvl w:val="1"/>
        <w:rPr>
          <w:rFonts w:ascii="Arial" w:eastAsiaTheme="majorEastAsia" w:hAnsi="Arial" w:cs="Arial"/>
          <w:b/>
          <w:color w:val="000000" w:themeColor="text1"/>
          <w:sz w:val="24"/>
          <w:szCs w:val="24"/>
          <w:lang w:val="en-GB"/>
        </w:rPr>
      </w:pPr>
    </w:p>
    <w:p w14:paraId="21647D2A" w14:textId="77777777" w:rsidR="00653A68" w:rsidRPr="00D7220B" w:rsidRDefault="00D1463E" w:rsidP="00D7220B">
      <w:pPr>
        <w:keepNext/>
        <w:keepLines/>
        <w:spacing w:before="40" w:after="0" w:line="240" w:lineRule="auto"/>
        <w:jc w:val="both"/>
        <w:outlineLvl w:val="1"/>
        <w:rPr>
          <w:rFonts w:ascii="Arial" w:eastAsiaTheme="majorEastAsia" w:hAnsi="Arial" w:cs="Arial"/>
          <w:b/>
          <w:color w:val="000000" w:themeColor="text1"/>
          <w:sz w:val="24"/>
          <w:szCs w:val="24"/>
          <w:lang w:val="en-GB"/>
        </w:rPr>
      </w:pPr>
      <w:r>
        <w:rPr>
          <w:rFonts w:ascii="Arial" w:eastAsiaTheme="majorEastAsia" w:hAnsi="Arial" w:cs="Arial"/>
          <w:b/>
          <w:color w:val="000000" w:themeColor="text1"/>
          <w:sz w:val="24"/>
          <w:szCs w:val="24"/>
          <w:lang w:val="en-GB"/>
        </w:rPr>
        <w:t>4.0 </w:t>
      </w:r>
      <w:r w:rsidR="00D5242A" w:rsidRPr="00D7220B">
        <w:rPr>
          <w:rFonts w:ascii="Arial" w:eastAsiaTheme="majorEastAsia" w:hAnsi="Arial" w:cs="Arial"/>
          <w:b/>
          <w:color w:val="000000" w:themeColor="text1"/>
          <w:sz w:val="24"/>
          <w:szCs w:val="24"/>
          <w:lang w:val="en-GB"/>
        </w:rPr>
        <w:t>RESULTS</w:t>
      </w:r>
    </w:p>
    <w:p w14:paraId="27226E67" w14:textId="77777777" w:rsidR="00653A68" w:rsidRPr="00D7220B" w:rsidRDefault="00D1463E" w:rsidP="00D7220B">
      <w:pPr>
        <w:keepNext/>
        <w:keepLines/>
        <w:spacing w:before="40" w:after="0" w:line="240" w:lineRule="auto"/>
        <w:jc w:val="both"/>
        <w:outlineLvl w:val="1"/>
        <w:rPr>
          <w:rFonts w:ascii="Arial" w:eastAsiaTheme="majorEastAsia" w:hAnsi="Arial" w:cs="Arial"/>
          <w:b/>
          <w:color w:val="000000" w:themeColor="text1"/>
          <w:sz w:val="24"/>
          <w:szCs w:val="24"/>
          <w:lang w:val="en-GB"/>
        </w:rPr>
      </w:pPr>
      <w:r>
        <w:rPr>
          <w:rFonts w:ascii="Arial" w:eastAsiaTheme="majorEastAsia" w:hAnsi="Arial" w:cs="Arial"/>
          <w:b/>
          <w:color w:val="000000" w:themeColor="text1"/>
          <w:sz w:val="24"/>
          <w:szCs w:val="24"/>
          <w:lang w:val="en-GB"/>
        </w:rPr>
        <w:t>4.1 </w:t>
      </w:r>
      <w:r w:rsidR="00D5242A" w:rsidRPr="00D7220B">
        <w:rPr>
          <w:rFonts w:ascii="Arial" w:eastAsiaTheme="majorEastAsia" w:hAnsi="Arial" w:cs="Arial"/>
          <w:b/>
          <w:color w:val="000000" w:themeColor="text1"/>
          <w:sz w:val="24"/>
          <w:szCs w:val="24"/>
          <w:lang w:val="en-GB"/>
        </w:rPr>
        <w:t>Factor Analysis</w:t>
      </w:r>
    </w:p>
    <w:p w14:paraId="6EF23D75" w14:textId="77777777" w:rsidR="00C87A74" w:rsidRPr="00D7220B" w:rsidRDefault="009E1FA3" w:rsidP="00D7220B">
      <w:pPr>
        <w:spacing w:line="240" w:lineRule="auto"/>
        <w:jc w:val="both"/>
        <w:rPr>
          <w:rFonts w:ascii="Arial" w:hAnsi="Arial" w:cs="Arial"/>
          <w:sz w:val="24"/>
          <w:szCs w:val="24"/>
          <w:lang w:val="en-GB"/>
        </w:rPr>
      </w:pPr>
      <w:r>
        <w:rPr>
          <w:rFonts w:ascii="Arial" w:hAnsi="Arial" w:cs="Arial"/>
          <w:sz w:val="24"/>
          <w:szCs w:val="24"/>
          <w:lang w:val="en-GB"/>
        </w:rPr>
        <w:t xml:space="preserve">Factor analysis was used to determine factor loadings and examine the relationships among variables (Muijs, 2011). Exploratory factor analysis (EFA) was performed to confirm the unidimensionality of each measurement scale using principal axis factoring with direct oblimin rotation in SPSS 27.0. Factor loadings above 0.50 were considered </w:t>
      </w:r>
      <w:r>
        <w:rPr>
          <w:rFonts w:ascii="Arial" w:hAnsi="Arial" w:cs="Arial"/>
          <w:sz w:val="24"/>
          <w:szCs w:val="24"/>
          <w:lang w:val="en-GB"/>
        </w:rPr>
        <w:lastRenderedPageBreak/>
        <w:t>significant (Hinkin, 1998), while acceptable Kaiser-Meyer-Olkin (KMO) values were those exceeding 0.60 (Pallant, 2013). The factor extraction process was guided by the eigenvalue criterion (eigenvalues greater than one) and scree plot analysis.</w:t>
      </w:r>
    </w:p>
    <w:p w14:paraId="5E2C9BC0" w14:textId="77777777" w:rsidR="00653A68" w:rsidRPr="00D7220B" w:rsidRDefault="00D5242A" w:rsidP="00D7220B">
      <w:pPr>
        <w:tabs>
          <w:tab w:val="left" w:pos="630"/>
        </w:tabs>
        <w:spacing w:line="240" w:lineRule="auto"/>
        <w:jc w:val="both"/>
        <w:rPr>
          <w:rFonts w:ascii="Arial" w:hAnsi="Arial" w:cs="Arial"/>
          <w:sz w:val="24"/>
          <w:szCs w:val="24"/>
        </w:rPr>
      </w:pPr>
      <w:r w:rsidRPr="00D7220B">
        <w:rPr>
          <w:rFonts w:ascii="Arial" w:hAnsi="Arial" w:cs="Arial"/>
          <w:sz w:val="24"/>
          <w:szCs w:val="24"/>
        </w:rPr>
        <w:t xml:space="preserve">Table 2: </w:t>
      </w:r>
      <w:r w:rsidRPr="00D7220B">
        <w:rPr>
          <w:rFonts w:ascii="Arial" w:hAnsi="Arial" w:cs="Arial"/>
          <w:i/>
          <w:sz w:val="24"/>
          <w:szCs w:val="24"/>
        </w:rPr>
        <w:t>Construct Reliability and Validity Results</w:t>
      </w:r>
    </w:p>
    <w:tbl>
      <w:tblPr>
        <w:tblStyle w:val="GridTable5Dark-Accent5"/>
        <w:tblW w:w="9331" w:type="dxa"/>
        <w:tblLayout w:type="fixed"/>
        <w:tblLook w:val="04A0" w:firstRow="1" w:lastRow="0" w:firstColumn="1" w:lastColumn="0" w:noHBand="0" w:noVBand="1"/>
      </w:tblPr>
      <w:tblGrid>
        <w:gridCol w:w="988"/>
        <w:gridCol w:w="850"/>
        <w:gridCol w:w="1084"/>
        <w:gridCol w:w="759"/>
        <w:gridCol w:w="800"/>
        <w:gridCol w:w="476"/>
        <w:gridCol w:w="992"/>
        <w:gridCol w:w="843"/>
        <w:gridCol w:w="7"/>
        <w:gridCol w:w="943"/>
        <w:gridCol w:w="191"/>
        <w:gridCol w:w="659"/>
        <w:gridCol w:w="35"/>
        <w:gridCol w:w="704"/>
      </w:tblGrid>
      <w:tr w:rsidR="005C5102" w:rsidRPr="00D7220B" w14:paraId="77F9177F" w14:textId="77777777" w:rsidTr="004D2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gridSpan w:val="5"/>
          </w:tcPr>
          <w:p w14:paraId="70600477" w14:textId="77777777" w:rsidR="00653A68" w:rsidRPr="004D2BCA" w:rsidRDefault="00D5242A" w:rsidP="00D7220B">
            <w:pPr>
              <w:tabs>
                <w:tab w:val="left" w:pos="630"/>
              </w:tabs>
              <w:jc w:val="both"/>
              <w:rPr>
                <w:rFonts w:ascii="Arial" w:hAnsi="Arial" w:cs="Arial"/>
                <w:sz w:val="20"/>
                <w:szCs w:val="20"/>
              </w:rPr>
            </w:pPr>
            <w:r w:rsidRPr="004D2BCA">
              <w:rPr>
                <w:rFonts w:ascii="Arial" w:hAnsi="Arial" w:cs="Arial"/>
                <w:sz w:val="20"/>
                <w:szCs w:val="20"/>
              </w:rPr>
              <w:t>Government Schools</w:t>
            </w:r>
          </w:p>
        </w:tc>
        <w:tc>
          <w:tcPr>
            <w:tcW w:w="476" w:type="dxa"/>
          </w:tcPr>
          <w:p w14:paraId="2E9842C4" w14:textId="77777777" w:rsidR="00653A68" w:rsidRPr="00D7220B" w:rsidRDefault="00653A68" w:rsidP="00D7220B">
            <w:pPr>
              <w:tabs>
                <w:tab w:val="left" w:pos="630"/>
              </w:tabs>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p>
        </w:tc>
        <w:tc>
          <w:tcPr>
            <w:tcW w:w="4374" w:type="dxa"/>
            <w:gridSpan w:val="8"/>
          </w:tcPr>
          <w:p w14:paraId="224624A8" w14:textId="77777777" w:rsidR="00653A68" w:rsidRPr="00D7220B" w:rsidRDefault="00D5242A" w:rsidP="00D7220B">
            <w:pPr>
              <w:tabs>
                <w:tab w:val="left" w:pos="630"/>
              </w:tabs>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7220B">
              <w:rPr>
                <w:rFonts w:ascii="Arial" w:hAnsi="Arial" w:cs="Arial"/>
                <w:b w:val="0"/>
                <w:sz w:val="20"/>
                <w:szCs w:val="20"/>
              </w:rPr>
              <w:t>Grant Aided Schools</w:t>
            </w:r>
          </w:p>
        </w:tc>
      </w:tr>
      <w:tr w:rsidR="005C5102" w:rsidRPr="00D7220B" w14:paraId="3909281D"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A075481" w14:textId="77777777" w:rsidR="00653A68" w:rsidRPr="00D7220B" w:rsidRDefault="00D5242A" w:rsidP="00D7220B">
            <w:pPr>
              <w:tabs>
                <w:tab w:val="left" w:pos="630"/>
              </w:tabs>
              <w:jc w:val="both"/>
              <w:rPr>
                <w:rFonts w:ascii="Arial" w:hAnsi="Arial" w:cs="Arial"/>
                <w:sz w:val="20"/>
                <w:szCs w:val="20"/>
              </w:rPr>
            </w:pPr>
            <w:r w:rsidRPr="00D7220B">
              <w:rPr>
                <w:rFonts w:ascii="Arial" w:hAnsi="Arial" w:cs="Arial"/>
                <w:sz w:val="20"/>
                <w:szCs w:val="20"/>
              </w:rPr>
              <w:t>Latent Variables</w:t>
            </w:r>
          </w:p>
        </w:tc>
        <w:tc>
          <w:tcPr>
            <w:tcW w:w="850" w:type="dxa"/>
          </w:tcPr>
          <w:p w14:paraId="7641ABF5"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Factor Loading</w:t>
            </w:r>
          </w:p>
        </w:tc>
        <w:tc>
          <w:tcPr>
            <w:tcW w:w="1084" w:type="dxa"/>
          </w:tcPr>
          <w:p w14:paraId="506EC0B3"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 xml:space="preserve">Cronbach’s    α                  </w:t>
            </w:r>
          </w:p>
        </w:tc>
        <w:tc>
          <w:tcPr>
            <w:tcW w:w="759" w:type="dxa"/>
          </w:tcPr>
          <w:p w14:paraId="43E3860B"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CR</w:t>
            </w:r>
          </w:p>
        </w:tc>
        <w:tc>
          <w:tcPr>
            <w:tcW w:w="800" w:type="dxa"/>
          </w:tcPr>
          <w:p w14:paraId="0A9A26DF"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AVE.</w:t>
            </w:r>
          </w:p>
        </w:tc>
        <w:tc>
          <w:tcPr>
            <w:tcW w:w="476" w:type="dxa"/>
            <w:vMerge w:val="restart"/>
          </w:tcPr>
          <w:p w14:paraId="56D1E871"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2" w:type="dxa"/>
          </w:tcPr>
          <w:p w14:paraId="4DCF1011"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Latent Variables</w:t>
            </w:r>
          </w:p>
        </w:tc>
        <w:tc>
          <w:tcPr>
            <w:tcW w:w="850" w:type="dxa"/>
            <w:gridSpan w:val="2"/>
          </w:tcPr>
          <w:p w14:paraId="1BA82DED"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Factor Loading</w:t>
            </w:r>
          </w:p>
        </w:tc>
        <w:tc>
          <w:tcPr>
            <w:tcW w:w="1134" w:type="dxa"/>
            <w:gridSpan w:val="2"/>
          </w:tcPr>
          <w:p w14:paraId="1DF69718"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 xml:space="preserve">Cronbach’s α                  </w:t>
            </w:r>
          </w:p>
        </w:tc>
        <w:tc>
          <w:tcPr>
            <w:tcW w:w="694" w:type="dxa"/>
            <w:gridSpan w:val="2"/>
          </w:tcPr>
          <w:p w14:paraId="180F3DD3"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CR</w:t>
            </w:r>
          </w:p>
        </w:tc>
        <w:tc>
          <w:tcPr>
            <w:tcW w:w="704" w:type="dxa"/>
          </w:tcPr>
          <w:p w14:paraId="1BC393C8"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AVE.</w:t>
            </w:r>
          </w:p>
        </w:tc>
      </w:tr>
      <w:tr w:rsidR="005C5102" w:rsidRPr="00D7220B" w14:paraId="5BC6C986" w14:textId="77777777" w:rsidTr="004D2BCA">
        <w:tc>
          <w:tcPr>
            <w:cnfStyle w:val="001000000000" w:firstRow="0" w:lastRow="0" w:firstColumn="1" w:lastColumn="0" w:oddVBand="0" w:evenVBand="0" w:oddHBand="0" w:evenHBand="0" w:firstRowFirstColumn="0" w:firstRowLastColumn="0" w:lastRowFirstColumn="0" w:lastRowLastColumn="0"/>
            <w:tcW w:w="1838" w:type="dxa"/>
            <w:gridSpan w:val="2"/>
          </w:tcPr>
          <w:p w14:paraId="2F54ACD0" w14:textId="77777777" w:rsidR="00653A68" w:rsidRPr="00D7220B" w:rsidRDefault="00D5242A" w:rsidP="00D7220B">
            <w:pPr>
              <w:tabs>
                <w:tab w:val="left" w:pos="630"/>
              </w:tabs>
              <w:jc w:val="both"/>
              <w:rPr>
                <w:rFonts w:ascii="Arial" w:hAnsi="Arial" w:cs="Arial"/>
                <w:b w:val="0"/>
                <w:sz w:val="20"/>
                <w:szCs w:val="20"/>
              </w:rPr>
            </w:pPr>
            <w:r w:rsidRPr="00D7220B">
              <w:rPr>
                <w:rFonts w:ascii="Arial" w:hAnsi="Arial" w:cs="Arial"/>
                <w:b w:val="0"/>
                <w:sz w:val="20"/>
                <w:szCs w:val="20"/>
              </w:rPr>
              <w:t>School Culture</w:t>
            </w:r>
          </w:p>
        </w:tc>
        <w:tc>
          <w:tcPr>
            <w:tcW w:w="1084" w:type="dxa"/>
          </w:tcPr>
          <w:p w14:paraId="5E767DF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0.841</w:t>
            </w:r>
          </w:p>
        </w:tc>
        <w:tc>
          <w:tcPr>
            <w:tcW w:w="759" w:type="dxa"/>
          </w:tcPr>
          <w:p w14:paraId="02CAE40B"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0.884</w:t>
            </w:r>
          </w:p>
        </w:tc>
        <w:tc>
          <w:tcPr>
            <w:tcW w:w="800" w:type="dxa"/>
          </w:tcPr>
          <w:p w14:paraId="3C9B2AC6"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0.721</w:t>
            </w:r>
          </w:p>
        </w:tc>
        <w:tc>
          <w:tcPr>
            <w:tcW w:w="476" w:type="dxa"/>
            <w:vMerge/>
          </w:tcPr>
          <w:p w14:paraId="27C4D14A"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35" w:type="dxa"/>
            <w:gridSpan w:val="2"/>
          </w:tcPr>
          <w:p w14:paraId="449DC8D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School Culture</w:t>
            </w:r>
          </w:p>
        </w:tc>
        <w:tc>
          <w:tcPr>
            <w:tcW w:w="950" w:type="dxa"/>
            <w:gridSpan w:val="2"/>
          </w:tcPr>
          <w:p w14:paraId="742DD7F5"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0.803</w:t>
            </w:r>
          </w:p>
        </w:tc>
        <w:tc>
          <w:tcPr>
            <w:tcW w:w="850" w:type="dxa"/>
            <w:gridSpan w:val="2"/>
          </w:tcPr>
          <w:p w14:paraId="1DC2D0A3"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0.850</w:t>
            </w:r>
          </w:p>
        </w:tc>
        <w:tc>
          <w:tcPr>
            <w:tcW w:w="739" w:type="dxa"/>
            <w:gridSpan w:val="2"/>
          </w:tcPr>
          <w:p w14:paraId="55CAAFCA"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0.523</w:t>
            </w:r>
          </w:p>
        </w:tc>
      </w:tr>
      <w:tr w:rsidR="005C5102" w:rsidRPr="00D7220B" w14:paraId="3D798979"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42DFE28" w14:textId="77777777" w:rsidR="00653A68" w:rsidRPr="00D7220B" w:rsidRDefault="00D5242A" w:rsidP="00D7220B">
            <w:pPr>
              <w:tabs>
                <w:tab w:val="left" w:pos="630"/>
              </w:tabs>
              <w:jc w:val="both"/>
              <w:rPr>
                <w:rFonts w:ascii="Arial" w:hAnsi="Arial" w:cs="Arial"/>
                <w:sz w:val="20"/>
                <w:szCs w:val="20"/>
              </w:rPr>
            </w:pPr>
            <w:r w:rsidRPr="00D7220B">
              <w:rPr>
                <w:rFonts w:ascii="Arial" w:hAnsi="Arial" w:cs="Arial"/>
                <w:sz w:val="20"/>
                <w:szCs w:val="20"/>
              </w:rPr>
              <w:t xml:space="preserve">Q5SC                                               </w:t>
            </w:r>
          </w:p>
        </w:tc>
        <w:tc>
          <w:tcPr>
            <w:tcW w:w="850" w:type="dxa"/>
          </w:tcPr>
          <w:p w14:paraId="237C34A0"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0.690</w:t>
            </w:r>
          </w:p>
        </w:tc>
        <w:tc>
          <w:tcPr>
            <w:tcW w:w="1084" w:type="dxa"/>
          </w:tcPr>
          <w:p w14:paraId="6EFBADC5"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9" w:type="dxa"/>
          </w:tcPr>
          <w:p w14:paraId="484661FE"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00" w:type="dxa"/>
          </w:tcPr>
          <w:p w14:paraId="4F2A17D4"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76" w:type="dxa"/>
            <w:vMerge/>
          </w:tcPr>
          <w:p w14:paraId="1CE0EF98"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2" w:type="dxa"/>
          </w:tcPr>
          <w:p w14:paraId="7C5449F2"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 xml:space="preserve">Q5SC                                               </w:t>
            </w:r>
          </w:p>
        </w:tc>
        <w:tc>
          <w:tcPr>
            <w:tcW w:w="843" w:type="dxa"/>
          </w:tcPr>
          <w:p w14:paraId="48A5BDCD"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0.727</w:t>
            </w:r>
          </w:p>
        </w:tc>
        <w:tc>
          <w:tcPr>
            <w:tcW w:w="950" w:type="dxa"/>
            <w:gridSpan w:val="2"/>
          </w:tcPr>
          <w:p w14:paraId="196F491A"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850" w:type="dxa"/>
            <w:gridSpan w:val="2"/>
          </w:tcPr>
          <w:p w14:paraId="5D5425F0"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39" w:type="dxa"/>
            <w:gridSpan w:val="2"/>
          </w:tcPr>
          <w:p w14:paraId="00404A93"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C5102" w:rsidRPr="00D7220B" w14:paraId="2D138116" w14:textId="77777777" w:rsidTr="004D2BCA">
        <w:tc>
          <w:tcPr>
            <w:cnfStyle w:val="001000000000" w:firstRow="0" w:lastRow="0" w:firstColumn="1" w:lastColumn="0" w:oddVBand="0" w:evenVBand="0" w:oddHBand="0" w:evenHBand="0" w:firstRowFirstColumn="0" w:firstRowLastColumn="0" w:lastRowFirstColumn="0" w:lastRowLastColumn="0"/>
            <w:tcW w:w="988" w:type="dxa"/>
          </w:tcPr>
          <w:p w14:paraId="7A9BB6E7" w14:textId="77777777" w:rsidR="00653A68" w:rsidRPr="00D7220B" w:rsidRDefault="00D5242A" w:rsidP="00D7220B">
            <w:pPr>
              <w:tabs>
                <w:tab w:val="left" w:pos="630"/>
              </w:tabs>
              <w:jc w:val="both"/>
              <w:rPr>
                <w:rFonts w:ascii="Arial" w:hAnsi="Arial" w:cs="Arial"/>
                <w:sz w:val="20"/>
                <w:szCs w:val="20"/>
              </w:rPr>
            </w:pPr>
            <w:r w:rsidRPr="00D7220B">
              <w:rPr>
                <w:rFonts w:ascii="Arial" w:hAnsi="Arial" w:cs="Arial"/>
                <w:sz w:val="20"/>
                <w:szCs w:val="20"/>
              </w:rPr>
              <w:t xml:space="preserve">Q6SC                                               </w:t>
            </w:r>
          </w:p>
        </w:tc>
        <w:tc>
          <w:tcPr>
            <w:tcW w:w="850" w:type="dxa"/>
          </w:tcPr>
          <w:p w14:paraId="42C4C33D"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0.753</w:t>
            </w:r>
          </w:p>
        </w:tc>
        <w:tc>
          <w:tcPr>
            <w:tcW w:w="1084" w:type="dxa"/>
          </w:tcPr>
          <w:p w14:paraId="1182D6CD"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59" w:type="dxa"/>
          </w:tcPr>
          <w:p w14:paraId="63772F91"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800" w:type="dxa"/>
          </w:tcPr>
          <w:p w14:paraId="6E68B73F"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476" w:type="dxa"/>
            <w:vMerge/>
          </w:tcPr>
          <w:p w14:paraId="424AE977"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92" w:type="dxa"/>
          </w:tcPr>
          <w:p w14:paraId="4EEB648E"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 xml:space="preserve">Q6SC                                               </w:t>
            </w:r>
          </w:p>
        </w:tc>
        <w:tc>
          <w:tcPr>
            <w:tcW w:w="843" w:type="dxa"/>
          </w:tcPr>
          <w:p w14:paraId="377D6BC3"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0.724</w:t>
            </w:r>
          </w:p>
        </w:tc>
        <w:tc>
          <w:tcPr>
            <w:tcW w:w="950" w:type="dxa"/>
            <w:gridSpan w:val="2"/>
          </w:tcPr>
          <w:p w14:paraId="619BD8F3"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0" w:type="dxa"/>
            <w:gridSpan w:val="2"/>
          </w:tcPr>
          <w:p w14:paraId="32DEDC90"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39" w:type="dxa"/>
            <w:gridSpan w:val="2"/>
          </w:tcPr>
          <w:p w14:paraId="2AC04493"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C5102" w:rsidRPr="00D7220B" w14:paraId="6CEA4314"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04BFFFB" w14:textId="77777777" w:rsidR="00653A68" w:rsidRPr="00D7220B" w:rsidRDefault="00D5242A" w:rsidP="00D7220B">
            <w:pPr>
              <w:tabs>
                <w:tab w:val="left" w:pos="630"/>
              </w:tabs>
              <w:jc w:val="both"/>
              <w:rPr>
                <w:rFonts w:ascii="Arial" w:hAnsi="Arial" w:cs="Arial"/>
                <w:sz w:val="20"/>
                <w:szCs w:val="20"/>
              </w:rPr>
            </w:pPr>
            <w:r w:rsidRPr="00D7220B">
              <w:rPr>
                <w:rFonts w:ascii="Arial" w:hAnsi="Arial" w:cs="Arial"/>
                <w:sz w:val="20"/>
                <w:szCs w:val="20"/>
              </w:rPr>
              <w:t xml:space="preserve">Q7SC                                               </w:t>
            </w:r>
          </w:p>
        </w:tc>
        <w:tc>
          <w:tcPr>
            <w:tcW w:w="850" w:type="dxa"/>
          </w:tcPr>
          <w:p w14:paraId="5EA83BF7"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0.783</w:t>
            </w:r>
          </w:p>
        </w:tc>
        <w:tc>
          <w:tcPr>
            <w:tcW w:w="1084" w:type="dxa"/>
          </w:tcPr>
          <w:p w14:paraId="77114F44"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59" w:type="dxa"/>
          </w:tcPr>
          <w:p w14:paraId="6E1ACA0D"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800" w:type="dxa"/>
          </w:tcPr>
          <w:p w14:paraId="14C659B9"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476" w:type="dxa"/>
            <w:vMerge/>
          </w:tcPr>
          <w:p w14:paraId="186CD192"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992" w:type="dxa"/>
          </w:tcPr>
          <w:p w14:paraId="21B08CD5"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 xml:space="preserve">Q7SC                                               </w:t>
            </w:r>
          </w:p>
        </w:tc>
        <w:tc>
          <w:tcPr>
            <w:tcW w:w="843" w:type="dxa"/>
          </w:tcPr>
          <w:p w14:paraId="0D17831A"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0.625</w:t>
            </w:r>
          </w:p>
        </w:tc>
        <w:tc>
          <w:tcPr>
            <w:tcW w:w="950" w:type="dxa"/>
            <w:gridSpan w:val="2"/>
          </w:tcPr>
          <w:p w14:paraId="5A0D2701"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gridSpan w:val="2"/>
          </w:tcPr>
          <w:p w14:paraId="459E31CC"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39" w:type="dxa"/>
            <w:gridSpan w:val="2"/>
          </w:tcPr>
          <w:p w14:paraId="60E9302E"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C5102" w:rsidRPr="00D7220B" w14:paraId="238A0600" w14:textId="77777777" w:rsidTr="004D2BCA">
        <w:tc>
          <w:tcPr>
            <w:cnfStyle w:val="001000000000" w:firstRow="0" w:lastRow="0" w:firstColumn="1" w:lastColumn="0" w:oddVBand="0" w:evenVBand="0" w:oddHBand="0" w:evenHBand="0" w:firstRowFirstColumn="0" w:firstRowLastColumn="0" w:lastRowFirstColumn="0" w:lastRowLastColumn="0"/>
            <w:tcW w:w="988" w:type="dxa"/>
          </w:tcPr>
          <w:p w14:paraId="721C4575" w14:textId="77777777" w:rsidR="00653A68" w:rsidRPr="00D7220B" w:rsidRDefault="00D5242A" w:rsidP="00D7220B">
            <w:pPr>
              <w:tabs>
                <w:tab w:val="left" w:pos="630"/>
              </w:tabs>
              <w:jc w:val="both"/>
              <w:rPr>
                <w:rFonts w:ascii="Arial" w:hAnsi="Arial" w:cs="Arial"/>
                <w:sz w:val="20"/>
                <w:szCs w:val="20"/>
              </w:rPr>
            </w:pPr>
            <w:r w:rsidRPr="00D7220B">
              <w:rPr>
                <w:rFonts w:ascii="Arial" w:hAnsi="Arial" w:cs="Arial"/>
                <w:sz w:val="20"/>
                <w:szCs w:val="20"/>
              </w:rPr>
              <w:t xml:space="preserve">Q8SC                                               </w:t>
            </w:r>
          </w:p>
        </w:tc>
        <w:tc>
          <w:tcPr>
            <w:tcW w:w="850" w:type="dxa"/>
          </w:tcPr>
          <w:p w14:paraId="41A1889F"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0.609</w:t>
            </w:r>
          </w:p>
        </w:tc>
        <w:tc>
          <w:tcPr>
            <w:tcW w:w="1084" w:type="dxa"/>
          </w:tcPr>
          <w:p w14:paraId="6D0323FC"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59" w:type="dxa"/>
          </w:tcPr>
          <w:p w14:paraId="2C886DCA"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800" w:type="dxa"/>
          </w:tcPr>
          <w:p w14:paraId="08E89FF3"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476" w:type="dxa"/>
            <w:vMerge/>
          </w:tcPr>
          <w:p w14:paraId="5F4CDE47"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92" w:type="dxa"/>
          </w:tcPr>
          <w:p w14:paraId="22F8420E"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 xml:space="preserve">Q8SC                                               </w:t>
            </w:r>
          </w:p>
        </w:tc>
        <w:tc>
          <w:tcPr>
            <w:tcW w:w="843" w:type="dxa"/>
          </w:tcPr>
          <w:p w14:paraId="290ADB05"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0.680</w:t>
            </w:r>
          </w:p>
        </w:tc>
        <w:tc>
          <w:tcPr>
            <w:tcW w:w="950" w:type="dxa"/>
            <w:gridSpan w:val="2"/>
          </w:tcPr>
          <w:p w14:paraId="208110AE"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0" w:type="dxa"/>
            <w:gridSpan w:val="2"/>
          </w:tcPr>
          <w:p w14:paraId="1269B017"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39" w:type="dxa"/>
            <w:gridSpan w:val="2"/>
          </w:tcPr>
          <w:p w14:paraId="7B9523C4"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C5102" w:rsidRPr="00D7220B" w14:paraId="3DA9BDAE"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114E1C8" w14:textId="77777777" w:rsidR="00653A68" w:rsidRPr="00D7220B" w:rsidRDefault="00D5242A" w:rsidP="00D7220B">
            <w:pPr>
              <w:tabs>
                <w:tab w:val="left" w:pos="630"/>
              </w:tabs>
              <w:jc w:val="both"/>
              <w:rPr>
                <w:rFonts w:ascii="Arial" w:hAnsi="Arial" w:cs="Arial"/>
                <w:sz w:val="20"/>
                <w:szCs w:val="20"/>
              </w:rPr>
            </w:pPr>
            <w:r w:rsidRPr="00D7220B">
              <w:rPr>
                <w:rFonts w:ascii="Arial" w:hAnsi="Arial" w:cs="Arial"/>
                <w:sz w:val="20"/>
                <w:szCs w:val="20"/>
              </w:rPr>
              <w:t xml:space="preserve">Q9SC                                               </w:t>
            </w:r>
          </w:p>
        </w:tc>
        <w:tc>
          <w:tcPr>
            <w:tcW w:w="850" w:type="dxa"/>
          </w:tcPr>
          <w:p w14:paraId="1926567A"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0.782</w:t>
            </w:r>
          </w:p>
        </w:tc>
        <w:tc>
          <w:tcPr>
            <w:tcW w:w="1084" w:type="dxa"/>
          </w:tcPr>
          <w:p w14:paraId="6ED04F39"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59" w:type="dxa"/>
          </w:tcPr>
          <w:p w14:paraId="487C3F4C"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800" w:type="dxa"/>
          </w:tcPr>
          <w:p w14:paraId="619512F6"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476" w:type="dxa"/>
            <w:vMerge/>
          </w:tcPr>
          <w:p w14:paraId="2F0544BB"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992" w:type="dxa"/>
          </w:tcPr>
          <w:p w14:paraId="782A79D8"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 xml:space="preserve">Q9SC                                               </w:t>
            </w:r>
          </w:p>
        </w:tc>
        <w:tc>
          <w:tcPr>
            <w:tcW w:w="843" w:type="dxa"/>
          </w:tcPr>
          <w:p w14:paraId="1091515A"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0.773</w:t>
            </w:r>
          </w:p>
        </w:tc>
        <w:tc>
          <w:tcPr>
            <w:tcW w:w="950" w:type="dxa"/>
            <w:gridSpan w:val="2"/>
          </w:tcPr>
          <w:p w14:paraId="31EAA32B"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gridSpan w:val="2"/>
          </w:tcPr>
          <w:p w14:paraId="11826850"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39" w:type="dxa"/>
            <w:gridSpan w:val="2"/>
          </w:tcPr>
          <w:p w14:paraId="52E887AC"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C5102" w:rsidRPr="00D7220B" w14:paraId="732C2197" w14:textId="77777777" w:rsidTr="004D2BCA">
        <w:tc>
          <w:tcPr>
            <w:cnfStyle w:val="001000000000" w:firstRow="0" w:lastRow="0" w:firstColumn="1" w:lastColumn="0" w:oddVBand="0" w:evenVBand="0" w:oddHBand="0" w:evenHBand="0" w:firstRowFirstColumn="0" w:firstRowLastColumn="0" w:lastRowFirstColumn="0" w:lastRowLastColumn="0"/>
            <w:tcW w:w="988" w:type="dxa"/>
          </w:tcPr>
          <w:p w14:paraId="33DEA124" w14:textId="77777777" w:rsidR="00653A68" w:rsidRPr="00D7220B" w:rsidRDefault="00D5242A" w:rsidP="00D7220B">
            <w:pPr>
              <w:tabs>
                <w:tab w:val="left" w:pos="630"/>
              </w:tabs>
              <w:jc w:val="both"/>
              <w:rPr>
                <w:rFonts w:ascii="Arial" w:hAnsi="Arial" w:cs="Arial"/>
                <w:sz w:val="20"/>
                <w:szCs w:val="20"/>
              </w:rPr>
            </w:pPr>
            <w:r w:rsidRPr="00D7220B">
              <w:rPr>
                <w:rFonts w:ascii="Arial" w:hAnsi="Arial" w:cs="Arial"/>
                <w:sz w:val="20"/>
                <w:szCs w:val="20"/>
              </w:rPr>
              <w:t xml:space="preserve">Q10SC                                             </w:t>
            </w:r>
          </w:p>
        </w:tc>
        <w:tc>
          <w:tcPr>
            <w:tcW w:w="850" w:type="dxa"/>
          </w:tcPr>
          <w:p w14:paraId="7ED8AF40"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0.675</w:t>
            </w:r>
          </w:p>
        </w:tc>
        <w:tc>
          <w:tcPr>
            <w:tcW w:w="1084" w:type="dxa"/>
          </w:tcPr>
          <w:p w14:paraId="59C82DE6"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59" w:type="dxa"/>
          </w:tcPr>
          <w:p w14:paraId="6F95AFF0"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800" w:type="dxa"/>
          </w:tcPr>
          <w:p w14:paraId="5C8B6CCB"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476" w:type="dxa"/>
            <w:vMerge/>
          </w:tcPr>
          <w:p w14:paraId="6BD98315"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92" w:type="dxa"/>
          </w:tcPr>
          <w:p w14:paraId="1286A695"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 xml:space="preserve">Q10SC                                             </w:t>
            </w:r>
          </w:p>
        </w:tc>
        <w:tc>
          <w:tcPr>
            <w:tcW w:w="843" w:type="dxa"/>
          </w:tcPr>
          <w:p w14:paraId="52B14F9C"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0.562</w:t>
            </w:r>
          </w:p>
        </w:tc>
        <w:tc>
          <w:tcPr>
            <w:tcW w:w="950" w:type="dxa"/>
            <w:gridSpan w:val="2"/>
          </w:tcPr>
          <w:p w14:paraId="7747F753"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0" w:type="dxa"/>
            <w:gridSpan w:val="2"/>
          </w:tcPr>
          <w:p w14:paraId="1EE81B53"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39" w:type="dxa"/>
            <w:gridSpan w:val="2"/>
          </w:tcPr>
          <w:p w14:paraId="496CEF7B"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C5102" w:rsidRPr="00D7220B" w14:paraId="5FCCACC7"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F118ADF" w14:textId="77777777" w:rsidR="00653A68" w:rsidRPr="00D7220B" w:rsidRDefault="00D5242A" w:rsidP="00D7220B">
            <w:pPr>
              <w:tabs>
                <w:tab w:val="left" w:pos="630"/>
              </w:tabs>
              <w:jc w:val="both"/>
              <w:rPr>
                <w:rFonts w:ascii="Arial" w:hAnsi="Arial" w:cs="Arial"/>
                <w:sz w:val="20"/>
                <w:szCs w:val="20"/>
              </w:rPr>
            </w:pPr>
            <w:r w:rsidRPr="00D7220B">
              <w:rPr>
                <w:rFonts w:ascii="Arial" w:hAnsi="Arial" w:cs="Arial"/>
                <w:sz w:val="20"/>
                <w:szCs w:val="20"/>
              </w:rPr>
              <w:t xml:space="preserve">Q11SC                                             </w:t>
            </w:r>
          </w:p>
        </w:tc>
        <w:tc>
          <w:tcPr>
            <w:tcW w:w="850" w:type="dxa"/>
          </w:tcPr>
          <w:p w14:paraId="5F09984D"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0.759</w:t>
            </w:r>
          </w:p>
        </w:tc>
        <w:tc>
          <w:tcPr>
            <w:tcW w:w="1084" w:type="dxa"/>
          </w:tcPr>
          <w:p w14:paraId="0E24B597"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59" w:type="dxa"/>
          </w:tcPr>
          <w:p w14:paraId="31571FBF"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800" w:type="dxa"/>
          </w:tcPr>
          <w:p w14:paraId="7669BD92"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476" w:type="dxa"/>
            <w:vMerge/>
          </w:tcPr>
          <w:p w14:paraId="519A8C6A"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992" w:type="dxa"/>
          </w:tcPr>
          <w:p w14:paraId="31099A72"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 xml:space="preserve">Q11SC                                             </w:t>
            </w:r>
          </w:p>
        </w:tc>
        <w:tc>
          <w:tcPr>
            <w:tcW w:w="843" w:type="dxa"/>
          </w:tcPr>
          <w:p w14:paraId="5876DC62"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0.681</w:t>
            </w:r>
          </w:p>
        </w:tc>
        <w:tc>
          <w:tcPr>
            <w:tcW w:w="950" w:type="dxa"/>
            <w:gridSpan w:val="2"/>
          </w:tcPr>
          <w:p w14:paraId="62F174B1"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gridSpan w:val="2"/>
          </w:tcPr>
          <w:p w14:paraId="64168304"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39" w:type="dxa"/>
            <w:gridSpan w:val="2"/>
          </w:tcPr>
          <w:p w14:paraId="4EAD0CB0"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C5102" w:rsidRPr="00D7220B" w14:paraId="09D56BB4" w14:textId="77777777" w:rsidTr="004D2BCA">
        <w:tc>
          <w:tcPr>
            <w:cnfStyle w:val="001000000000" w:firstRow="0" w:lastRow="0" w:firstColumn="1" w:lastColumn="0" w:oddVBand="0" w:evenVBand="0" w:oddHBand="0" w:evenHBand="0" w:firstRowFirstColumn="0" w:firstRowLastColumn="0" w:lastRowFirstColumn="0" w:lastRowLastColumn="0"/>
            <w:tcW w:w="1838" w:type="dxa"/>
            <w:gridSpan w:val="2"/>
          </w:tcPr>
          <w:p w14:paraId="4A0D3D43" w14:textId="77777777" w:rsidR="00653A68" w:rsidRPr="00D7220B" w:rsidRDefault="00D5242A" w:rsidP="00D7220B">
            <w:pPr>
              <w:tabs>
                <w:tab w:val="left" w:pos="630"/>
              </w:tabs>
              <w:jc w:val="both"/>
              <w:rPr>
                <w:rFonts w:ascii="Arial" w:hAnsi="Arial" w:cs="Arial"/>
                <w:b w:val="0"/>
                <w:sz w:val="20"/>
                <w:szCs w:val="20"/>
              </w:rPr>
            </w:pPr>
            <w:r w:rsidRPr="00D7220B">
              <w:rPr>
                <w:rFonts w:ascii="Arial" w:hAnsi="Arial" w:cs="Arial"/>
                <w:b w:val="0"/>
                <w:sz w:val="20"/>
                <w:szCs w:val="20"/>
              </w:rPr>
              <w:t>School Climate</w:t>
            </w:r>
          </w:p>
        </w:tc>
        <w:tc>
          <w:tcPr>
            <w:tcW w:w="1084" w:type="dxa"/>
          </w:tcPr>
          <w:p w14:paraId="78F40D8D"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0.769</w:t>
            </w:r>
          </w:p>
        </w:tc>
        <w:tc>
          <w:tcPr>
            <w:tcW w:w="759" w:type="dxa"/>
          </w:tcPr>
          <w:p w14:paraId="45B8CEBC"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0.854</w:t>
            </w:r>
          </w:p>
        </w:tc>
        <w:tc>
          <w:tcPr>
            <w:tcW w:w="800" w:type="dxa"/>
          </w:tcPr>
          <w:p w14:paraId="5DDFED85"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0.595</w:t>
            </w:r>
          </w:p>
        </w:tc>
        <w:tc>
          <w:tcPr>
            <w:tcW w:w="476" w:type="dxa"/>
            <w:vMerge/>
          </w:tcPr>
          <w:p w14:paraId="72A7DE61"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35" w:type="dxa"/>
            <w:gridSpan w:val="2"/>
          </w:tcPr>
          <w:p w14:paraId="2D0B31FD"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School Climate</w:t>
            </w:r>
          </w:p>
        </w:tc>
        <w:tc>
          <w:tcPr>
            <w:tcW w:w="950" w:type="dxa"/>
            <w:gridSpan w:val="2"/>
          </w:tcPr>
          <w:p w14:paraId="21898F67"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0.679</w:t>
            </w:r>
          </w:p>
        </w:tc>
        <w:tc>
          <w:tcPr>
            <w:tcW w:w="850" w:type="dxa"/>
            <w:gridSpan w:val="2"/>
          </w:tcPr>
          <w:p w14:paraId="354F29C0"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0.807</w:t>
            </w:r>
          </w:p>
        </w:tc>
        <w:tc>
          <w:tcPr>
            <w:tcW w:w="739" w:type="dxa"/>
            <w:gridSpan w:val="2"/>
          </w:tcPr>
          <w:p w14:paraId="39018198"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0.512</w:t>
            </w:r>
          </w:p>
        </w:tc>
      </w:tr>
      <w:tr w:rsidR="005C5102" w:rsidRPr="00D7220B" w14:paraId="7BA96D33"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B9196CE" w14:textId="77777777" w:rsidR="00653A68" w:rsidRPr="00D7220B" w:rsidRDefault="00D5242A" w:rsidP="00D7220B">
            <w:pPr>
              <w:tabs>
                <w:tab w:val="left" w:pos="630"/>
              </w:tabs>
              <w:jc w:val="both"/>
              <w:rPr>
                <w:rFonts w:ascii="Arial" w:hAnsi="Arial" w:cs="Arial"/>
                <w:sz w:val="20"/>
                <w:szCs w:val="20"/>
                <w:lang w:val="en-GB"/>
              </w:rPr>
            </w:pPr>
            <w:r w:rsidRPr="00D7220B">
              <w:rPr>
                <w:rFonts w:ascii="Arial" w:hAnsi="Arial" w:cs="Arial"/>
                <w:sz w:val="20"/>
                <w:szCs w:val="20"/>
                <w:lang w:val="en-GB"/>
              </w:rPr>
              <w:t>Q18SCL</w:t>
            </w:r>
          </w:p>
        </w:tc>
        <w:tc>
          <w:tcPr>
            <w:tcW w:w="850" w:type="dxa"/>
          </w:tcPr>
          <w:p w14:paraId="7B53426F"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0.817</w:t>
            </w:r>
          </w:p>
        </w:tc>
        <w:tc>
          <w:tcPr>
            <w:tcW w:w="1084" w:type="dxa"/>
          </w:tcPr>
          <w:p w14:paraId="4428A837"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9" w:type="dxa"/>
          </w:tcPr>
          <w:p w14:paraId="66CA249D"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00" w:type="dxa"/>
          </w:tcPr>
          <w:p w14:paraId="73EB84AE"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76" w:type="dxa"/>
            <w:vMerge/>
          </w:tcPr>
          <w:p w14:paraId="2D4E0BC3"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2" w:type="dxa"/>
          </w:tcPr>
          <w:p w14:paraId="2625F7C1"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D7220B">
              <w:rPr>
                <w:rFonts w:ascii="Arial" w:hAnsi="Arial" w:cs="Arial"/>
                <w:sz w:val="20"/>
                <w:szCs w:val="20"/>
                <w:lang w:val="en-GB"/>
              </w:rPr>
              <w:t>Q18SCL</w:t>
            </w:r>
          </w:p>
        </w:tc>
        <w:tc>
          <w:tcPr>
            <w:tcW w:w="843" w:type="dxa"/>
          </w:tcPr>
          <w:p w14:paraId="199E7EA2"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0.647</w:t>
            </w:r>
          </w:p>
        </w:tc>
        <w:tc>
          <w:tcPr>
            <w:tcW w:w="950" w:type="dxa"/>
            <w:gridSpan w:val="2"/>
          </w:tcPr>
          <w:p w14:paraId="706CC652"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gridSpan w:val="2"/>
          </w:tcPr>
          <w:p w14:paraId="18011DD8"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39" w:type="dxa"/>
            <w:gridSpan w:val="2"/>
          </w:tcPr>
          <w:p w14:paraId="7DE2AA3A"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C5102" w:rsidRPr="00D7220B" w14:paraId="27CC5D78" w14:textId="77777777" w:rsidTr="004D2BCA">
        <w:tc>
          <w:tcPr>
            <w:cnfStyle w:val="001000000000" w:firstRow="0" w:lastRow="0" w:firstColumn="1" w:lastColumn="0" w:oddVBand="0" w:evenVBand="0" w:oddHBand="0" w:evenHBand="0" w:firstRowFirstColumn="0" w:firstRowLastColumn="0" w:lastRowFirstColumn="0" w:lastRowLastColumn="0"/>
            <w:tcW w:w="988" w:type="dxa"/>
          </w:tcPr>
          <w:p w14:paraId="2DCF40BA" w14:textId="77777777" w:rsidR="00653A68" w:rsidRPr="00D7220B" w:rsidRDefault="00D5242A" w:rsidP="00D7220B">
            <w:pPr>
              <w:tabs>
                <w:tab w:val="left" w:pos="630"/>
              </w:tabs>
              <w:jc w:val="both"/>
              <w:rPr>
                <w:rFonts w:ascii="Arial" w:hAnsi="Arial" w:cs="Arial"/>
                <w:sz w:val="20"/>
                <w:szCs w:val="20"/>
                <w:lang w:val="en-GB"/>
              </w:rPr>
            </w:pPr>
            <w:r w:rsidRPr="00D7220B">
              <w:rPr>
                <w:rFonts w:ascii="Arial" w:hAnsi="Arial" w:cs="Arial"/>
                <w:sz w:val="20"/>
                <w:szCs w:val="20"/>
                <w:lang w:val="en-GB"/>
              </w:rPr>
              <w:t>Q19SCL</w:t>
            </w:r>
          </w:p>
        </w:tc>
        <w:tc>
          <w:tcPr>
            <w:tcW w:w="850" w:type="dxa"/>
          </w:tcPr>
          <w:p w14:paraId="02F2FB83"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0.832</w:t>
            </w:r>
          </w:p>
        </w:tc>
        <w:tc>
          <w:tcPr>
            <w:tcW w:w="1084" w:type="dxa"/>
          </w:tcPr>
          <w:p w14:paraId="3EA77F32"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59" w:type="dxa"/>
          </w:tcPr>
          <w:p w14:paraId="3AC77A42"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800" w:type="dxa"/>
          </w:tcPr>
          <w:p w14:paraId="11A9FF56"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476" w:type="dxa"/>
            <w:vMerge/>
          </w:tcPr>
          <w:p w14:paraId="41B5330D"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92" w:type="dxa"/>
          </w:tcPr>
          <w:p w14:paraId="5F744506"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7220B">
              <w:rPr>
                <w:rFonts w:ascii="Arial" w:hAnsi="Arial" w:cs="Arial"/>
                <w:sz w:val="20"/>
                <w:szCs w:val="20"/>
                <w:lang w:val="en-GB"/>
              </w:rPr>
              <w:t>Q19SCL</w:t>
            </w:r>
          </w:p>
        </w:tc>
        <w:tc>
          <w:tcPr>
            <w:tcW w:w="843" w:type="dxa"/>
          </w:tcPr>
          <w:p w14:paraId="0A88E61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0.745</w:t>
            </w:r>
          </w:p>
        </w:tc>
        <w:tc>
          <w:tcPr>
            <w:tcW w:w="950" w:type="dxa"/>
            <w:gridSpan w:val="2"/>
          </w:tcPr>
          <w:p w14:paraId="40EF3A26"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0" w:type="dxa"/>
            <w:gridSpan w:val="2"/>
          </w:tcPr>
          <w:p w14:paraId="34969614"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39" w:type="dxa"/>
            <w:gridSpan w:val="2"/>
          </w:tcPr>
          <w:p w14:paraId="100841AE"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C5102" w:rsidRPr="00D7220B" w14:paraId="25C413A6"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62A9357" w14:textId="77777777" w:rsidR="00653A68" w:rsidRPr="00D7220B" w:rsidRDefault="00D5242A" w:rsidP="00D7220B">
            <w:pPr>
              <w:tabs>
                <w:tab w:val="left" w:pos="630"/>
              </w:tabs>
              <w:jc w:val="both"/>
              <w:rPr>
                <w:rFonts w:ascii="Arial" w:hAnsi="Arial" w:cs="Arial"/>
                <w:sz w:val="20"/>
                <w:szCs w:val="20"/>
                <w:lang w:val="en-GB"/>
              </w:rPr>
            </w:pPr>
            <w:r w:rsidRPr="00D7220B">
              <w:rPr>
                <w:rFonts w:ascii="Arial" w:hAnsi="Arial" w:cs="Arial"/>
                <w:sz w:val="20"/>
                <w:szCs w:val="20"/>
                <w:lang w:val="en-GB"/>
              </w:rPr>
              <w:t>Q20SCL</w:t>
            </w:r>
          </w:p>
        </w:tc>
        <w:tc>
          <w:tcPr>
            <w:tcW w:w="850" w:type="dxa"/>
          </w:tcPr>
          <w:p w14:paraId="0A636D24"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0.774</w:t>
            </w:r>
          </w:p>
        </w:tc>
        <w:tc>
          <w:tcPr>
            <w:tcW w:w="1084" w:type="dxa"/>
          </w:tcPr>
          <w:p w14:paraId="235EAD36"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59" w:type="dxa"/>
          </w:tcPr>
          <w:p w14:paraId="0227ADC3"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800" w:type="dxa"/>
          </w:tcPr>
          <w:p w14:paraId="4741CDB5"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476" w:type="dxa"/>
            <w:vMerge/>
          </w:tcPr>
          <w:p w14:paraId="427D779E"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992" w:type="dxa"/>
          </w:tcPr>
          <w:p w14:paraId="6262B13A"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D7220B">
              <w:rPr>
                <w:rFonts w:ascii="Arial" w:hAnsi="Arial" w:cs="Arial"/>
                <w:sz w:val="20"/>
                <w:szCs w:val="20"/>
                <w:lang w:val="en-GB"/>
              </w:rPr>
              <w:t>Q20SCL</w:t>
            </w:r>
          </w:p>
        </w:tc>
        <w:tc>
          <w:tcPr>
            <w:tcW w:w="843" w:type="dxa"/>
          </w:tcPr>
          <w:p w14:paraId="7F35ED2F"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0.761</w:t>
            </w:r>
          </w:p>
        </w:tc>
        <w:tc>
          <w:tcPr>
            <w:tcW w:w="950" w:type="dxa"/>
            <w:gridSpan w:val="2"/>
          </w:tcPr>
          <w:p w14:paraId="52D93296"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gridSpan w:val="2"/>
          </w:tcPr>
          <w:p w14:paraId="717690E9"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39" w:type="dxa"/>
            <w:gridSpan w:val="2"/>
          </w:tcPr>
          <w:p w14:paraId="6CA2347A"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C5102" w:rsidRPr="00D7220B" w14:paraId="67C2A3BC" w14:textId="77777777" w:rsidTr="004D2BCA">
        <w:tc>
          <w:tcPr>
            <w:cnfStyle w:val="001000000000" w:firstRow="0" w:lastRow="0" w:firstColumn="1" w:lastColumn="0" w:oddVBand="0" w:evenVBand="0" w:oddHBand="0" w:evenHBand="0" w:firstRowFirstColumn="0" w:firstRowLastColumn="0" w:lastRowFirstColumn="0" w:lastRowLastColumn="0"/>
            <w:tcW w:w="988" w:type="dxa"/>
          </w:tcPr>
          <w:p w14:paraId="6E328D5C" w14:textId="77777777" w:rsidR="00653A68" w:rsidRPr="00D7220B" w:rsidRDefault="00D5242A" w:rsidP="00D7220B">
            <w:pPr>
              <w:tabs>
                <w:tab w:val="left" w:pos="630"/>
              </w:tabs>
              <w:jc w:val="both"/>
              <w:rPr>
                <w:rFonts w:ascii="Arial" w:hAnsi="Arial" w:cs="Arial"/>
                <w:sz w:val="20"/>
                <w:szCs w:val="20"/>
                <w:lang w:val="en-GB"/>
              </w:rPr>
            </w:pPr>
            <w:r w:rsidRPr="00D7220B">
              <w:rPr>
                <w:rFonts w:ascii="Arial" w:hAnsi="Arial" w:cs="Arial"/>
                <w:sz w:val="20"/>
                <w:szCs w:val="20"/>
                <w:lang w:val="en-GB"/>
              </w:rPr>
              <w:t>Q21SCL</w:t>
            </w:r>
          </w:p>
        </w:tc>
        <w:tc>
          <w:tcPr>
            <w:tcW w:w="850" w:type="dxa"/>
          </w:tcPr>
          <w:p w14:paraId="2465FC42"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0.650</w:t>
            </w:r>
          </w:p>
        </w:tc>
        <w:tc>
          <w:tcPr>
            <w:tcW w:w="1084" w:type="dxa"/>
          </w:tcPr>
          <w:p w14:paraId="778B30F0"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59" w:type="dxa"/>
          </w:tcPr>
          <w:p w14:paraId="31E15389"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800" w:type="dxa"/>
          </w:tcPr>
          <w:p w14:paraId="2C4E7B6C"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476" w:type="dxa"/>
            <w:vMerge/>
          </w:tcPr>
          <w:p w14:paraId="59E1B11B"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92" w:type="dxa"/>
          </w:tcPr>
          <w:p w14:paraId="42542E9A"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7220B">
              <w:rPr>
                <w:rFonts w:ascii="Arial" w:hAnsi="Arial" w:cs="Arial"/>
                <w:sz w:val="20"/>
                <w:szCs w:val="20"/>
                <w:lang w:val="en-GB"/>
              </w:rPr>
              <w:t>Q21SCL</w:t>
            </w:r>
          </w:p>
        </w:tc>
        <w:tc>
          <w:tcPr>
            <w:tcW w:w="843" w:type="dxa"/>
          </w:tcPr>
          <w:p w14:paraId="328CA2F6"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0.704</w:t>
            </w:r>
          </w:p>
        </w:tc>
        <w:tc>
          <w:tcPr>
            <w:tcW w:w="950" w:type="dxa"/>
            <w:gridSpan w:val="2"/>
          </w:tcPr>
          <w:p w14:paraId="5854891D"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0" w:type="dxa"/>
            <w:gridSpan w:val="2"/>
          </w:tcPr>
          <w:p w14:paraId="3E1CFDE5"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39" w:type="dxa"/>
            <w:gridSpan w:val="2"/>
          </w:tcPr>
          <w:p w14:paraId="7945044B"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C5102" w:rsidRPr="00D7220B" w14:paraId="4C1FFC07"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gridSpan w:val="2"/>
          </w:tcPr>
          <w:p w14:paraId="3110521E" w14:textId="77777777" w:rsidR="00653A68" w:rsidRPr="00D7220B" w:rsidRDefault="00D5242A" w:rsidP="00D7220B">
            <w:pPr>
              <w:tabs>
                <w:tab w:val="left" w:pos="630"/>
              </w:tabs>
              <w:jc w:val="both"/>
              <w:rPr>
                <w:rFonts w:ascii="Arial" w:hAnsi="Arial" w:cs="Arial"/>
                <w:b w:val="0"/>
                <w:sz w:val="20"/>
                <w:szCs w:val="20"/>
              </w:rPr>
            </w:pPr>
            <w:r w:rsidRPr="00D7220B">
              <w:rPr>
                <w:rFonts w:ascii="Arial" w:hAnsi="Arial" w:cs="Arial"/>
                <w:b w:val="0"/>
                <w:sz w:val="20"/>
                <w:szCs w:val="20"/>
              </w:rPr>
              <w:t>Learner Engagement</w:t>
            </w:r>
          </w:p>
        </w:tc>
        <w:tc>
          <w:tcPr>
            <w:tcW w:w="1084" w:type="dxa"/>
          </w:tcPr>
          <w:p w14:paraId="5A2B152D"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0.709</w:t>
            </w:r>
          </w:p>
        </w:tc>
        <w:tc>
          <w:tcPr>
            <w:tcW w:w="759" w:type="dxa"/>
          </w:tcPr>
          <w:p w14:paraId="41D835BD" w14:textId="77777777" w:rsidR="00653A68" w:rsidRPr="00D7220B" w:rsidRDefault="00D5242A" w:rsidP="00D7220B">
            <w:pPr>
              <w:tabs>
                <w:tab w:val="left" w:pos="403"/>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0.810</w:t>
            </w:r>
          </w:p>
        </w:tc>
        <w:tc>
          <w:tcPr>
            <w:tcW w:w="800" w:type="dxa"/>
          </w:tcPr>
          <w:p w14:paraId="1E927E10"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0.564</w:t>
            </w:r>
          </w:p>
        </w:tc>
        <w:tc>
          <w:tcPr>
            <w:tcW w:w="476" w:type="dxa"/>
            <w:vMerge/>
          </w:tcPr>
          <w:p w14:paraId="74FADC97"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35" w:type="dxa"/>
            <w:gridSpan w:val="2"/>
          </w:tcPr>
          <w:p w14:paraId="56ED7036"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Learner Engagement</w:t>
            </w:r>
          </w:p>
        </w:tc>
        <w:tc>
          <w:tcPr>
            <w:tcW w:w="950" w:type="dxa"/>
            <w:gridSpan w:val="2"/>
          </w:tcPr>
          <w:p w14:paraId="6DF69C0F"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0.738</w:t>
            </w:r>
          </w:p>
        </w:tc>
        <w:tc>
          <w:tcPr>
            <w:tcW w:w="850" w:type="dxa"/>
            <w:gridSpan w:val="2"/>
          </w:tcPr>
          <w:p w14:paraId="28CDE07D"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0.855</w:t>
            </w:r>
          </w:p>
        </w:tc>
        <w:tc>
          <w:tcPr>
            <w:tcW w:w="739" w:type="dxa"/>
            <w:gridSpan w:val="2"/>
          </w:tcPr>
          <w:p w14:paraId="7D29EAC1"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0.542</w:t>
            </w:r>
          </w:p>
        </w:tc>
      </w:tr>
      <w:tr w:rsidR="005C5102" w:rsidRPr="00D7220B" w14:paraId="19578AB5" w14:textId="77777777" w:rsidTr="004D2BCA">
        <w:tc>
          <w:tcPr>
            <w:cnfStyle w:val="001000000000" w:firstRow="0" w:lastRow="0" w:firstColumn="1" w:lastColumn="0" w:oddVBand="0" w:evenVBand="0" w:oddHBand="0" w:evenHBand="0" w:firstRowFirstColumn="0" w:firstRowLastColumn="0" w:lastRowFirstColumn="0" w:lastRowLastColumn="0"/>
            <w:tcW w:w="988" w:type="dxa"/>
          </w:tcPr>
          <w:p w14:paraId="02147396" w14:textId="77777777" w:rsidR="00653A68" w:rsidRPr="00D7220B" w:rsidRDefault="00D5242A" w:rsidP="00D7220B">
            <w:pPr>
              <w:tabs>
                <w:tab w:val="left" w:pos="630"/>
              </w:tabs>
              <w:jc w:val="both"/>
              <w:rPr>
                <w:rFonts w:ascii="Arial" w:hAnsi="Arial" w:cs="Arial"/>
                <w:sz w:val="20"/>
                <w:szCs w:val="20"/>
                <w:lang w:val="en-GB"/>
              </w:rPr>
            </w:pPr>
            <w:r w:rsidRPr="00D7220B">
              <w:rPr>
                <w:rFonts w:ascii="Arial" w:hAnsi="Arial" w:cs="Arial"/>
                <w:sz w:val="20"/>
                <w:szCs w:val="20"/>
                <w:lang w:val="en-GB"/>
              </w:rPr>
              <w:t>Q22LA</w:t>
            </w:r>
          </w:p>
        </w:tc>
        <w:tc>
          <w:tcPr>
            <w:tcW w:w="850" w:type="dxa"/>
          </w:tcPr>
          <w:p w14:paraId="65A2E93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0.696</w:t>
            </w:r>
          </w:p>
        </w:tc>
        <w:tc>
          <w:tcPr>
            <w:tcW w:w="1084" w:type="dxa"/>
          </w:tcPr>
          <w:p w14:paraId="35D95413"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9" w:type="dxa"/>
          </w:tcPr>
          <w:p w14:paraId="6D7B21C2" w14:textId="77777777" w:rsidR="00653A68" w:rsidRPr="00D7220B" w:rsidRDefault="00653A68" w:rsidP="00D7220B">
            <w:pPr>
              <w:tabs>
                <w:tab w:val="left" w:pos="403"/>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00" w:type="dxa"/>
          </w:tcPr>
          <w:p w14:paraId="27CB0CE9"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76" w:type="dxa"/>
            <w:vMerge/>
          </w:tcPr>
          <w:p w14:paraId="33BAFCD2"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2" w:type="dxa"/>
          </w:tcPr>
          <w:p w14:paraId="2781C448"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7220B">
              <w:rPr>
                <w:rFonts w:ascii="Arial" w:hAnsi="Arial" w:cs="Arial"/>
                <w:sz w:val="20"/>
                <w:szCs w:val="20"/>
                <w:lang w:val="en-GB"/>
              </w:rPr>
              <w:t>Q22LA</w:t>
            </w:r>
          </w:p>
        </w:tc>
        <w:tc>
          <w:tcPr>
            <w:tcW w:w="843" w:type="dxa"/>
          </w:tcPr>
          <w:p w14:paraId="3853B647"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0.715</w:t>
            </w:r>
          </w:p>
        </w:tc>
        <w:tc>
          <w:tcPr>
            <w:tcW w:w="950" w:type="dxa"/>
            <w:gridSpan w:val="2"/>
          </w:tcPr>
          <w:p w14:paraId="7E849D80"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0" w:type="dxa"/>
            <w:gridSpan w:val="2"/>
          </w:tcPr>
          <w:p w14:paraId="409B444A"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39" w:type="dxa"/>
            <w:gridSpan w:val="2"/>
          </w:tcPr>
          <w:p w14:paraId="1F97B06A"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C5102" w:rsidRPr="00D7220B" w14:paraId="0275C8B0"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E70FE12" w14:textId="77777777" w:rsidR="00653A68" w:rsidRPr="00D7220B" w:rsidRDefault="00D5242A" w:rsidP="00D7220B">
            <w:pPr>
              <w:tabs>
                <w:tab w:val="left" w:pos="630"/>
              </w:tabs>
              <w:jc w:val="both"/>
              <w:rPr>
                <w:rFonts w:ascii="Arial" w:hAnsi="Arial" w:cs="Arial"/>
                <w:sz w:val="20"/>
                <w:szCs w:val="20"/>
                <w:lang w:val="en-GB"/>
              </w:rPr>
            </w:pPr>
            <w:r w:rsidRPr="00D7220B">
              <w:rPr>
                <w:rFonts w:ascii="Arial" w:hAnsi="Arial" w:cs="Arial"/>
                <w:sz w:val="20"/>
                <w:szCs w:val="20"/>
                <w:lang w:val="en-GB"/>
              </w:rPr>
              <w:t>Q23LA</w:t>
            </w:r>
          </w:p>
        </w:tc>
        <w:tc>
          <w:tcPr>
            <w:tcW w:w="850" w:type="dxa"/>
          </w:tcPr>
          <w:p w14:paraId="5FCFDAD8"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0.511</w:t>
            </w:r>
          </w:p>
        </w:tc>
        <w:tc>
          <w:tcPr>
            <w:tcW w:w="1084" w:type="dxa"/>
          </w:tcPr>
          <w:p w14:paraId="440B764C"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59" w:type="dxa"/>
          </w:tcPr>
          <w:p w14:paraId="06C615AF"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800" w:type="dxa"/>
          </w:tcPr>
          <w:p w14:paraId="783A8667"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476" w:type="dxa"/>
            <w:vMerge/>
          </w:tcPr>
          <w:p w14:paraId="78432795"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992" w:type="dxa"/>
          </w:tcPr>
          <w:p w14:paraId="43527D3C"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D7220B">
              <w:rPr>
                <w:rFonts w:ascii="Arial" w:hAnsi="Arial" w:cs="Arial"/>
                <w:sz w:val="20"/>
                <w:szCs w:val="20"/>
                <w:lang w:val="en-GB"/>
              </w:rPr>
              <w:t>Q23LA</w:t>
            </w:r>
          </w:p>
        </w:tc>
        <w:tc>
          <w:tcPr>
            <w:tcW w:w="843" w:type="dxa"/>
          </w:tcPr>
          <w:p w14:paraId="4E9B353F"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0.755</w:t>
            </w:r>
          </w:p>
        </w:tc>
        <w:tc>
          <w:tcPr>
            <w:tcW w:w="950" w:type="dxa"/>
            <w:gridSpan w:val="2"/>
          </w:tcPr>
          <w:p w14:paraId="3356928C"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gridSpan w:val="2"/>
          </w:tcPr>
          <w:p w14:paraId="1B40C47A"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39" w:type="dxa"/>
            <w:gridSpan w:val="2"/>
          </w:tcPr>
          <w:p w14:paraId="1EBE37F7"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C5102" w:rsidRPr="00D7220B" w14:paraId="2BF689FE" w14:textId="77777777" w:rsidTr="004D2BCA">
        <w:tc>
          <w:tcPr>
            <w:cnfStyle w:val="001000000000" w:firstRow="0" w:lastRow="0" w:firstColumn="1" w:lastColumn="0" w:oddVBand="0" w:evenVBand="0" w:oddHBand="0" w:evenHBand="0" w:firstRowFirstColumn="0" w:firstRowLastColumn="0" w:lastRowFirstColumn="0" w:lastRowLastColumn="0"/>
            <w:tcW w:w="988" w:type="dxa"/>
          </w:tcPr>
          <w:p w14:paraId="7BA0C620" w14:textId="77777777" w:rsidR="00653A68" w:rsidRPr="00D7220B" w:rsidRDefault="00D5242A" w:rsidP="00D7220B">
            <w:pPr>
              <w:tabs>
                <w:tab w:val="left" w:pos="630"/>
              </w:tabs>
              <w:jc w:val="both"/>
              <w:rPr>
                <w:rFonts w:ascii="Arial" w:hAnsi="Arial" w:cs="Arial"/>
                <w:sz w:val="20"/>
                <w:szCs w:val="20"/>
                <w:lang w:val="en-GB"/>
              </w:rPr>
            </w:pPr>
            <w:r w:rsidRPr="00D7220B">
              <w:rPr>
                <w:rFonts w:ascii="Arial" w:hAnsi="Arial" w:cs="Arial"/>
                <w:sz w:val="20"/>
                <w:szCs w:val="20"/>
                <w:lang w:val="en-GB"/>
              </w:rPr>
              <w:t>Q24LA</w:t>
            </w:r>
          </w:p>
        </w:tc>
        <w:tc>
          <w:tcPr>
            <w:tcW w:w="850" w:type="dxa"/>
          </w:tcPr>
          <w:p w14:paraId="61DDB0B0"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0.722</w:t>
            </w:r>
          </w:p>
        </w:tc>
        <w:tc>
          <w:tcPr>
            <w:tcW w:w="1084" w:type="dxa"/>
          </w:tcPr>
          <w:p w14:paraId="10D03279"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59" w:type="dxa"/>
          </w:tcPr>
          <w:p w14:paraId="1E2CF9F7"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800" w:type="dxa"/>
          </w:tcPr>
          <w:p w14:paraId="3E7E4070"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476" w:type="dxa"/>
            <w:vMerge/>
          </w:tcPr>
          <w:p w14:paraId="0C7ADC03"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92" w:type="dxa"/>
          </w:tcPr>
          <w:p w14:paraId="605711F7"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7220B">
              <w:rPr>
                <w:rFonts w:ascii="Arial" w:hAnsi="Arial" w:cs="Arial"/>
                <w:sz w:val="20"/>
                <w:szCs w:val="20"/>
                <w:lang w:val="en-GB"/>
              </w:rPr>
              <w:t>Q24LA</w:t>
            </w:r>
          </w:p>
        </w:tc>
        <w:tc>
          <w:tcPr>
            <w:tcW w:w="843" w:type="dxa"/>
          </w:tcPr>
          <w:p w14:paraId="07591763"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0.750</w:t>
            </w:r>
          </w:p>
        </w:tc>
        <w:tc>
          <w:tcPr>
            <w:tcW w:w="950" w:type="dxa"/>
            <w:gridSpan w:val="2"/>
          </w:tcPr>
          <w:p w14:paraId="7FE2DE98"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0" w:type="dxa"/>
            <w:gridSpan w:val="2"/>
          </w:tcPr>
          <w:p w14:paraId="3D825ECF"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39" w:type="dxa"/>
            <w:gridSpan w:val="2"/>
          </w:tcPr>
          <w:p w14:paraId="4D7C1320"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C5102" w:rsidRPr="00D7220B" w14:paraId="05854DEA"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C18A72C" w14:textId="77777777" w:rsidR="00653A68" w:rsidRPr="00D7220B" w:rsidRDefault="00D5242A" w:rsidP="00D7220B">
            <w:pPr>
              <w:tabs>
                <w:tab w:val="left" w:pos="630"/>
              </w:tabs>
              <w:jc w:val="both"/>
              <w:rPr>
                <w:rFonts w:ascii="Arial" w:hAnsi="Arial" w:cs="Arial"/>
                <w:sz w:val="20"/>
                <w:szCs w:val="20"/>
                <w:lang w:val="en-GB"/>
              </w:rPr>
            </w:pPr>
            <w:r w:rsidRPr="00D7220B">
              <w:rPr>
                <w:rFonts w:ascii="Arial" w:hAnsi="Arial" w:cs="Arial"/>
                <w:sz w:val="20"/>
                <w:szCs w:val="20"/>
                <w:lang w:val="en-GB"/>
              </w:rPr>
              <w:t>Q25LA</w:t>
            </w:r>
          </w:p>
        </w:tc>
        <w:tc>
          <w:tcPr>
            <w:tcW w:w="850" w:type="dxa"/>
          </w:tcPr>
          <w:p w14:paraId="48D20AEA"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0.748</w:t>
            </w:r>
          </w:p>
        </w:tc>
        <w:tc>
          <w:tcPr>
            <w:tcW w:w="1084" w:type="dxa"/>
          </w:tcPr>
          <w:p w14:paraId="3CF99B3C"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59" w:type="dxa"/>
          </w:tcPr>
          <w:p w14:paraId="4EC519AC"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800" w:type="dxa"/>
          </w:tcPr>
          <w:p w14:paraId="7A76C342"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476" w:type="dxa"/>
            <w:vMerge/>
          </w:tcPr>
          <w:p w14:paraId="392DAAC5"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992" w:type="dxa"/>
          </w:tcPr>
          <w:p w14:paraId="27FD21B5"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D7220B">
              <w:rPr>
                <w:rFonts w:ascii="Arial" w:hAnsi="Arial" w:cs="Arial"/>
                <w:sz w:val="20"/>
                <w:szCs w:val="20"/>
                <w:lang w:val="en-GB"/>
              </w:rPr>
              <w:t>Q225LA</w:t>
            </w:r>
          </w:p>
        </w:tc>
        <w:tc>
          <w:tcPr>
            <w:tcW w:w="843" w:type="dxa"/>
          </w:tcPr>
          <w:p w14:paraId="3502E3F0"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0.697</w:t>
            </w:r>
          </w:p>
        </w:tc>
        <w:tc>
          <w:tcPr>
            <w:tcW w:w="950" w:type="dxa"/>
            <w:gridSpan w:val="2"/>
          </w:tcPr>
          <w:p w14:paraId="4AEF3718"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gridSpan w:val="2"/>
          </w:tcPr>
          <w:p w14:paraId="56216371"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39" w:type="dxa"/>
            <w:gridSpan w:val="2"/>
          </w:tcPr>
          <w:p w14:paraId="59F0CA14"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C5102" w:rsidRPr="00D7220B" w14:paraId="6760C9E5" w14:textId="77777777" w:rsidTr="004D2BCA">
        <w:tc>
          <w:tcPr>
            <w:cnfStyle w:val="001000000000" w:firstRow="0" w:lastRow="0" w:firstColumn="1" w:lastColumn="0" w:oddVBand="0" w:evenVBand="0" w:oddHBand="0" w:evenHBand="0" w:firstRowFirstColumn="0" w:firstRowLastColumn="0" w:lastRowFirstColumn="0" w:lastRowLastColumn="0"/>
            <w:tcW w:w="988" w:type="dxa"/>
          </w:tcPr>
          <w:p w14:paraId="660ACC05" w14:textId="77777777" w:rsidR="00653A68" w:rsidRPr="00D7220B" w:rsidRDefault="00D5242A" w:rsidP="00D7220B">
            <w:pPr>
              <w:tabs>
                <w:tab w:val="left" w:pos="630"/>
              </w:tabs>
              <w:jc w:val="both"/>
              <w:rPr>
                <w:rFonts w:ascii="Arial" w:hAnsi="Arial" w:cs="Arial"/>
                <w:sz w:val="20"/>
                <w:szCs w:val="20"/>
                <w:lang w:val="en-GB"/>
              </w:rPr>
            </w:pPr>
            <w:r w:rsidRPr="00D7220B">
              <w:rPr>
                <w:rFonts w:ascii="Arial" w:hAnsi="Arial" w:cs="Arial"/>
                <w:sz w:val="20"/>
                <w:szCs w:val="20"/>
                <w:lang w:val="en-GB"/>
              </w:rPr>
              <w:t>Q26LA</w:t>
            </w:r>
          </w:p>
        </w:tc>
        <w:tc>
          <w:tcPr>
            <w:tcW w:w="850" w:type="dxa"/>
          </w:tcPr>
          <w:p w14:paraId="4741B6A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0.705</w:t>
            </w:r>
          </w:p>
        </w:tc>
        <w:tc>
          <w:tcPr>
            <w:tcW w:w="1084" w:type="dxa"/>
          </w:tcPr>
          <w:p w14:paraId="3F081E06"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59" w:type="dxa"/>
          </w:tcPr>
          <w:p w14:paraId="3574965C"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800" w:type="dxa"/>
          </w:tcPr>
          <w:p w14:paraId="54B91A84"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476" w:type="dxa"/>
            <w:vMerge/>
          </w:tcPr>
          <w:p w14:paraId="5C3B24A6"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92" w:type="dxa"/>
          </w:tcPr>
          <w:p w14:paraId="63F9E75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7220B">
              <w:rPr>
                <w:rFonts w:ascii="Arial" w:hAnsi="Arial" w:cs="Arial"/>
                <w:sz w:val="20"/>
                <w:szCs w:val="20"/>
                <w:lang w:val="en-GB"/>
              </w:rPr>
              <w:t>Q26LA</w:t>
            </w:r>
          </w:p>
        </w:tc>
        <w:tc>
          <w:tcPr>
            <w:tcW w:w="843" w:type="dxa"/>
          </w:tcPr>
          <w:p w14:paraId="052C07AA"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0.764</w:t>
            </w:r>
          </w:p>
        </w:tc>
        <w:tc>
          <w:tcPr>
            <w:tcW w:w="950" w:type="dxa"/>
            <w:gridSpan w:val="2"/>
          </w:tcPr>
          <w:p w14:paraId="052EB431"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0" w:type="dxa"/>
            <w:gridSpan w:val="2"/>
          </w:tcPr>
          <w:p w14:paraId="6BC36E73"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39" w:type="dxa"/>
            <w:gridSpan w:val="2"/>
          </w:tcPr>
          <w:p w14:paraId="437129E3"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bl>
    <w:p w14:paraId="072E4DA2"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b/>
          <w:sz w:val="24"/>
          <w:szCs w:val="24"/>
        </w:rPr>
        <w:t xml:space="preserve">   </w:t>
      </w:r>
    </w:p>
    <w:p w14:paraId="1664E17F" w14:textId="77777777" w:rsidR="00653A68" w:rsidRPr="00D7220B" w:rsidRDefault="00D5242A" w:rsidP="00D7220B">
      <w:pPr>
        <w:spacing w:after="0" w:line="240" w:lineRule="auto"/>
        <w:jc w:val="both"/>
        <w:rPr>
          <w:rFonts w:ascii="Arial" w:hAnsi="Arial" w:cs="Arial"/>
          <w:sz w:val="24"/>
          <w:szCs w:val="24"/>
          <w:lang w:val="en-GB"/>
        </w:rPr>
      </w:pPr>
      <w:bookmarkStart w:id="0" w:name="_Toc192541866"/>
      <w:r w:rsidRPr="00D7220B">
        <w:rPr>
          <w:rFonts w:ascii="Arial" w:hAnsi="Arial" w:cs="Arial"/>
          <w:sz w:val="24"/>
          <w:szCs w:val="24"/>
          <w:lang w:val="en-GB"/>
        </w:rPr>
        <w:t xml:space="preserve">Table 2 confirms the unidimensionality of School Culture, School Climate, and Learner Achievement, indicating that all </w:t>
      </w:r>
      <w:r w:rsidRPr="00D7220B">
        <w:rPr>
          <w:rFonts w:ascii="Arial" w:eastAsia="Calibri" w:hAnsi="Arial" w:cs="Arial"/>
          <w:sz w:val="24"/>
          <w:szCs w:val="24"/>
          <w:lang w:val="en-GB"/>
        </w:rPr>
        <w:t xml:space="preserve">items </w:t>
      </w:r>
      <w:r w:rsidR="00622D9E">
        <w:rPr>
          <w:rFonts w:ascii="Arial" w:eastAsia="Calibri" w:hAnsi="Arial" w:cs="Arial"/>
          <w:sz w:val="24"/>
          <w:szCs w:val="24"/>
          <w:lang w:val="en-GB"/>
        </w:rPr>
        <w:t>load onto</w:t>
      </w:r>
      <w:r w:rsidRPr="00D7220B">
        <w:rPr>
          <w:rFonts w:ascii="Arial" w:eastAsia="Calibri" w:hAnsi="Arial" w:cs="Arial"/>
          <w:sz w:val="24"/>
          <w:szCs w:val="24"/>
          <w:lang w:val="en-GB"/>
        </w:rPr>
        <w:t xml:space="preserve"> a single factor. The results </w:t>
      </w:r>
      <w:r w:rsidRPr="00D7220B">
        <w:rPr>
          <w:rFonts w:ascii="Arial" w:hAnsi="Arial" w:cs="Arial"/>
          <w:sz w:val="24"/>
          <w:szCs w:val="24"/>
          <w:lang w:val="en-GB"/>
        </w:rPr>
        <w:t xml:space="preserve">in Table 2 demonstrate that these constructs were </w:t>
      </w:r>
      <w:r w:rsidR="009E1FA3">
        <w:rPr>
          <w:rFonts w:ascii="Arial" w:hAnsi="Arial" w:cs="Arial"/>
          <w:sz w:val="24"/>
          <w:szCs w:val="24"/>
          <w:lang w:val="en-GB"/>
        </w:rPr>
        <w:t>distinct and independent</w:t>
      </w:r>
      <w:r w:rsidRPr="00D7220B">
        <w:rPr>
          <w:rFonts w:ascii="Arial" w:hAnsi="Arial" w:cs="Arial"/>
          <w:sz w:val="24"/>
          <w:szCs w:val="24"/>
          <w:lang w:val="en-GB"/>
        </w:rPr>
        <w:t xml:space="preserve">, </w:t>
      </w:r>
      <w:r w:rsidRPr="00D7220B">
        <w:rPr>
          <w:rFonts w:ascii="Arial" w:eastAsia="Calibri" w:hAnsi="Arial" w:cs="Arial"/>
          <w:sz w:val="24"/>
          <w:szCs w:val="24"/>
          <w:lang w:val="en-GB"/>
        </w:rPr>
        <w:t>and each exhibit</w:t>
      </w:r>
      <w:r w:rsidRPr="00D7220B">
        <w:rPr>
          <w:rFonts w:ascii="Arial" w:hAnsi="Arial" w:cs="Arial"/>
          <w:sz w:val="24"/>
          <w:szCs w:val="24"/>
          <w:lang w:val="en-GB"/>
        </w:rPr>
        <w:t>ed good internal consistency. Furthermore, the items used to evaluate each construct are relevant and collectively encapsulate the intended concept</w:t>
      </w:r>
      <w:r w:rsidRPr="00D7220B">
        <w:rPr>
          <w:rFonts w:ascii="Arial" w:eastAsia="Calibri" w:hAnsi="Arial" w:cs="Arial"/>
          <w:sz w:val="24"/>
          <w:szCs w:val="24"/>
          <w:lang w:val="en-GB"/>
        </w:rPr>
        <w:t>, without overlap or ambiguity. This cla</w:t>
      </w:r>
      <w:r w:rsidR="00956594">
        <w:rPr>
          <w:rFonts w:ascii="Arial" w:eastAsia="Calibri" w:hAnsi="Arial" w:cs="Arial"/>
          <w:sz w:val="24"/>
          <w:szCs w:val="24"/>
          <w:lang w:val="en-GB"/>
        </w:rPr>
        <w:t>rity facilitates the researcher’</w:t>
      </w:r>
      <w:r w:rsidRPr="00D7220B">
        <w:rPr>
          <w:rFonts w:ascii="Arial" w:eastAsia="Calibri" w:hAnsi="Arial" w:cs="Arial"/>
          <w:sz w:val="24"/>
          <w:szCs w:val="24"/>
          <w:lang w:val="en-GB"/>
        </w:rPr>
        <w:t>s interpretation of the findings</w:t>
      </w:r>
      <w:r w:rsidRPr="00D7220B">
        <w:rPr>
          <w:rFonts w:ascii="Arial" w:hAnsi="Arial" w:cs="Arial"/>
          <w:sz w:val="24"/>
          <w:szCs w:val="24"/>
          <w:lang w:val="en-GB"/>
        </w:rPr>
        <w:t xml:space="preserve"> as each construct represents a cohesive concept.</w:t>
      </w:r>
    </w:p>
    <w:p w14:paraId="372B8DF8" w14:textId="77777777" w:rsidR="00653A68" w:rsidRPr="00D7220B" w:rsidRDefault="00653A68" w:rsidP="00D7220B">
      <w:pPr>
        <w:spacing w:after="0" w:line="240" w:lineRule="auto"/>
        <w:jc w:val="both"/>
        <w:rPr>
          <w:rFonts w:ascii="Arial" w:hAnsi="Arial" w:cs="Arial"/>
          <w:sz w:val="24"/>
          <w:szCs w:val="24"/>
          <w:lang w:val="en-GB"/>
        </w:rPr>
      </w:pPr>
    </w:p>
    <w:p w14:paraId="1CF22BDA" w14:textId="77777777" w:rsidR="00653A68" w:rsidRPr="00D7220B" w:rsidRDefault="00D1463E" w:rsidP="00D7220B">
      <w:pPr>
        <w:spacing w:after="0" w:line="240" w:lineRule="auto"/>
        <w:jc w:val="both"/>
        <w:rPr>
          <w:rFonts w:ascii="Arial" w:hAnsi="Arial" w:cs="Arial"/>
          <w:b/>
          <w:sz w:val="24"/>
          <w:szCs w:val="24"/>
        </w:rPr>
      </w:pPr>
      <w:r>
        <w:rPr>
          <w:rFonts w:ascii="Arial" w:hAnsi="Arial" w:cs="Arial"/>
          <w:b/>
          <w:sz w:val="24"/>
          <w:szCs w:val="24"/>
        </w:rPr>
        <w:t>4.2 </w:t>
      </w:r>
      <w:r w:rsidR="00D5242A" w:rsidRPr="00D7220B">
        <w:rPr>
          <w:rFonts w:ascii="Arial" w:hAnsi="Arial" w:cs="Arial"/>
          <w:b/>
          <w:sz w:val="24"/>
          <w:szCs w:val="24"/>
        </w:rPr>
        <w:t>Discriminant Validity</w:t>
      </w:r>
    </w:p>
    <w:p w14:paraId="11890BFC" w14:textId="77777777" w:rsidR="00653A68" w:rsidRPr="00D7220B" w:rsidRDefault="00653A68" w:rsidP="00D7220B">
      <w:pPr>
        <w:spacing w:after="0" w:line="240" w:lineRule="auto"/>
        <w:jc w:val="both"/>
        <w:rPr>
          <w:rFonts w:ascii="Arial" w:hAnsi="Arial" w:cs="Arial"/>
          <w:b/>
          <w:sz w:val="24"/>
          <w:szCs w:val="24"/>
        </w:rPr>
      </w:pPr>
    </w:p>
    <w:p w14:paraId="519D8874" w14:textId="3B14A6C2" w:rsidR="00653A68" w:rsidRPr="00D7220B" w:rsidRDefault="009E1FA3" w:rsidP="00D7220B">
      <w:pPr>
        <w:spacing w:after="0" w:line="240" w:lineRule="auto"/>
        <w:jc w:val="both"/>
        <w:rPr>
          <w:rFonts w:ascii="Arial" w:hAnsi="Arial" w:cs="Arial"/>
          <w:sz w:val="24"/>
          <w:szCs w:val="24"/>
        </w:rPr>
      </w:pPr>
      <w:r>
        <w:rPr>
          <w:rFonts w:ascii="Arial" w:hAnsi="Arial" w:cs="Arial"/>
          <w:sz w:val="24"/>
          <w:szCs w:val="24"/>
        </w:rPr>
        <w:t xml:space="preserve">Table </w:t>
      </w:r>
      <w:r w:rsidR="005A5EFC">
        <w:rPr>
          <w:rFonts w:ascii="Arial" w:hAnsi="Arial" w:cs="Arial"/>
          <w:sz w:val="24"/>
          <w:szCs w:val="24"/>
        </w:rPr>
        <w:t>3</w:t>
      </w:r>
      <w:r>
        <w:rPr>
          <w:rFonts w:ascii="Arial" w:hAnsi="Arial" w:cs="Arial"/>
          <w:sz w:val="24"/>
          <w:szCs w:val="24"/>
        </w:rPr>
        <w:t xml:space="preserve"> presents the correlations used to evaluate discriminant validity, as suggested by Henseler, Ringle, and Sarstedt (2015), along with the discriminant validity thresholds of 0.850 (strict) and 0.999 (liberating). The findings indicated that all research variables or constructs showed discriminant validity, with correlation values below 0.85. The composite reliability (CR) values for all three constructs (SC, SCL, and LA) surpassed 0.6, demonstrating satisfactory reliability. Furthermore, all average variance extracted </w:t>
      </w:r>
      <w:r>
        <w:rPr>
          <w:rFonts w:ascii="Arial" w:hAnsi="Arial" w:cs="Arial"/>
          <w:sz w:val="24"/>
          <w:szCs w:val="24"/>
        </w:rPr>
        <w:lastRenderedPageBreak/>
        <w:t>(AVE) values exceeded the recommended threshold of 0.5 (Hair et al., 2010). Consequently, the researcher was confident in the quality of the survey questions employed in this study.</w:t>
      </w:r>
    </w:p>
    <w:p w14:paraId="2388B60A" w14:textId="77777777" w:rsidR="00897222" w:rsidRPr="00D7220B" w:rsidRDefault="00897222" w:rsidP="00D7220B">
      <w:pPr>
        <w:spacing w:after="0" w:line="240" w:lineRule="auto"/>
        <w:jc w:val="both"/>
        <w:rPr>
          <w:rFonts w:ascii="Arial" w:hAnsi="Arial" w:cs="Arial"/>
          <w:sz w:val="24"/>
          <w:szCs w:val="24"/>
        </w:rPr>
      </w:pPr>
    </w:p>
    <w:p w14:paraId="4EBC66B0" w14:textId="2FBB149B" w:rsidR="00653A68" w:rsidRPr="00D7220B" w:rsidRDefault="00D5242A" w:rsidP="00D7220B">
      <w:pPr>
        <w:spacing w:line="240" w:lineRule="auto"/>
        <w:jc w:val="both"/>
        <w:rPr>
          <w:rFonts w:ascii="Arial" w:hAnsi="Arial" w:cs="Arial"/>
          <w:sz w:val="24"/>
          <w:szCs w:val="24"/>
        </w:rPr>
      </w:pPr>
      <w:r w:rsidRPr="00D7220B">
        <w:rPr>
          <w:rFonts w:ascii="Arial" w:hAnsi="Arial" w:cs="Arial"/>
          <w:b/>
          <w:sz w:val="24"/>
          <w:szCs w:val="24"/>
        </w:rPr>
        <w:t xml:space="preserve">Table </w:t>
      </w:r>
      <w:r w:rsidR="005A5EFC">
        <w:rPr>
          <w:rFonts w:ascii="Arial" w:hAnsi="Arial" w:cs="Arial"/>
          <w:b/>
          <w:sz w:val="24"/>
          <w:szCs w:val="24"/>
        </w:rPr>
        <w:t>3</w:t>
      </w:r>
      <w:r w:rsidR="00D7220B">
        <w:rPr>
          <w:rFonts w:ascii="Arial" w:hAnsi="Arial" w:cs="Arial"/>
          <w:b/>
          <w:sz w:val="24"/>
          <w:szCs w:val="24"/>
        </w:rPr>
        <w:t>:</w:t>
      </w:r>
      <w:r w:rsidRPr="00D7220B">
        <w:rPr>
          <w:rFonts w:ascii="Arial" w:hAnsi="Arial" w:cs="Arial"/>
          <w:sz w:val="24"/>
          <w:szCs w:val="24"/>
        </w:rPr>
        <w:t xml:space="preserve"> </w:t>
      </w:r>
      <w:r w:rsidRPr="00D7220B">
        <w:rPr>
          <w:rFonts w:ascii="Arial" w:hAnsi="Arial" w:cs="Arial"/>
          <w:i/>
          <w:sz w:val="24"/>
          <w:szCs w:val="24"/>
        </w:rPr>
        <w:t xml:space="preserve">Discriminant Validity: </w:t>
      </w:r>
      <w:proofErr w:type="spellStart"/>
      <w:r w:rsidRPr="00D7220B">
        <w:rPr>
          <w:rFonts w:ascii="Arial" w:hAnsi="Arial" w:cs="Arial"/>
          <w:i/>
          <w:sz w:val="24"/>
          <w:szCs w:val="24"/>
        </w:rPr>
        <w:t>Heterotrait-Monotrait</w:t>
      </w:r>
      <w:proofErr w:type="spellEnd"/>
      <w:r w:rsidRPr="00D7220B">
        <w:rPr>
          <w:rFonts w:ascii="Arial" w:hAnsi="Arial" w:cs="Arial"/>
          <w:i/>
          <w:sz w:val="24"/>
          <w:szCs w:val="24"/>
        </w:rPr>
        <w:t xml:space="preserve"> Criteria Analysis</w:t>
      </w:r>
      <w:r w:rsidRPr="00D7220B">
        <w:rPr>
          <w:rFonts w:ascii="Arial" w:hAnsi="Arial" w:cs="Arial"/>
          <w:sz w:val="24"/>
          <w:szCs w:val="24"/>
        </w:rPr>
        <w:t xml:space="preserve"> </w:t>
      </w:r>
    </w:p>
    <w:tbl>
      <w:tblPr>
        <w:tblW w:w="9781" w:type="dxa"/>
        <w:tblBorders>
          <w:top w:val="single" w:sz="8" w:space="0" w:color="auto"/>
          <w:bottom w:val="single" w:sz="8" w:space="0" w:color="auto"/>
        </w:tblBorders>
        <w:tblLayout w:type="fixed"/>
        <w:tblCellMar>
          <w:top w:w="15" w:type="dxa"/>
          <w:left w:w="15" w:type="dxa"/>
          <w:bottom w:w="15" w:type="dxa"/>
          <w:right w:w="15" w:type="dxa"/>
        </w:tblCellMar>
        <w:tblLook w:val="04A0" w:firstRow="1" w:lastRow="0" w:firstColumn="1" w:lastColumn="0" w:noHBand="0" w:noVBand="1"/>
      </w:tblPr>
      <w:tblGrid>
        <w:gridCol w:w="842"/>
        <w:gridCol w:w="851"/>
        <w:gridCol w:w="851"/>
        <w:gridCol w:w="851"/>
        <w:gridCol w:w="850"/>
        <w:gridCol w:w="709"/>
        <w:gridCol w:w="850"/>
        <w:gridCol w:w="850"/>
        <w:gridCol w:w="709"/>
        <w:gridCol w:w="850"/>
        <w:gridCol w:w="859"/>
        <w:gridCol w:w="709"/>
      </w:tblGrid>
      <w:tr w:rsidR="005C5102" w:rsidRPr="00D7220B" w14:paraId="3D56E0FB" w14:textId="77777777" w:rsidTr="008E2279">
        <w:trPr>
          <w:trHeight w:val="262"/>
        </w:trPr>
        <w:tc>
          <w:tcPr>
            <w:tcW w:w="842" w:type="dxa"/>
            <w:vMerge w:val="restart"/>
            <w:tcMar>
              <w:top w:w="150" w:type="dxa"/>
              <w:left w:w="150" w:type="dxa"/>
              <w:bottom w:w="150" w:type="dxa"/>
              <w:right w:w="150" w:type="dxa"/>
            </w:tcMar>
            <w:vAlign w:val="center"/>
          </w:tcPr>
          <w:p w14:paraId="2CBC4B99" w14:textId="77777777" w:rsidR="00653A68" w:rsidRPr="00D7220B" w:rsidRDefault="00653A68" w:rsidP="00D7220B">
            <w:pPr>
              <w:tabs>
                <w:tab w:val="left" w:pos="630"/>
              </w:tabs>
              <w:spacing w:after="0" w:line="240" w:lineRule="auto"/>
              <w:jc w:val="both"/>
              <w:rPr>
                <w:rFonts w:ascii="Arial" w:eastAsia="Times New Roman" w:hAnsi="Arial" w:cs="Arial"/>
                <w:sz w:val="24"/>
                <w:szCs w:val="24"/>
                <w:lang w:val="en-GB" w:eastAsia="en-ZA"/>
              </w:rPr>
            </w:pPr>
          </w:p>
        </w:tc>
        <w:tc>
          <w:tcPr>
            <w:tcW w:w="4112" w:type="dxa"/>
            <w:gridSpan w:val="5"/>
          </w:tcPr>
          <w:p w14:paraId="4EAD085E"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Grant-Aided</w:t>
            </w:r>
          </w:p>
        </w:tc>
        <w:tc>
          <w:tcPr>
            <w:tcW w:w="850" w:type="dxa"/>
          </w:tcPr>
          <w:p w14:paraId="5F26EB8B" w14:textId="77777777" w:rsidR="00653A68" w:rsidRPr="00D7220B" w:rsidRDefault="00653A68" w:rsidP="00D7220B">
            <w:pPr>
              <w:tabs>
                <w:tab w:val="left" w:pos="630"/>
              </w:tabs>
              <w:spacing w:after="0" w:line="240" w:lineRule="auto"/>
              <w:jc w:val="both"/>
              <w:rPr>
                <w:rFonts w:ascii="Arial" w:eastAsia="Times New Roman" w:hAnsi="Arial" w:cs="Arial"/>
                <w:b/>
                <w:bCs/>
                <w:sz w:val="24"/>
                <w:szCs w:val="24"/>
                <w:lang w:val="en-GB" w:eastAsia="en-ZA"/>
              </w:rPr>
            </w:pPr>
          </w:p>
        </w:tc>
        <w:tc>
          <w:tcPr>
            <w:tcW w:w="3977" w:type="dxa"/>
            <w:gridSpan w:val="5"/>
          </w:tcPr>
          <w:p w14:paraId="732714D3"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Government</w:t>
            </w:r>
          </w:p>
        </w:tc>
      </w:tr>
      <w:tr w:rsidR="005C5102" w:rsidRPr="00D7220B" w14:paraId="02A51CC2" w14:textId="77777777" w:rsidTr="008E2279">
        <w:trPr>
          <w:trHeight w:val="262"/>
        </w:trPr>
        <w:tc>
          <w:tcPr>
            <w:tcW w:w="842" w:type="dxa"/>
            <w:vMerge/>
            <w:tcMar>
              <w:top w:w="150" w:type="dxa"/>
              <w:left w:w="150" w:type="dxa"/>
              <w:bottom w:w="150" w:type="dxa"/>
              <w:right w:w="150" w:type="dxa"/>
            </w:tcMar>
            <w:vAlign w:val="center"/>
            <w:hideMark/>
          </w:tcPr>
          <w:p w14:paraId="4901E09D" w14:textId="77777777" w:rsidR="00653A68" w:rsidRPr="00D7220B" w:rsidRDefault="00653A68" w:rsidP="00D7220B">
            <w:pPr>
              <w:tabs>
                <w:tab w:val="left" w:pos="630"/>
              </w:tabs>
              <w:spacing w:after="0" w:line="240" w:lineRule="auto"/>
              <w:jc w:val="both"/>
              <w:rPr>
                <w:rFonts w:ascii="Arial" w:eastAsia="Times New Roman" w:hAnsi="Arial" w:cs="Arial"/>
                <w:sz w:val="24"/>
                <w:szCs w:val="24"/>
                <w:lang w:val="en-GB" w:eastAsia="en-ZA"/>
              </w:rPr>
            </w:pPr>
          </w:p>
        </w:tc>
        <w:tc>
          <w:tcPr>
            <w:tcW w:w="851" w:type="dxa"/>
          </w:tcPr>
          <w:p w14:paraId="6812C24C"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CR</w:t>
            </w:r>
          </w:p>
        </w:tc>
        <w:tc>
          <w:tcPr>
            <w:tcW w:w="851" w:type="dxa"/>
          </w:tcPr>
          <w:p w14:paraId="32B4C097"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AVE</w:t>
            </w:r>
          </w:p>
        </w:tc>
        <w:tc>
          <w:tcPr>
            <w:tcW w:w="851" w:type="dxa"/>
            <w:tcMar>
              <w:top w:w="150" w:type="dxa"/>
              <w:left w:w="150" w:type="dxa"/>
              <w:bottom w:w="150" w:type="dxa"/>
              <w:right w:w="150" w:type="dxa"/>
            </w:tcMar>
            <w:vAlign w:val="center"/>
            <w:hideMark/>
          </w:tcPr>
          <w:p w14:paraId="5B4D38AC"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SC</w:t>
            </w:r>
          </w:p>
        </w:tc>
        <w:tc>
          <w:tcPr>
            <w:tcW w:w="850" w:type="dxa"/>
            <w:tcMar>
              <w:top w:w="150" w:type="dxa"/>
              <w:left w:w="150" w:type="dxa"/>
              <w:bottom w:w="150" w:type="dxa"/>
              <w:right w:w="150" w:type="dxa"/>
            </w:tcMar>
            <w:vAlign w:val="center"/>
            <w:hideMark/>
          </w:tcPr>
          <w:p w14:paraId="3C83F3D4"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SCL</w:t>
            </w:r>
          </w:p>
        </w:tc>
        <w:tc>
          <w:tcPr>
            <w:tcW w:w="709" w:type="dxa"/>
            <w:tcMar>
              <w:top w:w="150" w:type="dxa"/>
              <w:left w:w="150" w:type="dxa"/>
              <w:bottom w:w="150" w:type="dxa"/>
              <w:right w:w="150" w:type="dxa"/>
            </w:tcMar>
            <w:vAlign w:val="center"/>
            <w:hideMark/>
          </w:tcPr>
          <w:p w14:paraId="2D2DE196"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LA</w:t>
            </w:r>
          </w:p>
        </w:tc>
        <w:tc>
          <w:tcPr>
            <w:tcW w:w="850" w:type="dxa"/>
          </w:tcPr>
          <w:p w14:paraId="5433FB9A" w14:textId="77777777" w:rsidR="00653A68" w:rsidRPr="00D7220B" w:rsidRDefault="00653A68" w:rsidP="00D7220B">
            <w:pPr>
              <w:tabs>
                <w:tab w:val="left" w:pos="630"/>
              </w:tabs>
              <w:spacing w:after="0" w:line="240" w:lineRule="auto"/>
              <w:jc w:val="both"/>
              <w:rPr>
                <w:rFonts w:ascii="Arial" w:eastAsia="Times New Roman" w:hAnsi="Arial" w:cs="Arial"/>
                <w:b/>
                <w:bCs/>
                <w:sz w:val="24"/>
                <w:szCs w:val="24"/>
                <w:lang w:val="en-GB" w:eastAsia="en-ZA"/>
              </w:rPr>
            </w:pPr>
          </w:p>
        </w:tc>
        <w:tc>
          <w:tcPr>
            <w:tcW w:w="850" w:type="dxa"/>
          </w:tcPr>
          <w:p w14:paraId="6948210E"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CR</w:t>
            </w:r>
          </w:p>
        </w:tc>
        <w:tc>
          <w:tcPr>
            <w:tcW w:w="709" w:type="dxa"/>
          </w:tcPr>
          <w:p w14:paraId="0F28F553"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AVE</w:t>
            </w:r>
          </w:p>
        </w:tc>
        <w:tc>
          <w:tcPr>
            <w:tcW w:w="850" w:type="dxa"/>
            <w:tcMar>
              <w:top w:w="150" w:type="dxa"/>
              <w:left w:w="150" w:type="dxa"/>
              <w:bottom w:w="150" w:type="dxa"/>
              <w:right w:w="150" w:type="dxa"/>
            </w:tcMar>
            <w:vAlign w:val="center"/>
            <w:hideMark/>
          </w:tcPr>
          <w:p w14:paraId="31581F76"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SC</w:t>
            </w:r>
          </w:p>
        </w:tc>
        <w:tc>
          <w:tcPr>
            <w:tcW w:w="859" w:type="dxa"/>
          </w:tcPr>
          <w:p w14:paraId="1CBBAF16"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SCL</w:t>
            </w:r>
          </w:p>
        </w:tc>
        <w:tc>
          <w:tcPr>
            <w:tcW w:w="709" w:type="dxa"/>
          </w:tcPr>
          <w:p w14:paraId="6738A1D3"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LA</w:t>
            </w:r>
          </w:p>
        </w:tc>
      </w:tr>
      <w:tr w:rsidR="005C5102" w:rsidRPr="00D7220B" w14:paraId="0CF581BB" w14:textId="77777777" w:rsidTr="008E2279">
        <w:trPr>
          <w:trHeight w:val="182"/>
        </w:trPr>
        <w:tc>
          <w:tcPr>
            <w:tcW w:w="842" w:type="dxa"/>
            <w:tcMar>
              <w:top w:w="150" w:type="dxa"/>
              <w:left w:w="150" w:type="dxa"/>
              <w:bottom w:w="150" w:type="dxa"/>
              <w:right w:w="150" w:type="dxa"/>
            </w:tcMar>
            <w:vAlign w:val="center"/>
            <w:hideMark/>
          </w:tcPr>
          <w:p w14:paraId="134CF0AE"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SC</w:t>
            </w:r>
          </w:p>
        </w:tc>
        <w:tc>
          <w:tcPr>
            <w:tcW w:w="851" w:type="dxa"/>
          </w:tcPr>
          <w:p w14:paraId="09BA1184"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0.850</w:t>
            </w:r>
          </w:p>
        </w:tc>
        <w:tc>
          <w:tcPr>
            <w:tcW w:w="851" w:type="dxa"/>
          </w:tcPr>
          <w:p w14:paraId="423EB850"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0.523</w:t>
            </w:r>
          </w:p>
        </w:tc>
        <w:tc>
          <w:tcPr>
            <w:tcW w:w="851" w:type="dxa"/>
            <w:tcMar>
              <w:top w:w="75" w:type="dxa"/>
              <w:left w:w="75" w:type="dxa"/>
              <w:bottom w:w="75" w:type="dxa"/>
              <w:right w:w="75" w:type="dxa"/>
            </w:tcMar>
            <w:vAlign w:val="center"/>
            <w:hideMark/>
          </w:tcPr>
          <w:p w14:paraId="7B31BA36" w14:textId="77777777" w:rsidR="00653A68" w:rsidRPr="00D7220B" w:rsidRDefault="00D5242A" w:rsidP="00D7220B">
            <w:pPr>
              <w:tabs>
                <w:tab w:val="left" w:pos="630"/>
              </w:tabs>
              <w:spacing w:after="0" w:line="240" w:lineRule="auto"/>
              <w:jc w:val="both"/>
              <w:rPr>
                <w:rFonts w:ascii="Arial" w:eastAsia="Times New Roman" w:hAnsi="Arial" w:cs="Arial"/>
                <w:bCs/>
                <w:sz w:val="24"/>
                <w:szCs w:val="24"/>
                <w:vertAlign w:val="superscript"/>
                <w:lang w:val="en-GB" w:eastAsia="en-ZA"/>
              </w:rPr>
            </w:pPr>
            <w:r w:rsidRPr="00D7220B">
              <w:rPr>
                <w:rFonts w:ascii="Arial" w:eastAsia="Times New Roman" w:hAnsi="Arial" w:cs="Arial"/>
                <w:bCs/>
                <w:sz w:val="24"/>
                <w:szCs w:val="24"/>
                <w:lang w:val="en-GB" w:eastAsia="en-ZA"/>
              </w:rPr>
              <w:t>0.723*</w:t>
            </w:r>
          </w:p>
        </w:tc>
        <w:tc>
          <w:tcPr>
            <w:tcW w:w="850" w:type="dxa"/>
            <w:tcMar>
              <w:top w:w="75" w:type="dxa"/>
              <w:left w:w="75" w:type="dxa"/>
              <w:bottom w:w="75" w:type="dxa"/>
              <w:right w:w="75" w:type="dxa"/>
            </w:tcMar>
            <w:vAlign w:val="center"/>
            <w:hideMark/>
          </w:tcPr>
          <w:p w14:paraId="3DC1B210" w14:textId="77777777" w:rsidR="00653A68" w:rsidRPr="00D7220B" w:rsidRDefault="00653A68" w:rsidP="00D7220B">
            <w:pPr>
              <w:tabs>
                <w:tab w:val="left" w:pos="630"/>
              </w:tabs>
              <w:spacing w:after="0" w:line="240" w:lineRule="auto"/>
              <w:jc w:val="both"/>
              <w:rPr>
                <w:rFonts w:ascii="Arial" w:eastAsia="Times New Roman" w:hAnsi="Arial" w:cs="Arial"/>
                <w:sz w:val="24"/>
                <w:szCs w:val="24"/>
                <w:lang w:val="en-GB" w:eastAsia="en-ZA"/>
              </w:rPr>
            </w:pPr>
          </w:p>
        </w:tc>
        <w:tc>
          <w:tcPr>
            <w:tcW w:w="709" w:type="dxa"/>
            <w:tcMar>
              <w:top w:w="75" w:type="dxa"/>
              <w:left w:w="75" w:type="dxa"/>
              <w:bottom w:w="75" w:type="dxa"/>
              <w:right w:w="75" w:type="dxa"/>
            </w:tcMar>
            <w:vAlign w:val="center"/>
            <w:hideMark/>
          </w:tcPr>
          <w:p w14:paraId="4AD8E0CF" w14:textId="77777777" w:rsidR="00653A68" w:rsidRPr="00D7220B" w:rsidRDefault="00653A68" w:rsidP="00D7220B">
            <w:pPr>
              <w:tabs>
                <w:tab w:val="left" w:pos="630"/>
              </w:tabs>
              <w:spacing w:after="0" w:line="240" w:lineRule="auto"/>
              <w:jc w:val="both"/>
              <w:rPr>
                <w:rFonts w:ascii="Arial" w:eastAsia="Times New Roman" w:hAnsi="Arial" w:cs="Arial"/>
                <w:sz w:val="24"/>
                <w:szCs w:val="24"/>
                <w:lang w:val="en-GB" w:eastAsia="en-ZA"/>
              </w:rPr>
            </w:pPr>
          </w:p>
        </w:tc>
        <w:tc>
          <w:tcPr>
            <w:tcW w:w="850" w:type="dxa"/>
          </w:tcPr>
          <w:p w14:paraId="7D354C99" w14:textId="77777777" w:rsidR="00653A68" w:rsidRPr="00D7220B" w:rsidRDefault="00653A68" w:rsidP="00D7220B">
            <w:pPr>
              <w:tabs>
                <w:tab w:val="left" w:pos="630"/>
              </w:tabs>
              <w:spacing w:after="0" w:line="240" w:lineRule="auto"/>
              <w:jc w:val="both"/>
              <w:rPr>
                <w:rFonts w:ascii="Arial" w:eastAsia="Times New Roman" w:hAnsi="Arial" w:cs="Arial"/>
                <w:b/>
                <w:sz w:val="24"/>
                <w:szCs w:val="24"/>
                <w:lang w:val="en-GB" w:eastAsia="en-ZA"/>
              </w:rPr>
            </w:pPr>
          </w:p>
        </w:tc>
        <w:tc>
          <w:tcPr>
            <w:tcW w:w="850" w:type="dxa"/>
          </w:tcPr>
          <w:p w14:paraId="00C87CE7"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eastAsia="Times New Roman" w:hAnsi="Arial" w:cs="Arial"/>
                <w:b/>
                <w:sz w:val="24"/>
                <w:szCs w:val="24"/>
                <w:lang w:val="en-GB" w:eastAsia="en-ZA"/>
              </w:rPr>
              <w:t>0.841</w:t>
            </w:r>
          </w:p>
        </w:tc>
        <w:tc>
          <w:tcPr>
            <w:tcW w:w="709" w:type="dxa"/>
          </w:tcPr>
          <w:p w14:paraId="266C4C03"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hAnsi="Arial" w:cs="Arial"/>
                <w:b/>
                <w:sz w:val="24"/>
                <w:szCs w:val="24"/>
              </w:rPr>
              <w:t>0.721</w:t>
            </w:r>
          </w:p>
        </w:tc>
        <w:tc>
          <w:tcPr>
            <w:tcW w:w="850" w:type="dxa"/>
            <w:tcMar>
              <w:top w:w="75" w:type="dxa"/>
              <w:left w:w="75" w:type="dxa"/>
              <w:bottom w:w="75" w:type="dxa"/>
              <w:right w:w="75" w:type="dxa"/>
            </w:tcMar>
            <w:vAlign w:val="center"/>
            <w:hideMark/>
          </w:tcPr>
          <w:p w14:paraId="23ACDB5F"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0.849*</w:t>
            </w:r>
          </w:p>
        </w:tc>
        <w:tc>
          <w:tcPr>
            <w:tcW w:w="859" w:type="dxa"/>
          </w:tcPr>
          <w:p w14:paraId="3968870B" w14:textId="77777777" w:rsidR="00653A68" w:rsidRPr="00D7220B" w:rsidRDefault="00653A68" w:rsidP="00D7220B">
            <w:pPr>
              <w:tabs>
                <w:tab w:val="left" w:pos="630"/>
              </w:tabs>
              <w:spacing w:after="0" w:line="240" w:lineRule="auto"/>
              <w:jc w:val="both"/>
              <w:rPr>
                <w:rFonts w:ascii="Arial" w:eastAsia="Times New Roman" w:hAnsi="Arial" w:cs="Arial"/>
                <w:sz w:val="24"/>
                <w:szCs w:val="24"/>
                <w:lang w:val="en-GB" w:eastAsia="en-ZA"/>
              </w:rPr>
            </w:pPr>
          </w:p>
        </w:tc>
        <w:tc>
          <w:tcPr>
            <w:tcW w:w="709" w:type="dxa"/>
          </w:tcPr>
          <w:p w14:paraId="7A1183AD" w14:textId="77777777" w:rsidR="00653A68" w:rsidRPr="00D7220B" w:rsidRDefault="00653A68" w:rsidP="00D7220B">
            <w:pPr>
              <w:tabs>
                <w:tab w:val="left" w:pos="630"/>
              </w:tabs>
              <w:spacing w:after="0" w:line="240" w:lineRule="auto"/>
              <w:jc w:val="both"/>
              <w:rPr>
                <w:rFonts w:ascii="Arial" w:eastAsia="Times New Roman" w:hAnsi="Arial" w:cs="Arial"/>
                <w:sz w:val="24"/>
                <w:szCs w:val="24"/>
                <w:lang w:val="en-GB" w:eastAsia="en-ZA"/>
              </w:rPr>
            </w:pPr>
          </w:p>
        </w:tc>
      </w:tr>
      <w:tr w:rsidR="005C5102" w:rsidRPr="00D7220B" w14:paraId="58D0AC7A" w14:textId="77777777" w:rsidTr="008E2279">
        <w:trPr>
          <w:trHeight w:val="204"/>
        </w:trPr>
        <w:tc>
          <w:tcPr>
            <w:tcW w:w="842" w:type="dxa"/>
            <w:tcMar>
              <w:top w:w="150" w:type="dxa"/>
              <w:left w:w="150" w:type="dxa"/>
              <w:bottom w:w="150" w:type="dxa"/>
              <w:right w:w="150" w:type="dxa"/>
            </w:tcMar>
            <w:vAlign w:val="center"/>
            <w:hideMark/>
          </w:tcPr>
          <w:p w14:paraId="417E9C67"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SCL</w:t>
            </w:r>
          </w:p>
        </w:tc>
        <w:tc>
          <w:tcPr>
            <w:tcW w:w="851" w:type="dxa"/>
          </w:tcPr>
          <w:p w14:paraId="31430179"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eastAsia="Times New Roman" w:hAnsi="Arial" w:cs="Arial"/>
                <w:b/>
                <w:sz w:val="24"/>
                <w:szCs w:val="24"/>
                <w:lang w:val="en-GB" w:eastAsia="en-ZA"/>
              </w:rPr>
              <w:t>0.807</w:t>
            </w:r>
          </w:p>
        </w:tc>
        <w:tc>
          <w:tcPr>
            <w:tcW w:w="851" w:type="dxa"/>
          </w:tcPr>
          <w:p w14:paraId="729C4191"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eastAsia="Times New Roman" w:hAnsi="Arial" w:cs="Arial"/>
                <w:b/>
                <w:sz w:val="24"/>
                <w:szCs w:val="24"/>
                <w:lang w:val="en-GB" w:eastAsia="en-ZA"/>
              </w:rPr>
              <w:t>0.512</w:t>
            </w:r>
          </w:p>
        </w:tc>
        <w:tc>
          <w:tcPr>
            <w:tcW w:w="851" w:type="dxa"/>
            <w:tcMar>
              <w:top w:w="75" w:type="dxa"/>
              <w:left w:w="75" w:type="dxa"/>
              <w:bottom w:w="75" w:type="dxa"/>
              <w:right w:w="75" w:type="dxa"/>
            </w:tcMar>
            <w:vAlign w:val="center"/>
            <w:hideMark/>
          </w:tcPr>
          <w:p w14:paraId="6F8C43DF"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0.607</w:t>
            </w:r>
          </w:p>
        </w:tc>
        <w:tc>
          <w:tcPr>
            <w:tcW w:w="850" w:type="dxa"/>
            <w:tcMar>
              <w:top w:w="75" w:type="dxa"/>
              <w:left w:w="75" w:type="dxa"/>
              <w:bottom w:w="75" w:type="dxa"/>
              <w:right w:w="75" w:type="dxa"/>
            </w:tcMar>
            <w:vAlign w:val="center"/>
            <w:hideMark/>
          </w:tcPr>
          <w:p w14:paraId="7314A6F0"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0.715*</w:t>
            </w:r>
          </w:p>
        </w:tc>
        <w:tc>
          <w:tcPr>
            <w:tcW w:w="709" w:type="dxa"/>
            <w:tcMar>
              <w:top w:w="75" w:type="dxa"/>
              <w:left w:w="75" w:type="dxa"/>
              <w:bottom w:w="75" w:type="dxa"/>
              <w:right w:w="75" w:type="dxa"/>
            </w:tcMar>
            <w:vAlign w:val="center"/>
            <w:hideMark/>
          </w:tcPr>
          <w:p w14:paraId="7A5538CC" w14:textId="77777777" w:rsidR="00653A68" w:rsidRPr="00D7220B" w:rsidRDefault="00653A68" w:rsidP="00D7220B">
            <w:pPr>
              <w:tabs>
                <w:tab w:val="left" w:pos="630"/>
              </w:tabs>
              <w:spacing w:after="0" w:line="240" w:lineRule="auto"/>
              <w:jc w:val="both"/>
              <w:rPr>
                <w:rFonts w:ascii="Arial" w:eastAsia="Times New Roman" w:hAnsi="Arial" w:cs="Arial"/>
                <w:sz w:val="24"/>
                <w:szCs w:val="24"/>
                <w:lang w:val="en-GB" w:eastAsia="en-ZA"/>
              </w:rPr>
            </w:pPr>
          </w:p>
        </w:tc>
        <w:tc>
          <w:tcPr>
            <w:tcW w:w="850" w:type="dxa"/>
          </w:tcPr>
          <w:p w14:paraId="3270F4CE" w14:textId="77777777" w:rsidR="00653A68" w:rsidRPr="00D7220B" w:rsidRDefault="00653A68" w:rsidP="00D7220B">
            <w:pPr>
              <w:tabs>
                <w:tab w:val="left" w:pos="630"/>
              </w:tabs>
              <w:spacing w:after="0" w:line="240" w:lineRule="auto"/>
              <w:jc w:val="both"/>
              <w:rPr>
                <w:rFonts w:ascii="Arial" w:eastAsia="Times New Roman" w:hAnsi="Arial" w:cs="Arial"/>
                <w:b/>
                <w:sz w:val="24"/>
                <w:szCs w:val="24"/>
                <w:lang w:val="en-GB" w:eastAsia="en-ZA"/>
              </w:rPr>
            </w:pPr>
          </w:p>
        </w:tc>
        <w:tc>
          <w:tcPr>
            <w:tcW w:w="850" w:type="dxa"/>
          </w:tcPr>
          <w:p w14:paraId="326C3EB4"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eastAsia="Times New Roman" w:hAnsi="Arial" w:cs="Arial"/>
                <w:b/>
                <w:sz w:val="24"/>
                <w:szCs w:val="24"/>
                <w:lang w:val="en-GB" w:eastAsia="en-ZA"/>
              </w:rPr>
              <w:t>0.769</w:t>
            </w:r>
          </w:p>
        </w:tc>
        <w:tc>
          <w:tcPr>
            <w:tcW w:w="709" w:type="dxa"/>
          </w:tcPr>
          <w:p w14:paraId="7DAE5E3F"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hAnsi="Arial" w:cs="Arial"/>
                <w:b/>
                <w:sz w:val="24"/>
                <w:szCs w:val="24"/>
              </w:rPr>
              <w:t>0.595</w:t>
            </w:r>
          </w:p>
        </w:tc>
        <w:tc>
          <w:tcPr>
            <w:tcW w:w="850" w:type="dxa"/>
            <w:tcMar>
              <w:top w:w="75" w:type="dxa"/>
              <w:left w:w="75" w:type="dxa"/>
              <w:bottom w:w="75" w:type="dxa"/>
              <w:right w:w="75" w:type="dxa"/>
            </w:tcMar>
            <w:vAlign w:val="center"/>
            <w:hideMark/>
          </w:tcPr>
          <w:p w14:paraId="25629571"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0.505</w:t>
            </w:r>
          </w:p>
        </w:tc>
        <w:tc>
          <w:tcPr>
            <w:tcW w:w="859" w:type="dxa"/>
          </w:tcPr>
          <w:p w14:paraId="520BE1F2"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0.771*</w:t>
            </w:r>
          </w:p>
        </w:tc>
        <w:tc>
          <w:tcPr>
            <w:tcW w:w="709" w:type="dxa"/>
          </w:tcPr>
          <w:p w14:paraId="2CE7EF36" w14:textId="77777777" w:rsidR="00653A68" w:rsidRPr="00D7220B" w:rsidRDefault="00653A68" w:rsidP="00D7220B">
            <w:pPr>
              <w:tabs>
                <w:tab w:val="left" w:pos="630"/>
              </w:tabs>
              <w:spacing w:after="0" w:line="240" w:lineRule="auto"/>
              <w:jc w:val="both"/>
              <w:rPr>
                <w:rFonts w:ascii="Arial" w:eastAsia="Times New Roman" w:hAnsi="Arial" w:cs="Arial"/>
                <w:sz w:val="24"/>
                <w:szCs w:val="24"/>
                <w:lang w:val="en-GB" w:eastAsia="en-ZA"/>
              </w:rPr>
            </w:pPr>
          </w:p>
        </w:tc>
      </w:tr>
      <w:tr w:rsidR="005C5102" w:rsidRPr="00D7220B" w14:paraId="5017FDE3" w14:textId="77777777" w:rsidTr="008E2279">
        <w:trPr>
          <w:trHeight w:val="252"/>
        </w:trPr>
        <w:tc>
          <w:tcPr>
            <w:tcW w:w="842" w:type="dxa"/>
            <w:tcMar>
              <w:top w:w="150" w:type="dxa"/>
              <w:left w:w="150" w:type="dxa"/>
              <w:bottom w:w="150" w:type="dxa"/>
              <w:right w:w="150" w:type="dxa"/>
            </w:tcMar>
            <w:vAlign w:val="center"/>
          </w:tcPr>
          <w:p w14:paraId="5875B78F"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LA</w:t>
            </w:r>
          </w:p>
          <w:p w14:paraId="370FD0BA" w14:textId="77777777" w:rsidR="00653A68" w:rsidRPr="00D7220B" w:rsidRDefault="00653A68" w:rsidP="00D7220B">
            <w:pPr>
              <w:tabs>
                <w:tab w:val="left" w:pos="630"/>
              </w:tabs>
              <w:spacing w:after="0" w:line="240" w:lineRule="auto"/>
              <w:jc w:val="both"/>
              <w:rPr>
                <w:rFonts w:ascii="Arial" w:eastAsia="Times New Roman" w:hAnsi="Arial" w:cs="Arial"/>
                <w:b/>
                <w:bCs/>
                <w:sz w:val="24"/>
                <w:szCs w:val="24"/>
                <w:lang w:val="en-GB" w:eastAsia="en-ZA"/>
              </w:rPr>
            </w:pPr>
          </w:p>
        </w:tc>
        <w:tc>
          <w:tcPr>
            <w:tcW w:w="851" w:type="dxa"/>
          </w:tcPr>
          <w:p w14:paraId="74C738FF"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eastAsia="Times New Roman" w:hAnsi="Arial" w:cs="Arial"/>
                <w:b/>
                <w:sz w:val="24"/>
                <w:szCs w:val="24"/>
                <w:lang w:val="en-GB" w:eastAsia="en-ZA"/>
              </w:rPr>
              <w:t>0.704</w:t>
            </w:r>
          </w:p>
        </w:tc>
        <w:tc>
          <w:tcPr>
            <w:tcW w:w="851" w:type="dxa"/>
          </w:tcPr>
          <w:p w14:paraId="19E28F24"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eastAsia="Times New Roman" w:hAnsi="Arial" w:cs="Arial"/>
                <w:b/>
                <w:sz w:val="24"/>
                <w:szCs w:val="24"/>
                <w:lang w:val="en-GB" w:eastAsia="en-ZA"/>
              </w:rPr>
              <w:t>0.542</w:t>
            </w:r>
          </w:p>
        </w:tc>
        <w:tc>
          <w:tcPr>
            <w:tcW w:w="851" w:type="dxa"/>
            <w:tcMar>
              <w:top w:w="75" w:type="dxa"/>
              <w:left w:w="75" w:type="dxa"/>
              <w:bottom w:w="75" w:type="dxa"/>
              <w:right w:w="75" w:type="dxa"/>
            </w:tcMar>
            <w:vAlign w:val="center"/>
          </w:tcPr>
          <w:p w14:paraId="239A1F56"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0.514</w:t>
            </w:r>
          </w:p>
        </w:tc>
        <w:tc>
          <w:tcPr>
            <w:tcW w:w="850" w:type="dxa"/>
            <w:tcMar>
              <w:top w:w="75" w:type="dxa"/>
              <w:left w:w="75" w:type="dxa"/>
              <w:bottom w:w="75" w:type="dxa"/>
              <w:right w:w="75" w:type="dxa"/>
            </w:tcMar>
            <w:vAlign w:val="center"/>
          </w:tcPr>
          <w:p w14:paraId="6AB0F61D"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0.646</w:t>
            </w:r>
          </w:p>
        </w:tc>
        <w:tc>
          <w:tcPr>
            <w:tcW w:w="709" w:type="dxa"/>
            <w:tcMar>
              <w:top w:w="75" w:type="dxa"/>
              <w:left w:w="75" w:type="dxa"/>
              <w:bottom w:w="75" w:type="dxa"/>
              <w:right w:w="75" w:type="dxa"/>
            </w:tcMar>
            <w:vAlign w:val="center"/>
          </w:tcPr>
          <w:p w14:paraId="21DEA881"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0.736*</w:t>
            </w:r>
          </w:p>
        </w:tc>
        <w:tc>
          <w:tcPr>
            <w:tcW w:w="850" w:type="dxa"/>
          </w:tcPr>
          <w:p w14:paraId="75F31AE7" w14:textId="77777777" w:rsidR="00653A68" w:rsidRPr="00D7220B" w:rsidRDefault="00653A68" w:rsidP="00D7220B">
            <w:pPr>
              <w:tabs>
                <w:tab w:val="left" w:pos="630"/>
              </w:tabs>
              <w:spacing w:after="0" w:line="240" w:lineRule="auto"/>
              <w:jc w:val="both"/>
              <w:rPr>
                <w:rFonts w:ascii="Arial" w:eastAsia="Times New Roman" w:hAnsi="Arial" w:cs="Arial"/>
                <w:b/>
                <w:sz w:val="24"/>
                <w:szCs w:val="24"/>
                <w:lang w:val="en-GB" w:eastAsia="en-ZA"/>
              </w:rPr>
            </w:pPr>
          </w:p>
        </w:tc>
        <w:tc>
          <w:tcPr>
            <w:tcW w:w="850" w:type="dxa"/>
          </w:tcPr>
          <w:p w14:paraId="0A5BF90C"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eastAsia="Times New Roman" w:hAnsi="Arial" w:cs="Arial"/>
                <w:b/>
                <w:sz w:val="24"/>
                <w:szCs w:val="24"/>
                <w:lang w:val="en-GB" w:eastAsia="en-ZA"/>
              </w:rPr>
              <w:t>0.709</w:t>
            </w:r>
          </w:p>
        </w:tc>
        <w:tc>
          <w:tcPr>
            <w:tcW w:w="709" w:type="dxa"/>
          </w:tcPr>
          <w:p w14:paraId="056DEED8"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hAnsi="Arial" w:cs="Arial"/>
                <w:b/>
                <w:sz w:val="24"/>
                <w:szCs w:val="24"/>
              </w:rPr>
              <w:t>0.564</w:t>
            </w:r>
          </w:p>
        </w:tc>
        <w:tc>
          <w:tcPr>
            <w:tcW w:w="850" w:type="dxa"/>
            <w:tcMar>
              <w:top w:w="75" w:type="dxa"/>
              <w:left w:w="75" w:type="dxa"/>
              <w:bottom w:w="75" w:type="dxa"/>
              <w:right w:w="75" w:type="dxa"/>
            </w:tcMar>
            <w:vAlign w:val="center"/>
          </w:tcPr>
          <w:p w14:paraId="657091C2"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0.526</w:t>
            </w:r>
          </w:p>
        </w:tc>
        <w:tc>
          <w:tcPr>
            <w:tcW w:w="859" w:type="dxa"/>
          </w:tcPr>
          <w:p w14:paraId="2A94AFA5"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0.544</w:t>
            </w:r>
          </w:p>
        </w:tc>
        <w:tc>
          <w:tcPr>
            <w:tcW w:w="709" w:type="dxa"/>
          </w:tcPr>
          <w:p w14:paraId="2523238F"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0.750*</w:t>
            </w:r>
          </w:p>
        </w:tc>
      </w:tr>
    </w:tbl>
    <w:p w14:paraId="4373DE9B" w14:textId="77777777" w:rsidR="00653A68" w:rsidRPr="00D7220B" w:rsidRDefault="00D5242A" w:rsidP="00D7220B">
      <w:pPr>
        <w:tabs>
          <w:tab w:val="left" w:pos="630"/>
        </w:tabs>
        <w:spacing w:after="0" w:line="240" w:lineRule="auto"/>
        <w:jc w:val="both"/>
        <w:rPr>
          <w:rFonts w:ascii="Arial" w:hAnsi="Arial" w:cs="Arial"/>
          <w:b/>
          <w:sz w:val="24"/>
          <w:szCs w:val="24"/>
        </w:rPr>
      </w:pPr>
      <w:r w:rsidRPr="00D7220B">
        <w:rPr>
          <w:rFonts w:ascii="Arial" w:hAnsi="Arial" w:cs="Arial"/>
          <w:i/>
          <w:sz w:val="24"/>
          <w:szCs w:val="24"/>
        </w:rPr>
        <w:t>SC School Culture, SCL School Climate and LA Learners Achievement</w:t>
      </w:r>
      <w:r w:rsidRPr="00D7220B">
        <w:rPr>
          <w:rFonts w:ascii="Arial" w:hAnsi="Arial" w:cs="Arial"/>
          <w:b/>
          <w:sz w:val="24"/>
          <w:szCs w:val="24"/>
        </w:rPr>
        <w:t>.</w:t>
      </w:r>
    </w:p>
    <w:p w14:paraId="4F2FC4C9" w14:textId="77777777" w:rsidR="00653A68" w:rsidRPr="00D7220B" w:rsidRDefault="00653A68" w:rsidP="00D7220B">
      <w:pPr>
        <w:spacing w:after="0" w:line="240" w:lineRule="auto"/>
        <w:jc w:val="both"/>
        <w:rPr>
          <w:rFonts w:ascii="Arial" w:hAnsi="Arial" w:cs="Arial"/>
          <w:b/>
          <w:sz w:val="24"/>
          <w:szCs w:val="24"/>
        </w:rPr>
      </w:pPr>
    </w:p>
    <w:p w14:paraId="769D431C" w14:textId="77777777" w:rsidR="00653A68" w:rsidRPr="00D7220B" w:rsidRDefault="00D1463E" w:rsidP="00D7220B">
      <w:pPr>
        <w:spacing w:after="0" w:line="240" w:lineRule="auto"/>
        <w:jc w:val="both"/>
        <w:rPr>
          <w:rFonts w:ascii="Arial" w:hAnsi="Arial" w:cs="Arial"/>
          <w:b/>
          <w:sz w:val="24"/>
          <w:szCs w:val="24"/>
          <w:lang w:val="en-GB"/>
        </w:rPr>
      </w:pPr>
      <w:r>
        <w:rPr>
          <w:rFonts w:ascii="Arial" w:hAnsi="Arial" w:cs="Arial"/>
          <w:b/>
          <w:sz w:val="24"/>
          <w:szCs w:val="24"/>
          <w:lang w:val="en-GB"/>
        </w:rPr>
        <w:t>4.3 </w:t>
      </w:r>
      <w:r w:rsidR="004D2BCA" w:rsidRPr="00D7220B">
        <w:rPr>
          <w:rFonts w:ascii="Arial" w:hAnsi="Arial" w:cs="Arial"/>
          <w:b/>
          <w:sz w:val="24"/>
          <w:szCs w:val="24"/>
          <w:lang w:val="en-GB"/>
        </w:rPr>
        <w:t>CONFIRMATORY FACTOR ANALYSIS: MEASUREMENT MODEL</w:t>
      </w:r>
      <w:bookmarkEnd w:id="0"/>
    </w:p>
    <w:p w14:paraId="0A247F30" w14:textId="77777777" w:rsidR="00653A68" w:rsidRPr="00D7220B" w:rsidRDefault="00653A68" w:rsidP="00D7220B">
      <w:pPr>
        <w:spacing w:after="0" w:line="240" w:lineRule="auto"/>
        <w:jc w:val="both"/>
        <w:rPr>
          <w:rFonts w:ascii="Arial" w:hAnsi="Arial" w:cs="Arial"/>
          <w:b/>
          <w:sz w:val="24"/>
          <w:szCs w:val="24"/>
          <w:lang w:val="en-GB"/>
        </w:rPr>
      </w:pPr>
    </w:p>
    <w:p w14:paraId="35300B36" w14:textId="77777777" w:rsidR="00653A68" w:rsidRPr="00D7220B" w:rsidRDefault="009E1FA3" w:rsidP="00D7220B">
      <w:pPr>
        <w:spacing w:after="0" w:line="240" w:lineRule="auto"/>
        <w:jc w:val="both"/>
        <w:rPr>
          <w:rFonts w:ascii="Arial" w:hAnsi="Arial" w:cs="Arial"/>
          <w:sz w:val="24"/>
          <w:szCs w:val="24"/>
          <w:lang w:val="en-GB"/>
        </w:rPr>
      </w:pPr>
      <w:r>
        <w:rPr>
          <w:rFonts w:ascii="Arial" w:hAnsi="Arial" w:cs="Arial"/>
          <w:sz w:val="24"/>
          <w:szCs w:val="24"/>
          <w:lang w:val="en-GB"/>
        </w:rPr>
        <w:t xml:space="preserve">Confirmatory Factor Analysis (CFA) was performed before Structural Equation Modelling (SEM) to evaluate the proposed measurement model and verify the reliability and validity of the constructs. CFA assessed </w:t>
      </w:r>
      <w:r w:rsidR="00D1463E">
        <w:rPr>
          <w:rFonts w:ascii="Arial" w:hAnsi="Arial" w:cs="Arial"/>
          <w:sz w:val="24"/>
          <w:szCs w:val="24"/>
          <w:lang w:val="en-GB"/>
        </w:rPr>
        <w:t>the fit of the measurement models to</w:t>
      </w:r>
      <w:r>
        <w:rPr>
          <w:rFonts w:ascii="Arial" w:hAnsi="Arial" w:cs="Arial"/>
          <w:sz w:val="24"/>
          <w:szCs w:val="24"/>
          <w:lang w:val="en-GB"/>
        </w:rPr>
        <w:t xml:space="preserve"> the study data, as shown in Figure 2, which illustrates the measurement models for learner achievement dimensions. These models show that the dimensions of learner achievement are accurately represented by their respective indicators and that the constructs are consistent across </w:t>
      </w:r>
      <w:r w:rsidR="00D1463E">
        <w:rPr>
          <w:rFonts w:ascii="Arial" w:hAnsi="Arial" w:cs="Arial"/>
          <w:sz w:val="24"/>
          <w:szCs w:val="24"/>
          <w:lang w:val="en-GB"/>
        </w:rPr>
        <w:t>secondary schools of different types</w:t>
      </w:r>
      <w:r>
        <w:rPr>
          <w:rFonts w:ascii="Arial" w:hAnsi="Arial" w:cs="Arial"/>
          <w:sz w:val="24"/>
          <w:szCs w:val="24"/>
          <w:lang w:val="en-GB"/>
        </w:rPr>
        <w:t>. This result supports the validity and reliability of the measurement framework, confirming its appropriateness for assessing and comparing learner achievements across diverse educational settings and systems.</w:t>
      </w:r>
    </w:p>
    <w:p w14:paraId="0F2AE7FE" w14:textId="77777777" w:rsidR="00653A68" w:rsidRPr="00D7220B" w:rsidRDefault="00653A68" w:rsidP="00D7220B">
      <w:pPr>
        <w:spacing w:after="0" w:line="240" w:lineRule="auto"/>
        <w:jc w:val="both"/>
        <w:rPr>
          <w:rFonts w:ascii="Arial" w:hAnsi="Arial" w:cs="Arial"/>
          <w:b/>
          <w:sz w:val="24"/>
          <w:szCs w:val="24"/>
          <w:lang w:val="en-GB"/>
        </w:rPr>
      </w:pPr>
    </w:p>
    <w:p w14:paraId="7C12B8C9"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noProof/>
          <w:sz w:val="24"/>
          <w:szCs w:val="24"/>
        </w:rPr>
        <w:drawing>
          <wp:inline distT="0" distB="0" distL="0" distR="0" wp14:anchorId="76FCA896" wp14:editId="55DC7342">
            <wp:extent cx="5756910" cy="24470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79023" cy="2456497"/>
                    </a:xfrm>
                    <a:prstGeom prst="rect">
                      <a:avLst/>
                    </a:prstGeom>
                  </pic:spPr>
                </pic:pic>
              </a:graphicData>
            </a:graphic>
          </wp:inline>
        </w:drawing>
      </w:r>
    </w:p>
    <w:p w14:paraId="7547FC17"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b/>
          <w:sz w:val="24"/>
          <w:szCs w:val="24"/>
        </w:rPr>
        <w:lastRenderedPageBreak/>
        <w:t>Figure 2:</w:t>
      </w:r>
      <w:r w:rsidRPr="00D7220B">
        <w:rPr>
          <w:rFonts w:ascii="Arial" w:hAnsi="Arial" w:cs="Arial"/>
          <w:sz w:val="24"/>
          <w:szCs w:val="24"/>
        </w:rPr>
        <w:t xml:space="preserve"> </w:t>
      </w:r>
      <w:r w:rsidRPr="004D2BCA">
        <w:rPr>
          <w:rFonts w:ascii="Arial" w:hAnsi="Arial" w:cs="Arial"/>
          <w:i/>
          <w:sz w:val="24"/>
          <w:szCs w:val="24"/>
        </w:rPr>
        <w:t>Path Coefficients</w:t>
      </w:r>
    </w:p>
    <w:p w14:paraId="659EEEF9" w14:textId="77777777" w:rsidR="00653A68" w:rsidRPr="00D7220B" w:rsidRDefault="00653A68" w:rsidP="00D7220B">
      <w:pPr>
        <w:spacing w:after="0" w:line="240" w:lineRule="auto"/>
        <w:jc w:val="both"/>
        <w:rPr>
          <w:rFonts w:ascii="Arial" w:hAnsi="Arial" w:cs="Arial"/>
          <w:sz w:val="24"/>
          <w:szCs w:val="24"/>
        </w:rPr>
      </w:pPr>
    </w:p>
    <w:p w14:paraId="1D42A099" w14:textId="53A7742D"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Table </w:t>
      </w:r>
      <w:r w:rsidR="005A5EFC">
        <w:rPr>
          <w:rFonts w:ascii="Arial" w:hAnsi="Arial" w:cs="Arial"/>
          <w:sz w:val="24"/>
          <w:szCs w:val="24"/>
        </w:rPr>
        <w:t>4</w:t>
      </w:r>
      <w:r w:rsidRPr="00D7220B">
        <w:rPr>
          <w:rFonts w:ascii="Arial" w:hAnsi="Arial" w:cs="Arial"/>
          <w:sz w:val="24"/>
          <w:szCs w:val="24"/>
        </w:rPr>
        <w:t xml:space="preserve"> presents the </w:t>
      </w:r>
      <w:r w:rsidR="00622D9E">
        <w:rPr>
          <w:rFonts w:ascii="Arial" w:hAnsi="Arial" w:cs="Arial"/>
          <w:sz w:val="24"/>
          <w:szCs w:val="24"/>
        </w:rPr>
        <w:t xml:space="preserve">CFA results, demonstrating that the proposed measurement models for both the Grant-Aided and Government datasets exhibit excellent goodness-of-fit across all </w:t>
      </w:r>
      <w:r w:rsidRPr="00D7220B">
        <w:rPr>
          <w:rFonts w:ascii="Arial" w:eastAsia="Calibri" w:hAnsi="Arial" w:cs="Arial"/>
          <w:sz w:val="24"/>
          <w:szCs w:val="24"/>
        </w:rPr>
        <w:t xml:space="preserve">evaluated indices. This indicates that the models accurately reflected the data and </w:t>
      </w:r>
      <w:r w:rsidRPr="00D7220B">
        <w:rPr>
          <w:rFonts w:ascii="Arial" w:hAnsi="Arial" w:cs="Arial"/>
          <w:sz w:val="24"/>
          <w:szCs w:val="24"/>
        </w:rPr>
        <w:t xml:space="preserve">were </w:t>
      </w:r>
      <w:r w:rsidR="00622D9E">
        <w:rPr>
          <w:rFonts w:ascii="Arial" w:hAnsi="Arial" w:cs="Arial"/>
          <w:sz w:val="24"/>
          <w:szCs w:val="24"/>
        </w:rPr>
        <w:t>well-suited to</w:t>
      </w:r>
      <w:r w:rsidRPr="00D7220B">
        <w:rPr>
          <w:rFonts w:ascii="Arial" w:hAnsi="Arial" w:cs="Arial"/>
          <w:sz w:val="24"/>
          <w:szCs w:val="24"/>
        </w:rPr>
        <w:t xml:space="preserve"> this study. The results confirm</w:t>
      </w:r>
      <w:r w:rsidRPr="00D7220B">
        <w:rPr>
          <w:rFonts w:ascii="Arial" w:eastAsia="Calibri" w:hAnsi="Arial" w:cs="Arial"/>
          <w:sz w:val="24"/>
          <w:szCs w:val="24"/>
        </w:rPr>
        <w:t xml:space="preserve">ed the validity and reliability of the measured constructs, thereby increasing confidence in the </w:t>
      </w:r>
      <w:r w:rsidR="00195065">
        <w:rPr>
          <w:rFonts w:ascii="Arial" w:hAnsi="Arial" w:cs="Arial"/>
          <w:sz w:val="24"/>
          <w:szCs w:val="24"/>
        </w:rPr>
        <w:t>study’</w:t>
      </w:r>
      <w:r w:rsidRPr="00D7220B">
        <w:rPr>
          <w:rFonts w:ascii="Arial" w:hAnsi="Arial" w:cs="Arial"/>
          <w:sz w:val="24"/>
          <w:szCs w:val="24"/>
        </w:rPr>
        <w:t>s conclusions</w:t>
      </w:r>
      <w:r w:rsidRPr="00D7220B">
        <w:rPr>
          <w:rFonts w:ascii="Arial" w:eastAsia="Calibri" w:hAnsi="Arial" w:cs="Arial"/>
          <w:sz w:val="24"/>
          <w:szCs w:val="24"/>
        </w:rPr>
        <w:t>.</w:t>
      </w:r>
    </w:p>
    <w:p w14:paraId="2017D4C4" w14:textId="77777777" w:rsidR="00653A68" w:rsidRPr="00D7220B" w:rsidRDefault="00653A68" w:rsidP="00D7220B">
      <w:pPr>
        <w:spacing w:after="0" w:line="240" w:lineRule="auto"/>
        <w:jc w:val="both"/>
        <w:rPr>
          <w:rFonts w:ascii="Arial" w:hAnsi="Arial" w:cs="Arial"/>
          <w:sz w:val="24"/>
          <w:szCs w:val="24"/>
        </w:rPr>
      </w:pPr>
    </w:p>
    <w:p w14:paraId="4D4A2C1C" w14:textId="37C8CD9D" w:rsidR="00653A68" w:rsidRPr="00D7220B" w:rsidRDefault="00D5242A" w:rsidP="00D7220B">
      <w:pPr>
        <w:spacing w:after="0" w:line="240" w:lineRule="auto"/>
        <w:jc w:val="both"/>
        <w:rPr>
          <w:rFonts w:ascii="Arial" w:hAnsi="Arial" w:cs="Arial"/>
          <w:sz w:val="24"/>
          <w:szCs w:val="24"/>
        </w:rPr>
      </w:pPr>
      <w:r w:rsidRPr="004D2BCA">
        <w:rPr>
          <w:rFonts w:ascii="Arial" w:hAnsi="Arial" w:cs="Arial"/>
          <w:b/>
          <w:sz w:val="24"/>
          <w:szCs w:val="24"/>
        </w:rPr>
        <w:t xml:space="preserve">Table </w:t>
      </w:r>
      <w:r w:rsidR="005A5EFC">
        <w:rPr>
          <w:rFonts w:ascii="Arial" w:hAnsi="Arial" w:cs="Arial"/>
          <w:b/>
          <w:sz w:val="24"/>
          <w:szCs w:val="24"/>
        </w:rPr>
        <w:t>4</w:t>
      </w:r>
      <w:r w:rsidRPr="00D7220B">
        <w:rPr>
          <w:rFonts w:ascii="Arial" w:hAnsi="Arial" w:cs="Arial"/>
          <w:sz w:val="24"/>
          <w:szCs w:val="24"/>
        </w:rPr>
        <w:t xml:space="preserve">: </w:t>
      </w:r>
      <w:r w:rsidRPr="004D2BCA">
        <w:rPr>
          <w:rFonts w:ascii="Arial" w:hAnsi="Arial" w:cs="Arial"/>
          <w:i/>
          <w:sz w:val="24"/>
          <w:szCs w:val="24"/>
        </w:rPr>
        <w:t>Goodness of fit indices</w:t>
      </w:r>
      <w:r w:rsidRPr="00D7220B">
        <w:rPr>
          <w:rFonts w:ascii="Arial" w:hAnsi="Arial" w:cs="Arial"/>
          <w:sz w:val="24"/>
          <w:szCs w:val="24"/>
        </w:rPr>
        <w:t xml:space="preserve"> </w:t>
      </w:r>
    </w:p>
    <w:tbl>
      <w:tblPr>
        <w:tblW w:w="9209" w:type="dxa"/>
        <w:tblLayout w:type="fixed"/>
        <w:tblLook w:val="04A0" w:firstRow="1" w:lastRow="0" w:firstColumn="1" w:lastColumn="0" w:noHBand="0" w:noVBand="1"/>
      </w:tblPr>
      <w:tblGrid>
        <w:gridCol w:w="1413"/>
        <w:gridCol w:w="992"/>
        <w:gridCol w:w="709"/>
        <w:gridCol w:w="709"/>
        <w:gridCol w:w="850"/>
        <w:gridCol w:w="992"/>
        <w:gridCol w:w="851"/>
        <w:gridCol w:w="709"/>
        <w:gridCol w:w="992"/>
        <w:gridCol w:w="992"/>
      </w:tblGrid>
      <w:tr w:rsidR="005C5102" w:rsidRPr="00D7220B" w14:paraId="61F87D3C" w14:textId="77777777" w:rsidTr="008E2279">
        <w:trPr>
          <w:trHeight w:val="450"/>
        </w:trPr>
        <w:tc>
          <w:tcPr>
            <w:tcW w:w="1413" w:type="dxa"/>
            <w:tcBorders>
              <w:top w:val="single" w:sz="4" w:space="0" w:color="auto"/>
              <w:left w:val="single" w:sz="4" w:space="0" w:color="auto"/>
              <w:bottom w:val="single" w:sz="4" w:space="0" w:color="auto"/>
              <w:right w:val="single" w:sz="4" w:space="0" w:color="auto"/>
            </w:tcBorders>
            <w:shd w:val="clear" w:color="auto" w:fill="002060"/>
            <w:hideMark/>
          </w:tcPr>
          <w:p w14:paraId="318AFDE6"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Model</w:t>
            </w:r>
          </w:p>
        </w:tc>
        <w:tc>
          <w:tcPr>
            <w:tcW w:w="992" w:type="dxa"/>
            <w:tcBorders>
              <w:top w:val="single" w:sz="4" w:space="0" w:color="auto"/>
              <w:left w:val="single" w:sz="4" w:space="0" w:color="auto"/>
              <w:bottom w:val="single" w:sz="4" w:space="0" w:color="auto"/>
              <w:right w:val="single" w:sz="4" w:space="0" w:color="auto"/>
            </w:tcBorders>
            <w:shd w:val="clear" w:color="auto" w:fill="002060"/>
            <w:hideMark/>
          </w:tcPr>
          <w:p w14:paraId="3C3B1E39"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CMIN (X²)</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14:paraId="430336FD"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CD</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14:paraId="6D617048"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P</w:t>
            </w:r>
          </w:p>
        </w:tc>
        <w:tc>
          <w:tcPr>
            <w:tcW w:w="850" w:type="dxa"/>
            <w:tcBorders>
              <w:top w:val="single" w:sz="4" w:space="0" w:color="auto"/>
              <w:left w:val="single" w:sz="4" w:space="0" w:color="auto"/>
              <w:bottom w:val="single" w:sz="4" w:space="0" w:color="auto"/>
              <w:right w:val="single" w:sz="4" w:space="0" w:color="auto"/>
            </w:tcBorders>
            <w:shd w:val="clear" w:color="auto" w:fill="002060"/>
            <w:hideMark/>
          </w:tcPr>
          <w:p w14:paraId="4E1D7B55"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SRMR</w:t>
            </w:r>
          </w:p>
        </w:tc>
        <w:tc>
          <w:tcPr>
            <w:tcW w:w="992" w:type="dxa"/>
            <w:tcBorders>
              <w:top w:val="single" w:sz="4" w:space="0" w:color="auto"/>
              <w:left w:val="single" w:sz="4" w:space="0" w:color="auto"/>
              <w:bottom w:val="single" w:sz="4" w:space="0" w:color="auto"/>
              <w:right w:val="single" w:sz="4" w:space="0" w:color="auto"/>
            </w:tcBorders>
            <w:shd w:val="clear" w:color="auto" w:fill="002060"/>
            <w:hideMark/>
          </w:tcPr>
          <w:p w14:paraId="5C114B69"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RMSEA</w:t>
            </w:r>
          </w:p>
        </w:tc>
        <w:tc>
          <w:tcPr>
            <w:tcW w:w="851" w:type="dxa"/>
            <w:tcBorders>
              <w:top w:val="single" w:sz="4" w:space="0" w:color="auto"/>
              <w:left w:val="single" w:sz="4" w:space="0" w:color="auto"/>
              <w:bottom w:val="single" w:sz="4" w:space="0" w:color="auto"/>
              <w:right w:val="single" w:sz="4" w:space="0" w:color="auto"/>
            </w:tcBorders>
            <w:shd w:val="clear" w:color="auto" w:fill="002060"/>
            <w:hideMark/>
          </w:tcPr>
          <w:p w14:paraId="1E86EBB0"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TLI</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14:paraId="390C9209"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CFI</w:t>
            </w:r>
          </w:p>
        </w:tc>
        <w:tc>
          <w:tcPr>
            <w:tcW w:w="992" w:type="dxa"/>
            <w:tcBorders>
              <w:top w:val="single" w:sz="4" w:space="0" w:color="auto"/>
              <w:left w:val="single" w:sz="4" w:space="0" w:color="auto"/>
              <w:bottom w:val="single" w:sz="4" w:space="0" w:color="auto"/>
              <w:right w:val="single" w:sz="4" w:space="0" w:color="auto"/>
            </w:tcBorders>
            <w:shd w:val="clear" w:color="auto" w:fill="002060"/>
            <w:hideMark/>
          </w:tcPr>
          <w:p w14:paraId="324B279B"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AIC</w:t>
            </w:r>
          </w:p>
        </w:tc>
        <w:tc>
          <w:tcPr>
            <w:tcW w:w="992" w:type="dxa"/>
            <w:tcBorders>
              <w:top w:val="single" w:sz="4" w:space="0" w:color="auto"/>
              <w:left w:val="single" w:sz="4" w:space="0" w:color="auto"/>
              <w:bottom w:val="single" w:sz="4" w:space="0" w:color="auto"/>
              <w:right w:val="single" w:sz="4" w:space="0" w:color="auto"/>
            </w:tcBorders>
            <w:shd w:val="clear" w:color="auto" w:fill="002060"/>
            <w:hideMark/>
          </w:tcPr>
          <w:p w14:paraId="083B31F7"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BIC</w:t>
            </w:r>
          </w:p>
        </w:tc>
      </w:tr>
      <w:tr w:rsidR="005C5102" w:rsidRPr="00D7220B" w14:paraId="604EC381" w14:textId="77777777" w:rsidTr="008E2279">
        <w:trPr>
          <w:trHeight w:val="689"/>
        </w:trPr>
        <w:tc>
          <w:tcPr>
            <w:tcW w:w="1413" w:type="dxa"/>
            <w:tcBorders>
              <w:top w:val="single" w:sz="4" w:space="0" w:color="auto"/>
              <w:left w:val="single" w:sz="4" w:space="0" w:color="auto"/>
              <w:bottom w:val="single" w:sz="4" w:space="0" w:color="auto"/>
              <w:right w:val="single" w:sz="4" w:space="0" w:color="auto"/>
            </w:tcBorders>
            <w:hideMark/>
          </w:tcPr>
          <w:p w14:paraId="14E962F5"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Grant-Aided</w:t>
            </w:r>
          </w:p>
        </w:tc>
        <w:tc>
          <w:tcPr>
            <w:tcW w:w="992" w:type="dxa"/>
            <w:tcBorders>
              <w:top w:val="single" w:sz="4" w:space="0" w:color="auto"/>
              <w:left w:val="single" w:sz="4" w:space="0" w:color="auto"/>
              <w:bottom w:val="single" w:sz="4" w:space="0" w:color="auto"/>
              <w:right w:val="single" w:sz="4" w:space="0" w:color="auto"/>
            </w:tcBorders>
            <w:hideMark/>
          </w:tcPr>
          <w:p w14:paraId="588603A7"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147.167</w:t>
            </w:r>
          </w:p>
        </w:tc>
        <w:tc>
          <w:tcPr>
            <w:tcW w:w="709" w:type="dxa"/>
            <w:tcBorders>
              <w:top w:val="single" w:sz="4" w:space="0" w:color="auto"/>
              <w:left w:val="single" w:sz="4" w:space="0" w:color="auto"/>
              <w:bottom w:val="single" w:sz="4" w:space="0" w:color="auto"/>
              <w:right w:val="single" w:sz="4" w:space="0" w:color="auto"/>
            </w:tcBorders>
            <w:hideMark/>
          </w:tcPr>
          <w:p w14:paraId="284715C8"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0.521</w:t>
            </w:r>
          </w:p>
        </w:tc>
        <w:tc>
          <w:tcPr>
            <w:tcW w:w="709" w:type="dxa"/>
            <w:tcBorders>
              <w:top w:val="single" w:sz="4" w:space="0" w:color="auto"/>
              <w:left w:val="single" w:sz="4" w:space="0" w:color="auto"/>
              <w:bottom w:val="single" w:sz="4" w:space="0" w:color="auto"/>
              <w:right w:val="single" w:sz="4" w:space="0" w:color="auto"/>
            </w:tcBorders>
            <w:hideMark/>
          </w:tcPr>
          <w:p w14:paraId="4A1B53A7"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0.000</w:t>
            </w:r>
          </w:p>
        </w:tc>
        <w:tc>
          <w:tcPr>
            <w:tcW w:w="850" w:type="dxa"/>
            <w:tcBorders>
              <w:top w:val="single" w:sz="4" w:space="0" w:color="auto"/>
              <w:left w:val="single" w:sz="4" w:space="0" w:color="auto"/>
              <w:bottom w:val="single" w:sz="4" w:space="0" w:color="auto"/>
              <w:right w:val="single" w:sz="4" w:space="0" w:color="auto"/>
            </w:tcBorders>
            <w:hideMark/>
          </w:tcPr>
          <w:p w14:paraId="1564F7C6"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0.013</w:t>
            </w:r>
          </w:p>
        </w:tc>
        <w:tc>
          <w:tcPr>
            <w:tcW w:w="992" w:type="dxa"/>
            <w:tcBorders>
              <w:top w:val="single" w:sz="4" w:space="0" w:color="auto"/>
              <w:left w:val="single" w:sz="4" w:space="0" w:color="auto"/>
              <w:bottom w:val="single" w:sz="4" w:space="0" w:color="auto"/>
              <w:right w:val="single" w:sz="4" w:space="0" w:color="auto"/>
            </w:tcBorders>
            <w:hideMark/>
          </w:tcPr>
          <w:p w14:paraId="5D82330E"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w:t>
            </w:r>
            <w:r w:rsidR="00E43F2F" w:rsidRPr="00D7220B">
              <w:rPr>
                <w:rFonts w:ascii="Arial" w:hAnsi="Arial" w:cs="Arial"/>
                <w:sz w:val="24"/>
                <w:szCs w:val="24"/>
              </w:rPr>
              <w:t>.013</w:t>
            </w:r>
          </w:p>
        </w:tc>
        <w:tc>
          <w:tcPr>
            <w:tcW w:w="851" w:type="dxa"/>
            <w:tcBorders>
              <w:top w:val="single" w:sz="4" w:space="0" w:color="auto"/>
              <w:left w:val="single" w:sz="4" w:space="0" w:color="auto"/>
              <w:bottom w:val="single" w:sz="4" w:space="0" w:color="auto"/>
              <w:right w:val="single" w:sz="4" w:space="0" w:color="auto"/>
            </w:tcBorders>
            <w:hideMark/>
          </w:tcPr>
          <w:p w14:paraId="66ED8EE7"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9.34</w:t>
            </w:r>
          </w:p>
        </w:tc>
        <w:tc>
          <w:tcPr>
            <w:tcW w:w="709" w:type="dxa"/>
            <w:tcBorders>
              <w:top w:val="single" w:sz="4" w:space="0" w:color="auto"/>
              <w:left w:val="single" w:sz="4" w:space="0" w:color="auto"/>
              <w:bottom w:val="single" w:sz="4" w:space="0" w:color="auto"/>
              <w:right w:val="single" w:sz="4" w:space="0" w:color="auto"/>
            </w:tcBorders>
            <w:hideMark/>
          </w:tcPr>
          <w:p w14:paraId="4290268F"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0.891</w:t>
            </w:r>
          </w:p>
        </w:tc>
        <w:tc>
          <w:tcPr>
            <w:tcW w:w="992" w:type="dxa"/>
            <w:tcBorders>
              <w:top w:val="single" w:sz="4" w:space="0" w:color="auto"/>
              <w:left w:val="single" w:sz="4" w:space="0" w:color="auto"/>
              <w:bottom w:val="single" w:sz="4" w:space="0" w:color="auto"/>
              <w:right w:val="single" w:sz="4" w:space="0" w:color="auto"/>
            </w:tcBorders>
          </w:tcPr>
          <w:p w14:paraId="2F241258"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2048.029</w:t>
            </w:r>
          </w:p>
        </w:tc>
        <w:tc>
          <w:tcPr>
            <w:tcW w:w="992" w:type="dxa"/>
            <w:tcBorders>
              <w:top w:val="single" w:sz="4" w:space="0" w:color="auto"/>
              <w:left w:val="single" w:sz="4" w:space="0" w:color="auto"/>
              <w:bottom w:val="single" w:sz="4" w:space="0" w:color="auto"/>
              <w:right w:val="single" w:sz="4" w:space="0" w:color="auto"/>
            </w:tcBorders>
          </w:tcPr>
          <w:p w14:paraId="15E07E02"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2068.72</w:t>
            </w:r>
          </w:p>
        </w:tc>
      </w:tr>
      <w:tr w:rsidR="005C5102" w:rsidRPr="00D7220B" w14:paraId="3E760F56" w14:textId="77777777" w:rsidTr="008E2279">
        <w:trPr>
          <w:trHeight w:val="274"/>
        </w:trPr>
        <w:tc>
          <w:tcPr>
            <w:tcW w:w="1413" w:type="dxa"/>
            <w:tcBorders>
              <w:top w:val="single" w:sz="4" w:space="0" w:color="auto"/>
              <w:left w:val="single" w:sz="4" w:space="0" w:color="auto"/>
              <w:bottom w:val="single" w:sz="4" w:space="0" w:color="auto"/>
              <w:right w:val="single" w:sz="4" w:space="0" w:color="auto"/>
            </w:tcBorders>
          </w:tcPr>
          <w:p w14:paraId="48AF0F38"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Government</w:t>
            </w:r>
          </w:p>
        </w:tc>
        <w:tc>
          <w:tcPr>
            <w:tcW w:w="992" w:type="dxa"/>
            <w:tcBorders>
              <w:top w:val="single" w:sz="4" w:space="0" w:color="auto"/>
              <w:left w:val="single" w:sz="4" w:space="0" w:color="auto"/>
              <w:bottom w:val="single" w:sz="4" w:space="0" w:color="auto"/>
              <w:right w:val="single" w:sz="4" w:space="0" w:color="auto"/>
            </w:tcBorders>
          </w:tcPr>
          <w:p w14:paraId="7EE7ABA2"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120.087</w:t>
            </w:r>
          </w:p>
        </w:tc>
        <w:tc>
          <w:tcPr>
            <w:tcW w:w="709" w:type="dxa"/>
            <w:tcBorders>
              <w:top w:val="single" w:sz="4" w:space="0" w:color="auto"/>
              <w:left w:val="single" w:sz="4" w:space="0" w:color="auto"/>
              <w:bottom w:val="single" w:sz="4" w:space="0" w:color="auto"/>
              <w:right w:val="single" w:sz="4" w:space="0" w:color="auto"/>
            </w:tcBorders>
          </w:tcPr>
          <w:p w14:paraId="18B07352"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0.366</w:t>
            </w:r>
          </w:p>
        </w:tc>
        <w:tc>
          <w:tcPr>
            <w:tcW w:w="709" w:type="dxa"/>
            <w:tcBorders>
              <w:top w:val="single" w:sz="4" w:space="0" w:color="auto"/>
              <w:left w:val="single" w:sz="4" w:space="0" w:color="auto"/>
              <w:bottom w:val="single" w:sz="4" w:space="0" w:color="auto"/>
              <w:right w:val="single" w:sz="4" w:space="0" w:color="auto"/>
            </w:tcBorders>
          </w:tcPr>
          <w:p w14:paraId="4444C1DE"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0.000</w:t>
            </w:r>
          </w:p>
        </w:tc>
        <w:tc>
          <w:tcPr>
            <w:tcW w:w="850" w:type="dxa"/>
            <w:tcBorders>
              <w:top w:val="single" w:sz="4" w:space="0" w:color="auto"/>
              <w:left w:val="single" w:sz="4" w:space="0" w:color="auto"/>
              <w:bottom w:val="single" w:sz="4" w:space="0" w:color="auto"/>
              <w:right w:val="single" w:sz="4" w:space="0" w:color="auto"/>
            </w:tcBorders>
          </w:tcPr>
          <w:p w14:paraId="1CCE3A84"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0.047</w:t>
            </w:r>
          </w:p>
        </w:tc>
        <w:tc>
          <w:tcPr>
            <w:tcW w:w="992" w:type="dxa"/>
            <w:tcBorders>
              <w:top w:val="single" w:sz="4" w:space="0" w:color="auto"/>
              <w:left w:val="single" w:sz="4" w:space="0" w:color="auto"/>
              <w:bottom w:val="single" w:sz="4" w:space="0" w:color="auto"/>
              <w:right w:val="single" w:sz="4" w:space="0" w:color="auto"/>
            </w:tcBorders>
          </w:tcPr>
          <w:p w14:paraId="2EA79DC4"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0.030</w:t>
            </w:r>
          </w:p>
        </w:tc>
        <w:tc>
          <w:tcPr>
            <w:tcW w:w="851" w:type="dxa"/>
            <w:tcBorders>
              <w:top w:val="single" w:sz="4" w:space="0" w:color="auto"/>
              <w:left w:val="single" w:sz="4" w:space="0" w:color="auto"/>
              <w:bottom w:val="single" w:sz="4" w:space="0" w:color="auto"/>
              <w:right w:val="single" w:sz="4" w:space="0" w:color="auto"/>
            </w:tcBorders>
          </w:tcPr>
          <w:p w14:paraId="6F5C2A70"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0.911</w:t>
            </w:r>
          </w:p>
        </w:tc>
        <w:tc>
          <w:tcPr>
            <w:tcW w:w="709" w:type="dxa"/>
            <w:tcBorders>
              <w:top w:val="single" w:sz="4" w:space="0" w:color="auto"/>
              <w:left w:val="single" w:sz="4" w:space="0" w:color="auto"/>
              <w:bottom w:val="single" w:sz="4" w:space="0" w:color="auto"/>
              <w:right w:val="single" w:sz="4" w:space="0" w:color="auto"/>
            </w:tcBorders>
          </w:tcPr>
          <w:p w14:paraId="3DD4FA68"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0.902</w:t>
            </w:r>
          </w:p>
        </w:tc>
        <w:tc>
          <w:tcPr>
            <w:tcW w:w="992" w:type="dxa"/>
            <w:tcBorders>
              <w:top w:val="single" w:sz="4" w:space="0" w:color="auto"/>
              <w:left w:val="single" w:sz="4" w:space="0" w:color="auto"/>
              <w:bottom w:val="single" w:sz="4" w:space="0" w:color="auto"/>
              <w:right w:val="single" w:sz="4" w:space="0" w:color="auto"/>
            </w:tcBorders>
          </w:tcPr>
          <w:p w14:paraId="2E973B07"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2420.487</w:t>
            </w:r>
          </w:p>
        </w:tc>
        <w:tc>
          <w:tcPr>
            <w:tcW w:w="992" w:type="dxa"/>
            <w:tcBorders>
              <w:top w:val="single" w:sz="4" w:space="0" w:color="auto"/>
              <w:left w:val="single" w:sz="4" w:space="0" w:color="auto"/>
              <w:bottom w:val="single" w:sz="4" w:space="0" w:color="auto"/>
              <w:right w:val="single" w:sz="4" w:space="0" w:color="auto"/>
            </w:tcBorders>
          </w:tcPr>
          <w:p w14:paraId="7AC04DD0"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2441.746</w:t>
            </w:r>
          </w:p>
        </w:tc>
      </w:tr>
      <w:tr w:rsidR="005C5102" w:rsidRPr="00D7220B" w14:paraId="78F24FD0" w14:textId="77777777" w:rsidTr="008E2279">
        <w:trPr>
          <w:trHeight w:val="681"/>
        </w:trPr>
        <w:tc>
          <w:tcPr>
            <w:tcW w:w="1413" w:type="dxa"/>
            <w:tcBorders>
              <w:top w:val="single" w:sz="4" w:space="0" w:color="auto"/>
              <w:left w:val="single" w:sz="4" w:space="0" w:color="auto"/>
              <w:bottom w:val="single" w:sz="4" w:space="0" w:color="auto"/>
              <w:right w:val="single" w:sz="4" w:space="0" w:color="auto"/>
            </w:tcBorders>
            <w:hideMark/>
          </w:tcPr>
          <w:p w14:paraId="523729F0"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Indicate acceptable fit</w:t>
            </w:r>
          </w:p>
        </w:tc>
        <w:tc>
          <w:tcPr>
            <w:tcW w:w="992" w:type="dxa"/>
            <w:tcBorders>
              <w:top w:val="single" w:sz="4" w:space="0" w:color="auto"/>
              <w:left w:val="single" w:sz="4" w:space="0" w:color="auto"/>
              <w:bottom w:val="single" w:sz="4" w:space="0" w:color="auto"/>
              <w:right w:val="single" w:sz="4" w:space="0" w:color="auto"/>
            </w:tcBorders>
            <w:hideMark/>
          </w:tcPr>
          <w:p w14:paraId="2950B1E8"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7C5E355"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AEE363"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14:paraId="59560695"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&lt;3 or &lt;5</w:t>
            </w:r>
          </w:p>
        </w:tc>
        <w:tc>
          <w:tcPr>
            <w:tcW w:w="992" w:type="dxa"/>
            <w:tcBorders>
              <w:top w:val="single" w:sz="4" w:space="0" w:color="auto"/>
              <w:left w:val="single" w:sz="4" w:space="0" w:color="auto"/>
              <w:bottom w:val="single" w:sz="4" w:space="0" w:color="auto"/>
              <w:right w:val="single" w:sz="4" w:space="0" w:color="auto"/>
            </w:tcBorders>
            <w:hideMark/>
          </w:tcPr>
          <w:p w14:paraId="5447761E" w14:textId="77777777" w:rsidR="00653A68" w:rsidRPr="00D7220B" w:rsidRDefault="00D5242A" w:rsidP="00D7220B">
            <w:pPr>
              <w:spacing w:after="0" w:line="240" w:lineRule="auto"/>
              <w:jc w:val="both"/>
              <w:rPr>
                <w:rFonts w:ascii="Arial" w:hAnsi="Arial" w:cs="Arial"/>
                <w:sz w:val="24"/>
                <w:szCs w:val="24"/>
                <w:u w:val="single"/>
              </w:rPr>
            </w:pPr>
            <w:r w:rsidRPr="00D7220B">
              <w:rPr>
                <w:rFonts w:ascii="Arial" w:hAnsi="Arial" w:cs="Arial"/>
                <w:sz w:val="24"/>
                <w:szCs w:val="24"/>
                <w:u w:val="single"/>
              </w:rPr>
              <w:t>&lt;</w:t>
            </w:r>
            <w:r w:rsidRPr="00D7220B">
              <w:rPr>
                <w:rFonts w:ascii="Arial" w:hAnsi="Arial" w:cs="Arial"/>
                <w:sz w:val="24"/>
                <w:szCs w:val="24"/>
              </w:rPr>
              <w:t xml:space="preserve"> 0.08</w:t>
            </w:r>
          </w:p>
        </w:tc>
        <w:tc>
          <w:tcPr>
            <w:tcW w:w="851" w:type="dxa"/>
            <w:tcBorders>
              <w:top w:val="single" w:sz="4" w:space="0" w:color="auto"/>
              <w:left w:val="single" w:sz="4" w:space="0" w:color="auto"/>
              <w:bottom w:val="single" w:sz="4" w:space="0" w:color="auto"/>
              <w:right w:val="single" w:sz="4" w:space="0" w:color="auto"/>
            </w:tcBorders>
            <w:hideMark/>
          </w:tcPr>
          <w:p w14:paraId="548B3DA1"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u w:val="single"/>
              </w:rPr>
              <w:t>&gt;</w:t>
            </w:r>
            <w:r w:rsidRPr="00D7220B">
              <w:rPr>
                <w:rFonts w:ascii="Arial" w:hAnsi="Arial" w:cs="Arial"/>
                <w:sz w:val="24"/>
                <w:szCs w:val="24"/>
              </w:rPr>
              <w:t xml:space="preserve"> 0.90</w:t>
            </w:r>
          </w:p>
        </w:tc>
        <w:tc>
          <w:tcPr>
            <w:tcW w:w="709" w:type="dxa"/>
            <w:tcBorders>
              <w:top w:val="single" w:sz="4" w:space="0" w:color="auto"/>
              <w:left w:val="single" w:sz="4" w:space="0" w:color="auto"/>
              <w:bottom w:val="single" w:sz="4" w:space="0" w:color="auto"/>
              <w:right w:val="single" w:sz="4" w:space="0" w:color="auto"/>
            </w:tcBorders>
            <w:hideMark/>
          </w:tcPr>
          <w:p w14:paraId="7CC8366E"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u w:val="single"/>
              </w:rPr>
              <w:t>&gt;</w:t>
            </w:r>
            <w:r w:rsidRPr="00D7220B">
              <w:rPr>
                <w:rFonts w:ascii="Arial" w:hAnsi="Arial" w:cs="Arial"/>
                <w:sz w:val="24"/>
                <w:szCs w:val="24"/>
              </w:rPr>
              <w:t xml:space="preserve"> 0.90</w:t>
            </w:r>
          </w:p>
        </w:tc>
        <w:tc>
          <w:tcPr>
            <w:tcW w:w="992" w:type="dxa"/>
            <w:tcBorders>
              <w:top w:val="single" w:sz="4" w:space="0" w:color="auto"/>
              <w:left w:val="single" w:sz="4" w:space="0" w:color="auto"/>
              <w:bottom w:val="single" w:sz="4" w:space="0" w:color="auto"/>
              <w:right w:val="single" w:sz="4" w:space="0" w:color="auto"/>
            </w:tcBorders>
          </w:tcPr>
          <w:p w14:paraId="27DD1E36" w14:textId="77777777" w:rsidR="00653A68" w:rsidRPr="00D7220B" w:rsidRDefault="00653A68" w:rsidP="00D7220B">
            <w:pPr>
              <w:spacing w:after="0" w:line="240" w:lineRule="auto"/>
              <w:jc w:val="both"/>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14:paraId="68DCC805" w14:textId="77777777" w:rsidR="00653A68" w:rsidRPr="00D7220B" w:rsidRDefault="00653A68" w:rsidP="00D7220B">
            <w:pPr>
              <w:spacing w:after="0" w:line="240" w:lineRule="auto"/>
              <w:jc w:val="both"/>
              <w:rPr>
                <w:rFonts w:ascii="Arial" w:hAnsi="Arial" w:cs="Arial"/>
                <w:sz w:val="24"/>
                <w:szCs w:val="24"/>
              </w:rPr>
            </w:pPr>
          </w:p>
        </w:tc>
      </w:tr>
    </w:tbl>
    <w:p w14:paraId="02ECE344" w14:textId="77777777" w:rsidR="00653A68" w:rsidRPr="00D7220B" w:rsidRDefault="00D5242A" w:rsidP="00D7220B">
      <w:pPr>
        <w:spacing w:before="100" w:beforeAutospacing="1" w:after="100" w:afterAutospacing="1" w:line="240" w:lineRule="auto"/>
        <w:jc w:val="both"/>
        <w:outlineLvl w:val="3"/>
        <w:rPr>
          <w:rFonts w:ascii="Arial" w:eastAsia="Times New Roman" w:hAnsi="Arial" w:cs="Arial"/>
          <w:b/>
          <w:bCs/>
          <w:sz w:val="24"/>
          <w:szCs w:val="24"/>
        </w:rPr>
      </w:pPr>
      <w:r w:rsidRPr="00D7220B">
        <w:rPr>
          <w:rFonts w:ascii="Arial" w:eastAsia="Times New Roman" w:hAnsi="Arial" w:cs="Arial"/>
          <w:b/>
          <w:bCs/>
          <w:sz w:val="24"/>
          <w:szCs w:val="24"/>
        </w:rPr>
        <w:t>Hypothesis: The Structural Equation Modelling (SEM)</w:t>
      </w:r>
    </w:p>
    <w:p w14:paraId="54D74F30" w14:textId="77777777" w:rsidR="00C87A74" w:rsidRPr="00D7220B" w:rsidRDefault="00D5242A" w:rsidP="00D7220B">
      <w:pPr>
        <w:spacing w:before="100" w:beforeAutospacing="1" w:after="100" w:afterAutospacing="1" w:line="240" w:lineRule="auto"/>
        <w:jc w:val="both"/>
        <w:rPr>
          <w:rFonts w:ascii="Arial" w:eastAsia="Times New Roman" w:hAnsi="Arial" w:cs="Arial"/>
          <w:sz w:val="24"/>
          <w:szCs w:val="24"/>
        </w:rPr>
      </w:pPr>
      <w:r w:rsidRPr="00D7220B">
        <w:rPr>
          <w:rFonts w:ascii="Arial" w:eastAsia="Times New Roman" w:hAnsi="Arial" w:cs="Arial"/>
          <w:sz w:val="24"/>
          <w:szCs w:val="24"/>
        </w:rPr>
        <w:t>To evaluate the research hypotheses and assess the conceptual models, we employed SEM, a robust method that facilitates simultaneous examination of multiple relationships among constructs. This approach is particularly advantageous for analysing both direct and mediated effects.</w:t>
      </w:r>
    </w:p>
    <w:p w14:paraId="6305DA13" w14:textId="5D9B8D0D" w:rsidR="00653A68" w:rsidRPr="00D7220B" w:rsidRDefault="00D5242A" w:rsidP="00D7220B">
      <w:pPr>
        <w:spacing w:after="0" w:line="240" w:lineRule="auto"/>
        <w:jc w:val="both"/>
        <w:rPr>
          <w:rFonts w:ascii="Arial" w:eastAsia="Times New Roman" w:hAnsi="Arial" w:cs="Arial"/>
          <w:sz w:val="24"/>
          <w:szCs w:val="24"/>
        </w:rPr>
      </w:pPr>
      <w:r w:rsidRPr="009E1FA3">
        <w:rPr>
          <w:rFonts w:ascii="Arial" w:eastAsia="Times New Roman" w:hAnsi="Arial" w:cs="Arial"/>
          <w:b/>
          <w:sz w:val="24"/>
          <w:szCs w:val="24"/>
        </w:rPr>
        <w:t xml:space="preserve">Table </w:t>
      </w:r>
      <w:r w:rsidR="005A5EFC">
        <w:rPr>
          <w:rFonts w:ascii="Arial" w:eastAsia="Times New Roman" w:hAnsi="Arial" w:cs="Arial"/>
          <w:b/>
          <w:sz w:val="24"/>
          <w:szCs w:val="24"/>
        </w:rPr>
        <w:t>5</w:t>
      </w:r>
      <w:r w:rsidRPr="009E1FA3">
        <w:rPr>
          <w:rFonts w:ascii="Arial" w:eastAsia="Times New Roman" w:hAnsi="Arial" w:cs="Arial"/>
          <w:b/>
          <w:sz w:val="24"/>
          <w:szCs w:val="24"/>
        </w:rPr>
        <w:t>:</w:t>
      </w:r>
      <w:r w:rsidRPr="00D7220B">
        <w:rPr>
          <w:rFonts w:ascii="Arial" w:eastAsia="Times New Roman" w:hAnsi="Arial" w:cs="Arial"/>
          <w:sz w:val="24"/>
          <w:szCs w:val="24"/>
        </w:rPr>
        <w:t xml:space="preserve"> </w:t>
      </w:r>
      <w:r w:rsidRPr="009E1FA3">
        <w:rPr>
          <w:rFonts w:ascii="Arial" w:eastAsia="Times New Roman" w:hAnsi="Arial" w:cs="Arial"/>
          <w:i/>
          <w:sz w:val="24"/>
          <w:szCs w:val="24"/>
        </w:rPr>
        <w:t>SEM Results</w:t>
      </w:r>
    </w:p>
    <w:tbl>
      <w:tblPr>
        <w:tblStyle w:val="GridTable2-Accent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892"/>
        <w:gridCol w:w="862"/>
        <w:gridCol w:w="867"/>
        <w:gridCol w:w="840"/>
        <w:gridCol w:w="817"/>
        <w:gridCol w:w="1512"/>
      </w:tblGrid>
      <w:tr w:rsidR="005C5102" w:rsidRPr="00D7220B" w14:paraId="28083A35" w14:textId="77777777" w:rsidTr="005C5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none" w:sz="0" w:space="0" w:color="auto"/>
              <w:bottom w:val="none" w:sz="0" w:space="0" w:color="auto"/>
              <w:right w:val="none" w:sz="0" w:space="0" w:color="auto"/>
            </w:tcBorders>
          </w:tcPr>
          <w:p w14:paraId="728C027C" w14:textId="77777777" w:rsidR="00653A68" w:rsidRPr="00D7220B" w:rsidRDefault="00D5242A" w:rsidP="00D7220B">
            <w:pPr>
              <w:tabs>
                <w:tab w:val="left" w:pos="630"/>
              </w:tabs>
              <w:jc w:val="both"/>
              <w:rPr>
                <w:rFonts w:ascii="Arial" w:hAnsi="Arial" w:cs="Arial"/>
                <w:sz w:val="24"/>
                <w:szCs w:val="24"/>
              </w:rPr>
            </w:pPr>
            <w:r w:rsidRPr="00D7220B">
              <w:rPr>
                <w:rFonts w:ascii="Arial" w:hAnsi="Arial" w:cs="Arial"/>
                <w:sz w:val="24"/>
                <w:szCs w:val="24"/>
              </w:rPr>
              <w:t>NS</w:t>
            </w:r>
          </w:p>
        </w:tc>
        <w:tc>
          <w:tcPr>
            <w:tcW w:w="3960" w:type="dxa"/>
            <w:vMerge w:val="restart"/>
            <w:tcBorders>
              <w:top w:val="none" w:sz="0" w:space="0" w:color="auto"/>
              <w:left w:val="none" w:sz="0" w:space="0" w:color="auto"/>
              <w:bottom w:val="none" w:sz="0" w:space="0" w:color="auto"/>
              <w:right w:val="none" w:sz="0" w:space="0" w:color="auto"/>
            </w:tcBorders>
          </w:tcPr>
          <w:p w14:paraId="00484B5B" w14:textId="77777777" w:rsidR="00653A68" w:rsidRPr="00D7220B" w:rsidRDefault="00D5242A" w:rsidP="00D7220B">
            <w:pPr>
              <w:tabs>
                <w:tab w:val="left" w:pos="63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Variables</w:t>
            </w:r>
          </w:p>
        </w:tc>
        <w:tc>
          <w:tcPr>
            <w:tcW w:w="1731" w:type="dxa"/>
            <w:gridSpan w:val="2"/>
            <w:tcBorders>
              <w:top w:val="none" w:sz="0" w:space="0" w:color="auto"/>
              <w:left w:val="none" w:sz="0" w:space="0" w:color="auto"/>
              <w:bottom w:val="none" w:sz="0" w:space="0" w:color="auto"/>
              <w:right w:val="none" w:sz="0" w:space="0" w:color="auto"/>
            </w:tcBorders>
          </w:tcPr>
          <w:p w14:paraId="707FA2B8" w14:textId="77777777" w:rsidR="00653A68" w:rsidRPr="00D7220B" w:rsidRDefault="00D5242A" w:rsidP="00D7220B">
            <w:pPr>
              <w:tabs>
                <w:tab w:val="left" w:pos="63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Grant-Aided</w:t>
            </w:r>
          </w:p>
        </w:tc>
        <w:tc>
          <w:tcPr>
            <w:tcW w:w="1586" w:type="dxa"/>
            <w:gridSpan w:val="2"/>
            <w:tcBorders>
              <w:top w:val="none" w:sz="0" w:space="0" w:color="auto"/>
              <w:left w:val="none" w:sz="0" w:space="0" w:color="auto"/>
              <w:bottom w:val="none" w:sz="0" w:space="0" w:color="auto"/>
              <w:right w:val="none" w:sz="0" w:space="0" w:color="auto"/>
            </w:tcBorders>
          </w:tcPr>
          <w:p w14:paraId="6B9263AE" w14:textId="77777777" w:rsidR="00653A68" w:rsidRPr="00D7220B" w:rsidRDefault="00D5242A" w:rsidP="00D7220B">
            <w:pPr>
              <w:tabs>
                <w:tab w:val="left" w:pos="63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Government</w:t>
            </w:r>
          </w:p>
        </w:tc>
        <w:tc>
          <w:tcPr>
            <w:tcW w:w="1512" w:type="dxa"/>
            <w:vMerge w:val="restart"/>
            <w:tcBorders>
              <w:top w:val="none" w:sz="0" w:space="0" w:color="auto"/>
              <w:left w:val="none" w:sz="0" w:space="0" w:color="auto"/>
              <w:bottom w:val="none" w:sz="0" w:space="0" w:color="auto"/>
            </w:tcBorders>
          </w:tcPr>
          <w:p w14:paraId="6A06F595" w14:textId="77777777" w:rsidR="00653A68" w:rsidRPr="00D7220B" w:rsidRDefault="00D5242A" w:rsidP="00D7220B">
            <w:pPr>
              <w:tabs>
                <w:tab w:val="left" w:pos="63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Hypothesis</w:t>
            </w:r>
          </w:p>
        </w:tc>
      </w:tr>
      <w:tr w:rsidR="005C5102" w:rsidRPr="00D7220B" w14:paraId="25783412" w14:textId="77777777" w:rsidTr="005C5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14:paraId="5EADDE5D" w14:textId="77777777" w:rsidR="00653A68" w:rsidRPr="00D7220B" w:rsidRDefault="00653A68" w:rsidP="00D7220B">
            <w:pPr>
              <w:tabs>
                <w:tab w:val="left" w:pos="630"/>
              </w:tabs>
              <w:jc w:val="both"/>
              <w:rPr>
                <w:rFonts w:ascii="Arial" w:hAnsi="Arial" w:cs="Arial"/>
                <w:sz w:val="24"/>
                <w:szCs w:val="24"/>
              </w:rPr>
            </w:pPr>
          </w:p>
        </w:tc>
        <w:tc>
          <w:tcPr>
            <w:tcW w:w="3960" w:type="dxa"/>
            <w:vMerge/>
          </w:tcPr>
          <w:p w14:paraId="4F389131"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863" w:type="dxa"/>
          </w:tcPr>
          <w:p w14:paraId="4826E4DC"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Coef.</w:t>
            </w:r>
          </w:p>
        </w:tc>
        <w:tc>
          <w:tcPr>
            <w:tcW w:w="868" w:type="dxa"/>
          </w:tcPr>
          <w:p w14:paraId="1726A085"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P&gt;IzI</w:t>
            </w:r>
          </w:p>
        </w:tc>
        <w:tc>
          <w:tcPr>
            <w:tcW w:w="841" w:type="dxa"/>
          </w:tcPr>
          <w:p w14:paraId="3FE8C491"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Coef.</w:t>
            </w:r>
          </w:p>
        </w:tc>
        <w:tc>
          <w:tcPr>
            <w:tcW w:w="745" w:type="dxa"/>
          </w:tcPr>
          <w:p w14:paraId="5FC9B5A2"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P&gt;IzI</w:t>
            </w:r>
          </w:p>
        </w:tc>
        <w:tc>
          <w:tcPr>
            <w:tcW w:w="1512" w:type="dxa"/>
            <w:vMerge/>
          </w:tcPr>
          <w:p w14:paraId="5849E237"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C5102" w:rsidRPr="00D7220B" w14:paraId="0393174E" w14:textId="77777777" w:rsidTr="005C5102">
        <w:tc>
          <w:tcPr>
            <w:cnfStyle w:val="001000000000" w:firstRow="0" w:lastRow="0" w:firstColumn="1" w:lastColumn="0" w:oddVBand="0" w:evenVBand="0" w:oddHBand="0" w:evenHBand="0" w:firstRowFirstColumn="0" w:firstRowLastColumn="0" w:lastRowFirstColumn="0" w:lastRowLastColumn="0"/>
            <w:tcW w:w="562" w:type="dxa"/>
          </w:tcPr>
          <w:p w14:paraId="0F725316" w14:textId="77777777" w:rsidR="00653A68" w:rsidRPr="00D7220B" w:rsidRDefault="00D5242A" w:rsidP="00D7220B">
            <w:pPr>
              <w:tabs>
                <w:tab w:val="left" w:pos="630"/>
              </w:tabs>
              <w:jc w:val="both"/>
              <w:rPr>
                <w:rFonts w:ascii="Arial" w:hAnsi="Arial" w:cs="Arial"/>
                <w:sz w:val="24"/>
                <w:szCs w:val="24"/>
              </w:rPr>
            </w:pPr>
            <w:r w:rsidRPr="00D7220B">
              <w:rPr>
                <w:rFonts w:ascii="Arial" w:hAnsi="Arial" w:cs="Arial"/>
                <w:sz w:val="24"/>
                <w:szCs w:val="24"/>
              </w:rPr>
              <w:t>1</w:t>
            </w:r>
          </w:p>
        </w:tc>
        <w:tc>
          <w:tcPr>
            <w:tcW w:w="3960" w:type="dxa"/>
          </w:tcPr>
          <w:p w14:paraId="2FEA1D7A"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School climate -&gt; Learner Achievement</w:t>
            </w:r>
          </w:p>
        </w:tc>
        <w:tc>
          <w:tcPr>
            <w:tcW w:w="863" w:type="dxa"/>
          </w:tcPr>
          <w:p w14:paraId="4379AAC9"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0.859</w:t>
            </w:r>
          </w:p>
        </w:tc>
        <w:tc>
          <w:tcPr>
            <w:tcW w:w="868" w:type="dxa"/>
          </w:tcPr>
          <w:p w14:paraId="2D99B637"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0.000</w:t>
            </w:r>
          </w:p>
        </w:tc>
        <w:tc>
          <w:tcPr>
            <w:tcW w:w="841" w:type="dxa"/>
          </w:tcPr>
          <w:p w14:paraId="7CF0239C"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0.591</w:t>
            </w:r>
          </w:p>
        </w:tc>
        <w:tc>
          <w:tcPr>
            <w:tcW w:w="745" w:type="dxa"/>
          </w:tcPr>
          <w:p w14:paraId="23930A6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0.000</w:t>
            </w:r>
          </w:p>
        </w:tc>
        <w:tc>
          <w:tcPr>
            <w:tcW w:w="1512" w:type="dxa"/>
          </w:tcPr>
          <w:p w14:paraId="5B025566"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H1 Accepted</w:t>
            </w:r>
          </w:p>
        </w:tc>
      </w:tr>
      <w:tr w:rsidR="005C5102" w:rsidRPr="00D7220B" w14:paraId="7462ED14" w14:textId="77777777" w:rsidTr="005C5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CF1B85E" w14:textId="77777777" w:rsidR="00653A68" w:rsidRPr="00D7220B" w:rsidRDefault="00D5242A" w:rsidP="00D7220B">
            <w:pPr>
              <w:tabs>
                <w:tab w:val="left" w:pos="630"/>
              </w:tabs>
              <w:jc w:val="both"/>
              <w:rPr>
                <w:rFonts w:ascii="Arial" w:hAnsi="Arial" w:cs="Arial"/>
                <w:sz w:val="24"/>
                <w:szCs w:val="24"/>
              </w:rPr>
            </w:pPr>
            <w:r w:rsidRPr="00D7220B">
              <w:rPr>
                <w:rFonts w:ascii="Arial" w:hAnsi="Arial" w:cs="Arial"/>
                <w:sz w:val="24"/>
                <w:szCs w:val="24"/>
              </w:rPr>
              <w:t>2</w:t>
            </w:r>
          </w:p>
        </w:tc>
        <w:tc>
          <w:tcPr>
            <w:tcW w:w="3960" w:type="dxa"/>
          </w:tcPr>
          <w:p w14:paraId="203ACE5C"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 xml:space="preserve">School Climate -&gt; School Culture </w:t>
            </w:r>
          </w:p>
        </w:tc>
        <w:tc>
          <w:tcPr>
            <w:tcW w:w="863" w:type="dxa"/>
          </w:tcPr>
          <w:p w14:paraId="0B0B5B98"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1.136</w:t>
            </w:r>
          </w:p>
        </w:tc>
        <w:tc>
          <w:tcPr>
            <w:tcW w:w="868" w:type="dxa"/>
          </w:tcPr>
          <w:p w14:paraId="4DC58439"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0.000</w:t>
            </w:r>
          </w:p>
        </w:tc>
        <w:tc>
          <w:tcPr>
            <w:tcW w:w="841" w:type="dxa"/>
          </w:tcPr>
          <w:p w14:paraId="2D6E6CC7"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0.945</w:t>
            </w:r>
          </w:p>
        </w:tc>
        <w:tc>
          <w:tcPr>
            <w:tcW w:w="745" w:type="dxa"/>
          </w:tcPr>
          <w:p w14:paraId="004FE19E"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0.000</w:t>
            </w:r>
          </w:p>
        </w:tc>
        <w:tc>
          <w:tcPr>
            <w:tcW w:w="1512" w:type="dxa"/>
          </w:tcPr>
          <w:p w14:paraId="138F1D47"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H2 Accepted</w:t>
            </w:r>
          </w:p>
        </w:tc>
      </w:tr>
      <w:tr w:rsidR="005C5102" w:rsidRPr="00D7220B" w14:paraId="7ACE5112" w14:textId="77777777" w:rsidTr="005C5102">
        <w:tc>
          <w:tcPr>
            <w:cnfStyle w:val="001000000000" w:firstRow="0" w:lastRow="0" w:firstColumn="1" w:lastColumn="0" w:oddVBand="0" w:evenVBand="0" w:oddHBand="0" w:evenHBand="0" w:firstRowFirstColumn="0" w:firstRowLastColumn="0" w:lastRowFirstColumn="0" w:lastRowLastColumn="0"/>
            <w:tcW w:w="562" w:type="dxa"/>
          </w:tcPr>
          <w:p w14:paraId="122E20FF" w14:textId="77777777" w:rsidR="00653A68" w:rsidRPr="00D7220B" w:rsidRDefault="00D5242A" w:rsidP="00D7220B">
            <w:pPr>
              <w:tabs>
                <w:tab w:val="left" w:pos="630"/>
              </w:tabs>
              <w:jc w:val="both"/>
              <w:rPr>
                <w:rFonts w:ascii="Arial" w:hAnsi="Arial" w:cs="Arial"/>
                <w:sz w:val="24"/>
                <w:szCs w:val="24"/>
              </w:rPr>
            </w:pPr>
            <w:r w:rsidRPr="00D7220B">
              <w:rPr>
                <w:rFonts w:ascii="Arial" w:hAnsi="Arial" w:cs="Arial"/>
                <w:sz w:val="24"/>
                <w:szCs w:val="24"/>
              </w:rPr>
              <w:t>3</w:t>
            </w:r>
          </w:p>
        </w:tc>
        <w:tc>
          <w:tcPr>
            <w:tcW w:w="3960" w:type="dxa"/>
          </w:tcPr>
          <w:p w14:paraId="0EB47E9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School Culture -&gt; Learner Achievement</w:t>
            </w:r>
          </w:p>
        </w:tc>
        <w:tc>
          <w:tcPr>
            <w:tcW w:w="863" w:type="dxa"/>
          </w:tcPr>
          <w:p w14:paraId="3D68A020"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1.161</w:t>
            </w:r>
          </w:p>
        </w:tc>
        <w:tc>
          <w:tcPr>
            <w:tcW w:w="868" w:type="dxa"/>
          </w:tcPr>
          <w:p w14:paraId="71D3B37B"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0.018</w:t>
            </w:r>
          </w:p>
        </w:tc>
        <w:tc>
          <w:tcPr>
            <w:tcW w:w="841" w:type="dxa"/>
          </w:tcPr>
          <w:p w14:paraId="619956F0"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0.278</w:t>
            </w:r>
          </w:p>
        </w:tc>
        <w:tc>
          <w:tcPr>
            <w:tcW w:w="745" w:type="dxa"/>
          </w:tcPr>
          <w:p w14:paraId="52A92CB3"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0.000</w:t>
            </w:r>
          </w:p>
        </w:tc>
        <w:tc>
          <w:tcPr>
            <w:tcW w:w="1512" w:type="dxa"/>
          </w:tcPr>
          <w:p w14:paraId="3F249E0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H3 Accepted</w:t>
            </w:r>
          </w:p>
        </w:tc>
      </w:tr>
    </w:tbl>
    <w:p w14:paraId="58090F08" w14:textId="77777777" w:rsidR="00653A68" w:rsidRPr="00D7220B" w:rsidRDefault="00D5242A" w:rsidP="00D7220B">
      <w:pPr>
        <w:tabs>
          <w:tab w:val="left" w:pos="630"/>
        </w:tabs>
        <w:spacing w:after="0" w:line="240" w:lineRule="auto"/>
        <w:jc w:val="both"/>
        <w:rPr>
          <w:rFonts w:ascii="Arial" w:eastAsia="Times New Roman" w:hAnsi="Arial" w:cs="Arial"/>
          <w:i/>
          <w:iCs/>
          <w:sz w:val="24"/>
          <w:szCs w:val="24"/>
          <w:lang w:val="en-GB" w:eastAsia="pl-PL"/>
        </w:rPr>
      </w:pPr>
      <w:r w:rsidRPr="00D7220B">
        <w:rPr>
          <w:rFonts w:ascii="Arial" w:eastAsia="Times New Roman" w:hAnsi="Arial" w:cs="Arial"/>
          <w:i/>
          <w:iCs/>
          <w:sz w:val="24"/>
          <w:szCs w:val="24"/>
          <w:lang w:val="en-GB" w:eastAsia="pl-PL"/>
        </w:rPr>
        <w:t>*p&lt;.05</w:t>
      </w:r>
    </w:p>
    <w:p w14:paraId="6E928A88" w14:textId="77777777" w:rsidR="00653A68" w:rsidRDefault="00D5242A" w:rsidP="00D7220B">
      <w:pPr>
        <w:tabs>
          <w:tab w:val="left" w:pos="630"/>
        </w:tabs>
        <w:spacing w:after="0" w:line="240" w:lineRule="auto"/>
        <w:jc w:val="both"/>
        <w:rPr>
          <w:rFonts w:ascii="Arial" w:eastAsia="Times New Roman" w:hAnsi="Arial" w:cs="Arial"/>
          <w:i/>
          <w:iCs/>
          <w:sz w:val="24"/>
          <w:szCs w:val="24"/>
          <w:lang w:val="en-GB" w:eastAsia="pl-PL"/>
        </w:rPr>
      </w:pPr>
      <w:r w:rsidRPr="00D7220B">
        <w:rPr>
          <w:rFonts w:ascii="Arial" w:eastAsia="Times New Roman" w:hAnsi="Arial" w:cs="Arial"/>
          <w:b/>
          <w:iCs/>
          <w:sz w:val="24"/>
          <w:szCs w:val="24"/>
          <w:lang w:val="en-GB" w:eastAsia="pl-PL"/>
        </w:rPr>
        <w:t>Source:</w:t>
      </w:r>
      <w:r w:rsidRPr="00D7220B">
        <w:rPr>
          <w:rFonts w:ascii="Arial" w:eastAsia="Times New Roman" w:hAnsi="Arial" w:cs="Arial"/>
          <w:i/>
          <w:iCs/>
          <w:sz w:val="24"/>
          <w:szCs w:val="24"/>
          <w:lang w:val="en-GB" w:eastAsia="pl-PL"/>
        </w:rPr>
        <w:t xml:space="preserve"> Author’s compilation</w:t>
      </w:r>
    </w:p>
    <w:p w14:paraId="06D98171" w14:textId="77777777" w:rsidR="009E1FA3" w:rsidRPr="00D7220B" w:rsidRDefault="009E1FA3" w:rsidP="00D7220B">
      <w:pPr>
        <w:tabs>
          <w:tab w:val="left" w:pos="630"/>
        </w:tabs>
        <w:spacing w:after="0" w:line="240" w:lineRule="auto"/>
        <w:jc w:val="both"/>
        <w:rPr>
          <w:rFonts w:ascii="Arial" w:eastAsia="Times New Roman" w:hAnsi="Arial" w:cs="Arial"/>
          <w:i/>
          <w:iCs/>
          <w:sz w:val="24"/>
          <w:szCs w:val="24"/>
          <w:lang w:val="en-GB" w:eastAsia="pl-PL"/>
        </w:rPr>
      </w:pPr>
    </w:p>
    <w:p w14:paraId="61476D3E" w14:textId="77777777" w:rsidR="00E43F2F" w:rsidRPr="00D7220B" w:rsidRDefault="009E1FA3" w:rsidP="00D7220B">
      <w:pPr>
        <w:spacing w:line="240" w:lineRule="auto"/>
        <w:jc w:val="both"/>
        <w:rPr>
          <w:rFonts w:ascii="Arial" w:hAnsi="Arial" w:cs="Arial"/>
          <w:sz w:val="24"/>
          <w:szCs w:val="24"/>
        </w:rPr>
      </w:pPr>
      <w:r>
        <w:rPr>
          <w:rFonts w:ascii="Arial" w:eastAsia="Calibri" w:hAnsi="Arial" w:cs="Arial"/>
          <w:sz w:val="24"/>
          <w:szCs w:val="24"/>
        </w:rPr>
        <w:t xml:space="preserve">The SEM analysis confirmed Hypothesis 1 (H1), demonstrating a positive relationship between school climate and culture. The results showed a stronger impact in grant-aided schools (coefficient = 1.136; p = 0.000) compared to government schools (coefficient = 0.945; p = 0.000). As a result, Hypothesis 1 (H1) was supported: “School climate positively influences school culture.” Additionally, school culture had a greater effect on learner achievement in grant-aided schools (coefficient = 1.161; p = 0.018) than in government schools (coefficient = 0.278; p = 0.00), thereby supporting hypothesis 2 (H2): “School culture positively affects learner achievement.” School climate also had a </w:t>
      </w:r>
      <w:r>
        <w:rPr>
          <w:rFonts w:ascii="Arial" w:eastAsia="Calibri" w:hAnsi="Arial" w:cs="Arial"/>
          <w:sz w:val="24"/>
          <w:szCs w:val="24"/>
        </w:rPr>
        <w:lastRenderedPageBreak/>
        <w:t>significant influence on learner achievement, with a more noticeable effect seen in grant-aided schools (coefficient = 0.859; p = 0.000) compared to government schools (coefficient = 0.591; p = 0.000), thus confirming Hypothesis 3 (H3), which states that “school climate significantly affects learner performance.” Finally, school culture acted as a mediator in the relationship between school climate and learner achievement, as stated in Hypothesis 4 (H4): “School culture mediates the relationship between school climate and learner achievement,” with the mediating effect being more influential in government-aided schools than in government schools.</w:t>
      </w:r>
    </w:p>
    <w:p w14:paraId="0C36CF46" w14:textId="77777777" w:rsidR="00653A68" w:rsidRPr="00D7220B" w:rsidRDefault="00D1463E" w:rsidP="00D7220B">
      <w:pPr>
        <w:spacing w:line="240" w:lineRule="auto"/>
        <w:jc w:val="both"/>
        <w:rPr>
          <w:rFonts w:ascii="Arial" w:hAnsi="Arial" w:cs="Arial"/>
          <w:b/>
          <w:sz w:val="24"/>
          <w:szCs w:val="24"/>
        </w:rPr>
      </w:pPr>
      <w:r>
        <w:rPr>
          <w:rFonts w:ascii="Arial" w:hAnsi="Arial" w:cs="Arial"/>
          <w:b/>
          <w:sz w:val="24"/>
          <w:szCs w:val="24"/>
        </w:rPr>
        <w:t>5. </w:t>
      </w:r>
      <w:r w:rsidR="00D5242A" w:rsidRPr="00D7220B">
        <w:rPr>
          <w:rFonts w:ascii="Arial" w:hAnsi="Arial" w:cs="Arial"/>
          <w:b/>
          <w:sz w:val="24"/>
          <w:szCs w:val="24"/>
        </w:rPr>
        <w:t>DISCUSSION OF THE FINDINGS</w:t>
      </w:r>
    </w:p>
    <w:p w14:paraId="2DBA6B8D" w14:textId="77777777" w:rsidR="008A3D18" w:rsidRPr="00D7220B" w:rsidRDefault="006D14D7" w:rsidP="00D7220B">
      <w:pPr>
        <w:spacing w:line="240" w:lineRule="auto"/>
        <w:jc w:val="both"/>
        <w:rPr>
          <w:rFonts w:ascii="Arial" w:hAnsi="Arial" w:cs="Arial"/>
          <w:sz w:val="24"/>
          <w:szCs w:val="24"/>
        </w:rPr>
      </w:pPr>
      <w:r>
        <w:rPr>
          <w:rFonts w:ascii="Arial" w:hAnsi="Arial" w:cs="Arial"/>
          <w:sz w:val="24"/>
          <w:szCs w:val="24"/>
        </w:rPr>
        <w:t>This study aimed to quantitatively examine the complex relationships between school climate, school culture, and student performance in Zambian secondary schools, with a particular emphasis on comparing government- and grant-aided schools. Using SEM, the analysis provides robust empirical support for all hypothesised relationships and underscores significant contextual differences.</w:t>
      </w:r>
    </w:p>
    <w:p w14:paraId="63BCBFC3" w14:textId="77777777" w:rsidR="00012267" w:rsidRPr="00D7220B" w:rsidRDefault="009E1FA3" w:rsidP="00D7220B">
      <w:pPr>
        <w:spacing w:line="240" w:lineRule="auto"/>
        <w:jc w:val="both"/>
        <w:rPr>
          <w:rFonts w:ascii="Arial" w:hAnsi="Arial" w:cs="Arial"/>
          <w:sz w:val="24"/>
          <w:szCs w:val="24"/>
        </w:rPr>
      </w:pPr>
      <w:r>
        <w:rPr>
          <w:rFonts w:ascii="Arial" w:hAnsi="Arial" w:cs="Arial"/>
          <w:sz w:val="24"/>
          <w:szCs w:val="24"/>
        </w:rPr>
        <w:t>This study demonstrated that school climate has a significant positive effect on school culture. This finding supports the conceptual model proposed by scholars such as Schein (2004), Lombardi et al. (2019), and Božović et al. (2024), where the tangible and experiential aspects of climate (e.g., procedures, school experiences and perceptions, well-being, school engagement, and physical environment) act as the main mechanisms through which deeper, more abstract layers of culture (e.g., shared values, beliefs, and norms) are created and reinforced. A school environment seen as supportive and practical (a favourable climate) encourages shared values of collaboration, high expectations, and a collective sense of efficacy among staff, forming the basis of a positive school culture (MacNeil et al., 2009). School climate is vital in fostering prosocial behaviours and academic success, thereby helping to cultivate nurturing and inclusive school cultures (La Salle-Finley et al., 2024).</w:t>
      </w:r>
    </w:p>
    <w:p w14:paraId="5B1576E0" w14:textId="77777777" w:rsidR="008A3D18"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t xml:space="preserve"> Furthermore, this relationship was more pronounced in </w:t>
      </w:r>
      <w:r w:rsidR="00012267" w:rsidRPr="00D7220B">
        <w:rPr>
          <w:rFonts w:ascii="Arial" w:hAnsi="Arial" w:cs="Arial"/>
          <w:sz w:val="24"/>
          <w:szCs w:val="24"/>
        </w:rPr>
        <w:t>grant-aided schools than in government</w:t>
      </w:r>
      <w:r w:rsidRPr="00D7220B">
        <w:rPr>
          <w:rFonts w:ascii="Arial" w:eastAsia="Calibri" w:hAnsi="Arial" w:cs="Arial"/>
          <w:sz w:val="24"/>
          <w:szCs w:val="24"/>
        </w:rPr>
        <w:t>-aided schools</w:t>
      </w:r>
      <w:r w:rsidRPr="00D7220B">
        <w:rPr>
          <w:rFonts w:ascii="Arial" w:hAnsi="Arial" w:cs="Arial"/>
          <w:sz w:val="24"/>
          <w:szCs w:val="24"/>
        </w:rPr>
        <w:t>. This suggests that</w:t>
      </w:r>
      <w:r w:rsidRPr="00D7220B">
        <w:rPr>
          <w:rFonts w:ascii="Arial" w:eastAsia="Calibri" w:hAnsi="Arial" w:cs="Arial"/>
          <w:sz w:val="24"/>
          <w:szCs w:val="24"/>
        </w:rPr>
        <w:t xml:space="preserve">, in contexts </w:t>
      </w:r>
      <w:r w:rsidRPr="00D7220B">
        <w:rPr>
          <w:rFonts w:ascii="Arial" w:hAnsi="Arial" w:cs="Arial"/>
          <w:sz w:val="24"/>
          <w:szCs w:val="24"/>
        </w:rPr>
        <w:t>characterised by potentially greater stability and resource consistency (a feature of many grant-aided schools), positive daily experiences (climate) can be more effectively translated into enduring, shared norms</w:t>
      </w:r>
      <w:r w:rsidRPr="00D7220B">
        <w:rPr>
          <w:rFonts w:ascii="Arial" w:eastAsia="Calibri" w:hAnsi="Arial" w:cs="Arial"/>
          <w:sz w:val="24"/>
          <w:szCs w:val="24"/>
        </w:rPr>
        <w:t xml:space="preserve"> and values (culture).</w:t>
      </w:r>
    </w:p>
    <w:p w14:paraId="617E63D0" w14:textId="77777777" w:rsidR="00092D0B" w:rsidRPr="00D7220B" w:rsidRDefault="009E1FA3" w:rsidP="00D7220B">
      <w:pPr>
        <w:spacing w:line="240" w:lineRule="auto"/>
        <w:jc w:val="both"/>
        <w:rPr>
          <w:rFonts w:ascii="Arial" w:hAnsi="Arial" w:cs="Arial"/>
          <w:sz w:val="24"/>
          <w:szCs w:val="24"/>
        </w:rPr>
      </w:pPr>
      <w:r>
        <w:rPr>
          <w:rFonts w:ascii="Arial" w:hAnsi="Arial" w:cs="Arial"/>
          <w:sz w:val="24"/>
          <w:szCs w:val="24"/>
        </w:rPr>
        <w:t xml:space="preserve">This study empirically confirmed the significant impact of school culture, showing a direct and positive effect on student achievement. The results indicated that a positive school culture, characterised by shared values, ethical standards, and alignment with institutional goals, </w:t>
      </w:r>
      <w:r w:rsidR="00195065">
        <w:rPr>
          <w:rFonts w:ascii="Arial" w:hAnsi="Arial" w:cs="Arial"/>
          <w:sz w:val="24"/>
          <w:szCs w:val="24"/>
        </w:rPr>
        <w:t>is vital for improving students’</w:t>
      </w:r>
      <w:r>
        <w:rPr>
          <w:rFonts w:ascii="Arial" w:hAnsi="Arial" w:cs="Arial"/>
          <w:sz w:val="24"/>
          <w:szCs w:val="24"/>
        </w:rPr>
        <w:t xml:space="preserve"> academic performance. This finding aligns with previous research (Al-Amin et al., 2009; </w:t>
      </w:r>
      <w:proofErr w:type="spellStart"/>
      <w:r>
        <w:rPr>
          <w:rFonts w:ascii="Arial" w:hAnsi="Arial" w:cs="Arial"/>
          <w:sz w:val="24"/>
          <w:szCs w:val="24"/>
        </w:rPr>
        <w:t>Botlolna</w:t>
      </w:r>
      <w:proofErr w:type="spellEnd"/>
      <w:r>
        <w:rPr>
          <w:rFonts w:ascii="Arial" w:hAnsi="Arial" w:cs="Arial"/>
          <w:sz w:val="24"/>
          <w:szCs w:val="24"/>
        </w:rPr>
        <w:t xml:space="preserve">, 2018; </w:t>
      </w:r>
      <w:proofErr w:type="spellStart"/>
      <w:r>
        <w:rPr>
          <w:rFonts w:ascii="Arial" w:hAnsi="Arial" w:cs="Arial"/>
          <w:sz w:val="24"/>
          <w:szCs w:val="24"/>
        </w:rPr>
        <w:t>Karaduman</w:t>
      </w:r>
      <w:proofErr w:type="spellEnd"/>
      <w:r>
        <w:rPr>
          <w:rFonts w:ascii="Arial" w:hAnsi="Arial" w:cs="Arial"/>
          <w:sz w:val="24"/>
          <w:szCs w:val="24"/>
        </w:rPr>
        <w:t>, 2021; Ismail, 2022; Al-Amin, 2012), which found that schools with a strong culture tend to experience higher student success and greater teacher satisfaction.</w:t>
      </w:r>
    </w:p>
    <w:p w14:paraId="48C806BE" w14:textId="77777777" w:rsidR="00335CEA" w:rsidRPr="00D7220B" w:rsidRDefault="009E1FA3" w:rsidP="00D7220B">
      <w:pPr>
        <w:spacing w:line="240" w:lineRule="auto"/>
        <w:jc w:val="both"/>
        <w:rPr>
          <w:rFonts w:ascii="Arial" w:hAnsi="Arial" w:cs="Arial"/>
          <w:sz w:val="24"/>
          <w:szCs w:val="24"/>
        </w:rPr>
      </w:pPr>
      <w:r>
        <w:rPr>
          <w:rFonts w:ascii="Arial" w:hAnsi="Arial" w:cs="Arial"/>
          <w:sz w:val="24"/>
          <w:szCs w:val="24"/>
        </w:rPr>
        <w:t xml:space="preserve"> A culture of high expectations, shared accountability for student success, and professional collaboration directly </w:t>
      </w:r>
      <w:r w:rsidR="005468B2">
        <w:rPr>
          <w:rFonts w:ascii="Arial" w:hAnsi="Arial" w:cs="Arial"/>
          <w:sz w:val="24"/>
          <w:szCs w:val="24"/>
        </w:rPr>
        <w:t>influences</w:t>
      </w:r>
      <w:r>
        <w:rPr>
          <w:rFonts w:ascii="Arial" w:hAnsi="Arial" w:cs="Arial"/>
          <w:sz w:val="24"/>
          <w:szCs w:val="24"/>
        </w:rPr>
        <w:t xml:space="preserve"> teaching quality and student engagement, ultimately enhancing academic outcomes. This indicates that schools with strong structures and practical student support experience increased student engagement, which correlates with better academic results, such as higher graduation rates and </w:t>
      </w:r>
      <w:r>
        <w:rPr>
          <w:rFonts w:ascii="Arial" w:hAnsi="Arial" w:cs="Arial"/>
          <w:sz w:val="24"/>
          <w:szCs w:val="24"/>
        </w:rPr>
        <w:lastRenderedPageBreak/>
        <w:t>superior performance on state-mandated assessments. Similarly, Leithwood et al. (2001) emphasised t</w:t>
      </w:r>
      <w:r w:rsidR="00195065">
        <w:rPr>
          <w:rFonts w:ascii="Arial" w:hAnsi="Arial" w:cs="Arial"/>
          <w:sz w:val="24"/>
          <w:szCs w:val="24"/>
        </w:rPr>
        <w:t>he importance of school leaders’</w:t>
      </w:r>
      <w:r>
        <w:rPr>
          <w:rFonts w:ascii="Arial" w:hAnsi="Arial" w:cs="Arial"/>
          <w:sz w:val="24"/>
          <w:szCs w:val="24"/>
        </w:rPr>
        <w:t xml:space="preserve"> understanding and shaping of school culture in driving improvement. Schools can foster shared beliefs, values, norms, traditions, and behavioural expectations that </w:t>
      </w:r>
      <w:r w:rsidR="005468B2">
        <w:rPr>
          <w:rFonts w:ascii="Arial" w:hAnsi="Arial" w:cs="Arial"/>
          <w:sz w:val="24"/>
          <w:szCs w:val="24"/>
        </w:rPr>
        <w:t>shape interactions among students, teachers, administrators, and staff</w:t>
      </w:r>
      <w:r>
        <w:rPr>
          <w:rFonts w:ascii="Arial" w:hAnsi="Arial" w:cs="Arial"/>
          <w:sz w:val="24"/>
          <w:szCs w:val="24"/>
        </w:rPr>
        <w:t>. This can positively affect daily operations, relationships, and learning outcomes.</w:t>
      </w:r>
    </w:p>
    <w:p w14:paraId="3CB77B3E" w14:textId="77777777" w:rsidR="00092D0B" w:rsidRPr="00D7220B" w:rsidRDefault="009E1FA3" w:rsidP="00D7220B">
      <w:pPr>
        <w:spacing w:line="240" w:lineRule="auto"/>
        <w:jc w:val="both"/>
        <w:rPr>
          <w:rFonts w:ascii="Arial" w:hAnsi="Arial" w:cs="Arial"/>
          <w:sz w:val="24"/>
          <w:szCs w:val="24"/>
        </w:rPr>
      </w:pPr>
      <w:r>
        <w:rPr>
          <w:rFonts w:ascii="Arial" w:hAnsi="Arial" w:cs="Arial"/>
          <w:sz w:val="24"/>
          <w:szCs w:val="24"/>
        </w:rPr>
        <w:t>The third important finding supports the idea that a positive school climate has a significant and direct impact on student achievement. This outcome aligns with a large body of international research (Thapa et al., 2013; Wang &amp; Degol, 2016). A caring school environment, characterised by safety, strong teacher-student relationships, and institutional support, creates the essential conditions for academic success. Our results indicate that teachers tend to report higher levels of student performance when they perceive their school as safe, respectful, and well-resourced. This finding is consistent with Earthman (2002), who demonstrated that the quality of school facilities and resources is a key factor influencing academic results in the US.</w:t>
      </w:r>
    </w:p>
    <w:p w14:paraId="65FFD9A8" w14:textId="77777777" w:rsidR="00012267" w:rsidRPr="00D7220B" w:rsidRDefault="009E1FA3" w:rsidP="00D7220B">
      <w:pPr>
        <w:spacing w:line="240" w:lineRule="auto"/>
        <w:jc w:val="both"/>
        <w:rPr>
          <w:rFonts w:ascii="Arial" w:hAnsi="Arial" w:cs="Arial"/>
          <w:sz w:val="24"/>
          <w:szCs w:val="24"/>
        </w:rPr>
      </w:pPr>
      <w:r>
        <w:rPr>
          <w:rFonts w:ascii="Arial" w:hAnsi="Arial" w:cs="Arial"/>
          <w:sz w:val="24"/>
          <w:szCs w:val="24"/>
        </w:rPr>
        <w:t xml:space="preserve">Interestingly, the effect was significantly greater in grant-aided schools than in government schools. This difference can be explained using the SIT framework. Grant-aided schools often have greater resource autonomy and possibly a more selective student body, which may enhance their perceived status as an in-group. This higher status likely increases the positive influence of the school climate; a favourable environment in a high-status group can more effectively motivate its members (teachers and students) to </w:t>
      </w:r>
      <w:r w:rsidR="00195065">
        <w:rPr>
          <w:rFonts w:ascii="Arial" w:hAnsi="Arial" w:cs="Arial"/>
          <w:sz w:val="24"/>
          <w:szCs w:val="24"/>
        </w:rPr>
        <w:t>uphold the group’</w:t>
      </w:r>
      <w:r>
        <w:rPr>
          <w:rFonts w:ascii="Arial" w:hAnsi="Arial" w:cs="Arial"/>
          <w:sz w:val="24"/>
          <w:szCs w:val="24"/>
        </w:rPr>
        <w:t>s academic reputation, thereby directly boosting achievement efforts (Haslam, 2001; Reynolds et al., 2017).</w:t>
      </w:r>
    </w:p>
    <w:p w14:paraId="234DDD98" w14:textId="77777777" w:rsidR="0008416A" w:rsidRPr="00D7220B" w:rsidRDefault="009E1FA3" w:rsidP="00D7220B">
      <w:pPr>
        <w:spacing w:line="240" w:lineRule="auto"/>
        <w:jc w:val="both"/>
        <w:rPr>
          <w:rFonts w:ascii="Arial" w:hAnsi="Arial" w:cs="Arial"/>
          <w:sz w:val="24"/>
          <w:szCs w:val="24"/>
        </w:rPr>
      </w:pPr>
      <w:r>
        <w:rPr>
          <w:rFonts w:ascii="Arial" w:hAnsi="Arial" w:cs="Arial"/>
          <w:sz w:val="24"/>
          <w:szCs w:val="24"/>
        </w:rPr>
        <w:t>Finally, the findings revealed that school culture significantly mediated the relationship between school climate and student achievement. These findings align with those of earlier studies (e.g., Sun, 2018; Konold et al., 2018), which indicate that positive school climates and well-established cultures correlate with enhanced student performance, especially when teachers, students, and peers share common goals and values. This suggests that a favourable school climate not only directly boosts student success but also indirectly does so by nurturing a strong and positive school culture, which subsequently becomes a key driver of student achievement. This mediating effect was more pronounced in grant-aided schools. This can be attributed to the fact that a well-established, cohesive culture, often more deeply rooted in grant-aided schools with longer histories and stronger institutional identities, serves as a more effective channel, enhancing the benefits of a favourable climate and directing them towards teaching practices and learning outcomes (Sun, 2018). In government schools, where culture may be less cohesive or more variable, the mediating pathway, while still significant, is not as strong, thereby directly supporting achievement efforts (Haslam, 2001; Reynolds et al., 2017).</w:t>
      </w:r>
    </w:p>
    <w:p w14:paraId="7D3AE8B5" w14:textId="77777777" w:rsidR="0016629F" w:rsidRPr="00D7220B" w:rsidRDefault="00C15F1A" w:rsidP="00D7220B">
      <w:pPr>
        <w:spacing w:line="240" w:lineRule="auto"/>
        <w:jc w:val="both"/>
        <w:rPr>
          <w:rFonts w:ascii="Arial" w:hAnsi="Arial" w:cs="Arial"/>
          <w:b/>
          <w:sz w:val="24"/>
          <w:szCs w:val="24"/>
        </w:rPr>
      </w:pPr>
      <w:r>
        <w:rPr>
          <w:rFonts w:ascii="Arial" w:hAnsi="Arial" w:cs="Arial"/>
          <w:b/>
          <w:sz w:val="24"/>
          <w:szCs w:val="24"/>
        </w:rPr>
        <w:t>6.0 </w:t>
      </w:r>
      <w:r w:rsidR="00D5242A" w:rsidRPr="00D7220B">
        <w:rPr>
          <w:rFonts w:ascii="Arial" w:hAnsi="Arial" w:cs="Arial"/>
          <w:b/>
          <w:sz w:val="24"/>
          <w:szCs w:val="24"/>
        </w:rPr>
        <w:t xml:space="preserve">THEORETICAL AND PRACTICAL IMPLICATIONS </w:t>
      </w:r>
    </w:p>
    <w:p w14:paraId="57FE5573" w14:textId="77777777" w:rsidR="00D67CA0"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t>The findings of this study, which underscore the substantial positive influence of school climate on school culture</w:t>
      </w:r>
      <w:r w:rsidRPr="00D7220B">
        <w:rPr>
          <w:rFonts w:ascii="Arial" w:eastAsia="Calibri" w:hAnsi="Arial" w:cs="Arial"/>
          <w:sz w:val="24"/>
          <w:szCs w:val="24"/>
        </w:rPr>
        <w:t xml:space="preserve"> and the mediating role of culture in the relationship between climate and academic achievement, are of significant relevance to both scholarly discourse and practical educational implementation.</w:t>
      </w:r>
    </w:p>
    <w:p w14:paraId="5320F39E" w14:textId="77777777" w:rsidR="0016629F" w:rsidRPr="00D7220B" w:rsidRDefault="00C15F1A" w:rsidP="00D7220B">
      <w:pPr>
        <w:spacing w:line="240" w:lineRule="auto"/>
        <w:jc w:val="both"/>
        <w:rPr>
          <w:rFonts w:ascii="Arial" w:hAnsi="Arial" w:cs="Arial"/>
          <w:b/>
          <w:sz w:val="24"/>
          <w:szCs w:val="24"/>
        </w:rPr>
      </w:pPr>
      <w:r>
        <w:rPr>
          <w:rFonts w:ascii="Arial" w:hAnsi="Arial" w:cs="Arial"/>
          <w:b/>
          <w:sz w:val="24"/>
          <w:szCs w:val="24"/>
        </w:rPr>
        <w:lastRenderedPageBreak/>
        <w:t>6.1 </w:t>
      </w:r>
      <w:r w:rsidR="00D5242A" w:rsidRPr="00D7220B">
        <w:rPr>
          <w:rFonts w:ascii="Arial" w:hAnsi="Arial" w:cs="Arial"/>
          <w:b/>
          <w:sz w:val="24"/>
          <w:szCs w:val="24"/>
        </w:rPr>
        <w:t>Theoretical Implications</w:t>
      </w:r>
    </w:p>
    <w:p w14:paraId="322EE23F" w14:textId="77777777" w:rsidR="005631E9"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t>This study makes several noteworthy contributions to the theoretical understanding of school effectiveness and organisational dynamics in education.</w:t>
      </w:r>
    </w:p>
    <w:p w14:paraId="4BAA494D" w14:textId="77777777" w:rsidR="005631E9" w:rsidRPr="00D7220B" w:rsidRDefault="00EC7C01" w:rsidP="00D7220B">
      <w:pPr>
        <w:spacing w:line="240" w:lineRule="auto"/>
        <w:jc w:val="both"/>
        <w:rPr>
          <w:rFonts w:ascii="Arial" w:hAnsi="Arial" w:cs="Arial"/>
          <w:sz w:val="24"/>
          <w:szCs w:val="24"/>
        </w:rPr>
      </w:pPr>
      <w:r>
        <w:rPr>
          <w:rFonts w:ascii="Arial" w:hAnsi="Arial" w:cs="Arial"/>
          <w:sz w:val="24"/>
          <w:szCs w:val="24"/>
        </w:rPr>
        <w:t>First, it empirically supports a Sequential Mediation Model by advancing beyond simple correlations to offer strong quantitative evidence for a causal sequence within schools (climate → culture → achievement). This not only confirms but also builds on the theoretical propositions of scholars such as Schein (2004) and Hoy and Hannum (1997), who proposed that climate is a surface-level expression of deeper cultural assumptions. Th</w:t>
      </w:r>
      <w:r w:rsidR="00195065">
        <w:rPr>
          <w:rFonts w:ascii="Arial" w:hAnsi="Arial" w:cs="Arial"/>
          <w:sz w:val="24"/>
          <w:szCs w:val="24"/>
        </w:rPr>
        <w:t>is addresses Hallinger and Heck’</w:t>
      </w:r>
      <w:r>
        <w:rPr>
          <w:rFonts w:ascii="Arial" w:hAnsi="Arial" w:cs="Arial"/>
          <w:sz w:val="24"/>
          <w:szCs w:val="24"/>
        </w:rPr>
        <w:t>s (1998) longst</w:t>
      </w:r>
      <w:r w:rsidR="009C6952">
        <w:rPr>
          <w:rFonts w:ascii="Arial" w:hAnsi="Arial" w:cs="Arial"/>
          <w:sz w:val="24"/>
          <w:szCs w:val="24"/>
        </w:rPr>
        <w:t xml:space="preserve">anding call to investigate the ‘black’ </w:t>
      </w:r>
      <w:r>
        <w:rPr>
          <w:rFonts w:ascii="Arial" w:hAnsi="Arial" w:cs="Arial"/>
          <w:sz w:val="24"/>
          <w:szCs w:val="24"/>
        </w:rPr>
        <w:t>of school processes by pinpointing a specific mechanism (culture) through which the environment (climate) affects outcomes.</w:t>
      </w:r>
    </w:p>
    <w:p w14:paraId="5ECAF493" w14:textId="77777777" w:rsidR="005631E9"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t>Second, this study advances the application of SIA by strongly endorsing its use as a framework for understanding schools. More pronounced effects in grant-aided schools can be theorised to stem from a more cohesive and prominent social identity. This research suggests that a favoura</w:t>
      </w:r>
      <w:r w:rsidR="009C6952">
        <w:rPr>
          <w:rFonts w:ascii="Arial" w:hAnsi="Arial" w:cs="Arial"/>
          <w:sz w:val="24"/>
          <w:szCs w:val="24"/>
        </w:rPr>
        <w:t>ble climate enhances the school’</w:t>
      </w:r>
      <w:r w:rsidRPr="00D7220B">
        <w:rPr>
          <w:rFonts w:ascii="Arial" w:hAnsi="Arial" w:cs="Arial"/>
          <w:sz w:val="24"/>
          <w:szCs w:val="24"/>
        </w:rPr>
        <w:t xml:space="preserve">s status and appeal as an in-group, </w:t>
      </w:r>
      <w:r w:rsidR="00D7220B">
        <w:rPr>
          <w:rFonts w:ascii="Arial" w:hAnsi="Arial" w:cs="Arial"/>
          <w:sz w:val="24"/>
          <w:szCs w:val="24"/>
        </w:rPr>
        <w:t>thereby facilitating the development of a strong,</w:t>
      </w:r>
      <w:r w:rsidRPr="00D7220B">
        <w:rPr>
          <w:rFonts w:ascii="Arial" w:hAnsi="Arial" w:cs="Arial"/>
          <w:sz w:val="24"/>
          <w:szCs w:val="24"/>
        </w:rPr>
        <w:t xml:space="preserve"> shared culture. In turn, </w:t>
      </w:r>
      <w:r w:rsidRPr="00D7220B">
        <w:rPr>
          <w:rFonts w:ascii="Arial" w:eastAsia="Calibri" w:hAnsi="Arial" w:cs="Arial"/>
          <w:sz w:val="24"/>
          <w:szCs w:val="24"/>
        </w:rPr>
        <w:t xml:space="preserve">this culture dictates group-normative </w:t>
      </w:r>
      <w:r w:rsidRPr="00D7220B">
        <w:rPr>
          <w:rFonts w:ascii="Arial" w:hAnsi="Arial" w:cs="Arial"/>
          <w:sz w:val="24"/>
          <w:szCs w:val="24"/>
        </w:rPr>
        <w:t>behaviours (e.g., high teaching effort and collaboration) that drive achievement</w:t>
      </w:r>
      <w:r w:rsidR="009C6952">
        <w:rPr>
          <w:rFonts w:ascii="Arial" w:hAnsi="Arial" w:cs="Arial"/>
          <w:sz w:val="24"/>
          <w:szCs w:val="24"/>
        </w:rPr>
        <w:t>, thereby reinforcing the group’</w:t>
      </w:r>
      <w:r w:rsidRPr="00D7220B">
        <w:rPr>
          <w:rFonts w:ascii="Arial" w:hAnsi="Arial" w:cs="Arial"/>
          <w:sz w:val="24"/>
          <w:szCs w:val="24"/>
        </w:rPr>
        <w:t>s positive distinctiveness (Haslam, 2001; Reynolds et al., 2017). This provides a dynamic psychological explanation of the observed statistical relationships.</w:t>
      </w:r>
    </w:p>
    <w:p w14:paraId="2B1590EF" w14:textId="77777777" w:rsidR="005631E9"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t>Third, by elucidating the significant disparity in the strength of the relationship between government and grant-aided schools, this study challenges the universality of Western-based school effectiveness models. It introduces institutional type (e.g., funding model, autonomy level) as a crucial moderating variable that must be considered in theoretical models. This suggests that theories of school improvement need to be more nuanced and context-sensitive, recognising that pathways to success may differ in resource-constrained versus resource-secure environments.</w:t>
      </w:r>
    </w:p>
    <w:p w14:paraId="7565D904" w14:textId="77777777" w:rsidR="005631E9" w:rsidRPr="00D7220B" w:rsidRDefault="00EC7C01" w:rsidP="00D7220B">
      <w:pPr>
        <w:spacing w:line="240" w:lineRule="auto"/>
        <w:jc w:val="both"/>
        <w:rPr>
          <w:rFonts w:ascii="Arial" w:hAnsi="Arial" w:cs="Arial"/>
          <w:sz w:val="24"/>
          <w:szCs w:val="24"/>
        </w:rPr>
      </w:pPr>
      <w:r>
        <w:rPr>
          <w:rFonts w:ascii="Arial" w:hAnsi="Arial" w:cs="Arial"/>
          <w:sz w:val="24"/>
          <w:szCs w:val="24"/>
        </w:rPr>
        <w:t>Finally, by effectively measuring climate and culture as distinct yet related latent constructs and modelling their relationships, this study offers conceptual clarification. This helps resolve the conceptual ambiguity often associated with these terms, provides empirical evidence for their discriminant validity, clarifies their functional relationship, and thus delivers a more transparent theoretical framework for future research.</w:t>
      </w:r>
    </w:p>
    <w:p w14:paraId="5F43777F" w14:textId="77777777" w:rsidR="0016629F" w:rsidRPr="00D7220B" w:rsidRDefault="00C15F1A" w:rsidP="00D7220B">
      <w:pPr>
        <w:spacing w:line="240" w:lineRule="auto"/>
        <w:jc w:val="both"/>
        <w:rPr>
          <w:rFonts w:ascii="Arial" w:hAnsi="Arial" w:cs="Arial"/>
          <w:b/>
          <w:sz w:val="24"/>
          <w:szCs w:val="24"/>
        </w:rPr>
      </w:pPr>
      <w:r>
        <w:rPr>
          <w:rFonts w:ascii="Arial" w:hAnsi="Arial" w:cs="Arial"/>
          <w:b/>
          <w:sz w:val="24"/>
          <w:szCs w:val="24"/>
        </w:rPr>
        <w:t>6.2 </w:t>
      </w:r>
      <w:r w:rsidR="00D7220B" w:rsidRPr="00D7220B">
        <w:rPr>
          <w:rFonts w:ascii="Arial" w:hAnsi="Arial" w:cs="Arial"/>
          <w:b/>
          <w:sz w:val="24"/>
          <w:szCs w:val="24"/>
        </w:rPr>
        <w:t>P</w:t>
      </w:r>
      <w:r w:rsidRPr="00D7220B">
        <w:rPr>
          <w:rFonts w:ascii="Arial" w:hAnsi="Arial" w:cs="Arial"/>
          <w:b/>
          <w:sz w:val="24"/>
          <w:szCs w:val="24"/>
        </w:rPr>
        <w:t>ractical</w:t>
      </w:r>
      <w:r w:rsidR="00D7220B" w:rsidRPr="00D7220B">
        <w:rPr>
          <w:rFonts w:ascii="Arial" w:hAnsi="Arial" w:cs="Arial"/>
          <w:b/>
          <w:sz w:val="24"/>
          <w:szCs w:val="24"/>
        </w:rPr>
        <w:t xml:space="preserve"> I</w:t>
      </w:r>
      <w:r w:rsidRPr="00D7220B">
        <w:rPr>
          <w:rFonts w:ascii="Arial" w:hAnsi="Arial" w:cs="Arial"/>
          <w:b/>
          <w:sz w:val="24"/>
          <w:szCs w:val="24"/>
        </w:rPr>
        <w:t>mplications</w:t>
      </w:r>
    </w:p>
    <w:p w14:paraId="3A4C2585" w14:textId="77777777" w:rsidR="003073BF" w:rsidRPr="00D7220B" w:rsidRDefault="00C15F1A" w:rsidP="00D7220B">
      <w:pPr>
        <w:spacing w:line="240" w:lineRule="auto"/>
        <w:jc w:val="both"/>
        <w:rPr>
          <w:rFonts w:ascii="Arial" w:hAnsi="Arial" w:cs="Arial"/>
          <w:sz w:val="24"/>
          <w:szCs w:val="24"/>
        </w:rPr>
      </w:pPr>
      <w:r>
        <w:rPr>
          <w:rFonts w:ascii="Arial" w:hAnsi="Arial" w:cs="Arial"/>
          <w:sz w:val="24"/>
          <w:szCs w:val="24"/>
        </w:rPr>
        <w:t xml:space="preserve">This study offers direct and practical guidance for educational policymakers, school leaders, and teachers by providing a comprehensive plan for improvement initiatives. It presents a Strategic Blueprint for school enhancement, emphasising a systematic, evidence-based sequence of actions. Instead of implementing isolated programmes, leaders are encouraged to adopt multi-layered strategies. The initial phase, called the foundation, focuses on investing in the school climate and culture. This involves ensuring both physical and emotional safety, fostering respectful interactions among teachers, students, and staff, providing adequate resources, and demonstrating supportive leadership. These elements lay the groundwork for deeper transformation. The next </w:t>
      </w:r>
      <w:r>
        <w:rPr>
          <w:rFonts w:ascii="Arial" w:hAnsi="Arial" w:cs="Arial"/>
          <w:sz w:val="24"/>
          <w:szCs w:val="24"/>
        </w:rPr>
        <w:lastRenderedPageBreak/>
        <w:t>phase, the catalyst, uses the improved climate to deliberately foster a strong school culture. This includes enabling staff to define shared values and establish a unified vision; creating structures for collaboration (e.g., Professional Learning Communities); celebrating collective successes; and embedding new norms into daily routines and rituals. The outcome is a positive climate and resilient culture that naturally enhances student achievement through greater teacher effectiveness, commitment, and refined instructional practices centred on shared goals.</w:t>
      </w:r>
    </w:p>
    <w:p w14:paraId="164825C0" w14:textId="77777777" w:rsidR="003073BF" w:rsidRPr="00D7220B" w:rsidRDefault="00C15F1A" w:rsidP="00D7220B">
      <w:pPr>
        <w:spacing w:line="240" w:lineRule="auto"/>
        <w:jc w:val="both"/>
        <w:rPr>
          <w:rFonts w:ascii="Arial" w:hAnsi="Arial" w:cs="Arial"/>
          <w:sz w:val="24"/>
          <w:szCs w:val="24"/>
        </w:rPr>
      </w:pPr>
      <w:r>
        <w:rPr>
          <w:rFonts w:ascii="Arial" w:hAnsi="Arial" w:cs="Arial"/>
          <w:sz w:val="24"/>
          <w:szCs w:val="24"/>
        </w:rPr>
        <w:t>Furthermore, tailored strategies should be recommended for school leaders. Grant-Aided School Leaders are advised to avoid complacency by focusing on nurturing and maintaining their already strong culture. They should continue investing in professional communities, reinforce their shared identity, and innovate to sustain a dynamic and inclusive culture. This study provides compelling evidence-based reasons for advocacy and offers a clear starting point for Government School Leaders. They should begin by prioritising efforts to improve the climate, advocate for resources, and concentrate on areas within their control, such as building relational trust, ensuring fairness, and supporting teachers’ well-being. Simultaneously, they should start with small, manageable projects to foster culture (e.g., defining a core value) to begin shifting norms, even when facing challenges.</w:t>
      </w:r>
    </w:p>
    <w:p w14:paraId="68DD06B2" w14:textId="77777777" w:rsidR="00F32891" w:rsidRPr="00D7220B" w:rsidRDefault="00EC7C01" w:rsidP="00D7220B">
      <w:pPr>
        <w:spacing w:line="240" w:lineRule="auto"/>
        <w:jc w:val="both"/>
        <w:rPr>
          <w:rFonts w:ascii="Arial" w:hAnsi="Arial" w:cs="Arial"/>
          <w:sz w:val="24"/>
          <w:szCs w:val="24"/>
        </w:rPr>
      </w:pPr>
      <w:r>
        <w:rPr>
          <w:rFonts w:ascii="Arial" w:hAnsi="Arial" w:cs="Arial"/>
          <w:sz w:val="24"/>
          <w:szCs w:val="24"/>
        </w:rPr>
        <w:t>This study recommends that policymakers at both district and national levels reassess their support systems. Investing in capacity-building initiatives that help leaders understand and shape the climate and culture is just as important as investing in curricula or infrastructure. Support should be tailored: government schools may require more intensive assistance to establish foundational conditions for climate and leadership capacity. In contrast, grant-aided schools may benefit from support in advanced cultural development and innovation. In an era often dominated by high-stakes testing and technical reforms, this study reaffirms that</w:t>
      </w:r>
      <w:r w:rsidR="009C6952">
        <w:rPr>
          <w:rFonts w:ascii="Arial" w:hAnsi="Arial" w:cs="Arial"/>
          <w:sz w:val="24"/>
          <w:szCs w:val="24"/>
        </w:rPr>
        <w:t xml:space="preserve"> the “soft”</w:t>
      </w:r>
      <w:r>
        <w:rPr>
          <w:rFonts w:ascii="Arial" w:hAnsi="Arial" w:cs="Arial"/>
          <w:sz w:val="24"/>
          <w:szCs w:val="24"/>
        </w:rPr>
        <w:t xml:space="preserve"> aspects of schooling are, in fact, the foundation of school success. It empowers educators by showing that their daily efforts to build a positive community are essential to their academic mission and serve as its driving force. This boosts morale and gives employees a renewed sense of purpose.</w:t>
      </w:r>
    </w:p>
    <w:p w14:paraId="0256D39A" w14:textId="77777777" w:rsidR="008A3D18" w:rsidRPr="00D7220B" w:rsidRDefault="00C15F1A" w:rsidP="00D7220B">
      <w:pPr>
        <w:spacing w:line="240" w:lineRule="auto"/>
        <w:jc w:val="both"/>
        <w:rPr>
          <w:rFonts w:ascii="Arial" w:hAnsi="Arial" w:cs="Arial"/>
          <w:b/>
          <w:sz w:val="24"/>
          <w:szCs w:val="24"/>
        </w:rPr>
      </w:pPr>
      <w:r>
        <w:rPr>
          <w:rFonts w:ascii="Arial" w:hAnsi="Arial" w:cs="Arial"/>
          <w:b/>
          <w:sz w:val="24"/>
          <w:szCs w:val="24"/>
        </w:rPr>
        <w:t>7. </w:t>
      </w:r>
      <w:r w:rsidR="00D5242A" w:rsidRPr="00D7220B">
        <w:rPr>
          <w:rFonts w:ascii="Arial" w:hAnsi="Arial" w:cs="Arial"/>
          <w:b/>
          <w:sz w:val="24"/>
          <w:szCs w:val="24"/>
        </w:rPr>
        <w:t>LIMITATIONS AND SUGGESTIONS FOR FUTURE RESEARCH</w:t>
      </w:r>
    </w:p>
    <w:p w14:paraId="580074DD" w14:textId="77777777" w:rsidR="000F43C0" w:rsidRPr="00D7220B" w:rsidRDefault="00EC7C01" w:rsidP="00D7220B">
      <w:pPr>
        <w:spacing w:line="240" w:lineRule="auto"/>
        <w:jc w:val="both"/>
        <w:rPr>
          <w:rFonts w:ascii="Arial" w:hAnsi="Arial" w:cs="Arial"/>
          <w:sz w:val="24"/>
          <w:szCs w:val="24"/>
        </w:rPr>
      </w:pPr>
      <w:r>
        <w:rPr>
          <w:rFonts w:ascii="Arial" w:hAnsi="Arial" w:cs="Arial"/>
          <w:sz w:val="24"/>
          <w:szCs w:val="24"/>
        </w:rPr>
        <w:t xml:space="preserve">Although this study offers valuable insights into the relationships between school climate, culture, and student performance in Zambian secondary schools, it is important to recognise certain limitations. The research was limited to Kabwe District, Zambia, which may limit the generalizability of the findings to other regions or cultural contexts. The sample included 304 teachers from 12 secondary schools, which, although sufficient for statistical analysis, may not fully reflect the diversity of educational institutions in Zambia. Future studies should expand to multiple provinces within Zambia to improve generalisability, include private schools for comparative analysis across different school types, increase the sample size, and ensure representation of various school environments (urban, rural, and peri-urban). Additionally, comparative research across African countries is necessary to identify cultural specificities and universal patterns. </w:t>
      </w:r>
    </w:p>
    <w:p w14:paraId="24902BCA" w14:textId="77777777" w:rsidR="000F43C0" w:rsidRPr="00D7220B" w:rsidRDefault="00EC7C01" w:rsidP="00D7220B">
      <w:pPr>
        <w:spacing w:line="240" w:lineRule="auto"/>
        <w:jc w:val="both"/>
        <w:rPr>
          <w:rFonts w:ascii="Arial" w:hAnsi="Arial" w:cs="Arial"/>
          <w:sz w:val="24"/>
          <w:szCs w:val="24"/>
        </w:rPr>
      </w:pPr>
      <w:r>
        <w:rPr>
          <w:rFonts w:ascii="Arial" w:hAnsi="Arial" w:cs="Arial"/>
          <w:sz w:val="24"/>
          <w:szCs w:val="24"/>
        </w:rPr>
        <w:t xml:space="preserve">A cross-sectional research design limits the ability to establish causal relationships among variables. The data capture a single point in time, making it difficult to observe how the relationships among climate, culture, and achievement develop. Future research </w:t>
      </w:r>
      <w:r>
        <w:rPr>
          <w:rFonts w:ascii="Arial" w:hAnsi="Arial" w:cs="Arial"/>
          <w:sz w:val="24"/>
          <w:szCs w:val="24"/>
        </w:rPr>
        <w:lastRenderedPageBreak/>
        <w:t xml:space="preserve">should adopt longitudinal designs to monitor changes in school climate and culture over time and identify causal pathways. </w:t>
      </w:r>
    </w:p>
    <w:p w14:paraId="49ECA545" w14:textId="77777777" w:rsidR="003073BF"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t xml:space="preserve">This study focuses on school culture as the sole mediator of the relationship between the two variables. Future research should develop a comprehensive model that incorporates additional variables, such as </w:t>
      </w:r>
      <w:r w:rsidR="00EC7C01">
        <w:rPr>
          <w:rFonts w:ascii="Arial" w:hAnsi="Arial" w:cs="Arial"/>
          <w:sz w:val="24"/>
          <w:szCs w:val="24"/>
        </w:rPr>
        <w:t>potential mediators (e.g., teacher collective efficacy and student engagement) and moderators (e.g., school size and leadership style), into</w:t>
      </w:r>
      <w:r w:rsidRPr="00D7220B">
        <w:rPr>
          <w:rFonts w:ascii="Arial" w:hAnsi="Arial" w:cs="Arial"/>
          <w:sz w:val="24"/>
          <w:szCs w:val="24"/>
        </w:rPr>
        <w:t xml:space="preserve"> the climate-culture-achievement relationship. This approach offers a more comprehensive understanding of the relationships between these variables.</w:t>
      </w:r>
    </w:p>
    <w:p w14:paraId="168D2D72" w14:textId="77777777" w:rsidR="002452DB" w:rsidRPr="00D7220B" w:rsidRDefault="002452DB" w:rsidP="00D7220B">
      <w:pPr>
        <w:spacing w:line="240" w:lineRule="auto"/>
        <w:jc w:val="both"/>
        <w:rPr>
          <w:rFonts w:ascii="Arial" w:hAnsi="Arial" w:cs="Arial"/>
          <w:sz w:val="24"/>
          <w:szCs w:val="24"/>
        </w:rPr>
      </w:pPr>
    </w:p>
    <w:p w14:paraId="67202731" w14:textId="77777777" w:rsidR="002452DB" w:rsidRPr="00D7220B" w:rsidRDefault="00D5242A" w:rsidP="00D7220B">
      <w:pPr>
        <w:spacing w:line="240" w:lineRule="auto"/>
        <w:jc w:val="both"/>
        <w:rPr>
          <w:rFonts w:ascii="Arial" w:hAnsi="Arial" w:cs="Arial"/>
          <w:sz w:val="24"/>
          <w:szCs w:val="24"/>
        </w:rPr>
      </w:pPr>
      <w:bookmarkStart w:id="1" w:name="_GoBack"/>
      <w:bookmarkEnd w:id="1"/>
      <w:r w:rsidRPr="00D7220B">
        <w:rPr>
          <w:rFonts w:ascii="Arial" w:hAnsi="Arial" w:cs="Arial"/>
          <w:b/>
          <w:sz w:val="24"/>
          <w:szCs w:val="24"/>
        </w:rPr>
        <w:t>Ethical Compliance</w:t>
      </w:r>
      <w:r w:rsidR="00EC7C01">
        <w:rPr>
          <w:rFonts w:ascii="Arial" w:hAnsi="Arial" w:cs="Arial"/>
          <w:sz w:val="24"/>
          <w:szCs w:val="24"/>
        </w:rPr>
        <w:t>: All procedures performed in this study involving human participants were in accordance with the ethical standards of the Mulungushi University Ethics Committee and the 1964 Declaration of Helsinki and its later amendments,</w:t>
      </w:r>
      <w:r w:rsidRPr="00D7220B">
        <w:rPr>
          <w:rFonts w:ascii="Arial" w:hAnsi="Arial" w:cs="Arial"/>
          <w:sz w:val="24"/>
          <w:szCs w:val="24"/>
        </w:rPr>
        <w:t xml:space="preserve"> or comparable ethical standards.</w:t>
      </w:r>
    </w:p>
    <w:p w14:paraId="578C645B" w14:textId="7C2E51E5" w:rsidR="002452DB" w:rsidRPr="00D7220B" w:rsidRDefault="00D5242A" w:rsidP="00D7220B">
      <w:pPr>
        <w:spacing w:line="240" w:lineRule="auto"/>
        <w:jc w:val="both"/>
        <w:rPr>
          <w:rFonts w:ascii="Arial" w:hAnsi="Arial" w:cs="Arial"/>
          <w:sz w:val="24"/>
          <w:szCs w:val="24"/>
        </w:rPr>
      </w:pPr>
      <w:r w:rsidRPr="00D7220B">
        <w:rPr>
          <w:rFonts w:ascii="Arial" w:hAnsi="Arial" w:cs="Arial"/>
          <w:b/>
          <w:sz w:val="24"/>
          <w:szCs w:val="24"/>
        </w:rPr>
        <w:t>Conflict of Interest declaration</w:t>
      </w:r>
      <w:r w:rsidRPr="00D7220B">
        <w:rPr>
          <w:rFonts w:ascii="Arial" w:hAnsi="Arial" w:cs="Arial"/>
          <w:sz w:val="24"/>
          <w:szCs w:val="24"/>
        </w:rPr>
        <w:t>: The authors declare that they have no affiliations with or involvement in any organisation or entity with any financial interest in the subject matter or materials discussed in this manuscript.</w:t>
      </w:r>
    </w:p>
    <w:p w14:paraId="3FF2E3EE" w14:textId="77777777" w:rsidR="002452DB" w:rsidRDefault="002452DB" w:rsidP="00D7220B">
      <w:pPr>
        <w:spacing w:line="240" w:lineRule="auto"/>
        <w:jc w:val="both"/>
        <w:rPr>
          <w:rFonts w:ascii="Arial" w:hAnsi="Arial" w:cs="Arial"/>
          <w:sz w:val="24"/>
          <w:szCs w:val="24"/>
        </w:rPr>
      </w:pPr>
    </w:p>
    <w:p w14:paraId="268AD4D9" w14:textId="77777777" w:rsidR="00ED7C83" w:rsidRPr="00ED7C83" w:rsidRDefault="00ED7C83" w:rsidP="00ED7C83">
      <w:pPr>
        <w:spacing w:line="240" w:lineRule="auto"/>
        <w:jc w:val="both"/>
        <w:rPr>
          <w:rFonts w:ascii="Arial" w:hAnsi="Arial" w:cs="Arial"/>
          <w:sz w:val="24"/>
          <w:szCs w:val="24"/>
        </w:rPr>
      </w:pPr>
      <w:r w:rsidRPr="00ED7C83">
        <w:rPr>
          <w:rFonts w:ascii="Arial" w:hAnsi="Arial" w:cs="Arial"/>
          <w:sz w:val="24"/>
          <w:szCs w:val="24"/>
        </w:rPr>
        <w:t>COMPETING INTERESTS DISCLAIMER:</w:t>
      </w:r>
    </w:p>
    <w:p w14:paraId="2293F968" w14:textId="371444A0" w:rsidR="00ED7C83" w:rsidRPr="00D7220B" w:rsidRDefault="00ED7C83" w:rsidP="00ED7C83">
      <w:pPr>
        <w:spacing w:line="240" w:lineRule="auto"/>
        <w:jc w:val="both"/>
        <w:rPr>
          <w:rFonts w:ascii="Arial" w:hAnsi="Arial" w:cs="Arial"/>
          <w:sz w:val="24"/>
          <w:szCs w:val="24"/>
        </w:rPr>
      </w:pPr>
      <w:r w:rsidRPr="00ED7C83">
        <w:rPr>
          <w:rFonts w:ascii="Arial" w:hAnsi="Arial" w:cs="Arial"/>
          <w:sz w:val="24"/>
          <w:szCs w:val="24"/>
        </w:rPr>
        <w:t>Authors have declared that they have no known competing financial interests OR non-financial interests OR personal relationships that could have appeared to influence the work reported in this paper.</w:t>
      </w:r>
    </w:p>
    <w:p w14:paraId="641EF860" w14:textId="77777777" w:rsidR="008A3D18" w:rsidRPr="00D7220B" w:rsidRDefault="008A3D18" w:rsidP="00D7220B">
      <w:pPr>
        <w:spacing w:line="240" w:lineRule="auto"/>
        <w:jc w:val="both"/>
        <w:rPr>
          <w:rFonts w:ascii="Arial" w:hAnsi="Arial" w:cs="Arial"/>
          <w:sz w:val="24"/>
          <w:szCs w:val="24"/>
        </w:rPr>
      </w:pPr>
    </w:p>
    <w:p w14:paraId="5FB723C3" w14:textId="77777777" w:rsidR="00ED7C83" w:rsidRDefault="00ED7C83" w:rsidP="00D7220B">
      <w:pPr>
        <w:spacing w:line="240" w:lineRule="auto"/>
        <w:jc w:val="both"/>
        <w:rPr>
          <w:rFonts w:ascii="Arial" w:hAnsi="Arial" w:cs="Arial"/>
          <w:b/>
          <w:sz w:val="24"/>
          <w:szCs w:val="24"/>
        </w:rPr>
      </w:pPr>
    </w:p>
    <w:p w14:paraId="132B6FB1" w14:textId="1F998605" w:rsidR="00550143" w:rsidRPr="00D7220B" w:rsidRDefault="00D5242A" w:rsidP="00D7220B">
      <w:pPr>
        <w:spacing w:line="240" w:lineRule="auto"/>
        <w:jc w:val="both"/>
        <w:rPr>
          <w:rFonts w:ascii="Arial" w:hAnsi="Arial" w:cs="Arial"/>
          <w:b/>
          <w:sz w:val="24"/>
          <w:szCs w:val="24"/>
        </w:rPr>
      </w:pPr>
      <w:r w:rsidRPr="00D7220B">
        <w:rPr>
          <w:rFonts w:ascii="Arial" w:hAnsi="Arial" w:cs="Arial"/>
          <w:b/>
          <w:sz w:val="24"/>
          <w:szCs w:val="24"/>
        </w:rPr>
        <w:t>REFERENCE</w:t>
      </w:r>
      <w:r w:rsidR="009C6952">
        <w:rPr>
          <w:rFonts w:ascii="Arial" w:hAnsi="Arial" w:cs="Arial"/>
          <w:b/>
          <w:sz w:val="24"/>
          <w:szCs w:val="24"/>
        </w:rPr>
        <w:t>S</w:t>
      </w:r>
    </w:p>
    <w:p w14:paraId="04689399" w14:textId="77777777" w:rsidR="00C17C0B" w:rsidRPr="009C6952" w:rsidRDefault="00D5242A" w:rsidP="00D7220B">
      <w:pPr>
        <w:spacing w:after="0" w:line="240" w:lineRule="auto"/>
        <w:jc w:val="both"/>
        <w:rPr>
          <w:rFonts w:ascii="Arial" w:hAnsi="Arial" w:cs="Arial"/>
          <w:i/>
          <w:sz w:val="24"/>
          <w:szCs w:val="24"/>
        </w:rPr>
      </w:pPr>
      <w:r w:rsidRPr="00D7220B">
        <w:rPr>
          <w:rFonts w:ascii="Arial" w:hAnsi="Arial" w:cs="Arial"/>
          <w:sz w:val="24"/>
          <w:szCs w:val="24"/>
        </w:rPr>
        <w:t xml:space="preserve">Akintoye, I. R. (1997). Theoretical framework and practical application. </w:t>
      </w:r>
      <w:r w:rsidRPr="00D7220B">
        <w:rPr>
          <w:rFonts w:ascii="Arial" w:hAnsi="Arial" w:cs="Arial"/>
          <w:i/>
          <w:sz w:val="24"/>
          <w:szCs w:val="24"/>
        </w:rPr>
        <w:t>Management Journal of Business Studies,</w:t>
      </w:r>
      <w:r w:rsidRPr="00D7220B">
        <w:rPr>
          <w:rFonts w:ascii="Arial" w:hAnsi="Arial" w:cs="Arial"/>
          <w:sz w:val="24"/>
          <w:szCs w:val="24"/>
        </w:rPr>
        <w:t xml:space="preserve"> 3(2), 101–109.</w:t>
      </w:r>
    </w:p>
    <w:p w14:paraId="3AF31432" w14:textId="77777777" w:rsidR="009C6952" w:rsidRDefault="009C6952" w:rsidP="00D7220B">
      <w:pPr>
        <w:spacing w:after="0" w:line="240" w:lineRule="auto"/>
        <w:jc w:val="both"/>
        <w:rPr>
          <w:rFonts w:ascii="Arial" w:hAnsi="Arial" w:cs="Arial"/>
          <w:sz w:val="24"/>
          <w:szCs w:val="24"/>
        </w:rPr>
      </w:pPr>
    </w:p>
    <w:p w14:paraId="1A5AA42C" w14:textId="77777777" w:rsidR="007930D1"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Al-Amin, A. M. (2012). School culture and academic performance: A comparative study. </w:t>
      </w:r>
    </w:p>
    <w:p w14:paraId="2258F5F1"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i/>
          <w:sz w:val="24"/>
          <w:szCs w:val="24"/>
        </w:rPr>
        <w:t>African Educational Review</w:t>
      </w:r>
      <w:r w:rsidRPr="00D7220B">
        <w:rPr>
          <w:rFonts w:ascii="Arial" w:hAnsi="Arial" w:cs="Arial"/>
          <w:sz w:val="24"/>
          <w:szCs w:val="24"/>
        </w:rPr>
        <w:t>, 9 (4), 305–320.</w:t>
      </w:r>
    </w:p>
    <w:p w14:paraId="49DFDCBE" w14:textId="77777777" w:rsidR="00C17C0B" w:rsidRPr="00D7220B" w:rsidRDefault="00C17C0B" w:rsidP="00D7220B">
      <w:pPr>
        <w:spacing w:line="240" w:lineRule="auto"/>
        <w:jc w:val="both"/>
        <w:rPr>
          <w:rFonts w:ascii="Arial" w:hAnsi="Arial" w:cs="Arial"/>
          <w:sz w:val="24"/>
          <w:szCs w:val="24"/>
        </w:rPr>
      </w:pPr>
    </w:p>
    <w:p w14:paraId="2C2435B9" w14:textId="77777777" w:rsidR="007930D1"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Aldridge, J. M., &amp; McChesney, K. (2018). The relationships between school climate and </w:t>
      </w:r>
    </w:p>
    <w:p w14:paraId="042DC5BD" w14:textId="77777777" w:rsidR="00C17C0B" w:rsidRPr="00D7220B" w:rsidRDefault="00D5242A" w:rsidP="009C6952">
      <w:pPr>
        <w:spacing w:after="0" w:line="240" w:lineRule="auto"/>
        <w:jc w:val="both"/>
        <w:rPr>
          <w:rFonts w:ascii="Arial" w:hAnsi="Arial" w:cs="Arial"/>
          <w:sz w:val="24"/>
          <w:szCs w:val="24"/>
        </w:rPr>
      </w:pPr>
      <w:r w:rsidRPr="00D7220B">
        <w:rPr>
          <w:rFonts w:ascii="Arial" w:hAnsi="Arial" w:cs="Arial"/>
          <w:sz w:val="24"/>
          <w:szCs w:val="24"/>
        </w:rPr>
        <w:t xml:space="preserve">Adolescent mental health and wellbeing: A systematic literature review. </w:t>
      </w:r>
      <w:r w:rsidRPr="00D7220B">
        <w:rPr>
          <w:rFonts w:ascii="Arial" w:hAnsi="Arial" w:cs="Arial"/>
          <w:i/>
          <w:sz w:val="24"/>
          <w:szCs w:val="24"/>
        </w:rPr>
        <w:t>International Jo</w:t>
      </w:r>
      <w:r w:rsidR="007930D1" w:rsidRPr="00D7220B">
        <w:rPr>
          <w:rFonts w:ascii="Arial" w:hAnsi="Arial" w:cs="Arial"/>
          <w:i/>
          <w:sz w:val="24"/>
          <w:szCs w:val="24"/>
        </w:rPr>
        <w:t>urnal of Educational Research,</w:t>
      </w:r>
      <w:r w:rsidR="007930D1" w:rsidRPr="00D7220B">
        <w:rPr>
          <w:rFonts w:ascii="Arial" w:hAnsi="Arial" w:cs="Arial"/>
          <w:sz w:val="24"/>
          <w:szCs w:val="24"/>
        </w:rPr>
        <w:t xml:space="preserve"> </w:t>
      </w:r>
      <w:r w:rsidRPr="00D7220B">
        <w:rPr>
          <w:rFonts w:ascii="Arial" w:hAnsi="Arial" w:cs="Arial"/>
          <w:sz w:val="24"/>
          <w:szCs w:val="24"/>
        </w:rPr>
        <w:t>88, 121–145. https://doi.org/10.1016/j.ijer.2018.01.012</w:t>
      </w:r>
    </w:p>
    <w:p w14:paraId="6B079ABB" w14:textId="77777777" w:rsidR="009C6952" w:rsidRDefault="009C6952" w:rsidP="00D7220B">
      <w:pPr>
        <w:spacing w:after="0" w:line="240" w:lineRule="auto"/>
        <w:jc w:val="both"/>
        <w:rPr>
          <w:rFonts w:ascii="Arial" w:hAnsi="Arial" w:cs="Arial"/>
          <w:sz w:val="24"/>
          <w:szCs w:val="24"/>
        </w:rPr>
      </w:pPr>
    </w:p>
    <w:p w14:paraId="1DC7E52E" w14:textId="77777777" w:rsidR="009C6952" w:rsidRDefault="00D5242A" w:rsidP="00D7220B">
      <w:pPr>
        <w:spacing w:after="0" w:line="240" w:lineRule="auto"/>
        <w:jc w:val="both"/>
        <w:rPr>
          <w:rFonts w:ascii="Arial" w:hAnsi="Arial" w:cs="Arial"/>
          <w:i/>
          <w:sz w:val="24"/>
          <w:szCs w:val="24"/>
        </w:rPr>
      </w:pPr>
      <w:r w:rsidRPr="00D7220B">
        <w:rPr>
          <w:rFonts w:ascii="Arial" w:hAnsi="Arial" w:cs="Arial"/>
          <w:sz w:val="24"/>
          <w:szCs w:val="24"/>
        </w:rPr>
        <w:t xml:space="preserve">Amsalu, S., &amp; Belay, T. (2024). The role of school climate in learner academic achievement: Evidence from Ethiopia. </w:t>
      </w:r>
      <w:r w:rsidRPr="00D7220B">
        <w:rPr>
          <w:rFonts w:ascii="Arial" w:hAnsi="Arial" w:cs="Arial"/>
          <w:i/>
          <w:sz w:val="24"/>
          <w:szCs w:val="24"/>
        </w:rPr>
        <w:t xml:space="preserve">East African Journal of </w:t>
      </w:r>
      <w:r w:rsidR="007930D1" w:rsidRPr="00D7220B">
        <w:rPr>
          <w:rFonts w:ascii="Arial" w:hAnsi="Arial" w:cs="Arial"/>
          <w:i/>
          <w:sz w:val="24"/>
          <w:szCs w:val="24"/>
        </w:rPr>
        <w:t xml:space="preserve">Education and Social </w:t>
      </w:r>
    </w:p>
    <w:p w14:paraId="18AFE942" w14:textId="77777777" w:rsidR="00C17C0B" w:rsidRPr="00D7220B" w:rsidRDefault="009C6952" w:rsidP="009C6952">
      <w:pPr>
        <w:spacing w:after="0" w:line="240" w:lineRule="auto"/>
        <w:jc w:val="both"/>
        <w:rPr>
          <w:rFonts w:ascii="Arial" w:hAnsi="Arial" w:cs="Arial"/>
          <w:sz w:val="24"/>
          <w:szCs w:val="24"/>
        </w:rPr>
      </w:pPr>
      <w:r>
        <w:rPr>
          <w:rFonts w:ascii="Arial" w:hAnsi="Arial" w:cs="Arial"/>
          <w:sz w:val="24"/>
          <w:szCs w:val="24"/>
        </w:rPr>
        <w:t>Academic Achievement: Testing a Model with Urban High S</w:t>
      </w:r>
      <w:r w:rsidR="00D5242A" w:rsidRPr="00D7220B">
        <w:rPr>
          <w:rFonts w:ascii="Arial" w:hAnsi="Arial" w:cs="Arial"/>
          <w:sz w:val="24"/>
          <w:szCs w:val="24"/>
        </w:rPr>
        <w:t xml:space="preserve">chools. </w:t>
      </w:r>
      <w:r w:rsidR="00D5242A" w:rsidRPr="00D7220B">
        <w:rPr>
          <w:rFonts w:ascii="Arial" w:hAnsi="Arial" w:cs="Arial"/>
          <w:i/>
          <w:sz w:val="24"/>
          <w:szCs w:val="24"/>
        </w:rPr>
        <w:t>L</w:t>
      </w:r>
      <w:r w:rsidR="007930D1" w:rsidRPr="00D7220B">
        <w:rPr>
          <w:rFonts w:ascii="Arial" w:hAnsi="Arial" w:cs="Arial"/>
          <w:i/>
          <w:sz w:val="24"/>
          <w:szCs w:val="24"/>
        </w:rPr>
        <w:t>earning Environments Research</w:t>
      </w:r>
      <w:r w:rsidR="007930D1" w:rsidRPr="00D7220B">
        <w:rPr>
          <w:rFonts w:ascii="Arial" w:hAnsi="Arial" w:cs="Arial"/>
          <w:sz w:val="24"/>
          <w:szCs w:val="24"/>
        </w:rPr>
        <w:t xml:space="preserve">, </w:t>
      </w:r>
      <w:r w:rsidR="00D5242A" w:rsidRPr="00D7220B">
        <w:rPr>
          <w:rFonts w:ascii="Arial" w:hAnsi="Arial" w:cs="Arial"/>
          <w:sz w:val="24"/>
          <w:szCs w:val="24"/>
        </w:rPr>
        <w:t>19</w:t>
      </w:r>
      <w:r w:rsidR="007930D1" w:rsidRPr="00D7220B">
        <w:rPr>
          <w:rFonts w:ascii="Arial" w:hAnsi="Arial" w:cs="Arial"/>
          <w:sz w:val="24"/>
          <w:szCs w:val="24"/>
        </w:rPr>
        <w:t xml:space="preserve"> </w:t>
      </w:r>
      <w:r w:rsidR="00D5242A" w:rsidRPr="00D7220B">
        <w:rPr>
          <w:rFonts w:ascii="Arial" w:hAnsi="Arial" w:cs="Arial"/>
          <w:sz w:val="24"/>
          <w:szCs w:val="24"/>
        </w:rPr>
        <w:t>(3), 397–410. https://doi.org/10.1007/s10984-016-9213-x</w:t>
      </w:r>
    </w:p>
    <w:p w14:paraId="2F9450C2" w14:textId="77777777" w:rsidR="009C6952" w:rsidRDefault="009C6952" w:rsidP="00D7220B">
      <w:pPr>
        <w:spacing w:after="0" w:line="240" w:lineRule="auto"/>
        <w:jc w:val="both"/>
        <w:rPr>
          <w:rFonts w:ascii="Arial" w:hAnsi="Arial" w:cs="Arial"/>
          <w:sz w:val="24"/>
          <w:szCs w:val="24"/>
        </w:rPr>
      </w:pPr>
    </w:p>
    <w:p w14:paraId="67EAFCC3" w14:textId="77777777" w:rsidR="00C17C0B" w:rsidRPr="00D7220B" w:rsidRDefault="00D5242A" w:rsidP="009C6952">
      <w:pPr>
        <w:spacing w:after="0" w:line="240" w:lineRule="auto"/>
        <w:jc w:val="both"/>
        <w:rPr>
          <w:rFonts w:ascii="Arial" w:hAnsi="Arial" w:cs="Arial"/>
          <w:sz w:val="24"/>
          <w:szCs w:val="24"/>
        </w:rPr>
      </w:pPr>
      <w:r w:rsidRPr="00D7220B">
        <w:rPr>
          <w:rFonts w:ascii="Arial" w:hAnsi="Arial" w:cs="Arial"/>
          <w:sz w:val="24"/>
          <w:szCs w:val="24"/>
        </w:rPr>
        <w:lastRenderedPageBreak/>
        <w:t>Ballafkih, H., &amp; Middelkoop, D. (2019). Learner achievement in the 21st century: Implications</w:t>
      </w:r>
      <w:r w:rsidR="009C6952">
        <w:rPr>
          <w:rFonts w:ascii="Arial" w:hAnsi="Arial" w:cs="Arial"/>
          <w:sz w:val="24"/>
          <w:szCs w:val="24"/>
        </w:rPr>
        <w:t xml:space="preserve"> for Policy and P</w:t>
      </w:r>
      <w:r w:rsidRPr="00D7220B">
        <w:rPr>
          <w:rFonts w:ascii="Arial" w:hAnsi="Arial" w:cs="Arial"/>
          <w:sz w:val="24"/>
          <w:szCs w:val="24"/>
        </w:rPr>
        <w:t xml:space="preserve">ractice. </w:t>
      </w:r>
      <w:r w:rsidR="00137D52" w:rsidRPr="00D7220B">
        <w:rPr>
          <w:rFonts w:ascii="Arial" w:hAnsi="Arial" w:cs="Arial"/>
          <w:i/>
          <w:sz w:val="24"/>
          <w:szCs w:val="24"/>
        </w:rPr>
        <w:t>European Journal of Education</w:t>
      </w:r>
      <w:r w:rsidR="00137D52" w:rsidRPr="00D7220B">
        <w:rPr>
          <w:rFonts w:ascii="Arial" w:hAnsi="Arial" w:cs="Arial"/>
          <w:sz w:val="24"/>
          <w:szCs w:val="24"/>
        </w:rPr>
        <w:t xml:space="preserve">, </w:t>
      </w:r>
      <w:r w:rsidRPr="00D7220B">
        <w:rPr>
          <w:rFonts w:ascii="Arial" w:hAnsi="Arial" w:cs="Arial"/>
          <w:sz w:val="24"/>
          <w:szCs w:val="24"/>
        </w:rPr>
        <w:t>54</w:t>
      </w:r>
      <w:r w:rsidR="00137D52" w:rsidRPr="00D7220B">
        <w:rPr>
          <w:rFonts w:ascii="Arial" w:hAnsi="Arial" w:cs="Arial"/>
          <w:sz w:val="24"/>
          <w:szCs w:val="24"/>
        </w:rPr>
        <w:t xml:space="preserve"> </w:t>
      </w:r>
      <w:r w:rsidRPr="00D7220B">
        <w:rPr>
          <w:rFonts w:ascii="Arial" w:hAnsi="Arial" w:cs="Arial"/>
          <w:sz w:val="24"/>
          <w:szCs w:val="24"/>
        </w:rPr>
        <w:t>(3), 325–339.</w:t>
      </w:r>
    </w:p>
    <w:p w14:paraId="3CEFC052" w14:textId="77777777" w:rsidR="009C6952" w:rsidRDefault="009C6952" w:rsidP="009C6952">
      <w:pPr>
        <w:spacing w:after="0" w:line="240" w:lineRule="auto"/>
        <w:jc w:val="both"/>
        <w:rPr>
          <w:rFonts w:ascii="Arial" w:hAnsi="Arial" w:cs="Arial"/>
          <w:sz w:val="24"/>
          <w:szCs w:val="24"/>
        </w:rPr>
      </w:pPr>
    </w:p>
    <w:p w14:paraId="54B1F0D1" w14:textId="77777777" w:rsidR="00C17C0B" w:rsidRPr="00D7220B" w:rsidRDefault="009C6952" w:rsidP="009C6952">
      <w:pPr>
        <w:spacing w:after="0" w:line="240" w:lineRule="auto"/>
        <w:jc w:val="both"/>
        <w:rPr>
          <w:rFonts w:ascii="Arial" w:hAnsi="Arial" w:cs="Arial"/>
          <w:sz w:val="24"/>
          <w:szCs w:val="24"/>
        </w:rPr>
      </w:pPr>
      <w:r>
        <w:rPr>
          <w:rFonts w:ascii="Arial" w:hAnsi="Arial" w:cs="Arial"/>
          <w:sz w:val="24"/>
          <w:szCs w:val="24"/>
        </w:rPr>
        <w:t xml:space="preserve">Barker, B. (2007). The Leadership Paradox: Can </w:t>
      </w:r>
      <w:r w:rsidR="005468B2">
        <w:rPr>
          <w:rFonts w:ascii="Arial" w:hAnsi="Arial" w:cs="Arial"/>
          <w:sz w:val="24"/>
          <w:szCs w:val="24"/>
        </w:rPr>
        <w:t>School</w:t>
      </w:r>
      <w:r>
        <w:rPr>
          <w:rFonts w:ascii="Arial" w:hAnsi="Arial" w:cs="Arial"/>
          <w:sz w:val="24"/>
          <w:szCs w:val="24"/>
        </w:rPr>
        <w:t xml:space="preserve"> Leaders Transform Student O</w:t>
      </w:r>
      <w:r w:rsidR="00D5242A" w:rsidRPr="00D7220B">
        <w:rPr>
          <w:rFonts w:ascii="Arial" w:hAnsi="Arial" w:cs="Arial"/>
          <w:sz w:val="24"/>
          <w:szCs w:val="24"/>
        </w:rPr>
        <w:t>utcomes?</w:t>
      </w:r>
      <w:r>
        <w:rPr>
          <w:rFonts w:ascii="Arial" w:hAnsi="Arial" w:cs="Arial"/>
          <w:sz w:val="24"/>
          <w:szCs w:val="24"/>
        </w:rPr>
        <w:t xml:space="preserve"> </w:t>
      </w:r>
      <w:r w:rsidR="00D5242A" w:rsidRPr="00D7220B">
        <w:rPr>
          <w:rFonts w:ascii="Arial" w:hAnsi="Arial" w:cs="Arial"/>
          <w:sz w:val="24"/>
          <w:szCs w:val="24"/>
        </w:rPr>
        <w:t>School Effecti</w:t>
      </w:r>
      <w:r w:rsidR="00137D52" w:rsidRPr="00D7220B">
        <w:rPr>
          <w:rFonts w:ascii="Arial" w:hAnsi="Arial" w:cs="Arial"/>
          <w:sz w:val="24"/>
          <w:szCs w:val="24"/>
        </w:rPr>
        <w:t xml:space="preserve">veness and School Improvement, </w:t>
      </w:r>
      <w:r w:rsidR="00D5242A" w:rsidRPr="00D7220B">
        <w:rPr>
          <w:rFonts w:ascii="Arial" w:hAnsi="Arial" w:cs="Arial"/>
          <w:sz w:val="24"/>
          <w:szCs w:val="24"/>
        </w:rPr>
        <w:t>18</w:t>
      </w:r>
      <w:r w:rsidR="00137D52" w:rsidRPr="00D7220B">
        <w:rPr>
          <w:rFonts w:ascii="Arial" w:hAnsi="Arial" w:cs="Arial"/>
          <w:sz w:val="24"/>
          <w:szCs w:val="24"/>
        </w:rPr>
        <w:t xml:space="preserve"> </w:t>
      </w:r>
      <w:r w:rsidR="00D5242A" w:rsidRPr="00D7220B">
        <w:rPr>
          <w:rFonts w:ascii="Arial" w:hAnsi="Arial" w:cs="Arial"/>
          <w:sz w:val="24"/>
          <w:szCs w:val="24"/>
        </w:rPr>
        <w:t>(1), 21–43. https://doi.org/10.1080/09243450601058618</w:t>
      </w:r>
    </w:p>
    <w:p w14:paraId="49705266" w14:textId="77777777" w:rsidR="009C6952" w:rsidRDefault="009C6952" w:rsidP="00D7220B">
      <w:pPr>
        <w:spacing w:after="0" w:line="240" w:lineRule="auto"/>
        <w:jc w:val="both"/>
        <w:rPr>
          <w:rFonts w:ascii="Arial" w:hAnsi="Arial" w:cs="Arial"/>
          <w:sz w:val="24"/>
          <w:szCs w:val="24"/>
        </w:rPr>
      </w:pPr>
    </w:p>
    <w:p w14:paraId="7515F00A" w14:textId="77777777" w:rsidR="00137D52"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Bayar, A., &amp; Karad</w:t>
      </w:r>
      <w:r w:rsidR="009C6952">
        <w:rPr>
          <w:rFonts w:ascii="Arial" w:hAnsi="Arial" w:cs="Arial"/>
          <w:sz w:val="24"/>
          <w:szCs w:val="24"/>
        </w:rPr>
        <w:t>uman, H. (2021). Exploring the Effects of School Culture on S</w:t>
      </w:r>
      <w:r w:rsidRPr="00D7220B">
        <w:rPr>
          <w:rFonts w:ascii="Arial" w:hAnsi="Arial" w:cs="Arial"/>
          <w:sz w:val="24"/>
          <w:szCs w:val="24"/>
        </w:rPr>
        <w:t xml:space="preserve">tudent </w:t>
      </w:r>
    </w:p>
    <w:p w14:paraId="65A6996E" w14:textId="77777777" w:rsidR="00C17C0B" w:rsidRPr="00D7220B" w:rsidRDefault="009C6952" w:rsidP="00D7220B">
      <w:pPr>
        <w:spacing w:after="0" w:line="240" w:lineRule="auto"/>
        <w:jc w:val="both"/>
        <w:rPr>
          <w:rFonts w:ascii="Arial" w:hAnsi="Arial" w:cs="Arial"/>
          <w:sz w:val="24"/>
          <w:szCs w:val="24"/>
        </w:rPr>
      </w:pPr>
      <w:r>
        <w:rPr>
          <w:rFonts w:ascii="Arial" w:hAnsi="Arial" w:cs="Arial"/>
          <w:sz w:val="24"/>
          <w:szCs w:val="24"/>
        </w:rPr>
        <w:t>E</w:t>
      </w:r>
      <w:r w:rsidR="00D5242A" w:rsidRPr="00D7220B">
        <w:rPr>
          <w:rFonts w:ascii="Arial" w:hAnsi="Arial" w:cs="Arial"/>
          <w:sz w:val="24"/>
          <w:szCs w:val="24"/>
        </w:rPr>
        <w:t xml:space="preserve">ngagement. Educational Sciences: </w:t>
      </w:r>
      <w:r w:rsidR="00D5242A" w:rsidRPr="00D7220B">
        <w:rPr>
          <w:rFonts w:ascii="Arial" w:hAnsi="Arial" w:cs="Arial"/>
          <w:i/>
          <w:sz w:val="24"/>
          <w:szCs w:val="24"/>
        </w:rPr>
        <w:t>Theory &amp; Practice</w:t>
      </w:r>
      <w:r w:rsidR="00D5242A" w:rsidRPr="00D7220B">
        <w:rPr>
          <w:rFonts w:ascii="Arial" w:hAnsi="Arial" w:cs="Arial"/>
          <w:sz w:val="24"/>
          <w:szCs w:val="24"/>
        </w:rPr>
        <w:t>, 21(4), 51–66.</w:t>
      </w:r>
    </w:p>
    <w:p w14:paraId="4358FD15" w14:textId="77777777" w:rsidR="009C6952" w:rsidRDefault="009C6952" w:rsidP="00D7220B">
      <w:pPr>
        <w:spacing w:after="0" w:line="240" w:lineRule="auto"/>
        <w:jc w:val="both"/>
        <w:rPr>
          <w:rFonts w:ascii="Arial" w:hAnsi="Arial" w:cs="Arial"/>
          <w:sz w:val="24"/>
          <w:szCs w:val="24"/>
        </w:rPr>
      </w:pPr>
    </w:p>
    <w:p w14:paraId="47F1EC97" w14:textId="77777777" w:rsidR="00C17C0B" w:rsidRPr="00D7220B" w:rsidRDefault="00D5242A" w:rsidP="009C6952">
      <w:pPr>
        <w:spacing w:after="0" w:line="240" w:lineRule="auto"/>
        <w:jc w:val="both"/>
        <w:rPr>
          <w:rFonts w:ascii="Arial" w:hAnsi="Arial" w:cs="Arial"/>
          <w:sz w:val="24"/>
          <w:szCs w:val="24"/>
        </w:rPr>
      </w:pPr>
      <w:r w:rsidRPr="00D7220B">
        <w:rPr>
          <w:rFonts w:ascii="Arial" w:hAnsi="Arial" w:cs="Arial"/>
          <w:sz w:val="24"/>
          <w:szCs w:val="24"/>
        </w:rPr>
        <w:t xml:space="preserve">Berkowitz, R., Benbenishty, R., Astor, R. A., &amp; Moore, H. (2016). A research synthesis of the </w:t>
      </w:r>
      <w:r w:rsidR="009C6952">
        <w:rPr>
          <w:rFonts w:ascii="Arial" w:hAnsi="Arial" w:cs="Arial"/>
          <w:sz w:val="24"/>
          <w:szCs w:val="24"/>
        </w:rPr>
        <w:t>Associations between Socioeconomic Background, Inequality, School Climate, and Academic A</w:t>
      </w:r>
      <w:r w:rsidRPr="00D7220B">
        <w:rPr>
          <w:rFonts w:ascii="Arial" w:hAnsi="Arial" w:cs="Arial"/>
          <w:sz w:val="24"/>
          <w:szCs w:val="24"/>
        </w:rPr>
        <w:t xml:space="preserve">chievement. </w:t>
      </w:r>
      <w:r w:rsidRPr="00D7220B">
        <w:rPr>
          <w:rFonts w:ascii="Arial" w:hAnsi="Arial" w:cs="Arial"/>
          <w:i/>
          <w:sz w:val="24"/>
          <w:szCs w:val="24"/>
        </w:rPr>
        <w:t>Review of Educational Research,</w:t>
      </w:r>
      <w:r w:rsidR="00137D52" w:rsidRPr="00D7220B">
        <w:rPr>
          <w:rFonts w:ascii="Arial" w:hAnsi="Arial" w:cs="Arial"/>
          <w:sz w:val="24"/>
          <w:szCs w:val="24"/>
        </w:rPr>
        <w:t xml:space="preserve"> </w:t>
      </w:r>
      <w:r w:rsidRPr="00D7220B">
        <w:rPr>
          <w:rFonts w:ascii="Arial" w:hAnsi="Arial" w:cs="Arial"/>
          <w:sz w:val="24"/>
          <w:szCs w:val="24"/>
        </w:rPr>
        <w:t>87</w:t>
      </w:r>
      <w:r w:rsidR="00137D52" w:rsidRPr="00D7220B">
        <w:rPr>
          <w:rFonts w:ascii="Arial" w:hAnsi="Arial" w:cs="Arial"/>
          <w:sz w:val="24"/>
          <w:szCs w:val="24"/>
        </w:rPr>
        <w:t xml:space="preserve"> </w:t>
      </w:r>
      <w:r w:rsidRPr="00D7220B">
        <w:rPr>
          <w:rFonts w:ascii="Arial" w:hAnsi="Arial" w:cs="Arial"/>
          <w:sz w:val="24"/>
          <w:szCs w:val="24"/>
        </w:rPr>
        <w:t>(2), 425–469. https://doi.org/10.3102/0034654316669821</w:t>
      </w:r>
    </w:p>
    <w:p w14:paraId="270E2E28" w14:textId="77777777" w:rsidR="009C6952" w:rsidRDefault="009C6952" w:rsidP="00D7220B">
      <w:pPr>
        <w:spacing w:after="0" w:line="240" w:lineRule="auto"/>
        <w:jc w:val="both"/>
        <w:rPr>
          <w:rFonts w:ascii="Arial" w:hAnsi="Arial" w:cs="Arial"/>
          <w:sz w:val="24"/>
          <w:szCs w:val="24"/>
        </w:rPr>
      </w:pPr>
    </w:p>
    <w:p w14:paraId="660D6B14" w14:textId="77777777" w:rsidR="00C17C0B" w:rsidRPr="00D7220B" w:rsidRDefault="00D5242A" w:rsidP="009C6952">
      <w:pPr>
        <w:spacing w:after="0" w:line="240" w:lineRule="auto"/>
        <w:jc w:val="both"/>
        <w:rPr>
          <w:rFonts w:ascii="Arial" w:hAnsi="Arial" w:cs="Arial"/>
          <w:sz w:val="24"/>
          <w:szCs w:val="24"/>
        </w:rPr>
      </w:pPr>
      <w:r w:rsidRPr="00D7220B">
        <w:rPr>
          <w:rFonts w:ascii="Arial" w:hAnsi="Arial" w:cs="Arial"/>
          <w:sz w:val="24"/>
          <w:szCs w:val="24"/>
        </w:rPr>
        <w:t>Berkowitz, R., Benbenishty, R., Astor, R. A., &amp; Moore,</w:t>
      </w:r>
      <w:r w:rsidR="009C6952">
        <w:rPr>
          <w:rFonts w:ascii="Arial" w:hAnsi="Arial" w:cs="Arial"/>
          <w:sz w:val="24"/>
          <w:szCs w:val="24"/>
        </w:rPr>
        <w:t xml:space="preserve"> H. (2024). School Climate and S</w:t>
      </w:r>
      <w:r w:rsidRPr="00D7220B">
        <w:rPr>
          <w:rFonts w:ascii="Arial" w:hAnsi="Arial" w:cs="Arial"/>
          <w:sz w:val="24"/>
          <w:szCs w:val="24"/>
        </w:rPr>
        <w:t xml:space="preserve">tudent </w:t>
      </w:r>
      <w:r w:rsidR="009C6952">
        <w:rPr>
          <w:rFonts w:ascii="Arial" w:hAnsi="Arial" w:cs="Arial"/>
          <w:sz w:val="24"/>
          <w:szCs w:val="24"/>
        </w:rPr>
        <w:t>Achievement: Longitudinal A</w:t>
      </w:r>
      <w:r w:rsidRPr="00D7220B">
        <w:rPr>
          <w:rFonts w:ascii="Arial" w:hAnsi="Arial" w:cs="Arial"/>
          <w:sz w:val="24"/>
          <w:szCs w:val="24"/>
        </w:rPr>
        <w:t xml:space="preserve">nalysis. </w:t>
      </w:r>
      <w:r w:rsidRPr="00D7220B">
        <w:rPr>
          <w:rFonts w:ascii="Arial" w:hAnsi="Arial" w:cs="Arial"/>
          <w:i/>
          <w:sz w:val="24"/>
          <w:szCs w:val="24"/>
        </w:rPr>
        <w:t>Journal of Educational Psychology</w:t>
      </w:r>
      <w:r w:rsidR="00137D52" w:rsidRPr="00D7220B">
        <w:rPr>
          <w:rFonts w:ascii="Arial" w:hAnsi="Arial" w:cs="Arial"/>
          <w:sz w:val="24"/>
          <w:szCs w:val="24"/>
        </w:rPr>
        <w:t xml:space="preserve">, </w:t>
      </w:r>
      <w:r w:rsidRPr="00D7220B">
        <w:rPr>
          <w:rFonts w:ascii="Arial" w:hAnsi="Arial" w:cs="Arial"/>
          <w:sz w:val="24"/>
          <w:szCs w:val="24"/>
        </w:rPr>
        <w:t>116</w:t>
      </w:r>
      <w:r w:rsidR="00137D52" w:rsidRPr="00D7220B">
        <w:rPr>
          <w:rFonts w:ascii="Arial" w:hAnsi="Arial" w:cs="Arial"/>
          <w:sz w:val="24"/>
          <w:szCs w:val="24"/>
        </w:rPr>
        <w:t xml:space="preserve"> </w:t>
      </w:r>
      <w:r w:rsidRPr="00D7220B">
        <w:rPr>
          <w:rFonts w:ascii="Arial" w:hAnsi="Arial" w:cs="Arial"/>
          <w:sz w:val="24"/>
          <w:szCs w:val="24"/>
        </w:rPr>
        <w:t>(2), 245–261.</w:t>
      </w:r>
    </w:p>
    <w:p w14:paraId="2BD1C119" w14:textId="77777777" w:rsidR="009C6952" w:rsidRDefault="009C6952" w:rsidP="00D7220B">
      <w:pPr>
        <w:spacing w:after="0" w:line="240" w:lineRule="auto"/>
        <w:jc w:val="both"/>
        <w:rPr>
          <w:rFonts w:ascii="Arial" w:hAnsi="Arial" w:cs="Arial"/>
          <w:sz w:val="24"/>
          <w:szCs w:val="24"/>
        </w:rPr>
      </w:pPr>
    </w:p>
    <w:p w14:paraId="28E9A5F7" w14:textId="77777777" w:rsidR="00C17C0B" w:rsidRPr="00D7220B" w:rsidRDefault="00D5242A" w:rsidP="009C6952">
      <w:pPr>
        <w:spacing w:after="0" w:line="240" w:lineRule="auto"/>
        <w:jc w:val="both"/>
        <w:rPr>
          <w:rFonts w:ascii="Arial" w:hAnsi="Arial" w:cs="Arial"/>
          <w:sz w:val="24"/>
          <w:szCs w:val="24"/>
        </w:rPr>
      </w:pPr>
      <w:r w:rsidRPr="00D7220B">
        <w:rPr>
          <w:rFonts w:ascii="Arial" w:hAnsi="Arial" w:cs="Arial"/>
          <w:sz w:val="24"/>
          <w:szCs w:val="24"/>
        </w:rPr>
        <w:t xml:space="preserve">Božović, S. G., Stojanović, T. </w:t>
      </w:r>
      <w:r w:rsidR="009C6952">
        <w:rPr>
          <w:rFonts w:ascii="Arial" w:hAnsi="Arial" w:cs="Arial"/>
          <w:sz w:val="24"/>
          <w:szCs w:val="24"/>
        </w:rPr>
        <w:t>M., &amp; Simić, M. M. (2024). The Connection between S</w:t>
      </w:r>
      <w:r w:rsidRPr="00D7220B">
        <w:rPr>
          <w:rFonts w:ascii="Arial" w:hAnsi="Arial" w:cs="Arial"/>
          <w:sz w:val="24"/>
          <w:szCs w:val="24"/>
        </w:rPr>
        <w:t xml:space="preserve">chool and </w:t>
      </w:r>
      <w:r w:rsidR="009C6952">
        <w:rPr>
          <w:rFonts w:ascii="Arial" w:hAnsi="Arial" w:cs="Arial"/>
          <w:sz w:val="24"/>
          <w:szCs w:val="24"/>
        </w:rPr>
        <w:t>Class C</w:t>
      </w:r>
      <w:r w:rsidRPr="00D7220B">
        <w:rPr>
          <w:rFonts w:ascii="Arial" w:hAnsi="Arial" w:cs="Arial"/>
          <w:sz w:val="24"/>
          <w:szCs w:val="24"/>
        </w:rPr>
        <w:t xml:space="preserve">limate. </w:t>
      </w:r>
      <w:r w:rsidR="00137D52" w:rsidRPr="00D7220B">
        <w:rPr>
          <w:rFonts w:ascii="Arial" w:hAnsi="Arial" w:cs="Arial"/>
          <w:i/>
          <w:sz w:val="24"/>
          <w:szCs w:val="24"/>
        </w:rPr>
        <w:t>SCIENCE International Journal</w:t>
      </w:r>
      <w:r w:rsidR="00137D52" w:rsidRPr="00D7220B">
        <w:rPr>
          <w:rFonts w:ascii="Arial" w:hAnsi="Arial" w:cs="Arial"/>
          <w:sz w:val="24"/>
          <w:szCs w:val="24"/>
        </w:rPr>
        <w:t xml:space="preserve">, 3 </w:t>
      </w:r>
      <w:r w:rsidRPr="00D7220B">
        <w:rPr>
          <w:rFonts w:ascii="Arial" w:hAnsi="Arial" w:cs="Arial"/>
          <w:sz w:val="24"/>
          <w:szCs w:val="24"/>
        </w:rPr>
        <w:t>(1), 157–161. https://doi.org/10.35120/sciencej0301157b</w:t>
      </w:r>
    </w:p>
    <w:p w14:paraId="2690ABF4" w14:textId="77777777" w:rsidR="009C6952" w:rsidRDefault="009C6952" w:rsidP="00D7220B">
      <w:pPr>
        <w:spacing w:after="0" w:line="240" w:lineRule="auto"/>
        <w:jc w:val="both"/>
        <w:rPr>
          <w:rFonts w:ascii="Arial" w:hAnsi="Arial" w:cs="Arial"/>
          <w:sz w:val="24"/>
          <w:szCs w:val="24"/>
        </w:rPr>
      </w:pPr>
    </w:p>
    <w:p w14:paraId="17218476" w14:textId="77777777" w:rsidR="00C17C0B" w:rsidRPr="00D7220B" w:rsidRDefault="00D5242A" w:rsidP="009C6952">
      <w:pPr>
        <w:spacing w:after="0" w:line="240" w:lineRule="auto"/>
        <w:jc w:val="both"/>
        <w:rPr>
          <w:rFonts w:ascii="Arial" w:hAnsi="Arial" w:cs="Arial"/>
          <w:sz w:val="24"/>
          <w:szCs w:val="24"/>
        </w:rPr>
      </w:pPr>
      <w:r w:rsidRPr="00D7220B">
        <w:rPr>
          <w:rFonts w:ascii="Arial" w:hAnsi="Arial" w:cs="Arial"/>
          <w:sz w:val="24"/>
          <w:szCs w:val="24"/>
        </w:rPr>
        <w:t>Bradshaw, C. P., Cohen, J., Espelage, D. L., &amp; Nation, M. (</w:t>
      </w:r>
      <w:r w:rsidR="009C6952">
        <w:rPr>
          <w:rFonts w:ascii="Arial" w:hAnsi="Arial" w:cs="Arial"/>
          <w:sz w:val="24"/>
          <w:szCs w:val="24"/>
        </w:rPr>
        <w:t>2021). Addressing School S</w:t>
      </w:r>
      <w:r w:rsidRPr="00D7220B">
        <w:rPr>
          <w:rFonts w:ascii="Arial" w:hAnsi="Arial" w:cs="Arial"/>
          <w:sz w:val="24"/>
          <w:szCs w:val="24"/>
        </w:rPr>
        <w:t xml:space="preserve">afety </w:t>
      </w:r>
      <w:r w:rsidR="009C6952">
        <w:rPr>
          <w:rFonts w:ascii="Arial" w:hAnsi="Arial" w:cs="Arial"/>
          <w:sz w:val="24"/>
          <w:szCs w:val="24"/>
        </w:rPr>
        <w:t>through Comprehensive School Climate A</w:t>
      </w:r>
      <w:r w:rsidRPr="00D7220B">
        <w:rPr>
          <w:rFonts w:ascii="Arial" w:hAnsi="Arial" w:cs="Arial"/>
          <w:sz w:val="24"/>
          <w:szCs w:val="24"/>
        </w:rPr>
        <w:t xml:space="preserve">pproaches. </w:t>
      </w:r>
      <w:r w:rsidRPr="00D7220B">
        <w:rPr>
          <w:rFonts w:ascii="Arial" w:hAnsi="Arial" w:cs="Arial"/>
          <w:i/>
          <w:sz w:val="24"/>
          <w:szCs w:val="24"/>
        </w:rPr>
        <w:t>School Psychology Review</w:t>
      </w:r>
      <w:r w:rsidR="00137D52" w:rsidRPr="00D7220B">
        <w:rPr>
          <w:rFonts w:ascii="Arial" w:hAnsi="Arial" w:cs="Arial"/>
          <w:sz w:val="24"/>
          <w:szCs w:val="24"/>
        </w:rPr>
        <w:t xml:space="preserve">, </w:t>
      </w:r>
      <w:r w:rsidRPr="00D7220B">
        <w:rPr>
          <w:rFonts w:ascii="Arial" w:hAnsi="Arial" w:cs="Arial"/>
          <w:sz w:val="24"/>
          <w:szCs w:val="24"/>
        </w:rPr>
        <w:t>50</w:t>
      </w:r>
      <w:r w:rsidR="00137D52" w:rsidRPr="00D7220B">
        <w:rPr>
          <w:rFonts w:ascii="Arial" w:hAnsi="Arial" w:cs="Arial"/>
          <w:sz w:val="24"/>
          <w:szCs w:val="24"/>
        </w:rPr>
        <w:t xml:space="preserve"> </w:t>
      </w:r>
      <w:r w:rsidRPr="00D7220B">
        <w:rPr>
          <w:rFonts w:ascii="Arial" w:hAnsi="Arial" w:cs="Arial"/>
          <w:sz w:val="24"/>
          <w:szCs w:val="24"/>
        </w:rPr>
        <w:t>(2-3), 221–236. https://doi.org/10.1080/2372966x.2021.1926321</w:t>
      </w:r>
    </w:p>
    <w:p w14:paraId="7BE36E04" w14:textId="77777777" w:rsidR="009C6952" w:rsidRDefault="009C6952" w:rsidP="00D7220B">
      <w:pPr>
        <w:spacing w:after="0" w:line="240" w:lineRule="auto"/>
        <w:jc w:val="both"/>
        <w:rPr>
          <w:rFonts w:ascii="Arial" w:hAnsi="Arial" w:cs="Arial"/>
          <w:sz w:val="24"/>
          <w:szCs w:val="24"/>
        </w:rPr>
      </w:pPr>
    </w:p>
    <w:p w14:paraId="5F0096C6" w14:textId="77777777" w:rsidR="00C17C0B" w:rsidRPr="00D7220B" w:rsidRDefault="00D5242A" w:rsidP="009C6952">
      <w:pPr>
        <w:spacing w:after="0" w:line="240" w:lineRule="auto"/>
        <w:jc w:val="both"/>
        <w:rPr>
          <w:rFonts w:ascii="Arial" w:hAnsi="Arial" w:cs="Arial"/>
          <w:sz w:val="24"/>
          <w:szCs w:val="24"/>
        </w:rPr>
      </w:pPr>
      <w:r w:rsidRPr="00D7220B">
        <w:rPr>
          <w:rFonts w:ascii="Arial" w:hAnsi="Arial" w:cs="Arial"/>
          <w:sz w:val="24"/>
          <w:szCs w:val="24"/>
        </w:rPr>
        <w:t xml:space="preserve">Busemeyer, M. R., Franzmann, S. T., &amp; </w:t>
      </w:r>
      <w:r w:rsidR="009C6952">
        <w:rPr>
          <w:rFonts w:ascii="Arial" w:hAnsi="Arial" w:cs="Arial"/>
          <w:sz w:val="24"/>
          <w:szCs w:val="24"/>
        </w:rPr>
        <w:t>Garritzmann, J. L. (2018). The Authority of P</w:t>
      </w:r>
      <w:r w:rsidRPr="00D7220B">
        <w:rPr>
          <w:rFonts w:ascii="Arial" w:hAnsi="Arial" w:cs="Arial"/>
          <w:sz w:val="24"/>
          <w:szCs w:val="24"/>
        </w:rPr>
        <w:t xml:space="preserve">eer </w:t>
      </w:r>
      <w:r w:rsidR="009C6952">
        <w:rPr>
          <w:rFonts w:ascii="Arial" w:hAnsi="Arial" w:cs="Arial"/>
          <w:sz w:val="24"/>
          <w:szCs w:val="24"/>
        </w:rPr>
        <w:t>R</w:t>
      </w:r>
      <w:r w:rsidRPr="00D7220B">
        <w:rPr>
          <w:rFonts w:ascii="Arial" w:hAnsi="Arial" w:cs="Arial"/>
          <w:sz w:val="24"/>
          <w:szCs w:val="24"/>
        </w:rPr>
        <w:t>eviews</w:t>
      </w:r>
      <w:r w:rsidR="009C6952">
        <w:rPr>
          <w:rFonts w:ascii="Arial" w:hAnsi="Arial" w:cs="Arial"/>
          <w:sz w:val="24"/>
          <w:szCs w:val="24"/>
        </w:rPr>
        <w:t xml:space="preserve"> among V</w:t>
      </w:r>
      <w:r w:rsidRPr="00D7220B">
        <w:rPr>
          <w:rFonts w:ascii="Arial" w:hAnsi="Arial" w:cs="Arial"/>
          <w:sz w:val="24"/>
          <w:szCs w:val="24"/>
        </w:rPr>
        <w:t xml:space="preserve">oters. </w:t>
      </w:r>
      <w:r w:rsidRPr="00D7220B">
        <w:rPr>
          <w:rFonts w:ascii="Arial" w:hAnsi="Arial" w:cs="Arial"/>
          <w:i/>
          <w:sz w:val="24"/>
          <w:szCs w:val="24"/>
        </w:rPr>
        <w:t>Comp</w:t>
      </w:r>
      <w:r w:rsidR="00137D52" w:rsidRPr="00D7220B">
        <w:rPr>
          <w:rFonts w:ascii="Arial" w:hAnsi="Arial" w:cs="Arial"/>
          <w:i/>
          <w:sz w:val="24"/>
          <w:szCs w:val="24"/>
        </w:rPr>
        <w:t>arative Political Studies</w:t>
      </w:r>
      <w:r w:rsidR="00137D52" w:rsidRPr="00D7220B">
        <w:rPr>
          <w:rFonts w:ascii="Arial" w:hAnsi="Arial" w:cs="Arial"/>
          <w:sz w:val="24"/>
          <w:szCs w:val="24"/>
        </w:rPr>
        <w:t xml:space="preserve">, </w:t>
      </w:r>
      <w:r w:rsidRPr="00D7220B">
        <w:rPr>
          <w:rFonts w:ascii="Arial" w:hAnsi="Arial" w:cs="Arial"/>
          <w:sz w:val="24"/>
          <w:szCs w:val="24"/>
        </w:rPr>
        <w:t>51</w:t>
      </w:r>
      <w:r w:rsidR="00137D52" w:rsidRPr="00D7220B">
        <w:rPr>
          <w:rFonts w:ascii="Arial" w:hAnsi="Arial" w:cs="Arial"/>
          <w:sz w:val="24"/>
          <w:szCs w:val="24"/>
        </w:rPr>
        <w:t xml:space="preserve"> </w:t>
      </w:r>
      <w:r w:rsidRPr="00D7220B">
        <w:rPr>
          <w:rFonts w:ascii="Arial" w:hAnsi="Arial" w:cs="Arial"/>
          <w:sz w:val="24"/>
          <w:szCs w:val="24"/>
        </w:rPr>
        <w:t>(7), 843–873.</w:t>
      </w:r>
    </w:p>
    <w:p w14:paraId="34A50591" w14:textId="77777777" w:rsidR="00137D52" w:rsidRPr="00D7220B" w:rsidRDefault="00D5242A" w:rsidP="00D7220B">
      <w:pPr>
        <w:spacing w:after="0" w:line="240" w:lineRule="auto"/>
        <w:jc w:val="both"/>
        <w:rPr>
          <w:rFonts w:ascii="Arial" w:hAnsi="Arial" w:cs="Arial"/>
          <w:i/>
          <w:sz w:val="24"/>
          <w:szCs w:val="24"/>
        </w:rPr>
      </w:pPr>
      <w:r w:rsidRPr="00D7220B">
        <w:rPr>
          <w:rFonts w:ascii="Arial" w:hAnsi="Arial" w:cs="Arial"/>
          <w:sz w:val="24"/>
          <w:szCs w:val="24"/>
        </w:rPr>
        <w:t>Bush, T</w:t>
      </w:r>
      <w:r w:rsidR="009C6952">
        <w:rPr>
          <w:rFonts w:ascii="Arial" w:hAnsi="Arial" w:cs="Arial"/>
          <w:sz w:val="24"/>
          <w:szCs w:val="24"/>
        </w:rPr>
        <w:t xml:space="preserve">., &amp; Glover, D. (2014). School Leadership </w:t>
      </w:r>
      <w:r w:rsidR="005468B2">
        <w:rPr>
          <w:rFonts w:ascii="Arial" w:hAnsi="Arial" w:cs="Arial"/>
          <w:sz w:val="24"/>
          <w:szCs w:val="24"/>
        </w:rPr>
        <w:t>Models</w:t>
      </w:r>
      <w:r w:rsidR="009C6952">
        <w:rPr>
          <w:rFonts w:ascii="Arial" w:hAnsi="Arial" w:cs="Arial"/>
          <w:sz w:val="24"/>
          <w:szCs w:val="24"/>
        </w:rPr>
        <w:t>: What Do We K</w:t>
      </w:r>
      <w:r w:rsidRPr="00D7220B">
        <w:rPr>
          <w:rFonts w:ascii="Arial" w:hAnsi="Arial" w:cs="Arial"/>
          <w:sz w:val="24"/>
          <w:szCs w:val="24"/>
        </w:rPr>
        <w:t xml:space="preserve">now? </w:t>
      </w:r>
      <w:r w:rsidRPr="00D7220B">
        <w:rPr>
          <w:rFonts w:ascii="Arial" w:hAnsi="Arial" w:cs="Arial"/>
          <w:i/>
          <w:sz w:val="24"/>
          <w:szCs w:val="24"/>
        </w:rPr>
        <w:t xml:space="preserve">School Leadership </w:t>
      </w:r>
    </w:p>
    <w:p w14:paraId="39D36B23"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i/>
          <w:sz w:val="24"/>
          <w:szCs w:val="24"/>
        </w:rPr>
        <w:tab/>
        <w:t>&amp; Management,</w:t>
      </w:r>
      <w:r w:rsidRPr="00D7220B">
        <w:rPr>
          <w:rFonts w:ascii="Arial" w:hAnsi="Arial" w:cs="Arial"/>
          <w:sz w:val="24"/>
          <w:szCs w:val="24"/>
        </w:rPr>
        <w:t xml:space="preserve"> 34 (5), 553–571. https://doi.org/10.1080/13632434.2014.928680</w:t>
      </w:r>
    </w:p>
    <w:p w14:paraId="7EC1E0EC" w14:textId="77777777" w:rsidR="00137D52"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Cohen, J., McCabe, E. M., Michelli, N. M., &amp; Pickeral, T. (2009). School climate: Research, </w:t>
      </w:r>
    </w:p>
    <w:p w14:paraId="6EDEBB50" w14:textId="77777777" w:rsidR="00C17C0B" w:rsidRPr="00D7220B" w:rsidRDefault="009C6952" w:rsidP="00D7220B">
      <w:pPr>
        <w:spacing w:after="0" w:line="240" w:lineRule="auto"/>
        <w:ind w:left="720"/>
        <w:jc w:val="both"/>
        <w:rPr>
          <w:rFonts w:ascii="Arial" w:hAnsi="Arial" w:cs="Arial"/>
          <w:sz w:val="24"/>
          <w:szCs w:val="24"/>
        </w:rPr>
      </w:pPr>
      <w:r>
        <w:rPr>
          <w:rFonts w:ascii="Arial" w:hAnsi="Arial" w:cs="Arial"/>
          <w:sz w:val="24"/>
          <w:szCs w:val="24"/>
        </w:rPr>
        <w:t>Policy, P</w:t>
      </w:r>
      <w:r w:rsidR="00D5242A" w:rsidRPr="00D7220B">
        <w:rPr>
          <w:rFonts w:ascii="Arial" w:hAnsi="Arial" w:cs="Arial"/>
          <w:sz w:val="24"/>
          <w:szCs w:val="24"/>
        </w:rPr>
        <w:t xml:space="preserve">ractice, and </w:t>
      </w:r>
      <w:r>
        <w:rPr>
          <w:rFonts w:ascii="Arial" w:hAnsi="Arial" w:cs="Arial"/>
          <w:sz w:val="24"/>
          <w:szCs w:val="24"/>
        </w:rPr>
        <w:t>Teacher Education</w:t>
      </w:r>
      <w:r w:rsidR="00D5242A" w:rsidRPr="00D7220B">
        <w:rPr>
          <w:rFonts w:ascii="Arial" w:hAnsi="Arial" w:cs="Arial"/>
          <w:sz w:val="24"/>
          <w:szCs w:val="24"/>
        </w:rPr>
        <w:t xml:space="preserve">. </w:t>
      </w:r>
      <w:r w:rsidR="00D5242A" w:rsidRPr="00D7220B">
        <w:rPr>
          <w:rFonts w:ascii="Arial" w:hAnsi="Arial" w:cs="Arial"/>
          <w:i/>
          <w:sz w:val="24"/>
          <w:szCs w:val="24"/>
        </w:rPr>
        <w:t>Teachers College Record</w:t>
      </w:r>
      <w:r w:rsidR="00137D52" w:rsidRPr="00D7220B">
        <w:rPr>
          <w:rFonts w:ascii="Arial" w:hAnsi="Arial" w:cs="Arial"/>
          <w:sz w:val="24"/>
          <w:szCs w:val="24"/>
        </w:rPr>
        <w:t xml:space="preserve">, </w:t>
      </w:r>
      <w:r w:rsidR="00D5242A" w:rsidRPr="00D7220B">
        <w:rPr>
          <w:rFonts w:ascii="Arial" w:hAnsi="Arial" w:cs="Arial"/>
          <w:sz w:val="24"/>
          <w:szCs w:val="24"/>
        </w:rPr>
        <w:t>111</w:t>
      </w:r>
      <w:r w:rsidR="00137D52" w:rsidRPr="00D7220B">
        <w:rPr>
          <w:rFonts w:ascii="Arial" w:hAnsi="Arial" w:cs="Arial"/>
          <w:sz w:val="24"/>
          <w:szCs w:val="24"/>
        </w:rPr>
        <w:t xml:space="preserve"> </w:t>
      </w:r>
      <w:r w:rsidR="00D5242A" w:rsidRPr="00D7220B">
        <w:rPr>
          <w:rFonts w:ascii="Arial" w:hAnsi="Arial" w:cs="Arial"/>
          <w:sz w:val="24"/>
          <w:szCs w:val="24"/>
        </w:rPr>
        <w:t>(1), 180–213. https://doi.org/10.1177/016146810911100108</w:t>
      </w:r>
    </w:p>
    <w:p w14:paraId="71C4D662" w14:textId="77777777" w:rsidR="00B70F31" w:rsidRDefault="00B70F31" w:rsidP="00B70F31">
      <w:pPr>
        <w:spacing w:after="0" w:line="240" w:lineRule="auto"/>
        <w:jc w:val="both"/>
        <w:rPr>
          <w:rFonts w:ascii="Arial" w:hAnsi="Arial" w:cs="Arial"/>
          <w:sz w:val="24"/>
          <w:szCs w:val="24"/>
        </w:rPr>
      </w:pPr>
    </w:p>
    <w:p w14:paraId="27616437" w14:textId="77777777" w:rsidR="00C17C0B" w:rsidRPr="00D7220B" w:rsidRDefault="00D5242A" w:rsidP="00B70F31">
      <w:pPr>
        <w:spacing w:after="0" w:line="240" w:lineRule="auto"/>
        <w:jc w:val="both"/>
        <w:rPr>
          <w:rFonts w:ascii="Arial" w:hAnsi="Arial" w:cs="Arial"/>
          <w:sz w:val="24"/>
          <w:szCs w:val="24"/>
        </w:rPr>
      </w:pPr>
      <w:r w:rsidRPr="00D7220B">
        <w:rPr>
          <w:rFonts w:ascii="Arial" w:hAnsi="Arial" w:cs="Arial"/>
          <w:sz w:val="24"/>
          <w:szCs w:val="24"/>
        </w:rPr>
        <w:t xml:space="preserve">Creswell, J. W., &amp; Creswell, J. D. (2018). Research design: </w:t>
      </w:r>
      <w:r w:rsidR="00B70F31">
        <w:rPr>
          <w:rFonts w:ascii="Arial" w:hAnsi="Arial" w:cs="Arial"/>
          <w:sz w:val="24"/>
          <w:szCs w:val="24"/>
        </w:rPr>
        <w:t>Qualitative, quantitative, and M</w:t>
      </w:r>
      <w:r w:rsidRPr="00D7220B">
        <w:rPr>
          <w:rFonts w:ascii="Arial" w:hAnsi="Arial" w:cs="Arial"/>
          <w:sz w:val="24"/>
          <w:szCs w:val="24"/>
        </w:rPr>
        <w:t>ixed</w:t>
      </w:r>
      <w:r w:rsidR="00B70F31">
        <w:rPr>
          <w:rFonts w:ascii="Arial" w:hAnsi="Arial" w:cs="Arial"/>
          <w:sz w:val="24"/>
          <w:szCs w:val="24"/>
        </w:rPr>
        <w:t xml:space="preserve"> M</w:t>
      </w:r>
      <w:r w:rsidR="00F411C3" w:rsidRPr="00D7220B">
        <w:rPr>
          <w:rFonts w:ascii="Arial" w:hAnsi="Arial" w:cs="Arial"/>
          <w:sz w:val="24"/>
          <w:szCs w:val="24"/>
        </w:rPr>
        <w:t>ethodological</w:t>
      </w:r>
      <w:r w:rsidR="00B70F31">
        <w:rPr>
          <w:rFonts w:ascii="Arial" w:hAnsi="Arial" w:cs="Arial"/>
          <w:sz w:val="24"/>
          <w:szCs w:val="24"/>
        </w:rPr>
        <w:t xml:space="preserve"> Ap</w:t>
      </w:r>
      <w:r w:rsidRPr="00D7220B">
        <w:rPr>
          <w:rFonts w:ascii="Arial" w:hAnsi="Arial" w:cs="Arial"/>
          <w:sz w:val="24"/>
          <w:szCs w:val="24"/>
        </w:rPr>
        <w:t>proaches (5th ed.). SAGE Publications.</w:t>
      </w:r>
    </w:p>
    <w:p w14:paraId="5E4E5A23" w14:textId="77777777" w:rsidR="00B70F31" w:rsidRDefault="00B70F31" w:rsidP="00D7220B">
      <w:pPr>
        <w:spacing w:after="0" w:line="240" w:lineRule="auto"/>
        <w:jc w:val="both"/>
        <w:rPr>
          <w:rFonts w:ascii="Arial" w:hAnsi="Arial" w:cs="Arial"/>
          <w:sz w:val="24"/>
          <w:szCs w:val="24"/>
        </w:rPr>
      </w:pPr>
    </w:p>
    <w:p w14:paraId="7EE4C77A" w14:textId="77777777" w:rsidR="00C17C0B" w:rsidRPr="00B70F31" w:rsidRDefault="00D5242A" w:rsidP="00D7220B">
      <w:pPr>
        <w:spacing w:after="0" w:line="240" w:lineRule="auto"/>
        <w:jc w:val="both"/>
        <w:rPr>
          <w:rFonts w:ascii="Arial" w:hAnsi="Arial" w:cs="Arial"/>
          <w:i/>
          <w:sz w:val="24"/>
          <w:szCs w:val="24"/>
        </w:rPr>
      </w:pPr>
      <w:r w:rsidRPr="00D7220B">
        <w:rPr>
          <w:rFonts w:ascii="Arial" w:hAnsi="Arial" w:cs="Arial"/>
          <w:sz w:val="24"/>
          <w:szCs w:val="24"/>
        </w:rPr>
        <w:t xml:space="preserve">Darling-Hammond, L. (2020). The right to learn and the advancement of teaching. </w:t>
      </w:r>
      <w:r w:rsidRPr="00D7220B">
        <w:rPr>
          <w:rFonts w:ascii="Arial" w:hAnsi="Arial" w:cs="Arial"/>
          <w:i/>
          <w:sz w:val="24"/>
          <w:szCs w:val="24"/>
        </w:rPr>
        <w:t>Educational Researcher</w:t>
      </w:r>
      <w:r w:rsidRPr="00D7220B">
        <w:rPr>
          <w:rFonts w:ascii="Arial" w:hAnsi="Arial" w:cs="Arial"/>
          <w:sz w:val="24"/>
          <w:szCs w:val="24"/>
        </w:rPr>
        <w:t>, 49 (6), 435–450. https://doi.org/10.3102/0013189X20939570</w:t>
      </w:r>
    </w:p>
    <w:p w14:paraId="29C5A090" w14:textId="77777777" w:rsidR="00B70F31" w:rsidRDefault="00B70F31" w:rsidP="00D7220B">
      <w:pPr>
        <w:spacing w:after="0" w:line="240" w:lineRule="auto"/>
        <w:jc w:val="both"/>
        <w:rPr>
          <w:rFonts w:ascii="Arial" w:hAnsi="Arial" w:cs="Arial"/>
          <w:sz w:val="24"/>
          <w:szCs w:val="24"/>
        </w:rPr>
      </w:pPr>
    </w:p>
    <w:p w14:paraId="1DAD76ED"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Deal, T. E., &amp; P</w:t>
      </w:r>
      <w:r w:rsidR="00B70F31">
        <w:rPr>
          <w:rFonts w:ascii="Arial" w:hAnsi="Arial" w:cs="Arial"/>
          <w:sz w:val="24"/>
          <w:szCs w:val="24"/>
        </w:rPr>
        <w:t>eterson, K. D. (2009). Shaping School Culture: Pitfalls, Paradoxes, and P</w:t>
      </w:r>
      <w:r w:rsidRPr="00D7220B">
        <w:rPr>
          <w:rFonts w:ascii="Arial" w:hAnsi="Arial" w:cs="Arial"/>
          <w:sz w:val="24"/>
          <w:szCs w:val="24"/>
        </w:rPr>
        <w:t>romises (2nd ed.). Jossey-Bass.</w:t>
      </w:r>
    </w:p>
    <w:p w14:paraId="22B827EF" w14:textId="77777777" w:rsidR="00B70F31" w:rsidRDefault="00B70F31" w:rsidP="00D7220B">
      <w:pPr>
        <w:spacing w:after="0" w:line="240" w:lineRule="auto"/>
        <w:jc w:val="both"/>
        <w:rPr>
          <w:rFonts w:ascii="Arial" w:hAnsi="Arial" w:cs="Arial"/>
          <w:sz w:val="24"/>
          <w:szCs w:val="24"/>
        </w:rPr>
      </w:pPr>
    </w:p>
    <w:p w14:paraId="0DE0BA65" w14:textId="77777777" w:rsidR="00C17C0B" w:rsidRPr="00D7220B" w:rsidRDefault="00D5242A" w:rsidP="00B70F31">
      <w:pPr>
        <w:spacing w:after="0" w:line="240" w:lineRule="auto"/>
        <w:jc w:val="both"/>
        <w:rPr>
          <w:rFonts w:ascii="Arial" w:hAnsi="Arial" w:cs="Arial"/>
          <w:sz w:val="24"/>
          <w:szCs w:val="24"/>
        </w:rPr>
      </w:pPr>
      <w:r w:rsidRPr="00D7220B">
        <w:rPr>
          <w:rFonts w:ascii="Arial" w:hAnsi="Arial" w:cs="Arial"/>
          <w:sz w:val="24"/>
          <w:szCs w:val="24"/>
        </w:rPr>
        <w:lastRenderedPageBreak/>
        <w:t>Di Sano, S., Casale, G., La Salle-Finley, T. P., Martinsone, B., &amp; Rocha Neves, J. (2024). Cross-</w:t>
      </w:r>
      <w:r w:rsidR="00B70F31">
        <w:rPr>
          <w:rFonts w:ascii="Arial" w:hAnsi="Arial" w:cs="Arial"/>
          <w:sz w:val="24"/>
          <w:szCs w:val="24"/>
        </w:rPr>
        <w:t>Cultural C</w:t>
      </w:r>
      <w:r w:rsidRPr="00D7220B">
        <w:rPr>
          <w:rFonts w:ascii="Arial" w:hAnsi="Arial" w:cs="Arial"/>
          <w:sz w:val="24"/>
          <w:szCs w:val="24"/>
        </w:rPr>
        <w:t>onnections</w:t>
      </w:r>
      <w:r w:rsidR="00B70F31">
        <w:rPr>
          <w:rFonts w:ascii="Arial" w:hAnsi="Arial" w:cs="Arial"/>
          <w:sz w:val="24"/>
          <w:szCs w:val="24"/>
        </w:rPr>
        <w:t>: School C</w:t>
      </w:r>
      <w:r w:rsidRPr="00D7220B">
        <w:rPr>
          <w:rFonts w:ascii="Arial" w:hAnsi="Arial" w:cs="Arial"/>
          <w:sz w:val="24"/>
          <w:szCs w:val="24"/>
        </w:rPr>
        <w:t xml:space="preserve">limate and </w:t>
      </w:r>
      <w:r w:rsidR="00B70F31">
        <w:rPr>
          <w:rFonts w:ascii="Arial" w:hAnsi="Arial" w:cs="Arial"/>
          <w:sz w:val="24"/>
          <w:szCs w:val="24"/>
        </w:rPr>
        <w:t>Equity</w:t>
      </w:r>
      <w:r w:rsidRPr="00D7220B">
        <w:rPr>
          <w:rFonts w:ascii="Arial" w:hAnsi="Arial" w:cs="Arial"/>
          <w:sz w:val="24"/>
          <w:szCs w:val="24"/>
        </w:rPr>
        <w:t xml:space="preserve"> in Germany, Italy, Latvia, and the United States. </w:t>
      </w:r>
      <w:r w:rsidRPr="00D7220B">
        <w:rPr>
          <w:rFonts w:ascii="Arial" w:hAnsi="Arial" w:cs="Arial"/>
          <w:i/>
          <w:sz w:val="24"/>
          <w:szCs w:val="24"/>
        </w:rPr>
        <w:t>School Psychology</w:t>
      </w:r>
      <w:r w:rsidR="002C5B70" w:rsidRPr="00D7220B">
        <w:rPr>
          <w:rFonts w:ascii="Arial" w:hAnsi="Arial" w:cs="Arial"/>
          <w:sz w:val="24"/>
          <w:szCs w:val="24"/>
        </w:rPr>
        <w:t xml:space="preserve">, </w:t>
      </w:r>
      <w:r w:rsidRPr="00D7220B">
        <w:rPr>
          <w:rFonts w:ascii="Arial" w:hAnsi="Arial" w:cs="Arial"/>
          <w:sz w:val="24"/>
          <w:szCs w:val="24"/>
        </w:rPr>
        <w:t>39</w:t>
      </w:r>
      <w:r w:rsidR="002C5B70" w:rsidRPr="00D7220B">
        <w:rPr>
          <w:rFonts w:ascii="Arial" w:hAnsi="Arial" w:cs="Arial"/>
          <w:sz w:val="24"/>
          <w:szCs w:val="24"/>
        </w:rPr>
        <w:t xml:space="preserve"> </w:t>
      </w:r>
      <w:r w:rsidRPr="00D7220B">
        <w:rPr>
          <w:rFonts w:ascii="Arial" w:hAnsi="Arial" w:cs="Arial"/>
          <w:sz w:val="24"/>
          <w:szCs w:val="24"/>
        </w:rPr>
        <w:t>(2), 224–235. https://doi.org/10.1037/spq0000585</w:t>
      </w:r>
    </w:p>
    <w:p w14:paraId="015B5B82" w14:textId="77777777" w:rsidR="00B70F31" w:rsidRDefault="00B70F31" w:rsidP="00D7220B">
      <w:pPr>
        <w:spacing w:after="0" w:line="240" w:lineRule="auto"/>
        <w:jc w:val="both"/>
        <w:rPr>
          <w:rFonts w:ascii="Arial" w:hAnsi="Arial" w:cs="Arial"/>
          <w:sz w:val="24"/>
          <w:szCs w:val="24"/>
        </w:rPr>
      </w:pPr>
    </w:p>
    <w:p w14:paraId="28D24127" w14:textId="77777777" w:rsidR="002C5B70"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Dillman, D. A., Smyth, J. D., &amp; Chri</w:t>
      </w:r>
      <w:r w:rsidR="00B70F31">
        <w:rPr>
          <w:rFonts w:ascii="Arial" w:hAnsi="Arial" w:cs="Arial"/>
          <w:sz w:val="24"/>
          <w:szCs w:val="24"/>
        </w:rPr>
        <w:t>stian, L. M. (2009). Internet, M</w:t>
      </w:r>
      <w:r w:rsidRPr="00D7220B">
        <w:rPr>
          <w:rFonts w:ascii="Arial" w:hAnsi="Arial" w:cs="Arial"/>
          <w:sz w:val="24"/>
          <w:szCs w:val="24"/>
        </w:rPr>
        <w:t xml:space="preserve">ail, and </w:t>
      </w:r>
      <w:r w:rsidR="00B70F31">
        <w:rPr>
          <w:rFonts w:ascii="Arial" w:hAnsi="Arial" w:cs="Arial"/>
          <w:sz w:val="24"/>
          <w:szCs w:val="24"/>
        </w:rPr>
        <w:t>mixed-mode</w:t>
      </w:r>
      <w:r w:rsidRPr="00D7220B">
        <w:rPr>
          <w:rFonts w:ascii="Arial" w:hAnsi="Arial" w:cs="Arial"/>
          <w:sz w:val="24"/>
          <w:szCs w:val="24"/>
        </w:rPr>
        <w:t xml:space="preserve"> </w:t>
      </w:r>
    </w:p>
    <w:p w14:paraId="251A2E1E" w14:textId="77777777" w:rsidR="00C17C0B" w:rsidRPr="00D7220B" w:rsidRDefault="00B70F31" w:rsidP="00D7220B">
      <w:pPr>
        <w:spacing w:after="0" w:line="240" w:lineRule="auto"/>
        <w:jc w:val="both"/>
        <w:rPr>
          <w:rFonts w:ascii="Arial" w:hAnsi="Arial" w:cs="Arial"/>
          <w:sz w:val="24"/>
          <w:szCs w:val="24"/>
        </w:rPr>
      </w:pPr>
      <w:r>
        <w:rPr>
          <w:rFonts w:ascii="Arial" w:hAnsi="Arial" w:cs="Arial"/>
          <w:sz w:val="24"/>
          <w:szCs w:val="24"/>
        </w:rPr>
        <w:t>Surveys: The T</w:t>
      </w:r>
      <w:r w:rsidR="00D5242A" w:rsidRPr="00D7220B">
        <w:rPr>
          <w:rFonts w:ascii="Arial" w:hAnsi="Arial" w:cs="Arial"/>
          <w:sz w:val="24"/>
          <w:szCs w:val="24"/>
        </w:rPr>
        <w:t>ail</w:t>
      </w:r>
      <w:r>
        <w:rPr>
          <w:rFonts w:ascii="Arial" w:hAnsi="Arial" w:cs="Arial"/>
          <w:sz w:val="24"/>
          <w:szCs w:val="24"/>
        </w:rPr>
        <w:t>ored Design M</w:t>
      </w:r>
      <w:r w:rsidR="00D5242A" w:rsidRPr="00D7220B">
        <w:rPr>
          <w:rFonts w:ascii="Arial" w:hAnsi="Arial" w:cs="Arial"/>
          <w:sz w:val="24"/>
          <w:szCs w:val="24"/>
        </w:rPr>
        <w:t>ethod (3rd ed.). John Wiley &amp; Sons.</w:t>
      </w:r>
    </w:p>
    <w:p w14:paraId="7867F5AC" w14:textId="77777777" w:rsidR="00B70F31" w:rsidRDefault="00B70F31" w:rsidP="00D7220B">
      <w:pPr>
        <w:spacing w:after="0" w:line="240" w:lineRule="auto"/>
        <w:jc w:val="both"/>
        <w:rPr>
          <w:rFonts w:ascii="Arial" w:hAnsi="Arial" w:cs="Arial"/>
          <w:sz w:val="24"/>
          <w:szCs w:val="24"/>
        </w:rPr>
      </w:pPr>
    </w:p>
    <w:p w14:paraId="4748B597" w14:textId="77777777" w:rsidR="002C5B70" w:rsidRPr="00D7220B" w:rsidRDefault="00D5242A" w:rsidP="00D7220B">
      <w:pPr>
        <w:spacing w:after="0" w:line="240" w:lineRule="auto"/>
        <w:jc w:val="both"/>
        <w:rPr>
          <w:rFonts w:ascii="Arial" w:hAnsi="Arial" w:cs="Arial"/>
          <w:i/>
          <w:sz w:val="24"/>
          <w:szCs w:val="24"/>
        </w:rPr>
      </w:pPr>
      <w:r w:rsidRPr="00D7220B">
        <w:rPr>
          <w:rFonts w:ascii="Arial" w:hAnsi="Arial" w:cs="Arial"/>
          <w:sz w:val="24"/>
          <w:szCs w:val="24"/>
        </w:rPr>
        <w:t>D</w:t>
      </w:r>
      <w:r w:rsidR="00B70F31">
        <w:rPr>
          <w:rFonts w:ascii="Arial" w:hAnsi="Arial" w:cs="Arial"/>
          <w:sz w:val="24"/>
          <w:szCs w:val="24"/>
        </w:rPr>
        <w:t>oherty, M. (2023). Cultivating Culture in Educational S</w:t>
      </w:r>
      <w:r w:rsidRPr="00D7220B">
        <w:rPr>
          <w:rFonts w:ascii="Arial" w:hAnsi="Arial" w:cs="Arial"/>
          <w:sz w:val="24"/>
          <w:szCs w:val="24"/>
        </w:rPr>
        <w:t xml:space="preserve">paces. </w:t>
      </w:r>
      <w:r w:rsidRPr="00D7220B">
        <w:rPr>
          <w:rFonts w:ascii="Arial" w:hAnsi="Arial" w:cs="Arial"/>
          <w:i/>
          <w:sz w:val="24"/>
          <w:szCs w:val="24"/>
        </w:rPr>
        <w:t xml:space="preserve">International Journal of </w:t>
      </w:r>
    </w:p>
    <w:p w14:paraId="4B6B4BE1"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i/>
          <w:sz w:val="24"/>
          <w:szCs w:val="24"/>
        </w:rPr>
        <w:t>Educational Philosophy</w:t>
      </w:r>
      <w:r w:rsidRPr="00D7220B">
        <w:rPr>
          <w:rFonts w:ascii="Arial" w:hAnsi="Arial" w:cs="Arial"/>
          <w:sz w:val="24"/>
          <w:szCs w:val="24"/>
        </w:rPr>
        <w:t>, 9 (1), 33–47.</w:t>
      </w:r>
    </w:p>
    <w:p w14:paraId="6E4AD166" w14:textId="77777777" w:rsidR="00B70F31" w:rsidRDefault="00B70F31" w:rsidP="00D7220B">
      <w:pPr>
        <w:spacing w:after="0" w:line="240" w:lineRule="auto"/>
        <w:jc w:val="both"/>
        <w:rPr>
          <w:rFonts w:ascii="Arial" w:hAnsi="Arial" w:cs="Arial"/>
          <w:sz w:val="24"/>
          <w:szCs w:val="24"/>
        </w:rPr>
      </w:pPr>
    </w:p>
    <w:p w14:paraId="47502E04" w14:textId="77777777" w:rsidR="002C5B70"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Duan, X., Y</w:t>
      </w:r>
      <w:r w:rsidR="00B70F31">
        <w:rPr>
          <w:rFonts w:ascii="Arial" w:hAnsi="Arial" w:cs="Arial"/>
          <w:sz w:val="24"/>
          <w:szCs w:val="24"/>
        </w:rPr>
        <w:t>u, K., &amp; Du, X. (2018). School Culture and School Effectiveness</w:t>
      </w:r>
      <w:r w:rsidRPr="00D7220B">
        <w:rPr>
          <w:rFonts w:ascii="Arial" w:hAnsi="Arial" w:cs="Arial"/>
          <w:sz w:val="24"/>
          <w:szCs w:val="24"/>
        </w:rPr>
        <w:t>: The mediating</w:t>
      </w:r>
    </w:p>
    <w:p w14:paraId="6A0221F2" w14:textId="77777777" w:rsidR="00C17C0B" w:rsidRPr="00D7220B" w:rsidRDefault="00EC7C01" w:rsidP="00B70F31">
      <w:pPr>
        <w:spacing w:after="0" w:line="240" w:lineRule="auto"/>
        <w:jc w:val="both"/>
        <w:rPr>
          <w:rFonts w:ascii="Arial" w:hAnsi="Arial" w:cs="Arial"/>
          <w:sz w:val="24"/>
          <w:szCs w:val="24"/>
        </w:rPr>
      </w:pPr>
      <w:r>
        <w:rPr>
          <w:rFonts w:ascii="Arial" w:hAnsi="Arial" w:cs="Arial"/>
          <w:sz w:val="24"/>
          <w:szCs w:val="24"/>
        </w:rPr>
        <w:t xml:space="preserve">The </w:t>
      </w:r>
      <w:r w:rsidR="00B70F31">
        <w:rPr>
          <w:rFonts w:ascii="Arial" w:hAnsi="Arial" w:cs="Arial"/>
          <w:sz w:val="24"/>
          <w:szCs w:val="24"/>
        </w:rPr>
        <w:t>Effect of Teachers’ Job S</w:t>
      </w:r>
      <w:r w:rsidR="00D5242A" w:rsidRPr="00D7220B">
        <w:rPr>
          <w:rFonts w:ascii="Arial" w:hAnsi="Arial" w:cs="Arial"/>
          <w:sz w:val="24"/>
          <w:szCs w:val="24"/>
        </w:rPr>
        <w:t xml:space="preserve">atisfaction. </w:t>
      </w:r>
      <w:r w:rsidR="00D5242A" w:rsidRPr="00D7220B">
        <w:rPr>
          <w:rFonts w:ascii="Arial" w:hAnsi="Arial" w:cs="Arial"/>
          <w:i/>
          <w:sz w:val="24"/>
          <w:szCs w:val="24"/>
        </w:rPr>
        <w:t>International Journal of Learning, Teac</w:t>
      </w:r>
      <w:r w:rsidR="002C5B70" w:rsidRPr="00D7220B">
        <w:rPr>
          <w:rFonts w:ascii="Arial" w:hAnsi="Arial" w:cs="Arial"/>
          <w:i/>
          <w:sz w:val="24"/>
          <w:szCs w:val="24"/>
        </w:rPr>
        <w:t>hing and Educational Research,</w:t>
      </w:r>
      <w:r w:rsidR="002C5B70" w:rsidRPr="00D7220B">
        <w:rPr>
          <w:rFonts w:ascii="Arial" w:hAnsi="Arial" w:cs="Arial"/>
          <w:sz w:val="24"/>
          <w:szCs w:val="24"/>
        </w:rPr>
        <w:t xml:space="preserve"> </w:t>
      </w:r>
      <w:r w:rsidR="00D5242A" w:rsidRPr="00D7220B">
        <w:rPr>
          <w:rFonts w:ascii="Arial" w:hAnsi="Arial" w:cs="Arial"/>
          <w:sz w:val="24"/>
          <w:szCs w:val="24"/>
        </w:rPr>
        <w:t>17</w:t>
      </w:r>
      <w:r w:rsidR="002C5B70" w:rsidRPr="00D7220B">
        <w:rPr>
          <w:rFonts w:ascii="Arial" w:hAnsi="Arial" w:cs="Arial"/>
          <w:sz w:val="24"/>
          <w:szCs w:val="24"/>
        </w:rPr>
        <w:t xml:space="preserve"> </w:t>
      </w:r>
      <w:r w:rsidR="00D5242A" w:rsidRPr="00D7220B">
        <w:rPr>
          <w:rFonts w:ascii="Arial" w:hAnsi="Arial" w:cs="Arial"/>
          <w:sz w:val="24"/>
          <w:szCs w:val="24"/>
        </w:rPr>
        <w:t>(5), 15–25. https://doi.org/10.26803/ijlter.17.5.2</w:t>
      </w:r>
    </w:p>
    <w:p w14:paraId="6EDD4097" w14:textId="77777777" w:rsidR="00B70F31" w:rsidRDefault="00B70F31" w:rsidP="00D7220B">
      <w:pPr>
        <w:spacing w:after="0" w:line="240" w:lineRule="auto"/>
        <w:jc w:val="both"/>
        <w:rPr>
          <w:rFonts w:ascii="Arial" w:hAnsi="Arial" w:cs="Arial"/>
          <w:sz w:val="24"/>
          <w:szCs w:val="24"/>
        </w:rPr>
      </w:pPr>
    </w:p>
    <w:p w14:paraId="3903CE7A" w14:textId="77777777" w:rsidR="00C17C0B" w:rsidRPr="00D7220B" w:rsidRDefault="00D5242A" w:rsidP="00B70F31">
      <w:pPr>
        <w:spacing w:after="0" w:line="240" w:lineRule="auto"/>
        <w:jc w:val="both"/>
        <w:rPr>
          <w:rFonts w:ascii="Arial" w:hAnsi="Arial" w:cs="Arial"/>
          <w:sz w:val="24"/>
          <w:szCs w:val="24"/>
        </w:rPr>
      </w:pPr>
      <w:r w:rsidRPr="00D7220B">
        <w:rPr>
          <w:rFonts w:ascii="Arial" w:hAnsi="Arial" w:cs="Arial"/>
          <w:sz w:val="24"/>
          <w:szCs w:val="24"/>
        </w:rPr>
        <w:t>Dutta, V., &amp; Sahney, S. (2021). The relationship b</w:t>
      </w:r>
      <w:r w:rsidR="00B70F31">
        <w:rPr>
          <w:rFonts w:ascii="Arial" w:hAnsi="Arial" w:cs="Arial"/>
          <w:sz w:val="24"/>
          <w:szCs w:val="24"/>
        </w:rPr>
        <w:t>etween principal instructional L</w:t>
      </w:r>
      <w:r w:rsidRPr="00D7220B">
        <w:rPr>
          <w:rFonts w:ascii="Arial" w:hAnsi="Arial" w:cs="Arial"/>
          <w:sz w:val="24"/>
          <w:szCs w:val="24"/>
        </w:rPr>
        <w:t xml:space="preserve">eadership, </w:t>
      </w:r>
      <w:r w:rsidR="00B70F31">
        <w:rPr>
          <w:rFonts w:ascii="Arial" w:hAnsi="Arial" w:cs="Arial"/>
          <w:sz w:val="24"/>
          <w:szCs w:val="24"/>
        </w:rPr>
        <w:t>School Climate, Teacher Job Performance, and Student A</w:t>
      </w:r>
      <w:r w:rsidRPr="00D7220B">
        <w:rPr>
          <w:rFonts w:ascii="Arial" w:hAnsi="Arial" w:cs="Arial"/>
          <w:sz w:val="24"/>
          <w:szCs w:val="24"/>
        </w:rPr>
        <w:t xml:space="preserve">chievement. </w:t>
      </w:r>
      <w:r w:rsidRPr="00D7220B">
        <w:rPr>
          <w:rFonts w:ascii="Arial" w:hAnsi="Arial" w:cs="Arial"/>
          <w:i/>
          <w:sz w:val="24"/>
          <w:szCs w:val="24"/>
        </w:rPr>
        <w:t xml:space="preserve">Journal </w:t>
      </w:r>
      <w:r w:rsidR="002C5B70" w:rsidRPr="00D7220B">
        <w:rPr>
          <w:rFonts w:ascii="Arial" w:hAnsi="Arial" w:cs="Arial"/>
          <w:i/>
          <w:sz w:val="24"/>
          <w:szCs w:val="24"/>
        </w:rPr>
        <w:t>of Educational Administration</w:t>
      </w:r>
      <w:r w:rsidR="002C5B70" w:rsidRPr="00D7220B">
        <w:rPr>
          <w:rFonts w:ascii="Arial" w:hAnsi="Arial" w:cs="Arial"/>
          <w:sz w:val="24"/>
          <w:szCs w:val="24"/>
        </w:rPr>
        <w:t xml:space="preserve">, </w:t>
      </w:r>
      <w:r w:rsidRPr="00D7220B">
        <w:rPr>
          <w:rFonts w:ascii="Arial" w:hAnsi="Arial" w:cs="Arial"/>
          <w:sz w:val="24"/>
          <w:szCs w:val="24"/>
        </w:rPr>
        <w:t>60</w:t>
      </w:r>
      <w:r w:rsidR="002C5B70" w:rsidRPr="00D7220B">
        <w:rPr>
          <w:rFonts w:ascii="Arial" w:hAnsi="Arial" w:cs="Arial"/>
          <w:sz w:val="24"/>
          <w:szCs w:val="24"/>
        </w:rPr>
        <w:t xml:space="preserve"> </w:t>
      </w:r>
      <w:r w:rsidRPr="00D7220B">
        <w:rPr>
          <w:rFonts w:ascii="Arial" w:hAnsi="Arial" w:cs="Arial"/>
          <w:sz w:val="24"/>
          <w:szCs w:val="24"/>
        </w:rPr>
        <w:t>(2), 148–166. https://doi.org/10.1108/jea-01-2021-0010</w:t>
      </w:r>
    </w:p>
    <w:p w14:paraId="6214EE44" w14:textId="77777777" w:rsidR="00B70F31" w:rsidRDefault="00B70F31" w:rsidP="00B70F31">
      <w:pPr>
        <w:spacing w:after="0" w:line="240" w:lineRule="auto"/>
        <w:jc w:val="both"/>
        <w:rPr>
          <w:rFonts w:ascii="Arial" w:hAnsi="Arial" w:cs="Arial"/>
          <w:sz w:val="24"/>
          <w:szCs w:val="24"/>
        </w:rPr>
      </w:pPr>
    </w:p>
    <w:p w14:paraId="58059FA3" w14:textId="77777777" w:rsidR="00C17C0B" w:rsidRPr="00D7220B" w:rsidRDefault="00B70F31" w:rsidP="00B70F31">
      <w:pPr>
        <w:spacing w:after="0" w:line="240" w:lineRule="auto"/>
        <w:jc w:val="both"/>
        <w:rPr>
          <w:rFonts w:ascii="Arial" w:hAnsi="Arial" w:cs="Arial"/>
          <w:sz w:val="24"/>
          <w:szCs w:val="24"/>
        </w:rPr>
      </w:pPr>
      <w:r>
        <w:rPr>
          <w:rFonts w:ascii="Arial" w:hAnsi="Arial" w:cs="Arial"/>
          <w:sz w:val="24"/>
          <w:szCs w:val="24"/>
        </w:rPr>
        <w:t>Earthman, G. I. (2002). School Facility Conditions and Student Academic A</w:t>
      </w:r>
      <w:r w:rsidR="00D5242A" w:rsidRPr="00D7220B">
        <w:rPr>
          <w:rFonts w:ascii="Arial" w:hAnsi="Arial" w:cs="Arial"/>
          <w:sz w:val="24"/>
          <w:szCs w:val="24"/>
        </w:rPr>
        <w:t>chievement. UCLA's</w:t>
      </w:r>
      <w:r>
        <w:rPr>
          <w:rFonts w:ascii="Arial" w:hAnsi="Arial" w:cs="Arial"/>
          <w:sz w:val="24"/>
          <w:szCs w:val="24"/>
        </w:rPr>
        <w:t xml:space="preserve"> </w:t>
      </w:r>
      <w:r w:rsidR="00D5242A" w:rsidRPr="00D7220B">
        <w:rPr>
          <w:rFonts w:ascii="Arial" w:hAnsi="Arial" w:cs="Arial"/>
          <w:sz w:val="24"/>
          <w:szCs w:val="24"/>
        </w:rPr>
        <w:t>Institute for Democracy, Education, and Access.</w:t>
      </w:r>
    </w:p>
    <w:p w14:paraId="6ACA107F" w14:textId="77777777" w:rsidR="00B70F31" w:rsidRDefault="00B70F31" w:rsidP="00D7220B">
      <w:pPr>
        <w:spacing w:after="0" w:line="240" w:lineRule="auto"/>
        <w:jc w:val="both"/>
        <w:rPr>
          <w:rFonts w:ascii="Arial" w:hAnsi="Arial" w:cs="Arial"/>
          <w:sz w:val="24"/>
          <w:szCs w:val="24"/>
        </w:rPr>
      </w:pPr>
    </w:p>
    <w:p w14:paraId="64E7C1A2"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Examinations Council of Zambia (ECZ). (2021). </w:t>
      </w:r>
      <w:r w:rsidR="00B70F31">
        <w:rPr>
          <w:rFonts w:ascii="Arial" w:hAnsi="Arial" w:cs="Arial"/>
          <w:sz w:val="24"/>
          <w:szCs w:val="24"/>
        </w:rPr>
        <w:t>Examinations Council of Zambia Annual R</w:t>
      </w:r>
      <w:r w:rsidRPr="00D7220B">
        <w:rPr>
          <w:rFonts w:ascii="Arial" w:hAnsi="Arial" w:cs="Arial"/>
          <w:sz w:val="24"/>
          <w:szCs w:val="24"/>
        </w:rPr>
        <w:t>eport 2021. Lusaka, Zambia: ECZ.</w:t>
      </w:r>
    </w:p>
    <w:p w14:paraId="29FC5A77" w14:textId="77777777" w:rsidR="00B70F31" w:rsidRDefault="00B70F31" w:rsidP="00D7220B">
      <w:pPr>
        <w:spacing w:after="0" w:line="240" w:lineRule="auto"/>
        <w:jc w:val="both"/>
        <w:rPr>
          <w:rFonts w:ascii="Arial" w:hAnsi="Arial" w:cs="Arial"/>
          <w:sz w:val="24"/>
          <w:szCs w:val="24"/>
        </w:rPr>
      </w:pPr>
    </w:p>
    <w:p w14:paraId="51274F50" w14:textId="77777777" w:rsidR="00C17C0B" w:rsidRPr="00D7220B" w:rsidRDefault="00B70F31" w:rsidP="00D7220B">
      <w:pPr>
        <w:spacing w:after="0" w:line="240" w:lineRule="auto"/>
        <w:jc w:val="both"/>
        <w:rPr>
          <w:rFonts w:ascii="Arial" w:hAnsi="Arial" w:cs="Arial"/>
          <w:sz w:val="24"/>
          <w:szCs w:val="24"/>
        </w:rPr>
      </w:pPr>
      <w:r>
        <w:rPr>
          <w:rFonts w:ascii="Arial" w:hAnsi="Arial" w:cs="Arial"/>
          <w:sz w:val="24"/>
          <w:szCs w:val="24"/>
        </w:rPr>
        <w:t>Field, A. (2018). Discovering S</w:t>
      </w:r>
      <w:r w:rsidR="00D5242A" w:rsidRPr="00D7220B">
        <w:rPr>
          <w:rFonts w:ascii="Arial" w:hAnsi="Arial" w:cs="Arial"/>
          <w:sz w:val="24"/>
          <w:szCs w:val="24"/>
        </w:rPr>
        <w:t>t</w:t>
      </w:r>
      <w:r>
        <w:rPr>
          <w:rFonts w:ascii="Arial" w:hAnsi="Arial" w:cs="Arial"/>
          <w:sz w:val="24"/>
          <w:szCs w:val="24"/>
        </w:rPr>
        <w:t>atistics U</w:t>
      </w:r>
      <w:r w:rsidR="00D5242A" w:rsidRPr="00D7220B">
        <w:rPr>
          <w:rFonts w:ascii="Arial" w:hAnsi="Arial" w:cs="Arial"/>
          <w:sz w:val="24"/>
          <w:szCs w:val="24"/>
        </w:rPr>
        <w:t>sing IBM SPSS Statistics (5th ed.). SAGE Publications.</w:t>
      </w:r>
    </w:p>
    <w:p w14:paraId="6C1A7FDC" w14:textId="77777777" w:rsidR="00B70F31" w:rsidRDefault="00B70F31" w:rsidP="00D7220B">
      <w:pPr>
        <w:spacing w:after="0" w:line="240" w:lineRule="auto"/>
        <w:jc w:val="both"/>
        <w:rPr>
          <w:rFonts w:ascii="Arial" w:hAnsi="Arial" w:cs="Arial"/>
          <w:sz w:val="24"/>
          <w:szCs w:val="24"/>
        </w:rPr>
      </w:pPr>
    </w:p>
    <w:p w14:paraId="4FA805EB" w14:textId="77777777" w:rsidR="00C17C0B" w:rsidRPr="00D7220B" w:rsidRDefault="00D5242A" w:rsidP="00B70F31">
      <w:pPr>
        <w:spacing w:after="0" w:line="240" w:lineRule="auto"/>
        <w:jc w:val="both"/>
        <w:rPr>
          <w:rFonts w:ascii="Arial" w:hAnsi="Arial" w:cs="Arial"/>
          <w:sz w:val="24"/>
          <w:szCs w:val="24"/>
        </w:rPr>
      </w:pPr>
      <w:r w:rsidRPr="00D7220B">
        <w:rPr>
          <w:rFonts w:ascii="Arial" w:hAnsi="Arial" w:cs="Arial"/>
          <w:sz w:val="24"/>
          <w:szCs w:val="24"/>
        </w:rPr>
        <w:t>Fraenkel, J. R., Wallen, N. E.</w:t>
      </w:r>
      <w:r w:rsidR="00B70F31">
        <w:rPr>
          <w:rFonts w:ascii="Arial" w:hAnsi="Arial" w:cs="Arial"/>
          <w:sz w:val="24"/>
          <w:szCs w:val="24"/>
        </w:rPr>
        <w:t>, &amp; Hyun, H. H. (2019). How to Design and Evaluate R</w:t>
      </w:r>
      <w:r w:rsidRPr="00D7220B">
        <w:rPr>
          <w:rFonts w:ascii="Arial" w:hAnsi="Arial" w:cs="Arial"/>
          <w:sz w:val="24"/>
          <w:szCs w:val="24"/>
        </w:rPr>
        <w:t>esearch in</w:t>
      </w:r>
      <w:r w:rsidR="00B70F31">
        <w:rPr>
          <w:rFonts w:ascii="Arial" w:hAnsi="Arial" w:cs="Arial"/>
          <w:sz w:val="24"/>
          <w:szCs w:val="24"/>
        </w:rPr>
        <w:t xml:space="preserve"> E</w:t>
      </w:r>
      <w:r w:rsidRPr="00D7220B">
        <w:rPr>
          <w:rFonts w:ascii="Arial" w:hAnsi="Arial" w:cs="Arial"/>
          <w:sz w:val="24"/>
          <w:szCs w:val="24"/>
        </w:rPr>
        <w:t>ducation (10th ed.). McGraw-Hill Education.</w:t>
      </w:r>
    </w:p>
    <w:p w14:paraId="7BF7F0E5" w14:textId="77777777" w:rsidR="00B70F31" w:rsidRDefault="00B70F31" w:rsidP="00D7220B">
      <w:pPr>
        <w:spacing w:after="0" w:line="240" w:lineRule="auto"/>
        <w:jc w:val="both"/>
        <w:rPr>
          <w:rFonts w:ascii="Arial" w:hAnsi="Arial" w:cs="Arial"/>
          <w:sz w:val="24"/>
          <w:szCs w:val="24"/>
        </w:rPr>
      </w:pPr>
    </w:p>
    <w:p w14:paraId="71E169F0"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Garcia, E. (2021). The </w:t>
      </w:r>
      <w:r w:rsidR="00F411C3" w:rsidRPr="00D7220B">
        <w:rPr>
          <w:rFonts w:ascii="Arial" w:hAnsi="Arial" w:cs="Arial"/>
          <w:sz w:val="24"/>
          <w:szCs w:val="24"/>
        </w:rPr>
        <w:t>Need to Address Non-Cognitive Skills in the Education Policy Agenda</w:t>
      </w:r>
      <w:r w:rsidRPr="00D7220B">
        <w:rPr>
          <w:rFonts w:ascii="Arial" w:hAnsi="Arial" w:cs="Arial"/>
          <w:sz w:val="24"/>
          <w:szCs w:val="24"/>
        </w:rPr>
        <w:t xml:space="preserve">. </w:t>
      </w:r>
      <w:r w:rsidRPr="00D7220B">
        <w:rPr>
          <w:rFonts w:ascii="Arial" w:hAnsi="Arial" w:cs="Arial"/>
          <w:i/>
          <w:sz w:val="24"/>
          <w:szCs w:val="24"/>
        </w:rPr>
        <w:t>Economic Policy Institute</w:t>
      </w:r>
      <w:r w:rsidRPr="00D7220B">
        <w:rPr>
          <w:rFonts w:ascii="Arial" w:hAnsi="Arial" w:cs="Arial"/>
          <w:sz w:val="24"/>
          <w:szCs w:val="24"/>
        </w:rPr>
        <w:t>, Briefing Paper, 386.</w:t>
      </w:r>
    </w:p>
    <w:p w14:paraId="6FAA19FD" w14:textId="77777777" w:rsidR="00B70F31" w:rsidRDefault="00B70F31" w:rsidP="00D7220B">
      <w:pPr>
        <w:spacing w:after="0" w:line="240" w:lineRule="auto"/>
        <w:jc w:val="both"/>
        <w:rPr>
          <w:rFonts w:ascii="Arial" w:hAnsi="Arial" w:cs="Arial"/>
          <w:sz w:val="24"/>
          <w:szCs w:val="24"/>
        </w:rPr>
      </w:pPr>
    </w:p>
    <w:p w14:paraId="6BB3FE36" w14:textId="77777777" w:rsidR="00C17C0B" w:rsidRPr="00D7220B" w:rsidRDefault="00B70F31" w:rsidP="00D7220B">
      <w:pPr>
        <w:spacing w:after="0" w:line="240" w:lineRule="auto"/>
        <w:jc w:val="both"/>
        <w:rPr>
          <w:rFonts w:ascii="Arial" w:hAnsi="Arial" w:cs="Arial"/>
          <w:sz w:val="24"/>
          <w:szCs w:val="24"/>
        </w:rPr>
      </w:pPr>
      <w:r>
        <w:rPr>
          <w:rFonts w:ascii="Arial" w:hAnsi="Arial" w:cs="Arial"/>
          <w:sz w:val="24"/>
          <w:szCs w:val="24"/>
        </w:rPr>
        <w:t>Greenway, C. (2017). The Role of the School Environment in S</w:t>
      </w:r>
      <w:r w:rsidR="00D5242A" w:rsidRPr="00D7220B">
        <w:rPr>
          <w:rFonts w:ascii="Arial" w:hAnsi="Arial" w:cs="Arial"/>
          <w:sz w:val="24"/>
          <w:szCs w:val="24"/>
        </w:rPr>
        <w:t>h</w:t>
      </w:r>
      <w:r>
        <w:rPr>
          <w:rFonts w:ascii="Arial" w:hAnsi="Arial" w:cs="Arial"/>
          <w:sz w:val="24"/>
          <w:szCs w:val="24"/>
        </w:rPr>
        <w:t>aping Adolescents' Mental H</w:t>
      </w:r>
      <w:r w:rsidR="00D5242A" w:rsidRPr="00D7220B">
        <w:rPr>
          <w:rFonts w:ascii="Arial" w:hAnsi="Arial" w:cs="Arial"/>
          <w:sz w:val="24"/>
          <w:szCs w:val="24"/>
        </w:rPr>
        <w:t xml:space="preserve">ealth. </w:t>
      </w:r>
      <w:r w:rsidR="00D5242A" w:rsidRPr="00D7220B">
        <w:rPr>
          <w:rFonts w:ascii="Arial" w:hAnsi="Arial" w:cs="Arial"/>
          <w:i/>
          <w:sz w:val="24"/>
          <w:szCs w:val="24"/>
        </w:rPr>
        <w:t>Journal of Adolescent Health</w:t>
      </w:r>
      <w:r w:rsidR="00D5242A" w:rsidRPr="00D7220B">
        <w:rPr>
          <w:rFonts w:ascii="Arial" w:hAnsi="Arial" w:cs="Arial"/>
          <w:sz w:val="24"/>
          <w:szCs w:val="24"/>
        </w:rPr>
        <w:t>, 61(3), 267–268.</w:t>
      </w:r>
    </w:p>
    <w:p w14:paraId="732C4ED5" w14:textId="77777777" w:rsidR="00B70F31" w:rsidRDefault="00B70F31" w:rsidP="00D7220B">
      <w:pPr>
        <w:spacing w:after="0" w:line="240" w:lineRule="auto"/>
        <w:jc w:val="both"/>
        <w:rPr>
          <w:rFonts w:ascii="Arial" w:hAnsi="Arial" w:cs="Arial"/>
          <w:sz w:val="24"/>
          <w:szCs w:val="24"/>
        </w:rPr>
      </w:pPr>
    </w:p>
    <w:p w14:paraId="05D92CE8" w14:textId="77777777" w:rsidR="00C17C0B" w:rsidRPr="00D34D41" w:rsidRDefault="00D5242A" w:rsidP="00D7220B">
      <w:pPr>
        <w:spacing w:after="0" w:line="240" w:lineRule="auto"/>
        <w:jc w:val="both"/>
        <w:rPr>
          <w:rFonts w:ascii="Arial" w:hAnsi="Arial" w:cs="Arial"/>
          <w:i/>
          <w:sz w:val="24"/>
          <w:szCs w:val="24"/>
        </w:rPr>
      </w:pPr>
      <w:r w:rsidRPr="00D7220B">
        <w:rPr>
          <w:rFonts w:ascii="Arial" w:hAnsi="Arial" w:cs="Arial"/>
          <w:sz w:val="24"/>
          <w:szCs w:val="24"/>
        </w:rPr>
        <w:t xml:space="preserve">Guskey, T. R. (2013). Defining student achievement. Educational Measurement: </w:t>
      </w:r>
      <w:r w:rsidRPr="00D7220B">
        <w:rPr>
          <w:rFonts w:ascii="Arial" w:hAnsi="Arial" w:cs="Arial"/>
          <w:i/>
          <w:sz w:val="24"/>
          <w:szCs w:val="24"/>
        </w:rPr>
        <w:t>Issues and Practice</w:t>
      </w:r>
      <w:r w:rsidRPr="00D7220B">
        <w:rPr>
          <w:rFonts w:ascii="Arial" w:hAnsi="Arial" w:cs="Arial"/>
          <w:sz w:val="24"/>
          <w:szCs w:val="24"/>
        </w:rPr>
        <w:t>, 32 (2), 18–25.</w:t>
      </w:r>
    </w:p>
    <w:p w14:paraId="779C6691" w14:textId="77777777" w:rsidR="00B70F31" w:rsidRDefault="00B70F31" w:rsidP="00D7220B">
      <w:pPr>
        <w:spacing w:after="0" w:line="240" w:lineRule="auto"/>
        <w:jc w:val="both"/>
        <w:rPr>
          <w:rFonts w:ascii="Arial" w:hAnsi="Arial" w:cs="Arial"/>
          <w:sz w:val="24"/>
          <w:szCs w:val="24"/>
        </w:rPr>
      </w:pPr>
    </w:p>
    <w:p w14:paraId="4617C1E9" w14:textId="77777777" w:rsidR="00C17C0B" w:rsidRPr="00B70F31" w:rsidRDefault="00D5242A" w:rsidP="00D7220B">
      <w:pPr>
        <w:spacing w:after="0" w:line="240" w:lineRule="auto"/>
        <w:jc w:val="both"/>
        <w:rPr>
          <w:rFonts w:ascii="Arial" w:hAnsi="Arial" w:cs="Arial"/>
          <w:i/>
          <w:sz w:val="24"/>
          <w:szCs w:val="24"/>
        </w:rPr>
      </w:pPr>
      <w:r w:rsidRPr="00D7220B">
        <w:rPr>
          <w:rFonts w:ascii="Arial" w:hAnsi="Arial" w:cs="Arial"/>
          <w:sz w:val="24"/>
          <w:szCs w:val="24"/>
        </w:rPr>
        <w:t xml:space="preserve">Haines, J., &amp; Mueller, C. (2013). The Impact of School Climate on School Outcomes. </w:t>
      </w:r>
      <w:r w:rsidRPr="00D7220B">
        <w:rPr>
          <w:rFonts w:ascii="Arial" w:hAnsi="Arial" w:cs="Arial"/>
          <w:i/>
          <w:sz w:val="24"/>
          <w:szCs w:val="24"/>
        </w:rPr>
        <w:t>Journal of School Leadership</w:t>
      </w:r>
      <w:r w:rsidRPr="00D7220B">
        <w:rPr>
          <w:rFonts w:ascii="Arial" w:hAnsi="Arial" w:cs="Arial"/>
          <w:sz w:val="24"/>
          <w:szCs w:val="24"/>
        </w:rPr>
        <w:t>, 23(4), 789-810.</w:t>
      </w:r>
    </w:p>
    <w:p w14:paraId="1876DD97" w14:textId="77777777" w:rsidR="00B70F31" w:rsidRDefault="00B70F31" w:rsidP="00D7220B">
      <w:pPr>
        <w:spacing w:after="0" w:line="240" w:lineRule="auto"/>
        <w:jc w:val="both"/>
        <w:rPr>
          <w:rFonts w:ascii="Arial" w:hAnsi="Arial" w:cs="Arial"/>
          <w:sz w:val="24"/>
          <w:szCs w:val="24"/>
        </w:rPr>
      </w:pPr>
    </w:p>
    <w:p w14:paraId="231FAA72" w14:textId="77777777" w:rsidR="00464CA2"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Hallinger, P., &amp; Hec</w:t>
      </w:r>
      <w:r w:rsidR="00B70F31">
        <w:rPr>
          <w:rFonts w:ascii="Arial" w:hAnsi="Arial" w:cs="Arial"/>
          <w:sz w:val="24"/>
          <w:szCs w:val="24"/>
        </w:rPr>
        <w:t>k, R. H. (1998). Exploring the Principal’s C</w:t>
      </w:r>
      <w:r w:rsidRPr="00D7220B">
        <w:rPr>
          <w:rFonts w:ascii="Arial" w:hAnsi="Arial" w:cs="Arial"/>
          <w:sz w:val="24"/>
          <w:szCs w:val="24"/>
        </w:rPr>
        <w:t>ontribution to</w:t>
      </w:r>
      <w:r w:rsidR="00B70F31">
        <w:rPr>
          <w:rFonts w:ascii="Arial" w:hAnsi="Arial" w:cs="Arial"/>
          <w:sz w:val="24"/>
          <w:szCs w:val="24"/>
        </w:rPr>
        <w:t xml:space="preserve"> the S</w:t>
      </w:r>
      <w:r w:rsidRPr="00D7220B">
        <w:rPr>
          <w:rFonts w:ascii="Arial" w:hAnsi="Arial" w:cs="Arial"/>
          <w:sz w:val="24"/>
          <w:szCs w:val="24"/>
        </w:rPr>
        <w:t xml:space="preserve">chool </w:t>
      </w:r>
    </w:p>
    <w:p w14:paraId="10DAA0EC" w14:textId="77777777" w:rsidR="00C17C0B" w:rsidRPr="00D7220B" w:rsidRDefault="00B70F31" w:rsidP="00B70F31">
      <w:pPr>
        <w:spacing w:after="0" w:line="240" w:lineRule="auto"/>
        <w:jc w:val="both"/>
        <w:rPr>
          <w:rFonts w:ascii="Arial" w:hAnsi="Arial" w:cs="Arial"/>
          <w:sz w:val="24"/>
          <w:szCs w:val="24"/>
        </w:rPr>
      </w:pPr>
      <w:r>
        <w:rPr>
          <w:rFonts w:ascii="Arial" w:hAnsi="Arial" w:cs="Arial"/>
          <w:sz w:val="24"/>
          <w:szCs w:val="24"/>
        </w:rPr>
        <w:lastRenderedPageBreak/>
        <w:t>E</w:t>
      </w:r>
      <w:r w:rsidR="00D5242A" w:rsidRPr="00D7220B">
        <w:rPr>
          <w:rFonts w:ascii="Arial" w:hAnsi="Arial" w:cs="Arial"/>
          <w:sz w:val="24"/>
          <w:szCs w:val="24"/>
        </w:rPr>
        <w:t xml:space="preserve">ffectiveness: 1980–1995. </w:t>
      </w:r>
      <w:r w:rsidR="00D5242A" w:rsidRPr="00D7220B">
        <w:rPr>
          <w:rFonts w:ascii="Arial" w:hAnsi="Arial" w:cs="Arial"/>
          <w:i/>
          <w:sz w:val="24"/>
          <w:szCs w:val="24"/>
        </w:rPr>
        <w:t>School Effecti</w:t>
      </w:r>
      <w:r w:rsidR="00464CA2" w:rsidRPr="00D7220B">
        <w:rPr>
          <w:rFonts w:ascii="Arial" w:hAnsi="Arial" w:cs="Arial"/>
          <w:i/>
          <w:sz w:val="24"/>
          <w:szCs w:val="24"/>
        </w:rPr>
        <w:t>veness and School Improvement</w:t>
      </w:r>
      <w:r w:rsidR="00464CA2" w:rsidRPr="00D7220B">
        <w:rPr>
          <w:rFonts w:ascii="Arial" w:hAnsi="Arial" w:cs="Arial"/>
          <w:sz w:val="24"/>
          <w:szCs w:val="24"/>
        </w:rPr>
        <w:t xml:space="preserve">, 9 </w:t>
      </w:r>
      <w:r w:rsidR="00D5242A" w:rsidRPr="00D7220B">
        <w:rPr>
          <w:rFonts w:ascii="Arial" w:hAnsi="Arial" w:cs="Arial"/>
          <w:sz w:val="24"/>
          <w:szCs w:val="24"/>
        </w:rPr>
        <w:t>(2), 157–191. https://doi.org/10.1076/sesi.9.2.157.3509</w:t>
      </w:r>
      <w:r>
        <w:rPr>
          <w:rFonts w:ascii="Arial" w:hAnsi="Arial" w:cs="Arial"/>
          <w:sz w:val="24"/>
          <w:szCs w:val="24"/>
        </w:rPr>
        <w:t>.</w:t>
      </w:r>
    </w:p>
    <w:p w14:paraId="2E5C387B" w14:textId="77777777" w:rsidR="00B70F31" w:rsidRDefault="00B70F31" w:rsidP="00D7220B">
      <w:pPr>
        <w:spacing w:after="0" w:line="240" w:lineRule="auto"/>
        <w:jc w:val="both"/>
        <w:rPr>
          <w:rFonts w:ascii="Arial" w:hAnsi="Arial" w:cs="Arial"/>
          <w:sz w:val="24"/>
          <w:szCs w:val="24"/>
        </w:rPr>
      </w:pPr>
    </w:p>
    <w:p w14:paraId="22EF89BF"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Hasla</w:t>
      </w:r>
      <w:r w:rsidR="00B70F31">
        <w:rPr>
          <w:rFonts w:ascii="Arial" w:hAnsi="Arial" w:cs="Arial"/>
          <w:sz w:val="24"/>
          <w:szCs w:val="24"/>
        </w:rPr>
        <w:t>m, S. A. (2001). Psychology in Organisations: The Social Identity A</w:t>
      </w:r>
      <w:r w:rsidRPr="00D7220B">
        <w:rPr>
          <w:rFonts w:ascii="Arial" w:hAnsi="Arial" w:cs="Arial"/>
          <w:sz w:val="24"/>
          <w:szCs w:val="24"/>
        </w:rPr>
        <w:t>pproach (2nd ed.). SAGE Publications.</w:t>
      </w:r>
    </w:p>
    <w:p w14:paraId="5A842DAA" w14:textId="77777777" w:rsidR="00B70F31" w:rsidRDefault="00B70F31" w:rsidP="00D7220B">
      <w:pPr>
        <w:spacing w:after="0" w:line="240" w:lineRule="auto"/>
        <w:jc w:val="both"/>
        <w:rPr>
          <w:rFonts w:ascii="Arial" w:hAnsi="Arial" w:cs="Arial"/>
          <w:sz w:val="24"/>
          <w:szCs w:val="24"/>
        </w:rPr>
      </w:pPr>
    </w:p>
    <w:p w14:paraId="1BD8C553" w14:textId="77777777" w:rsidR="00464CA2" w:rsidRPr="00D7220B" w:rsidRDefault="00D5242A" w:rsidP="00D7220B">
      <w:pPr>
        <w:spacing w:after="0" w:line="240" w:lineRule="auto"/>
        <w:jc w:val="both"/>
        <w:rPr>
          <w:rFonts w:ascii="Arial" w:hAnsi="Arial" w:cs="Arial"/>
          <w:i/>
          <w:sz w:val="24"/>
          <w:szCs w:val="24"/>
        </w:rPr>
      </w:pPr>
      <w:r w:rsidRPr="00D7220B">
        <w:rPr>
          <w:rFonts w:ascii="Arial" w:hAnsi="Arial" w:cs="Arial"/>
          <w:sz w:val="24"/>
          <w:szCs w:val="24"/>
        </w:rPr>
        <w:t xml:space="preserve">Hendron, M., &amp; Kearney, C. A. (2016). School climate and absenteeism. </w:t>
      </w:r>
      <w:r w:rsidRPr="00D7220B">
        <w:rPr>
          <w:rFonts w:ascii="Arial" w:hAnsi="Arial" w:cs="Arial"/>
          <w:i/>
          <w:sz w:val="24"/>
          <w:szCs w:val="24"/>
        </w:rPr>
        <w:t xml:space="preserve">Educational </w:t>
      </w:r>
    </w:p>
    <w:p w14:paraId="6616D093"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i/>
          <w:sz w:val="24"/>
          <w:szCs w:val="24"/>
        </w:rPr>
        <w:t>Psychology Review</w:t>
      </w:r>
      <w:r w:rsidRPr="00D7220B">
        <w:rPr>
          <w:rFonts w:ascii="Arial" w:hAnsi="Arial" w:cs="Arial"/>
          <w:sz w:val="24"/>
          <w:szCs w:val="24"/>
        </w:rPr>
        <w:t>, 28 (1), 101–120. https://doi.org/10.1007/s10648-015-9327-1</w:t>
      </w:r>
    </w:p>
    <w:p w14:paraId="144C85ED" w14:textId="77777777" w:rsidR="00464CA2" w:rsidRPr="00D7220B" w:rsidRDefault="00317BC8" w:rsidP="00D7220B">
      <w:pPr>
        <w:spacing w:after="0" w:line="240" w:lineRule="auto"/>
        <w:jc w:val="both"/>
        <w:rPr>
          <w:rFonts w:ascii="Arial" w:hAnsi="Arial" w:cs="Arial"/>
          <w:sz w:val="24"/>
          <w:szCs w:val="24"/>
        </w:rPr>
      </w:pPr>
      <w:r>
        <w:rPr>
          <w:rFonts w:ascii="Arial" w:hAnsi="Arial" w:cs="Arial"/>
          <w:sz w:val="24"/>
          <w:szCs w:val="24"/>
        </w:rPr>
        <w:t xml:space="preserve">Hinkin, T. R. (1998). A Brief Tutorial on the Development of Measures for Use in </w:t>
      </w:r>
      <w:r w:rsidR="005468B2">
        <w:rPr>
          <w:rFonts w:ascii="Arial" w:hAnsi="Arial" w:cs="Arial"/>
          <w:sz w:val="24"/>
          <w:szCs w:val="24"/>
        </w:rPr>
        <w:t>Surveys</w:t>
      </w:r>
      <w:r w:rsidR="00D5242A" w:rsidRPr="00D7220B">
        <w:rPr>
          <w:rFonts w:ascii="Arial" w:hAnsi="Arial" w:cs="Arial"/>
          <w:sz w:val="24"/>
          <w:szCs w:val="24"/>
        </w:rPr>
        <w:t xml:space="preserve"> </w:t>
      </w:r>
    </w:p>
    <w:p w14:paraId="56BA8580" w14:textId="77777777" w:rsidR="00C17C0B" w:rsidRPr="00D7220B" w:rsidRDefault="00317BC8" w:rsidP="00317BC8">
      <w:pPr>
        <w:spacing w:after="0" w:line="240" w:lineRule="auto"/>
        <w:jc w:val="both"/>
        <w:rPr>
          <w:rFonts w:ascii="Arial" w:hAnsi="Arial" w:cs="Arial"/>
          <w:sz w:val="24"/>
          <w:szCs w:val="24"/>
        </w:rPr>
      </w:pPr>
      <w:r>
        <w:rPr>
          <w:rFonts w:ascii="Arial" w:hAnsi="Arial" w:cs="Arial"/>
          <w:sz w:val="24"/>
          <w:szCs w:val="24"/>
        </w:rPr>
        <w:t>Q</w:t>
      </w:r>
      <w:r w:rsidR="00D5242A" w:rsidRPr="00D7220B">
        <w:rPr>
          <w:rFonts w:ascii="Arial" w:hAnsi="Arial" w:cs="Arial"/>
          <w:sz w:val="24"/>
          <w:szCs w:val="24"/>
        </w:rPr>
        <w:t xml:space="preserve">uestionnaires. </w:t>
      </w:r>
      <w:r w:rsidR="00EC7C01">
        <w:rPr>
          <w:rFonts w:ascii="Arial" w:hAnsi="Arial" w:cs="Arial"/>
          <w:i/>
          <w:sz w:val="24"/>
          <w:szCs w:val="24"/>
        </w:rPr>
        <w:t>Organisational</w:t>
      </w:r>
      <w:r w:rsidR="00D5242A" w:rsidRPr="00D7220B">
        <w:rPr>
          <w:rFonts w:ascii="Arial" w:hAnsi="Arial" w:cs="Arial"/>
          <w:i/>
          <w:sz w:val="24"/>
          <w:szCs w:val="24"/>
        </w:rPr>
        <w:t xml:space="preserve"> Research Methods</w:t>
      </w:r>
      <w:r w:rsidR="00464CA2" w:rsidRPr="00D7220B">
        <w:rPr>
          <w:rFonts w:ascii="Arial" w:hAnsi="Arial" w:cs="Arial"/>
          <w:sz w:val="24"/>
          <w:szCs w:val="24"/>
        </w:rPr>
        <w:t xml:space="preserve">, 1 </w:t>
      </w:r>
      <w:r w:rsidR="00D5242A" w:rsidRPr="00D7220B">
        <w:rPr>
          <w:rFonts w:ascii="Arial" w:hAnsi="Arial" w:cs="Arial"/>
          <w:sz w:val="24"/>
          <w:szCs w:val="24"/>
        </w:rPr>
        <w:t>(1), 104–121. https://doi.org/10.1177/109442819800100106</w:t>
      </w:r>
    </w:p>
    <w:p w14:paraId="4CA06660" w14:textId="77777777" w:rsidR="00317BC8" w:rsidRDefault="00317BC8" w:rsidP="00D7220B">
      <w:pPr>
        <w:spacing w:after="0" w:line="240" w:lineRule="auto"/>
        <w:jc w:val="both"/>
        <w:rPr>
          <w:rFonts w:ascii="Arial" w:hAnsi="Arial" w:cs="Arial"/>
          <w:sz w:val="24"/>
          <w:szCs w:val="24"/>
        </w:rPr>
      </w:pPr>
    </w:p>
    <w:p w14:paraId="408459C6" w14:textId="77777777" w:rsidR="00353EAF"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Hogg, M. A. (2018). Social Identity, Self-Categorisation, and the Small Group. In psychology </w:t>
      </w:r>
    </w:p>
    <w:p w14:paraId="3074E629"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ab/>
        <w:t xml:space="preserve">of groups (pp. 227–253). </w:t>
      </w:r>
      <w:r w:rsidRPr="00D7220B">
        <w:rPr>
          <w:rFonts w:ascii="Arial" w:hAnsi="Arial" w:cs="Arial"/>
          <w:i/>
          <w:sz w:val="24"/>
          <w:szCs w:val="24"/>
        </w:rPr>
        <w:t>Psychology Press</w:t>
      </w:r>
      <w:r w:rsidRPr="00D7220B">
        <w:rPr>
          <w:rFonts w:ascii="Arial" w:hAnsi="Arial" w:cs="Arial"/>
          <w:sz w:val="24"/>
          <w:szCs w:val="24"/>
        </w:rPr>
        <w:t>. https://doi.org/10.4324/9781315789293-10</w:t>
      </w:r>
    </w:p>
    <w:p w14:paraId="0FAE7596" w14:textId="77777777" w:rsidR="00317BC8" w:rsidRDefault="00317BC8" w:rsidP="00D7220B">
      <w:pPr>
        <w:spacing w:after="0" w:line="240" w:lineRule="auto"/>
        <w:jc w:val="both"/>
        <w:rPr>
          <w:rFonts w:ascii="Arial" w:hAnsi="Arial" w:cs="Arial"/>
          <w:sz w:val="24"/>
          <w:szCs w:val="24"/>
        </w:rPr>
      </w:pPr>
    </w:p>
    <w:p w14:paraId="32E1A1EE" w14:textId="77777777" w:rsidR="00C17C0B" w:rsidRPr="00D7220B" w:rsidRDefault="00D5242A" w:rsidP="00317BC8">
      <w:pPr>
        <w:spacing w:after="0" w:line="240" w:lineRule="auto"/>
        <w:jc w:val="both"/>
        <w:rPr>
          <w:rFonts w:ascii="Arial" w:hAnsi="Arial" w:cs="Arial"/>
          <w:sz w:val="24"/>
          <w:szCs w:val="24"/>
        </w:rPr>
      </w:pPr>
      <w:r w:rsidRPr="00D7220B">
        <w:rPr>
          <w:rFonts w:ascii="Arial" w:hAnsi="Arial" w:cs="Arial"/>
          <w:sz w:val="24"/>
          <w:szCs w:val="24"/>
        </w:rPr>
        <w:t xml:space="preserve">Hoy, W. K., </w:t>
      </w:r>
      <w:r w:rsidR="00317BC8">
        <w:rPr>
          <w:rFonts w:ascii="Arial" w:hAnsi="Arial" w:cs="Arial"/>
          <w:sz w:val="24"/>
          <w:szCs w:val="24"/>
        </w:rPr>
        <w:t>&amp; Hannum, J. W. (1997). Middle School Climate: An Empirical A</w:t>
      </w:r>
      <w:r w:rsidRPr="00D7220B">
        <w:rPr>
          <w:rFonts w:ascii="Arial" w:hAnsi="Arial" w:cs="Arial"/>
          <w:sz w:val="24"/>
          <w:szCs w:val="24"/>
        </w:rPr>
        <w:t xml:space="preserve">ssessment of Organizational Health and Student Achievement. </w:t>
      </w:r>
      <w:r w:rsidRPr="00D7220B">
        <w:rPr>
          <w:rFonts w:ascii="Arial" w:hAnsi="Arial" w:cs="Arial"/>
          <w:i/>
          <w:sz w:val="24"/>
          <w:szCs w:val="24"/>
        </w:rPr>
        <w:t>Educati</w:t>
      </w:r>
      <w:r w:rsidR="00353EAF" w:rsidRPr="00D7220B">
        <w:rPr>
          <w:rFonts w:ascii="Arial" w:hAnsi="Arial" w:cs="Arial"/>
          <w:i/>
          <w:sz w:val="24"/>
          <w:szCs w:val="24"/>
        </w:rPr>
        <w:t>onal Administration Quarterly</w:t>
      </w:r>
      <w:r w:rsidR="00353EAF" w:rsidRPr="00D7220B">
        <w:rPr>
          <w:rFonts w:ascii="Arial" w:hAnsi="Arial" w:cs="Arial"/>
          <w:sz w:val="24"/>
          <w:szCs w:val="24"/>
        </w:rPr>
        <w:t xml:space="preserve">, </w:t>
      </w:r>
      <w:r w:rsidRPr="00D7220B">
        <w:rPr>
          <w:rFonts w:ascii="Arial" w:hAnsi="Arial" w:cs="Arial"/>
          <w:sz w:val="24"/>
          <w:szCs w:val="24"/>
        </w:rPr>
        <w:t>33</w:t>
      </w:r>
      <w:r w:rsidR="00353EAF" w:rsidRPr="00D7220B">
        <w:rPr>
          <w:rFonts w:ascii="Arial" w:hAnsi="Arial" w:cs="Arial"/>
          <w:sz w:val="24"/>
          <w:szCs w:val="24"/>
        </w:rPr>
        <w:t xml:space="preserve"> </w:t>
      </w:r>
      <w:r w:rsidRPr="00D7220B">
        <w:rPr>
          <w:rFonts w:ascii="Arial" w:hAnsi="Arial" w:cs="Arial"/>
          <w:sz w:val="24"/>
          <w:szCs w:val="24"/>
        </w:rPr>
        <w:t>(3), 290–311.</w:t>
      </w:r>
    </w:p>
    <w:p w14:paraId="150E0845"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Hsu, T. H., &amp; Silalahi, R. M. (2024). A</w:t>
      </w:r>
      <w:r w:rsidR="00317BC8">
        <w:rPr>
          <w:rFonts w:ascii="Arial" w:hAnsi="Arial" w:cs="Arial"/>
          <w:sz w:val="24"/>
          <w:szCs w:val="24"/>
        </w:rPr>
        <w:t>dvanced S</w:t>
      </w:r>
      <w:r w:rsidRPr="00D7220B">
        <w:rPr>
          <w:rFonts w:ascii="Arial" w:hAnsi="Arial" w:cs="Arial"/>
          <w:sz w:val="24"/>
          <w:szCs w:val="24"/>
        </w:rPr>
        <w:t>tatistic</w:t>
      </w:r>
      <w:r w:rsidR="00317BC8">
        <w:rPr>
          <w:rFonts w:ascii="Arial" w:hAnsi="Arial" w:cs="Arial"/>
          <w:sz w:val="24"/>
          <w:szCs w:val="24"/>
        </w:rPr>
        <w:t xml:space="preserve">al </w:t>
      </w:r>
      <w:r w:rsidR="007E21D2">
        <w:rPr>
          <w:rFonts w:ascii="Arial" w:hAnsi="Arial" w:cs="Arial"/>
          <w:sz w:val="24"/>
          <w:szCs w:val="24"/>
        </w:rPr>
        <w:t>Modelling</w:t>
      </w:r>
      <w:r w:rsidR="00317BC8">
        <w:rPr>
          <w:rFonts w:ascii="Arial" w:hAnsi="Arial" w:cs="Arial"/>
          <w:sz w:val="24"/>
          <w:szCs w:val="24"/>
        </w:rPr>
        <w:t xml:space="preserve"> for Social Science R</w:t>
      </w:r>
      <w:r w:rsidRPr="00D7220B">
        <w:rPr>
          <w:rFonts w:ascii="Arial" w:hAnsi="Arial" w:cs="Arial"/>
          <w:sz w:val="24"/>
          <w:szCs w:val="24"/>
        </w:rPr>
        <w:t>esearch. Academic Press.</w:t>
      </w:r>
    </w:p>
    <w:p w14:paraId="56600C9E" w14:textId="77777777" w:rsidR="00317BC8" w:rsidRDefault="00317BC8" w:rsidP="00D7220B">
      <w:pPr>
        <w:spacing w:after="0" w:line="240" w:lineRule="auto"/>
        <w:jc w:val="both"/>
        <w:rPr>
          <w:rFonts w:ascii="Arial" w:hAnsi="Arial" w:cs="Arial"/>
          <w:sz w:val="24"/>
          <w:szCs w:val="24"/>
        </w:rPr>
      </w:pPr>
    </w:p>
    <w:p w14:paraId="3DD0E32A"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Ismail, A. A. (2022). The Relationship Between School C</w:t>
      </w:r>
      <w:r w:rsidR="00317BC8">
        <w:rPr>
          <w:rFonts w:ascii="Arial" w:hAnsi="Arial" w:cs="Arial"/>
          <w:sz w:val="24"/>
          <w:szCs w:val="24"/>
        </w:rPr>
        <w:t xml:space="preserve">ulture and Academic Performance. </w:t>
      </w:r>
      <w:r w:rsidRPr="00D7220B">
        <w:rPr>
          <w:rFonts w:ascii="Arial" w:hAnsi="Arial" w:cs="Arial"/>
          <w:i/>
          <w:sz w:val="24"/>
          <w:szCs w:val="24"/>
        </w:rPr>
        <w:t>Journal of Educational Leadership</w:t>
      </w:r>
      <w:r w:rsidRPr="00D7220B">
        <w:rPr>
          <w:rFonts w:ascii="Arial" w:hAnsi="Arial" w:cs="Arial"/>
          <w:sz w:val="24"/>
          <w:szCs w:val="24"/>
        </w:rPr>
        <w:t>, 15 (1), 44–60.</w:t>
      </w:r>
    </w:p>
    <w:p w14:paraId="11A78CF7" w14:textId="77777777" w:rsidR="00C17C0B" w:rsidRPr="00317BC8" w:rsidRDefault="00D5242A" w:rsidP="00D7220B">
      <w:pPr>
        <w:spacing w:after="0" w:line="240" w:lineRule="auto"/>
        <w:jc w:val="both"/>
        <w:rPr>
          <w:rFonts w:ascii="Arial" w:hAnsi="Arial" w:cs="Arial"/>
          <w:i/>
          <w:sz w:val="24"/>
          <w:szCs w:val="24"/>
        </w:rPr>
      </w:pPr>
      <w:r w:rsidRPr="00D7220B">
        <w:rPr>
          <w:rFonts w:ascii="Arial" w:hAnsi="Arial" w:cs="Arial"/>
          <w:sz w:val="24"/>
          <w:szCs w:val="24"/>
        </w:rPr>
        <w:t xml:space="preserve">Jarvis, C., Grant, D., &amp; Osanloo, A. (2014). Theoretical frameworks in research. </w:t>
      </w:r>
      <w:r w:rsidRPr="00D7220B">
        <w:rPr>
          <w:rFonts w:ascii="Arial" w:hAnsi="Arial" w:cs="Arial"/>
          <w:i/>
          <w:sz w:val="24"/>
          <w:szCs w:val="24"/>
        </w:rPr>
        <w:t>International Journal of Educational Methods</w:t>
      </w:r>
      <w:r w:rsidRPr="00D7220B">
        <w:rPr>
          <w:rFonts w:ascii="Arial" w:hAnsi="Arial" w:cs="Arial"/>
          <w:sz w:val="24"/>
          <w:szCs w:val="24"/>
        </w:rPr>
        <w:t>, 1 (1), 12–26.</w:t>
      </w:r>
    </w:p>
    <w:p w14:paraId="63D796E0" w14:textId="77777777" w:rsidR="00317BC8" w:rsidRDefault="00317BC8" w:rsidP="00D7220B">
      <w:pPr>
        <w:spacing w:after="0" w:line="240" w:lineRule="auto"/>
        <w:jc w:val="both"/>
        <w:rPr>
          <w:rFonts w:ascii="Arial" w:hAnsi="Arial" w:cs="Arial"/>
          <w:sz w:val="24"/>
          <w:szCs w:val="24"/>
        </w:rPr>
      </w:pPr>
    </w:p>
    <w:p w14:paraId="60C40396" w14:textId="77777777" w:rsidR="00C17C0B" w:rsidRPr="00D7220B" w:rsidRDefault="00D5242A" w:rsidP="00317BC8">
      <w:pPr>
        <w:spacing w:after="0" w:line="240" w:lineRule="auto"/>
        <w:jc w:val="both"/>
        <w:rPr>
          <w:rFonts w:ascii="Arial" w:hAnsi="Arial" w:cs="Arial"/>
          <w:sz w:val="24"/>
          <w:szCs w:val="24"/>
        </w:rPr>
      </w:pPr>
      <w:r w:rsidRPr="00D7220B">
        <w:rPr>
          <w:rFonts w:ascii="Arial" w:hAnsi="Arial" w:cs="Arial"/>
          <w:sz w:val="24"/>
          <w:szCs w:val="24"/>
        </w:rPr>
        <w:t>Kalkan, F., &amp; Dağli, E. (2022). The relationships between school climate, school belonging</w:t>
      </w:r>
      <w:r w:rsidR="00EC7C01">
        <w:rPr>
          <w:rFonts w:ascii="Arial" w:hAnsi="Arial" w:cs="Arial"/>
          <w:sz w:val="24"/>
          <w:szCs w:val="24"/>
        </w:rPr>
        <w:t>,</w:t>
      </w:r>
      <w:r w:rsidRPr="00D7220B">
        <w:rPr>
          <w:rFonts w:ascii="Arial" w:hAnsi="Arial" w:cs="Arial"/>
          <w:sz w:val="24"/>
          <w:szCs w:val="24"/>
        </w:rPr>
        <w:t xml:space="preserve"> and </w:t>
      </w:r>
      <w:r w:rsidR="00317BC8">
        <w:rPr>
          <w:rFonts w:ascii="Arial" w:hAnsi="Arial" w:cs="Arial"/>
          <w:sz w:val="24"/>
          <w:szCs w:val="24"/>
        </w:rPr>
        <w:t>School Burnout in Secondary School S</w:t>
      </w:r>
      <w:r w:rsidRPr="00D7220B">
        <w:rPr>
          <w:rFonts w:ascii="Arial" w:hAnsi="Arial" w:cs="Arial"/>
          <w:sz w:val="24"/>
          <w:szCs w:val="24"/>
        </w:rPr>
        <w:t xml:space="preserve">tudents. </w:t>
      </w:r>
      <w:r w:rsidRPr="00D7220B">
        <w:rPr>
          <w:rFonts w:ascii="Arial" w:hAnsi="Arial" w:cs="Arial"/>
          <w:i/>
          <w:sz w:val="24"/>
          <w:szCs w:val="24"/>
        </w:rPr>
        <w:t>International Journal of Contemporary Educational Research</w:t>
      </w:r>
      <w:r w:rsidR="00353EAF" w:rsidRPr="00D7220B">
        <w:rPr>
          <w:rFonts w:ascii="Arial" w:hAnsi="Arial" w:cs="Arial"/>
          <w:sz w:val="24"/>
          <w:szCs w:val="24"/>
        </w:rPr>
        <w:t xml:space="preserve">, 8 </w:t>
      </w:r>
      <w:r w:rsidRPr="00D7220B">
        <w:rPr>
          <w:rFonts w:ascii="Arial" w:hAnsi="Arial" w:cs="Arial"/>
          <w:sz w:val="24"/>
          <w:szCs w:val="24"/>
        </w:rPr>
        <w:t>(4), 59–79. https://doi.org/10.33200/ijcer.878682</w:t>
      </w:r>
    </w:p>
    <w:p w14:paraId="5ACA8721" w14:textId="77777777" w:rsidR="00317BC8" w:rsidRDefault="00317BC8" w:rsidP="00D7220B">
      <w:pPr>
        <w:spacing w:after="0" w:line="240" w:lineRule="auto"/>
        <w:jc w:val="both"/>
        <w:rPr>
          <w:rFonts w:ascii="Arial" w:hAnsi="Arial" w:cs="Arial"/>
          <w:sz w:val="24"/>
          <w:szCs w:val="24"/>
        </w:rPr>
      </w:pPr>
    </w:p>
    <w:p w14:paraId="26AEDD93" w14:textId="77777777" w:rsidR="00C17C0B" w:rsidRPr="00D7220B" w:rsidRDefault="00D5242A" w:rsidP="00317BC8">
      <w:pPr>
        <w:spacing w:after="0" w:line="240" w:lineRule="auto"/>
        <w:jc w:val="both"/>
        <w:rPr>
          <w:rFonts w:ascii="Arial" w:hAnsi="Arial" w:cs="Arial"/>
          <w:sz w:val="24"/>
          <w:szCs w:val="24"/>
        </w:rPr>
      </w:pPr>
      <w:r w:rsidRPr="00D7220B">
        <w:rPr>
          <w:rFonts w:ascii="Arial" w:hAnsi="Arial" w:cs="Arial"/>
          <w:sz w:val="24"/>
          <w:szCs w:val="24"/>
        </w:rPr>
        <w:t xml:space="preserve">Konishi, C., Hymel, S., Zumbo, B. D., &amp; Li, Z. (2010). </w:t>
      </w:r>
      <w:r w:rsidR="00EC7C01">
        <w:rPr>
          <w:rFonts w:ascii="Arial" w:hAnsi="Arial" w:cs="Arial"/>
          <w:sz w:val="24"/>
          <w:szCs w:val="24"/>
        </w:rPr>
        <w:t>Does</w:t>
      </w:r>
      <w:r w:rsidR="00317BC8">
        <w:rPr>
          <w:rFonts w:ascii="Arial" w:hAnsi="Arial" w:cs="Arial"/>
          <w:sz w:val="24"/>
          <w:szCs w:val="24"/>
        </w:rPr>
        <w:t xml:space="preserve"> School Bullying and Student–T</w:t>
      </w:r>
      <w:r w:rsidRPr="00D7220B">
        <w:rPr>
          <w:rFonts w:ascii="Arial" w:hAnsi="Arial" w:cs="Arial"/>
          <w:sz w:val="24"/>
          <w:szCs w:val="24"/>
        </w:rPr>
        <w:t>eacher</w:t>
      </w:r>
      <w:r w:rsidR="00EC7C01">
        <w:rPr>
          <w:rFonts w:ascii="Arial" w:hAnsi="Arial" w:cs="Arial"/>
          <w:sz w:val="24"/>
          <w:szCs w:val="24"/>
        </w:rPr>
        <w:t xml:space="preserve"> </w:t>
      </w:r>
      <w:r w:rsidR="00317BC8">
        <w:rPr>
          <w:rFonts w:ascii="Arial" w:hAnsi="Arial" w:cs="Arial"/>
          <w:sz w:val="24"/>
          <w:szCs w:val="24"/>
        </w:rPr>
        <w:t>Relationships Matter for Academic Achievement? A Multilevel A</w:t>
      </w:r>
      <w:r w:rsidRPr="00D7220B">
        <w:rPr>
          <w:rFonts w:ascii="Arial" w:hAnsi="Arial" w:cs="Arial"/>
          <w:sz w:val="24"/>
          <w:szCs w:val="24"/>
        </w:rPr>
        <w:t xml:space="preserve">nalysis. </w:t>
      </w:r>
      <w:r w:rsidRPr="00317BC8">
        <w:rPr>
          <w:rFonts w:ascii="Arial" w:hAnsi="Arial" w:cs="Arial"/>
          <w:i/>
          <w:sz w:val="24"/>
          <w:szCs w:val="24"/>
        </w:rPr>
        <w:t>Canadian</w:t>
      </w:r>
      <w:r w:rsidR="00353EAF" w:rsidRPr="00317BC8">
        <w:rPr>
          <w:rFonts w:ascii="Arial" w:hAnsi="Arial" w:cs="Arial"/>
          <w:i/>
          <w:sz w:val="24"/>
          <w:szCs w:val="24"/>
        </w:rPr>
        <w:t xml:space="preserve"> Journal of School Psychology, </w:t>
      </w:r>
      <w:r w:rsidRPr="00317BC8">
        <w:rPr>
          <w:rFonts w:ascii="Arial" w:hAnsi="Arial" w:cs="Arial"/>
          <w:i/>
          <w:sz w:val="24"/>
          <w:szCs w:val="24"/>
        </w:rPr>
        <w:t>25</w:t>
      </w:r>
      <w:r w:rsidR="00353EAF" w:rsidRPr="00317BC8">
        <w:rPr>
          <w:rFonts w:ascii="Arial" w:hAnsi="Arial" w:cs="Arial"/>
          <w:i/>
          <w:sz w:val="24"/>
          <w:szCs w:val="24"/>
        </w:rPr>
        <w:t xml:space="preserve"> </w:t>
      </w:r>
      <w:r w:rsidRPr="00317BC8">
        <w:rPr>
          <w:rFonts w:ascii="Arial" w:hAnsi="Arial" w:cs="Arial"/>
          <w:i/>
          <w:sz w:val="24"/>
          <w:szCs w:val="24"/>
        </w:rPr>
        <w:t>(1), 19–39</w:t>
      </w:r>
      <w:r w:rsidRPr="00D7220B">
        <w:rPr>
          <w:rFonts w:ascii="Arial" w:hAnsi="Arial" w:cs="Arial"/>
          <w:sz w:val="24"/>
          <w:szCs w:val="24"/>
        </w:rPr>
        <w:t>. https://doi.org/10.1177/0829573509357550</w:t>
      </w:r>
    </w:p>
    <w:p w14:paraId="1D77090D" w14:textId="77777777" w:rsidR="00DA764F" w:rsidRDefault="00DA764F" w:rsidP="00D7220B">
      <w:pPr>
        <w:spacing w:after="0" w:line="240" w:lineRule="auto"/>
        <w:jc w:val="both"/>
        <w:rPr>
          <w:rFonts w:ascii="Arial" w:hAnsi="Arial" w:cs="Arial"/>
          <w:sz w:val="24"/>
          <w:szCs w:val="24"/>
        </w:rPr>
      </w:pPr>
    </w:p>
    <w:p w14:paraId="7AA2F77C" w14:textId="77777777" w:rsidR="00C17C0B" w:rsidRPr="00D7220B" w:rsidRDefault="00D5242A" w:rsidP="00DA764F">
      <w:pPr>
        <w:spacing w:after="0" w:line="240" w:lineRule="auto"/>
        <w:jc w:val="both"/>
        <w:rPr>
          <w:rFonts w:ascii="Arial" w:hAnsi="Arial" w:cs="Arial"/>
          <w:sz w:val="24"/>
          <w:szCs w:val="24"/>
        </w:rPr>
      </w:pPr>
      <w:r w:rsidRPr="00D7220B">
        <w:rPr>
          <w:rFonts w:ascii="Arial" w:hAnsi="Arial" w:cs="Arial"/>
          <w:sz w:val="24"/>
          <w:szCs w:val="24"/>
        </w:rPr>
        <w:t xml:space="preserve">Konold, T. R., Cornell, D., Shukla, K., &amp; Huang, F. (2018). School climate, student engagement, and academic achievement. </w:t>
      </w:r>
      <w:r w:rsidRPr="00D7220B">
        <w:rPr>
          <w:rFonts w:ascii="Arial" w:hAnsi="Arial" w:cs="Arial"/>
          <w:i/>
          <w:sz w:val="24"/>
          <w:szCs w:val="24"/>
        </w:rPr>
        <w:t>American Journal of Community Psychology</w:t>
      </w:r>
      <w:r w:rsidR="00353EAF" w:rsidRPr="00D7220B">
        <w:rPr>
          <w:rFonts w:ascii="Arial" w:hAnsi="Arial" w:cs="Arial"/>
          <w:sz w:val="24"/>
          <w:szCs w:val="24"/>
        </w:rPr>
        <w:t xml:space="preserve">, </w:t>
      </w:r>
      <w:r w:rsidRPr="00D7220B">
        <w:rPr>
          <w:rFonts w:ascii="Arial" w:hAnsi="Arial" w:cs="Arial"/>
          <w:sz w:val="24"/>
          <w:szCs w:val="24"/>
        </w:rPr>
        <w:t>61(3-4), 373–385. https://doi.org/10.1002/ajcp.12242</w:t>
      </w:r>
    </w:p>
    <w:p w14:paraId="58FD3FFD" w14:textId="77777777" w:rsidR="00DA764F" w:rsidRDefault="00DA764F" w:rsidP="00D7220B">
      <w:pPr>
        <w:spacing w:after="0" w:line="240" w:lineRule="auto"/>
        <w:jc w:val="both"/>
        <w:rPr>
          <w:rFonts w:ascii="Arial" w:hAnsi="Arial" w:cs="Arial"/>
          <w:sz w:val="24"/>
          <w:szCs w:val="24"/>
        </w:rPr>
      </w:pPr>
    </w:p>
    <w:p w14:paraId="068CB524" w14:textId="77777777" w:rsidR="00C17C0B" w:rsidRPr="00DA764F" w:rsidRDefault="00D5242A" w:rsidP="00DA764F">
      <w:pPr>
        <w:spacing w:after="0" w:line="240" w:lineRule="auto"/>
        <w:jc w:val="both"/>
        <w:rPr>
          <w:rFonts w:ascii="Arial" w:hAnsi="Arial" w:cs="Arial"/>
          <w:sz w:val="24"/>
          <w:szCs w:val="24"/>
        </w:rPr>
      </w:pPr>
      <w:r w:rsidRPr="00D7220B">
        <w:rPr>
          <w:rFonts w:ascii="Arial" w:hAnsi="Arial" w:cs="Arial"/>
          <w:sz w:val="24"/>
          <w:szCs w:val="24"/>
        </w:rPr>
        <w:t xml:space="preserve">Kuh, G. D., Kinzie, J., Buckley, J. A., Bridges, B. K., &amp; Hayek, J. C. (2006). What matters to </w:t>
      </w:r>
      <w:r w:rsidR="00DA764F">
        <w:rPr>
          <w:rFonts w:ascii="Arial" w:hAnsi="Arial" w:cs="Arial"/>
          <w:sz w:val="24"/>
          <w:szCs w:val="24"/>
        </w:rPr>
        <w:t>S</w:t>
      </w:r>
      <w:r w:rsidRPr="00D7220B">
        <w:rPr>
          <w:rFonts w:ascii="Arial" w:hAnsi="Arial" w:cs="Arial"/>
          <w:sz w:val="24"/>
          <w:szCs w:val="24"/>
        </w:rPr>
        <w:t xml:space="preserve">tudent success: A review of the literature. </w:t>
      </w:r>
      <w:r w:rsidRPr="00D7220B">
        <w:rPr>
          <w:rFonts w:ascii="Arial" w:hAnsi="Arial" w:cs="Arial"/>
          <w:i/>
          <w:sz w:val="24"/>
          <w:szCs w:val="24"/>
        </w:rPr>
        <w:t>National Postsecondary Education Cooperative.</w:t>
      </w:r>
    </w:p>
    <w:p w14:paraId="5F0DCC97" w14:textId="77777777" w:rsidR="00DA764F" w:rsidRDefault="00DA764F" w:rsidP="00D7220B">
      <w:pPr>
        <w:spacing w:after="0" w:line="240" w:lineRule="auto"/>
        <w:jc w:val="both"/>
        <w:rPr>
          <w:rFonts w:ascii="Arial" w:hAnsi="Arial" w:cs="Arial"/>
          <w:sz w:val="24"/>
          <w:szCs w:val="24"/>
        </w:rPr>
      </w:pPr>
    </w:p>
    <w:p w14:paraId="2F6EA4A2" w14:textId="77777777" w:rsidR="00353EAF" w:rsidRPr="00D7220B" w:rsidRDefault="00D5242A" w:rsidP="00D7220B">
      <w:pPr>
        <w:spacing w:after="0" w:line="240" w:lineRule="auto"/>
        <w:jc w:val="both"/>
        <w:rPr>
          <w:rFonts w:ascii="Arial" w:hAnsi="Arial" w:cs="Arial"/>
          <w:sz w:val="24"/>
          <w:szCs w:val="24"/>
        </w:rPr>
      </w:pPr>
      <w:proofErr w:type="spellStart"/>
      <w:r w:rsidRPr="00D7220B">
        <w:rPr>
          <w:rFonts w:ascii="Arial" w:hAnsi="Arial" w:cs="Arial"/>
          <w:sz w:val="24"/>
          <w:szCs w:val="24"/>
        </w:rPr>
        <w:t>Kutsyuruba</w:t>
      </w:r>
      <w:proofErr w:type="spellEnd"/>
      <w:r w:rsidRPr="00D7220B">
        <w:rPr>
          <w:rFonts w:ascii="Arial" w:hAnsi="Arial" w:cs="Arial"/>
          <w:sz w:val="24"/>
          <w:szCs w:val="24"/>
        </w:rPr>
        <w:t xml:space="preserve">, B., Klinger, D. A., &amp; Hussain, A. (2015). Relationships among school climate, </w:t>
      </w:r>
    </w:p>
    <w:p w14:paraId="42AEA448" w14:textId="77777777" w:rsidR="00C17C0B" w:rsidRPr="00D7220B" w:rsidRDefault="00DA764F" w:rsidP="00DA764F">
      <w:pPr>
        <w:spacing w:after="0" w:line="240" w:lineRule="auto"/>
        <w:jc w:val="both"/>
        <w:rPr>
          <w:rFonts w:ascii="Arial" w:hAnsi="Arial" w:cs="Arial"/>
          <w:sz w:val="24"/>
          <w:szCs w:val="24"/>
        </w:rPr>
      </w:pPr>
      <w:r>
        <w:rPr>
          <w:rFonts w:ascii="Arial" w:hAnsi="Arial" w:cs="Arial"/>
          <w:sz w:val="24"/>
          <w:szCs w:val="24"/>
        </w:rPr>
        <w:lastRenderedPageBreak/>
        <w:t xml:space="preserve">School </w:t>
      </w:r>
      <w:r w:rsidR="005468B2">
        <w:rPr>
          <w:rFonts w:ascii="Arial" w:hAnsi="Arial" w:cs="Arial"/>
          <w:sz w:val="24"/>
          <w:szCs w:val="24"/>
        </w:rPr>
        <w:t>Safety</w:t>
      </w:r>
      <w:r>
        <w:rPr>
          <w:rFonts w:ascii="Arial" w:hAnsi="Arial" w:cs="Arial"/>
          <w:sz w:val="24"/>
          <w:szCs w:val="24"/>
        </w:rPr>
        <w:t>, Student Achievement and W</w:t>
      </w:r>
      <w:r w:rsidR="00D5242A" w:rsidRPr="00D7220B">
        <w:rPr>
          <w:rFonts w:ascii="Arial" w:hAnsi="Arial" w:cs="Arial"/>
          <w:sz w:val="24"/>
          <w:szCs w:val="24"/>
        </w:rPr>
        <w:t>ell</w:t>
      </w:r>
      <w:r w:rsidR="00D5242A" w:rsidRPr="00D7220B">
        <w:rPr>
          <w:rFonts w:ascii="Cambria Math" w:hAnsi="Cambria Math" w:cs="Cambria Math"/>
          <w:sz w:val="24"/>
          <w:szCs w:val="24"/>
        </w:rPr>
        <w:t>‐</w:t>
      </w:r>
      <w:r w:rsidR="00D5242A" w:rsidRPr="00D7220B">
        <w:rPr>
          <w:rFonts w:ascii="Arial" w:hAnsi="Arial" w:cs="Arial"/>
          <w:sz w:val="24"/>
          <w:szCs w:val="24"/>
        </w:rPr>
        <w:t xml:space="preserve">being: A </w:t>
      </w:r>
      <w:r>
        <w:rPr>
          <w:rFonts w:ascii="Arial" w:hAnsi="Arial" w:cs="Arial"/>
          <w:sz w:val="24"/>
          <w:szCs w:val="24"/>
        </w:rPr>
        <w:t>Review of the L</w:t>
      </w:r>
      <w:r w:rsidR="00D5242A" w:rsidRPr="00D7220B">
        <w:rPr>
          <w:rFonts w:ascii="Arial" w:hAnsi="Arial" w:cs="Arial"/>
          <w:sz w:val="24"/>
          <w:szCs w:val="24"/>
        </w:rPr>
        <w:t>i</w:t>
      </w:r>
      <w:r w:rsidR="00353EAF" w:rsidRPr="00D7220B">
        <w:rPr>
          <w:rFonts w:ascii="Arial" w:hAnsi="Arial" w:cs="Arial"/>
          <w:sz w:val="24"/>
          <w:szCs w:val="24"/>
        </w:rPr>
        <w:t xml:space="preserve">terature. </w:t>
      </w:r>
      <w:r w:rsidR="00353EAF" w:rsidRPr="00D7220B">
        <w:rPr>
          <w:rFonts w:ascii="Arial" w:hAnsi="Arial" w:cs="Arial"/>
          <w:i/>
          <w:sz w:val="24"/>
          <w:szCs w:val="24"/>
        </w:rPr>
        <w:t>Review of Education</w:t>
      </w:r>
      <w:r w:rsidR="00353EAF" w:rsidRPr="00D7220B">
        <w:rPr>
          <w:rFonts w:ascii="Arial" w:hAnsi="Arial" w:cs="Arial"/>
          <w:sz w:val="24"/>
          <w:szCs w:val="24"/>
        </w:rPr>
        <w:t xml:space="preserve">, </w:t>
      </w:r>
      <w:r w:rsidR="00D5242A" w:rsidRPr="00D7220B">
        <w:rPr>
          <w:rFonts w:ascii="Arial" w:hAnsi="Arial" w:cs="Arial"/>
          <w:sz w:val="24"/>
          <w:szCs w:val="24"/>
        </w:rPr>
        <w:t>3</w:t>
      </w:r>
      <w:r w:rsidR="00353EAF" w:rsidRPr="00D7220B">
        <w:rPr>
          <w:rFonts w:ascii="Arial" w:hAnsi="Arial" w:cs="Arial"/>
          <w:sz w:val="24"/>
          <w:szCs w:val="24"/>
        </w:rPr>
        <w:t xml:space="preserve"> </w:t>
      </w:r>
      <w:r w:rsidR="00D5242A" w:rsidRPr="00D7220B">
        <w:rPr>
          <w:rFonts w:ascii="Arial" w:hAnsi="Arial" w:cs="Arial"/>
          <w:sz w:val="24"/>
          <w:szCs w:val="24"/>
        </w:rPr>
        <w:t>(2), 103–135. https://doi.org/10.1002/rev3.3043</w:t>
      </w:r>
    </w:p>
    <w:p w14:paraId="40E1384C" w14:textId="77777777" w:rsidR="00DA764F" w:rsidRDefault="00DA764F" w:rsidP="00D7220B">
      <w:pPr>
        <w:spacing w:after="0" w:line="240" w:lineRule="auto"/>
        <w:jc w:val="both"/>
        <w:rPr>
          <w:rFonts w:ascii="Arial" w:hAnsi="Arial" w:cs="Arial"/>
          <w:sz w:val="24"/>
          <w:szCs w:val="24"/>
        </w:rPr>
      </w:pPr>
    </w:p>
    <w:p w14:paraId="1B3982CB" w14:textId="77777777" w:rsidR="00353EAF"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La Salle-Finley, T., Yang, C., Espelage, D., &amp; Jimerson, S. R. (2024). Understanding and</w:t>
      </w:r>
    </w:p>
    <w:p w14:paraId="085B6EA8" w14:textId="77777777" w:rsidR="00C17C0B" w:rsidRPr="00D7220B" w:rsidRDefault="00EC7C01" w:rsidP="00DA764F">
      <w:pPr>
        <w:spacing w:after="0" w:line="240" w:lineRule="auto"/>
        <w:jc w:val="both"/>
        <w:rPr>
          <w:rFonts w:ascii="Arial" w:hAnsi="Arial" w:cs="Arial"/>
          <w:sz w:val="24"/>
          <w:szCs w:val="24"/>
        </w:rPr>
      </w:pPr>
      <w:r>
        <w:rPr>
          <w:rFonts w:ascii="Arial" w:hAnsi="Arial" w:cs="Arial"/>
          <w:sz w:val="24"/>
          <w:szCs w:val="24"/>
        </w:rPr>
        <w:t>Promoting</w:t>
      </w:r>
      <w:r w:rsidR="00DA764F">
        <w:rPr>
          <w:rFonts w:ascii="Arial" w:hAnsi="Arial" w:cs="Arial"/>
          <w:sz w:val="24"/>
          <w:szCs w:val="24"/>
        </w:rPr>
        <w:t xml:space="preserve"> School Climate, Bullying, and Social-E</w:t>
      </w:r>
      <w:r w:rsidR="00D5242A" w:rsidRPr="00D7220B">
        <w:rPr>
          <w:rFonts w:ascii="Arial" w:hAnsi="Arial" w:cs="Arial"/>
          <w:sz w:val="24"/>
          <w:szCs w:val="24"/>
        </w:rPr>
        <w:t xml:space="preserve">motional </w:t>
      </w:r>
      <w:r w:rsidR="00DA764F">
        <w:rPr>
          <w:rFonts w:ascii="Arial" w:hAnsi="Arial" w:cs="Arial"/>
          <w:sz w:val="24"/>
          <w:szCs w:val="24"/>
        </w:rPr>
        <w:t>L</w:t>
      </w:r>
      <w:r w:rsidR="00D5242A" w:rsidRPr="00D7220B">
        <w:rPr>
          <w:rFonts w:ascii="Arial" w:hAnsi="Arial" w:cs="Arial"/>
          <w:sz w:val="24"/>
          <w:szCs w:val="24"/>
        </w:rPr>
        <w:t>ea</w:t>
      </w:r>
      <w:r w:rsidR="00DA764F">
        <w:rPr>
          <w:rFonts w:ascii="Arial" w:hAnsi="Arial" w:cs="Arial"/>
          <w:sz w:val="24"/>
          <w:szCs w:val="24"/>
        </w:rPr>
        <w:t>rning: Transdisciplinary and T</w:t>
      </w:r>
      <w:r w:rsidR="00D5242A" w:rsidRPr="00D7220B">
        <w:rPr>
          <w:rFonts w:ascii="Arial" w:hAnsi="Arial" w:cs="Arial"/>
          <w:sz w:val="24"/>
          <w:szCs w:val="24"/>
        </w:rPr>
        <w:t>ransnatio</w:t>
      </w:r>
      <w:r w:rsidR="00DA764F">
        <w:rPr>
          <w:rFonts w:ascii="Arial" w:hAnsi="Arial" w:cs="Arial"/>
          <w:sz w:val="24"/>
          <w:szCs w:val="24"/>
        </w:rPr>
        <w:t>nal Science Advancing Positive Youth O</w:t>
      </w:r>
      <w:r w:rsidR="00D5242A" w:rsidRPr="00D7220B">
        <w:rPr>
          <w:rFonts w:ascii="Arial" w:hAnsi="Arial" w:cs="Arial"/>
          <w:sz w:val="24"/>
          <w:szCs w:val="24"/>
        </w:rPr>
        <w:t>utco</w:t>
      </w:r>
      <w:r w:rsidR="00353EAF" w:rsidRPr="00D7220B">
        <w:rPr>
          <w:rFonts w:ascii="Arial" w:hAnsi="Arial" w:cs="Arial"/>
          <w:sz w:val="24"/>
          <w:szCs w:val="24"/>
        </w:rPr>
        <w:t xml:space="preserve">mes. </w:t>
      </w:r>
      <w:r w:rsidR="00353EAF" w:rsidRPr="00D7220B">
        <w:rPr>
          <w:rFonts w:ascii="Arial" w:hAnsi="Arial" w:cs="Arial"/>
          <w:i/>
          <w:sz w:val="24"/>
          <w:szCs w:val="24"/>
        </w:rPr>
        <w:t>School Psychology Review</w:t>
      </w:r>
      <w:r w:rsidR="00353EAF" w:rsidRPr="00D7220B">
        <w:rPr>
          <w:rFonts w:ascii="Arial" w:hAnsi="Arial" w:cs="Arial"/>
          <w:sz w:val="24"/>
          <w:szCs w:val="24"/>
        </w:rPr>
        <w:t xml:space="preserve">, </w:t>
      </w:r>
      <w:r w:rsidR="00D5242A" w:rsidRPr="00D7220B">
        <w:rPr>
          <w:rFonts w:ascii="Arial" w:hAnsi="Arial" w:cs="Arial"/>
          <w:sz w:val="24"/>
          <w:szCs w:val="24"/>
        </w:rPr>
        <w:t>53</w:t>
      </w:r>
      <w:r w:rsidR="00353EAF" w:rsidRPr="00D7220B">
        <w:rPr>
          <w:rFonts w:ascii="Arial" w:hAnsi="Arial" w:cs="Arial"/>
          <w:sz w:val="24"/>
          <w:szCs w:val="24"/>
        </w:rPr>
        <w:t xml:space="preserve"> </w:t>
      </w:r>
      <w:r w:rsidR="00D5242A" w:rsidRPr="00D7220B">
        <w:rPr>
          <w:rFonts w:ascii="Arial" w:hAnsi="Arial" w:cs="Arial"/>
          <w:sz w:val="24"/>
          <w:szCs w:val="24"/>
        </w:rPr>
        <w:t>(5), 417–424. https://doi.org/10.1080/2372966x.2024.2386235</w:t>
      </w:r>
    </w:p>
    <w:p w14:paraId="36B0CC64" w14:textId="77777777" w:rsidR="00C17C0B" w:rsidRPr="00D7220B" w:rsidRDefault="00D5242A" w:rsidP="00A611DE">
      <w:pPr>
        <w:spacing w:after="0" w:line="240" w:lineRule="auto"/>
        <w:jc w:val="both"/>
        <w:rPr>
          <w:rFonts w:ascii="Arial" w:hAnsi="Arial" w:cs="Arial"/>
          <w:sz w:val="24"/>
          <w:szCs w:val="24"/>
        </w:rPr>
      </w:pPr>
      <w:r w:rsidRPr="00D7220B">
        <w:rPr>
          <w:rFonts w:ascii="Arial" w:hAnsi="Arial" w:cs="Arial"/>
          <w:sz w:val="24"/>
          <w:szCs w:val="24"/>
        </w:rPr>
        <w:t>Leithwood, K., Jantzi, D., &amp; Steinb</w:t>
      </w:r>
      <w:r w:rsidR="00A611DE">
        <w:rPr>
          <w:rFonts w:ascii="Arial" w:hAnsi="Arial" w:cs="Arial"/>
          <w:sz w:val="24"/>
          <w:szCs w:val="24"/>
        </w:rPr>
        <w:t>ach, R. (2001). Leadership for Student L</w:t>
      </w:r>
      <w:r w:rsidRPr="00D7220B">
        <w:rPr>
          <w:rFonts w:ascii="Arial" w:hAnsi="Arial" w:cs="Arial"/>
          <w:sz w:val="24"/>
          <w:szCs w:val="24"/>
        </w:rPr>
        <w:t xml:space="preserve">earning: What </w:t>
      </w:r>
      <w:r w:rsidR="005468B2">
        <w:rPr>
          <w:rFonts w:ascii="Arial" w:hAnsi="Arial" w:cs="Arial"/>
          <w:sz w:val="24"/>
          <w:szCs w:val="24"/>
        </w:rPr>
        <w:t>We</w:t>
      </w:r>
      <w:r w:rsidR="00A611DE">
        <w:rPr>
          <w:rFonts w:ascii="Arial" w:hAnsi="Arial" w:cs="Arial"/>
          <w:sz w:val="24"/>
          <w:szCs w:val="24"/>
        </w:rPr>
        <w:t xml:space="preserve"> K</w:t>
      </w:r>
      <w:r w:rsidRPr="00D7220B">
        <w:rPr>
          <w:rFonts w:ascii="Arial" w:hAnsi="Arial" w:cs="Arial"/>
          <w:sz w:val="24"/>
          <w:szCs w:val="24"/>
        </w:rPr>
        <w:t>now</w:t>
      </w:r>
      <w:r w:rsidRPr="00D7220B">
        <w:rPr>
          <w:rFonts w:ascii="Arial" w:hAnsi="Arial" w:cs="Arial"/>
          <w:i/>
          <w:sz w:val="24"/>
          <w:szCs w:val="24"/>
        </w:rPr>
        <w:t>.</w:t>
      </w:r>
      <w:r w:rsidR="00142B75" w:rsidRPr="00D7220B">
        <w:rPr>
          <w:rFonts w:ascii="Arial" w:hAnsi="Arial" w:cs="Arial"/>
          <w:i/>
          <w:sz w:val="24"/>
          <w:szCs w:val="24"/>
        </w:rPr>
        <w:t xml:space="preserve"> Leadership Policy in Schools</w:t>
      </w:r>
      <w:r w:rsidR="00142B75" w:rsidRPr="00D7220B">
        <w:rPr>
          <w:rFonts w:ascii="Arial" w:hAnsi="Arial" w:cs="Arial"/>
          <w:sz w:val="24"/>
          <w:szCs w:val="24"/>
        </w:rPr>
        <w:t xml:space="preserve">, 1 </w:t>
      </w:r>
      <w:r w:rsidRPr="00D7220B">
        <w:rPr>
          <w:rFonts w:ascii="Arial" w:hAnsi="Arial" w:cs="Arial"/>
          <w:sz w:val="24"/>
          <w:szCs w:val="24"/>
        </w:rPr>
        <w:t>(1), 3–27.</w:t>
      </w:r>
    </w:p>
    <w:p w14:paraId="379DFC5C" w14:textId="77777777" w:rsidR="00A611DE" w:rsidRDefault="00A611DE" w:rsidP="00D7220B">
      <w:pPr>
        <w:spacing w:after="0" w:line="240" w:lineRule="auto"/>
        <w:jc w:val="both"/>
        <w:rPr>
          <w:rFonts w:ascii="Arial" w:hAnsi="Arial" w:cs="Arial"/>
          <w:sz w:val="24"/>
          <w:szCs w:val="24"/>
        </w:rPr>
      </w:pPr>
    </w:p>
    <w:p w14:paraId="42E71BB4" w14:textId="77777777" w:rsidR="00C17C0B" w:rsidRPr="00D7220B" w:rsidRDefault="00D5242A" w:rsidP="005468B2">
      <w:pPr>
        <w:spacing w:after="0" w:line="240" w:lineRule="auto"/>
        <w:jc w:val="both"/>
        <w:rPr>
          <w:rFonts w:ascii="Arial" w:hAnsi="Arial" w:cs="Arial"/>
          <w:sz w:val="24"/>
          <w:szCs w:val="24"/>
        </w:rPr>
      </w:pPr>
      <w:r w:rsidRPr="00D7220B">
        <w:rPr>
          <w:rFonts w:ascii="Arial" w:hAnsi="Arial" w:cs="Arial"/>
          <w:sz w:val="24"/>
          <w:szCs w:val="24"/>
        </w:rPr>
        <w:t xml:space="preserve">Lombardi, E., Traficante, D., Giorgetti, M., Vernice, M., Bettoni, R., &amp; Offredi, I. (2019). The </w:t>
      </w:r>
      <w:r w:rsidR="00A611DE">
        <w:rPr>
          <w:rFonts w:ascii="Arial" w:hAnsi="Arial" w:cs="Arial"/>
          <w:sz w:val="24"/>
          <w:szCs w:val="24"/>
        </w:rPr>
        <w:t>Impact of School Climate on W</w:t>
      </w:r>
      <w:r w:rsidRPr="00D7220B">
        <w:rPr>
          <w:rFonts w:ascii="Arial" w:hAnsi="Arial" w:cs="Arial"/>
          <w:sz w:val="24"/>
          <w:szCs w:val="24"/>
        </w:rPr>
        <w:t>ell-</w:t>
      </w:r>
      <w:r w:rsidR="00A611DE">
        <w:rPr>
          <w:rFonts w:ascii="Arial" w:hAnsi="Arial" w:cs="Arial"/>
          <w:sz w:val="24"/>
          <w:szCs w:val="24"/>
        </w:rPr>
        <w:t>being Experience and School Engagement: A Study with High-S</w:t>
      </w:r>
      <w:r w:rsidRPr="00D7220B">
        <w:rPr>
          <w:rFonts w:ascii="Arial" w:hAnsi="Arial" w:cs="Arial"/>
          <w:sz w:val="24"/>
          <w:szCs w:val="24"/>
        </w:rPr>
        <w:t>chool</w:t>
      </w:r>
      <w:r w:rsidR="00A611DE">
        <w:rPr>
          <w:rFonts w:ascii="Arial" w:hAnsi="Arial" w:cs="Arial"/>
          <w:sz w:val="24"/>
          <w:szCs w:val="24"/>
        </w:rPr>
        <w:t xml:space="preserve"> S</w:t>
      </w:r>
      <w:r w:rsidRPr="00D7220B">
        <w:rPr>
          <w:rFonts w:ascii="Arial" w:hAnsi="Arial" w:cs="Arial"/>
          <w:sz w:val="24"/>
          <w:szCs w:val="24"/>
        </w:rPr>
        <w:t>tud</w:t>
      </w:r>
      <w:r w:rsidR="00142B75" w:rsidRPr="00D7220B">
        <w:rPr>
          <w:rFonts w:ascii="Arial" w:hAnsi="Arial" w:cs="Arial"/>
          <w:sz w:val="24"/>
          <w:szCs w:val="24"/>
        </w:rPr>
        <w:t xml:space="preserve">ents. </w:t>
      </w:r>
      <w:r w:rsidR="00142B75" w:rsidRPr="00D7220B">
        <w:rPr>
          <w:rFonts w:ascii="Arial" w:hAnsi="Arial" w:cs="Arial"/>
          <w:i/>
          <w:sz w:val="24"/>
          <w:szCs w:val="24"/>
        </w:rPr>
        <w:t>Frontiers in Psychology</w:t>
      </w:r>
      <w:r w:rsidR="00142B75" w:rsidRPr="00D7220B">
        <w:rPr>
          <w:rFonts w:ascii="Arial" w:hAnsi="Arial" w:cs="Arial"/>
          <w:sz w:val="24"/>
          <w:szCs w:val="24"/>
        </w:rPr>
        <w:t xml:space="preserve">, </w:t>
      </w:r>
      <w:r w:rsidRPr="00D7220B">
        <w:rPr>
          <w:rFonts w:ascii="Arial" w:hAnsi="Arial" w:cs="Arial"/>
          <w:sz w:val="24"/>
          <w:szCs w:val="24"/>
        </w:rPr>
        <w:t>10, 2482. https://doi.org/10.3389/fpsyg.2019.02482</w:t>
      </w:r>
    </w:p>
    <w:p w14:paraId="371EB0C4" w14:textId="77777777" w:rsidR="00A611DE" w:rsidRDefault="00A611DE" w:rsidP="00D7220B">
      <w:pPr>
        <w:spacing w:after="0" w:line="240" w:lineRule="auto"/>
        <w:jc w:val="both"/>
        <w:rPr>
          <w:rFonts w:ascii="Arial" w:hAnsi="Arial" w:cs="Arial"/>
          <w:sz w:val="24"/>
          <w:szCs w:val="24"/>
        </w:rPr>
      </w:pPr>
    </w:p>
    <w:p w14:paraId="2F702A04" w14:textId="77777777" w:rsidR="00142B75"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Louis, K. S., Marks, H. M.,</w:t>
      </w:r>
      <w:r w:rsidR="00A611DE">
        <w:rPr>
          <w:rFonts w:ascii="Arial" w:hAnsi="Arial" w:cs="Arial"/>
          <w:sz w:val="24"/>
          <w:szCs w:val="24"/>
        </w:rPr>
        <w:t xml:space="preserve"> &amp; Kruse, S. (1996). Teachers’ P</w:t>
      </w:r>
      <w:r w:rsidRPr="00D7220B">
        <w:rPr>
          <w:rFonts w:ascii="Arial" w:hAnsi="Arial" w:cs="Arial"/>
          <w:sz w:val="24"/>
          <w:szCs w:val="24"/>
        </w:rPr>
        <w:t xml:space="preserve">rofessional </w:t>
      </w:r>
      <w:r w:rsidR="00A611DE">
        <w:rPr>
          <w:rFonts w:ascii="Arial" w:hAnsi="Arial" w:cs="Arial"/>
          <w:sz w:val="24"/>
          <w:szCs w:val="24"/>
        </w:rPr>
        <w:t>Community</w:t>
      </w:r>
      <w:r w:rsidRPr="00D7220B">
        <w:rPr>
          <w:rFonts w:ascii="Arial" w:hAnsi="Arial" w:cs="Arial"/>
          <w:sz w:val="24"/>
          <w:szCs w:val="24"/>
        </w:rPr>
        <w:t xml:space="preserve"> in </w:t>
      </w:r>
    </w:p>
    <w:p w14:paraId="7D08BAFC" w14:textId="77777777" w:rsidR="00C17C0B" w:rsidRPr="00D7220B" w:rsidRDefault="00A611DE" w:rsidP="00A611DE">
      <w:pPr>
        <w:spacing w:after="0" w:line="240" w:lineRule="auto"/>
        <w:jc w:val="both"/>
        <w:rPr>
          <w:rFonts w:ascii="Arial" w:hAnsi="Arial" w:cs="Arial"/>
          <w:sz w:val="24"/>
          <w:szCs w:val="24"/>
        </w:rPr>
      </w:pPr>
      <w:r>
        <w:rPr>
          <w:rFonts w:ascii="Arial" w:hAnsi="Arial" w:cs="Arial"/>
          <w:sz w:val="24"/>
          <w:szCs w:val="24"/>
        </w:rPr>
        <w:t>Restructuring S</w:t>
      </w:r>
      <w:r w:rsidR="00D5242A" w:rsidRPr="00D7220B">
        <w:rPr>
          <w:rFonts w:ascii="Arial" w:hAnsi="Arial" w:cs="Arial"/>
          <w:sz w:val="24"/>
          <w:szCs w:val="24"/>
        </w:rPr>
        <w:t xml:space="preserve">chools. </w:t>
      </w:r>
      <w:r w:rsidR="00D5242A" w:rsidRPr="00D7220B">
        <w:rPr>
          <w:rFonts w:ascii="Arial" w:hAnsi="Arial" w:cs="Arial"/>
          <w:i/>
          <w:sz w:val="24"/>
          <w:szCs w:val="24"/>
        </w:rPr>
        <w:t>American</w:t>
      </w:r>
      <w:r w:rsidR="00142B75" w:rsidRPr="00D7220B">
        <w:rPr>
          <w:rFonts w:ascii="Arial" w:hAnsi="Arial" w:cs="Arial"/>
          <w:i/>
          <w:sz w:val="24"/>
          <w:szCs w:val="24"/>
        </w:rPr>
        <w:t xml:space="preserve"> Educational Research Journal</w:t>
      </w:r>
      <w:r w:rsidR="00142B75" w:rsidRPr="00D7220B">
        <w:rPr>
          <w:rFonts w:ascii="Arial" w:hAnsi="Arial" w:cs="Arial"/>
          <w:sz w:val="24"/>
          <w:szCs w:val="24"/>
        </w:rPr>
        <w:t xml:space="preserve">, </w:t>
      </w:r>
      <w:r w:rsidR="00D5242A" w:rsidRPr="00D7220B">
        <w:rPr>
          <w:rFonts w:ascii="Arial" w:hAnsi="Arial" w:cs="Arial"/>
          <w:sz w:val="24"/>
          <w:szCs w:val="24"/>
        </w:rPr>
        <w:t>33</w:t>
      </w:r>
      <w:r w:rsidR="00142B75" w:rsidRPr="00D7220B">
        <w:rPr>
          <w:rFonts w:ascii="Arial" w:hAnsi="Arial" w:cs="Arial"/>
          <w:sz w:val="24"/>
          <w:szCs w:val="24"/>
        </w:rPr>
        <w:t xml:space="preserve"> </w:t>
      </w:r>
      <w:r w:rsidR="00D5242A" w:rsidRPr="00D7220B">
        <w:rPr>
          <w:rFonts w:ascii="Arial" w:hAnsi="Arial" w:cs="Arial"/>
          <w:sz w:val="24"/>
          <w:szCs w:val="24"/>
        </w:rPr>
        <w:t>(4), 757–798. https://doi.org/10.3102/00028312033004757</w:t>
      </w:r>
    </w:p>
    <w:p w14:paraId="52FA4617" w14:textId="77777777" w:rsidR="00A611DE" w:rsidRDefault="00A611DE" w:rsidP="00D7220B">
      <w:pPr>
        <w:spacing w:after="0" w:line="240" w:lineRule="auto"/>
        <w:jc w:val="both"/>
        <w:rPr>
          <w:rFonts w:ascii="Arial" w:hAnsi="Arial" w:cs="Arial"/>
          <w:sz w:val="24"/>
          <w:szCs w:val="24"/>
        </w:rPr>
      </w:pPr>
    </w:p>
    <w:p w14:paraId="665FB399" w14:textId="77777777" w:rsidR="00C17C0B" w:rsidRPr="00D7220B" w:rsidRDefault="00D5242A" w:rsidP="00A611DE">
      <w:pPr>
        <w:spacing w:after="0" w:line="240" w:lineRule="auto"/>
        <w:jc w:val="both"/>
        <w:rPr>
          <w:rFonts w:ascii="Arial" w:hAnsi="Arial" w:cs="Arial"/>
          <w:sz w:val="24"/>
          <w:szCs w:val="24"/>
        </w:rPr>
      </w:pPr>
      <w:r w:rsidRPr="00D7220B">
        <w:rPr>
          <w:rFonts w:ascii="Arial" w:hAnsi="Arial" w:cs="Arial"/>
          <w:sz w:val="24"/>
          <w:szCs w:val="24"/>
        </w:rPr>
        <w:t xml:space="preserve">MacNeil, A. J., Prater, </w:t>
      </w:r>
      <w:r w:rsidR="00A611DE">
        <w:rPr>
          <w:rFonts w:ascii="Arial" w:hAnsi="Arial" w:cs="Arial"/>
          <w:sz w:val="24"/>
          <w:szCs w:val="24"/>
        </w:rPr>
        <w:t>D. L., &amp; Busch, S. (2009). The Effects of School Culture and C</w:t>
      </w:r>
      <w:r w:rsidRPr="00D7220B">
        <w:rPr>
          <w:rFonts w:ascii="Arial" w:hAnsi="Arial" w:cs="Arial"/>
          <w:sz w:val="24"/>
          <w:szCs w:val="24"/>
        </w:rPr>
        <w:t xml:space="preserve">limate on </w:t>
      </w:r>
      <w:r w:rsidR="00A611DE">
        <w:rPr>
          <w:rFonts w:ascii="Arial" w:hAnsi="Arial" w:cs="Arial"/>
          <w:sz w:val="24"/>
          <w:szCs w:val="24"/>
        </w:rPr>
        <w:t>Student A</w:t>
      </w:r>
      <w:r w:rsidRPr="00D7220B">
        <w:rPr>
          <w:rFonts w:ascii="Arial" w:hAnsi="Arial" w:cs="Arial"/>
          <w:sz w:val="24"/>
          <w:szCs w:val="24"/>
        </w:rPr>
        <w:t xml:space="preserve">chievement. </w:t>
      </w:r>
      <w:r w:rsidRPr="00D7220B">
        <w:rPr>
          <w:rFonts w:ascii="Arial" w:hAnsi="Arial" w:cs="Arial"/>
          <w:i/>
          <w:sz w:val="24"/>
          <w:szCs w:val="24"/>
        </w:rPr>
        <w:t>International Journal of Leadership in Education</w:t>
      </w:r>
      <w:r w:rsidR="00142B75" w:rsidRPr="00D7220B">
        <w:rPr>
          <w:rFonts w:ascii="Arial" w:hAnsi="Arial" w:cs="Arial"/>
          <w:sz w:val="24"/>
          <w:szCs w:val="24"/>
        </w:rPr>
        <w:t xml:space="preserve">, </w:t>
      </w:r>
      <w:r w:rsidRPr="00D7220B">
        <w:rPr>
          <w:rFonts w:ascii="Arial" w:hAnsi="Arial" w:cs="Arial"/>
          <w:sz w:val="24"/>
          <w:szCs w:val="24"/>
        </w:rPr>
        <w:t>12</w:t>
      </w:r>
      <w:r w:rsidR="00142B75" w:rsidRPr="00D7220B">
        <w:rPr>
          <w:rFonts w:ascii="Arial" w:hAnsi="Arial" w:cs="Arial"/>
          <w:sz w:val="24"/>
          <w:szCs w:val="24"/>
        </w:rPr>
        <w:t xml:space="preserve"> </w:t>
      </w:r>
      <w:r w:rsidRPr="00D7220B">
        <w:rPr>
          <w:rFonts w:ascii="Arial" w:hAnsi="Arial" w:cs="Arial"/>
          <w:sz w:val="24"/>
          <w:szCs w:val="24"/>
        </w:rPr>
        <w:t>(1), 73–84. https://doi.org/10.1080/13603120802372270</w:t>
      </w:r>
    </w:p>
    <w:p w14:paraId="0079ED39" w14:textId="77777777" w:rsidR="00A611DE" w:rsidRDefault="00A611DE" w:rsidP="00D7220B">
      <w:pPr>
        <w:spacing w:after="0" w:line="240" w:lineRule="auto"/>
        <w:jc w:val="both"/>
        <w:rPr>
          <w:rFonts w:ascii="Arial" w:hAnsi="Arial" w:cs="Arial"/>
          <w:sz w:val="24"/>
          <w:szCs w:val="24"/>
        </w:rPr>
      </w:pPr>
    </w:p>
    <w:p w14:paraId="608E41C0" w14:textId="77777777" w:rsidR="00142B75" w:rsidRPr="00D7220B" w:rsidRDefault="00D5242A" w:rsidP="00D7220B">
      <w:pPr>
        <w:spacing w:after="0" w:line="240" w:lineRule="auto"/>
        <w:jc w:val="both"/>
        <w:rPr>
          <w:rFonts w:ascii="Arial" w:hAnsi="Arial" w:cs="Arial"/>
          <w:i/>
          <w:sz w:val="24"/>
          <w:szCs w:val="24"/>
        </w:rPr>
      </w:pPr>
      <w:r w:rsidRPr="00D7220B">
        <w:rPr>
          <w:rFonts w:ascii="Arial" w:hAnsi="Arial" w:cs="Arial"/>
          <w:sz w:val="24"/>
          <w:szCs w:val="24"/>
        </w:rPr>
        <w:t xml:space="preserve">Mathews, L., &amp; Savarimuthu, T. R. (2020). 21st-century education skills. </w:t>
      </w:r>
      <w:r w:rsidRPr="00D7220B">
        <w:rPr>
          <w:rFonts w:ascii="Arial" w:hAnsi="Arial" w:cs="Arial"/>
          <w:i/>
          <w:sz w:val="24"/>
          <w:szCs w:val="24"/>
        </w:rPr>
        <w:t xml:space="preserve">Asian Journal of </w:t>
      </w:r>
    </w:p>
    <w:p w14:paraId="4C7D5CBC"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i/>
          <w:sz w:val="24"/>
          <w:szCs w:val="24"/>
        </w:rPr>
        <w:t>Education and Social Studies</w:t>
      </w:r>
      <w:r w:rsidRPr="00D7220B">
        <w:rPr>
          <w:rFonts w:ascii="Arial" w:hAnsi="Arial" w:cs="Arial"/>
          <w:sz w:val="24"/>
          <w:szCs w:val="24"/>
        </w:rPr>
        <w:t>, 9 (1), 12–19.</w:t>
      </w:r>
    </w:p>
    <w:p w14:paraId="005B7284" w14:textId="77777777" w:rsidR="00A611DE" w:rsidRDefault="00A611DE" w:rsidP="00D7220B">
      <w:pPr>
        <w:spacing w:after="0" w:line="240" w:lineRule="auto"/>
        <w:jc w:val="both"/>
        <w:rPr>
          <w:rFonts w:ascii="Arial" w:hAnsi="Arial" w:cs="Arial"/>
          <w:sz w:val="24"/>
          <w:szCs w:val="24"/>
        </w:rPr>
      </w:pPr>
    </w:p>
    <w:p w14:paraId="4F44D9BD" w14:textId="77777777" w:rsidR="00C17C0B" w:rsidRPr="00D7220B" w:rsidRDefault="00D5242A" w:rsidP="00A611DE">
      <w:pPr>
        <w:spacing w:after="0" w:line="240" w:lineRule="auto"/>
        <w:jc w:val="both"/>
        <w:rPr>
          <w:rFonts w:ascii="Arial" w:hAnsi="Arial" w:cs="Arial"/>
          <w:sz w:val="24"/>
          <w:szCs w:val="24"/>
        </w:rPr>
      </w:pPr>
      <w:r w:rsidRPr="00D7220B">
        <w:rPr>
          <w:rFonts w:ascii="Arial" w:hAnsi="Arial" w:cs="Arial"/>
          <w:sz w:val="24"/>
          <w:szCs w:val="24"/>
        </w:rPr>
        <w:t>Maxwell, S., Reynolds, K. J., Lee, E., &amp; Bromhead, D. (2017)</w:t>
      </w:r>
      <w:r w:rsidR="002142E7">
        <w:rPr>
          <w:rFonts w:ascii="Arial" w:hAnsi="Arial" w:cs="Arial"/>
          <w:sz w:val="24"/>
          <w:szCs w:val="24"/>
        </w:rPr>
        <w:t>. School belonging and academic </w:t>
      </w:r>
      <w:r w:rsidR="00A611DE">
        <w:rPr>
          <w:rFonts w:ascii="Arial" w:hAnsi="Arial" w:cs="Arial"/>
          <w:sz w:val="24"/>
          <w:szCs w:val="24"/>
        </w:rPr>
        <w:t>O</w:t>
      </w:r>
      <w:r w:rsidRPr="00D7220B">
        <w:rPr>
          <w:rFonts w:ascii="Arial" w:hAnsi="Arial" w:cs="Arial"/>
          <w:sz w:val="24"/>
          <w:szCs w:val="24"/>
        </w:rPr>
        <w:t>utcomes</w:t>
      </w:r>
      <w:r w:rsidR="002142E7">
        <w:rPr>
          <w:rFonts w:ascii="Arial" w:hAnsi="Arial" w:cs="Arial"/>
          <w:i/>
          <w:sz w:val="24"/>
          <w:szCs w:val="24"/>
        </w:rPr>
        <w:t>. </w:t>
      </w:r>
      <w:r w:rsidRPr="00D7220B">
        <w:rPr>
          <w:rFonts w:ascii="Arial" w:hAnsi="Arial" w:cs="Arial"/>
          <w:i/>
          <w:sz w:val="24"/>
          <w:szCs w:val="24"/>
        </w:rPr>
        <w:t>Journal of School Psychology</w:t>
      </w:r>
      <w:r w:rsidR="00142B75" w:rsidRPr="00D7220B">
        <w:rPr>
          <w:rFonts w:ascii="Arial" w:hAnsi="Arial" w:cs="Arial"/>
          <w:sz w:val="24"/>
          <w:szCs w:val="24"/>
        </w:rPr>
        <w:t xml:space="preserve">, </w:t>
      </w:r>
      <w:r w:rsidRPr="00D7220B">
        <w:rPr>
          <w:rFonts w:ascii="Arial" w:hAnsi="Arial" w:cs="Arial"/>
          <w:sz w:val="24"/>
          <w:szCs w:val="24"/>
        </w:rPr>
        <w:t>65, 93–109. https://doi.org/10.1016/j.jsp.2017.07.003</w:t>
      </w:r>
    </w:p>
    <w:p w14:paraId="1F6212D0" w14:textId="77777777" w:rsidR="002142E7" w:rsidRDefault="002142E7" w:rsidP="00D7220B">
      <w:pPr>
        <w:spacing w:after="0" w:line="240" w:lineRule="auto"/>
        <w:jc w:val="both"/>
        <w:rPr>
          <w:rFonts w:ascii="Arial" w:hAnsi="Arial" w:cs="Arial"/>
          <w:sz w:val="24"/>
          <w:szCs w:val="24"/>
        </w:rPr>
      </w:pPr>
    </w:p>
    <w:p w14:paraId="10786DB0" w14:textId="77777777" w:rsidR="00C17C0B" w:rsidRPr="00D7220B" w:rsidRDefault="00D5242A" w:rsidP="002142E7">
      <w:pPr>
        <w:spacing w:after="0" w:line="240" w:lineRule="auto"/>
        <w:jc w:val="both"/>
        <w:rPr>
          <w:rFonts w:ascii="Arial" w:hAnsi="Arial" w:cs="Arial"/>
          <w:sz w:val="24"/>
          <w:szCs w:val="24"/>
        </w:rPr>
      </w:pPr>
      <w:r w:rsidRPr="00D7220B">
        <w:rPr>
          <w:rFonts w:ascii="Arial" w:hAnsi="Arial" w:cs="Arial"/>
          <w:sz w:val="24"/>
          <w:szCs w:val="24"/>
        </w:rPr>
        <w:t>Milam, A. J., Leaf, P. J., &amp; Furr-Hold</w:t>
      </w:r>
      <w:r w:rsidR="002142E7">
        <w:rPr>
          <w:rFonts w:ascii="Arial" w:hAnsi="Arial" w:cs="Arial"/>
          <w:sz w:val="24"/>
          <w:szCs w:val="24"/>
        </w:rPr>
        <w:t>en, C. D. M. (2010). Perceived S</w:t>
      </w:r>
      <w:r w:rsidRPr="00D7220B">
        <w:rPr>
          <w:rFonts w:ascii="Arial" w:hAnsi="Arial" w:cs="Arial"/>
          <w:sz w:val="24"/>
          <w:szCs w:val="24"/>
        </w:rPr>
        <w:t xml:space="preserve">chool and </w:t>
      </w:r>
      <w:proofErr w:type="spellStart"/>
      <w:r w:rsidR="002142E7">
        <w:rPr>
          <w:rFonts w:ascii="Arial" w:hAnsi="Arial" w:cs="Arial"/>
          <w:sz w:val="24"/>
          <w:szCs w:val="24"/>
        </w:rPr>
        <w:t>N</w:t>
      </w:r>
      <w:r w:rsidR="00EC7C01">
        <w:rPr>
          <w:rFonts w:ascii="Arial" w:hAnsi="Arial" w:cs="Arial"/>
          <w:sz w:val="24"/>
          <w:szCs w:val="24"/>
        </w:rPr>
        <w:t>eighbourhood</w:t>
      </w:r>
      <w:proofErr w:type="spellEnd"/>
      <w:r w:rsidR="002142E7">
        <w:rPr>
          <w:rFonts w:ascii="Arial" w:hAnsi="Arial" w:cs="Arial"/>
          <w:sz w:val="24"/>
          <w:szCs w:val="24"/>
        </w:rPr>
        <w:t xml:space="preserve"> </w:t>
      </w:r>
      <w:r w:rsidR="00EC7C01">
        <w:rPr>
          <w:rFonts w:ascii="Arial" w:hAnsi="Arial" w:cs="Arial"/>
          <w:sz w:val="24"/>
          <w:szCs w:val="24"/>
        </w:rPr>
        <w:t>Safe</w:t>
      </w:r>
      <w:r w:rsidR="002142E7">
        <w:rPr>
          <w:rFonts w:ascii="Arial" w:hAnsi="Arial" w:cs="Arial"/>
          <w:sz w:val="24"/>
          <w:szCs w:val="24"/>
        </w:rPr>
        <w:t xml:space="preserve">ty, </w:t>
      </w:r>
      <w:proofErr w:type="spellStart"/>
      <w:r w:rsidR="002142E7">
        <w:rPr>
          <w:rFonts w:ascii="Arial" w:hAnsi="Arial" w:cs="Arial"/>
          <w:sz w:val="24"/>
          <w:szCs w:val="24"/>
        </w:rPr>
        <w:t>Neighbourhood</w:t>
      </w:r>
      <w:proofErr w:type="spellEnd"/>
      <w:r w:rsidR="002142E7">
        <w:rPr>
          <w:rFonts w:ascii="Arial" w:hAnsi="Arial" w:cs="Arial"/>
          <w:sz w:val="24"/>
          <w:szCs w:val="24"/>
        </w:rPr>
        <w:t xml:space="preserve"> Violence, and Academic Achievement among Urban S</w:t>
      </w:r>
      <w:r w:rsidR="00EC7C01">
        <w:rPr>
          <w:rFonts w:ascii="Arial" w:hAnsi="Arial" w:cs="Arial"/>
          <w:sz w:val="24"/>
          <w:szCs w:val="24"/>
        </w:rPr>
        <w:t>choolchildren</w:t>
      </w:r>
      <w:r w:rsidR="00142B75" w:rsidRPr="00D7220B">
        <w:rPr>
          <w:rFonts w:ascii="Arial" w:hAnsi="Arial" w:cs="Arial"/>
          <w:sz w:val="24"/>
          <w:szCs w:val="24"/>
        </w:rPr>
        <w:t xml:space="preserve">. </w:t>
      </w:r>
      <w:r w:rsidR="00142B75" w:rsidRPr="00D7220B">
        <w:rPr>
          <w:rFonts w:ascii="Arial" w:hAnsi="Arial" w:cs="Arial"/>
          <w:i/>
          <w:sz w:val="24"/>
          <w:szCs w:val="24"/>
        </w:rPr>
        <w:t>The Urban Review</w:t>
      </w:r>
      <w:r w:rsidR="00142B75" w:rsidRPr="00D7220B">
        <w:rPr>
          <w:rFonts w:ascii="Arial" w:hAnsi="Arial" w:cs="Arial"/>
          <w:sz w:val="24"/>
          <w:szCs w:val="24"/>
        </w:rPr>
        <w:t xml:space="preserve">, </w:t>
      </w:r>
      <w:r w:rsidRPr="00D7220B">
        <w:rPr>
          <w:rFonts w:ascii="Arial" w:hAnsi="Arial" w:cs="Arial"/>
          <w:sz w:val="24"/>
          <w:szCs w:val="24"/>
        </w:rPr>
        <w:t>42</w:t>
      </w:r>
      <w:r w:rsidR="00142B75" w:rsidRPr="00D7220B">
        <w:rPr>
          <w:rFonts w:ascii="Arial" w:hAnsi="Arial" w:cs="Arial"/>
          <w:sz w:val="24"/>
          <w:szCs w:val="24"/>
        </w:rPr>
        <w:t xml:space="preserve"> </w:t>
      </w:r>
      <w:r w:rsidRPr="00D7220B">
        <w:rPr>
          <w:rFonts w:ascii="Arial" w:hAnsi="Arial" w:cs="Arial"/>
          <w:sz w:val="24"/>
          <w:szCs w:val="24"/>
        </w:rPr>
        <w:t>(5), 458–467. https://doi.org/10.1007/s11256-010-0165-7</w:t>
      </w:r>
    </w:p>
    <w:p w14:paraId="7714AE49" w14:textId="77777777" w:rsidR="002142E7" w:rsidRDefault="002142E7" w:rsidP="00D7220B">
      <w:pPr>
        <w:spacing w:after="0" w:line="240" w:lineRule="auto"/>
        <w:jc w:val="both"/>
        <w:rPr>
          <w:rFonts w:ascii="Arial" w:hAnsi="Arial" w:cs="Arial"/>
          <w:sz w:val="24"/>
          <w:szCs w:val="24"/>
        </w:rPr>
      </w:pPr>
    </w:p>
    <w:p w14:paraId="6F6F0CF2" w14:textId="77777777" w:rsidR="00C17C0B" w:rsidRPr="00D7220B" w:rsidRDefault="00D5242A" w:rsidP="002142E7">
      <w:pPr>
        <w:spacing w:after="0" w:line="240" w:lineRule="auto"/>
        <w:jc w:val="both"/>
        <w:rPr>
          <w:rFonts w:ascii="Arial" w:hAnsi="Arial" w:cs="Arial"/>
          <w:sz w:val="24"/>
          <w:szCs w:val="24"/>
        </w:rPr>
      </w:pPr>
      <w:r w:rsidRPr="00D7220B">
        <w:rPr>
          <w:rFonts w:ascii="Arial" w:hAnsi="Arial" w:cs="Arial"/>
          <w:sz w:val="24"/>
          <w:szCs w:val="24"/>
        </w:rPr>
        <w:t>Mugenda, O. M., &amp; Mugenda, A. G. (1999). Rese</w:t>
      </w:r>
      <w:r w:rsidR="002142E7">
        <w:rPr>
          <w:rFonts w:ascii="Arial" w:hAnsi="Arial" w:cs="Arial"/>
          <w:sz w:val="24"/>
          <w:szCs w:val="24"/>
        </w:rPr>
        <w:t>arch Methods: Quantitative and Q</w:t>
      </w:r>
      <w:r w:rsidRPr="00D7220B">
        <w:rPr>
          <w:rFonts w:ascii="Arial" w:hAnsi="Arial" w:cs="Arial"/>
          <w:sz w:val="24"/>
          <w:szCs w:val="24"/>
        </w:rPr>
        <w:t>ualitative</w:t>
      </w:r>
      <w:r w:rsidR="002142E7">
        <w:rPr>
          <w:rFonts w:ascii="Arial" w:hAnsi="Arial" w:cs="Arial"/>
          <w:sz w:val="24"/>
          <w:szCs w:val="24"/>
        </w:rPr>
        <w:t xml:space="preserve"> A</w:t>
      </w:r>
      <w:r w:rsidRPr="00D7220B">
        <w:rPr>
          <w:rFonts w:ascii="Arial" w:hAnsi="Arial" w:cs="Arial"/>
          <w:sz w:val="24"/>
          <w:szCs w:val="24"/>
        </w:rPr>
        <w:t>pproaches. Acts Press.</w:t>
      </w:r>
    </w:p>
    <w:p w14:paraId="12508572" w14:textId="77777777" w:rsidR="002142E7" w:rsidRDefault="002142E7" w:rsidP="00D7220B">
      <w:pPr>
        <w:spacing w:after="0" w:line="240" w:lineRule="auto"/>
        <w:jc w:val="both"/>
        <w:rPr>
          <w:rFonts w:ascii="Arial" w:hAnsi="Arial" w:cs="Arial"/>
          <w:sz w:val="24"/>
          <w:szCs w:val="24"/>
        </w:rPr>
      </w:pPr>
    </w:p>
    <w:p w14:paraId="361C1EB0"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Ning, W., Zhao, X</w:t>
      </w:r>
      <w:r w:rsidR="002142E7">
        <w:rPr>
          <w:rFonts w:ascii="Arial" w:hAnsi="Arial" w:cs="Arial"/>
          <w:sz w:val="24"/>
          <w:szCs w:val="24"/>
        </w:rPr>
        <w:t>., &amp; Li, F. (2025). Structural E</w:t>
      </w:r>
      <w:r w:rsidRPr="00D7220B">
        <w:rPr>
          <w:rFonts w:ascii="Arial" w:hAnsi="Arial" w:cs="Arial"/>
          <w:sz w:val="24"/>
          <w:szCs w:val="24"/>
        </w:rPr>
        <w:t xml:space="preserve">quation </w:t>
      </w:r>
      <w:r w:rsidR="002142E7">
        <w:rPr>
          <w:rFonts w:ascii="Arial" w:hAnsi="Arial" w:cs="Arial"/>
          <w:sz w:val="24"/>
          <w:szCs w:val="24"/>
        </w:rPr>
        <w:t>Modelling</w:t>
      </w:r>
      <w:r w:rsidRPr="00D7220B">
        <w:rPr>
          <w:rFonts w:ascii="Arial" w:hAnsi="Arial" w:cs="Arial"/>
          <w:sz w:val="24"/>
          <w:szCs w:val="24"/>
        </w:rPr>
        <w:t xml:space="preserve"> with STATA. Springer.</w:t>
      </w:r>
    </w:p>
    <w:p w14:paraId="6FD20938"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Ogunleye, T. O., &amp; Adeyemi, A. O. (2023). School Climate, Culture, and Student Outcomes. </w:t>
      </w:r>
      <w:r w:rsidRPr="00D7220B">
        <w:rPr>
          <w:rFonts w:ascii="Arial" w:hAnsi="Arial" w:cs="Arial"/>
          <w:i/>
          <w:sz w:val="24"/>
          <w:szCs w:val="24"/>
        </w:rPr>
        <w:t>African Journal of Educational Research</w:t>
      </w:r>
      <w:r w:rsidRPr="00D7220B">
        <w:rPr>
          <w:rFonts w:ascii="Arial" w:hAnsi="Arial" w:cs="Arial"/>
          <w:sz w:val="24"/>
          <w:szCs w:val="24"/>
        </w:rPr>
        <w:t>, 11(2), 78–90.</w:t>
      </w:r>
    </w:p>
    <w:p w14:paraId="67B8ADE4" w14:textId="77777777" w:rsidR="002142E7" w:rsidRDefault="002142E7" w:rsidP="00D7220B">
      <w:pPr>
        <w:spacing w:after="0" w:line="240" w:lineRule="auto"/>
        <w:jc w:val="both"/>
        <w:rPr>
          <w:rFonts w:ascii="Arial" w:hAnsi="Arial" w:cs="Arial"/>
          <w:sz w:val="24"/>
          <w:szCs w:val="24"/>
        </w:rPr>
      </w:pPr>
    </w:p>
    <w:p w14:paraId="32F3EA1B" w14:textId="77777777" w:rsidR="00C17C0B" w:rsidRPr="002142E7" w:rsidRDefault="00D5242A" w:rsidP="00D7220B">
      <w:pPr>
        <w:spacing w:after="0" w:line="240" w:lineRule="auto"/>
        <w:jc w:val="both"/>
        <w:rPr>
          <w:rFonts w:ascii="Arial" w:hAnsi="Arial" w:cs="Arial"/>
          <w:i/>
          <w:sz w:val="24"/>
          <w:szCs w:val="24"/>
        </w:rPr>
      </w:pPr>
      <w:r w:rsidRPr="00D7220B">
        <w:rPr>
          <w:rFonts w:ascii="Arial" w:hAnsi="Arial" w:cs="Arial"/>
          <w:sz w:val="24"/>
          <w:szCs w:val="24"/>
        </w:rPr>
        <w:t>O</w:t>
      </w:r>
      <w:r w:rsidR="005468B2">
        <w:rPr>
          <w:rFonts w:ascii="Arial" w:hAnsi="Arial" w:cs="Arial"/>
          <w:sz w:val="24"/>
          <w:szCs w:val="24"/>
        </w:rPr>
        <w:t>sterman, K. F. (2000). Students’</w:t>
      </w:r>
      <w:r w:rsidRPr="00D7220B">
        <w:rPr>
          <w:rFonts w:ascii="Arial" w:hAnsi="Arial" w:cs="Arial"/>
          <w:sz w:val="24"/>
          <w:szCs w:val="24"/>
        </w:rPr>
        <w:t xml:space="preserve"> need for belonging in the school community. </w:t>
      </w:r>
      <w:r w:rsidRPr="00D7220B">
        <w:rPr>
          <w:rFonts w:ascii="Arial" w:hAnsi="Arial" w:cs="Arial"/>
          <w:i/>
          <w:sz w:val="24"/>
          <w:szCs w:val="24"/>
        </w:rPr>
        <w:t>Review of Educational Research</w:t>
      </w:r>
      <w:r w:rsidRPr="00D7220B">
        <w:rPr>
          <w:rFonts w:ascii="Arial" w:hAnsi="Arial" w:cs="Arial"/>
          <w:sz w:val="24"/>
          <w:szCs w:val="24"/>
        </w:rPr>
        <w:t>, 70 (3), 323–367. https://doi.org/10.3102/00346543070003323</w:t>
      </w:r>
    </w:p>
    <w:p w14:paraId="5268E553" w14:textId="77777777" w:rsidR="002142E7" w:rsidRDefault="002142E7" w:rsidP="00D7220B">
      <w:pPr>
        <w:spacing w:after="0" w:line="240" w:lineRule="auto"/>
        <w:jc w:val="both"/>
        <w:rPr>
          <w:rFonts w:ascii="Arial" w:hAnsi="Arial" w:cs="Arial"/>
          <w:sz w:val="24"/>
          <w:szCs w:val="24"/>
        </w:rPr>
      </w:pPr>
    </w:p>
    <w:p w14:paraId="1D3280FD" w14:textId="77777777" w:rsidR="00C17C0B" w:rsidRPr="00D7220B" w:rsidRDefault="002142E7" w:rsidP="00D7220B">
      <w:pPr>
        <w:spacing w:after="0" w:line="240" w:lineRule="auto"/>
        <w:jc w:val="both"/>
        <w:rPr>
          <w:rFonts w:ascii="Arial" w:hAnsi="Arial" w:cs="Arial"/>
          <w:sz w:val="24"/>
          <w:szCs w:val="24"/>
        </w:rPr>
      </w:pPr>
      <w:r>
        <w:rPr>
          <w:rFonts w:ascii="Arial" w:hAnsi="Arial" w:cs="Arial"/>
          <w:sz w:val="24"/>
          <w:szCs w:val="24"/>
        </w:rPr>
        <w:t xml:space="preserve">Pallant, J. (2013). </w:t>
      </w:r>
      <w:r w:rsidRPr="005468B2">
        <w:rPr>
          <w:rFonts w:ascii="Arial" w:hAnsi="Arial" w:cs="Arial"/>
          <w:i/>
          <w:sz w:val="24"/>
          <w:szCs w:val="24"/>
        </w:rPr>
        <w:t>SPSS Survival M</w:t>
      </w:r>
      <w:r w:rsidR="00D5242A" w:rsidRPr="005468B2">
        <w:rPr>
          <w:rFonts w:ascii="Arial" w:hAnsi="Arial" w:cs="Arial"/>
          <w:i/>
          <w:sz w:val="24"/>
          <w:szCs w:val="24"/>
        </w:rPr>
        <w:t>anual (5th ed.).</w:t>
      </w:r>
      <w:r w:rsidR="00D5242A" w:rsidRPr="00D7220B">
        <w:rPr>
          <w:rFonts w:ascii="Arial" w:hAnsi="Arial" w:cs="Arial"/>
          <w:sz w:val="24"/>
          <w:szCs w:val="24"/>
        </w:rPr>
        <w:t xml:space="preserve"> McGraw-Hill Education.</w:t>
      </w:r>
    </w:p>
    <w:p w14:paraId="358B299A" w14:textId="77777777" w:rsidR="002142E7" w:rsidRDefault="002142E7" w:rsidP="00D7220B">
      <w:pPr>
        <w:spacing w:after="0" w:line="240" w:lineRule="auto"/>
        <w:jc w:val="both"/>
        <w:rPr>
          <w:rFonts w:ascii="Arial" w:hAnsi="Arial" w:cs="Arial"/>
          <w:sz w:val="24"/>
          <w:szCs w:val="24"/>
        </w:rPr>
      </w:pPr>
    </w:p>
    <w:p w14:paraId="36C7BB8F" w14:textId="77777777" w:rsidR="00C17C0B" w:rsidRPr="00D7220B" w:rsidRDefault="002142E7" w:rsidP="00D7220B">
      <w:pPr>
        <w:spacing w:after="0" w:line="240" w:lineRule="auto"/>
        <w:jc w:val="both"/>
        <w:rPr>
          <w:rFonts w:ascii="Arial" w:hAnsi="Arial" w:cs="Arial"/>
          <w:sz w:val="24"/>
          <w:szCs w:val="24"/>
        </w:rPr>
      </w:pPr>
      <w:r>
        <w:rPr>
          <w:rFonts w:ascii="Arial" w:hAnsi="Arial" w:cs="Arial"/>
          <w:sz w:val="24"/>
          <w:szCs w:val="24"/>
        </w:rPr>
        <w:t>Raman, A. (2015). The R</w:t>
      </w:r>
      <w:r w:rsidR="00D5242A" w:rsidRPr="00D7220B">
        <w:rPr>
          <w:rFonts w:ascii="Arial" w:hAnsi="Arial" w:cs="Arial"/>
          <w:sz w:val="24"/>
          <w:szCs w:val="24"/>
        </w:rPr>
        <w:t xml:space="preserve">ole of </w:t>
      </w:r>
      <w:r>
        <w:rPr>
          <w:rFonts w:ascii="Arial" w:hAnsi="Arial" w:cs="Arial"/>
          <w:sz w:val="24"/>
          <w:szCs w:val="24"/>
        </w:rPr>
        <w:t>School Climate</w:t>
      </w:r>
      <w:r w:rsidR="00D5242A" w:rsidRPr="00D7220B">
        <w:rPr>
          <w:rFonts w:ascii="Arial" w:hAnsi="Arial" w:cs="Arial"/>
          <w:sz w:val="24"/>
          <w:szCs w:val="24"/>
        </w:rPr>
        <w:t xml:space="preserve">. </w:t>
      </w:r>
      <w:r w:rsidR="00D5242A" w:rsidRPr="00D7220B">
        <w:rPr>
          <w:rFonts w:ascii="Arial" w:hAnsi="Arial" w:cs="Arial"/>
          <w:i/>
          <w:sz w:val="24"/>
          <w:szCs w:val="24"/>
        </w:rPr>
        <w:t>Jo</w:t>
      </w:r>
      <w:r w:rsidR="00142B75" w:rsidRPr="00D7220B">
        <w:rPr>
          <w:rFonts w:ascii="Arial" w:hAnsi="Arial" w:cs="Arial"/>
          <w:i/>
          <w:sz w:val="24"/>
          <w:szCs w:val="24"/>
        </w:rPr>
        <w:t>urnal of Educational Practice</w:t>
      </w:r>
      <w:r w:rsidR="00142B75" w:rsidRPr="00D7220B">
        <w:rPr>
          <w:rFonts w:ascii="Arial" w:hAnsi="Arial" w:cs="Arial"/>
          <w:sz w:val="24"/>
          <w:szCs w:val="24"/>
        </w:rPr>
        <w:t xml:space="preserve">, </w:t>
      </w:r>
      <w:r w:rsidR="00D5242A" w:rsidRPr="00D7220B">
        <w:rPr>
          <w:rFonts w:ascii="Arial" w:hAnsi="Arial" w:cs="Arial"/>
          <w:sz w:val="24"/>
          <w:szCs w:val="24"/>
        </w:rPr>
        <w:t>6</w:t>
      </w:r>
      <w:r w:rsidR="00142B75" w:rsidRPr="00D7220B">
        <w:rPr>
          <w:rFonts w:ascii="Arial" w:hAnsi="Arial" w:cs="Arial"/>
          <w:sz w:val="24"/>
          <w:szCs w:val="24"/>
        </w:rPr>
        <w:t xml:space="preserve"> </w:t>
      </w:r>
      <w:r w:rsidR="00D5242A" w:rsidRPr="00D7220B">
        <w:rPr>
          <w:rFonts w:ascii="Arial" w:hAnsi="Arial" w:cs="Arial"/>
          <w:sz w:val="24"/>
          <w:szCs w:val="24"/>
        </w:rPr>
        <w:t>(10), 62–68.</w:t>
      </w:r>
    </w:p>
    <w:p w14:paraId="277322C9" w14:textId="77777777" w:rsidR="00C17C0B" w:rsidRPr="00D7220B" w:rsidRDefault="00D5242A" w:rsidP="002142E7">
      <w:pPr>
        <w:spacing w:after="0" w:line="240" w:lineRule="auto"/>
        <w:jc w:val="both"/>
        <w:rPr>
          <w:rFonts w:ascii="Arial" w:hAnsi="Arial" w:cs="Arial"/>
          <w:sz w:val="24"/>
          <w:szCs w:val="24"/>
        </w:rPr>
      </w:pPr>
      <w:r w:rsidRPr="00D7220B">
        <w:rPr>
          <w:rFonts w:ascii="Arial" w:hAnsi="Arial" w:cs="Arial"/>
          <w:sz w:val="24"/>
          <w:szCs w:val="24"/>
        </w:rPr>
        <w:t>Reynolds, K. J., Turner, J. C., &amp; Bransc</w:t>
      </w:r>
      <w:r w:rsidR="002142E7">
        <w:rPr>
          <w:rFonts w:ascii="Arial" w:hAnsi="Arial" w:cs="Arial"/>
          <w:sz w:val="24"/>
          <w:szCs w:val="24"/>
        </w:rPr>
        <w:t>ombe, N. R. (2017). Intergroup A</w:t>
      </w:r>
      <w:r w:rsidRPr="00D7220B">
        <w:rPr>
          <w:rFonts w:ascii="Arial" w:hAnsi="Arial" w:cs="Arial"/>
          <w:sz w:val="24"/>
          <w:szCs w:val="24"/>
        </w:rPr>
        <w:t xml:space="preserve">ttitudes and </w:t>
      </w:r>
      <w:r w:rsidR="002142E7">
        <w:rPr>
          <w:rFonts w:ascii="Arial" w:hAnsi="Arial" w:cs="Arial"/>
          <w:sz w:val="24"/>
          <w:szCs w:val="24"/>
        </w:rPr>
        <w:t>School Identification</w:t>
      </w:r>
      <w:r w:rsidRPr="00D7220B">
        <w:rPr>
          <w:rFonts w:ascii="Arial" w:hAnsi="Arial" w:cs="Arial"/>
          <w:sz w:val="24"/>
          <w:szCs w:val="24"/>
        </w:rPr>
        <w:t xml:space="preserve">. </w:t>
      </w:r>
      <w:r w:rsidRPr="00D7220B">
        <w:rPr>
          <w:rFonts w:ascii="Arial" w:hAnsi="Arial" w:cs="Arial"/>
          <w:i/>
          <w:sz w:val="24"/>
          <w:szCs w:val="24"/>
        </w:rPr>
        <w:t>Jour</w:t>
      </w:r>
      <w:r w:rsidR="00142B75" w:rsidRPr="00D7220B">
        <w:rPr>
          <w:rFonts w:ascii="Arial" w:hAnsi="Arial" w:cs="Arial"/>
          <w:i/>
          <w:sz w:val="24"/>
          <w:szCs w:val="24"/>
        </w:rPr>
        <w:t>nal of Educational Psychology</w:t>
      </w:r>
      <w:r w:rsidR="00142B75" w:rsidRPr="00D7220B">
        <w:rPr>
          <w:rFonts w:ascii="Arial" w:hAnsi="Arial" w:cs="Arial"/>
          <w:sz w:val="24"/>
          <w:szCs w:val="24"/>
        </w:rPr>
        <w:t xml:space="preserve">, </w:t>
      </w:r>
      <w:r w:rsidRPr="00D7220B">
        <w:rPr>
          <w:rFonts w:ascii="Arial" w:hAnsi="Arial" w:cs="Arial"/>
          <w:sz w:val="24"/>
          <w:szCs w:val="24"/>
        </w:rPr>
        <w:t>109</w:t>
      </w:r>
      <w:r w:rsidR="00142B75" w:rsidRPr="00D7220B">
        <w:rPr>
          <w:rFonts w:ascii="Arial" w:hAnsi="Arial" w:cs="Arial"/>
          <w:sz w:val="24"/>
          <w:szCs w:val="24"/>
        </w:rPr>
        <w:t xml:space="preserve"> </w:t>
      </w:r>
      <w:r w:rsidRPr="00D7220B">
        <w:rPr>
          <w:rFonts w:ascii="Arial" w:hAnsi="Arial" w:cs="Arial"/>
          <w:sz w:val="24"/>
          <w:szCs w:val="24"/>
        </w:rPr>
        <w:t>(3), 368–388. https://doi.org/10.1037/edu0000147</w:t>
      </w:r>
    </w:p>
    <w:p w14:paraId="070A3797" w14:textId="77777777" w:rsidR="005468B2" w:rsidRDefault="005468B2" w:rsidP="002142E7">
      <w:pPr>
        <w:spacing w:after="0" w:line="240" w:lineRule="auto"/>
        <w:jc w:val="both"/>
        <w:rPr>
          <w:rFonts w:ascii="Arial" w:hAnsi="Arial" w:cs="Arial"/>
          <w:sz w:val="24"/>
          <w:szCs w:val="24"/>
        </w:rPr>
      </w:pPr>
    </w:p>
    <w:p w14:paraId="2E0342AB" w14:textId="77777777" w:rsidR="00C17C0B" w:rsidRPr="00D7220B" w:rsidRDefault="00D5242A" w:rsidP="002142E7">
      <w:pPr>
        <w:spacing w:after="0" w:line="240" w:lineRule="auto"/>
        <w:jc w:val="both"/>
        <w:rPr>
          <w:rFonts w:ascii="Arial" w:hAnsi="Arial" w:cs="Arial"/>
          <w:sz w:val="24"/>
          <w:szCs w:val="24"/>
        </w:rPr>
      </w:pPr>
      <w:r w:rsidRPr="00D7220B">
        <w:rPr>
          <w:rFonts w:ascii="Arial" w:hAnsi="Arial" w:cs="Arial"/>
          <w:sz w:val="24"/>
          <w:szCs w:val="24"/>
        </w:rPr>
        <w:t xml:space="preserve">Sanders, S. M., Anderson, B. G., Voight, A., Giraldo-Garcia, R. J., Durbin, J. M., Fogarty, L. M. (2018). Does a rising school climate lift all boats? Differential Associations of Perceived Climate and Achievement for Students with Disabilities and Limited English Proficiency </w:t>
      </w:r>
      <w:r w:rsidRPr="00D7220B">
        <w:rPr>
          <w:rFonts w:ascii="Arial" w:hAnsi="Arial" w:cs="Arial"/>
          <w:i/>
          <w:sz w:val="24"/>
          <w:szCs w:val="24"/>
        </w:rPr>
        <w:t>School Psychology International</w:t>
      </w:r>
      <w:r w:rsidR="000756AF" w:rsidRPr="00D7220B">
        <w:rPr>
          <w:rFonts w:ascii="Arial" w:hAnsi="Arial" w:cs="Arial"/>
          <w:sz w:val="24"/>
          <w:szCs w:val="24"/>
        </w:rPr>
        <w:t xml:space="preserve">, </w:t>
      </w:r>
      <w:r w:rsidRPr="00D7220B">
        <w:rPr>
          <w:rFonts w:ascii="Arial" w:hAnsi="Arial" w:cs="Arial"/>
          <w:sz w:val="24"/>
          <w:szCs w:val="24"/>
        </w:rPr>
        <w:t>39</w:t>
      </w:r>
      <w:r w:rsidR="000756AF" w:rsidRPr="00D7220B">
        <w:rPr>
          <w:rFonts w:ascii="Arial" w:hAnsi="Arial" w:cs="Arial"/>
          <w:sz w:val="24"/>
          <w:szCs w:val="24"/>
        </w:rPr>
        <w:t xml:space="preserve"> </w:t>
      </w:r>
      <w:r w:rsidRPr="00D7220B">
        <w:rPr>
          <w:rFonts w:ascii="Arial" w:hAnsi="Arial" w:cs="Arial"/>
          <w:sz w:val="24"/>
          <w:szCs w:val="24"/>
        </w:rPr>
        <w:t>(6), 646–662. https://doi.org/10.1177/0143034318810319</w:t>
      </w:r>
    </w:p>
    <w:p w14:paraId="4E217768" w14:textId="77777777" w:rsidR="002142E7" w:rsidRDefault="002142E7" w:rsidP="00D7220B">
      <w:pPr>
        <w:spacing w:line="240" w:lineRule="auto"/>
        <w:jc w:val="both"/>
        <w:rPr>
          <w:rFonts w:ascii="Arial" w:hAnsi="Arial" w:cs="Arial"/>
          <w:sz w:val="24"/>
          <w:szCs w:val="24"/>
        </w:rPr>
      </w:pPr>
    </w:p>
    <w:p w14:paraId="74EEB016" w14:textId="77777777" w:rsidR="00C17C0B"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t>Sapsford, R. (2007). Survey research (2nd ed.). SAGE Publications.</w:t>
      </w:r>
    </w:p>
    <w:p w14:paraId="03E63DFF" w14:textId="77777777" w:rsidR="002142E7" w:rsidRDefault="002142E7" w:rsidP="00D7220B">
      <w:pPr>
        <w:spacing w:after="0" w:line="240" w:lineRule="auto"/>
        <w:jc w:val="both"/>
        <w:rPr>
          <w:rFonts w:ascii="Arial" w:hAnsi="Arial" w:cs="Arial"/>
          <w:sz w:val="24"/>
          <w:szCs w:val="24"/>
        </w:rPr>
      </w:pPr>
    </w:p>
    <w:p w14:paraId="32E518CF" w14:textId="77777777" w:rsidR="000756AF"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Scheepers, D.,</w:t>
      </w:r>
      <w:r w:rsidR="002142E7">
        <w:rPr>
          <w:rFonts w:ascii="Arial" w:hAnsi="Arial" w:cs="Arial"/>
          <w:sz w:val="24"/>
          <w:szCs w:val="24"/>
        </w:rPr>
        <w:t xml:space="preserve"> &amp; Ellemers, N. (2019). Social Identity T</w:t>
      </w:r>
      <w:r w:rsidRPr="00D7220B">
        <w:rPr>
          <w:rFonts w:ascii="Arial" w:hAnsi="Arial" w:cs="Arial"/>
          <w:sz w:val="24"/>
          <w:szCs w:val="24"/>
        </w:rPr>
        <w:t xml:space="preserve">heory. In K. Sassenberg &amp; M. Vliek </w:t>
      </w:r>
    </w:p>
    <w:p w14:paraId="19F58762" w14:textId="77777777" w:rsidR="00C17C0B" w:rsidRPr="00D7220B" w:rsidRDefault="00D5242A" w:rsidP="002142E7">
      <w:pPr>
        <w:spacing w:after="0" w:line="240" w:lineRule="auto"/>
        <w:jc w:val="both"/>
        <w:rPr>
          <w:rFonts w:ascii="Arial" w:hAnsi="Arial" w:cs="Arial"/>
          <w:sz w:val="24"/>
          <w:szCs w:val="24"/>
        </w:rPr>
      </w:pPr>
      <w:r w:rsidRPr="00D7220B">
        <w:rPr>
          <w:rFonts w:ascii="Arial" w:hAnsi="Arial" w:cs="Arial"/>
          <w:sz w:val="24"/>
          <w:szCs w:val="24"/>
        </w:rPr>
        <w:t xml:space="preserve">(Eds.), Social psychology in action (pp. 129–143). </w:t>
      </w:r>
      <w:r w:rsidRPr="00D7220B">
        <w:rPr>
          <w:rFonts w:ascii="Arial" w:hAnsi="Arial" w:cs="Arial"/>
          <w:i/>
          <w:sz w:val="24"/>
          <w:szCs w:val="24"/>
        </w:rPr>
        <w:t>Springer</w:t>
      </w:r>
      <w:r w:rsidRPr="00D7220B">
        <w:rPr>
          <w:rFonts w:ascii="Arial" w:hAnsi="Arial" w:cs="Arial"/>
          <w:sz w:val="24"/>
          <w:szCs w:val="24"/>
        </w:rPr>
        <w:t>. h</w:t>
      </w:r>
      <w:hyperlink r:id="rId8" w:history="1">
        <w:r w:rsidR="000756AF" w:rsidRPr="00D7220B">
          <w:rPr>
            <w:rStyle w:val="Hyperlink"/>
            <w:rFonts w:ascii="Arial" w:hAnsi="Arial" w:cs="Arial"/>
            <w:sz w:val="24"/>
            <w:szCs w:val="24"/>
            <w:u w:val="none"/>
          </w:rPr>
          <w:t>ttps://doi.org/10.1007/978-3</w:t>
        </w:r>
      </w:hyperlink>
      <w:r w:rsidRPr="00D7220B">
        <w:rPr>
          <w:rFonts w:ascii="Arial" w:hAnsi="Arial" w:cs="Arial"/>
          <w:sz w:val="24"/>
          <w:szCs w:val="24"/>
        </w:rPr>
        <w:t>-030-13788-5_9</w:t>
      </w:r>
    </w:p>
    <w:p w14:paraId="7B576755" w14:textId="77777777" w:rsidR="002142E7" w:rsidRDefault="002142E7" w:rsidP="00D7220B">
      <w:pPr>
        <w:spacing w:after="0" w:line="240" w:lineRule="auto"/>
        <w:jc w:val="both"/>
        <w:rPr>
          <w:rFonts w:ascii="Arial" w:hAnsi="Arial" w:cs="Arial"/>
          <w:sz w:val="24"/>
          <w:szCs w:val="24"/>
        </w:rPr>
      </w:pPr>
    </w:p>
    <w:p w14:paraId="63241293"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Schein, E. H. (2004). </w:t>
      </w:r>
      <w:r w:rsidR="00EC7C01" w:rsidRPr="005468B2">
        <w:rPr>
          <w:rFonts w:ascii="Arial" w:hAnsi="Arial" w:cs="Arial"/>
          <w:i/>
          <w:sz w:val="24"/>
          <w:szCs w:val="24"/>
        </w:rPr>
        <w:t>Organisational</w:t>
      </w:r>
      <w:r w:rsidR="002142E7" w:rsidRPr="005468B2">
        <w:rPr>
          <w:rFonts w:ascii="Arial" w:hAnsi="Arial" w:cs="Arial"/>
          <w:i/>
          <w:sz w:val="24"/>
          <w:szCs w:val="24"/>
        </w:rPr>
        <w:t xml:space="preserve"> Culture and L</w:t>
      </w:r>
      <w:r w:rsidRPr="005468B2">
        <w:rPr>
          <w:rFonts w:ascii="Arial" w:hAnsi="Arial" w:cs="Arial"/>
          <w:i/>
          <w:sz w:val="24"/>
          <w:szCs w:val="24"/>
        </w:rPr>
        <w:t>eadership</w:t>
      </w:r>
      <w:r w:rsidRPr="00D7220B">
        <w:rPr>
          <w:rFonts w:ascii="Arial" w:hAnsi="Arial" w:cs="Arial"/>
          <w:sz w:val="24"/>
          <w:szCs w:val="24"/>
        </w:rPr>
        <w:t xml:space="preserve"> (3rd ed.). Jossey-Bass.</w:t>
      </w:r>
    </w:p>
    <w:p w14:paraId="79E9846A" w14:textId="77777777" w:rsidR="002142E7" w:rsidRDefault="002142E7" w:rsidP="00D7220B">
      <w:pPr>
        <w:spacing w:after="0" w:line="240" w:lineRule="auto"/>
        <w:jc w:val="both"/>
        <w:rPr>
          <w:rFonts w:ascii="Arial" w:hAnsi="Arial" w:cs="Arial"/>
          <w:sz w:val="24"/>
          <w:szCs w:val="24"/>
        </w:rPr>
      </w:pPr>
    </w:p>
    <w:p w14:paraId="0E89CFBF" w14:textId="77777777" w:rsidR="00C17C0B" w:rsidRPr="00D7220B" w:rsidRDefault="00D5242A" w:rsidP="002142E7">
      <w:pPr>
        <w:spacing w:after="0" w:line="240" w:lineRule="auto"/>
        <w:jc w:val="both"/>
        <w:rPr>
          <w:rFonts w:ascii="Arial" w:hAnsi="Arial" w:cs="Arial"/>
          <w:sz w:val="24"/>
          <w:szCs w:val="24"/>
        </w:rPr>
      </w:pPr>
      <w:r w:rsidRPr="00D7220B">
        <w:rPr>
          <w:rFonts w:ascii="Arial" w:hAnsi="Arial" w:cs="Arial"/>
          <w:sz w:val="24"/>
          <w:szCs w:val="24"/>
        </w:rPr>
        <w:t xml:space="preserve">Schoen, </w:t>
      </w:r>
      <w:r w:rsidR="002142E7">
        <w:rPr>
          <w:rFonts w:ascii="Arial" w:hAnsi="Arial" w:cs="Arial"/>
          <w:sz w:val="24"/>
          <w:szCs w:val="24"/>
        </w:rPr>
        <w:t>L. T., &amp; Teddlie, C. (2008). A New Model of School Culture: A R</w:t>
      </w:r>
      <w:r w:rsidRPr="00D7220B">
        <w:rPr>
          <w:rFonts w:ascii="Arial" w:hAnsi="Arial" w:cs="Arial"/>
          <w:sz w:val="24"/>
          <w:szCs w:val="24"/>
        </w:rPr>
        <w:t xml:space="preserve">esponse </w:t>
      </w:r>
      <w:r w:rsidR="002142E7">
        <w:rPr>
          <w:rFonts w:ascii="Arial" w:hAnsi="Arial" w:cs="Arial"/>
          <w:sz w:val="24"/>
          <w:szCs w:val="24"/>
        </w:rPr>
        <w:t>to a C</w:t>
      </w:r>
      <w:r w:rsidRPr="00D7220B">
        <w:rPr>
          <w:rFonts w:ascii="Arial" w:hAnsi="Arial" w:cs="Arial"/>
          <w:sz w:val="24"/>
          <w:szCs w:val="24"/>
        </w:rPr>
        <w:t xml:space="preserve">all for </w:t>
      </w:r>
      <w:r w:rsidR="002142E7">
        <w:rPr>
          <w:rFonts w:ascii="Arial" w:hAnsi="Arial" w:cs="Arial"/>
          <w:sz w:val="24"/>
          <w:szCs w:val="24"/>
        </w:rPr>
        <w:t>Conceptual C</w:t>
      </w:r>
      <w:r w:rsidRPr="00D7220B">
        <w:rPr>
          <w:rFonts w:ascii="Arial" w:hAnsi="Arial" w:cs="Arial"/>
          <w:sz w:val="24"/>
          <w:szCs w:val="24"/>
        </w:rPr>
        <w:t xml:space="preserve">larity. </w:t>
      </w:r>
      <w:r w:rsidRPr="00D7220B">
        <w:rPr>
          <w:rFonts w:ascii="Arial" w:hAnsi="Arial" w:cs="Arial"/>
          <w:i/>
          <w:sz w:val="24"/>
          <w:szCs w:val="24"/>
        </w:rPr>
        <w:t>School Effecti</w:t>
      </w:r>
      <w:r w:rsidR="000756AF" w:rsidRPr="00D7220B">
        <w:rPr>
          <w:rFonts w:ascii="Arial" w:hAnsi="Arial" w:cs="Arial"/>
          <w:i/>
          <w:sz w:val="24"/>
          <w:szCs w:val="24"/>
        </w:rPr>
        <w:t>veness and School Improvement</w:t>
      </w:r>
      <w:r w:rsidR="000756AF" w:rsidRPr="00D7220B">
        <w:rPr>
          <w:rFonts w:ascii="Arial" w:hAnsi="Arial" w:cs="Arial"/>
          <w:sz w:val="24"/>
          <w:szCs w:val="24"/>
        </w:rPr>
        <w:t xml:space="preserve">, </w:t>
      </w:r>
      <w:r w:rsidRPr="00D7220B">
        <w:rPr>
          <w:rFonts w:ascii="Arial" w:hAnsi="Arial" w:cs="Arial"/>
          <w:sz w:val="24"/>
          <w:szCs w:val="24"/>
        </w:rPr>
        <w:t>19</w:t>
      </w:r>
      <w:r w:rsidR="000756AF" w:rsidRPr="00D7220B">
        <w:rPr>
          <w:rFonts w:ascii="Arial" w:hAnsi="Arial" w:cs="Arial"/>
          <w:sz w:val="24"/>
          <w:szCs w:val="24"/>
        </w:rPr>
        <w:t xml:space="preserve"> </w:t>
      </w:r>
      <w:r w:rsidRPr="00D7220B">
        <w:rPr>
          <w:rFonts w:ascii="Arial" w:hAnsi="Arial" w:cs="Arial"/>
          <w:sz w:val="24"/>
          <w:szCs w:val="24"/>
        </w:rPr>
        <w:t>(2), 129–153. https://doi.org/10.1080/09243450802095278</w:t>
      </w:r>
    </w:p>
    <w:p w14:paraId="57F381F7" w14:textId="77777777" w:rsidR="002142E7" w:rsidRDefault="002142E7" w:rsidP="00D7220B">
      <w:pPr>
        <w:spacing w:after="0" w:line="240" w:lineRule="auto"/>
        <w:jc w:val="both"/>
        <w:rPr>
          <w:rFonts w:ascii="Arial" w:hAnsi="Arial" w:cs="Arial"/>
          <w:sz w:val="24"/>
          <w:szCs w:val="24"/>
        </w:rPr>
      </w:pPr>
    </w:p>
    <w:p w14:paraId="33CDC7AF" w14:textId="77777777" w:rsidR="00C17C0B" w:rsidRPr="00D7220B" w:rsidRDefault="002142E7" w:rsidP="002142E7">
      <w:pPr>
        <w:spacing w:after="0" w:line="240" w:lineRule="auto"/>
        <w:jc w:val="both"/>
        <w:rPr>
          <w:rFonts w:ascii="Arial" w:hAnsi="Arial" w:cs="Arial"/>
          <w:sz w:val="24"/>
          <w:szCs w:val="24"/>
        </w:rPr>
      </w:pPr>
      <w:r>
        <w:rPr>
          <w:rFonts w:ascii="Arial" w:hAnsi="Arial" w:cs="Arial"/>
          <w:sz w:val="24"/>
          <w:szCs w:val="24"/>
        </w:rPr>
        <w:t>Seginer, R. (2006). Parents’</w:t>
      </w:r>
      <w:r w:rsidR="00D5242A" w:rsidRPr="00D7220B">
        <w:rPr>
          <w:rFonts w:ascii="Arial" w:hAnsi="Arial" w:cs="Arial"/>
          <w:sz w:val="24"/>
          <w:szCs w:val="24"/>
        </w:rPr>
        <w:t xml:space="preserve"> educational involvement: A developmental ecology perspective. Parenting: </w:t>
      </w:r>
      <w:r w:rsidR="00D5242A" w:rsidRPr="00D7220B">
        <w:rPr>
          <w:rFonts w:ascii="Arial" w:hAnsi="Arial" w:cs="Arial"/>
          <w:i/>
          <w:sz w:val="24"/>
          <w:szCs w:val="24"/>
        </w:rPr>
        <w:t>Science and Practice</w:t>
      </w:r>
      <w:r w:rsidR="000756AF" w:rsidRPr="00D7220B">
        <w:rPr>
          <w:rFonts w:ascii="Arial" w:hAnsi="Arial" w:cs="Arial"/>
          <w:sz w:val="24"/>
          <w:szCs w:val="24"/>
        </w:rPr>
        <w:t xml:space="preserve">, 6 </w:t>
      </w:r>
      <w:r w:rsidR="00D5242A" w:rsidRPr="00D7220B">
        <w:rPr>
          <w:rFonts w:ascii="Arial" w:hAnsi="Arial" w:cs="Arial"/>
          <w:sz w:val="24"/>
          <w:szCs w:val="24"/>
        </w:rPr>
        <w:t>(1), 1–48. https://doi.org/10.1207/s15327922par0601_1</w:t>
      </w:r>
    </w:p>
    <w:p w14:paraId="78724E13" w14:textId="77777777" w:rsidR="002142E7" w:rsidRDefault="002142E7" w:rsidP="00D7220B">
      <w:pPr>
        <w:spacing w:after="0" w:line="240" w:lineRule="auto"/>
        <w:jc w:val="both"/>
        <w:rPr>
          <w:rFonts w:ascii="Arial" w:hAnsi="Arial" w:cs="Arial"/>
          <w:sz w:val="24"/>
          <w:szCs w:val="24"/>
        </w:rPr>
      </w:pPr>
    </w:p>
    <w:p w14:paraId="542A365F"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Steinmayr, R., Meißner, A., Weidinger, A. F., &amp; Wirthwein, L. (2014). </w:t>
      </w:r>
      <w:r w:rsidR="005468B2">
        <w:rPr>
          <w:rFonts w:ascii="Arial" w:hAnsi="Arial" w:cs="Arial"/>
          <w:i/>
          <w:sz w:val="24"/>
          <w:szCs w:val="24"/>
        </w:rPr>
        <w:t>Academic A</w:t>
      </w:r>
      <w:r w:rsidRPr="005468B2">
        <w:rPr>
          <w:rFonts w:ascii="Arial" w:hAnsi="Arial" w:cs="Arial"/>
          <w:i/>
          <w:sz w:val="24"/>
          <w:szCs w:val="24"/>
        </w:rPr>
        <w:t>chievement</w:t>
      </w:r>
      <w:r w:rsidRPr="00D7220B">
        <w:rPr>
          <w:rFonts w:ascii="Arial" w:hAnsi="Arial" w:cs="Arial"/>
          <w:sz w:val="24"/>
          <w:szCs w:val="24"/>
        </w:rPr>
        <w:t>. Oxford University Press.</w:t>
      </w:r>
    </w:p>
    <w:p w14:paraId="7274C3EF" w14:textId="77777777" w:rsidR="002142E7" w:rsidRDefault="002142E7" w:rsidP="00D7220B">
      <w:pPr>
        <w:spacing w:after="0" w:line="240" w:lineRule="auto"/>
        <w:jc w:val="both"/>
        <w:rPr>
          <w:rFonts w:ascii="Arial" w:hAnsi="Arial" w:cs="Arial"/>
          <w:sz w:val="24"/>
          <w:szCs w:val="24"/>
        </w:rPr>
      </w:pPr>
    </w:p>
    <w:p w14:paraId="048D9779" w14:textId="77777777" w:rsidR="000756AF" w:rsidRPr="00D7220B" w:rsidRDefault="00D5242A" w:rsidP="00D7220B">
      <w:pPr>
        <w:spacing w:after="0" w:line="240" w:lineRule="auto"/>
        <w:jc w:val="both"/>
        <w:rPr>
          <w:rFonts w:ascii="Arial" w:hAnsi="Arial" w:cs="Arial"/>
          <w:i/>
          <w:sz w:val="24"/>
          <w:szCs w:val="24"/>
        </w:rPr>
      </w:pPr>
      <w:r w:rsidRPr="00D7220B">
        <w:rPr>
          <w:rFonts w:ascii="Arial" w:hAnsi="Arial" w:cs="Arial"/>
          <w:sz w:val="24"/>
          <w:szCs w:val="24"/>
        </w:rPr>
        <w:t xml:space="preserve">Sun, J. (2018). School culture as a mediator. </w:t>
      </w:r>
      <w:r w:rsidRPr="00D7220B">
        <w:rPr>
          <w:rFonts w:ascii="Arial" w:hAnsi="Arial" w:cs="Arial"/>
          <w:i/>
          <w:sz w:val="24"/>
          <w:szCs w:val="24"/>
        </w:rPr>
        <w:t xml:space="preserve">Educational Management Administration &amp; </w:t>
      </w:r>
    </w:p>
    <w:p w14:paraId="46F8A2F2"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i/>
          <w:sz w:val="24"/>
          <w:szCs w:val="24"/>
        </w:rPr>
        <w:t>Leadership</w:t>
      </w:r>
      <w:r w:rsidRPr="00D7220B">
        <w:rPr>
          <w:rFonts w:ascii="Arial" w:hAnsi="Arial" w:cs="Arial"/>
          <w:sz w:val="24"/>
          <w:szCs w:val="24"/>
        </w:rPr>
        <w:t>, 46 (3), 456–478. https://doi.org/10.1177/1741143217694893</w:t>
      </w:r>
    </w:p>
    <w:p w14:paraId="4B8FFB46" w14:textId="77777777" w:rsidR="002142E7" w:rsidRDefault="002142E7" w:rsidP="00D7220B">
      <w:pPr>
        <w:spacing w:after="0" w:line="240" w:lineRule="auto"/>
        <w:jc w:val="both"/>
        <w:rPr>
          <w:rFonts w:ascii="Arial" w:hAnsi="Arial" w:cs="Arial"/>
          <w:sz w:val="24"/>
          <w:szCs w:val="24"/>
        </w:rPr>
      </w:pPr>
    </w:p>
    <w:p w14:paraId="6DA792B4" w14:textId="77777777" w:rsidR="00C17C0B" w:rsidRPr="005468B2" w:rsidRDefault="00D5242A" w:rsidP="002142E7">
      <w:pPr>
        <w:spacing w:after="0" w:line="240" w:lineRule="auto"/>
        <w:jc w:val="both"/>
        <w:rPr>
          <w:rFonts w:ascii="Arial" w:hAnsi="Arial" w:cs="Arial"/>
          <w:i/>
          <w:sz w:val="24"/>
          <w:szCs w:val="24"/>
        </w:rPr>
      </w:pPr>
      <w:r w:rsidRPr="00D7220B">
        <w:rPr>
          <w:rFonts w:ascii="Arial" w:hAnsi="Arial" w:cs="Arial"/>
          <w:sz w:val="24"/>
          <w:szCs w:val="24"/>
        </w:rPr>
        <w:t xml:space="preserve">Tajfel, H., &amp; Turner, J. C. (1979). An integrative theory of intergroup conflict. In W. G. Austin &amp; S. Worchel (Eds.), </w:t>
      </w:r>
      <w:r w:rsidRPr="005468B2">
        <w:rPr>
          <w:rFonts w:ascii="Arial" w:hAnsi="Arial" w:cs="Arial"/>
          <w:i/>
          <w:sz w:val="24"/>
          <w:szCs w:val="24"/>
        </w:rPr>
        <w:t>The social psychol</w:t>
      </w:r>
      <w:r w:rsidR="000756AF" w:rsidRPr="005468B2">
        <w:rPr>
          <w:rFonts w:ascii="Arial" w:hAnsi="Arial" w:cs="Arial"/>
          <w:i/>
          <w:sz w:val="24"/>
          <w:szCs w:val="24"/>
        </w:rPr>
        <w:t>ogy of intergroup relations,</w:t>
      </w:r>
      <w:r w:rsidRPr="005468B2">
        <w:rPr>
          <w:rFonts w:ascii="Arial" w:hAnsi="Arial" w:cs="Arial"/>
          <w:i/>
          <w:sz w:val="24"/>
          <w:szCs w:val="24"/>
        </w:rPr>
        <w:t xml:space="preserve"> 33–47. Brooks/Cole.</w:t>
      </w:r>
    </w:p>
    <w:p w14:paraId="50B40145" w14:textId="77777777" w:rsidR="002142E7" w:rsidRDefault="002142E7" w:rsidP="00D7220B">
      <w:pPr>
        <w:spacing w:after="0" w:line="240" w:lineRule="auto"/>
        <w:jc w:val="both"/>
        <w:rPr>
          <w:rFonts w:ascii="Arial" w:hAnsi="Arial" w:cs="Arial"/>
          <w:sz w:val="24"/>
          <w:szCs w:val="24"/>
        </w:rPr>
      </w:pPr>
    </w:p>
    <w:p w14:paraId="24A193E7" w14:textId="77777777" w:rsidR="00C17C0B" w:rsidRPr="00D7220B" w:rsidRDefault="00D5242A" w:rsidP="002142E7">
      <w:pPr>
        <w:spacing w:after="0" w:line="240" w:lineRule="auto"/>
        <w:jc w:val="both"/>
        <w:rPr>
          <w:rFonts w:ascii="Arial" w:hAnsi="Arial" w:cs="Arial"/>
          <w:sz w:val="24"/>
          <w:szCs w:val="24"/>
        </w:rPr>
      </w:pPr>
      <w:r w:rsidRPr="00D7220B">
        <w:rPr>
          <w:rFonts w:ascii="Arial" w:hAnsi="Arial" w:cs="Arial"/>
          <w:sz w:val="24"/>
          <w:szCs w:val="24"/>
        </w:rPr>
        <w:t>Thapa, A., Cohen, J., Guffey, S., &amp; Higgins-D'Alessand</w:t>
      </w:r>
      <w:r w:rsidR="002142E7">
        <w:rPr>
          <w:rFonts w:ascii="Arial" w:hAnsi="Arial" w:cs="Arial"/>
          <w:sz w:val="24"/>
          <w:szCs w:val="24"/>
        </w:rPr>
        <w:t>ro, A. (2013). A Review of the S</w:t>
      </w:r>
      <w:r w:rsidRPr="00D7220B">
        <w:rPr>
          <w:rFonts w:ascii="Arial" w:hAnsi="Arial" w:cs="Arial"/>
          <w:sz w:val="24"/>
          <w:szCs w:val="24"/>
        </w:rPr>
        <w:t xml:space="preserve">chool </w:t>
      </w:r>
      <w:r w:rsidR="002142E7">
        <w:rPr>
          <w:rFonts w:ascii="Arial" w:hAnsi="Arial" w:cs="Arial"/>
          <w:sz w:val="24"/>
          <w:szCs w:val="24"/>
        </w:rPr>
        <w:t>Climate R</w:t>
      </w:r>
      <w:r w:rsidRPr="00D7220B">
        <w:rPr>
          <w:rFonts w:ascii="Arial" w:hAnsi="Arial" w:cs="Arial"/>
          <w:sz w:val="24"/>
          <w:szCs w:val="24"/>
        </w:rPr>
        <w:t xml:space="preserve">esearch. </w:t>
      </w:r>
      <w:r w:rsidRPr="00D7220B">
        <w:rPr>
          <w:rFonts w:ascii="Arial" w:hAnsi="Arial" w:cs="Arial"/>
          <w:i/>
          <w:sz w:val="24"/>
          <w:szCs w:val="24"/>
        </w:rPr>
        <w:t>Review of Educational Research,</w:t>
      </w:r>
      <w:r w:rsidR="000756AF" w:rsidRPr="00D7220B">
        <w:rPr>
          <w:rFonts w:ascii="Arial" w:hAnsi="Arial" w:cs="Arial"/>
          <w:sz w:val="24"/>
          <w:szCs w:val="24"/>
        </w:rPr>
        <w:t xml:space="preserve"> </w:t>
      </w:r>
      <w:r w:rsidRPr="00D7220B">
        <w:rPr>
          <w:rFonts w:ascii="Arial" w:hAnsi="Arial" w:cs="Arial"/>
          <w:sz w:val="24"/>
          <w:szCs w:val="24"/>
        </w:rPr>
        <w:t>83</w:t>
      </w:r>
      <w:r w:rsidR="000756AF" w:rsidRPr="00D7220B">
        <w:rPr>
          <w:rFonts w:ascii="Arial" w:hAnsi="Arial" w:cs="Arial"/>
          <w:sz w:val="24"/>
          <w:szCs w:val="24"/>
        </w:rPr>
        <w:t xml:space="preserve"> </w:t>
      </w:r>
      <w:r w:rsidRPr="00D7220B">
        <w:rPr>
          <w:rFonts w:ascii="Arial" w:hAnsi="Arial" w:cs="Arial"/>
          <w:sz w:val="24"/>
          <w:szCs w:val="24"/>
        </w:rPr>
        <w:t>(3), 357–385. https://doi.org/10.3102/0034654313483907</w:t>
      </w:r>
    </w:p>
    <w:p w14:paraId="65B3C49B" w14:textId="77777777" w:rsidR="002142E7" w:rsidRDefault="002142E7" w:rsidP="00D7220B">
      <w:pPr>
        <w:spacing w:after="0" w:line="240" w:lineRule="auto"/>
        <w:jc w:val="both"/>
        <w:rPr>
          <w:rFonts w:ascii="Arial" w:hAnsi="Arial" w:cs="Arial"/>
          <w:sz w:val="24"/>
          <w:szCs w:val="24"/>
        </w:rPr>
      </w:pPr>
    </w:p>
    <w:p w14:paraId="3C8A5749" w14:textId="77777777" w:rsidR="00C17C0B" w:rsidRPr="00D7220B" w:rsidRDefault="00D5242A" w:rsidP="002142E7">
      <w:pPr>
        <w:spacing w:after="0" w:line="240" w:lineRule="auto"/>
        <w:jc w:val="both"/>
        <w:rPr>
          <w:rFonts w:ascii="Arial" w:hAnsi="Arial" w:cs="Arial"/>
          <w:sz w:val="24"/>
          <w:szCs w:val="24"/>
        </w:rPr>
      </w:pPr>
      <w:proofErr w:type="spellStart"/>
      <w:r w:rsidRPr="00D7220B">
        <w:rPr>
          <w:rFonts w:ascii="Arial" w:hAnsi="Arial" w:cs="Arial"/>
          <w:sz w:val="24"/>
          <w:szCs w:val="24"/>
        </w:rPr>
        <w:lastRenderedPageBreak/>
        <w:t>Trepte</w:t>
      </w:r>
      <w:proofErr w:type="spellEnd"/>
      <w:r w:rsidRPr="00D7220B">
        <w:rPr>
          <w:rFonts w:ascii="Arial" w:hAnsi="Arial" w:cs="Arial"/>
          <w:sz w:val="24"/>
          <w:szCs w:val="24"/>
        </w:rPr>
        <w:t>, S., &amp; Loy, L. S. (2017). S</w:t>
      </w:r>
      <w:r w:rsidR="00BF3BA9">
        <w:rPr>
          <w:rFonts w:ascii="Arial" w:hAnsi="Arial" w:cs="Arial"/>
          <w:sz w:val="24"/>
          <w:szCs w:val="24"/>
        </w:rPr>
        <w:t>ocial Identity Theory and Self-C</w:t>
      </w:r>
      <w:r w:rsidR="002142E7">
        <w:rPr>
          <w:rFonts w:ascii="Arial" w:hAnsi="Arial" w:cs="Arial"/>
          <w:sz w:val="24"/>
          <w:szCs w:val="24"/>
        </w:rPr>
        <w:t>ategorisation T</w:t>
      </w:r>
      <w:r w:rsidRPr="00D7220B">
        <w:rPr>
          <w:rFonts w:ascii="Arial" w:hAnsi="Arial" w:cs="Arial"/>
          <w:sz w:val="24"/>
          <w:szCs w:val="24"/>
        </w:rPr>
        <w:t>heory. In P. Rössler, C. A. Hoffne</w:t>
      </w:r>
      <w:r w:rsidR="002142E7">
        <w:rPr>
          <w:rFonts w:ascii="Arial" w:hAnsi="Arial" w:cs="Arial"/>
          <w:sz w:val="24"/>
          <w:szCs w:val="24"/>
        </w:rPr>
        <w:t>r, &amp; L. van Zoonen (Eds.), The International E</w:t>
      </w:r>
      <w:r w:rsidRPr="00D7220B">
        <w:rPr>
          <w:rFonts w:ascii="Arial" w:hAnsi="Arial" w:cs="Arial"/>
          <w:sz w:val="24"/>
          <w:szCs w:val="24"/>
        </w:rPr>
        <w:t>nc</w:t>
      </w:r>
      <w:r w:rsidR="002142E7">
        <w:rPr>
          <w:rFonts w:ascii="Arial" w:hAnsi="Arial" w:cs="Arial"/>
          <w:sz w:val="24"/>
          <w:szCs w:val="24"/>
        </w:rPr>
        <w:t>yclopedia of Media E</w:t>
      </w:r>
      <w:r w:rsidR="000756AF" w:rsidRPr="00D7220B">
        <w:rPr>
          <w:rFonts w:ascii="Arial" w:hAnsi="Arial" w:cs="Arial"/>
          <w:sz w:val="24"/>
          <w:szCs w:val="24"/>
        </w:rPr>
        <w:t xml:space="preserve">ffects, </w:t>
      </w:r>
      <w:r w:rsidRPr="00D7220B">
        <w:rPr>
          <w:rFonts w:ascii="Arial" w:hAnsi="Arial" w:cs="Arial"/>
          <w:sz w:val="24"/>
          <w:szCs w:val="24"/>
        </w:rPr>
        <w:t xml:space="preserve">1–13. </w:t>
      </w:r>
      <w:r w:rsidRPr="00D7220B">
        <w:rPr>
          <w:rFonts w:ascii="Arial" w:hAnsi="Arial" w:cs="Arial"/>
          <w:i/>
          <w:sz w:val="24"/>
          <w:szCs w:val="24"/>
        </w:rPr>
        <w:t>Wiley</w:t>
      </w:r>
      <w:r w:rsidRPr="00D7220B">
        <w:rPr>
          <w:rFonts w:ascii="Arial" w:hAnsi="Arial" w:cs="Arial"/>
          <w:sz w:val="24"/>
          <w:szCs w:val="24"/>
        </w:rPr>
        <w:t>. https://doi.org/10.1002/9781118783764.wbieme0088</w:t>
      </w:r>
      <w:r w:rsidR="00BF3BA9">
        <w:rPr>
          <w:rFonts w:ascii="Arial" w:hAnsi="Arial" w:cs="Arial"/>
          <w:sz w:val="24"/>
          <w:szCs w:val="24"/>
        </w:rPr>
        <w:t>.</w:t>
      </w:r>
    </w:p>
    <w:p w14:paraId="2243515B" w14:textId="77777777" w:rsidR="002142E7" w:rsidRDefault="002142E7" w:rsidP="00D7220B">
      <w:pPr>
        <w:spacing w:after="0" w:line="240" w:lineRule="auto"/>
        <w:jc w:val="both"/>
        <w:rPr>
          <w:rFonts w:ascii="Arial" w:hAnsi="Arial" w:cs="Arial"/>
          <w:sz w:val="24"/>
          <w:szCs w:val="24"/>
        </w:rPr>
      </w:pPr>
    </w:p>
    <w:p w14:paraId="0B94CEA1" w14:textId="77777777" w:rsidR="00C17C0B" w:rsidRPr="00D7220B" w:rsidRDefault="002142E7" w:rsidP="002142E7">
      <w:pPr>
        <w:spacing w:after="0" w:line="240" w:lineRule="auto"/>
        <w:jc w:val="both"/>
        <w:rPr>
          <w:rFonts w:ascii="Arial" w:hAnsi="Arial" w:cs="Arial"/>
          <w:sz w:val="24"/>
          <w:szCs w:val="24"/>
        </w:rPr>
      </w:pPr>
      <w:r>
        <w:rPr>
          <w:rFonts w:ascii="Arial" w:hAnsi="Arial" w:cs="Arial"/>
          <w:sz w:val="24"/>
          <w:szCs w:val="24"/>
        </w:rPr>
        <w:t>Turner, J. C. (1985). Social C</w:t>
      </w:r>
      <w:r w:rsidR="00D5242A" w:rsidRPr="00D7220B">
        <w:rPr>
          <w:rFonts w:ascii="Arial" w:hAnsi="Arial" w:cs="Arial"/>
          <w:sz w:val="24"/>
          <w:szCs w:val="24"/>
        </w:rPr>
        <w:t>ategor</w:t>
      </w:r>
      <w:r>
        <w:rPr>
          <w:rFonts w:ascii="Arial" w:hAnsi="Arial" w:cs="Arial"/>
          <w:sz w:val="24"/>
          <w:szCs w:val="24"/>
        </w:rPr>
        <w:t>isation and the Self-Concept: A S</w:t>
      </w:r>
      <w:r w:rsidR="00D5242A" w:rsidRPr="00D7220B">
        <w:rPr>
          <w:rFonts w:ascii="Arial" w:hAnsi="Arial" w:cs="Arial"/>
          <w:sz w:val="24"/>
          <w:szCs w:val="24"/>
        </w:rPr>
        <w:t xml:space="preserve">ocial </w:t>
      </w:r>
      <w:r>
        <w:rPr>
          <w:rFonts w:ascii="Arial" w:hAnsi="Arial" w:cs="Arial"/>
          <w:sz w:val="24"/>
          <w:szCs w:val="24"/>
        </w:rPr>
        <w:t>Cognitive T</w:t>
      </w:r>
      <w:r w:rsidR="00D5242A" w:rsidRPr="00D7220B">
        <w:rPr>
          <w:rFonts w:ascii="Arial" w:hAnsi="Arial" w:cs="Arial"/>
          <w:sz w:val="24"/>
          <w:szCs w:val="24"/>
        </w:rPr>
        <w:t>heory of</w:t>
      </w:r>
      <w:r>
        <w:rPr>
          <w:rFonts w:ascii="Arial" w:hAnsi="Arial" w:cs="Arial"/>
          <w:sz w:val="24"/>
          <w:szCs w:val="24"/>
        </w:rPr>
        <w:t xml:space="preserve"> Group B</w:t>
      </w:r>
      <w:r w:rsidR="00D5242A" w:rsidRPr="00D7220B">
        <w:rPr>
          <w:rFonts w:ascii="Arial" w:hAnsi="Arial" w:cs="Arial"/>
          <w:sz w:val="24"/>
          <w:szCs w:val="24"/>
        </w:rPr>
        <w:t>ehaviour. In E</w:t>
      </w:r>
      <w:r>
        <w:rPr>
          <w:rFonts w:ascii="Arial" w:hAnsi="Arial" w:cs="Arial"/>
          <w:sz w:val="24"/>
          <w:szCs w:val="24"/>
        </w:rPr>
        <w:t>. J. Lawler (Ed.), Advances in Group P</w:t>
      </w:r>
      <w:r w:rsidR="00D5242A" w:rsidRPr="00D7220B">
        <w:rPr>
          <w:rFonts w:ascii="Arial" w:hAnsi="Arial" w:cs="Arial"/>
          <w:sz w:val="24"/>
          <w:szCs w:val="24"/>
        </w:rPr>
        <w:t xml:space="preserve">rocesses: </w:t>
      </w:r>
      <w:r>
        <w:rPr>
          <w:rFonts w:ascii="Arial" w:hAnsi="Arial" w:cs="Arial"/>
          <w:i/>
          <w:sz w:val="24"/>
          <w:szCs w:val="24"/>
        </w:rPr>
        <w:t>Theory and R</w:t>
      </w:r>
      <w:r w:rsidR="00D5242A" w:rsidRPr="00D7220B">
        <w:rPr>
          <w:rFonts w:ascii="Arial" w:hAnsi="Arial" w:cs="Arial"/>
          <w:i/>
          <w:sz w:val="24"/>
          <w:szCs w:val="24"/>
        </w:rPr>
        <w:t>esearch</w:t>
      </w:r>
      <w:r w:rsidR="000756AF" w:rsidRPr="00D7220B">
        <w:rPr>
          <w:rFonts w:ascii="Arial" w:hAnsi="Arial" w:cs="Arial"/>
          <w:sz w:val="24"/>
          <w:szCs w:val="24"/>
        </w:rPr>
        <w:t xml:space="preserve"> (</w:t>
      </w:r>
      <w:r w:rsidR="00D5242A" w:rsidRPr="00D7220B">
        <w:rPr>
          <w:rFonts w:ascii="Arial" w:hAnsi="Arial" w:cs="Arial"/>
          <w:sz w:val="24"/>
          <w:szCs w:val="24"/>
        </w:rPr>
        <w:t>2</w:t>
      </w:r>
      <w:r w:rsidR="000756AF" w:rsidRPr="00D7220B">
        <w:rPr>
          <w:rFonts w:ascii="Arial" w:hAnsi="Arial" w:cs="Arial"/>
          <w:sz w:val="24"/>
          <w:szCs w:val="24"/>
        </w:rPr>
        <w:t xml:space="preserve">), </w:t>
      </w:r>
      <w:r w:rsidR="00D5242A" w:rsidRPr="00D7220B">
        <w:rPr>
          <w:rFonts w:ascii="Arial" w:hAnsi="Arial" w:cs="Arial"/>
          <w:sz w:val="24"/>
          <w:szCs w:val="24"/>
        </w:rPr>
        <w:t>77–122). JAI Press.</w:t>
      </w:r>
    </w:p>
    <w:p w14:paraId="66C79D4D" w14:textId="77777777" w:rsidR="002142E7" w:rsidRDefault="002142E7" w:rsidP="00D7220B">
      <w:pPr>
        <w:spacing w:after="0" w:line="240" w:lineRule="auto"/>
        <w:jc w:val="both"/>
        <w:rPr>
          <w:rFonts w:ascii="Arial" w:hAnsi="Arial" w:cs="Arial"/>
          <w:sz w:val="24"/>
          <w:szCs w:val="24"/>
        </w:rPr>
      </w:pPr>
    </w:p>
    <w:p w14:paraId="12EA7043" w14:textId="77777777" w:rsidR="00C17C0B" w:rsidRPr="00D7220B" w:rsidRDefault="002142E7" w:rsidP="002142E7">
      <w:pPr>
        <w:spacing w:after="0" w:line="240" w:lineRule="auto"/>
        <w:jc w:val="both"/>
        <w:rPr>
          <w:rFonts w:ascii="Arial" w:hAnsi="Arial" w:cs="Arial"/>
          <w:sz w:val="24"/>
          <w:szCs w:val="24"/>
        </w:rPr>
      </w:pPr>
      <w:r>
        <w:rPr>
          <w:rFonts w:ascii="Arial" w:hAnsi="Arial" w:cs="Arial"/>
          <w:sz w:val="24"/>
          <w:szCs w:val="24"/>
        </w:rPr>
        <w:t>Turner, J. C. (1999). Some Current Issues in R</w:t>
      </w:r>
      <w:r w:rsidR="00D5242A" w:rsidRPr="00D7220B">
        <w:rPr>
          <w:rFonts w:ascii="Arial" w:hAnsi="Arial" w:cs="Arial"/>
          <w:sz w:val="24"/>
          <w:szCs w:val="24"/>
        </w:rPr>
        <w:t>esear</w:t>
      </w:r>
      <w:r>
        <w:rPr>
          <w:rFonts w:ascii="Arial" w:hAnsi="Arial" w:cs="Arial"/>
          <w:sz w:val="24"/>
          <w:szCs w:val="24"/>
        </w:rPr>
        <w:t>ch on Social Identity and Self-Categorisation</w:t>
      </w:r>
      <w:r w:rsidR="00D5242A" w:rsidRPr="00D7220B">
        <w:rPr>
          <w:rFonts w:ascii="Arial" w:hAnsi="Arial" w:cs="Arial"/>
          <w:sz w:val="24"/>
          <w:szCs w:val="24"/>
        </w:rPr>
        <w:t xml:space="preserve"> </w:t>
      </w:r>
      <w:r>
        <w:rPr>
          <w:rFonts w:ascii="Arial" w:hAnsi="Arial" w:cs="Arial"/>
          <w:sz w:val="24"/>
          <w:szCs w:val="24"/>
        </w:rPr>
        <w:t>T</w:t>
      </w:r>
      <w:r w:rsidR="00D5242A" w:rsidRPr="00D7220B">
        <w:rPr>
          <w:rFonts w:ascii="Arial" w:hAnsi="Arial" w:cs="Arial"/>
          <w:sz w:val="24"/>
          <w:szCs w:val="24"/>
        </w:rPr>
        <w:t>heories. In N. Ellemers, R. Spears, &amp; B. Doosje (Eds.), Social ide</w:t>
      </w:r>
      <w:r w:rsidR="000756AF" w:rsidRPr="00D7220B">
        <w:rPr>
          <w:rFonts w:ascii="Arial" w:hAnsi="Arial" w:cs="Arial"/>
          <w:sz w:val="24"/>
          <w:szCs w:val="24"/>
        </w:rPr>
        <w:t>ntity,</w:t>
      </w:r>
      <w:r w:rsidR="00D5242A" w:rsidRPr="00D7220B">
        <w:rPr>
          <w:rFonts w:ascii="Arial" w:hAnsi="Arial" w:cs="Arial"/>
          <w:sz w:val="24"/>
          <w:szCs w:val="24"/>
        </w:rPr>
        <w:t xml:space="preserve"> 6–34. Blackwell.</w:t>
      </w:r>
    </w:p>
    <w:p w14:paraId="46E17349" w14:textId="77777777" w:rsidR="002142E7" w:rsidRDefault="002142E7" w:rsidP="00D7220B">
      <w:pPr>
        <w:spacing w:after="0" w:line="240" w:lineRule="auto"/>
        <w:jc w:val="both"/>
        <w:rPr>
          <w:rFonts w:ascii="Arial" w:hAnsi="Arial" w:cs="Arial"/>
          <w:sz w:val="24"/>
          <w:szCs w:val="24"/>
        </w:rPr>
      </w:pPr>
    </w:p>
    <w:p w14:paraId="52109328" w14:textId="77777777" w:rsidR="000756AF" w:rsidRPr="00D7220B" w:rsidRDefault="005468B2" w:rsidP="00D7220B">
      <w:pPr>
        <w:spacing w:after="0" w:line="240" w:lineRule="auto"/>
        <w:jc w:val="both"/>
        <w:rPr>
          <w:rFonts w:ascii="Arial" w:hAnsi="Arial" w:cs="Arial"/>
          <w:sz w:val="24"/>
          <w:szCs w:val="24"/>
        </w:rPr>
      </w:pPr>
      <w:r>
        <w:rPr>
          <w:rFonts w:ascii="Arial" w:hAnsi="Arial" w:cs="Arial"/>
          <w:sz w:val="24"/>
          <w:szCs w:val="24"/>
        </w:rPr>
        <w:t>Turner</w:t>
      </w:r>
      <w:r w:rsidR="00D5242A" w:rsidRPr="00D7220B">
        <w:rPr>
          <w:rFonts w:ascii="Arial" w:hAnsi="Arial" w:cs="Arial"/>
          <w:sz w:val="24"/>
          <w:szCs w:val="24"/>
        </w:rPr>
        <w:t>, J. C., Hogg, M. A., Oakes, P. J., Reicher, S. D., &amp; Wetherell, M. S. (1987).</w:t>
      </w:r>
    </w:p>
    <w:p w14:paraId="60EA44FD" w14:textId="77777777" w:rsidR="00C17C0B" w:rsidRPr="00D7220B" w:rsidRDefault="00D5242A" w:rsidP="00365B1F">
      <w:pPr>
        <w:spacing w:after="0" w:line="240" w:lineRule="auto"/>
        <w:jc w:val="both"/>
        <w:rPr>
          <w:rFonts w:ascii="Arial" w:hAnsi="Arial" w:cs="Arial"/>
          <w:sz w:val="24"/>
          <w:szCs w:val="24"/>
        </w:rPr>
      </w:pPr>
      <w:r w:rsidRPr="00D7220B">
        <w:rPr>
          <w:rFonts w:ascii="Arial" w:hAnsi="Arial" w:cs="Arial"/>
          <w:sz w:val="24"/>
          <w:szCs w:val="24"/>
        </w:rPr>
        <w:t>Rediscov</w:t>
      </w:r>
      <w:r w:rsidR="00365B1F">
        <w:rPr>
          <w:rFonts w:ascii="Arial" w:hAnsi="Arial" w:cs="Arial"/>
          <w:sz w:val="24"/>
          <w:szCs w:val="24"/>
        </w:rPr>
        <w:t>ering the social group: A self-Categorisation T</w:t>
      </w:r>
      <w:r w:rsidRPr="00D7220B">
        <w:rPr>
          <w:rFonts w:ascii="Arial" w:hAnsi="Arial" w:cs="Arial"/>
          <w:sz w:val="24"/>
          <w:szCs w:val="24"/>
        </w:rPr>
        <w:t>heory. Blackwell.</w:t>
      </w:r>
    </w:p>
    <w:p w14:paraId="1665877D" w14:textId="77777777" w:rsidR="002142E7" w:rsidRDefault="002142E7" w:rsidP="00D7220B">
      <w:pPr>
        <w:spacing w:after="0" w:line="240" w:lineRule="auto"/>
        <w:jc w:val="both"/>
        <w:rPr>
          <w:rFonts w:ascii="Arial" w:hAnsi="Arial" w:cs="Arial"/>
          <w:sz w:val="24"/>
          <w:szCs w:val="24"/>
        </w:rPr>
      </w:pPr>
    </w:p>
    <w:p w14:paraId="500B7743" w14:textId="77777777" w:rsidR="00C17C0B" w:rsidRPr="00D7220B" w:rsidRDefault="00D5242A" w:rsidP="00365B1F">
      <w:pPr>
        <w:spacing w:after="0" w:line="240" w:lineRule="auto"/>
        <w:jc w:val="both"/>
        <w:rPr>
          <w:rFonts w:ascii="Arial" w:hAnsi="Arial" w:cs="Arial"/>
          <w:sz w:val="24"/>
          <w:szCs w:val="24"/>
        </w:rPr>
      </w:pPr>
      <w:r w:rsidRPr="00D7220B">
        <w:rPr>
          <w:rFonts w:ascii="Arial" w:hAnsi="Arial" w:cs="Arial"/>
          <w:sz w:val="24"/>
          <w:szCs w:val="24"/>
        </w:rPr>
        <w:t xml:space="preserve">Turner, J. C., Oakes, P. J., Haslam, S. A., &amp; McGarty, C. (2021). Self and </w:t>
      </w:r>
      <w:r w:rsidR="00365B1F">
        <w:rPr>
          <w:rFonts w:ascii="Arial" w:hAnsi="Arial" w:cs="Arial"/>
          <w:sz w:val="24"/>
          <w:szCs w:val="24"/>
        </w:rPr>
        <w:t>Collective</w:t>
      </w:r>
      <w:r w:rsidRPr="00D7220B">
        <w:rPr>
          <w:rFonts w:ascii="Arial" w:hAnsi="Arial" w:cs="Arial"/>
          <w:sz w:val="24"/>
          <w:szCs w:val="24"/>
        </w:rPr>
        <w:t>: Cognition</w:t>
      </w:r>
      <w:r w:rsidR="00365B1F">
        <w:rPr>
          <w:rFonts w:ascii="Arial" w:hAnsi="Arial" w:cs="Arial"/>
          <w:sz w:val="24"/>
          <w:szCs w:val="24"/>
        </w:rPr>
        <w:t xml:space="preserve"> and Social C</w:t>
      </w:r>
      <w:r w:rsidRPr="00D7220B">
        <w:rPr>
          <w:rFonts w:ascii="Arial" w:hAnsi="Arial" w:cs="Arial"/>
          <w:sz w:val="24"/>
          <w:szCs w:val="24"/>
        </w:rPr>
        <w:t xml:space="preserve">ontext. </w:t>
      </w:r>
      <w:r w:rsidRPr="00D7220B">
        <w:rPr>
          <w:rFonts w:ascii="Arial" w:hAnsi="Arial" w:cs="Arial"/>
          <w:i/>
          <w:sz w:val="24"/>
          <w:szCs w:val="24"/>
        </w:rPr>
        <w:t>Personality and Social Psychology Bulletin</w:t>
      </w:r>
      <w:r w:rsidRPr="00D7220B">
        <w:rPr>
          <w:rFonts w:ascii="Arial" w:hAnsi="Arial" w:cs="Arial"/>
          <w:sz w:val="24"/>
          <w:szCs w:val="24"/>
        </w:rPr>
        <w:t>, 20(5), 454</w:t>
      </w:r>
      <w:r w:rsidR="005468B2">
        <w:rPr>
          <w:rFonts w:ascii="Arial" w:hAnsi="Arial" w:cs="Arial"/>
          <w:sz w:val="24"/>
          <w:szCs w:val="24"/>
        </w:rPr>
        <w:t>–</w:t>
      </w:r>
      <w:r w:rsidRPr="00D7220B">
        <w:rPr>
          <w:rFonts w:ascii="Arial" w:hAnsi="Arial" w:cs="Arial"/>
          <w:sz w:val="24"/>
          <w:szCs w:val="24"/>
        </w:rPr>
        <w:t>463.</w:t>
      </w:r>
    </w:p>
    <w:p w14:paraId="62EB2FA9" w14:textId="77777777" w:rsidR="002142E7" w:rsidRDefault="002142E7" w:rsidP="00D7220B">
      <w:pPr>
        <w:spacing w:after="0" w:line="240" w:lineRule="auto"/>
        <w:jc w:val="both"/>
        <w:rPr>
          <w:rFonts w:ascii="Arial" w:hAnsi="Arial" w:cs="Arial"/>
          <w:sz w:val="24"/>
          <w:szCs w:val="24"/>
        </w:rPr>
      </w:pPr>
    </w:p>
    <w:p w14:paraId="73905CEE" w14:textId="77777777" w:rsidR="00C17C0B" w:rsidRPr="00D7220B" w:rsidRDefault="00D5242A" w:rsidP="002142E7">
      <w:pPr>
        <w:spacing w:after="0" w:line="240" w:lineRule="auto"/>
        <w:jc w:val="both"/>
        <w:rPr>
          <w:rFonts w:ascii="Arial" w:hAnsi="Arial" w:cs="Arial"/>
          <w:sz w:val="24"/>
          <w:szCs w:val="24"/>
        </w:rPr>
      </w:pPr>
      <w:r w:rsidRPr="00D7220B">
        <w:rPr>
          <w:rFonts w:ascii="Arial" w:hAnsi="Arial" w:cs="Arial"/>
          <w:sz w:val="24"/>
          <w:szCs w:val="24"/>
        </w:rPr>
        <w:t>Wang, M. T.,</w:t>
      </w:r>
      <w:r w:rsidR="00365B1F">
        <w:rPr>
          <w:rFonts w:ascii="Arial" w:hAnsi="Arial" w:cs="Arial"/>
          <w:sz w:val="24"/>
          <w:szCs w:val="24"/>
        </w:rPr>
        <w:t xml:space="preserve"> &amp; Degol, J. L. (2016). School Climate: A Review of the Construct, M</w:t>
      </w:r>
      <w:r w:rsidRPr="00D7220B">
        <w:rPr>
          <w:rFonts w:ascii="Arial" w:hAnsi="Arial" w:cs="Arial"/>
          <w:sz w:val="24"/>
          <w:szCs w:val="24"/>
        </w:rPr>
        <w:t>easurement,</w:t>
      </w:r>
      <w:r w:rsidR="002142E7">
        <w:rPr>
          <w:rFonts w:ascii="Arial" w:hAnsi="Arial" w:cs="Arial"/>
          <w:sz w:val="24"/>
          <w:szCs w:val="24"/>
        </w:rPr>
        <w:t xml:space="preserve"> </w:t>
      </w:r>
      <w:r w:rsidR="00365B1F">
        <w:rPr>
          <w:rFonts w:ascii="Arial" w:hAnsi="Arial" w:cs="Arial"/>
          <w:sz w:val="24"/>
          <w:szCs w:val="24"/>
        </w:rPr>
        <w:t>and I</w:t>
      </w:r>
      <w:r w:rsidRPr="00D7220B">
        <w:rPr>
          <w:rFonts w:ascii="Arial" w:hAnsi="Arial" w:cs="Arial"/>
          <w:sz w:val="24"/>
          <w:szCs w:val="24"/>
        </w:rPr>
        <w:t xml:space="preserve">mpact on </w:t>
      </w:r>
      <w:r w:rsidR="00365B1F">
        <w:rPr>
          <w:rFonts w:ascii="Arial" w:hAnsi="Arial" w:cs="Arial"/>
          <w:sz w:val="24"/>
          <w:szCs w:val="24"/>
        </w:rPr>
        <w:t>Student Outcomes</w:t>
      </w:r>
      <w:r w:rsidRPr="00D7220B">
        <w:rPr>
          <w:rFonts w:ascii="Arial" w:hAnsi="Arial" w:cs="Arial"/>
          <w:sz w:val="24"/>
          <w:szCs w:val="24"/>
        </w:rPr>
        <w:t xml:space="preserve">. </w:t>
      </w:r>
      <w:r w:rsidRPr="00D7220B">
        <w:rPr>
          <w:rFonts w:ascii="Arial" w:hAnsi="Arial" w:cs="Arial"/>
          <w:i/>
          <w:sz w:val="24"/>
          <w:szCs w:val="24"/>
        </w:rPr>
        <w:t>Review of Educational</w:t>
      </w:r>
      <w:r w:rsidR="000756AF" w:rsidRPr="00D7220B">
        <w:rPr>
          <w:rFonts w:ascii="Arial" w:hAnsi="Arial" w:cs="Arial"/>
          <w:i/>
          <w:sz w:val="24"/>
          <w:szCs w:val="24"/>
        </w:rPr>
        <w:t xml:space="preserve"> Research</w:t>
      </w:r>
      <w:r w:rsidR="000756AF" w:rsidRPr="00D7220B">
        <w:rPr>
          <w:rFonts w:ascii="Arial" w:hAnsi="Arial" w:cs="Arial"/>
          <w:sz w:val="24"/>
          <w:szCs w:val="24"/>
        </w:rPr>
        <w:t xml:space="preserve">, </w:t>
      </w:r>
      <w:r w:rsidRPr="00D7220B">
        <w:rPr>
          <w:rFonts w:ascii="Arial" w:hAnsi="Arial" w:cs="Arial"/>
          <w:sz w:val="24"/>
          <w:szCs w:val="24"/>
        </w:rPr>
        <w:t>86</w:t>
      </w:r>
      <w:r w:rsidR="000756AF" w:rsidRPr="00D7220B">
        <w:rPr>
          <w:rFonts w:ascii="Arial" w:hAnsi="Arial" w:cs="Arial"/>
          <w:sz w:val="24"/>
          <w:szCs w:val="24"/>
        </w:rPr>
        <w:t xml:space="preserve"> </w:t>
      </w:r>
      <w:r w:rsidRPr="00D7220B">
        <w:rPr>
          <w:rFonts w:ascii="Arial" w:hAnsi="Arial" w:cs="Arial"/>
          <w:sz w:val="24"/>
          <w:szCs w:val="24"/>
        </w:rPr>
        <w:t>(2), 315–352. https://doi.org/10.3102/0034654315677822</w:t>
      </w:r>
    </w:p>
    <w:p w14:paraId="0449FDF1" w14:textId="77777777" w:rsidR="002142E7" w:rsidRDefault="002142E7" w:rsidP="00D7220B">
      <w:pPr>
        <w:spacing w:after="0" w:line="240" w:lineRule="auto"/>
        <w:jc w:val="both"/>
        <w:rPr>
          <w:rFonts w:ascii="Arial" w:hAnsi="Arial" w:cs="Arial"/>
          <w:sz w:val="24"/>
          <w:szCs w:val="24"/>
        </w:rPr>
      </w:pPr>
    </w:p>
    <w:p w14:paraId="259FB42F" w14:textId="77777777" w:rsidR="000756AF"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Wang, M. T., &amp; Hol</w:t>
      </w:r>
      <w:r w:rsidR="005468B2">
        <w:rPr>
          <w:rFonts w:ascii="Arial" w:hAnsi="Arial" w:cs="Arial"/>
          <w:sz w:val="24"/>
          <w:szCs w:val="24"/>
        </w:rPr>
        <w:t>combe, R. (2010). Adolescents’</w:t>
      </w:r>
      <w:r w:rsidR="00365B1F">
        <w:rPr>
          <w:rFonts w:ascii="Arial" w:hAnsi="Arial" w:cs="Arial"/>
          <w:sz w:val="24"/>
          <w:szCs w:val="24"/>
        </w:rPr>
        <w:t xml:space="preserve"> P</w:t>
      </w:r>
      <w:r w:rsidRPr="00D7220B">
        <w:rPr>
          <w:rFonts w:ascii="Arial" w:hAnsi="Arial" w:cs="Arial"/>
          <w:sz w:val="24"/>
          <w:szCs w:val="24"/>
        </w:rPr>
        <w:t>e</w:t>
      </w:r>
      <w:r w:rsidR="00365B1F">
        <w:rPr>
          <w:rFonts w:ascii="Arial" w:hAnsi="Arial" w:cs="Arial"/>
          <w:sz w:val="24"/>
          <w:szCs w:val="24"/>
        </w:rPr>
        <w:t>rceptions of School E</w:t>
      </w:r>
      <w:r w:rsidRPr="00D7220B">
        <w:rPr>
          <w:rFonts w:ascii="Arial" w:hAnsi="Arial" w:cs="Arial"/>
          <w:sz w:val="24"/>
          <w:szCs w:val="24"/>
        </w:rPr>
        <w:t>nvironment,</w:t>
      </w:r>
    </w:p>
    <w:p w14:paraId="7AD03A4D" w14:textId="77777777" w:rsidR="00C17C0B" w:rsidRPr="00D7220B" w:rsidRDefault="00365B1F" w:rsidP="00365B1F">
      <w:pPr>
        <w:spacing w:after="0" w:line="240" w:lineRule="auto"/>
        <w:jc w:val="both"/>
        <w:rPr>
          <w:rFonts w:ascii="Arial" w:hAnsi="Arial" w:cs="Arial"/>
          <w:sz w:val="24"/>
          <w:szCs w:val="24"/>
        </w:rPr>
      </w:pPr>
      <w:r>
        <w:rPr>
          <w:rFonts w:ascii="Arial" w:hAnsi="Arial" w:cs="Arial"/>
          <w:sz w:val="24"/>
          <w:szCs w:val="24"/>
        </w:rPr>
        <w:t>Engagement and Academic Achievement in Middle School</w:t>
      </w:r>
      <w:r w:rsidR="00D5242A" w:rsidRPr="00D7220B">
        <w:rPr>
          <w:rFonts w:ascii="Arial" w:hAnsi="Arial" w:cs="Arial"/>
          <w:sz w:val="24"/>
          <w:szCs w:val="24"/>
        </w:rPr>
        <w:t xml:space="preserve">. </w:t>
      </w:r>
      <w:r w:rsidR="00D5242A" w:rsidRPr="00D7220B">
        <w:rPr>
          <w:rFonts w:ascii="Arial" w:hAnsi="Arial" w:cs="Arial"/>
          <w:i/>
          <w:sz w:val="24"/>
          <w:szCs w:val="24"/>
        </w:rPr>
        <w:t>American</w:t>
      </w:r>
      <w:r w:rsidR="000756AF" w:rsidRPr="00D7220B">
        <w:rPr>
          <w:rFonts w:ascii="Arial" w:hAnsi="Arial" w:cs="Arial"/>
          <w:i/>
          <w:sz w:val="24"/>
          <w:szCs w:val="24"/>
        </w:rPr>
        <w:t xml:space="preserve"> Educational Research Journal</w:t>
      </w:r>
      <w:r w:rsidR="000756AF" w:rsidRPr="00D7220B">
        <w:rPr>
          <w:rFonts w:ascii="Arial" w:hAnsi="Arial" w:cs="Arial"/>
          <w:sz w:val="24"/>
          <w:szCs w:val="24"/>
        </w:rPr>
        <w:t xml:space="preserve">, </w:t>
      </w:r>
      <w:r w:rsidR="00D5242A" w:rsidRPr="00D7220B">
        <w:rPr>
          <w:rFonts w:ascii="Arial" w:hAnsi="Arial" w:cs="Arial"/>
          <w:sz w:val="24"/>
          <w:szCs w:val="24"/>
        </w:rPr>
        <w:t>47(3), 633–662. https://doi.org/10.3102/0002831209361209</w:t>
      </w:r>
    </w:p>
    <w:p w14:paraId="215983E7" w14:textId="77777777" w:rsidR="00365B1F" w:rsidRDefault="00365B1F" w:rsidP="00D7220B">
      <w:pPr>
        <w:spacing w:after="0" w:line="240" w:lineRule="auto"/>
        <w:jc w:val="both"/>
        <w:rPr>
          <w:rFonts w:ascii="Arial" w:hAnsi="Arial" w:cs="Arial"/>
          <w:sz w:val="24"/>
          <w:szCs w:val="24"/>
        </w:rPr>
      </w:pPr>
    </w:p>
    <w:p w14:paraId="0225E600" w14:textId="77777777" w:rsidR="000F49F3" w:rsidRPr="00D7220B" w:rsidRDefault="00D5242A" w:rsidP="00D7220B">
      <w:pPr>
        <w:spacing w:after="0" w:line="240" w:lineRule="auto"/>
        <w:jc w:val="both"/>
        <w:rPr>
          <w:rFonts w:ascii="Arial" w:hAnsi="Arial" w:cs="Arial"/>
          <w:i/>
          <w:sz w:val="24"/>
          <w:szCs w:val="24"/>
        </w:rPr>
      </w:pPr>
      <w:r w:rsidRPr="00D7220B">
        <w:rPr>
          <w:rFonts w:ascii="Arial" w:hAnsi="Arial" w:cs="Arial"/>
          <w:sz w:val="24"/>
          <w:szCs w:val="24"/>
        </w:rPr>
        <w:t xml:space="preserve">Zhu, </w:t>
      </w:r>
      <w:r w:rsidR="00365B1F">
        <w:rPr>
          <w:rFonts w:ascii="Arial" w:hAnsi="Arial" w:cs="Arial"/>
          <w:sz w:val="24"/>
          <w:szCs w:val="24"/>
        </w:rPr>
        <w:t>C., &amp; Li, H. (2012). Measuring School C</w:t>
      </w:r>
      <w:r w:rsidRPr="00D7220B">
        <w:rPr>
          <w:rFonts w:ascii="Arial" w:hAnsi="Arial" w:cs="Arial"/>
          <w:sz w:val="24"/>
          <w:szCs w:val="24"/>
        </w:rPr>
        <w:t xml:space="preserve">ulture and </w:t>
      </w:r>
      <w:r w:rsidR="00365B1F">
        <w:rPr>
          <w:rFonts w:ascii="Arial" w:hAnsi="Arial" w:cs="Arial"/>
          <w:sz w:val="24"/>
          <w:szCs w:val="24"/>
        </w:rPr>
        <w:t>Climate</w:t>
      </w:r>
      <w:r w:rsidRPr="00D7220B">
        <w:rPr>
          <w:rFonts w:ascii="Arial" w:hAnsi="Arial" w:cs="Arial"/>
          <w:sz w:val="24"/>
          <w:szCs w:val="24"/>
        </w:rPr>
        <w:t xml:space="preserve">. </w:t>
      </w:r>
      <w:r w:rsidRPr="00D7220B">
        <w:rPr>
          <w:rFonts w:ascii="Arial" w:hAnsi="Arial" w:cs="Arial"/>
          <w:i/>
          <w:sz w:val="24"/>
          <w:szCs w:val="24"/>
        </w:rPr>
        <w:t>Journal of Educational</w:t>
      </w:r>
    </w:p>
    <w:p w14:paraId="02F54081" w14:textId="77777777" w:rsidR="00C17C0B" w:rsidRPr="00D7220B" w:rsidRDefault="00D5242A" w:rsidP="00365B1F">
      <w:pPr>
        <w:spacing w:after="0" w:line="240" w:lineRule="auto"/>
        <w:jc w:val="both"/>
        <w:rPr>
          <w:rFonts w:ascii="Arial" w:hAnsi="Arial" w:cs="Arial"/>
          <w:sz w:val="24"/>
          <w:szCs w:val="24"/>
        </w:rPr>
      </w:pPr>
      <w:r w:rsidRPr="00D7220B">
        <w:rPr>
          <w:rFonts w:ascii="Arial" w:hAnsi="Arial" w:cs="Arial"/>
          <w:i/>
          <w:sz w:val="24"/>
          <w:szCs w:val="24"/>
        </w:rPr>
        <w:t xml:space="preserve"> Research and Evaluation,</w:t>
      </w:r>
      <w:r w:rsidRPr="00D7220B">
        <w:rPr>
          <w:rFonts w:ascii="Arial" w:hAnsi="Arial" w:cs="Arial"/>
          <w:sz w:val="24"/>
          <w:szCs w:val="24"/>
        </w:rPr>
        <w:t xml:space="preserve"> </w:t>
      </w:r>
      <w:r w:rsidR="000756AF" w:rsidRPr="00D7220B">
        <w:rPr>
          <w:rFonts w:ascii="Arial" w:hAnsi="Arial" w:cs="Arial"/>
          <w:sz w:val="24"/>
          <w:szCs w:val="24"/>
        </w:rPr>
        <w:t xml:space="preserve">17 </w:t>
      </w:r>
      <w:r w:rsidRPr="00D7220B">
        <w:rPr>
          <w:rFonts w:ascii="Arial" w:hAnsi="Arial" w:cs="Arial"/>
          <w:sz w:val="24"/>
          <w:szCs w:val="24"/>
        </w:rPr>
        <w:t>(3), 201–215.</w:t>
      </w:r>
    </w:p>
    <w:p w14:paraId="15B858AE" w14:textId="77777777" w:rsidR="00C17C0B" w:rsidRPr="00D7220B" w:rsidRDefault="00C17C0B" w:rsidP="00D7220B">
      <w:pPr>
        <w:spacing w:line="240" w:lineRule="auto"/>
        <w:jc w:val="both"/>
        <w:rPr>
          <w:rFonts w:ascii="Arial" w:hAnsi="Arial" w:cs="Arial"/>
          <w:sz w:val="24"/>
          <w:szCs w:val="24"/>
        </w:rPr>
      </w:pPr>
    </w:p>
    <w:p w14:paraId="5C2EBE15" w14:textId="77777777" w:rsidR="00C17C0B" w:rsidRPr="00D7220B" w:rsidRDefault="00C17C0B" w:rsidP="00D7220B">
      <w:pPr>
        <w:spacing w:line="240" w:lineRule="auto"/>
        <w:jc w:val="both"/>
        <w:rPr>
          <w:rFonts w:ascii="Arial" w:hAnsi="Arial" w:cs="Arial"/>
          <w:sz w:val="24"/>
          <w:szCs w:val="24"/>
        </w:rPr>
      </w:pPr>
    </w:p>
    <w:sectPr w:rsidR="00C17C0B" w:rsidRPr="00D7220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A0DE4" w14:textId="77777777" w:rsidR="006762EF" w:rsidRDefault="006762EF" w:rsidP="007A3CBB">
      <w:pPr>
        <w:spacing w:after="0" w:line="240" w:lineRule="auto"/>
      </w:pPr>
      <w:r>
        <w:separator/>
      </w:r>
    </w:p>
  </w:endnote>
  <w:endnote w:type="continuationSeparator" w:id="0">
    <w:p w14:paraId="0FF5F57E" w14:textId="77777777" w:rsidR="006762EF" w:rsidRDefault="006762EF" w:rsidP="007A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98D4" w14:textId="77777777" w:rsidR="007A3CBB" w:rsidRDefault="007A3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3E3D1" w14:textId="77777777" w:rsidR="007A3CBB" w:rsidRDefault="007A3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77A0" w14:textId="77777777" w:rsidR="007A3CBB" w:rsidRDefault="007A3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D9038" w14:textId="77777777" w:rsidR="006762EF" w:rsidRDefault="006762EF" w:rsidP="007A3CBB">
      <w:pPr>
        <w:spacing w:after="0" w:line="240" w:lineRule="auto"/>
      </w:pPr>
      <w:r>
        <w:separator/>
      </w:r>
    </w:p>
  </w:footnote>
  <w:footnote w:type="continuationSeparator" w:id="0">
    <w:p w14:paraId="6509F96A" w14:textId="77777777" w:rsidR="006762EF" w:rsidRDefault="006762EF" w:rsidP="007A3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32FAA" w14:textId="4DD984BD" w:rsidR="007A3CBB" w:rsidRDefault="007A3CBB">
    <w:pPr>
      <w:pStyle w:val="Header"/>
    </w:pPr>
    <w:r>
      <w:rPr>
        <w:noProof/>
      </w:rPr>
      <w:pict w14:anchorId="1EDAE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E14C1" w14:textId="2CAAF7E7" w:rsidR="007A3CBB" w:rsidRDefault="007A3CBB">
    <w:pPr>
      <w:pStyle w:val="Header"/>
    </w:pPr>
    <w:r>
      <w:rPr>
        <w:noProof/>
      </w:rPr>
      <w:pict w14:anchorId="676F1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541D3" w14:textId="08BA6C30" w:rsidR="007A3CBB" w:rsidRDefault="007A3CBB">
    <w:pPr>
      <w:pStyle w:val="Header"/>
    </w:pPr>
    <w:r>
      <w:rPr>
        <w:noProof/>
      </w:rPr>
      <w:pict w14:anchorId="5DBF2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C03CF"/>
    <w:multiLevelType w:val="hybridMultilevel"/>
    <w:tmpl w:val="593E0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AC2B25"/>
    <w:multiLevelType w:val="multilevel"/>
    <w:tmpl w:val="D34EF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33597C"/>
    <w:multiLevelType w:val="multilevel"/>
    <w:tmpl w:val="5032EF8A"/>
    <w:lvl w:ilvl="0">
      <w:start w:val="2"/>
      <w:numFmt w:val="decimal"/>
      <w:lvlText w:val="%1.0"/>
      <w:lvlJc w:val="left"/>
      <w:pPr>
        <w:ind w:left="405" w:hanging="405"/>
      </w:pPr>
      <w:rPr>
        <w:rFonts w:hint="default"/>
        <w:sz w:val="28"/>
      </w:rPr>
    </w:lvl>
    <w:lvl w:ilvl="1">
      <w:start w:val="1"/>
      <w:numFmt w:val="decimal"/>
      <w:lvlText w:val="%1.%2"/>
      <w:lvlJc w:val="left"/>
      <w:pPr>
        <w:ind w:left="1125" w:hanging="405"/>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3240" w:hanging="108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5040" w:hanging="144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840" w:hanging="1800"/>
      </w:pPr>
      <w:rPr>
        <w:rFonts w:hint="default"/>
        <w:sz w:val="28"/>
      </w:rPr>
    </w:lvl>
    <w:lvl w:ilvl="8">
      <w:start w:val="1"/>
      <w:numFmt w:val="decimal"/>
      <w:lvlText w:val="%1.%2.%3.%4.%5.%6.%7.%8.%9"/>
      <w:lvlJc w:val="left"/>
      <w:pPr>
        <w:ind w:left="7560" w:hanging="1800"/>
      </w:pPr>
      <w:rPr>
        <w:rFonts w:hint="default"/>
        <w:sz w:val="28"/>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F77"/>
    <w:rsid w:val="00005591"/>
    <w:rsid w:val="00012267"/>
    <w:rsid w:val="000440C9"/>
    <w:rsid w:val="00056B4E"/>
    <w:rsid w:val="0007123A"/>
    <w:rsid w:val="000756AF"/>
    <w:rsid w:val="0008416A"/>
    <w:rsid w:val="00092D0B"/>
    <w:rsid w:val="00092D92"/>
    <w:rsid w:val="000E30ED"/>
    <w:rsid w:val="000F43C0"/>
    <w:rsid w:val="000F49F3"/>
    <w:rsid w:val="00137D52"/>
    <w:rsid w:val="00142B75"/>
    <w:rsid w:val="00143E85"/>
    <w:rsid w:val="00157961"/>
    <w:rsid w:val="0016629F"/>
    <w:rsid w:val="00195065"/>
    <w:rsid w:val="001B173B"/>
    <w:rsid w:val="001C1F1B"/>
    <w:rsid w:val="001C330D"/>
    <w:rsid w:val="001E2912"/>
    <w:rsid w:val="002142E7"/>
    <w:rsid w:val="002307E5"/>
    <w:rsid w:val="002452DB"/>
    <w:rsid w:val="002B75BB"/>
    <w:rsid w:val="002C5B70"/>
    <w:rsid w:val="00304D9A"/>
    <w:rsid w:val="003073BF"/>
    <w:rsid w:val="00317BC8"/>
    <w:rsid w:val="00335CEA"/>
    <w:rsid w:val="00353EAF"/>
    <w:rsid w:val="00365B1F"/>
    <w:rsid w:val="00383F77"/>
    <w:rsid w:val="00396538"/>
    <w:rsid w:val="00400922"/>
    <w:rsid w:val="00460742"/>
    <w:rsid w:val="00464CA2"/>
    <w:rsid w:val="00473348"/>
    <w:rsid w:val="004D2BCA"/>
    <w:rsid w:val="00524151"/>
    <w:rsid w:val="005468B2"/>
    <w:rsid w:val="00550143"/>
    <w:rsid w:val="005546E7"/>
    <w:rsid w:val="005631E9"/>
    <w:rsid w:val="00586560"/>
    <w:rsid w:val="005A5EFC"/>
    <w:rsid w:val="005C5102"/>
    <w:rsid w:val="005C61FD"/>
    <w:rsid w:val="00622D9E"/>
    <w:rsid w:val="00630A19"/>
    <w:rsid w:val="00653A68"/>
    <w:rsid w:val="006762EF"/>
    <w:rsid w:val="006A4521"/>
    <w:rsid w:val="006B076F"/>
    <w:rsid w:val="006D14D7"/>
    <w:rsid w:val="007218AB"/>
    <w:rsid w:val="00723AF3"/>
    <w:rsid w:val="00723F0C"/>
    <w:rsid w:val="007930D1"/>
    <w:rsid w:val="007A3CBB"/>
    <w:rsid w:val="007D2DB1"/>
    <w:rsid w:val="007E21D2"/>
    <w:rsid w:val="00897222"/>
    <w:rsid w:val="008A01D2"/>
    <w:rsid w:val="008A3D18"/>
    <w:rsid w:val="008E2279"/>
    <w:rsid w:val="0090289B"/>
    <w:rsid w:val="00956594"/>
    <w:rsid w:val="009B3860"/>
    <w:rsid w:val="009B648C"/>
    <w:rsid w:val="009B6E32"/>
    <w:rsid w:val="009C6952"/>
    <w:rsid w:val="009E1FA3"/>
    <w:rsid w:val="009F561D"/>
    <w:rsid w:val="00A11B65"/>
    <w:rsid w:val="00A14F5B"/>
    <w:rsid w:val="00A3223A"/>
    <w:rsid w:val="00A53B44"/>
    <w:rsid w:val="00A611DE"/>
    <w:rsid w:val="00AC37DA"/>
    <w:rsid w:val="00B656FC"/>
    <w:rsid w:val="00B70F31"/>
    <w:rsid w:val="00BD101F"/>
    <w:rsid w:val="00BE2EDA"/>
    <w:rsid w:val="00BF3BA9"/>
    <w:rsid w:val="00C15F1A"/>
    <w:rsid w:val="00C17C0B"/>
    <w:rsid w:val="00C40DCF"/>
    <w:rsid w:val="00C87A74"/>
    <w:rsid w:val="00CB6E29"/>
    <w:rsid w:val="00D1463E"/>
    <w:rsid w:val="00D34D41"/>
    <w:rsid w:val="00D36F8B"/>
    <w:rsid w:val="00D5242A"/>
    <w:rsid w:val="00D67CA0"/>
    <w:rsid w:val="00D7220B"/>
    <w:rsid w:val="00D80810"/>
    <w:rsid w:val="00DA764F"/>
    <w:rsid w:val="00DD1838"/>
    <w:rsid w:val="00DE62EE"/>
    <w:rsid w:val="00E432A5"/>
    <w:rsid w:val="00E43F2F"/>
    <w:rsid w:val="00E44C15"/>
    <w:rsid w:val="00EB3163"/>
    <w:rsid w:val="00EC7C01"/>
    <w:rsid w:val="00ED7C83"/>
    <w:rsid w:val="00F20ED8"/>
    <w:rsid w:val="00F32891"/>
    <w:rsid w:val="00F411C3"/>
    <w:rsid w:val="00F75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F479A1"/>
  <w15:chartTrackingRefBased/>
  <w15:docId w15:val="{1AA1AB91-E1CC-44B7-AC59-2947A1F2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1B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i-insert">
    <w:name w:val="ai-insert"/>
    <w:basedOn w:val="DefaultParagraphFont"/>
    <w:rsid w:val="00A11B65"/>
  </w:style>
  <w:style w:type="character" w:customStyle="1" w:styleId="paperpal-citation">
    <w:name w:val="paperpal-citation"/>
    <w:basedOn w:val="DefaultParagraphFont"/>
    <w:rsid w:val="00A11B65"/>
  </w:style>
  <w:style w:type="character" w:styleId="Hyperlink">
    <w:name w:val="Hyperlink"/>
    <w:basedOn w:val="DefaultParagraphFont"/>
    <w:uiPriority w:val="99"/>
    <w:unhideWhenUsed/>
    <w:rsid w:val="00304D9A"/>
    <w:rPr>
      <w:color w:val="0563C1" w:themeColor="hyperlink"/>
      <w:u w:val="single"/>
    </w:rPr>
  </w:style>
  <w:style w:type="table" w:styleId="GridTable4-Accent2">
    <w:name w:val="Grid Table 4 Accent 2"/>
    <w:basedOn w:val="TableNormal"/>
    <w:uiPriority w:val="49"/>
    <w:rsid w:val="00653A6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2">
    <w:name w:val="Table Grid2"/>
    <w:basedOn w:val="TableNormal"/>
    <w:next w:val="TableGrid"/>
    <w:uiPriority w:val="39"/>
    <w:rsid w:val="00653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53A6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653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F3DF7"/>
    <w:rPr>
      <w:sz w:val="16"/>
      <w:szCs w:val="16"/>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paragraph" w:styleId="CommentText">
    <w:name w:val="annotation text"/>
    <w:basedOn w:val="Normal"/>
    <w:link w:val="CommentTextChar"/>
    <w:uiPriority w:val="99"/>
    <w:rsid w:val="000F3DF7"/>
    <w:pPr>
      <w:spacing w:line="240" w:lineRule="auto"/>
    </w:pPr>
    <w:rPr>
      <w:sz w:val="20"/>
      <w:szCs w:val="20"/>
    </w:rPr>
  </w:style>
  <w:style w:type="character" w:customStyle="1" w:styleId="CommentTextChar">
    <w:name w:val="Comment Text Char"/>
    <w:basedOn w:val="DefaultParagraphFont"/>
    <w:link w:val="CommentText"/>
    <w:uiPriority w:val="99"/>
    <w:rsid w:val="000F3DF7"/>
    <w:rPr>
      <w:sz w:val="20"/>
      <w:szCs w:val="20"/>
    </w:rPr>
  </w:style>
  <w:style w:type="paragraph" w:styleId="BalloonText">
    <w:name w:val="Balloon Text"/>
    <w:basedOn w:val="Normal"/>
    <w:link w:val="BalloonTextChar"/>
    <w:uiPriority w:val="99"/>
    <w:semiHidden/>
    <w:unhideWhenUsed/>
    <w:rsid w:val="00D52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42A"/>
    <w:rPr>
      <w:rFonts w:ascii="Segoe UI" w:hAnsi="Segoe UI" w:cs="Segoe UI"/>
      <w:sz w:val="18"/>
      <w:szCs w:val="18"/>
    </w:rPr>
  </w:style>
  <w:style w:type="table" w:styleId="GridTable5Dark-Accent5">
    <w:name w:val="Grid Table 5 Dark Accent 5"/>
    <w:basedOn w:val="TableNormal"/>
    <w:uiPriority w:val="50"/>
    <w:rsid w:val="004D2B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ListParagraph">
    <w:name w:val="List Paragraph"/>
    <w:basedOn w:val="Normal"/>
    <w:uiPriority w:val="34"/>
    <w:qFormat/>
    <w:rsid w:val="009B3860"/>
    <w:pPr>
      <w:ind w:left="720"/>
      <w:contextualSpacing/>
    </w:pPr>
  </w:style>
  <w:style w:type="character" w:styleId="UnresolvedMention">
    <w:name w:val="Unresolved Mention"/>
    <w:basedOn w:val="DefaultParagraphFont"/>
    <w:uiPriority w:val="99"/>
    <w:semiHidden/>
    <w:unhideWhenUsed/>
    <w:rsid w:val="00B656FC"/>
    <w:rPr>
      <w:color w:val="605E5C"/>
      <w:shd w:val="clear" w:color="auto" w:fill="E1DFDD"/>
    </w:rPr>
  </w:style>
  <w:style w:type="paragraph" w:styleId="Header">
    <w:name w:val="header"/>
    <w:basedOn w:val="Normal"/>
    <w:link w:val="HeaderChar"/>
    <w:uiPriority w:val="99"/>
    <w:unhideWhenUsed/>
    <w:rsid w:val="007A3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CBB"/>
  </w:style>
  <w:style w:type="paragraph" w:styleId="Footer">
    <w:name w:val="footer"/>
    <w:basedOn w:val="Normal"/>
    <w:link w:val="FooterChar"/>
    <w:uiPriority w:val="99"/>
    <w:unhideWhenUsed/>
    <w:rsid w:val="007A3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tps://doi.org/10.1007/978-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9203</Words>
  <Characters>52461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SDI 1084</cp:lastModifiedBy>
  <cp:revision>14</cp:revision>
  <dcterms:created xsi:type="dcterms:W3CDTF">2026-02-10T13:31:00Z</dcterms:created>
  <dcterms:modified xsi:type="dcterms:W3CDTF">2026-02-11T07:31:00Z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a3acd6af-648b-4988-a20d-515995c9b2f9</vt:lpwstr>
  </property>
</Properties>
</file>