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134B0" w14:textId="1AFD3A0B" w:rsidR="00281D4D" w:rsidRPr="00281D4D" w:rsidRDefault="00281D4D" w:rsidP="00281D4D">
      <w:pPr>
        <w:rPr>
          <w:rFonts w:ascii="Times New Roman" w:hAnsi="Times New Roman" w:cs="Times New Roman"/>
          <w:b/>
          <w:bCs/>
          <w:sz w:val="28"/>
          <w:szCs w:val="28"/>
          <w:u w:val="single"/>
        </w:rPr>
      </w:pPr>
      <w:r w:rsidRPr="00281D4D">
        <w:rPr>
          <w:rFonts w:ascii="Times New Roman" w:hAnsi="Times New Roman" w:cs="Times New Roman"/>
          <w:b/>
          <w:bCs/>
          <w:sz w:val="28"/>
          <w:szCs w:val="28"/>
          <w:u w:val="single"/>
        </w:rPr>
        <w:t>Original Research Article</w:t>
      </w:r>
    </w:p>
    <w:p w14:paraId="06BD97C2" w14:textId="77777777" w:rsidR="00281D4D" w:rsidRDefault="00281D4D">
      <w:pPr>
        <w:jc w:val="center"/>
        <w:rPr>
          <w:rFonts w:ascii="Times New Roman" w:hAnsi="Times New Roman" w:cs="Times New Roman"/>
          <w:b/>
          <w:bCs/>
          <w:sz w:val="28"/>
          <w:szCs w:val="28"/>
        </w:rPr>
      </w:pPr>
    </w:p>
    <w:p w14:paraId="705EB13C" w14:textId="7EBF2A10" w:rsidR="00CA2D21" w:rsidRDefault="00E12691">
      <w:pPr>
        <w:jc w:val="center"/>
        <w:rPr>
          <w:rFonts w:ascii="Times New Roman" w:hAnsi="Times New Roman" w:cs="Times New Roman"/>
          <w:b/>
          <w:bCs/>
          <w:sz w:val="28"/>
          <w:szCs w:val="28"/>
        </w:rPr>
      </w:pPr>
      <w:r>
        <w:rPr>
          <w:rFonts w:ascii="Times New Roman" w:hAnsi="Times New Roman" w:cs="Times New Roman"/>
          <w:b/>
          <w:bCs/>
          <w:sz w:val="28"/>
          <w:szCs w:val="28"/>
        </w:rPr>
        <w:t>STAKEHOLDERS' INVOLVEMENT AND SCHOOL EFFECTIVENESS IN PRIMARY EDUCATION: EVIDENCE FROM LAGOS STATE, NIGERIA</w:t>
      </w:r>
    </w:p>
    <w:p w14:paraId="7F65C221" w14:textId="77777777" w:rsidR="00281D4D" w:rsidRDefault="00281D4D">
      <w:pPr>
        <w:jc w:val="both"/>
        <w:rPr>
          <w:rFonts w:ascii="Times New Roman" w:hAnsi="Times New Roman" w:cs="Times New Roman"/>
          <w:b/>
          <w:bCs/>
          <w:sz w:val="28"/>
          <w:szCs w:val="28"/>
        </w:rPr>
      </w:pPr>
    </w:p>
    <w:p w14:paraId="7DF538F1" w14:textId="77777777" w:rsidR="00281D4D" w:rsidRDefault="00281D4D">
      <w:pPr>
        <w:jc w:val="both"/>
        <w:rPr>
          <w:rFonts w:ascii="Times New Roman" w:hAnsi="Times New Roman" w:cs="Times New Roman"/>
          <w:b/>
          <w:bCs/>
          <w:sz w:val="28"/>
          <w:szCs w:val="28"/>
        </w:rPr>
      </w:pPr>
    </w:p>
    <w:p w14:paraId="0AF4E16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Abstract</w:t>
      </w:r>
    </w:p>
    <w:p w14:paraId="6F785BF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study will examine the connection between stakeholder involvement and school performance in primary schools in Lagos State Education District IV, Nigeria. They collected data in the form of a survey using descriptive</w:t>
      </w:r>
      <w:r>
        <w:rPr>
          <w:rFonts w:ascii="Times New Roman" w:hAnsi="Times New Roman" w:cs="Times New Roman"/>
          <w:sz w:val="28"/>
          <w:szCs w:val="28"/>
        </w:rPr>
        <w:t xml:space="preserve"> survey methodology using structured questionnaires in 300 teachers, which is a 97% response rate. It has used the Pearson Product Moment Correlation Coefficient to test 5 </w:t>
      </w:r>
      <w:proofErr w:type="gramStart"/>
      <w:r>
        <w:rPr>
          <w:rFonts w:ascii="Times New Roman" w:hAnsi="Times New Roman" w:cs="Times New Roman"/>
          <w:sz w:val="28"/>
          <w:szCs w:val="28"/>
        </w:rPr>
        <w:t>hypothesis</w:t>
      </w:r>
      <w:proofErr w:type="gramEnd"/>
      <w:r>
        <w:rPr>
          <w:rFonts w:ascii="Times New Roman" w:hAnsi="Times New Roman" w:cs="Times New Roman"/>
          <w:sz w:val="28"/>
          <w:szCs w:val="28"/>
        </w:rPr>
        <w:t xml:space="preserve"> at the significance level of 0.05. Results prove the statistically signif</w:t>
      </w:r>
      <w:r>
        <w:rPr>
          <w:rFonts w:ascii="Times New Roman" w:hAnsi="Times New Roman" w:cs="Times New Roman"/>
          <w:sz w:val="28"/>
          <w:szCs w:val="28"/>
        </w:rPr>
        <w:t>icant positive correlations between school effectiveness and the participation of five stakeholder groups: parents (r=0.80, p&lt;0.05), teachers (r=0.77, p&lt;0.05), community members (r=0.76, p&lt;0.05), voluntary agencies (r=0.73, p&lt;0.05), and government entities</w:t>
      </w:r>
      <w:r>
        <w:rPr>
          <w:rFonts w:ascii="Times New Roman" w:hAnsi="Times New Roman" w:cs="Times New Roman"/>
          <w:sz w:val="28"/>
          <w:szCs w:val="28"/>
        </w:rPr>
        <w:t xml:space="preserve"> (r=0.79, p&lt;0.05). The findings have shown that the high-quality of education in primary schools is affected significantly by collaborative stakeholder involvement. The research proposes the use of participative decision-making processes by involving stake</w:t>
      </w:r>
      <w:r>
        <w:rPr>
          <w:rFonts w:ascii="Times New Roman" w:hAnsi="Times New Roman" w:cs="Times New Roman"/>
          <w:sz w:val="28"/>
          <w:szCs w:val="28"/>
        </w:rPr>
        <w:t>holders in shaping the educational policy, de-politicizing the making of educational policy, increasing transparency in government educational programs through mass media, and making sure that school administrators involve related stakeholders in the imple</w:t>
      </w:r>
      <w:r>
        <w:rPr>
          <w:rFonts w:ascii="Times New Roman" w:hAnsi="Times New Roman" w:cs="Times New Roman"/>
          <w:sz w:val="28"/>
          <w:szCs w:val="28"/>
        </w:rPr>
        <w:t>mentation of educational policy that directly involves primary education. Such results are important to the comprehension of multi-stakeholder models in the setting of educational policies in developing countries and offer the empirical data of policy chan</w:t>
      </w:r>
      <w:r>
        <w:rPr>
          <w:rFonts w:ascii="Times New Roman" w:hAnsi="Times New Roman" w:cs="Times New Roman"/>
          <w:sz w:val="28"/>
          <w:szCs w:val="28"/>
        </w:rPr>
        <w:t>ges in order to enhance the outcomes of primary education.</w:t>
      </w:r>
    </w:p>
    <w:p w14:paraId="776D4FB2" w14:textId="1ECB52B9"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Keywords:</w:t>
      </w:r>
      <w:r>
        <w:rPr>
          <w:rFonts w:ascii="Times New Roman" w:hAnsi="Times New Roman" w:cs="Times New Roman"/>
          <w:sz w:val="28"/>
          <w:szCs w:val="28"/>
        </w:rPr>
        <w:t xml:space="preserve"> Stakeholder involvement; school effectiveness; primary education; the quality of education; parent involvement; Lagos State.</w:t>
      </w:r>
    </w:p>
    <w:p w14:paraId="793154A7" w14:textId="74897583" w:rsidR="001C3404" w:rsidRDefault="001C3404">
      <w:pPr>
        <w:jc w:val="both"/>
        <w:rPr>
          <w:rFonts w:ascii="Times New Roman" w:hAnsi="Times New Roman" w:cs="Times New Roman"/>
          <w:sz w:val="28"/>
          <w:szCs w:val="28"/>
        </w:rPr>
      </w:pPr>
    </w:p>
    <w:p w14:paraId="586E23B1" w14:textId="77777777" w:rsidR="001C3404" w:rsidRDefault="001C3404">
      <w:pPr>
        <w:jc w:val="both"/>
        <w:rPr>
          <w:rFonts w:ascii="Times New Roman" w:hAnsi="Times New Roman" w:cs="Times New Roman"/>
          <w:sz w:val="28"/>
          <w:szCs w:val="28"/>
        </w:rPr>
      </w:pPr>
      <w:bookmarkStart w:id="0" w:name="_GoBack"/>
      <w:bookmarkEnd w:id="0"/>
    </w:p>
    <w:p w14:paraId="379763C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lastRenderedPageBreak/>
        <w:t>1. Introduction</w:t>
      </w:r>
    </w:p>
    <w:p w14:paraId="45DB12A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quality of education has been a core pilla</w:t>
      </w:r>
      <w:r>
        <w:rPr>
          <w:rFonts w:ascii="Times New Roman" w:hAnsi="Times New Roman" w:cs="Times New Roman"/>
          <w:sz w:val="28"/>
          <w:szCs w:val="28"/>
        </w:rPr>
        <w:t>r to national development, especially among the developing economies where primary education forms the foundation through which the other forms of education follow (Christopher et al., 2025). Primary education, which refers to the education of children bet</w:t>
      </w:r>
      <w:r>
        <w:rPr>
          <w:rFonts w:ascii="Times New Roman" w:hAnsi="Times New Roman" w:cs="Times New Roman"/>
          <w:sz w:val="28"/>
          <w:szCs w:val="28"/>
        </w:rPr>
        <w:t>ween the age of six and twelve years, is a decisive factor of school success at all the further stages of education (Adeoye, 2015). In the educational system of Nigeria, primary school education is the first systematic dissemination of exposure to formal e</w:t>
      </w:r>
      <w:r>
        <w:rPr>
          <w:rFonts w:ascii="Times New Roman" w:hAnsi="Times New Roman" w:cs="Times New Roman"/>
          <w:sz w:val="28"/>
          <w:szCs w:val="28"/>
        </w:rPr>
        <w:t>ducation therefore, its performance is critical to long-term educational performance and national development.</w:t>
      </w:r>
    </w:p>
    <w:p w14:paraId="00681A5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Modern discussions about the quality of education focus on the multidimensionality of the effectiveness concept, which involves access, the quali</w:t>
      </w:r>
      <w:r>
        <w:rPr>
          <w:rFonts w:ascii="Times New Roman" w:hAnsi="Times New Roman" w:cs="Times New Roman"/>
          <w:sz w:val="28"/>
          <w:szCs w:val="28"/>
        </w:rPr>
        <w:t>ty of inputs, teaching/learning process, and quantifiable outputs (Asiyai, 2012). Although the educational spending has been consistently growing in developing countries, the same happened to the quality of education, which has been lacking, and this issue</w:t>
      </w:r>
      <w:r>
        <w:rPr>
          <w:rFonts w:ascii="Times New Roman" w:hAnsi="Times New Roman" w:cs="Times New Roman"/>
          <w:sz w:val="28"/>
          <w:szCs w:val="28"/>
        </w:rPr>
        <w:t xml:space="preserve"> has fueled the scholarly debate on the factors that affect the performance of schools (Echekoba &amp; Amakor, 2017). The gap between the distribution of resources and the level of education requires consideration of additional systemic aspects, especially the</w:t>
      </w:r>
      <w:r>
        <w:rPr>
          <w:rFonts w:ascii="Times New Roman" w:hAnsi="Times New Roman" w:cs="Times New Roman"/>
          <w:sz w:val="28"/>
          <w:szCs w:val="28"/>
        </w:rPr>
        <w:t xml:space="preserve"> role of different stakeholders in the educational ecosystems.</w:t>
      </w:r>
    </w:p>
    <w:p w14:paraId="34C83F5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stakeholder concept in the education sector includes all individuals, groups and organizations that have a vested interest in the processes and product of education (Adebayo, 2013). Accordi</w:t>
      </w:r>
      <w:r>
        <w:rPr>
          <w:rFonts w:ascii="Times New Roman" w:hAnsi="Times New Roman" w:cs="Times New Roman"/>
          <w:sz w:val="28"/>
          <w:szCs w:val="28"/>
        </w:rPr>
        <w:t>ng to recent scholarship, education delivery is a shared work that should be coordinated efforts of various actors (Kamba, 2010). The stakeholders apply their influence in different ways: they shape the policy frames, provide resources, are involved in the</w:t>
      </w:r>
      <w:r>
        <w:rPr>
          <w:rFonts w:ascii="Times New Roman" w:hAnsi="Times New Roman" w:cs="Times New Roman"/>
          <w:sz w:val="28"/>
          <w:szCs w:val="28"/>
        </w:rPr>
        <w:t xml:space="preserve"> process of decisions making and keep track of the effectiveness of the implemented processes. In the primary school education in particular, the stakeholder categories are normally categorized into students, teachers, parents, school administrators, commu</w:t>
      </w:r>
      <w:r>
        <w:rPr>
          <w:rFonts w:ascii="Times New Roman" w:hAnsi="Times New Roman" w:cs="Times New Roman"/>
          <w:sz w:val="28"/>
          <w:szCs w:val="28"/>
        </w:rPr>
        <w:t>nity members, voluntary agencies and government at the different levels of administration (Spillane, 2005). The theoretical basis of these relationships is the stakeholder theory which was originally developed by Freeman (1984) and later developed by other</w:t>
      </w:r>
      <w:r>
        <w:rPr>
          <w:rFonts w:ascii="Times New Roman" w:hAnsi="Times New Roman" w:cs="Times New Roman"/>
          <w:sz w:val="28"/>
          <w:szCs w:val="28"/>
        </w:rPr>
        <w:t xml:space="preserve"> authors (Freeman et al., 2010). The theory is based on the notion that organizations succeed by ensuring that the relationship with various stakeholder groups that have legitimate interests in </w:t>
      </w:r>
      <w:r>
        <w:rPr>
          <w:rFonts w:ascii="Times New Roman" w:hAnsi="Times New Roman" w:cs="Times New Roman"/>
          <w:sz w:val="28"/>
          <w:szCs w:val="28"/>
        </w:rPr>
        <w:lastRenderedPageBreak/>
        <w:t>organizational operations are managed (Parmar et al., 2010). I</w:t>
      </w:r>
      <w:r>
        <w:rPr>
          <w:rFonts w:ascii="Times New Roman" w:hAnsi="Times New Roman" w:cs="Times New Roman"/>
          <w:sz w:val="28"/>
          <w:szCs w:val="28"/>
        </w:rPr>
        <w:t>n the educational setting, the stakeholder theory postulates that effectiveness of schools is created through joint efforts of various actors with each actor bringing different resources and competencies towards achieving collective educational goals.</w:t>
      </w:r>
    </w:p>
    <w:p w14:paraId="0133F45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sz w:val="28"/>
          <w:szCs w:val="28"/>
        </w:rPr>
        <w:t>state of Lagos is one of the most pertinent situations to consider when it comes to stakeholder engagement in primary schooling. Lagos is the economic center of Nigeria and as a result, the population growth and urbanization in the city are unprecedented c</w:t>
      </w:r>
      <w:r>
        <w:rPr>
          <w:rFonts w:ascii="Times New Roman" w:hAnsi="Times New Roman" w:cs="Times New Roman"/>
          <w:sz w:val="28"/>
          <w:szCs w:val="28"/>
        </w:rPr>
        <w:t>omparatively to the demands that have been put on the education system. The example of Education District IV, which includes Apapa, Surulere, and Lagos Mainland Local Government Areas, illustrates the presence of these pressures along with the specific div</w:t>
      </w:r>
      <w:r>
        <w:rPr>
          <w:rFonts w:ascii="Times New Roman" w:hAnsi="Times New Roman" w:cs="Times New Roman"/>
          <w:sz w:val="28"/>
          <w:szCs w:val="28"/>
        </w:rPr>
        <w:t>ersity of socioeconomic features that determine the patterns of stakeholder participation. Nevertheless, governmental investment in primary education does not eliminate the problem of sufficient resources, the quality of instruction, and its outcomes (Gaku</w:t>
      </w:r>
      <w:r>
        <w:rPr>
          <w:rFonts w:ascii="Times New Roman" w:hAnsi="Times New Roman" w:cs="Times New Roman"/>
          <w:sz w:val="28"/>
          <w:szCs w:val="28"/>
        </w:rPr>
        <w:t>re et al., 2013).</w:t>
      </w:r>
    </w:p>
    <w:p w14:paraId="41313A6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Past studies on stakeholder engagement in the education sector have come out with conflicting results. Although there are studies that attest to positive relationships between stakeholder involvement and school performance (Cheng and Tam,</w:t>
      </w:r>
      <w:r>
        <w:rPr>
          <w:rFonts w:ascii="Times New Roman" w:hAnsi="Times New Roman" w:cs="Times New Roman"/>
          <w:sz w:val="28"/>
          <w:szCs w:val="28"/>
        </w:rPr>
        <w:t xml:space="preserve"> 1997; Bunyi, 2019), some studies show that there are insignificant or negative relationships (Nurudeen and Usman, 2016). These contradictions could be related to the situational differences, differences in methodology, or the insufficient specification of</w:t>
      </w:r>
      <w:r>
        <w:rPr>
          <w:rFonts w:ascii="Times New Roman" w:hAnsi="Times New Roman" w:cs="Times New Roman"/>
          <w:sz w:val="28"/>
          <w:szCs w:val="28"/>
        </w:rPr>
        <w:t xml:space="preserve"> the categories of stakeholders and their contributions. Moreover, there are few empirical studies that measure the impact of the stakeholders in primary education particularly with majority of the studies focusing on secondary or tertiary education.</w:t>
      </w:r>
    </w:p>
    <w:p w14:paraId="189AF70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This </w:t>
      </w:r>
      <w:r>
        <w:rPr>
          <w:rFonts w:ascii="Times New Roman" w:hAnsi="Times New Roman" w:cs="Times New Roman"/>
          <w:sz w:val="28"/>
          <w:szCs w:val="28"/>
        </w:rPr>
        <w:t>research fills in these gaps by conducting a systematic study of the role of five different categories of stakeholders namely parents, teachers, community members, voluntary agencies and governmental organizations in the effectiveness of schools in primary</w:t>
      </w:r>
      <w:r>
        <w:rPr>
          <w:rFonts w:ascii="Times New Roman" w:hAnsi="Times New Roman" w:cs="Times New Roman"/>
          <w:sz w:val="28"/>
          <w:szCs w:val="28"/>
        </w:rPr>
        <w:t xml:space="preserve"> education. The article adds to the existing body of literature by its elaborate stakeholder model, emphasis on the primary school, and the use of quantitative approach in a developing country setting. Results can be used as a source of empirical evidence </w:t>
      </w:r>
      <w:r>
        <w:rPr>
          <w:rFonts w:ascii="Times New Roman" w:hAnsi="Times New Roman" w:cs="Times New Roman"/>
          <w:sz w:val="28"/>
          <w:szCs w:val="28"/>
        </w:rPr>
        <w:t>to influence policy making and stakeholder involvement policies that will help improve the outcomes of primary education.</w:t>
      </w:r>
    </w:p>
    <w:p w14:paraId="0C03E33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 Literature Review</w:t>
      </w:r>
    </w:p>
    <w:p w14:paraId="0C31AC99"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lastRenderedPageBreak/>
        <w:t>2.1 Conceptual Framework</w:t>
      </w:r>
    </w:p>
    <w:p w14:paraId="68B732B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School effectiveness is a multidimensional construct, which involves different factors o</w:t>
      </w:r>
      <w:r>
        <w:rPr>
          <w:rFonts w:ascii="Times New Roman" w:hAnsi="Times New Roman" w:cs="Times New Roman"/>
          <w:sz w:val="28"/>
          <w:szCs w:val="28"/>
        </w:rPr>
        <w:t xml:space="preserve">f institutional performance. In the primary education, effectiveness usually determines how well schools accomplish the defined aims of education, in terms of, student learning results, attendance, completion levels, and skills acquisition (Asiyai, 2012). </w:t>
      </w:r>
      <w:r>
        <w:rPr>
          <w:rFonts w:ascii="Times New Roman" w:hAnsi="Times New Roman" w:cs="Times New Roman"/>
          <w:sz w:val="28"/>
          <w:szCs w:val="28"/>
        </w:rPr>
        <w:t>Modern views are focused on both process and outcome aspects, as it has been acknowledged that being effective does not only mean getting the results but also applying proper pedagogical strategies and ensuring favorable learning conditions.</w:t>
      </w:r>
    </w:p>
    <w:p w14:paraId="572154B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Stakeholder pa</w:t>
      </w:r>
      <w:r>
        <w:rPr>
          <w:rFonts w:ascii="Times New Roman" w:hAnsi="Times New Roman" w:cs="Times New Roman"/>
          <w:sz w:val="28"/>
          <w:szCs w:val="28"/>
        </w:rPr>
        <w:t>rticipation in education can be defined as the active involvement of interested parties in educational activities and this involves planning, decision making, provision of resources and monitoring activities (Adebayo, 2013). This kind of engagement goes fu</w:t>
      </w:r>
      <w:r>
        <w:rPr>
          <w:rFonts w:ascii="Times New Roman" w:hAnsi="Times New Roman" w:cs="Times New Roman"/>
          <w:sz w:val="28"/>
          <w:szCs w:val="28"/>
        </w:rPr>
        <w:t>rther than mere interest to involve actual contributions that shape the nature of educational activities and performances. The extent and the type of stakeholder involvement are quite different in the contexts as they may be both the lack of consultation t</w:t>
      </w:r>
      <w:r>
        <w:rPr>
          <w:rFonts w:ascii="Times New Roman" w:hAnsi="Times New Roman" w:cs="Times New Roman"/>
          <w:sz w:val="28"/>
          <w:szCs w:val="28"/>
        </w:rPr>
        <w:t>o the intensive cooperation.</w:t>
      </w:r>
    </w:p>
    <w:p w14:paraId="34BCFB0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2.2 Parental Involvement</w:t>
      </w:r>
    </w:p>
    <w:p w14:paraId="50F80F7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It is always shown that parental involvement is a noteworthy predictor of student achievement and school success (Epstein, 2018; Henderson and Mapp, 2002). Parental engagement covers a wide range of act</w:t>
      </w:r>
      <w:r>
        <w:rPr>
          <w:rFonts w:ascii="Times New Roman" w:hAnsi="Times New Roman" w:cs="Times New Roman"/>
          <w:sz w:val="28"/>
          <w:szCs w:val="28"/>
        </w:rPr>
        <w:t xml:space="preserve">ivities such as </w:t>
      </w:r>
      <w:proofErr w:type="gramStart"/>
      <w:r>
        <w:rPr>
          <w:rFonts w:ascii="Times New Roman" w:hAnsi="Times New Roman" w:cs="Times New Roman"/>
          <w:sz w:val="28"/>
          <w:szCs w:val="28"/>
        </w:rPr>
        <w:t>home based</w:t>
      </w:r>
      <w:proofErr w:type="gramEnd"/>
      <w:r>
        <w:rPr>
          <w:rFonts w:ascii="Times New Roman" w:hAnsi="Times New Roman" w:cs="Times New Roman"/>
          <w:sz w:val="28"/>
          <w:szCs w:val="28"/>
        </w:rPr>
        <w:t xml:space="preserve"> learning support, school based volunteering, involvement in the governance structures and communication with the educators. According to the framework presented by Epstein (2018), 6 forms of parental involvement include parenting</w:t>
      </w:r>
      <w:r>
        <w:rPr>
          <w:rFonts w:ascii="Times New Roman" w:hAnsi="Times New Roman" w:cs="Times New Roman"/>
          <w:sz w:val="28"/>
          <w:szCs w:val="28"/>
        </w:rPr>
        <w:t>, communicating, volunteering, learning at home, decision-making, and collaborating with community.</w:t>
      </w:r>
    </w:p>
    <w:p w14:paraId="5777329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Research records various ways in which parental engagement impacts on educational results. In home settings, parents can strengthen school demands, offer al</w:t>
      </w:r>
      <w:r>
        <w:rPr>
          <w:rFonts w:ascii="Times New Roman" w:hAnsi="Times New Roman" w:cs="Times New Roman"/>
          <w:sz w:val="28"/>
          <w:szCs w:val="28"/>
        </w:rPr>
        <w:t>ternative learning, ensure student progress and lobby educational resources (Hoover-Dempsey and Sandler, 1997). Parental participation is also a positive indication to children that education is important as it increases motivation and student interest. Mo</w:t>
      </w:r>
      <w:r>
        <w:rPr>
          <w:rFonts w:ascii="Times New Roman" w:hAnsi="Times New Roman" w:cs="Times New Roman"/>
          <w:sz w:val="28"/>
          <w:szCs w:val="28"/>
        </w:rPr>
        <w:t>reover, parent involvement empowers relationships between parent and school, enables exchange of information and matched provision of support to student learning.</w:t>
      </w:r>
    </w:p>
    <w:p w14:paraId="12DC67D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Parental involvement has been documented to yield benefits but has barriers that limit the </w:t>
      </w:r>
      <w:r>
        <w:rPr>
          <w:rFonts w:ascii="Times New Roman" w:hAnsi="Times New Roman" w:cs="Times New Roman"/>
          <w:sz w:val="28"/>
          <w:szCs w:val="28"/>
        </w:rPr>
        <w:t>involvement especially among the disadvantaged groups. Parental involvement is hampered by socioeconomic barriers, low levels of education, language barriers, rigid working hours, and cultural issues (Hill and Taylor, 2004; Lee and Bowen, 2006).</w:t>
      </w:r>
    </w:p>
    <w:p w14:paraId="2C88FB5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Also, a nu</w:t>
      </w:r>
      <w:r>
        <w:rPr>
          <w:rFonts w:ascii="Times New Roman" w:hAnsi="Times New Roman" w:cs="Times New Roman"/>
          <w:sz w:val="28"/>
          <w:szCs w:val="28"/>
        </w:rPr>
        <w:t>mber of parents feel intimidated or excluded in schools, and teachers might have deficit attitudes towards the ability of some families to play a significant role.</w:t>
      </w:r>
    </w:p>
    <w:p w14:paraId="1E1F676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2.3 Teacher Involvement</w:t>
      </w:r>
    </w:p>
    <w:p w14:paraId="35CF1E6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role of teachers is the key instructional agent in schools and t</w:t>
      </w:r>
      <w:r>
        <w:rPr>
          <w:rFonts w:ascii="Times New Roman" w:hAnsi="Times New Roman" w:cs="Times New Roman"/>
          <w:sz w:val="28"/>
          <w:szCs w:val="28"/>
        </w:rPr>
        <w:t>herefore their participation is a key factor to effective school education (Hattie, 2008). In addition to classroom teaching, teachers also participate in school improvement by developing the curriculum, innovating pedagogies, mentoring other teachers, and</w:t>
      </w:r>
      <w:r>
        <w:rPr>
          <w:rFonts w:ascii="Times New Roman" w:hAnsi="Times New Roman" w:cs="Times New Roman"/>
          <w:sz w:val="28"/>
          <w:szCs w:val="28"/>
        </w:rPr>
        <w:t xml:space="preserve"> taking part in the decision-making activities. Involvement of teachers in school governance and improvement programs has been linked to improvement in the quality of instruction, satisfaction among the teachers and effectiveness of the organization (Lee e</w:t>
      </w:r>
      <w:r>
        <w:rPr>
          <w:rFonts w:ascii="Times New Roman" w:hAnsi="Times New Roman" w:cs="Times New Roman"/>
          <w:sz w:val="28"/>
          <w:szCs w:val="28"/>
        </w:rPr>
        <w:t>t al., 2013). The empirical data proves that the teacher voice in school decision-making is positively connected to a better school climate and organizational performance Manla, V. H. (2021).</w:t>
      </w:r>
    </w:p>
    <w:p w14:paraId="65CF426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According to research, the effectiveness of teachers does not on</w:t>
      </w:r>
      <w:r>
        <w:rPr>
          <w:rFonts w:ascii="Times New Roman" w:hAnsi="Times New Roman" w:cs="Times New Roman"/>
          <w:sz w:val="28"/>
          <w:szCs w:val="28"/>
        </w:rPr>
        <w:t>ly rely on individual competence and organizational conditions that favor professional practice. These are collaborative cultures, administrative support, sufficient resources, opportunities of professional development, and participation in decision making</w:t>
      </w:r>
      <w:r>
        <w:rPr>
          <w:rFonts w:ascii="Times New Roman" w:hAnsi="Times New Roman" w:cs="Times New Roman"/>
          <w:sz w:val="28"/>
          <w:szCs w:val="28"/>
        </w:rPr>
        <w:t xml:space="preserve"> that affect teaching and learning (Kennedy, 2016). In schools where teachers are empowered to voice on issues that affect the organization, the schools gain the expertise of the teachers at classroom levels and teachers feel more motivated and dedicated.</w:t>
      </w:r>
    </w:p>
    <w:p w14:paraId="5B32EDC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Nevertheless, the participation of teachers is limited by factors such as time, top-down organizational systems, lack of preparation to play participatory roles and resistance at times as instigated by the administration. Besides, tokenistic participation </w:t>
      </w:r>
      <w:r>
        <w:rPr>
          <w:rFonts w:ascii="Times New Roman" w:hAnsi="Times New Roman" w:cs="Times New Roman"/>
          <w:sz w:val="28"/>
          <w:szCs w:val="28"/>
        </w:rPr>
        <w:t>should not be allowed, as it will not be meaningful unless institutional arrangements and transformation of culture.</w:t>
      </w:r>
    </w:p>
    <w:p w14:paraId="4BD8403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2.4 Community Involvement</w:t>
      </w:r>
    </w:p>
    <w:p w14:paraId="4224207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Community impact on education signifies the appreciation of the fact that schools act within the wider societal </w:t>
      </w:r>
      <w:r>
        <w:rPr>
          <w:rFonts w:ascii="Times New Roman" w:hAnsi="Times New Roman" w:cs="Times New Roman"/>
          <w:sz w:val="28"/>
          <w:szCs w:val="28"/>
        </w:rPr>
        <w:t>settings and tap into community resources and back-up. Community involvement involves involvement of the locals, organizations, business and other parties in education (Watson and Reigeluth, 2008). This involvement can be achieved by contribution of resour</w:t>
      </w:r>
      <w:r>
        <w:rPr>
          <w:rFonts w:ascii="Times New Roman" w:hAnsi="Times New Roman" w:cs="Times New Roman"/>
          <w:sz w:val="28"/>
          <w:szCs w:val="28"/>
        </w:rPr>
        <w:t xml:space="preserve">ces, volunteering, sponsor field trips, and lobbying towards better education. The studies show that the community involvement provides a variety of advantages to schools. The communities offer financial support, volunteer work, skills, and social capital </w:t>
      </w:r>
      <w:r>
        <w:rPr>
          <w:rFonts w:ascii="Times New Roman" w:hAnsi="Times New Roman" w:cs="Times New Roman"/>
          <w:sz w:val="28"/>
          <w:szCs w:val="28"/>
        </w:rPr>
        <w:t>to complement the formal educational offerings (Nishimura, 2020). The community members play the role of role models, cultural resources, and local knowledge sources. In addition, community participation enhances accountability measures, since the local st</w:t>
      </w:r>
      <w:r>
        <w:rPr>
          <w:rFonts w:ascii="Times New Roman" w:hAnsi="Times New Roman" w:cs="Times New Roman"/>
          <w:sz w:val="28"/>
          <w:szCs w:val="28"/>
        </w:rPr>
        <w:t>akeholders will check on the activities of the schools and be the ones to push them to do better.</w:t>
      </w:r>
    </w:p>
    <w:p w14:paraId="7EFDA48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Developing country evidence reports contradictory results on the impacts of community participation. Although research reports about better facilities, greate</w:t>
      </w:r>
      <w:r>
        <w:rPr>
          <w:rFonts w:ascii="Times New Roman" w:hAnsi="Times New Roman" w:cs="Times New Roman"/>
          <w:sz w:val="28"/>
          <w:szCs w:val="28"/>
        </w:rPr>
        <w:t>r responsibility, and enrolment due to community involvement (Hossain, 2021), others observe a low effect on learning outcomes and equity concerns (Ahmad, 2013). Some of these challenges are the elite capture of participatory processes, lack of authority i</w:t>
      </w:r>
      <w:r>
        <w:rPr>
          <w:rFonts w:ascii="Times New Roman" w:hAnsi="Times New Roman" w:cs="Times New Roman"/>
          <w:sz w:val="28"/>
          <w:szCs w:val="28"/>
        </w:rPr>
        <w:t>n decision making delegated to communities, and lack of capacity to engage effectively. More current frameworks focus on the importance of community-school relationships as a solution to resource inequalities in urban schools (Goodman et al., 2023).</w:t>
      </w:r>
    </w:p>
    <w:p w14:paraId="639DDD8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2.5 Ag</w:t>
      </w:r>
      <w:r>
        <w:rPr>
          <w:rFonts w:ascii="Times New Roman" w:hAnsi="Times New Roman" w:cs="Times New Roman"/>
          <w:b/>
          <w:bCs/>
          <w:sz w:val="28"/>
          <w:szCs w:val="28"/>
        </w:rPr>
        <w:t>ency Involvement (Voluntary).</w:t>
      </w:r>
    </w:p>
    <w:p w14:paraId="3A497D0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Voluntary organizations such as non-governmental organizations, faith institutions, alumni and philanthropic organizations are key education stakeholders, especially where resources are limited (Asiyai, 2012). Such agencies do</w:t>
      </w:r>
      <w:r>
        <w:rPr>
          <w:rFonts w:ascii="Times New Roman" w:hAnsi="Times New Roman" w:cs="Times New Roman"/>
          <w:sz w:val="28"/>
          <w:szCs w:val="28"/>
        </w:rPr>
        <w:t xml:space="preserve"> so in many ways: mobilization of resources, technical support, advocacy, monitoring and evaluation, and provision of direct services. Their participation allows adding to the governmental capacity and bringing alternative opinions and innovations.</w:t>
      </w:r>
    </w:p>
    <w:p w14:paraId="304D893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Volunta</w:t>
      </w:r>
      <w:r>
        <w:rPr>
          <w:rFonts w:ascii="Times New Roman" w:hAnsi="Times New Roman" w:cs="Times New Roman"/>
          <w:sz w:val="28"/>
          <w:szCs w:val="28"/>
        </w:rPr>
        <w:t>ry agencies have traditionally been involved in the role of the Nigerian primary education. Religious groups have and are continuing to support many schools. The alumni associations provide infrastructure, and resources to their alma maters. Educational pr</w:t>
      </w:r>
      <w:r>
        <w:rPr>
          <w:rFonts w:ascii="Times New Roman" w:hAnsi="Times New Roman" w:cs="Times New Roman"/>
          <w:sz w:val="28"/>
          <w:szCs w:val="28"/>
        </w:rPr>
        <w:t xml:space="preserve">ograms are also applied by non-governmental organizations </w:t>
      </w:r>
      <w:r>
        <w:rPr>
          <w:rFonts w:ascii="Times New Roman" w:hAnsi="Times New Roman" w:cs="Times New Roman"/>
          <w:sz w:val="28"/>
          <w:szCs w:val="28"/>
        </w:rPr>
        <w:lastRenderedPageBreak/>
        <w:t>to respond to specialized needs. Business organizations offer scholarships, training, and job connections (Adeagbo, 2023).</w:t>
      </w:r>
    </w:p>
    <w:p w14:paraId="29952A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Nevertheless, voluntary agency engagement is accompanied by such problems a</w:t>
      </w:r>
      <w:r>
        <w:rPr>
          <w:rFonts w:ascii="Times New Roman" w:hAnsi="Times New Roman" w:cs="Times New Roman"/>
          <w:sz w:val="28"/>
          <w:szCs w:val="28"/>
        </w:rPr>
        <w:t>s coordination issues, the sustainability of the situation when an external assistance is withdrawn, the risk of mission drift, and the lack of alignment with governmental priorities. Successful voluntary agency participation needs well-built structures th</w:t>
      </w:r>
      <w:r>
        <w:rPr>
          <w:rFonts w:ascii="Times New Roman" w:hAnsi="Times New Roman" w:cs="Times New Roman"/>
          <w:sz w:val="28"/>
          <w:szCs w:val="28"/>
        </w:rPr>
        <w:t>at stipulate roles, duties, and accountability instruments.</w:t>
      </w:r>
    </w:p>
    <w:p w14:paraId="5A862A04"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2.6 Government Involvement</w:t>
      </w:r>
    </w:p>
    <w:p w14:paraId="6806B03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federal, state, and local government are the key stakeholders that provide, regulate, and fund education in Nigeria </w:t>
      </w:r>
      <w:proofErr w:type="gramStart"/>
      <w:r>
        <w:rPr>
          <w:rFonts w:ascii="Times New Roman" w:hAnsi="Times New Roman" w:cs="Times New Roman"/>
          <w:sz w:val="28"/>
          <w:szCs w:val="28"/>
        </w:rPr>
        <w:t>( Federal</w:t>
      </w:r>
      <w:proofErr w:type="gramEnd"/>
      <w:r>
        <w:rPr>
          <w:rFonts w:ascii="Times New Roman" w:hAnsi="Times New Roman" w:cs="Times New Roman"/>
          <w:sz w:val="28"/>
          <w:szCs w:val="28"/>
        </w:rPr>
        <w:t xml:space="preserve"> Republic of Nigeria, 2013). The roles o</w:t>
      </w:r>
      <w:r>
        <w:rPr>
          <w:rFonts w:ascii="Times New Roman" w:hAnsi="Times New Roman" w:cs="Times New Roman"/>
          <w:sz w:val="28"/>
          <w:szCs w:val="28"/>
        </w:rPr>
        <w:t>f the government include policy formulation, resource allocation, curriculum, teacher recruitment and remuneration, infrastructure and quality assurance. The National Policy on Education has clearly acknowledged the role played by the government in providi</w:t>
      </w:r>
      <w:r>
        <w:rPr>
          <w:rFonts w:ascii="Times New Roman" w:hAnsi="Times New Roman" w:cs="Times New Roman"/>
          <w:sz w:val="28"/>
          <w:szCs w:val="28"/>
        </w:rPr>
        <w:t>ng access, equity and quality in education.</w:t>
      </w:r>
    </w:p>
    <w:p w14:paraId="63A258B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In the federal system of Nigeria, local governments have constitutional roles of primary education with assistance of state and federal governments. This structure poses complicated coordinating needs and some in</w:t>
      </w:r>
      <w:r>
        <w:rPr>
          <w:rFonts w:ascii="Times New Roman" w:hAnsi="Times New Roman" w:cs="Times New Roman"/>
          <w:sz w:val="28"/>
          <w:szCs w:val="28"/>
        </w:rPr>
        <w:t>stances of jurisdiction ambiguity. Interventions at the government levels are organized by the Universal Basic Education Commission and State Universal Basic Education Boards.</w:t>
      </w:r>
    </w:p>
    <w:p w14:paraId="6632233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Various factors have limited the effectiveness of the governmental support of th</w:t>
      </w:r>
      <w:r>
        <w:rPr>
          <w:rFonts w:ascii="Times New Roman" w:hAnsi="Times New Roman" w:cs="Times New Roman"/>
          <w:sz w:val="28"/>
          <w:szCs w:val="28"/>
        </w:rPr>
        <w:t>e primary education; deficient, unreliable funding, bureaucracy, political instability in the continuity of the policies, corruption and misallocation of resources, and lack of infrastructure and staff (Akpan, 2005). These drawbacks bring out the need to h</w:t>
      </w:r>
      <w:r>
        <w:rPr>
          <w:rFonts w:ascii="Times New Roman" w:hAnsi="Times New Roman" w:cs="Times New Roman"/>
          <w:sz w:val="28"/>
          <w:szCs w:val="28"/>
        </w:rPr>
        <w:t>ave complementary stakeholder involvement in order to close the capacity gaps in the government.</w:t>
      </w:r>
    </w:p>
    <w:p w14:paraId="2C7D104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2.7 Theoretical Foundation</w:t>
      </w:r>
    </w:p>
    <w:p w14:paraId="54E648D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theoretical framework that this paper uses is the stakeholder theory (Freeman et al., 2010). The stakeholder theory asserts that</w:t>
      </w:r>
      <w:r>
        <w:rPr>
          <w:rFonts w:ascii="Times New Roman" w:hAnsi="Times New Roman" w:cs="Times New Roman"/>
          <w:sz w:val="28"/>
          <w:szCs w:val="28"/>
        </w:rPr>
        <w:t xml:space="preserve"> organizational success is pegged on the ability to manage relationships with various groups having legitimacy interests in the activities and outcomes of the organization. In education, the theory proposes </w:t>
      </w:r>
      <w:r>
        <w:rPr>
          <w:rFonts w:ascii="Times New Roman" w:hAnsi="Times New Roman" w:cs="Times New Roman"/>
          <w:sz w:val="28"/>
          <w:szCs w:val="28"/>
        </w:rPr>
        <w:lastRenderedPageBreak/>
        <w:t>that school performance arises when various stake</w:t>
      </w:r>
      <w:r>
        <w:rPr>
          <w:rFonts w:ascii="Times New Roman" w:hAnsi="Times New Roman" w:cs="Times New Roman"/>
          <w:sz w:val="28"/>
          <w:szCs w:val="28"/>
        </w:rPr>
        <w:t>holders interact in a coordinated manner with each of them providing different resources, knowledge, and views.</w:t>
      </w:r>
    </w:p>
    <w:p w14:paraId="218519C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theory outlines a number of principles that are required to manage stakeholders effectively (Harrison et al., 2009): identifying and analyzi</w:t>
      </w:r>
      <w:r>
        <w:rPr>
          <w:rFonts w:ascii="Times New Roman" w:hAnsi="Times New Roman" w:cs="Times New Roman"/>
          <w:sz w:val="28"/>
          <w:szCs w:val="28"/>
        </w:rPr>
        <w:t>ng stakeholders and understanding their interests, expectations, talking meaningfully to stakeholders, balancing the demands of conflicting stakeholders, and developing stakeholder voice and participation mechanisms. These principles when used systematical</w:t>
      </w:r>
      <w:r>
        <w:rPr>
          <w:rFonts w:ascii="Times New Roman" w:hAnsi="Times New Roman" w:cs="Times New Roman"/>
          <w:sz w:val="28"/>
          <w:szCs w:val="28"/>
        </w:rPr>
        <w:t>ly make organizations create value to stakeholders and also help organizations to progress towards organizational goals.</w:t>
      </w:r>
    </w:p>
    <w:p w14:paraId="0A3BA21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stakeholder theory also has an explanatory power in terms of the ways in which the engagement of stakeholders can affect the outcom</w:t>
      </w:r>
      <w:r>
        <w:rPr>
          <w:rFonts w:ascii="Times New Roman" w:hAnsi="Times New Roman" w:cs="Times New Roman"/>
          <w:sz w:val="28"/>
          <w:szCs w:val="28"/>
        </w:rPr>
        <w:t>es. Engagement helps to mobilize the resources, boosts the quality of information, and decision making due to a variety of viewpoints, fosters the responsibility mechanisms, and creates social capital to support organizational work (Parmar et al., 2010). I</w:t>
      </w:r>
      <w:r>
        <w:rPr>
          <w:rFonts w:ascii="Times New Roman" w:hAnsi="Times New Roman" w:cs="Times New Roman"/>
          <w:sz w:val="28"/>
          <w:szCs w:val="28"/>
        </w:rPr>
        <w:t xml:space="preserve">n the educational context, in particular, stakeholder engagement allows schools to gain more resources, react better to the needs of the community, introduce practices specific to the context, and earn the legitimacy and support. Recent empirical research </w:t>
      </w:r>
      <w:r>
        <w:rPr>
          <w:rFonts w:ascii="Times New Roman" w:hAnsi="Times New Roman" w:cs="Times New Roman"/>
          <w:sz w:val="28"/>
          <w:szCs w:val="28"/>
        </w:rPr>
        <w:t>that used structural equation modeling has identified particular paths on which various stakeholder groups affect educational outcomes (Yuongsuwan et al., 2022)</w:t>
      </w:r>
    </w:p>
    <w:p w14:paraId="2CC542C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 Methodology</w:t>
      </w:r>
    </w:p>
    <w:p w14:paraId="26A0065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3.1 Research Design</w:t>
      </w:r>
    </w:p>
    <w:p w14:paraId="642011F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In this research, descriptive survey research was used to an</w:t>
      </w:r>
      <w:r>
        <w:rPr>
          <w:rFonts w:ascii="Times New Roman" w:hAnsi="Times New Roman" w:cs="Times New Roman"/>
          <w:sz w:val="28"/>
          <w:szCs w:val="28"/>
        </w:rPr>
        <w:t>alyze a correlation between stakeholder involvement and school effectiveness. The presented method is suited to the purpose of recording the stakeholder engagement patterns and the perceptions of them being associated with school effectiveness since descri</w:t>
      </w:r>
      <w:r>
        <w:rPr>
          <w:rFonts w:ascii="Times New Roman" w:hAnsi="Times New Roman" w:cs="Times New Roman"/>
          <w:sz w:val="28"/>
          <w:szCs w:val="28"/>
        </w:rPr>
        <w:t>ptive surveys allow systematically collecting data about the current conditions, practices, and opinions of particular populations (Creswell and Creswell, 2018).</w:t>
      </w:r>
    </w:p>
    <w:p w14:paraId="3D5E332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3.2 Study Area and Population</w:t>
      </w:r>
    </w:p>
    <w:p w14:paraId="61DE4E9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study was done in Education District IV of Lagos State, i.e.</w:t>
      </w:r>
      <w:r>
        <w:rPr>
          <w:rFonts w:ascii="Times New Roman" w:hAnsi="Times New Roman" w:cs="Times New Roman"/>
          <w:sz w:val="28"/>
          <w:szCs w:val="28"/>
        </w:rPr>
        <w:t xml:space="preserve"> Apapa, Surulere and Lagos Mainland Local Government Areas. Education District IV has varied </w:t>
      </w:r>
      <w:r>
        <w:rPr>
          <w:rFonts w:ascii="Times New Roman" w:hAnsi="Times New Roman" w:cs="Times New Roman"/>
          <w:sz w:val="28"/>
          <w:szCs w:val="28"/>
        </w:rPr>
        <w:lastRenderedPageBreak/>
        <w:t>socioeconomic features that reflect the overall educational situation in Lagos State with a manageable geographical coverage in terms of intensive data collection.</w:t>
      </w:r>
    </w:p>
    <w:p w14:paraId="287AD43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target population included all teachers who have to work in the primary schools of the Education District IV and the number of teachers was 1,342. The participants of the research were teachers who participated directly in the teaching process and wer</w:t>
      </w:r>
      <w:r>
        <w:rPr>
          <w:rFonts w:ascii="Times New Roman" w:hAnsi="Times New Roman" w:cs="Times New Roman"/>
          <w:sz w:val="28"/>
          <w:szCs w:val="28"/>
        </w:rPr>
        <w:t>e closely acquainted with the organizational specifics of schools, the mode of stakeholder engagement, and educational performance.</w:t>
      </w:r>
    </w:p>
    <w:p w14:paraId="0B2D4E5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 xml:space="preserve">3.3 The sampling and sample procedure </w:t>
      </w:r>
    </w:p>
    <w:p w14:paraId="6423A7E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determination of the sample size used Yamane, (1967) formula of finite population</w:t>
      </w:r>
      <w:r>
        <w:rPr>
          <w:rFonts w:ascii="Times New Roman" w:hAnsi="Times New Roman" w:cs="Times New Roman"/>
          <w:sz w:val="28"/>
          <w:szCs w:val="28"/>
        </w:rPr>
        <w:t>, where appropriate sample size was calculated based on the parameters of the population and the required level of precision. The resultant of this calculation was a sample of 308 teachers. The sample was distributed across the three Local Government Areas</w:t>
      </w:r>
      <w:r>
        <w:rPr>
          <w:rFonts w:ascii="Times New Roman" w:hAnsi="Times New Roman" w:cs="Times New Roman"/>
          <w:sz w:val="28"/>
          <w:szCs w:val="28"/>
        </w:rPr>
        <w:t xml:space="preserve"> that comprise Education District IV in proportional ways, which meant that it was geographically represented but randomly within the strata, using stratified random sampling methods.</w:t>
      </w:r>
    </w:p>
    <w:p w14:paraId="46EC9D76"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3.4 Research Instrument</w:t>
      </w:r>
    </w:p>
    <w:p w14:paraId="7E61843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researcher designed a questionnaire to </w:t>
      </w:r>
      <w:r>
        <w:rPr>
          <w:rFonts w:ascii="Times New Roman" w:hAnsi="Times New Roman" w:cs="Times New Roman"/>
          <w:sz w:val="28"/>
          <w:szCs w:val="28"/>
        </w:rPr>
        <w:t>collect data by using the researcher-designed questionnaire named Stakeholders Competence on School Effectiveness in Primary Schools (SISEPS). The instrument had two parts, Section A that included demographic data, such as gender, level of education, and y</w:t>
      </w:r>
      <w:r>
        <w:rPr>
          <w:rFonts w:ascii="Times New Roman" w:hAnsi="Times New Roman" w:cs="Times New Roman"/>
          <w:sz w:val="28"/>
          <w:szCs w:val="28"/>
        </w:rPr>
        <w:t>ears of experience, and part B that had 25 items that assessed the perception of various stakeholder groups and their associations with school performance.</w:t>
      </w:r>
    </w:p>
    <w:p w14:paraId="7E1A35B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Items were rated using four-point Likert (Strongly Agree=4, Agree=3, Disagree=2, Strongly Disagree=1</w:t>
      </w:r>
      <w:r>
        <w:rPr>
          <w:rFonts w:ascii="Times New Roman" w:hAnsi="Times New Roman" w:cs="Times New Roman"/>
          <w:sz w:val="28"/>
          <w:szCs w:val="28"/>
        </w:rPr>
        <w:t>), and there are no neutral choices when responding to cases, which promotes decisive positioning. The design of the instrument was an expression of the existing practices in research associated with education and modified to the context and goals of the r</w:t>
      </w:r>
      <w:r>
        <w:rPr>
          <w:rFonts w:ascii="Times New Roman" w:hAnsi="Times New Roman" w:cs="Times New Roman"/>
          <w:sz w:val="28"/>
          <w:szCs w:val="28"/>
        </w:rPr>
        <w:t>esearch.</w:t>
      </w:r>
    </w:p>
    <w:p w14:paraId="4E8B20D1"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3.5 Validity and Reliability</w:t>
      </w:r>
    </w:p>
    <w:p w14:paraId="4A76D77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Expert review processes were used to determine content validity. The first draft of the instrument has been subjected to the examination of the supervisor of the researcher and four measurement and evaluation experts w</w:t>
      </w:r>
      <w:r>
        <w:rPr>
          <w:rFonts w:ascii="Times New Roman" w:hAnsi="Times New Roman" w:cs="Times New Roman"/>
          <w:sz w:val="28"/>
          <w:szCs w:val="28"/>
        </w:rPr>
        <w:t xml:space="preserve">ho checked the clarity of </w:t>
      </w:r>
      <w:r>
        <w:rPr>
          <w:rFonts w:ascii="Times New Roman" w:hAnsi="Times New Roman" w:cs="Times New Roman"/>
          <w:sz w:val="28"/>
          <w:szCs w:val="28"/>
        </w:rPr>
        <w:lastRenderedPageBreak/>
        <w:t>the items, content coverage, and suitability to the research goals. Initial review was followed by substantial revisions with subsequent review of modified items being done until the final stage of satisfactory validity was reache</w:t>
      </w:r>
      <w:r>
        <w:rPr>
          <w:rFonts w:ascii="Times New Roman" w:hAnsi="Times New Roman" w:cs="Times New Roman"/>
          <w:sz w:val="28"/>
          <w:szCs w:val="28"/>
        </w:rPr>
        <w:t>d.</w:t>
      </w:r>
    </w:p>
    <w:p w14:paraId="4C345BB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test-retest reliability was used in the assessment of reliability using a convenience sample of 20 teachers in schools not in the main sample of the study. Pearson Product Moment Correlation was used to measure the stability between administrations </w:t>
      </w:r>
      <w:r>
        <w:rPr>
          <w:rFonts w:ascii="Times New Roman" w:hAnsi="Times New Roman" w:cs="Times New Roman"/>
          <w:sz w:val="28"/>
          <w:szCs w:val="28"/>
        </w:rPr>
        <w:t>and the correlation coefficient is r=0.84 which is acceptable stability at a significant level of r=0.70 in social science studies.</w:t>
      </w:r>
    </w:p>
    <w:p w14:paraId="0FAEC4B6"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3.6 Data Collection Procedure</w:t>
      </w:r>
    </w:p>
    <w:p w14:paraId="3EBD360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administration of questionnaires took place in June-August 2021. The researcher got the ap</w:t>
      </w:r>
      <w:r>
        <w:rPr>
          <w:rFonts w:ascii="Times New Roman" w:hAnsi="Times New Roman" w:cs="Times New Roman"/>
          <w:sz w:val="28"/>
          <w:szCs w:val="28"/>
        </w:rPr>
        <w:t>provals required in the Lagos State Primary Education Board and Education District IV administration. After that, the researcher and trained assistants went to sampled schools, clarified the purpose of the research to the participants, and finally, they re</w:t>
      </w:r>
      <w:r>
        <w:rPr>
          <w:rFonts w:ascii="Times New Roman" w:hAnsi="Times New Roman" w:cs="Times New Roman"/>
          <w:sz w:val="28"/>
          <w:szCs w:val="28"/>
        </w:rPr>
        <w:t>ceived informed consent and distributed questionnaires. The filled questionnaires were retrieved immediately or within one week as per the choice of the participants.</w:t>
      </w:r>
    </w:p>
    <w:p w14:paraId="7BCFC34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Out of 308 questionnaires that were sent, 300 were returned with full completion, and thi</w:t>
      </w:r>
      <w:r>
        <w:rPr>
          <w:rFonts w:ascii="Times New Roman" w:hAnsi="Times New Roman" w:cs="Times New Roman"/>
          <w:sz w:val="28"/>
          <w:szCs w:val="28"/>
        </w:rPr>
        <w:t>s is equivalent to 97.4% response rate. Such high return rate improved result representativeness and statistical power.</w:t>
      </w:r>
    </w:p>
    <w:p w14:paraId="6C834EDC"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3.7 Data Analysis</w:t>
      </w:r>
    </w:p>
    <w:p w14:paraId="047546A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Sample demographics and response patterns were described by descriptive statistics such as frequencies, percentages, m</w:t>
      </w:r>
      <w:r>
        <w:rPr>
          <w:rFonts w:ascii="Times New Roman" w:hAnsi="Times New Roman" w:cs="Times New Roman"/>
          <w:sz w:val="28"/>
          <w:szCs w:val="28"/>
        </w:rPr>
        <w:t>eans and standard deviations. Pearson Product Moment Correlation Coefficient was used as the basis of the testing of hypothesis as a way of quantifying the relationship between variables of stakeholder involvement and the perceived school effectiveness. Th</w:t>
      </w:r>
      <w:r>
        <w:rPr>
          <w:rFonts w:ascii="Times New Roman" w:hAnsi="Times New Roman" w:cs="Times New Roman"/>
          <w:sz w:val="28"/>
          <w:szCs w:val="28"/>
        </w:rPr>
        <w:t>e 0.05 level of statistical significance was used, which is in line with the traditional norms of social science.</w:t>
      </w:r>
    </w:p>
    <w:p w14:paraId="2223804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Statistical Package of Social Sciences (SPSS) version 26.0 was used to analyze it. The findings are presented in the form of tables that make </w:t>
      </w:r>
      <w:r>
        <w:rPr>
          <w:rFonts w:ascii="Times New Roman" w:hAnsi="Times New Roman" w:cs="Times New Roman"/>
          <w:sz w:val="28"/>
          <w:szCs w:val="28"/>
        </w:rPr>
        <w:t>it easy to compare and interpret the results in terms of the stakeholders</w:t>
      </w:r>
    </w:p>
    <w:p w14:paraId="46FE06C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4. Results and Discussion</w:t>
      </w:r>
    </w:p>
    <w:p w14:paraId="1A57D7D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4.1 Demographic Characteristics</w:t>
      </w:r>
    </w:p>
    <w:p w14:paraId="3700262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The demographic characteristics of the population are as follows:</w:t>
      </w:r>
    </w:p>
    <w:p w14:paraId="1BC37D5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Table 1 includes sample demographic features. Gender repre</w:t>
      </w:r>
      <w:r>
        <w:rPr>
          <w:rFonts w:ascii="Times New Roman" w:hAnsi="Times New Roman" w:cs="Times New Roman"/>
          <w:sz w:val="28"/>
          <w:szCs w:val="28"/>
        </w:rPr>
        <w:t xml:space="preserve">sentation showed 38 percent (n=114) males and 62 percent (n=186) </w:t>
      </w:r>
      <w:proofErr w:type="gramStart"/>
      <w:r>
        <w:rPr>
          <w:rFonts w:ascii="Times New Roman" w:hAnsi="Times New Roman" w:cs="Times New Roman"/>
          <w:sz w:val="28"/>
          <w:szCs w:val="28"/>
        </w:rPr>
        <w:t>females</w:t>
      </w:r>
      <w:proofErr w:type="gramEnd"/>
      <w:r>
        <w:rPr>
          <w:rFonts w:ascii="Times New Roman" w:hAnsi="Times New Roman" w:cs="Times New Roman"/>
          <w:sz w:val="28"/>
          <w:szCs w:val="28"/>
        </w:rPr>
        <w:t xml:space="preserve"> participants, which was an outcome of the female majority in the Lagos State primary school. There were educational qualifications of 75% (n=225) and bachelor degrees, 15% (n=45) and </w:t>
      </w:r>
      <w:r>
        <w:rPr>
          <w:rFonts w:ascii="Times New Roman" w:hAnsi="Times New Roman" w:cs="Times New Roman"/>
          <w:sz w:val="28"/>
          <w:szCs w:val="28"/>
        </w:rPr>
        <w:t>master degrees, 2 percent (n=6) and doctoral degrees, and 8 percent (n=24) other degrees. The distributions of the teaching experience were found to be 31% (n=93) 0-9 years, 43% (n=129) 10-19 years, 7% (n=21) 20-29 years and 11% (n=33) 30+ years, and 8% (n</w:t>
      </w:r>
      <w:r>
        <w:rPr>
          <w:rFonts w:ascii="Times New Roman" w:hAnsi="Times New Roman" w:cs="Times New Roman"/>
          <w:sz w:val="28"/>
          <w:szCs w:val="28"/>
        </w:rPr>
        <w:t>=24) non-teaching staff.</w:t>
      </w:r>
    </w:p>
    <w:p w14:paraId="35ACDCD5"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1: Demographic Characteristics of Respondents (N=300)</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184"/>
        <w:gridCol w:w="1594"/>
        <w:gridCol w:w="1331"/>
        <w:gridCol w:w="1412"/>
      </w:tblGrid>
      <w:tr w:rsidR="00CA2D21" w14:paraId="77401340" w14:textId="77777777">
        <w:trPr>
          <w:tblHeader/>
          <w:tblCellSpacing w:w="15" w:type="dxa"/>
        </w:trPr>
        <w:tc>
          <w:tcPr>
            <w:tcW w:w="0" w:type="auto"/>
            <w:tcBorders>
              <w:right w:val="single" w:sz="4" w:space="0" w:color="auto"/>
            </w:tcBorders>
            <w:vAlign w:val="center"/>
            <w:hideMark/>
          </w:tcPr>
          <w:p w14:paraId="43A0A9E0"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Characteristic</w:t>
            </w:r>
          </w:p>
        </w:tc>
        <w:tc>
          <w:tcPr>
            <w:tcW w:w="0" w:type="auto"/>
            <w:tcBorders>
              <w:right w:val="single" w:sz="4" w:space="0" w:color="auto"/>
            </w:tcBorders>
            <w:vAlign w:val="center"/>
            <w:hideMark/>
          </w:tcPr>
          <w:p w14:paraId="05A1CFB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Category</w:t>
            </w:r>
          </w:p>
        </w:tc>
        <w:tc>
          <w:tcPr>
            <w:tcW w:w="0" w:type="auto"/>
            <w:vAlign w:val="center"/>
            <w:hideMark/>
          </w:tcPr>
          <w:p w14:paraId="2BA9808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Frequency</w:t>
            </w:r>
          </w:p>
        </w:tc>
        <w:tc>
          <w:tcPr>
            <w:tcW w:w="0" w:type="auto"/>
            <w:tcBorders>
              <w:left w:val="single" w:sz="4" w:space="0" w:color="auto"/>
            </w:tcBorders>
            <w:vAlign w:val="center"/>
            <w:hideMark/>
          </w:tcPr>
          <w:p w14:paraId="20B5BDD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Percentage</w:t>
            </w:r>
          </w:p>
        </w:tc>
      </w:tr>
      <w:tr w:rsidR="00CA2D21" w14:paraId="50584052" w14:textId="77777777">
        <w:trPr>
          <w:tblCellSpacing w:w="15" w:type="dxa"/>
        </w:trPr>
        <w:tc>
          <w:tcPr>
            <w:tcW w:w="0" w:type="auto"/>
            <w:tcBorders>
              <w:top w:val="single" w:sz="4" w:space="0" w:color="auto"/>
              <w:right w:val="single" w:sz="4" w:space="0" w:color="auto"/>
            </w:tcBorders>
            <w:vAlign w:val="center"/>
            <w:hideMark/>
          </w:tcPr>
          <w:p w14:paraId="702F8904"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Gender</w:t>
            </w:r>
          </w:p>
        </w:tc>
        <w:tc>
          <w:tcPr>
            <w:tcW w:w="0" w:type="auto"/>
            <w:tcBorders>
              <w:top w:val="single" w:sz="4" w:space="0" w:color="auto"/>
              <w:right w:val="single" w:sz="4" w:space="0" w:color="auto"/>
            </w:tcBorders>
            <w:vAlign w:val="center"/>
            <w:hideMark/>
          </w:tcPr>
          <w:p w14:paraId="6AA8479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Male</w:t>
            </w:r>
          </w:p>
        </w:tc>
        <w:tc>
          <w:tcPr>
            <w:tcW w:w="0" w:type="auto"/>
            <w:tcBorders>
              <w:top w:val="single" w:sz="4" w:space="0" w:color="auto"/>
            </w:tcBorders>
            <w:vAlign w:val="center"/>
            <w:hideMark/>
          </w:tcPr>
          <w:p w14:paraId="54CECC9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114</w:t>
            </w:r>
          </w:p>
        </w:tc>
        <w:tc>
          <w:tcPr>
            <w:tcW w:w="0" w:type="auto"/>
            <w:tcBorders>
              <w:top w:val="single" w:sz="4" w:space="0" w:color="auto"/>
              <w:left w:val="single" w:sz="4" w:space="0" w:color="auto"/>
            </w:tcBorders>
            <w:vAlign w:val="center"/>
            <w:hideMark/>
          </w:tcPr>
          <w:p w14:paraId="1C8C605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38.0</w:t>
            </w:r>
          </w:p>
        </w:tc>
      </w:tr>
      <w:tr w:rsidR="00CA2D21" w14:paraId="4D7F3F46" w14:textId="77777777">
        <w:trPr>
          <w:tblCellSpacing w:w="15" w:type="dxa"/>
        </w:trPr>
        <w:tc>
          <w:tcPr>
            <w:tcW w:w="0" w:type="auto"/>
            <w:tcBorders>
              <w:top w:val="single" w:sz="4" w:space="0" w:color="auto"/>
              <w:right w:val="single" w:sz="4" w:space="0" w:color="auto"/>
            </w:tcBorders>
            <w:vAlign w:val="center"/>
            <w:hideMark/>
          </w:tcPr>
          <w:p w14:paraId="64A86067" w14:textId="77777777" w:rsidR="00CA2D21" w:rsidRDefault="00CA2D21">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hideMark/>
          </w:tcPr>
          <w:p w14:paraId="2A874EB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Female</w:t>
            </w:r>
          </w:p>
        </w:tc>
        <w:tc>
          <w:tcPr>
            <w:tcW w:w="0" w:type="auto"/>
            <w:tcBorders>
              <w:top w:val="single" w:sz="4" w:space="0" w:color="auto"/>
            </w:tcBorders>
            <w:vAlign w:val="center"/>
            <w:hideMark/>
          </w:tcPr>
          <w:p w14:paraId="23E3D9F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186</w:t>
            </w:r>
          </w:p>
        </w:tc>
        <w:tc>
          <w:tcPr>
            <w:tcW w:w="0" w:type="auto"/>
            <w:tcBorders>
              <w:top w:val="single" w:sz="4" w:space="0" w:color="auto"/>
              <w:left w:val="single" w:sz="4" w:space="0" w:color="auto"/>
            </w:tcBorders>
            <w:vAlign w:val="center"/>
            <w:hideMark/>
          </w:tcPr>
          <w:p w14:paraId="772E7D0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62.0</w:t>
            </w:r>
          </w:p>
        </w:tc>
      </w:tr>
      <w:tr w:rsidR="00CA2D21" w14:paraId="233E39D9" w14:textId="77777777">
        <w:trPr>
          <w:tblCellSpacing w:w="15" w:type="dxa"/>
        </w:trPr>
        <w:tc>
          <w:tcPr>
            <w:tcW w:w="0" w:type="auto"/>
            <w:tcBorders>
              <w:top w:val="single" w:sz="4" w:space="0" w:color="auto"/>
              <w:right w:val="single" w:sz="4" w:space="0" w:color="auto"/>
            </w:tcBorders>
            <w:vAlign w:val="center"/>
            <w:hideMark/>
          </w:tcPr>
          <w:p w14:paraId="25AB3015"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Educational Qualification</w:t>
            </w:r>
          </w:p>
        </w:tc>
        <w:tc>
          <w:tcPr>
            <w:tcW w:w="0" w:type="auto"/>
            <w:tcBorders>
              <w:top w:val="single" w:sz="4" w:space="0" w:color="auto"/>
              <w:right w:val="single" w:sz="4" w:space="0" w:color="auto"/>
            </w:tcBorders>
            <w:vAlign w:val="center"/>
            <w:hideMark/>
          </w:tcPr>
          <w:p w14:paraId="33604C5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Bachelor's</w:t>
            </w:r>
          </w:p>
        </w:tc>
        <w:tc>
          <w:tcPr>
            <w:tcW w:w="0" w:type="auto"/>
            <w:tcBorders>
              <w:top w:val="single" w:sz="4" w:space="0" w:color="auto"/>
            </w:tcBorders>
            <w:vAlign w:val="center"/>
            <w:hideMark/>
          </w:tcPr>
          <w:p w14:paraId="105CFCE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225</w:t>
            </w:r>
          </w:p>
        </w:tc>
        <w:tc>
          <w:tcPr>
            <w:tcW w:w="0" w:type="auto"/>
            <w:tcBorders>
              <w:top w:val="single" w:sz="4" w:space="0" w:color="auto"/>
              <w:left w:val="single" w:sz="4" w:space="0" w:color="auto"/>
            </w:tcBorders>
            <w:vAlign w:val="center"/>
            <w:hideMark/>
          </w:tcPr>
          <w:p w14:paraId="5A5FAB5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75.0</w:t>
            </w:r>
          </w:p>
        </w:tc>
      </w:tr>
      <w:tr w:rsidR="00CA2D21" w14:paraId="42451FB6"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253E079C" w14:textId="77777777" w:rsidR="00CA2D21" w:rsidRDefault="00CA2D21">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hideMark/>
          </w:tcPr>
          <w:p w14:paraId="57B6B3F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Master's</w:t>
            </w:r>
          </w:p>
        </w:tc>
        <w:tc>
          <w:tcPr>
            <w:tcW w:w="0" w:type="auto"/>
            <w:tcBorders>
              <w:top w:val="single" w:sz="4" w:space="0" w:color="auto"/>
              <w:bottom w:val="single" w:sz="4" w:space="0" w:color="auto"/>
            </w:tcBorders>
            <w:vAlign w:val="center"/>
            <w:hideMark/>
          </w:tcPr>
          <w:p w14:paraId="1723628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45</w:t>
            </w:r>
          </w:p>
        </w:tc>
        <w:tc>
          <w:tcPr>
            <w:tcW w:w="0" w:type="auto"/>
            <w:tcBorders>
              <w:top w:val="single" w:sz="4" w:space="0" w:color="auto"/>
              <w:left w:val="single" w:sz="4" w:space="0" w:color="auto"/>
              <w:bottom w:val="single" w:sz="4" w:space="0" w:color="auto"/>
            </w:tcBorders>
            <w:vAlign w:val="center"/>
            <w:hideMark/>
          </w:tcPr>
          <w:p w14:paraId="43878D5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15.0</w:t>
            </w:r>
          </w:p>
        </w:tc>
      </w:tr>
      <w:tr w:rsidR="00CA2D21" w14:paraId="1144771F" w14:textId="77777777">
        <w:trPr>
          <w:tblCellSpacing w:w="15" w:type="dxa"/>
        </w:trPr>
        <w:tc>
          <w:tcPr>
            <w:tcW w:w="0" w:type="auto"/>
            <w:tcBorders>
              <w:right w:val="single" w:sz="4" w:space="0" w:color="auto"/>
            </w:tcBorders>
            <w:vAlign w:val="center"/>
            <w:hideMark/>
          </w:tcPr>
          <w:p w14:paraId="70DE674D" w14:textId="77777777" w:rsidR="00CA2D21" w:rsidRDefault="00CA2D21">
            <w:pPr>
              <w:jc w:val="both"/>
              <w:rPr>
                <w:rFonts w:ascii="Times New Roman" w:hAnsi="Times New Roman" w:cs="Times New Roman"/>
                <w:sz w:val="28"/>
                <w:szCs w:val="28"/>
              </w:rPr>
            </w:pPr>
          </w:p>
        </w:tc>
        <w:tc>
          <w:tcPr>
            <w:tcW w:w="0" w:type="auto"/>
            <w:tcBorders>
              <w:right w:val="single" w:sz="4" w:space="0" w:color="auto"/>
            </w:tcBorders>
            <w:vAlign w:val="center"/>
            <w:hideMark/>
          </w:tcPr>
          <w:p w14:paraId="1F2DDB2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Doctoral</w:t>
            </w:r>
          </w:p>
        </w:tc>
        <w:tc>
          <w:tcPr>
            <w:tcW w:w="0" w:type="auto"/>
            <w:vAlign w:val="center"/>
            <w:hideMark/>
          </w:tcPr>
          <w:p w14:paraId="3D3E1DE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w:t>
            </w:r>
          </w:p>
        </w:tc>
        <w:tc>
          <w:tcPr>
            <w:tcW w:w="0" w:type="auto"/>
            <w:tcBorders>
              <w:left w:val="single" w:sz="4" w:space="0" w:color="auto"/>
            </w:tcBorders>
            <w:vAlign w:val="center"/>
            <w:hideMark/>
          </w:tcPr>
          <w:p w14:paraId="130DBE2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2.0</w:t>
            </w:r>
          </w:p>
        </w:tc>
      </w:tr>
      <w:tr w:rsidR="00CA2D21" w14:paraId="7A8971F3"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0A9AA666" w14:textId="77777777" w:rsidR="00CA2D21" w:rsidRDefault="00CA2D21">
            <w:pPr>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hideMark/>
          </w:tcPr>
          <w:p w14:paraId="69EE4B2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Other</w:t>
            </w:r>
          </w:p>
        </w:tc>
        <w:tc>
          <w:tcPr>
            <w:tcW w:w="0" w:type="auto"/>
            <w:tcBorders>
              <w:top w:val="single" w:sz="4" w:space="0" w:color="auto"/>
              <w:bottom w:val="single" w:sz="4" w:space="0" w:color="auto"/>
            </w:tcBorders>
            <w:vAlign w:val="center"/>
            <w:hideMark/>
          </w:tcPr>
          <w:p w14:paraId="75C5140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24</w:t>
            </w:r>
          </w:p>
        </w:tc>
        <w:tc>
          <w:tcPr>
            <w:tcW w:w="0" w:type="auto"/>
            <w:tcBorders>
              <w:top w:val="single" w:sz="4" w:space="0" w:color="auto"/>
              <w:left w:val="single" w:sz="4" w:space="0" w:color="auto"/>
              <w:bottom w:val="single" w:sz="4" w:space="0" w:color="auto"/>
            </w:tcBorders>
            <w:vAlign w:val="center"/>
            <w:hideMark/>
          </w:tcPr>
          <w:p w14:paraId="249EC8C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8.0</w:t>
            </w:r>
          </w:p>
        </w:tc>
      </w:tr>
      <w:tr w:rsidR="00CA2D21" w14:paraId="085FD540" w14:textId="77777777">
        <w:trPr>
          <w:tblCellSpacing w:w="15" w:type="dxa"/>
        </w:trPr>
        <w:tc>
          <w:tcPr>
            <w:tcW w:w="0" w:type="auto"/>
            <w:tcBorders>
              <w:bottom w:val="single" w:sz="4" w:space="0" w:color="auto"/>
              <w:right w:val="single" w:sz="4" w:space="0" w:color="auto"/>
            </w:tcBorders>
            <w:vAlign w:val="center"/>
            <w:hideMark/>
          </w:tcPr>
          <w:p w14:paraId="05E57A8E"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Teaching Experience</w:t>
            </w:r>
          </w:p>
        </w:tc>
        <w:tc>
          <w:tcPr>
            <w:tcW w:w="0" w:type="auto"/>
            <w:tcBorders>
              <w:bottom w:val="single" w:sz="4" w:space="0" w:color="auto"/>
              <w:right w:val="single" w:sz="4" w:space="0" w:color="auto"/>
            </w:tcBorders>
            <w:vAlign w:val="center"/>
            <w:hideMark/>
          </w:tcPr>
          <w:p w14:paraId="4F9B560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0-9 years</w:t>
            </w:r>
          </w:p>
        </w:tc>
        <w:tc>
          <w:tcPr>
            <w:tcW w:w="0" w:type="auto"/>
            <w:tcBorders>
              <w:bottom w:val="single" w:sz="4" w:space="0" w:color="auto"/>
            </w:tcBorders>
            <w:vAlign w:val="center"/>
            <w:hideMark/>
          </w:tcPr>
          <w:p w14:paraId="154120F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93</w:t>
            </w:r>
          </w:p>
        </w:tc>
        <w:tc>
          <w:tcPr>
            <w:tcW w:w="0" w:type="auto"/>
            <w:tcBorders>
              <w:left w:val="single" w:sz="4" w:space="0" w:color="auto"/>
              <w:bottom w:val="single" w:sz="4" w:space="0" w:color="auto"/>
            </w:tcBorders>
            <w:vAlign w:val="center"/>
            <w:hideMark/>
          </w:tcPr>
          <w:p w14:paraId="7E9A815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31.0</w:t>
            </w:r>
          </w:p>
        </w:tc>
      </w:tr>
      <w:tr w:rsidR="00CA2D21" w14:paraId="2DDA5319" w14:textId="77777777">
        <w:trPr>
          <w:tblCellSpacing w:w="15" w:type="dxa"/>
        </w:trPr>
        <w:tc>
          <w:tcPr>
            <w:tcW w:w="0" w:type="auto"/>
            <w:tcBorders>
              <w:bottom w:val="single" w:sz="4" w:space="0" w:color="auto"/>
              <w:right w:val="single" w:sz="4" w:space="0" w:color="auto"/>
            </w:tcBorders>
            <w:vAlign w:val="center"/>
            <w:hideMark/>
          </w:tcPr>
          <w:p w14:paraId="5F849D0A" w14:textId="77777777" w:rsidR="00CA2D21" w:rsidRDefault="00CA2D21">
            <w:pPr>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hideMark/>
          </w:tcPr>
          <w:p w14:paraId="7D89699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10-19 years</w:t>
            </w:r>
          </w:p>
        </w:tc>
        <w:tc>
          <w:tcPr>
            <w:tcW w:w="0" w:type="auto"/>
            <w:tcBorders>
              <w:bottom w:val="single" w:sz="4" w:space="0" w:color="auto"/>
            </w:tcBorders>
            <w:vAlign w:val="center"/>
            <w:hideMark/>
          </w:tcPr>
          <w:p w14:paraId="1BA4A1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129</w:t>
            </w:r>
          </w:p>
        </w:tc>
        <w:tc>
          <w:tcPr>
            <w:tcW w:w="0" w:type="auto"/>
            <w:tcBorders>
              <w:left w:val="single" w:sz="4" w:space="0" w:color="auto"/>
              <w:bottom w:val="single" w:sz="4" w:space="0" w:color="auto"/>
            </w:tcBorders>
            <w:vAlign w:val="center"/>
            <w:hideMark/>
          </w:tcPr>
          <w:p w14:paraId="15CE7E9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43.0</w:t>
            </w:r>
          </w:p>
        </w:tc>
      </w:tr>
      <w:tr w:rsidR="00CA2D21" w14:paraId="3526E879" w14:textId="77777777">
        <w:trPr>
          <w:tblCellSpacing w:w="15" w:type="dxa"/>
        </w:trPr>
        <w:tc>
          <w:tcPr>
            <w:tcW w:w="0" w:type="auto"/>
            <w:tcBorders>
              <w:bottom w:val="single" w:sz="4" w:space="0" w:color="auto"/>
              <w:right w:val="single" w:sz="4" w:space="0" w:color="auto"/>
            </w:tcBorders>
            <w:vAlign w:val="center"/>
            <w:hideMark/>
          </w:tcPr>
          <w:p w14:paraId="2BB2B86E" w14:textId="77777777" w:rsidR="00CA2D21" w:rsidRDefault="00CA2D21">
            <w:pPr>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hideMark/>
          </w:tcPr>
          <w:p w14:paraId="025A1F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20-29 years</w:t>
            </w:r>
          </w:p>
        </w:tc>
        <w:tc>
          <w:tcPr>
            <w:tcW w:w="0" w:type="auto"/>
            <w:tcBorders>
              <w:bottom w:val="single" w:sz="4" w:space="0" w:color="auto"/>
            </w:tcBorders>
            <w:vAlign w:val="center"/>
            <w:hideMark/>
          </w:tcPr>
          <w:p w14:paraId="56711C1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21</w:t>
            </w:r>
          </w:p>
        </w:tc>
        <w:tc>
          <w:tcPr>
            <w:tcW w:w="0" w:type="auto"/>
            <w:tcBorders>
              <w:left w:val="single" w:sz="4" w:space="0" w:color="auto"/>
              <w:bottom w:val="single" w:sz="4" w:space="0" w:color="auto"/>
            </w:tcBorders>
            <w:vAlign w:val="center"/>
            <w:hideMark/>
          </w:tcPr>
          <w:p w14:paraId="4C5006E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7.0</w:t>
            </w:r>
          </w:p>
        </w:tc>
      </w:tr>
      <w:tr w:rsidR="00CA2D21" w14:paraId="334487CC" w14:textId="77777777">
        <w:trPr>
          <w:tblCellSpacing w:w="15" w:type="dxa"/>
        </w:trPr>
        <w:tc>
          <w:tcPr>
            <w:tcW w:w="0" w:type="auto"/>
            <w:tcBorders>
              <w:right w:val="single" w:sz="4" w:space="0" w:color="auto"/>
            </w:tcBorders>
            <w:vAlign w:val="center"/>
            <w:hideMark/>
          </w:tcPr>
          <w:p w14:paraId="30B14825" w14:textId="77777777" w:rsidR="00CA2D21" w:rsidRDefault="00CA2D21">
            <w:pPr>
              <w:jc w:val="both"/>
              <w:rPr>
                <w:rFonts w:ascii="Times New Roman" w:hAnsi="Times New Roman" w:cs="Times New Roman"/>
                <w:sz w:val="28"/>
                <w:szCs w:val="28"/>
              </w:rPr>
            </w:pPr>
          </w:p>
        </w:tc>
        <w:tc>
          <w:tcPr>
            <w:tcW w:w="0" w:type="auto"/>
            <w:tcBorders>
              <w:right w:val="single" w:sz="4" w:space="0" w:color="auto"/>
            </w:tcBorders>
            <w:vAlign w:val="center"/>
            <w:hideMark/>
          </w:tcPr>
          <w:p w14:paraId="1C29734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 years</w:t>
            </w:r>
          </w:p>
        </w:tc>
        <w:tc>
          <w:tcPr>
            <w:tcW w:w="0" w:type="auto"/>
            <w:vAlign w:val="center"/>
            <w:hideMark/>
          </w:tcPr>
          <w:p w14:paraId="7D3861B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33</w:t>
            </w:r>
          </w:p>
        </w:tc>
        <w:tc>
          <w:tcPr>
            <w:tcW w:w="0" w:type="auto"/>
            <w:tcBorders>
              <w:left w:val="single" w:sz="4" w:space="0" w:color="auto"/>
            </w:tcBorders>
            <w:vAlign w:val="center"/>
            <w:hideMark/>
          </w:tcPr>
          <w:p w14:paraId="77091A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11.0</w:t>
            </w:r>
          </w:p>
        </w:tc>
      </w:tr>
      <w:tr w:rsidR="00CA2D21" w14:paraId="1AEE1FEA" w14:textId="77777777">
        <w:trPr>
          <w:tblCellSpacing w:w="15" w:type="dxa"/>
        </w:trPr>
        <w:tc>
          <w:tcPr>
            <w:tcW w:w="0" w:type="auto"/>
            <w:tcBorders>
              <w:top w:val="single" w:sz="4" w:space="0" w:color="auto"/>
              <w:right w:val="single" w:sz="4" w:space="0" w:color="auto"/>
            </w:tcBorders>
            <w:vAlign w:val="center"/>
            <w:hideMark/>
          </w:tcPr>
          <w:p w14:paraId="671A7140" w14:textId="77777777" w:rsidR="00CA2D21" w:rsidRDefault="00CA2D21">
            <w:pPr>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hideMark/>
          </w:tcPr>
          <w:p w14:paraId="7C77A3C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Non-teaching</w:t>
            </w:r>
          </w:p>
        </w:tc>
        <w:tc>
          <w:tcPr>
            <w:tcW w:w="0" w:type="auto"/>
            <w:tcBorders>
              <w:top w:val="single" w:sz="4" w:space="0" w:color="auto"/>
            </w:tcBorders>
            <w:vAlign w:val="center"/>
            <w:hideMark/>
          </w:tcPr>
          <w:p w14:paraId="14D2E8F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24</w:t>
            </w:r>
          </w:p>
        </w:tc>
        <w:tc>
          <w:tcPr>
            <w:tcW w:w="0" w:type="auto"/>
            <w:tcBorders>
              <w:top w:val="single" w:sz="4" w:space="0" w:color="auto"/>
              <w:left w:val="single" w:sz="4" w:space="0" w:color="auto"/>
            </w:tcBorders>
            <w:vAlign w:val="center"/>
            <w:hideMark/>
          </w:tcPr>
          <w:p w14:paraId="7A40970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8.0</w:t>
            </w:r>
          </w:p>
        </w:tc>
      </w:tr>
    </w:tbl>
    <w:p w14:paraId="3C4B14F9" w14:textId="77777777" w:rsidR="00CA2D21" w:rsidRDefault="00CA2D21">
      <w:pPr>
        <w:jc w:val="both"/>
        <w:rPr>
          <w:rFonts w:ascii="Times New Roman" w:hAnsi="Times New Roman" w:cs="Times New Roman"/>
          <w:b/>
          <w:bCs/>
          <w:sz w:val="28"/>
          <w:szCs w:val="28"/>
        </w:rPr>
      </w:pPr>
    </w:p>
    <w:p w14:paraId="27705A71"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4.2 Research Question Analyses</w:t>
      </w:r>
    </w:p>
    <w:p w14:paraId="1C4A6D8E"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Research Question 1: </w:t>
      </w:r>
      <w:r>
        <w:rPr>
          <w:rFonts w:ascii="Times New Roman" w:hAnsi="Times New Roman" w:cs="Times New Roman"/>
          <w:sz w:val="28"/>
          <w:szCs w:val="28"/>
        </w:rPr>
        <w:t xml:space="preserve">How does the parental involvement correlate with the </w:t>
      </w:r>
      <w:r>
        <w:rPr>
          <w:rFonts w:ascii="Times New Roman" w:hAnsi="Times New Roman" w:cs="Times New Roman"/>
          <w:sz w:val="28"/>
          <w:szCs w:val="28"/>
        </w:rPr>
        <w:t>effectiveness of the schools in primary schools?</w:t>
      </w:r>
    </w:p>
    <w:p w14:paraId="6E59A58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Five questions on parental involvement (Table 2) were analyzed to indicate that the roles of parents were strongly agreed upon as stakeholders. Particularly, 64% (n=192) of the participants accepted that par</w:t>
      </w:r>
      <w:r>
        <w:rPr>
          <w:rFonts w:ascii="Times New Roman" w:hAnsi="Times New Roman" w:cs="Times New Roman"/>
          <w:sz w:val="28"/>
          <w:szCs w:val="28"/>
        </w:rPr>
        <w:t>ents have stakes in the management of school effectiveness, 73% (n=219) acknowledged that parents have stakes in primary school functioning, 79% (n=237) accepted that parents have a voice in school management and 57% (n=171) affirmed that parental voice ma</w:t>
      </w:r>
      <w:r>
        <w:rPr>
          <w:rFonts w:ascii="Times New Roman" w:hAnsi="Times New Roman" w:cs="Times New Roman"/>
          <w:sz w:val="28"/>
          <w:szCs w:val="28"/>
        </w:rPr>
        <w:t>kes school management effective. These trends show that the importance of parents in primary school performance has been well appreciated.</w:t>
      </w:r>
    </w:p>
    <w:p w14:paraId="002FBD5B"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2: Parental Participation and School Performance (N=300)</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00"/>
        <w:gridCol w:w="1180"/>
        <w:gridCol w:w="1190"/>
        <w:gridCol w:w="1050"/>
        <w:gridCol w:w="1050"/>
        <w:gridCol w:w="780"/>
      </w:tblGrid>
      <w:tr w:rsidR="00CA2D21" w14:paraId="7324B040" w14:textId="77777777">
        <w:trPr>
          <w:tblHeader/>
          <w:tblCellSpacing w:w="15" w:type="dxa"/>
        </w:trPr>
        <w:tc>
          <w:tcPr>
            <w:tcW w:w="0" w:type="auto"/>
            <w:tcBorders>
              <w:bottom w:val="single" w:sz="4" w:space="0" w:color="auto"/>
              <w:right w:val="single" w:sz="4" w:space="0" w:color="auto"/>
            </w:tcBorders>
            <w:vAlign w:val="center"/>
            <w:hideMark/>
          </w:tcPr>
          <w:p w14:paraId="427FFE09"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Item</w:t>
            </w:r>
          </w:p>
        </w:tc>
        <w:tc>
          <w:tcPr>
            <w:tcW w:w="0" w:type="auto"/>
            <w:tcBorders>
              <w:bottom w:val="single" w:sz="4" w:space="0" w:color="auto"/>
            </w:tcBorders>
            <w:vAlign w:val="center"/>
            <w:hideMark/>
          </w:tcPr>
          <w:p w14:paraId="43417F08"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SA</w:t>
            </w:r>
          </w:p>
        </w:tc>
        <w:tc>
          <w:tcPr>
            <w:tcW w:w="0" w:type="auto"/>
            <w:tcBorders>
              <w:left w:val="single" w:sz="4" w:space="0" w:color="auto"/>
              <w:bottom w:val="single" w:sz="4" w:space="0" w:color="auto"/>
            </w:tcBorders>
            <w:vAlign w:val="center"/>
            <w:hideMark/>
          </w:tcPr>
          <w:p w14:paraId="42B31D0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w:t>
            </w:r>
          </w:p>
        </w:tc>
        <w:tc>
          <w:tcPr>
            <w:tcW w:w="0" w:type="auto"/>
            <w:tcBorders>
              <w:left w:val="single" w:sz="4" w:space="0" w:color="auto"/>
              <w:bottom w:val="single" w:sz="4" w:space="0" w:color="auto"/>
            </w:tcBorders>
            <w:vAlign w:val="center"/>
            <w:hideMark/>
          </w:tcPr>
          <w:p w14:paraId="6C6CE46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0" w:type="auto"/>
            <w:tcBorders>
              <w:left w:val="single" w:sz="4" w:space="0" w:color="auto"/>
              <w:bottom w:val="single" w:sz="4" w:space="0" w:color="auto"/>
            </w:tcBorders>
            <w:vAlign w:val="center"/>
            <w:hideMark/>
          </w:tcPr>
          <w:p w14:paraId="2882A42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w:t>
            </w:r>
          </w:p>
        </w:tc>
        <w:tc>
          <w:tcPr>
            <w:tcW w:w="0" w:type="auto"/>
            <w:tcBorders>
              <w:left w:val="single" w:sz="4" w:space="0" w:color="auto"/>
              <w:bottom w:val="single" w:sz="4" w:space="0" w:color="auto"/>
            </w:tcBorders>
            <w:vAlign w:val="center"/>
            <w:hideMark/>
          </w:tcPr>
          <w:p w14:paraId="36E10FB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Mean</w:t>
            </w:r>
          </w:p>
        </w:tc>
      </w:tr>
      <w:tr w:rsidR="00CA2D21" w14:paraId="3A213658" w14:textId="77777777">
        <w:trPr>
          <w:tblCellSpacing w:w="15" w:type="dxa"/>
        </w:trPr>
        <w:tc>
          <w:tcPr>
            <w:tcW w:w="0" w:type="auto"/>
            <w:tcBorders>
              <w:bottom w:val="single" w:sz="4" w:space="0" w:color="auto"/>
              <w:right w:val="single" w:sz="4" w:space="0" w:color="auto"/>
            </w:tcBorders>
            <w:vAlign w:val="center"/>
            <w:hideMark/>
          </w:tcPr>
          <w:p w14:paraId="618A801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Parents have stake in school </w:t>
            </w:r>
            <w:r>
              <w:rPr>
                <w:rFonts w:ascii="Times New Roman" w:hAnsi="Times New Roman" w:cs="Times New Roman"/>
                <w:sz w:val="28"/>
                <w:szCs w:val="28"/>
              </w:rPr>
              <w:t>administration</w:t>
            </w:r>
          </w:p>
        </w:tc>
        <w:tc>
          <w:tcPr>
            <w:tcW w:w="0" w:type="auto"/>
            <w:tcBorders>
              <w:bottom w:val="single" w:sz="4" w:space="0" w:color="auto"/>
            </w:tcBorders>
            <w:vAlign w:val="center"/>
            <w:hideMark/>
          </w:tcPr>
          <w:p w14:paraId="19618B9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left w:val="single" w:sz="4" w:space="0" w:color="auto"/>
              <w:bottom w:val="single" w:sz="4" w:space="0" w:color="auto"/>
            </w:tcBorders>
            <w:vAlign w:val="center"/>
            <w:hideMark/>
          </w:tcPr>
          <w:p w14:paraId="4E33E18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87(29%)</w:t>
            </w:r>
          </w:p>
        </w:tc>
        <w:tc>
          <w:tcPr>
            <w:tcW w:w="0" w:type="auto"/>
            <w:tcBorders>
              <w:left w:val="single" w:sz="4" w:space="0" w:color="auto"/>
              <w:bottom w:val="single" w:sz="4" w:space="0" w:color="auto"/>
            </w:tcBorders>
            <w:vAlign w:val="center"/>
            <w:hideMark/>
          </w:tcPr>
          <w:p w14:paraId="376036E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48(16%)</w:t>
            </w:r>
          </w:p>
        </w:tc>
        <w:tc>
          <w:tcPr>
            <w:tcW w:w="0" w:type="auto"/>
            <w:tcBorders>
              <w:left w:val="single" w:sz="4" w:space="0" w:color="auto"/>
              <w:bottom w:val="single" w:sz="4" w:space="0" w:color="auto"/>
            </w:tcBorders>
            <w:vAlign w:val="center"/>
            <w:hideMark/>
          </w:tcPr>
          <w:p w14:paraId="01266E7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left w:val="single" w:sz="4" w:space="0" w:color="auto"/>
              <w:bottom w:val="single" w:sz="4" w:space="0" w:color="auto"/>
            </w:tcBorders>
            <w:vAlign w:val="center"/>
            <w:hideMark/>
          </w:tcPr>
          <w:p w14:paraId="3A67C5E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2.79</w:t>
            </w:r>
          </w:p>
        </w:tc>
      </w:tr>
      <w:tr w:rsidR="00CA2D21" w14:paraId="2D216A72" w14:textId="77777777">
        <w:trPr>
          <w:tblCellSpacing w:w="15" w:type="dxa"/>
        </w:trPr>
        <w:tc>
          <w:tcPr>
            <w:tcW w:w="0" w:type="auto"/>
            <w:tcBorders>
              <w:right w:val="single" w:sz="4" w:space="0" w:color="auto"/>
            </w:tcBorders>
            <w:vAlign w:val="center"/>
            <w:hideMark/>
          </w:tcPr>
          <w:p w14:paraId="272EAF1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Parents have stake in running primary education</w:t>
            </w:r>
          </w:p>
        </w:tc>
        <w:tc>
          <w:tcPr>
            <w:tcW w:w="0" w:type="auto"/>
            <w:vAlign w:val="center"/>
            <w:hideMark/>
          </w:tcPr>
          <w:p w14:paraId="44FF555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left w:val="single" w:sz="4" w:space="0" w:color="auto"/>
            </w:tcBorders>
            <w:vAlign w:val="center"/>
            <w:hideMark/>
          </w:tcPr>
          <w:p w14:paraId="127940C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114(38%)</w:t>
            </w:r>
          </w:p>
        </w:tc>
        <w:tc>
          <w:tcPr>
            <w:tcW w:w="0" w:type="auto"/>
            <w:tcBorders>
              <w:left w:val="single" w:sz="4" w:space="0" w:color="auto"/>
            </w:tcBorders>
            <w:vAlign w:val="center"/>
            <w:hideMark/>
          </w:tcPr>
          <w:p w14:paraId="50B79E5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42(14%)</w:t>
            </w:r>
          </w:p>
        </w:tc>
        <w:tc>
          <w:tcPr>
            <w:tcW w:w="0" w:type="auto"/>
            <w:tcBorders>
              <w:left w:val="single" w:sz="4" w:space="0" w:color="auto"/>
            </w:tcBorders>
            <w:vAlign w:val="center"/>
            <w:hideMark/>
          </w:tcPr>
          <w:p w14:paraId="2F41327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39(13%)</w:t>
            </w:r>
          </w:p>
        </w:tc>
        <w:tc>
          <w:tcPr>
            <w:tcW w:w="0" w:type="auto"/>
            <w:tcBorders>
              <w:left w:val="single" w:sz="4" w:space="0" w:color="auto"/>
            </w:tcBorders>
            <w:vAlign w:val="center"/>
            <w:hideMark/>
          </w:tcPr>
          <w:p w14:paraId="733AAD9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2.95</w:t>
            </w:r>
          </w:p>
        </w:tc>
      </w:tr>
      <w:tr w:rsidR="00CA2D21" w14:paraId="4262626F" w14:textId="77777777">
        <w:trPr>
          <w:tblCellSpacing w:w="15" w:type="dxa"/>
        </w:trPr>
        <w:tc>
          <w:tcPr>
            <w:tcW w:w="0" w:type="auto"/>
            <w:tcBorders>
              <w:top w:val="single" w:sz="4" w:space="0" w:color="auto"/>
              <w:right w:val="single" w:sz="4" w:space="0" w:color="auto"/>
            </w:tcBorders>
            <w:vAlign w:val="center"/>
            <w:hideMark/>
          </w:tcPr>
          <w:p w14:paraId="75FD581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Parents involved in participatory decision-making</w:t>
            </w:r>
          </w:p>
        </w:tc>
        <w:tc>
          <w:tcPr>
            <w:tcW w:w="0" w:type="auto"/>
            <w:tcBorders>
              <w:top w:val="single" w:sz="4" w:space="0" w:color="auto"/>
            </w:tcBorders>
            <w:vAlign w:val="center"/>
            <w:hideMark/>
          </w:tcPr>
          <w:p w14:paraId="1328C7B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132(44%)</w:t>
            </w:r>
          </w:p>
        </w:tc>
        <w:tc>
          <w:tcPr>
            <w:tcW w:w="0" w:type="auto"/>
            <w:tcBorders>
              <w:top w:val="single" w:sz="4" w:space="0" w:color="auto"/>
              <w:left w:val="single" w:sz="4" w:space="0" w:color="auto"/>
            </w:tcBorders>
            <w:vAlign w:val="center"/>
            <w:hideMark/>
          </w:tcPr>
          <w:p w14:paraId="1E837AC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top w:val="single" w:sz="4" w:space="0" w:color="auto"/>
              <w:left w:val="single" w:sz="4" w:space="0" w:color="auto"/>
            </w:tcBorders>
            <w:vAlign w:val="center"/>
            <w:hideMark/>
          </w:tcPr>
          <w:p w14:paraId="350AB57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27(9%)</w:t>
            </w:r>
          </w:p>
        </w:tc>
        <w:tc>
          <w:tcPr>
            <w:tcW w:w="0" w:type="auto"/>
            <w:tcBorders>
              <w:top w:val="single" w:sz="4" w:space="0" w:color="auto"/>
              <w:left w:val="single" w:sz="4" w:space="0" w:color="auto"/>
            </w:tcBorders>
            <w:vAlign w:val="center"/>
            <w:hideMark/>
          </w:tcPr>
          <w:p w14:paraId="76E1138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36(12%)</w:t>
            </w:r>
          </w:p>
        </w:tc>
        <w:tc>
          <w:tcPr>
            <w:tcW w:w="0" w:type="auto"/>
            <w:tcBorders>
              <w:top w:val="single" w:sz="4" w:space="0" w:color="auto"/>
              <w:left w:val="single" w:sz="4" w:space="0" w:color="auto"/>
            </w:tcBorders>
            <w:vAlign w:val="center"/>
            <w:hideMark/>
          </w:tcPr>
          <w:p w14:paraId="33B85A0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3.11</w:t>
            </w:r>
          </w:p>
        </w:tc>
      </w:tr>
      <w:tr w:rsidR="00CA2D21" w14:paraId="7FF692CF"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5367166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Parents influence program</w:t>
            </w:r>
            <w:r>
              <w:rPr>
                <w:rFonts w:ascii="Times New Roman" w:hAnsi="Times New Roman" w:cs="Times New Roman"/>
                <w:sz w:val="28"/>
                <w:szCs w:val="28"/>
              </w:rPr>
              <w:t xml:space="preserve"> activities and services</w:t>
            </w:r>
          </w:p>
        </w:tc>
        <w:tc>
          <w:tcPr>
            <w:tcW w:w="0" w:type="auto"/>
            <w:tcBorders>
              <w:top w:val="single" w:sz="4" w:space="0" w:color="auto"/>
              <w:bottom w:val="single" w:sz="4" w:space="0" w:color="auto"/>
            </w:tcBorders>
            <w:vAlign w:val="center"/>
            <w:hideMark/>
          </w:tcPr>
          <w:p w14:paraId="34D2BA8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81(27%)</w:t>
            </w:r>
          </w:p>
        </w:tc>
        <w:tc>
          <w:tcPr>
            <w:tcW w:w="0" w:type="auto"/>
            <w:tcBorders>
              <w:top w:val="single" w:sz="4" w:space="0" w:color="auto"/>
              <w:left w:val="single" w:sz="4" w:space="0" w:color="auto"/>
              <w:bottom w:val="single" w:sz="4" w:space="0" w:color="auto"/>
            </w:tcBorders>
            <w:vAlign w:val="center"/>
            <w:hideMark/>
          </w:tcPr>
          <w:p w14:paraId="134B338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99(33%)</w:t>
            </w:r>
          </w:p>
        </w:tc>
        <w:tc>
          <w:tcPr>
            <w:tcW w:w="0" w:type="auto"/>
            <w:tcBorders>
              <w:top w:val="single" w:sz="4" w:space="0" w:color="auto"/>
              <w:left w:val="single" w:sz="4" w:space="0" w:color="auto"/>
              <w:bottom w:val="single" w:sz="4" w:space="0" w:color="auto"/>
            </w:tcBorders>
            <w:vAlign w:val="center"/>
            <w:hideMark/>
          </w:tcPr>
          <w:p w14:paraId="47046B0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top w:val="single" w:sz="4" w:space="0" w:color="auto"/>
              <w:left w:val="single" w:sz="4" w:space="0" w:color="auto"/>
              <w:bottom w:val="single" w:sz="4" w:space="0" w:color="auto"/>
            </w:tcBorders>
            <w:vAlign w:val="center"/>
            <w:hideMark/>
          </w:tcPr>
          <w:p w14:paraId="0F8AD31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top w:val="single" w:sz="4" w:space="0" w:color="auto"/>
              <w:left w:val="single" w:sz="4" w:space="0" w:color="auto"/>
              <w:bottom w:val="single" w:sz="4" w:space="0" w:color="auto"/>
            </w:tcBorders>
            <w:vAlign w:val="center"/>
            <w:hideMark/>
          </w:tcPr>
          <w:p w14:paraId="5BD11A9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2.67</w:t>
            </w:r>
          </w:p>
        </w:tc>
      </w:tr>
      <w:tr w:rsidR="00CA2D21" w14:paraId="60303D9A" w14:textId="77777777">
        <w:trPr>
          <w:tblCellSpacing w:w="15" w:type="dxa"/>
        </w:trPr>
        <w:tc>
          <w:tcPr>
            <w:tcW w:w="0" w:type="auto"/>
            <w:tcBorders>
              <w:right w:val="single" w:sz="4" w:space="0" w:color="auto"/>
            </w:tcBorders>
            <w:vAlign w:val="center"/>
            <w:hideMark/>
          </w:tcPr>
          <w:p w14:paraId="316AFB9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Parental involvement enables effective management</w:t>
            </w:r>
          </w:p>
        </w:tc>
        <w:tc>
          <w:tcPr>
            <w:tcW w:w="0" w:type="auto"/>
            <w:vAlign w:val="center"/>
            <w:hideMark/>
          </w:tcPr>
          <w:p w14:paraId="7043D64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90(30%)</w:t>
            </w:r>
          </w:p>
        </w:tc>
        <w:tc>
          <w:tcPr>
            <w:tcW w:w="0" w:type="auto"/>
            <w:tcBorders>
              <w:left w:val="single" w:sz="4" w:space="0" w:color="auto"/>
            </w:tcBorders>
            <w:vAlign w:val="center"/>
            <w:hideMark/>
          </w:tcPr>
          <w:p w14:paraId="75815C7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81(27%)</w:t>
            </w:r>
          </w:p>
        </w:tc>
        <w:tc>
          <w:tcPr>
            <w:tcW w:w="0" w:type="auto"/>
            <w:tcBorders>
              <w:left w:val="single" w:sz="4" w:space="0" w:color="auto"/>
            </w:tcBorders>
            <w:vAlign w:val="center"/>
            <w:hideMark/>
          </w:tcPr>
          <w:p w14:paraId="7EC5B51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69(23%)</w:t>
            </w:r>
          </w:p>
        </w:tc>
        <w:tc>
          <w:tcPr>
            <w:tcW w:w="0" w:type="auto"/>
            <w:tcBorders>
              <w:left w:val="single" w:sz="4" w:space="0" w:color="auto"/>
            </w:tcBorders>
            <w:vAlign w:val="center"/>
            <w:hideMark/>
          </w:tcPr>
          <w:p w14:paraId="01C2496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left w:val="single" w:sz="4" w:space="0" w:color="auto"/>
            </w:tcBorders>
            <w:vAlign w:val="center"/>
            <w:hideMark/>
          </w:tcPr>
          <w:p w14:paraId="1586672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2.67</w:t>
            </w:r>
          </w:p>
        </w:tc>
      </w:tr>
    </w:tbl>
    <w:p w14:paraId="35B82625" w14:textId="77777777" w:rsidR="00CA2D21" w:rsidRDefault="00CA2D21">
      <w:pPr>
        <w:jc w:val="both"/>
        <w:rPr>
          <w:rFonts w:ascii="Times New Roman" w:hAnsi="Times New Roman" w:cs="Times New Roman"/>
          <w:b/>
          <w:bCs/>
          <w:sz w:val="28"/>
          <w:szCs w:val="28"/>
        </w:rPr>
      </w:pPr>
    </w:p>
    <w:p w14:paraId="749C342D"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Research Question 2:</w:t>
      </w:r>
      <w:r>
        <w:rPr>
          <w:rFonts w:ascii="Times New Roman" w:hAnsi="Times New Roman" w:cs="Times New Roman"/>
          <w:sz w:val="28"/>
          <w:szCs w:val="28"/>
        </w:rPr>
        <w:t xml:space="preserve"> In what degree is the involvement of teachers related to the effectiveness of the school?</w:t>
      </w:r>
    </w:p>
    <w:p w14:paraId="278AA14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Table 3 gives the results about the involvement of teachers. The percentages of agreement were: 61% (n=183) realized that teachers were important stakeholders, 75% (</w:t>
      </w:r>
      <w:r>
        <w:rPr>
          <w:rFonts w:ascii="Times New Roman" w:hAnsi="Times New Roman" w:cs="Times New Roman"/>
          <w:sz w:val="28"/>
          <w:szCs w:val="28"/>
        </w:rPr>
        <w:t xml:space="preserve">n=225) accepted that, teachers were instrumental in the development of the </w:t>
      </w:r>
      <w:r>
        <w:rPr>
          <w:rFonts w:ascii="Times New Roman" w:hAnsi="Times New Roman" w:cs="Times New Roman"/>
          <w:sz w:val="28"/>
          <w:szCs w:val="28"/>
        </w:rPr>
        <w:lastRenderedPageBreak/>
        <w:t>skills, 73% (n=219) accepted that, teachers are the key to ensuring students achieve their potentials, 60% (n=180) acknowledged that, teachers fundamentally contributed to achieveme</w:t>
      </w:r>
      <w:r>
        <w:rPr>
          <w:rFonts w:ascii="Times New Roman" w:hAnsi="Times New Roman" w:cs="Times New Roman"/>
          <w:sz w:val="28"/>
          <w:szCs w:val="28"/>
        </w:rPr>
        <w:t>nt, and 51% (n=153) realized that, teachers helped in the future success of the students. These findings indicate that there is high agreement on the centrality of teachers to school effectiveness.</w:t>
      </w:r>
    </w:p>
    <w:p w14:paraId="0C59EF3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 xml:space="preserve">Table 3: Involvement and School Effectiveness of Teachers </w:t>
      </w:r>
      <w:r>
        <w:rPr>
          <w:rFonts w:ascii="Times New Roman" w:hAnsi="Times New Roman" w:cs="Times New Roman"/>
          <w:b/>
          <w:bCs/>
          <w:sz w:val="28"/>
          <w:szCs w:val="28"/>
        </w:rPr>
        <w:t>(N=300)</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090"/>
        <w:gridCol w:w="1190"/>
        <w:gridCol w:w="1190"/>
        <w:gridCol w:w="1040"/>
        <w:gridCol w:w="1060"/>
        <w:gridCol w:w="780"/>
      </w:tblGrid>
      <w:tr w:rsidR="00CA2D21" w14:paraId="59FBE5C0" w14:textId="77777777">
        <w:trPr>
          <w:tblHeader/>
          <w:tblCellSpacing w:w="15" w:type="dxa"/>
        </w:trPr>
        <w:tc>
          <w:tcPr>
            <w:tcW w:w="0" w:type="auto"/>
            <w:vAlign w:val="center"/>
            <w:hideMark/>
          </w:tcPr>
          <w:p w14:paraId="713BFE2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Item</w:t>
            </w:r>
          </w:p>
        </w:tc>
        <w:tc>
          <w:tcPr>
            <w:tcW w:w="0" w:type="auto"/>
            <w:tcBorders>
              <w:left w:val="single" w:sz="4" w:space="0" w:color="auto"/>
              <w:right w:val="single" w:sz="4" w:space="0" w:color="auto"/>
            </w:tcBorders>
            <w:vAlign w:val="center"/>
            <w:hideMark/>
          </w:tcPr>
          <w:p w14:paraId="259310B1"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SA</w:t>
            </w:r>
          </w:p>
        </w:tc>
        <w:tc>
          <w:tcPr>
            <w:tcW w:w="0" w:type="auto"/>
            <w:tcBorders>
              <w:right w:val="single" w:sz="4" w:space="0" w:color="auto"/>
            </w:tcBorders>
            <w:vAlign w:val="center"/>
            <w:hideMark/>
          </w:tcPr>
          <w:p w14:paraId="15F41206"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w:t>
            </w:r>
          </w:p>
        </w:tc>
        <w:tc>
          <w:tcPr>
            <w:tcW w:w="0" w:type="auto"/>
            <w:vAlign w:val="center"/>
            <w:hideMark/>
          </w:tcPr>
          <w:p w14:paraId="4F641AB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0" w:type="auto"/>
            <w:tcBorders>
              <w:left w:val="single" w:sz="4" w:space="0" w:color="auto"/>
            </w:tcBorders>
            <w:vAlign w:val="center"/>
            <w:hideMark/>
          </w:tcPr>
          <w:p w14:paraId="4E62A518"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w:t>
            </w:r>
          </w:p>
        </w:tc>
        <w:tc>
          <w:tcPr>
            <w:tcW w:w="0" w:type="auto"/>
            <w:tcBorders>
              <w:left w:val="single" w:sz="4" w:space="0" w:color="auto"/>
            </w:tcBorders>
            <w:vAlign w:val="center"/>
            <w:hideMark/>
          </w:tcPr>
          <w:p w14:paraId="39645AC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Mean</w:t>
            </w:r>
          </w:p>
        </w:tc>
      </w:tr>
      <w:tr w:rsidR="00CA2D21" w14:paraId="73B66CE6" w14:textId="77777777">
        <w:trPr>
          <w:tblCellSpacing w:w="15" w:type="dxa"/>
        </w:trPr>
        <w:tc>
          <w:tcPr>
            <w:tcW w:w="0" w:type="auto"/>
            <w:tcBorders>
              <w:top w:val="single" w:sz="4" w:space="0" w:color="auto"/>
              <w:bottom w:val="single" w:sz="4" w:space="0" w:color="auto"/>
            </w:tcBorders>
            <w:vAlign w:val="center"/>
            <w:hideMark/>
          </w:tcPr>
          <w:p w14:paraId="2FA9E5F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Teachers are crucial stakeholders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73DA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90(30%)</w:t>
            </w:r>
          </w:p>
        </w:tc>
        <w:tc>
          <w:tcPr>
            <w:tcW w:w="0" w:type="auto"/>
            <w:tcBorders>
              <w:top w:val="single" w:sz="4" w:space="0" w:color="auto"/>
              <w:bottom w:val="single" w:sz="4" w:space="0" w:color="auto"/>
              <w:right w:val="single" w:sz="4" w:space="0" w:color="auto"/>
            </w:tcBorders>
            <w:vAlign w:val="center"/>
            <w:hideMark/>
          </w:tcPr>
          <w:p w14:paraId="7935B14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93(31%)</w:t>
            </w:r>
          </w:p>
        </w:tc>
        <w:tc>
          <w:tcPr>
            <w:tcW w:w="0" w:type="auto"/>
            <w:tcBorders>
              <w:top w:val="single" w:sz="4" w:space="0" w:color="auto"/>
              <w:bottom w:val="single" w:sz="4" w:space="0" w:color="auto"/>
            </w:tcBorders>
            <w:vAlign w:val="center"/>
            <w:hideMark/>
          </w:tcPr>
          <w:p w14:paraId="1BDE905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54(18%)</w:t>
            </w:r>
          </w:p>
        </w:tc>
        <w:tc>
          <w:tcPr>
            <w:tcW w:w="0" w:type="auto"/>
            <w:tcBorders>
              <w:top w:val="single" w:sz="4" w:space="0" w:color="auto"/>
              <w:left w:val="single" w:sz="4" w:space="0" w:color="auto"/>
              <w:bottom w:val="single" w:sz="4" w:space="0" w:color="auto"/>
            </w:tcBorders>
            <w:vAlign w:val="center"/>
            <w:hideMark/>
          </w:tcPr>
          <w:p w14:paraId="44541F3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63(21%)</w:t>
            </w:r>
          </w:p>
        </w:tc>
        <w:tc>
          <w:tcPr>
            <w:tcW w:w="0" w:type="auto"/>
            <w:tcBorders>
              <w:top w:val="single" w:sz="4" w:space="0" w:color="auto"/>
              <w:left w:val="single" w:sz="4" w:space="0" w:color="auto"/>
              <w:bottom w:val="single" w:sz="4" w:space="0" w:color="auto"/>
            </w:tcBorders>
            <w:vAlign w:val="center"/>
            <w:hideMark/>
          </w:tcPr>
          <w:p w14:paraId="6A3E510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2.70</w:t>
            </w:r>
          </w:p>
        </w:tc>
      </w:tr>
      <w:tr w:rsidR="00CA2D21" w14:paraId="799A7916" w14:textId="77777777">
        <w:trPr>
          <w:tblCellSpacing w:w="15" w:type="dxa"/>
        </w:trPr>
        <w:tc>
          <w:tcPr>
            <w:tcW w:w="0" w:type="auto"/>
            <w:tcBorders>
              <w:bottom w:val="single" w:sz="4" w:space="0" w:color="auto"/>
            </w:tcBorders>
            <w:vAlign w:val="center"/>
            <w:hideMark/>
          </w:tcPr>
          <w:p w14:paraId="387CB61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Teachers provide all-round skill development</w:t>
            </w:r>
          </w:p>
        </w:tc>
        <w:tc>
          <w:tcPr>
            <w:tcW w:w="0" w:type="auto"/>
            <w:tcBorders>
              <w:left w:val="single" w:sz="4" w:space="0" w:color="auto"/>
              <w:bottom w:val="single" w:sz="4" w:space="0" w:color="auto"/>
              <w:right w:val="single" w:sz="4" w:space="0" w:color="auto"/>
            </w:tcBorders>
            <w:vAlign w:val="center"/>
            <w:hideMark/>
          </w:tcPr>
          <w:p w14:paraId="2362074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99(33%)</w:t>
            </w:r>
          </w:p>
        </w:tc>
        <w:tc>
          <w:tcPr>
            <w:tcW w:w="0" w:type="auto"/>
            <w:tcBorders>
              <w:bottom w:val="single" w:sz="4" w:space="0" w:color="auto"/>
              <w:right w:val="single" w:sz="4" w:space="0" w:color="auto"/>
            </w:tcBorders>
            <w:vAlign w:val="center"/>
            <w:hideMark/>
          </w:tcPr>
          <w:p w14:paraId="02BE7C8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126(42%)</w:t>
            </w:r>
          </w:p>
        </w:tc>
        <w:tc>
          <w:tcPr>
            <w:tcW w:w="0" w:type="auto"/>
            <w:tcBorders>
              <w:bottom w:val="single" w:sz="4" w:space="0" w:color="auto"/>
            </w:tcBorders>
            <w:vAlign w:val="center"/>
            <w:hideMark/>
          </w:tcPr>
          <w:p w14:paraId="60BCD87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36(12%)</w:t>
            </w:r>
          </w:p>
        </w:tc>
        <w:tc>
          <w:tcPr>
            <w:tcW w:w="0" w:type="auto"/>
            <w:tcBorders>
              <w:left w:val="single" w:sz="4" w:space="0" w:color="auto"/>
              <w:bottom w:val="single" w:sz="4" w:space="0" w:color="auto"/>
            </w:tcBorders>
            <w:vAlign w:val="center"/>
            <w:hideMark/>
          </w:tcPr>
          <w:p w14:paraId="47C8D2E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39(13%)</w:t>
            </w:r>
          </w:p>
        </w:tc>
        <w:tc>
          <w:tcPr>
            <w:tcW w:w="0" w:type="auto"/>
            <w:tcBorders>
              <w:left w:val="single" w:sz="4" w:space="0" w:color="auto"/>
              <w:bottom w:val="single" w:sz="4" w:space="0" w:color="auto"/>
            </w:tcBorders>
            <w:vAlign w:val="center"/>
            <w:hideMark/>
          </w:tcPr>
          <w:p w14:paraId="7E50B77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2.95</w:t>
            </w:r>
          </w:p>
        </w:tc>
      </w:tr>
      <w:tr w:rsidR="00CA2D21" w14:paraId="43C61F77" w14:textId="77777777">
        <w:trPr>
          <w:tblCellSpacing w:w="15" w:type="dxa"/>
        </w:trPr>
        <w:tc>
          <w:tcPr>
            <w:tcW w:w="0" w:type="auto"/>
            <w:vAlign w:val="center"/>
            <w:hideMark/>
          </w:tcPr>
          <w:p w14:paraId="362437C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Teachers ensure students reach full potential</w:t>
            </w:r>
          </w:p>
        </w:tc>
        <w:tc>
          <w:tcPr>
            <w:tcW w:w="0" w:type="auto"/>
            <w:tcBorders>
              <w:left w:val="single" w:sz="4" w:space="0" w:color="auto"/>
              <w:right w:val="single" w:sz="4" w:space="0" w:color="auto"/>
            </w:tcBorders>
            <w:vAlign w:val="center"/>
            <w:hideMark/>
          </w:tcPr>
          <w:p w14:paraId="267BBD3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117(39%)</w:t>
            </w:r>
          </w:p>
        </w:tc>
        <w:tc>
          <w:tcPr>
            <w:tcW w:w="0" w:type="auto"/>
            <w:tcBorders>
              <w:right w:val="single" w:sz="4" w:space="0" w:color="auto"/>
            </w:tcBorders>
            <w:vAlign w:val="center"/>
            <w:hideMark/>
          </w:tcPr>
          <w:p w14:paraId="741668C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102(34%)</w:t>
            </w:r>
          </w:p>
        </w:tc>
        <w:tc>
          <w:tcPr>
            <w:tcW w:w="0" w:type="auto"/>
            <w:vAlign w:val="center"/>
            <w:hideMark/>
          </w:tcPr>
          <w:p w14:paraId="1ABE81E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left w:val="single" w:sz="4" w:space="0" w:color="auto"/>
            </w:tcBorders>
            <w:vAlign w:val="center"/>
            <w:hideMark/>
          </w:tcPr>
          <w:p w14:paraId="198AF64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21(7%)</w:t>
            </w:r>
          </w:p>
        </w:tc>
        <w:tc>
          <w:tcPr>
            <w:tcW w:w="0" w:type="auto"/>
            <w:tcBorders>
              <w:left w:val="single" w:sz="4" w:space="0" w:color="auto"/>
            </w:tcBorders>
            <w:vAlign w:val="center"/>
            <w:hideMark/>
          </w:tcPr>
          <w:p w14:paraId="0317D15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3.05</w:t>
            </w:r>
          </w:p>
        </w:tc>
      </w:tr>
      <w:tr w:rsidR="00CA2D21" w14:paraId="0293402C" w14:textId="77777777">
        <w:trPr>
          <w:tblCellSpacing w:w="15" w:type="dxa"/>
        </w:trPr>
        <w:tc>
          <w:tcPr>
            <w:tcW w:w="0" w:type="auto"/>
            <w:tcBorders>
              <w:top w:val="single" w:sz="4" w:space="0" w:color="auto"/>
            </w:tcBorders>
            <w:vAlign w:val="center"/>
            <w:hideMark/>
          </w:tcPr>
          <w:p w14:paraId="22B1E88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Teachers fundamental to student achievement</w:t>
            </w:r>
          </w:p>
        </w:tc>
        <w:tc>
          <w:tcPr>
            <w:tcW w:w="0" w:type="auto"/>
            <w:tcBorders>
              <w:top w:val="single" w:sz="4" w:space="0" w:color="auto"/>
              <w:left w:val="single" w:sz="4" w:space="0" w:color="auto"/>
            </w:tcBorders>
            <w:vAlign w:val="center"/>
            <w:hideMark/>
          </w:tcPr>
          <w:p w14:paraId="1E3375A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84(28%)</w:t>
            </w:r>
          </w:p>
        </w:tc>
        <w:tc>
          <w:tcPr>
            <w:tcW w:w="0" w:type="auto"/>
            <w:tcBorders>
              <w:top w:val="single" w:sz="4" w:space="0" w:color="auto"/>
              <w:left w:val="single" w:sz="4" w:space="0" w:color="auto"/>
              <w:right w:val="single" w:sz="4" w:space="0" w:color="auto"/>
            </w:tcBorders>
            <w:vAlign w:val="center"/>
            <w:hideMark/>
          </w:tcPr>
          <w:p w14:paraId="3734D73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96(32%)</w:t>
            </w:r>
          </w:p>
        </w:tc>
        <w:tc>
          <w:tcPr>
            <w:tcW w:w="0" w:type="auto"/>
            <w:tcBorders>
              <w:top w:val="single" w:sz="4" w:space="0" w:color="auto"/>
            </w:tcBorders>
            <w:vAlign w:val="center"/>
            <w:hideMark/>
          </w:tcPr>
          <w:p w14:paraId="013038A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57(19%)</w:t>
            </w:r>
          </w:p>
        </w:tc>
        <w:tc>
          <w:tcPr>
            <w:tcW w:w="0" w:type="auto"/>
            <w:tcBorders>
              <w:top w:val="single" w:sz="4" w:space="0" w:color="auto"/>
              <w:left w:val="single" w:sz="4" w:space="0" w:color="auto"/>
              <w:right w:val="single" w:sz="4" w:space="0" w:color="auto"/>
            </w:tcBorders>
            <w:vAlign w:val="center"/>
            <w:hideMark/>
          </w:tcPr>
          <w:p w14:paraId="31F983C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63(21%)</w:t>
            </w:r>
          </w:p>
        </w:tc>
        <w:tc>
          <w:tcPr>
            <w:tcW w:w="0" w:type="auto"/>
            <w:tcBorders>
              <w:top w:val="single" w:sz="4" w:space="0" w:color="auto"/>
            </w:tcBorders>
            <w:vAlign w:val="center"/>
            <w:hideMark/>
          </w:tcPr>
          <w:p w14:paraId="4C415CD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2.67</w:t>
            </w:r>
          </w:p>
        </w:tc>
      </w:tr>
      <w:tr w:rsidR="00CA2D21" w14:paraId="7F576784" w14:textId="77777777">
        <w:trPr>
          <w:tblCellSpacing w:w="15" w:type="dxa"/>
        </w:trPr>
        <w:tc>
          <w:tcPr>
            <w:tcW w:w="0" w:type="auto"/>
            <w:tcBorders>
              <w:top w:val="single" w:sz="4" w:space="0" w:color="auto"/>
            </w:tcBorders>
            <w:vAlign w:val="center"/>
            <w:hideMark/>
          </w:tcPr>
          <w:p w14:paraId="6611794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Teachers facilitate future success</w:t>
            </w:r>
          </w:p>
        </w:tc>
        <w:tc>
          <w:tcPr>
            <w:tcW w:w="0" w:type="auto"/>
            <w:tcBorders>
              <w:top w:val="single" w:sz="4" w:space="0" w:color="auto"/>
              <w:left w:val="single" w:sz="4" w:space="0" w:color="auto"/>
            </w:tcBorders>
            <w:vAlign w:val="center"/>
            <w:hideMark/>
          </w:tcPr>
          <w:p w14:paraId="47657EF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63(21%)</w:t>
            </w:r>
          </w:p>
        </w:tc>
        <w:tc>
          <w:tcPr>
            <w:tcW w:w="0" w:type="auto"/>
            <w:tcBorders>
              <w:top w:val="single" w:sz="4" w:space="0" w:color="auto"/>
              <w:left w:val="single" w:sz="4" w:space="0" w:color="auto"/>
              <w:right w:val="single" w:sz="4" w:space="0" w:color="auto"/>
            </w:tcBorders>
            <w:vAlign w:val="center"/>
            <w:hideMark/>
          </w:tcPr>
          <w:p w14:paraId="1BC4BE1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90(30%)</w:t>
            </w:r>
          </w:p>
        </w:tc>
        <w:tc>
          <w:tcPr>
            <w:tcW w:w="0" w:type="auto"/>
            <w:tcBorders>
              <w:top w:val="single" w:sz="4" w:space="0" w:color="auto"/>
            </w:tcBorders>
            <w:vAlign w:val="center"/>
            <w:hideMark/>
          </w:tcPr>
          <w:p w14:paraId="65BD7BE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72(24%)</w:t>
            </w:r>
          </w:p>
        </w:tc>
        <w:tc>
          <w:tcPr>
            <w:tcW w:w="0" w:type="auto"/>
            <w:tcBorders>
              <w:top w:val="single" w:sz="4" w:space="0" w:color="auto"/>
              <w:left w:val="single" w:sz="4" w:space="0" w:color="auto"/>
              <w:right w:val="single" w:sz="4" w:space="0" w:color="auto"/>
            </w:tcBorders>
            <w:vAlign w:val="center"/>
            <w:hideMark/>
          </w:tcPr>
          <w:p w14:paraId="314831C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75(25%)</w:t>
            </w:r>
          </w:p>
        </w:tc>
        <w:tc>
          <w:tcPr>
            <w:tcW w:w="0" w:type="auto"/>
            <w:tcBorders>
              <w:top w:val="single" w:sz="4" w:space="0" w:color="auto"/>
            </w:tcBorders>
            <w:vAlign w:val="center"/>
            <w:hideMark/>
          </w:tcPr>
          <w:p w14:paraId="39AB653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2.47</w:t>
            </w:r>
          </w:p>
        </w:tc>
      </w:tr>
    </w:tbl>
    <w:p w14:paraId="572B200C" w14:textId="77777777" w:rsidR="00CA2D21" w:rsidRDefault="00CA2D21">
      <w:pPr>
        <w:jc w:val="both"/>
        <w:rPr>
          <w:rFonts w:ascii="Times New Roman" w:hAnsi="Times New Roman" w:cs="Times New Roman"/>
          <w:b/>
          <w:bCs/>
          <w:sz w:val="28"/>
          <w:szCs w:val="28"/>
        </w:rPr>
      </w:pPr>
    </w:p>
    <w:p w14:paraId="2C79582F"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Research Question 3:</w:t>
      </w:r>
      <w:r>
        <w:rPr>
          <w:rFonts w:ascii="Times New Roman" w:hAnsi="Times New Roman" w:cs="Times New Roman"/>
          <w:sz w:val="28"/>
          <w:szCs w:val="28"/>
        </w:rPr>
        <w:t xml:space="preserve"> What is the relationship between community involvement and school effectiveness?</w:t>
      </w:r>
    </w:p>
    <w:p w14:paraId="4638C52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Community involvement assessment (Table 4) showed that 63% of the respondents (n=189) agreed with the statement that community members were important stakeholders in the </w:t>
      </w:r>
      <w:r>
        <w:rPr>
          <w:rFonts w:ascii="Times New Roman" w:hAnsi="Times New Roman" w:cs="Times New Roman"/>
          <w:sz w:val="28"/>
          <w:szCs w:val="28"/>
        </w:rPr>
        <w:t>proposed project, 62% of the respondents (n=186) agreed that community members were important in decision making, 62% (n=186) agreed that community members were important in problem-solving, 81% (n=244) agreed that community members were important in decis</w:t>
      </w:r>
      <w:r>
        <w:rPr>
          <w:rFonts w:ascii="Times New Roman" w:hAnsi="Times New Roman" w:cs="Times New Roman"/>
          <w:sz w:val="28"/>
          <w:szCs w:val="28"/>
        </w:rPr>
        <w:t>ion making, and 67% (n=202) agreed that community members were These are results that show significant perceived neighborhood contributions to school effectiveness.</w:t>
      </w:r>
    </w:p>
    <w:p w14:paraId="0AF097AE"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4: Community Involvement and School Effectiveness (N=300</w:t>
      </w:r>
      <w:r>
        <w:rPr>
          <w:rFonts w:ascii="Times New Roman" w:hAnsi="Times New Roman" w:cs="Times New Roman"/>
          <w:sz w:val="28"/>
          <w:szCs w:val="28"/>
        </w:rPr>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00"/>
        <w:gridCol w:w="1180"/>
        <w:gridCol w:w="1200"/>
        <w:gridCol w:w="1050"/>
        <w:gridCol w:w="1040"/>
        <w:gridCol w:w="780"/>
      </w:tblGrid>
      <w:tr w:rsidR="00CA2D21" w14:paraId="0A8495AE" w14:textId="77777777">
        <w:trPr>
          <w:tblHeader/>
          <w:tblCellSpacing w:w="15" w:type="dxa"/>
        </w:trPr>
        <w:tc>
          <w:tcPr>
            <w:tcW w:w="0" w:type="auto"/>
            <w:tcBorders>
              <w:right w:val="single" w:sz="4" w:space="0" w:color="auto"/>
            </w:tcBorders>
            <w:vAlign w:val="center"/>
            <w:hideMark/>
          </w:tcPr>
          <w:p w14:paraId="4AF7A34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lastRenderedPageBreak/>
              <w:t>Item</w:t>
            </w:r>
          </w:p>
        </w:tc>
        <w:tc>
          <w:tcPr>
            <w:tcW w:w="0" w:type="auto"/>
            <w:vAlign w:val="center"/>
            <w:hideMark/>
          </w:tcPr>
          <w:p w14:paraId="193F0BE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SA</w:t>
            </w:r>
          </w:p>
        </w:tc>
        <w:tc>
          <w:tcPr>
            <w:tcW w:w="0" w:type="auto"/>
            <w:tcBorders>
              <w:left w:val="single" w:sz="4" w:space="0" w:color="auto"/>
              <w:right w:val="single" w:sz="4" w:space="0" w:color="auto"/>
            </w:tcBorders>
            <w:vAlign w:val="center"/>
            <w:hideMark/>
          </w:tcPr>
          <w:p w14:paraId="22B81FC4"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w:t>
            </w:r>
          </w:p>
        </w:tc>
        <w:tc>
          <w:tcPr>
            <w:tcW w:w="0" w:type="auto"/>
            <w:tcBorders>
              <w:right w:val="single" w:sz="4" w:space="0" w:color="auto"/>
            </w:tcBorders>
            <w:vAlign w:val="center"/>
            <w:hideMark/>
          </w:tcPr>
          <w:p w14:paraId="0CA7784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0" w:type="auto"/>
            <w:vAlign w:val="center"/>
            <w:hideMark/>
          </w:tcPr>
          <w:p w14:paraId="0FBECA2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w:t>
            </w:r>
          </w:p>
        </w:tc>
        <w:tc>
          <w:tcPr>
            <w:tcW w:w="0" w:type="auto"/>
            <w:tcBorders>
              <w:left w:val="single" w:sz="4" w:space="0" w:color="auto"/>
            </w:tcBorders>
            <w:vAlign w:val="center"/>
            <w:hideMark/>
          </w:tcPr>
          <w:p w14:paraId="255D61F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Mean</w:t>
            </w:r>
          </w:p>
        </w:tc>
      </w:tr>
      <w:tr w:rsidR="00CA2D21" w14:paraId="63943A0A" w14:textId="77777777">
        <w:trPr>
          <w:tblCellSpacing w:w="15" w:type="dxa"/>
        </w:trPr>
        <w:tc>
          <w:tcPr>
            <w:tcW w:w="0" w:type="auto"/>
            <w:tcBorders>
              <w:top w:val="single" w:sz="4" w:space="0" w:color="auto"/>
              <w:right w:val="single" w:sz="4" w:space="0" w:color="auto"/>
            </w:tcBorders>
            <w:vAlign w:val="center"/>
            <w:hideMark/>
          </w:tcPr>
          <w:p w14:paraId="1B6EF03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Community members are vital stakeholders</w:t>
            </w:r>
          </w:p>
        </w:tc>
        <w:tc>
          <w:tcPr>
            <w:tcW w:w="0" w:type="auto"/>
            <w:tcBorders>
              <w:top w:val="single" w:sz="4" w:space="0" w:color="auto"/>
            </w:tcBorders>
            <w:vAlign w:val="center"/>
            <w:hideMark/>
          </w:tcPr>
          <w:p w14:paraId="0A02CDD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top w:val="single" w:sz="4" w:space="0" w:color="auto"/>
              <w:left w:val="single" w:sz="4" w:space="0" w:color="auto"/>
              <w:right w:val="single" w:sz="4" w:space="0" w:color="auto"/>
            </w:tcBorders>
            <w:vAlign w:val="center"/>
            <w:hideMark/>
          </w:tcPr>
          <w:p w14:paraId="28A08D9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84(28%)</w:t>
            </w:r>
          </w:p>
        </w:tc>
        <w:tc>
          <w:tcPr>
            <w:tcW w:w="0" w:type="auto"/>
            <w:tcBorders>
              <w:top w:val="single" w:sz="4" w:space="0" w:color="auto"/>
              <w:right w:val="single" w:sz="4" w:space="0" w:color="auto"/>
            </w:tcBorders>
            <w:vAlign w:val="center"/>
            <w:hideMark/>
          </w:tcPr>
          <w:p w14:paraId="3264F92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66(22%)</w:t>
            </w:r>
          </w:p>
        </w:tc>
        <w:tc>
          <w:tcPr>
            <w:tcW w:w="0" w:type="auto"/>
            <w:tcBorders>
              <w:top w:val="single" w:sz="4" w:space="0" w:color="auto"/>
            </w:tcBorders>
            <w:vAlign w:val="center"/>
            <w:hideMark/>
          </w:tcPr>
          <w:p w14:paraId="66B72D7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45(15%)</w:t>
            </w:r>
          </w:p>
        </w:tc>
        <w:tc>
          <w:tcPr>
            <w:tcW w:w="0" w:type="auto"/>
            <w:tcBorders>
              <w:top w:val="single" w:sz="4" w:space="0" w:color="auto"/>
              <w:left w:val="single" w:sz="4" w:space="0" w:color="auto"/>
            </w:tcBorders>
            <w:vAlign w:val="center"/>
            <w:hideMark/>
          </w:tcPr>
          <w:p w14:paraId="1C577E4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2.83</w:t>
            </w:r>
          </w:p>
        </w:tc>
      </w:tr>
      <w:tr w:rsidR="00CA2D21" w14:paraId="0122418B" w14:textId="77777777">
        <w:trPr>
          <w:tblCellSpacing w:w="15" w:type="dxa"/>
        </w:trPr>
        <w:tc>
          <w:tcPr>
            <w:tcW w:w="0" w:type="auto"/>
            <w:tcBorders>
              <w:top w:val="single" w:sz="4" w:space="0" w:color="auto"/>
              <w:right w:val="single" w:sz="4" w:space="0" w:color="auto"/>
            </w:tcBorders>
            <w:vAlign w:val="center"/>
            <w:hideMark/>
          </w:tcPr>
          <w:p w14:paraId="4883801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Community offers support in decision-making</w:t>
            </w:r>
          </w:p>
        </w:tc>
        <w:tc>
          <w:tcPr>
            <w:tcW w:w="0" w:type="auto"/>
            <w:tcBorders>
              <w:top w:val="single" w:sz="4" w:space="0" w:color="auto"/>
            </w:tcBorders>
            <w:vAlign w:val="center"/>
            <w:hideMark/>
          </w:tcPr>
          <w:p w14:paraId="77D54F1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118(39%)</w:t>
            </w:r>
          </w:p>
        </w:tc>
        <w:tc>
          <w:tcPr>
            <w:tcW w:w="0" w:type="auto"/>
            <w:tcBorders>
              <w:top w:val="single" w:sz="4" w:space="0" w:color="auto"/>
              <w:left w:val="single" w:sz="4" w:space="0" w:color="auto"/>
              <w:right w:val="single" w:sz="4" w:space="0" w:color="auto"/>
            </w:tcBorders>
            <w:vAlign w:val="center"/>
            <w:hideMark/>
          </w:tcPr>
          <w:p w14:paraId="4D4703C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126(42%)</w:t>
            </w:r>
          </w:p>
        </w:tc>
        <w:tc>
          <w:tcPr>
            <w:tcW w:w="0" w:type="auto"/>
            <w:tcBorders>
              <w:top w:val="single" w:sz="4" w:space="0" w:color="auto"/>
              <w:right w:val="single" w:sz="4" w:space="0" w:color="auto"/>
            </w:tcBorders>
            <w:vAlign w:val="center"/>
            <w:hideMark/>
          </w:tcPr>
          <w:p w14:paraId="386A04B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20(7%)</w:t>
            </w:r>
          </w:p>
        </w:tc>
        <w:tc>
          <w:tcPr>
            <w:tcW w:w="0" w:type="auto"/>
            <w:tcBorders>
              <w:top w:val="single" w:sz="4" w:space="0" w:color="auto"/>
            </w:tcBorders>
            <w:vAlign w:val="center"/>
            <w:hideMark/>
          </w:tcPr>
          <w:p w14:paraId="564415F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36(12%)</w:t>
            </w:r>
          </w:p>
        </w:tc>
        <w:tc>
          <w:tcPr>
            <w:tcW w:w="0" w:type="auto"/>
            <w:tcBorders>
              <w:top w:val="single" w:sz="4" w:space="0" w:color="auto"/>
              <w:left w:val="single" w:sz="4" w:space="0" w:color="auto"/>
            </w:tcBorders>
            <w:vAlign w:val="center"/>
            <w:hideMark/>
          </w:tcPr>
          <w:p w14:paraId="0D0B2F4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3.08</w:t>
            </w:r>
          </w:p>
        </w:tc>
      </w:tr>
      <w:tr w:rsidR="00CA2D21" w14:paraId="1632C657" w14:textId="77777777">
        <w:trPr>
          <w:tblCellSpacing w:w="15" w:type="dxa"/>
        </w:trPr>
        <w:tc>
          <w:tcPr>
            <w:tcW w:w="0" w:type="auto"/>
            <w:tcBorders>
              <w:top w:val="single" w:sz="4" w:space="0" w:color="auto"/>
              <w:right w:val="single" w:sz="4" w:space="0" w:color="auto"/>
            </w:tcBorders>
            <w:vAlign w:val="center"/>
            <w:hideMark/>
          </w:tcPr>
          <w:p w14:paraId="1A39173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Community solves pressing school issues</w:t>
            </w:r>
          </w:p>
        </w:tc>
        <w:tc>
          <w:tcPr>
            <w:tcW w:w="0" w:type="auto"/>
            <w:tcBorders>
              <w:top w:val="single" w:sz="4" w:space="0" w:color="auto"/>
            </w:tcBorders>
            <w:vAlign w:val="center"/>
            <w:hideMark/>
          </w:tcPr>
          <w:p w14:paraId="1B3B4DE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111(37%)</w:t>
            </w:r>
          </w:p>
        </w:tc>
        <w:tc>
          <w:tcPr>
            <w:tcW w:w="0" w:type="auto"/>
            <w:tcBorders>
              <w:top w:val="single" w:sz="4" w:space="0" w:color="auto"/>
              <w:left w:val="single" w:sz="4" w:space="0" w:color="auto"/>
              <w:right w:val="single" w:sz="4" w:space="0" w:color="auto"/>
            </w:tcBorders>
            <w:vAlign w:val="center"/>
            <w:hideMark/>
          </w:tcPr>
          <w:p w14:paraId="4D2958F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75(25%)</w:t>
            </w:r>
          </w:p>
        </w:tc>
        <w:tc>
          <w:tcPr>
            <w:tcW w:w="0" w:type="auto"/>
            <w:tcBorders>
              <w:top w:val="single" w:sz="4" w:space="0" w:color="auto"/>
              <w:right w:val="single" w:sz="4" w:space="0" w:color="auto"/>
            </w:tcBorders>
            <w:vAlign w:val="center"/>
            <w:hideMark/>
          </w:tcPr>
          <w:p w14:paraId="4648134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69(23%)</w:t>
            </w:r>
          </w:p>
        </w:tc>
        <w:tc>
          <w:tcPr>
            <w:tcW w:w="0" w:type="auto"/>
            <w:tcBorders>
              <w:top w:val="single" w:sz="4" w:space="0" w:color="auto"/>
            </w:tcBorders>
            <w:vAlign w:val="center"/>
            <w:hideMark/>
          </w:tcPr>
          <w:p w14:paraId="56195F4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45(15%)</w:t>
            </w:r>
          </w:p>
        </w:tc>
        <w:tc>
          <w:tcPr>
            <w:tcW w:w="0" w:type="auto"/>
            <w:tcBorders>
              <w:top w:val="single" w:sz="4" w:space="0" w:color="auto"/>
              <w:left w:val="single" w:sz="4" w:space="0" w:color="auto"/>
            </w:tcBorders>
            <w:vAlign w:val="center"/>
            <w:hideMark/>
          </w:tcPr>
          <w:p w14:paraId="26689BE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2.84</w:t>
            </w:r>
          </w:p>
        </w:tc>
      </w:tr>
      <w:tr w:rsidR="00CA2D21" w14:paraId="2084C8B1"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34EFB90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Community </w:t>
            </w:r>
            <w:r>
              <w:rPr>
                <w:rFonts w:ascii="Times New Roman" w:hAnsi="Times New Roman" w:cs="Times New Roman"/>
                <w:sz w:val="28"/>
                <w:szCs w:val="28"/>
              </w:rPr>
              <w:t>members have vested interests</w:t>
            </w:r>
          </w:p>
        </w:tc>
        <w:tc>
          <w:tcPr>
            <w:tcW w:w="0" w:type="auto"/>
            <w:tcBorders>
              <w:top w:val="single" w:sz="4" w:space="0" w:color="auto"/>
              <w:bottom w:val="single" w:sz="4" w:space="0" w:color="auto"/>
            </w:tcBorders>
            <w:vAlign w:val="center"/>
            <w:hideMark/>
          </w:tcPr>
          <w:p w14:paraId="6B99BE3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90(30%)</w:t>
            </w:r>
          </w:p>
        </w:tc>
        <w:tc>
          <w:tcPr>
            <w:tcW w:w="0" w:type="auto"/>
            <w:tcBorders>
              <w:top w:val="single" w:sz="4" w:space="0" w:color="auto"/>
              <w:left w:val="single" w:sz="4" w:space="0" w:color="auto"/>
              <w:bottom w:val="single" w:sz="4" w:space="0" w:color="auto"/>
              <w:right w:val="single" w:sz="4" w:space="0" w:color="auto"/>
            </w:tcBorders>
            <w:vAlign w:val="center"/>
            <w:hideMark/>
          </w:tcPr>
          <w:p w14:paraId="0424510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96(32%)</w:t>
            </w:r>
          </w:p>
        </w:tc>
        <w:tc>
          <w:tcPr>
            <w:tcW w:w="0" w:type="auto"/>
            <w:tcBorders>
              <w:top w:val="single" w:sz="4" w:space="0" w:color="auto"/>
              <w:bottom w:val="single" w:sz="4" w:space="0" w:color="auto"/>
              <w:right w:val="single" w:sz="4" w:space="0" w:color="auto"/>
            </w:tcBorders>
            <w:vAlign w:val="center"/>
            <w:hideMark/>
          </w:tcPr>
          <w:p w14:paraId="004540C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45(15%)</w:t>
            </w:r>
          </w:p>
        </w:tc>
        <w:tc>
          <w:tcPr>
            <w:tcW w:w="0" w:type="auto"/>
            <w:tcBorders>
              <w:top w:val="single" w:sz="4" w:space="0" w:color="auto"/>
              <w:bottom w:val="single" w:sz="4" w:space="0" w:color="auto"/>
            </w:tcBorders>
            <w:vAlign w:val="center"/>
            <w:hideMark/>
          </w:tcPr>
          <w:p w14:paraId="7BD3C8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69(23%)</w:t>
            </w:r>
          </w:p>
        </w:tc>
        <w:tc>
          <w:tcPr>
            <w:tcW w:w="0" w:type="auto"/>
            <w:tcBorders>
              <w:top w:val="single" w:sz="4" w:space="0" w:color="auto"/>
              <w:left w:val="single" w:sz="4" w:space="0" w:color="auto"/>
              <w:bottom w:val="single" w:sz="4" w:space="0" w:color="auto"/>
            </w:tcBorders>
            <w:vAlign w:val="center"/>
            <w:hideMark/>
          </w:tcPr>
          <w:p w14:paraId="06B9C9F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2.69</w:t>
            </w:r>
          </w:p>
        </w:tc>
      </w:tr>
      <w:tr w:rsidR="00CA2D21" w14:paraId="747BA8BD" w14:textId="77777777">
        <w:trPr>
          <w:tblCellSpacing w:w="15" w:type="dxa"/>
        </w:trPr>
        <w:tc>
          <w:tcPr>
            <w:tcW w:w="0" w:type="auto"/>
            <w:tcBorders>
              <w:right w:val="single" w:sz="4" w:space="0" w:color="auto"/>
            </w:tcBorders>
            <w:vAlign w:val="center"/>
            <w:hideMark/>
          </w:tcPr>
          <w:p w14:paraId="2113F33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Participation provides skills and knowledge</w:t>
            </w:r>
          </w:p>
        </w:tc>
        <w:tc>
          <w:tcPr>
            <w:tcW w:w="0" w:type="auto"/>
            <w:vAlign w:val="center"/>
            <w:hideMark/>
          </w:tcPr>
          <w:p w14:paraId="156722D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84(28%)</w:t>
            </w:r>
          </w:p>
        </w:tc>
        <w:tc>
          <w:tcPr>
            <w:tcW w:w="0" w:type="auto"/>
            <w:tcBorders>
              <w:left w:val="single" w:sz="4" w:space="0" w:color="auto"/>
              <w:right w:val="single" w:sz="4" w:space="0" w:color="auto"/>
            </w:tcBorders>
            <w:vAlign w:val="center"/>
            <w:hideMark/>
          </w:tcPr>
          <w:p w14:paraId="30B01DA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118(39%)</w:t>
            </w:r>
          </w:p>
        </w:tc>
        <w:tc>
          <w:tcPr>
            <w:tcW w:w="0" w:type="auto"/>
            <w:tcBorders>
              <w:right w:val="single" w:sz="4" w:space="0" w:color="auto"/>
            </w:tcBorders>
            <w:vAlign w:val="center"/>
            <w:hideMark/>
          </w:tcPr>
          <w:p w14:paraId="6F6E1BB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72(24%)</w:t>
            </w:r>
          </w:p>
        </w:tc>
        <w:tc>
          <w:tcPr>
            <w:tcW w:w="0" w:type="auto"/>
            <w:vAlign w:val="center"/>
            <w:hideMark/>
          </w:tcPr>
          <w:p w14:paraId="6E2AB82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26(9%)</w:t>
            </w:r>
          </w:p>
        </w:tc>
        <w:tc>
          <w:tcPr>
            <w:tcW w:w="0" w:type="auto"/>
            <w:tcBorders>
              <w:left w:val="single" w:sz="4" w:space="0" w:color="auto"/>
            </w:tcBorders>
            <w:vAlign w:val="center"/>
            <w:hideMark/>
          </w:tcPr>
          <w:p w14:paraId="77E7036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2.86</w:t>
            </w:r>
          </w:p>
        </w:tc>
      </w:tr>
    </w:tbl>
    <w:p w14:paraId="47055EC2" w14:textId="77777777" w:rsidR="00CA2D21" w:rsidRDefault="00CA2D21">
      <w:pPr>
        <w:jc w:val="both"/>
        <w:rPr>
          <w:rFonts w:ascii="Times New Roman" w:hAnsi="Times New Roman" w:cs="Times New Roman"/>
          <w:b/>
          <w:bCs/>
          <w:sz w:val="28"/>
          <w:szCs w:val="28"/>
        </w:rPr>
      </w:pPr>
    </w:p>
    <w:p w14:paraId="34111B4F"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Research Question 4: </w:t>
      </w:r>
      <w:r>
        <w:rPr>
          <w:rFonts w:ascii="Times New Roman" w:hAnsi="Times New Roman" w:cs="Times New Roman"/>
          <w:sz w:val="28"/>
          <w:szCs w:val="28"/>
        </w:rPr>
        <w:t xml:space="preserve">What is the relationship between involvement of voluntary agencies and school </w:t>
      </w:r>
      <w:r>
        <w:rPr>
          <w:rFonts w:ascii="Times New Roman" w:hAnsi="Times New Roman" w:cs="Times New Roman"/>
          <w:sz w:val="28"/>
          <w:szCs w:val="28"/>
        </w:rPr>
        <w:t>effectiveness?</w:t>
      </w:r>
    </w:p>
    <w:p w14:paraId="0F516F9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Table 5 analysis of voluntary agency involvement indicated that 74% (n=223) of the agencies agreed that they increased the objectives of education, 81% (n=243) of the agencies agreed that they increased the quality of education, 80% (n=241) </w:t>
      </w:r>
      <w:r>
        <w:rPr>
          <w:rFonts w:ascii="Times New Roman" w:hAnsi="Times New Roman" w:cs="Times New Roman"/>
          <w:sz w:val="28"/>
          <w:szCs w:val="28"/>
        </w:rPr>
        <w:t xml:space="preserve">of agencies agreed that they positively influenced student learning, 62% (n=186) of the agencies agreed that agencies were significant stakeholders, and 60% (n=180) of the agencies agreed that the agencies had vested interests. Findings show that there is </w:t>
      </w:r>
      <w:r>
        <w:rPr>
          <w:rFonts w:ascii="Times New Roman" w:hAnsi="Times New Roman" w:cs="Times New Roman"/>
          <w:sz w:val="28"/>
          <w:szCs w:val="28"/>
        </w:rPr>
        <w:t>a high value attached to voluntary agency contributions.</w:t>
      </w:r>
    </w:p>
    <w:p w14:paraId="42325E5A"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5: The Involvement of Voluntary Agencies and School Effectiveness (N=300)</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00"/>
        <w:gridCol w:w="1190"/>
        <w:gridCol w:w="1190"/>
        <w:gridCol w:w="1050"/>
        <w:gridCol w:w="1050"/>
        <w:gridCol w:w="770"/>
      </w:tblGrid>
      <w:tr w:rsidR="00CA2D21" w14:paraId="1B973747" w14:textId="77777777">
        <w:trPr>
          <w:tblHeader/>
          <w:tblCellSpacing w:w="15" w:type="dxa"/>
        </w:trPr>
        <w:tc>
          <w:tcPr>
            <w:tcW w:w="0" w:type="auto"/>
            <w:tcBorders>
              <w:right w:val="single" w:sz="4" w:space="0" w:color="auto"/>
            </w:tcBorders>
            <w:vAlign w:val="center"/>
            <w:hideMark/>
          </w:tcPr>
          <w:p w14:paraId="215A7784"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Item</w:t>
            </w:r>
          </w:p>
        </w:tc>
        <w:tc>
          <w:tcPr>
            <w:tcW w:w="0" w:type="auto"/>
            <w:tcBorders>
              <w:right w:val="single" w:sz="4" w:space="0" w:color="auto"/>
            </w:tcBorders>
            <w:vAlign w:val="center"/>
            <w:hideMark/>
          </w:tcPr>
          <w:p w14:paraId="26A7CE1C"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SA</w:t>
            </w:r>
          </w:p>
        </w:tc>
        <w:tc>
          <w:tcPr>
            <w:tcW w:w="0" w:type="auto"/>
            <w:tcBorders>
              <w:right w:val="single" w:sz="4" w:space="0" w:color="auto"/>
            </w:tcBorders>
            <w:vAlign w:val="center"/>
            <w:hideMark/>
          </w:tcPr>
          <w:p w14:paraId="0E9AC2C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w:t>
            </w:r>
          </w:p>
        </w:tc>
        <w:tc>
          <w:tcPr>
            <w:tcW w:w="0" w:type="auto"/>
            <w:tcBorders>
              <w:right w:val="single" w:sz="4" w:space="0" w:color="auto"/>
            </w:tcBorders>
            <w:vAlign w:val="center"/>
            <w:hideMark/>
          </w:tcPr>
          <w:p w14:paraId="622EB4B0"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0" w:type="auto"/>
            <w:tcBorders>
              <w:right w:val="single" w:sz="4" w:space="0" w:color="auto"/>
            </w:tcBorders>
            <w:vAlign w:val="center"/>
            <w:hideMark/>
          </w:tcPr>
          <w:p w14:paraId="34D6BBD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w:t>
            </w:r>
          </w:p>
        </w:tc>
        <w:tc>
          <w:tcPr>
            <w:tcW w:w="0" w:type="auto"/>
            <w:vAlign w:val="center"/>
            <w:hideMark/>
          </w:tcPr>
          <w:p w14:paraId="2CF0591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Mean</w:t>
            </w:r>
          </w:p>
        </w:tc>
      </w:tr>
      <w:tr w:rsidR="00CA2D21" w14:paraId="7FAFD17B" w14:textId="77777777">
        <w:trPr>
          <w:tblCellSpacing w:w="15" w:type="dxa"/>
        </w:trPr>
        <w:tc>
          <w:tcPr>
            <w:tcW w:w="0" w:type="auto"/>
            <w:tcBorders>
              <w:top w:val="single" w:sz="4" w:space="0" w:color="auto"/>
              <w:right w:val="single" w:sz="4" w:space="0" w:color="auto"/>
            </w:tcBorders>
            <w:vAlign w:val="center"/>
            <w:hideMark/>
          </w:tcPr>
          <w:p w14:paraId="133069C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Agencies enhance educational objectives</w:t>
            </w:r>
          </w:p>
        </w:tc>
        <w:tc>
          <w:tcPr>
            <w:tcW w:w="0" w:type="auto"/>
            <w:tcBorders>
              <w:top w:val="single" w:sz="4" w:space="0" w:color="auto"/>
              <w:right w:val="single" w:sz="4" w:space="0" w:color="auto"/>
            </w:tcBorders>
            <w:vAlign w:val="center"/>
            <w:hideMark/>
          </w:tcPr>
          <w:p w14:paraId="43578A2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118(39%)</w:t>
            </w:r>
          </w:p>
        </w:tc>
        <w:tc>
          <w:tcPr>
            <w:tcW w:w="0" w:type="auto"/>
            <w:tcBorders>
              <w:top w:val="single" w:sz="4" w:space="0" w:color="auto"/>
              <w:right w:val="single" w:sz="4" w:space="0" w:color="auto"/>
            </w:tcBorders>
            <w:vAlign w:val="center"/>
            <w:hideMark/>
          </w:tcPr>
          <w:p w14:paraId="105AF7B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top w:val="single" w:sz="4" w:space="0" w:color="auto"/>
              <w:right w:val="single" w:sz="4" w:space="0" w:color="auto"/>
            </w:tcBorders>
            <w:vAlign w:val="center"/>
            <w:hideMark/>
          </w:tcPr>
          <w:p w14:paraId="0CDE1E9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48(16%)</w:t>
            </w:r>
          </w:p>
        </w:tc>
        <w:tc>
          <w:tcPr>
            <w:tcW w:w="0" w:type="auto"/>
            <w:tcBorders>
              <w:top w:val="single" w:sz="4" w:space="0" w:color="auto"/>
              <w:right w:val="single" w:sz="4" w:space="0" w:color="auto"/>
            </w:tcBorders>
            <w:vAlign w:val="center"/>
            <w:hideMark/>
          </w:tcPr>
          <w:p w14:paraId="404965E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29(10%)</w:t>
            </w:r>
          </w:p>
        </w:tc>
        <w:tc>
          <w:tcPr>
            <w:tcW w:w="0" w:type="auto"/>
            <w:tcBorders>
              <w:top w:val="single" w:sz="4" w:space="0" w:color="auto"/>
            </w:tcBorders>
            <w:vAlign w:val="center"/>
            <w:hideMark/>
          </w:tcPr>
          <w:p w14:paraId="5AD6DB8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3.03</w:t>
            </w:r>
          </w:p>
        </w:tc>
      </w:tr>
      <w:tr w:rsidR="00CA2D21" w14:paraId="35DC22C2" w14:textId="77777777">
        <w:trPr>
          <w:tblCellSpacing w:w="15" w:type="dxa"/>
        </w:trPr>
        <w:tc>
          <w:tcPr>
            <w:tcW w:w="0" w:type="auto"/>
            <w:tcBorders>
              <w:top w:val="single" w:sz="4" w:space="0" w:color="auto"/>
              <w:right w:val="single" w:sz="4" w:space="0" w:color="auto"/>
            </w:tcBorders>
            <w:vAlign w:val="center"/>
            <w:hideMark/>
          </w:tcPr>
          <w:p w14:paraId="170451E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Agencies improve </w:t>
            </w:r>
            <w:r>
              <w:rPr>
                <w:rFonts w:ascii="Times New Roman" w:hAnsi="Times New Roman" w:cs="Times New Roman"/>
                <w:sz w:val="28"/>
                <w:szCs w:val="28"/>
              </w:rPr>
              <w:t>educational quality</w:t>
            </w:r>
          </w:p>
        </w:tc>
        <w:tc>
          <w:tcPr>
            <w:tcW w:w="0" w:type="auto"/>
            <w:tcBorders>
              <w:top w:val="single" w:sz="4" w:space="0" w:color="auto"/>
              <w:right w:val="single" w:sz="4" w:space="0" w:color="auto"/>
            </w:tcBorders>
            <w:vAlign w:val="center"/>
            <w:hideMark/>
          </w:tcPr>
          <w:p w14:paraId="1BC7967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111(37%)</w:t>
            </w:r>
          </w:p>
        </w:tc>
        <w:tc>
          <w:tcPr>
            <w:tcW w:w="0" w:type="auto"/>
            <w:tcBorders>
              <w:top w:val="single" w:sz="4" w:space="0" w:color="auto"/>
              <w:right w:val="single" w:sz="4" w:space="0" w:color="auto"/>
            </w:tcBorders>
            <w:vAlign w:val="center"/>
            <w:hideMark/>
          </w:tcPr>
          <w:p w14:paraId="52E5056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132(44%)</w:t>
            </w:r>
          </w:p>
        </w:tc>
        <w:tc>
          <w:tcPr>
            <w:tcW w:w="0" w:type="auto"/>
            <w:tcBorders>
              <w:top w:val="single" w:sz="4" w:space="0" w:color="auto"/>
              <w:right w:val="single" w:sz="4" w:space="0" w:color="auto"/>
            </w:tcBorders>
            <w:vAlign w:val="center"/>
            <w:hideMark/>
          </w:tcPr>
          <w:p w14:paraId="370C87D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30(10%)</w:t>
            </w:r>
          </w:p>
        </w:tc>
        <w:tc>
          <w:tcPr>
            <w:tcW w:w="0" w:type="auto"/>
            <w:tcBorders>
              <w:top w:val="single" w:sz="4" w:space="0" w:color="auto"/>
              <w:right w:val="single" w:sz="4" w:space="0" w:color="auto"/>
            </w:tcBorders>
            <w:vAlign w:val="center"/>
            <w:hideMark/>
          </w:tcPr>
          <w:p w14:paraId="76C4645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27(9%)</w:t>
            </w:r>
          </w:p>
        </w:tc>
        <w:tc>
          <w:tcPr>
            <w:tcW w:w="0" w:type="auto"/>
            <w:tcBorders>
              <w:top w:val="single" w:sz="4" w:space="0" w:color="auto"/>
            </w:tcBorders>
            <w:vAlign w:val="center"/>
            <w:hideMark/>
          </w:tcPr>
          <w:p w14:paraId="674AA65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3.09</w:t>
            </w:r>
          </w:p>
        </w:tc>
      </w:tr>
      <w:tr w:rsidR="00CA2D21" w14:paraId="29886EB9" w14:textId="77777777">
        <w:trPr>
          <w:tblCellSpacing w:w="15" w:type="dxa"/>
        </w:trPr>
        <w:tc>
          <w:tcPr>
            <w:tcW w:w="0" w:type="auto"/>
            <w:tcBorders>
              <w:top w:val="single" w:sz="4" w:space="0" w:color="auto"/>
              <w:right w:val="single" w:sz="4" w:space="0" w:color="auto"/>
            </w:tcBorders>
            <w:vAlign w:val="center"/>
            <w:hideMark/>
          </w:tcPr>
          <w:p w14:paraId="592E4D6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Agencies positively affect student learning</w:t>
            </w:r>
          </w:p>
        </w:tc>
        <w:tc>
          <w:tcPr>
            <w:tcW w:w="0" w:type="auto"/>
            <w:tcBorders>
              <w:top w:val="single" w:sz="4" w:space="0" w:color="auto"/>
              <w:right w:val="single" w:sz="4" w:space="0" w:color="auto"/>
            </w:tcBorders>
            <w:vAlign w:val="center"/>
            <w:hideMark/>
          </w:tcPr>
          <w:p w14:paraId="605D76C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123(41%)</w:t>
            </w:r>
          </w:p>
        </w:tc>
        <w:tc>
          <w:tcPr>
            <w:tcW w:w="0" w:type="auto"/>
            <w:tcBorders>
              <w:top w:val="single" w:sz="4" w:space="0" w:color="auto"/>
              <w:right w:val="single" w:sz="4" w:space="0" w:color="auto"/>
            </w:tcBorders>
            <w:vAlign w:val="center"/>
            <w:hideMark/>
          </w:tcPr>
          <w:p w14:paraId="7CA3DB1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118(39%)</w:t>
            </w:r>
          </w:p>
        </w:tc>
        <w:tc>
          <w:tcPr>
            <w:tcW w:w="0" w:type="auto"/>
            <w:tcBorders>
              <w:top w:val="single" w:sz="4" w:space="0" w:color="auto"/>
              <w:right w:val="single" w:sz="4" w:space="0" w:color="auto"/>
            </w:tcBorders>
            <w:vAlign w:val="center"/>
            <w:hideMark/>
          </w:tcPr>
          <w:p w14:paraId="3518A67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24(8%)</w:t>
            </w:r>
          </w:p>
        </w:tc>
        <w:tc>
          <w:tcPr>
            <w:tcW w:w="0" w:type="auto"/>
            <w:tcBorders>
              <w:top w:val="single" w:sz="4" w:space="0" w:color="auto"/>
              <w:right w:val="single" w:sz="4" w:space="0" w:color="auto"/>
            </w:tcBorders>
            <w:vAlign w:val="center"/>
            <w:hideMark/>
          </w:tcPr>
          <w:p w14:paraId="0DB639F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35(12%)</w:t>
            </w:r>
          </w:p>
        </w:tc>
        <w:tc>
          <w:tcPr>
            <w:tcW w:w="0" w:type="auto"/>
            <w:tcBorders>
              <w:top w:val="single" w:sz="4" w:space="0" w:color="auto"/>
            </w:tcBorders>
            <w:vAlign w:val="center"/>
            <w:hideMark/>
          </w:tcPr>
          <w:p w14:paraId="22DA3DF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3.09</w:t>
            </w:r>
          </w:p>
        </w:tc>
      </w:tr>
      <w:tr w:rsidR="00CA2D21" w14:paraId="7CDD87DD" w14:textId="77777777">
        <w:trPr>
          <w:tblCellSpacing w:w="15" w:type="dxa"/>
        </w:trPr>
        <w:tc>
          <w:tcPr>
            <w:tcW w:w="0" w:type="auto"/>
            <w:tcBorders>
              <w:top w:val="single" w:sz="4" w:space="0" w:color="auto"/>
              <w:right w:val="single" w:sz="4" w:space="0" w:color="auto"/>
            </w:tcBorders>
            <w:vAlign w:val="center"/>
            <w:hideMark/>
          </w:tcPr>
          <w:p w14:paraId="720C6CF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Agencies are important stakeholders</w:t>
            </w:r>
          </w:p>
        </w:tc>
        <w:tc>
          <w:tcPr>
            <w:tcW w:w="0" w:type="auto"/>
            <w:tcBorders>
              <w:top w:val="single" w:sz="4" w:space="0" w:color="auto"/>
              <w:right w:val="single" w:sz="4" w:space="0" w:color="auto"/>
            </w:tcBorders>
            <w:vAlign w:val="center"/>
            <w:hideMark/>
          </w:tcPr>
          <w:p w14:paraId="61BC738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84(28%)</w:t>
            </w:r>
          </w:p>
        </w:tc>
        <w:tc>
          <w:tcPr>
            <w:tcW w:w="0" w:type="auto"/>
            <w:tcBorders>
              <w:top w:val="single" w:sz="4" w:space="0" w:color="auto"/>
              <w:right w:val="single" w:sz="4" w:space="0" w:color="auto"/>
            </w:tcBorders>
            <w:vAlign w:val="center"/>
            <w:hideMark/>
          </w:tcPr>
          <w:p w14:paraId="15A8E66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102(34%)</w:t>
            </w:r>
          </w:p>
        </w:tc>
        <w:tc>
          <w:tcPr>
            <w:tcW w:w="0" w:type="auto"/>
            <w:tcBorders>
              <w:top w:val="single" w:sz="4" w:space="0" w:color="auto"/>
              <w:right w:val="single" w:sz="4" w:space="0" w:color="auto"/>
            </w:tcBorders>
            <w:vAlign w:val="center"/>
            <w:hideMark/>
          </w:tcPr>
          <w:p w14:paraId="0B9AACA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51(17%)</w:t>
            </w:r>
          </w:p>
        </w:tc>
        <w:tc>
          <w:tcPr>
            <w:tcW w:w="0" w:type="auto"/>
            <w:tcBorders>
              <w:top w:val="single" w:sz="4" w:space="0" w:color="auto"/>
              <w:right w:val="single" w:sz="4" w:space="0" w:color="auto"/>
            </w:tcBorders>
            <w:vAlign w:val="center"/>
            <w:hideMark/>
          </w:tcPr>
          <w:p w14:paraId="47DEF40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63(21%)</w:t>
            </w:r>
          </w:p>
        </w:tc>
        <w:tc>
          <w:tcPr>
            <w:tcW w:w="0" w:type="auto"/>
            <w:tcBorders>
              <w:top w:val="single" w:sz="4" w:space="0" w:color="auto"/>
            </w:tcBorders>
            <w:vAlign w:val="center"/>
            <w:hideMark/>
          </w:tcPr>
          <w:p w14:paraId="4F43F36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2.69</w:t>
            </w:r>
          </w:p>
        </w:tc>
      </w:tr>
      <w:tr w:rsidR="00CA2D21" w14:paraId="52D8A923" w14:textId="77777777">
        <w:trPr>
          <w:tblCellSpacing w:w="15" w:type="dxa"/>
        </w:trPr>
        <w:tc>
          <w:tcPr>
            <w:tcW w:w="0" w:type="auto"/>
            <w:tcBorders>
              <w:top w:val="single" w:sz="4" w:space="0" w:color="auto"/>
              <w:right w:val="single" w:sz="4" w:space="0" w:color="auto"/>
            </w:tcBorders>
            <w:vAlign w:val="center"/>
            <w:hideMark/>
          </w:tcPr>
          <w:p w14:paraId="59B2142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Agencies have vested interests</w:t>
            </w:r>
          </w:p>
        </w:tc>
        <w:tc>
          <w:tcPr>
            <w:tcW w:w="0" w:type="auto"/>
            <w:tcBorders>
              <w:top w:val="single" w:sz="4" w:space="0" w:color="auto"/>
              <w:right w:val="single" w:sz="4" w:space="0" w:color="auto"/>
            </w:tcBorders>
            <w:vAlign w:val="center"/>
            <w:hideMark/>
          </w:tcPr>
          <w:p w14:paraId="1FBB371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99(33%)</w:t>
            </w:r>
          </w:p>
        </w:tc>
        <w:tc>
          <w:tcPr>
            <w:tcW w:w="0" w:type="auto"/>
            <w:tcBorders>
              <w:top w:val="single" w:sz="4" w:space="0" w:color="auto"/>
              <w:right w:val="single" w:sz="4" w:space="0" w:color="auto"/>
            </w:tcBorders>
            <w:vAlign w:val="center"/>
            <w:hideMark/>
          </w:tcPr>
          <w:p w14:paraId="6C3D45E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81(27%)</w:t>
            </w:r>
          </w:p>
        </w:tc>
        <w:tc>
          <w:tcPr>
            <w:tcW w:w="0" w:type="auto"/>
            <w:tcBorders>
              <w:top w:val="single" w:sz="4" w:space="0" w:color="auto"/>
              <w:right w:val="single" w:sz="4" w:space="0" w:color="auto"/>
            </w:tcBorders>
            <w:vAlign w:val="center"/>
            <w:hideMark/>
          </w:tcPr>
          <w:p w14:paraId="05B03D0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66(22%)</w:t>
            </w:r>
          </w:p>
        </w:tc>
        <w:tc>
          <w:tcPr>
            <w:tcW w:w="0" w:type="auto"/>
            <w:tcBorders>
              <w:top w:val="single" w:sz="4" w:space="0" w:color="auto"/>
              <w:right w:val="single" w:sz="4" w:space="0" w:color="auto"/>
            </w:tcBorders>
            <w:vAlign w:val="center"/>
            <w:hideMark/>
          </w:tcPr>
          <w:p w14:paraId="5522551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54(18%)</w:t>
            </w:r>
          </w:p>
        </w:tc>
        <w:tc>
          <w:tcPr>
            <w:tcW w:w="0" w:type="auto"/>
            <w:tcBorders>
              <w:top w:val="single" w:sz="4" w:space="0" w:color="auto"/>
            </w:tcBorders>
            <w:vAlign w:val="center"/>
            <w:hideMark/>
          </w:tcPr>
          <w:p w14:paraId="21263C0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2.75</w:t>
            </w:r>
          </w:p>
        </w:tc>
      </w:tr>
    </w:tbl>
    <w:p w14:paraId="5CDD7516" w14:textId="77777777" w:rsidR="00CA2D21" w:rsidRDefault="00CA2D21">
      <w:pPr>
        <w:jc w:val="both"/>
        <w:rPr>
          <w:rFonts w:ascii="Times New Roman" w:hAnsi="Times New Roman" w:cs="Times New Roman"/>
          <w:b/>
          <w:bCs/>
          <w:sz w:val="28"/>
          <w:szCs w:val="28"/>
        </w:rPr>
      </w:pPr>
    </w:p>
    <w:p w14:paraId="36E1B0DF"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Research Question 5:</w:t>
      </w:r>
      <w:r>
        <w:rPr>
          <w:rFonts w:ascii="Times New Roman" w:hAnsi="Times New Roman" w:cs="Times New Roman"/>
          <w:sz w:val="28"/>
          <w:szCs w:val="28"/>
        </w:rPr>
        <w:t xml:space="preserve"> How is government involvement involved with the effectiveness of schools?</w:t>
      </w:r>
    </w:p>
    <w:p w14:paraId="0B4B39B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Assessment on government involvement (Table 6) indicated the level of agreement: 68% (n=204) stated that government are key policy</w:t>
      </w:r>
      <w:r>
        <w:rPr>
          <w:rFonts w:ascii="Times New Roman" w:hAnsi="Times New Roman" w:cs="Times New Roman"/>
          <w:sz w:val="28"/>
          <w:szCs w:val="28"/>
        </w:rPr>
        <w:t xml:space="preserve"> stakeholders, 79% (n=237) stated that government played significant roles in policy-making, 79% (n=237) stated that government provided resources, 58% (n=174) stated that government led in education, and 57% (n=171) stated that government worked to enligh</w:t>
      </w:r>
      <w:r>
        <w:rPr>
          <w:rFonts w:ascii="Times New Roman" w:hAnsi="Times New Roman" w:cs="Times New Roman"/>
          <w:sz w:val="28"/>
          <w:szCs w:val="28"/>
        </w:rPr>
        <w:t>ten the population. These results show that there is a high perceived government role in primary education effectiveness.</w:t>
      </w:r>
    </w:p>
    <w:p w14:paraId="5FF2387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Table 6 Government involvement and school effectiveness (N=300)</w:t>
      </w:r>
    </w:p>
    <w:p w14:paraId="6A6CE0EE" w14:textId="77777777" w:rsidR="00CA2D21" w:rsidRDefault="00CA2D21">
      <w:pPr>
        <w:jc w:val="both"/>
        <w:rPr>
          <w:rFonts w:ascii="Times New Roman" w:hAnsi="Times New Roman" w:cs="Times New Roman"/>
          <w:sz w:val="28"/>
          <w:szCs w:val="28"/>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00"/>
        <w:gridCol w:w="1180"/>
        <w:gridCol w:w="1200"/>
        <w:gridCol w:w="1050"/>
        <w:gridCol w:w="1040"/>
        <w:gridCol w:w="780"/>
      </w:tblGrid>
      <w:tr w:rsidR="00CA2D21" w14:paraId="66E57E05" w14:textId="77777777">
        <w:trPr>
          <w:tblHeader/>
          <w:tblCellSpacing w:w="15" w:type="dxa"/>
        </w:trPr>
        <w:tc>
          <w:tcPr>
            <w:tcW w:w="0" w:type="auto"/>
            <w:tcBorders>
              <w:right w:val="single" w:sz="4" w:space="0" w:color="auto"/>
            </w:tcBorders>
            <w:vAlign w:val="center"/>
            <w:hideMark/>
          </w:tcPr>
          <w:p w14:paraId="6DFDF109"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Item</w:t>
            </w:r>
          </w:p>
        </w:tc>
        <w:tc>
          <w:tcPr>
            <w:tcW w:w="0" w:type="auto"/>
            <w:vAlign w:val="center"/>
            <w:hideMark/>
          </w:tcPr>
          <w:p w14:paraId="4214D9A9"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SA</w:t>
            </w:r>
          </w:p>
        </w:tc>
        <w:tc>
          <w:tcPr>
            <w:tcW w:w="0" w:type="auto"/>
            <w:tcBorders>
              <w:left w:val="single" w:sz="4" w:space="0" w:color="auto"/>
              <w:right w:val="single" w:sz="4" w:space="0" w:color="auto"/>
            </w:tcBorders>
            <w:vAlign w:val="center"/>
            <w:hideMark/>
          </w:tcPr>
          <w:p w14:paraId="34EEF7B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A</w:t>
            </w:r>
          </w:p>
        </w:tc>
        <w:tc>
          <w:tcPr>
            <w:tcW w:w="0" w:type="auto"/>
            <w:tcBorders>
              <w:right w:val="single" w:sz="4" w:space="0" w:color="auto"/>
            </w:tcBorders>
            <w:vAlign w:val="center"/>
            <w:hideMark/>
          </w:tcPr>
          <w:p w14:paraId="4EA31B9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SD</w:t>
            </w:r>
          </w:p>
        </w:tc>
        <w:tc>
          <w:tcPr>
            <w:tcW w:w="0" w:type="auto"/>
            <w:vAlign w:val="center"/>
            <w:hideMark/>
          </w:tcPr>
          <w:p w14:paraId="6265B14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w:t>
            </w:r>
          </w:p>
        </w:tc>
        <w:tc>
          <w:tcPr>
            <w:tcW w:w="0" w:type="auto"/>
            <w:tcBorders>
              <w:left w:val="single" w:sz="4" w:space="0" w:color="auto"/>
            </w:tcBorders>
            <w:vAlign w:val="center"/>
            <w:hideMark/>
          </w:tcPr>
          <w:p w14:paraId="724F4A6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Mean</w:t>
            </w:r>
          </w:p>
        </w:tc>
      </w:tr>
      <w:tr w:rsidR="00CA2D21" w14:paraId="1AAE21E9" w14:textId="77777777">
        <w:trPr>
          <w:tblCellSpacing w:w="15" w:type="dxa"/>
        </w:trPr>
        <w:tc>
          <w:tcPr>
            <w:tcW w:w="0" w:type="auto"/>
            <w:tcBorders>
              <w:top w:val="single" w:sz="4" w:space="0" w:color="auto"/>
              <w:right w:val="single" w:sz="4" w:space="0" w:color="auto"/>
            </w:tcBorders>
            <w:vAlign w:val="center"/>
            <w:hideMark/>
          </w:tcPr>
          <w:p w14:paraId="0D207FB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Government major stakeholder in policies</w:t>
            </w:r>
          </w:p>
        </w:tc>
        <w:tc>
          <w:tcPr>
            <w:tcW w:w="0" w:type="auto"/>
            <w:tcBorders>
              <w:top w:val="single" w:sz="4" w:space="0" w:color="auto"/>
            </w:tcBorders>
            <w:vAlign w:val="center"/>
            <w:hideMark/>
          </w:tcPr>
          <w:p w14:paraId="32D0CA5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114(38%)</w:t>
            </w:r>
          </w:p>
        </w:tc>
        <w:tc>
          <w:tcPr>
            <w:tcW w:w="0" w:type="auto"/>
            <w:tcBorders>
              <w:top w:val="single" w:sz="4" w:space="0" w:color="auto"/>
              <w:left w:val="single" w:sz="4" w:space="0" w:color="auto"/>
              <w:right w:val="single" w:sz="4" w:space="0" w:color="auto"/>
            </w:tcBorders>
            <w:vAlign w:val="center"/>
            <w:hideMark/>
          </w:tcPr>
          <w:p w14:paraId="0EEFB8F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90(30%)</w:t>
            </w:r>
          </w:p>
        </w:tc>
        <w:tc>
          <w:tcPr>
            <w:tcW w:w="0" w:type="auto"/>
            <w:tcBorders>
              <w:top w:val="single" w:sz="4" w:space="0" w:color="auto"/>
              <w:right w:val="single" w:sz="4" w:space="0" w:color="auto"/>
            </w:tcBorders>
            <w:vAlign w:val="center"/>
            <w:hideMark/>
          </w:tcPr>
          <w:p w14:paraId="1D9870A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42(14%)</w:t>
            </w:r>
          </w:p>
        </w:tc>
        <w:tc>
          <w:tcPr>
            <w:tcW w:w="0" w:type="auto"/>
            <w:tcBorders>
              <w:top w:val="single" w:sz="4" w:space="0" w:color="auto"/>
            </w:tcBorders>
            <w:vAlign w:val="center"/>
            <w:hideMark/>
          </w:tcPr>
          <w:p w14:paraId="7C2710C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54(18%)</w:t>
            </w:r>
          </w:p>
        </w:tc>
        <w:tc>
          <w:tcPr>
            <w:tcW w:w="0" w:type="auto"/>
            <w:tcBorders>
              <w:top w:val="single" w:sz="4" w:space="0" w:color="auto"/>
              <w:left w:val="single" w:sz="4" w:space="0" w:color="auto"/>
            </w:tcBorders>
            <w:vAlign w:val="center"/>
            <w:hideMark/>
          </w:tcPr>
          <w:p w14:paraId="01BBBF7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2.88</w:t>
            </w:r>
          </w:p>
        </w:tc>
      </w:tr>
      <w:tr w:rsidR="00CA2D21" w14:paraId="727F182D"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2557B90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Government plays role in policy-making</w:t>
            </w:r>
          </w:p>
        </w:tc>
        <w:tc>
          <w:tcPr>
            <w:tcW w:w="0" w:type="auto"/>
            <w:tcBorders>
              <w:top w:val="single" w:sz="4" w:space="0" w:color="auto"/>
              <w:bottom w:val="single" w:sz="4" w:space="0" w:color="auto"/>
            </w:tcBorders>
            <w:vAlign w:val="center"/>
            <w:hideMark/>
          </w:tcPr>
          <w:p w14:paraId="3161C95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117(39%)</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5BDE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120(40%)</w:t>
            </w:r>
          </w:p>
        </w:tc>
        <w:tc>
          <w:tcPr>
            <w:tcW w:w="0" w:type="auto"/>
            <w:tcBorders>
              <w:top w:val="single" w:sz="4" w:space="0" w:color="auto"/>
              <w:bottom w:val="single" w:sz="4" w:space="0" w:color="auto"/>
              <w:right w:val="single" w:sz="4" w:space="0" w:color="auto"/>
            </w:tcBorders>
            <w:vAlign w:val="center"/>
            <w:hideMark/>
          </w:tcPr>
          <w:p w14:paraId="3302788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30(10%)</w:t>
            </w:r>
          </w:p>
        </w:tc>
        <w:tc>
          <w:tcPr>
            <w:tcW w:w="0" w:type="auto"/>
            <w:tcBorders>
              <w:top w:val="single" w:sz="4" w:space="0" w:color="auto"/>
              <w:bottom w:val="single" w:sz="4" w:space="0" w:color="auto"/>
            </w:tcBorders>
            <w:vAlign w:val="center"/>
            <w:hideMark/>
          </w:tcPr>
          <w:p w14:paraId="00D7467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33(11%)</w:t>
            </w:r>
          </w:p>
        </w:tc>
        <w:tc>
          <w:tcPr>
            <w:tcW w:w="0" w:type="auto"/>
            <w:tcBorders>
              <w:top w:val="single" w:sz="4" w:space="0" w:color="auto"/>
              <w:left w:val="single" w:sz="4" w:space="0" w:color="auto"/>
              <w:bottom w:val="single" w:sz="4" w:space="0" w:color="auto"/>
            </w:tcBorders>
            <w:vAlign w:val="center"/>
            <w:hideMark/>
          </w:tcPr>
          <w:p w14:paraId="5DB7E2A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3.07</w:t>
            </w:r>
          </w:p>
        </w:tc>
      </w:tr>
      <w:tr w:rsidR="00CA2D21" w14:paraId="33266C98" w14:textId="77777777">
        <w:trPr>
          <w:tblCellSpacing w:w="15" w:type="dxa"/>
        </w:trPr>
        <w:tc>
          <w:tcPr>
            <w:tcW w:w="0" w:type="auto"/>
            <w:tcBorders>
              <w:right w:val="single" w:sz="4" w:space="0" w:color="auto"/>
            </w:tcBorders>
            <w:vAlign w:val="center"/>
            <w:hideMark/>
          </w:tcPr>
          <w:p w14:paraId="10CF772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Government provides funds and facilities</w:t>
            </w:r>
          </w:p>
        </w:tc>
        <w:tc>
          <w:tcPr>
            <w:tcW w:w="0" w:type="auto"/>
            <w:vAlign w:val="center"/>
            <w:hideMark/>
          </w:tcPr>
          <w:p w14:paraId="021ACFF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132(44%)</w:t>
            </w:r>
          </w:p>
        </w:tc>
        <w:tc>
          <w:tcPr>
            <w:tcW w:w="0" w:type="auto"/>
            <w:tcBorders>
              <w:left w:val="single" w:sz="4" w:space="0" w:color="auto"/>
              <w:right w:val="single" w:sz="4" w:space="0" w:color="auto"/>
            </w:tcBorders>
            <w:vAlign w:val="center"/>
            <w:hideMark/>
          </w:tcPr>
          <w:p w14:paraId="59A7E99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105(35%)</w:t>
            </w:r>
          </w:p>
        </w:tc>
        <w:tc>
          <w:tcPr>
            <w:tcW w:w="0" w:type="auto"/>
            <w:tcBorders>
              <w:right w:val="single" w:sz="4" w:space="0" w:color="auto"/>
            </w:tcBorders>
            <w:vAlign w:val="center"/>
            <w:hideMark/>
          </w:tcPr>
          <w:p w14:paraId="19B89FD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27(9%)</w:t>
            </w:r>
          </w:p>
        </w:tc>
        <w:tc>
          <w:tcPr>
            <w:tcW w:w="0" w:type="auto"/>
            <w:vAlign w:val="center"/>
            <w:hideMark/>
          </w:tcPr>
          <w:p w14:paraId="5AD9F4F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36(12%)</w:t>
            </w:r>
          </w:p>
        </w:tc>
        <w:tc>
          <w:tcPr>
            <w:tcW w:w="0" w:type="auto"/>
            <w:tcBorders>
              <w:left w:val="single" w:sz="4" w:space="0" w:color="auto"/>
            </w:tcBorders>
            <w:vAlign w:val="center"/>
            <w:hideMark/>
          </w:tcPr>
          <w:p w14:paraId="7697A87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3.11</w:t>
            </w:r>
          </w:p>
        </w:tc>
      </w:tr>
      <w:tr w:rsidR="00CA2D21" w14:paraId="4E5FE641" w14:textId="77777777">
        <w:trPr>
          <w:tblCellSpacing w:w="15" w:type="dxa"/>
        </w:trPr>
        <w:tc>
          <w:tcPr>
            <w:tcW w:w="0" w:type="auto"/>
            <w:tcBorders>
              <w:top w:val="single" w:sz="4" w:space="0" w:color="auto"/>
              <w:bottom w:val="single" w:sz="4" w:space="0" w:color="auto"/>
              <w:right w:val="single" w:sz="4" w:space="0" w:color="auto"/>
            </w:tcBorders>
            <w:vAlign w:val="center"/>
            <w:hideMark/>
          </w:tcPr>
          <w:p w14:paraId="6420BFD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Government plays leading role in education</w:t>
            </w:r>
          </w:p>
        </w:tc>
        <w:tc>
          <w:tcPr>
            <w:tcW w:w="0" w:type="auto"/>
            <w:tcBorders>
              <w:top w:val="single" w:sz="4" w:space="0" w:color="auto"/>
              <w:bottom w:val="single" w:sz="4" w:space="0" w:color="auto"/>
            </w:tcBorders>
            <w:vAlign w:val="center"/>
            <w:hideMark/>
          </w:tcPr>
          <w:p w14:paraId="576C4C8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1DF4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102(34%)</w:t>
            </w:r>
          </w:p>
        </w:tc>
        <w:tc>
          <w:tcPr>
            <w:tcW w:w="0" w:type="auto"/>
            <w:tcBorders>
              <w:top w:val="single" w:sz="4" w:space="0" w:color="auto"/>
              <w:bottom w:val="single" w:sz="4" w:space="0" w:color="auto"/>
              <w:right w:val="single" w:sz="4" w:space="0" w:color="auto"/>
            </w:tcBorders>
            <w:vAlign w:val="center"/>
            <w:hideMark/>
          </w:tcPr>
          <w:p w14:paraId="58A015D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66(22%)</w:t>
            </w:r>
          </w:p>
        </w:tc>
        <w:tc>
          <w:tcPr>
            <w:tcW w:w="0" w:type="auto"/>
            <w:tcBorders>
              <w:top w:val="single" w:sz="4" w:space="0" w:color="auto"/>
              <w:bottom w:val="single" w:sz="4" w:space="0" w:color="auto"/>
            </w:tcBorders>
            <w:vAlign w:val="center"/>
            <w:hideMark/>
          </w:tcPr>
          <w:p w14:paraId="1071B73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60(20%)</w:t>
            </w:r>
          </w:p>
        </w:tc>
        <w:tc>
          <w:tcPr>
            <w:tcW w:w="0" w:type="auto"/>
            <w:tcBorders>
              <w:top w:val="single" w:sz="4" w:space="0" w:color="auto"/>
              <w:left w:val="single" w:sz="4" w:space="0" w:color="auto"/>
              <w:bottom w:val="single" w:sz="4" w:space="0" w:color="auto"/>
            </w:tcBorders>
            <w:vAlign w:val="center"/>
            <w:hideMark/>
          </w:tcPr>
          <w:p w14:paraId="758D721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2.62</w:t>
            </w:r>
          </w:p>
        </w:tc>
      </w:tr>
      <w:tr w:rsidR="00CA2D21" w14:paraId="6E7E679D" w14:textId="77777777">
        <w:trPr>
          <w:tblCellSpacing w:w="15" w:type="dxa"/>
        </w:trPr>
        <w:tc>
          <w:tcPr>
            <w:tcW w:w="0" w:type="auto"/>
            <w:tcBorders>
              <w:right w:val="single" w:sz="4" w:space="0" w:color="auto"/>
            </w:tcBorders>
            <w:vAlign w:val="center"/>
            <w:hideMark/>
          </w:tcPr>
          <w:p w14:paraId="5011211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Government enlightens masses through media</w:t>
            </w:r>
          </w:p>
        </w:tc>
        <w:tc>
          <w:tcPr>
            <w:tcW w:w="0" w:type="auto"/>
            <w:vAlign w:val="center"/>
            <w:hideMark/>
          </w:tcPr>
          <w:p w14:paraId="3C2FEC5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93(31%)</w:t>
            </w:r>
          </w:p>
        </w:tc>
        <w:tc>
          <w:tcPr>
            <w:tcW w:w="0" w:type="auto"/>
            <w:tcBorders>
              <w:left w:val="single" w:sz="4" w:space="0" w:color="auto"/>
              <w:right w:val="single" w:sz="4" w:space="0" w:color="auto"/>
            </w:tcBorders>
            <w:vAlign w:val="center"/>
            <w:hideMark/>
          </w:tcPr>
          <w:p w14:paraId="15899B4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78(26%)</w:t>
            </w:r>
          </w:p>
        </w:tc>
        <w:tc>
          <w:tcPr>
            <w:tcW w:w="0" w:type="auto"/>
            <w:tcBorders>
              <w:right w:val="single" w:sz="4" w:space="0" w:color="auto"/>
            </w:tcBorders>
            <w:vAlign w:val="center"/>
            <w:hideMark/>
          </w:tcPr>
          <w:p w14:paraId="5B176B1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72(24%)</w:t>
            </w:r>
          </w:p>
        </w:tc>
        <w:tc>
          <w:tcPr>
            <w:tcW w:w="0" w:type="auto"/>
            <w:vAlign w:val="center"/>
            <w:hideMark/>
          </w:tcPr>
          <w:p w14:paraId="2C74C30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57(19%)</w:t>
            </w:r>
          </w:p>
        </w:tc>
        <w:tc>
          <w:tcPr>
            <w:tcW w:w="0" w:type="auto"/>
            <w:tcBorders>
              <w:left w:val="single" w:sz="4" w:space="0" w:color="auto"/>
            </w:tcBorders>
            <w:vAlign w:val="center"/>
            <w:hideMark/>
          </w:tcPr>
          <w:p w14:paraId="1669A8D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2.69</w:t>
            </w:r>
          </w:p>
        </w:tc>
      </w:tr>
    </w:tbl>
    <w:p w14:paraId="0259DE63" w14:textId="77777777" w:rsidR="00CA2D21" w:rsidRDefault="00CA2D21">
      <w:pPr>
        <w:jc w:val="both"/>
        <w:rPr>
          <w:rFonts w:ascii="Times New Roman" w:hAnsi="Times New Roman" w:cs="Times New Roman"/>
          <w:b/>
          <w:bCs/>
          <w:sz w:val="28"/>
          <w:szCs w:val="28"/>
        </w:rPr>
      </w:pPr>
    </w:p>
    <w:p w14:paraId="4CB52241"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4.3 Hypothesis Testing Results</w:t>
      </w:r>
    </w:p>
    <w:p w14:paraId="5BEFEA7C"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Hypothesis 1: </w:t>
      </w:r>
      <w:r>
        <w:rPr>
          <w:rFonts w:ascii="Times New Roman" w:hAnsi="Times New Roman" w:cs="Times New Roman"/>
          <w:sz w:val="28"/>
          <w:szCs w:val="28"/>
        </w:rPr>
        <w:t>Parental involvement and school effectiveness have no significant relationship.</w:t>
      </w:r>
    </w:p>
    <w:p w14:paraId="1E0383D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results of </w:t>
      </w:r>
      <w:r>
        <w:rPr>
          <w:rFonts w:ascii="Times New Roman" w:hAnsi="Times New Roman" w:cs="Times New Roman"/>
          <w:sz w:val="28"/>
          <w:szCs w:val="28"/>
        </w:rPr>
        <w:t xml:space="preserve">Pearson correlation analysis (Table 7) indicated that the value of r (=0.80) was significant (p&lt;0.05), which was much above the critical value (r-crit=0.112) at 298 degrees of freedom. Therefore, the null hypothesis was not accepted, which stated that the </w:t>
      </w:r>
      <w:r>
        <w:rPr>
          <w:rFonts w:ascii="Times New Roman" w:hAnsi="Times New Roman" w:cs="Times New Roman"/>
          <w:sz w:val="28"/>
          <w:szCs w:val="28"/>
        </w:rPr>
        <w:t>parental involvement was statistically significant and positively correlated with the school effectiveness. This high positive relationship indicates that schools which have a higher level of parental engagement are effective.</w:t>
      </w:r>
    </w:p>
    <w:p w14:paraId="07E5C56C"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Table 7: Pearson correlation </w:t>
      </w:r>
      <w:r>
        <w:rPr>
          <w:rFonts w:ascii="Times New Roman" w:hAnsi="Times New Roman" w:cs="Times New Roman"/>
          <w:b/>
          <w:bCs/>
          <w:sz w:val="28"/>
          <w:szCs w:val="28"/>
        </w:rPr>
        <w:t>between Parental Involvement with School Effectiveness.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76"/>
        <w:gridCol w:w="480"/>
        <w:gridCol w:w="500"/>
        <w:gridCol w:w="1460"/>
        <w:gridCol w:w="1086"/>
        <w:gridCol w:w="1148"/>
      </w:tblGrid>
      <w:tr w:rsidR="00CA2D21" w14:paraId="052E660A" w14:textId="77777777">
        <w:trPr>
          <w:tblHeader/>
          <w:tblCellSpacing w:w="15" w:type="dxa"/>
        </w:trPr>
        <w:tc>
          <w:tcPr>
            <w:tcW w:w="0" w:type="auto"/>
            <w:tcBorders>
              <w:right w:val="single" w:sz="4" w:space="0" w:color="auto"/>
            </w:tcBorders>
            <w:vAlign w:val="center"/>
            <w:hideMark/>
          </w:tcPr>
          <w:p w14:paraId="14D36C7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Variables</w:t>
            </w:r>
          </w:p>
        </w:tc>
        <w:tc>
          <w:tcPr>
            <w:tcW w:w="0" w:type="auto"/>
            <w:vAlign w:val="center"/>
            <w:hideMark/>
          </w:tcPr>
          <w:p w14:paraId="0DF40B56"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N</w:t>
            </w:r>
          </w:p>
        </w:tc>
        <w:tc>
          <w:tcPr>
            <w:tcW w:w="0" w:type="auto"/>
            <w:tcBorders>
              <w:left w:val="single" w:sz="4" w:space="0" w:color="auto"/>
              <w:right w:val="single" w:sz="4" w:space="0" w:color="auto"/>
            </w:tcBorders>
            <w:vAlign w:val="center"/>
            <w:hideMark/>
          </w:tcPr>
          <w:p w14:paraId="6663A560"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df</w:t>
            </w:r>
          </w:p>
        </w:tc>
        <w:tc>
          <w:tcPr>
            <w:tcW w:w="0" w:type="auto"/>
            <w:tcBorders>
              <w:right w:val="single" w:sz="4" w:space="0" w:color="auto"/>
            </w:tcBorders>
            <w:vAlign w:val="center"/>
            <w:hideMark/>
          </w:tcPr>
          <w:p w14:paraId="17CC4A7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r-calculated</w:t>
            </w:r>
          </w:p>
        </w:tc>
        <w:tc>
          <w:tcPr>
            <w:tcW w:w="0" w:type="auto"/>
            <w:tcBorders>
              <w:right w:val="single" w:sz="4" w:space="0" w:color="auto"/>
            </w:tcBorders>
            <w:vAlign w:val="center"/>
            <w:hideMark/>
          </w:tcPr>
          <w:p w14:paraId="1352657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r-critical</w:t>
            </w:r>
          </w:p>
        </w:tc>
        <w:tc>
          <w:tcPr>
            <w:tcW w:w="0" w:type="auto"/>
            <w:vAlign w:val="center"/>
            <w:hideMark/>
          </w:tcPr>
          <w:p w14:paraId="5B0C629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Decision</w:t>
            </w:r>
          </w:p>
        </w:tc>
      </w:tr>
      <w:tr w:rsidR="00CA2D21" w14:paraId="34C09275" w14:textId="77777777">
        <w:trPr>
          <w:tblCellSpacing w:w="15" w:type="dxa"/>
        </w:trPr>
        <w:tc>
          <w:tcPr>
            <w:tcW w:w="0" w:type="auto"/>
            <w:tcBorders>
              <w:top w:val="single" w:sz="4" w:space="0" w:color="auto"/>
              <w:right w:val="single" w:sz="4" w:space="0" w:color="auto"/>
            </w:tcBorders>
            <w:vAlign w:val="center"/>
            <w:hideMark/>
          </w:tcPr>
          <w:p w14:paraId="600D4FC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Parental Involvement &amp; School Effectiveness</w:t>
            </w:r>
          </w:p>
        </w:tc>
        <w:tc>
          <w:tcPr>
            <w:tcW w:w="0" w:type="auto"/>
            <w:tcBorders>
              <w:top w:val="single" w:sz="4" w:space="0" w:color="auto"/>
            </w:tcBorders>
            <w:vAlign w:val="center"/>
            <w:hideMark/>
          </w:tcPr>
          <w:p w14:paraId="79BB077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300</w:t>
            </w:r>
          </w:p>
        </w:tc>
        <w:tc>
          <w:tcPr>
            <w:tcW w:w="0" w:type="auto"/>
            <w:tcBorders>
              <w:top w:val="single" w:sz="4" w:space="0" w:color="auto"/>
              <w:left w:val="single" w:sz="4" w:space="0" w:color="auto"/>
              <w:right w:val="single" w:sz="4" w:space="0" w:color="auto"/>
            </w:tcBorders>
            <w:vAlign w:val="center"/>
            <w:hideMark/>
          </w:tcPr>
          <w:p w14:paraId="171B6A6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298</w:t>
            </w:r>
          </w:p>
        </w:tc>
        <w:tc>
          <w:tcPr>
            <w:tcW w:w="0" w:type="auto"/>
            <w:tcBorders>
              <w:top w:val="single" w:sz="4" w:space="0" w:color="auto"/>
              <w:right w:val="single" w:sz="4" w:space="0" w:color="auto"/>
            </w:tcBorders>
            <w:vAlign w:val="center"/>
            <w:hideMark/>
          </w:tcPr>
          <w:p w14:paraId="11CEC8F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0.80</w:t>
            </w:r>
          </w:p>
        </w:tc>
        <w:tc>
          <w:tcPr>
            <w:tcW w:w="0" w:type="auto"/>
            <w:tcBorders>
              <w:top w:val="single" w:sz="4" w:space="0" w:color="auto"/>
              <w:right w:val="single" w:sz="4" w:space="0" w:color="auto"/>
            </w:tcBorders>
            <w:vAlign w:val="center"/>
            <w:hideMark/>
          </w:tcPr>
          <w:p w14:paraId="45007EC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0.112</w:t>
            </w:r>
          </w:p>
        </w:tc>
        <w:tc>
          <w:tcPr>
            <w:tcW w:w="0" w:type="auto"/>
            <w:tcBorders>
              <w:top w:val="single" w:sz="4" w:space="0" w:color="auto"/>
            </w:tcBorders>
            <w:vAlign w:val="center"/>
            <w:hideMark/>
          </w:tcPr>
          <w:p w14:paraId="3F0B6F7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Reject H₀</w:t>
            </w:r>
          </w:p>
        </w:tc>
      </w:tr>
    </w:tbl>
    <w:p w14:paraId="5ABF6500" w14:textId="77777777" w:rsidR="00CA2D21" w:rsidRDefault="00CA2D21">
      <w:pPr>
        <w:jc w:val="both"/>
        <w:rPr>
          <w:rFonts w:ascii="Times New Roman" w:hAnsi="Times New Roman" w:cs="Times New Roman"/>
          <w:b/>
          <w:bCs/>
          <w:sz w:val="28"/>
          <w:szCs w:val="28"/>
        </w:rPr>
      </w:pPr>
    </w:p>
    <w:p w14:paraId="7B928A50"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Hypothesis 2: </w:t>
      </w:r>
      <w:r>
        <w:rPr>
          <w:rFonts w:ascii="Times New Roman" w:hAnsi="Times New Roman" w:cs="Times New Roman"/>
          <w:sz w:val="28"/>
          <w:szCs w:val="28"/>
        </w:rPr>
        <w:t xml:space="preserve">The involvement of teachers does not have a significant </w:t>
      </w:r>
      <w:r>
        <w:rPr>
          <w:rFonts w:ascii="Times New Roman" w:hAnsi="Times New Roman" w:cs="Times New Roman"/>
          <w:sz w:val="28"/>
          <w:szCs w:val="28"/>
        </w:rPr>
        <w:t>relationship with the school effectiveness.</w:t>
      </w:r>
    </w:p>
    <w:p w14:paraId="3FD10CA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The correlation analysis (Table 8) gave a r=0.77 (p&lt;0.05), which is more than the critical value. As such, this null hypothesis was rejected and there was a statistically significant positive relationship between</w:t>
      </w:r>
      <w:r>
        <w:rPr>
          <w:rFonts w:ascii="Times New Roman" w:hAnsi="Times New Roman" w:cs="Times New Roman"/>
          <w:sz w:val="28"/>
          <w:szCs w:val="28"/>
        </w:rPr>
        <w:t xml:space="preserve"> teacher involvement and school effectiveness. This high correlation highlights the influential functions of teachers in defining results of education.</w:t>
      </w:r>
    </w:p>
    <w:p w14:paraId="51E06586"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8: The Relationship between the Involvement of Teachers and the Effectiveness of the School.</w:t>
      </w:r>
    </w:p>
    <w:p w14:paraId="28A39841" w14:textId="77777777" w:rsidR="00CA2D21" w:rsidRDefault="00CA2D21">
      <w:pPr>
        <w:jc w:val="both"/>
        <w:rPr>
          <w:rFonts w:ascii="Times New Roman" w:hAnsi="Times New Roman" w:cs="Times New Roman"/>
          <w:sz w:val="28"/>
          <w:szCs w:val="28"/>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77"/>
        <w:gridCol w:w="490"/>
        <w:gridCol w:w="490"/>
        <w:gridCol w:w="1465"/>
        <w:gridCol w:w="1081"/>
        <w:gridCol w:w="1147"/>
      </w:tblGrid>
      <w:tr w:rsidR="00CA2D21" w14:paraId="28B29C8F" w14:textId="77777777">
        <w:trPr>
          <w:tblHeader/>
          <w:tblCellSpacing w:w="15" w:type="dxa"/>
        </w:trPr>
        <w:tc>
          <w:tcPr>
            <w:tcW w:w="0" w:type="auto"/>
            <w:vAlign w:val="center"/>
            <w:hideMark/>
          </w:tcPr>
          <w:p w14:paraId="2714AF89"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Vari</w:t>
            </w:r>
            <w:r>
              <w:rPr>
                <w:rFonts w:ascii="Times New Roman" w:hAnsi="Times New Roman" w:cs="Times New Roman"/>
                <w:b/>
                <w:bCs/>
                <w:sz w:val="28"/>
                <w:szCs w:val="28"/>
              </w:rPr>
              <w:t>ables</w:t>
            </w:r>
          </w:p>
        </w:tc>
        <w:tc>
          <w:tcPr>
            <w:tcW w:w="0" w:type="auto"/>
            <w:tcBorders>
              <w:left w:val="single" w:sz="4" w:space="0" w:color="auto"/>
            </w:tcBorders>
            <w:vAlign w:val="center"/>
            <w:hideMark/>
          </w:tcPr>
          <w:p w14:paraId="5F9EDDE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N</w:t>
            </w:r>
          </w:p>
        </w:tc>
        <w:tc>
          <w:tcPr>
            <w:tcW w:w="0" w:type="auto"/>
            <w:tcBorders>
              <w:left w:val="single" w:sz="4" w:space="0" w:color="auto"/>
            </w:tcBorders>
            <w:vAlign w:val="center"/>
            <w:hideMark/>
          </w:tcPr>
          <w:p w14:paraId="6CB3DD8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df</w:t>
            </w:r>
          </w:p>
        </w:tc>
        <w:tc>
          <w:tcPr>
            <w:tcW w:w="0" w:type="auto"/>
            <w:tcBorders>
              <w:left w:val="single" w:sz="4" w:space="0" w:color="auto"/>
              <w:right w:val="single" w:sz="4" w:space="0" w:color="auto"/>
            </w:tcBorders>
            <w:vAlign w:val="center"/>
            <w:hideMark/>
          </w:tcPr>
          <w:p w14:paraId="4B46727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r-calculated</w:t>
            </w:r>
          </w:p>
        </w:tc>
        <w:tc>
          <w:tcPr>
            <w:tcW w:w="0" w:type="auto"/>
            <w:tcBorders>
              <w:right w:val="single" w:sz="4" w:space="0" w:color="auto"/>
            </w:tcBorders>
            <w:vAlign w:val="center"/>
            <w:hideMark/>
          </w:tcPr>
          <w:p w14:paraId="68A2F55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r-critical</w:t>
            </w:r>
          </w:p>
        </w:tc>
        <w:tc>
          <w:tcPr>
            <w:tcW w:w="0" w:type="auto"/>
            <w:vAlign w:val="center"/>
            <w:hideMark/>
          </w:tcPr>
          <w:p w14:paraId="4EAB9CFE"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Decision</w:t>
            </w:r>
          </w:p>
        </w:tc>
      </w:tr>
      <w:tr w:rsidR="00CA2D21" w14:paraId="37AD882C" w14:textId="77777777">
        <w:trPr>
          <w:tblCellSpacing w:w="15" w:type="dxa"/>
        </w:trPr>
        <w:tc>
          <w:tcPr>
            <w:tcW w:w="0" w:type="auto"/>
            <w:tcBorders>
              <w:top w:val="single" w:sz="4" w:space="0" w:color="auto"/>
            </w:tcBorders>
            <w:vAlign w:val="center"/>
            <w:hideMark/>
          </w:tcPr>
          <w:p w14:paraId="672CDD1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Teachers' Involvement &amp; School Effectiveness</w:t>
            </w:r>
          </w:p>
        </w:tc>
        <w:tc>
          <w:tcPr>
            <w:tcW w:w="0" w:type="auto"/>
            <w:tcBorders>
              <w:top w:val="single" w:sz="4" w:space="0" w:color="auto"/>
              <w:left w:val="single" w:sz="4" w:space="0" w:color="auto"/>
            </w:tcBorders>
            <w:vAlign w:val="center"/>
            <w:hideMark/>
          </w:tcPr>
          <w:p w14:paraId="3F2A653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300</w:t>
            </w:r>
          </w:p>
        </w:tc>
        <w:tc>
          <w:tcPr>
            <w:tcW w:w="0" w:type="auto"/>
            <w:tcBorders>
              <w:top w:val="single" w:sz="4" w:space="0" w:color="auto"/>
              <w:left w:val="single" w:sz="4" w:space="0" w:color="auto"/>
            </w:tcBorders>
            <w:vAlign w:val="center"/>
            <w:hideMark/>
          </w:tcPr>
          <w:p w14:paraId="587AC39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298</w:t>
            </w:r>
          </w:p>
        </w:tc>
        <w:tc>
          <w:tcPr>
            <w:tcW w:w="0" w:type="auto"/>
            <w:tcBorders>
              <w:top w:val="single" w:sz="4" w:space="0" w:color="auto"/>
              <w:left w:val="single" w:sz="4" w:space="0" w:color="auto"/>
              <w:right w:val="single" w:sz="4" w:space="0" w:color="auto"/>
            </w:tcBorders>
            <w:vAlign w:val="center"/>
            <w:hideMark/>
          </w:tcPr>
          <w:p w14:paraId="78AEE11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0.77</w:t>
            </w:r>
          </w:p>
        </w:tc>
        <w:tc>
          <w:tcPr>
            <w:tcW w:w="0" w:type="auto"/>
            <w:tcBorders>
              <w:top w:val="single" w:sz="4" w:space="0" w:color="auto"/>
              <w:right w:val="single" w:sz="4" w:space="0" w:color="auto"/>
            </w:tcBorders>
            <w:vAlign w:val="center"/>
            <w:hideMark/>
          </w:tcPr>
          <w:p w14:paraId="67FEB3C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0.112</w:t>
            </w:r>
          </w:p>
        </w:tc>
        <w:tc>
          <w:tcPr>
            <w:tcW w:w="0" w:type="auto"/>
            <w:tcBorders>
              <w:top w:val="single" w:sz="4" w:space="0" w:color="auto"/>
            </w:tcBorders>
            <w:vAlign w:val="center"/>
            <w:hideMark/>
          </w:tcPr>
          <w:p w14:paraId="3144CE5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Reject H₀</w:t>
            </w:r>
          </w:p>
        </w:tc>
      </w:tr>
    </w:tbl>
    <w:p w14:paraId="174DD747" w14:textId="77777777" w:rsidR="00CA2D21" w:rsidRDefault="00CA2D21">
      <w:pPr>
        <w:jc w:val="both"/>
        <w:rPr>
          <w:rFonts w:ascii="Times New Roman" w:hAnsi="Times New Roman" w:cs="Times New Roman"/>
          <w:b/>
          <w:bCs/>
          <w:sz w:val="28"/>
          <w:szCs w:val="28"/>
        </w:rPr>
      </w:pPr>
    </w:p>
    <w:p w14:paraId="204889B9"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Hypothesis 3: </w:t>
      </w:r>
      <w:r>
        <w:rPr>
          <w:rFonts w:ascii="Times New Roman" w:hAnsi="Times New Roman" w:cs="Times New Roman"/>
          <w:sz w:val="28"/>
          <w:szCs w:val="28"/>
        </w:rPr>
        <w:t>Community involvement is not related to school effectiveness significantly.</w:t>
      </w:r>
    </w:p>
    <w:p w14:paraId="19D84A4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result of the analysis (Table 9) was </w:t>
      </w:r>
      <w:r>
        <w:rPr>
          <w:rFonts w:ascii="Times New Roman" w:hAnsi="Times New Roman" w:cs="Times New Roman"/>
          <w:sz w:val="28"/>
          <w:szCs w:val="28"/>
        </w:rPr>
        <w:t>r=0.76 (p&lt;0.05) which is well above the critical value. The null hypothesis was rejected making the community involvement and school effectiveness positively correlated at a statistically significant level. This observation proves that schools that are act</w:t>
      </w:r>
      <w:r>
        <w:rPr>
          <w:rFonts w:ascii="Times New Roman" w:hAnsi="Times New Roman" w:cs="Times New Roman"/>
          <w:sz w:val="28"/>
          <w:szCs w:val="28"/>
        </w:rPr>
        <w:t>ively engaged in the community have high efficacy.</w:t>
      </w:r>
    </w:p>
    <w:p w14:paraId="19A5ADD4"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9: Community Involvement and School Effectiveness Correlation.</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713"/>
        <w:gridCol w:w="490"/>
        <w:gridCol w:w="490"/>
        <w:gridCol w:w="1444"/>
        <w:gridCol w:w="1070"/>
        <w:gridCol w:w="1143"/>
      </w:tblGrid>
      <w:tr w:rsidR="00CA2D21" w14:paraId="46CB192C" w14:textId="77777777">
        <w:trPr>
          <w:tblHeader/>
          <w:tblCellSpacing w:w="15" w:type="dxa"/>
        </w:trPr>
        <w:tc>
          <w:tcPr>
            <w:tcW w:w="0" w:type="auto"/>
            <w:tcBorders>
              <w:right w:val="single" w:sz="4" w:space="0" w:color="auto"/>
            </w:tcBorders>
            <w:vAlign w:val="center"/>
            <w:hideMark/>
          </w:tcPr>
          <w:p w14:paraId="040A6E6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Variables</w:t>
            </w:r>
          </w:p>
        </w:tc>
        <w:tc>
          <w:tcPr>
            <w:tcW w:w="0" w:type="auto"/>
            <w:tcBorders>
              <w:right w:val="single" w:sz="4" w:space="0" w:color="auto"/>
            </w:tcBorders>
            <w:vAlign w:val="center"/>
            <w:hideMark/>
          </w:tcPr>
          <w:p w14:paraId="1F3AAE87"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N</w:t>
            </w:r>
          </w:p>
        </w:tc>
        <w:tc>
          <w:tcPr>
            <w:tcW w:w="0" w:type="auto"/>
            <w:tcBorders>
              <w:right w:val="single" w:sz="4" w:space="0" w:color="auto"/>
            </w:tcBorders>
            <w:vAlign w:val="center"/>
            <w:hideMark/>
          </w:tcPr>
          <w:p w14:paraId="2946389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df</w:t>
            </w:r>
          </w:p>
        </w:tc>
        <w:tc>
          <w:tcPr>
            <w:tcW w:w="0" w:type="auto"/>
            <w:tcBorders>
              <w:right w:val="single" w:sz="4" w:space="0" w:color="auto"/>
            </w:tcBorders>
            <w:vAlign w:val="center"/>
            <w:hideMark/>
          </w:tcPr>
          <w:p w14:paraId="05F6315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r-calculated</w:t>
            </w:r>
          </w:p>
        </w:tc>
        <w:tc>
          <w:tcPr>
            <w:tcW w:w="0" w:type="auto"/>
            <w:tcBorders>
              <w:right w:val="single" w:sz="4" w:space="0" w:color="auto"/>
            </w:tcBorders>
            <w:vAlign w:val="center"/>
            <w:hideMark/>
          </w:tcPr>
          <w:p w14:paraId="50CF44F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r-critical</w:t>
            </w:r>
          </w:p>
        </w:tc>
        <w:tc>
          <w:tcPr>
            <w:tcW w:w="0" w:type="auto"/>
            <w:vAlign w:val="center"/>
            <w:hideMark/>
          </w:tcPr>
          <w:p w14:paraId="3A96D08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Decision</w:t>
            </w:r>
          </w:p>
        </w:tc>
      </w:tr>
      <w:tr w:rsidR="00CA2D21" w14:paraId="0A3E1B12" w14:textId="77777777">
        <w:trPr>
          <w:tblCellSpacing w:w="15" w:type="dxa"/>
        </w:trPr>
        <w:tc>
          <w:tcPr>
            <w:tcW w:w="0" w:type="auto"/>
            <w:tcBorders>
              <w:top w:val="single" w:sz="4" w:space="0" w:color="auto"/>
              <w:right w:val="single" w:sz="4" w:space="0" w:color="auto"/>
            </w:tcBorders>
            <w:vAlign w:val="center"/>
            <w:hideMark/>
          </w:tcPr>
          <w:p w14:paraId="78917B0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Community Involvement &amp; School Effectiveness</w:t>
            </w:r>
          </w:p>
        </w:tc>
        <w:tc>
          <w:tcPr>
            <w:tcW w:w="0" w:type="auto"/>
            <w:tcBorders>
              <w:top w:val="single" w:sz="4" w:space="0" w:color="auto"/>
              <w:right w:val="single" w:sz="4" w:space="0" w:color="auto"/>
            </w:tcBorders>
            <w:vAlign w:val="center"/>
            <w:hideMark/>
          </w:tcPr>
          <w:p w14:paraId="002AD2A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300</w:t>
            </w:r>
          </w:p>
        </w:tc>
        <w:tc>
          <w:tcPr>
            <w:tcW w:w="0" w:type="auto"/>
            <w:tcBorders>
              <w:top w:val="single" w:sz="4" w:space="0" w:color="auto"/>
              <w:right w:val="single" w:sz="4" w:space="0" w:color="auto"/>
            </w:tcBorders>
            <w:vAlign w:val="center"/>
            <w:hideMark/>
          </w:tcPr>
          <w:p w14:paraId="05DF3EC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298</w:t>
            </w:r>
          </w:p>
        </w:tc>
        <w:tc>
          <w:tcPr>
            <w:tcW w:w="0" w:type="auto"/>
            <w:tcBorders>
              <w:top w:val="single" w:sz="4" w:space="0" w:color="auto"/>
              <w:right w:val="single" w:sz="4" w:space="0" w:color="auto"/>
            </w:tcBorders>
            <w:vAlign w:val="center"/>
            <w:hideMark/>
          </w:tcPr>
          <w:p w14:paraId="607865C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0.76</w:t>
            </w:r>
          </w:p>
        </w:tc>
        <w:tc>
          <w:tcPr>
            <w:tcW w:w="0" w:type="auto"/>
            <w:tcBorders>
              <w:top w:val="single" w:sz="4" w:space="0" w:color="auto"/>
              <w:right w:val="single" w:sz="4" w:space="0" w:color="auto"/>
            </w:tcBorders>
            <w:vAlign w:val="center"/>
            <w:hideMark/>
          </w:tcPr>
          <w:p w14:paraId="05E4A94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0.112</w:t>
            </w:r>
          </w:p>
        </w:tc>
        <w:tc>
          <w:tcPr>
            <w:tcW w:w="0" w:type="auto"/>
            <w:tcBorders>
              <w:top w:val="single" w:sz="4" w:space="0" w:color="auto"/>
            </w:tcBorders>
            <w:vAlign w:val="center"/>
            <w:hideMark/>
          </w:tcPr>
          <w:p w14:paraId="303F5F7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Reject H₀</w:t>
            </w:r>
          </w:p>
        </w:tc>
      </w:tr>
    </w:tbl>
    <w:p w14:paraId="0BA135EB" w14:textId="77777777" w:rsidR="00CA2D21" w:rsidRDefault="00CA2D21">
      <w:pPr>
        <w:jc w:val="both"/>
        <w:rPr>
          <w:rFonts w:ascii="Times New Roman" w:hAnsi="Times New Roman" w:cs="Times New Roman"/>
          <w:b/>
          <w:bCs/>
          <w:sz w:val="28"/>
          <w:szCs w:val="28"/>
        </w:rPr>
      </w:pPr>
    </w:p>
    <w:p w14:paraId="429E2A93"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Hypothesis 4: </w:t>
      </w:r>
      <w:r>
        <w:rPr>
          <w:rFonts w:ascii="Times New Roman" w:hAnsi="Times New Roman" w:cs="Times New Roman"/>
          <w:sz w:val="28"/>
          <w:szCs w:val="28"/>
        </w:rPr>
        <w:t>The role of voluntary agencies does not have significant relationship with the effectiveness of schools.</w:t>
      </w:r>
    </w:p>
    <w:p w14:paraId="48D417B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R=0.73 (p &lt;0.05) was found in correlation testing (Table 10), which is above the critical value. The null hypothesis was rejected which v</w:t>
      </w:r>
      <w:r>
        <w:rPr>
          <w:rFonts w:ascii="Times New Roman" w:hAnsi="Times New Roman" w:cs="Times New Roman"/>
          <w:sz w:val="28"/>
          <w:szCs w:val="28"/>
        </w:rPr>
        <w:t>erified that there is a positive statistically significant relationship between voluntary agency involvement and school effectiveness. These findings have shown that voluntary agency involvement has a significant influence on educational outcomes.</w:t>
      </w:r>
    </w:p>
    <w:p w14:paraId="0B9E271D"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10</w:t>
      </w:r>
      <w:r>
        <w:rPr>
          <w:rFonts w:ascii="Times New Roman" w:hAnsi="Times New Roman" w:cs="Times New Roman"/>
          <w:b/>
          <w:bCs/>
          <w:sz w:val="28"/>
          <w:szCs w:val="28"/>
        </w:rPr>
        <w:t>: Relation between the intervention of Voluntary Agencies and the effectiveness of the school.</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764"/>
        <w:gridCol w:w="500"/>
        <w:gridCol w:w="490"/>
        <w:gridCol w:w="1417"/>
        <w:gridCol w:w="1033"/>
        <w:gridCol w:w="1146"/>
      </w:tblGrid>
      <w:tr w:rsidR="00CA2D21" w14:paraId="572951C1" w14:textId="77777777">
        <w:trPr>
          <w:tblHeader/>
          <w:tblCellSpacing w:w="15" w:type="dxa"/>
        </w:trPr>
        <w:tc>
          <w:tcPr>
            <w:tcW w:w="0" w:type="auto"/>
            <w:tcBorders>
              <w:bottom w:val="single" w:sz="4" w:space="0" w:color="auto"/>
            </w:tcBorders>
            <w:vAlign w:val="center"/>
            <w:hideMark/>
          </w:tcPr>
          <w:p w14:paraId="4D4F4B64"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Variables</w:t>
            </w:r>
          </w:p>
        </w:tc>
        <w:tc>
          <w:tcPr>
            <w:tcW w:w="0" w:type="auto"/>
            <w:tcBorders>
              <w:left w:val="single" w:sz="4" w:space="0" w:color="auto"/>
              <w:bottom w:val="single" w:sz="4" w:space="0" w:color="auto"/>
              <w:right w:val="single" w:sz="4" w:space="0" w:color="auto"/>
            </w:tcBorders>
            <w:vAlign w:val="center"/>
            <w:hideMark/>
          </w:tcPr>
          <w:p w14:paraId="760C1C9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N</w:t>
            </w:r>
          </w:p>
        </w:tc>
        <w:tc>
          <w:tcPr>
            <w:tcW w:w="0" w:type="auto"/>
            <w:tcBorders>
              <w:bottom w:val="single" w:sz="4" w:space="0" w:color="auto"/>
              <w:right w:val="single" w:sz="4" w:space="0" w:color="auto"/>
            </w:tcBorders>
            <w:vAlign w:val="center"/>
            <w:hideMark/>
          </w:tcPr>
          <w:p w14:paraId="49B1777D"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df</w:t>
            </w:r>
          </w:p>
        </w:tc>
        <w:tc>
          <w:tcPr>
            <w:tcW w:w="0" w:type="auto"/>
            <w:tcBorders>
              <w:bottom w:val="single" w:sz="4" w:space="0" w:color="auto"/>
              <w:right w:val="single" w:sz="4" w:space="0" w:color="auto"/>
            </w:tcBorders>
            <w:vAlign w:val="center"/>
            <w:hideMark/>
          </w:tcPr>
          <w:p w14:paraId="3841DDE3"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r-calculated</w:t>
            </w:r>
          </w:p>
        </w:tc>
        <w:tc>
          <w:tcPr>
            <w:tcW w:w="0" w:type="auto"/>
            <w:tcBorders>
              <w:bottom w:val="single" w:sz="4" w:space="0" w:color="auto"/>
            </w:tcBorders>
            <w:vAlign w:val="center"/>
            <w:hideMark/>
          </w:tcPr>
          <w:p w14:paraId="51EA216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r-critical</w:t>
            </w:r>
          </w:p>
        </w:tc>
        <w:tc>
          <w:tcPr>
            <w:tcW w:w="0" w:type="auto"/>
            <w:tcBorders>
              <w:left w:val="single" w:sz="4" w:space="0" w:color="auto"/>
              <w:bottom w:val="single" w:sz="4" w:space="0" w:color="auto"/>
            </w:tcBorders>
            <w:vAlign w:val="center"/>
            <w:hideMark/>
          </w:tcPr>
          <w:p w14:paraId="1E0F973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Decision</w:t>
            </w:r>
          </w:p>
        </w:tc>
      </w:tr>
      <w:tr w:rsidR="00CA2D21" w14:paraId="2CCFBC35" w14:textId="77777777">
        <w:trPr>
          <w:tblCellSpacing w:w="15" w:type="dxa"/>
        </w:trPr>
        <w:tc>
          <w:tcPr>
            <w:tcW w:w="0" w:type="auto"/>
            <w:vAlign w:val="center"/>
            <w:hideMark/>
          </w:tcPr>
          <w:p w14:paraId="6732301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Voluntary Agencies' Involvement &amp; School Effectiveness</w:t>
            </w:r>
          </w:p>
        </w:tc>
        <w:tc>
          <w:tcPr>
            <w:tcW w:w="0" w:type="auto"/>
            <w:tcBorders>
              <w:left w:val="single" w:sz="4" w:space="0" w:color="auto"/>
              <w:right w:val="single" w:sz="4" w:space="0" w:color="auto"/>
            </w:tcBorders>
            <w:vAlign w:val="center"/>
            <w:hideMark/>
          </w:tcPr>
          <w:p w14:paraId="0B6C513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300</w:t>
            </w:r>
          </w:p>
        </w:tc>
        <w:tc>
          <w:tcPr>
            <w:tcW w:w="0" w:type="auto"/>
            <w:tcBorders>
              <w:right w:val="single" w:sz="4" w:space="0" w:color="auto"/>
            </w:tcBorders>
            <w:vAlign w:val="center"/>
            <w:hideMark/>
          </w:tcPr>
          <w:p w14:paraId="5574FA9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298</w:t>
            </w:r>
          </w:p>
        </w:tc>
        <w:tc>
          <w:tcPr>
            <w:tcW w:w="0" w:type="auto"/>
            <w:tcBorders>
              <w:right w:val="single" w:sz="4" w:space="0" w:color="auto"/>
            </w:tcBorders>
            <w:vAlign w:val="center"/>
            <w:hideMark/>
          </w:tcPr>
          <w:p w14:paraId="03BEF2A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0.73</w:t>
            </w:r>
          </w:p>
        </w:tc>
        <w:tc>
          <w:tcPr>
            <w:tcW w:w="0" w:type="auto"/>
            <w:vAlign w:val="center"/>
            <w:hideMark/>
          </w:tcPr>
          <w:p w14:paraId="4F701BE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0.112</w:t>
            </w:r>
          </w:p>
        </w:tc>
        <w:tc>
          <w:tcPr>
            <w:tcW w:w="0" w:type="auto"/>
            <w:tcBorders>
              <w:left w:val="single" w:sz="4" w:space="0" w:color="auto"/>
            </w:tcBorders>
            <w:vAlign w:val="center"/>
            <w:hideMark/>
          </w:tcPr>
          <w:p w14:paraId="1AEA627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Reject H₀</w:t>
            </w:r>
          </w:p>
        </w:tc>
      </w:tr>
    </w:tbl>
    <w:p w14:paraId="3873FC58" w14:textId="77777777" w:rsidR="00CA2D21" w:rsidRDefault="00CA2D21">
      <w:pPr>
        <w:jc w:val="both"/>
        <w:rPr>
          <w:rFonts w:ascii="Times New Roman" w:hAnsi="Times New Roman" w:cs="Times New Roman"/>
          <w:b/>
          <w:bCs/>
          <w:sz w:val="28"/>
          <w:szCs w:val="28"/>
        </w:rPr>
      </w:pPr>
    </w:p>
    <w:p w14:paraId="54A4938F"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Hypothesis 5: </w:t>
      </w:r>
      <w:r>
        <w:rPr>
          <w:rFonts w:ascii="Times New Roman" w:hAnsi="Times New Roman" w:cs="Times New Roman"/>
          <w:sz w:val="28"/>
          <w:szCs w:val="28"/>
        </w:rPr>
        <w:t xml:space="preserve">Government </w:t>
      </w:r>
      <w:r>
        <w:rPr>
          <w:rFonts w:ascii="Times New Roman" w:hAnsi="Times New Roman" w:cs="Times New Roman"/>
          <w:sz w:val="28"/>
          <w:szCs w:val="28"/>
        </w:rPr>
        <w:t>involvement has no significant relationships with school effectiveness.</w:t>
      </w:r>
    </w:p>
    <w:p w14:paraId="48BDBBC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end result (Table 11), yielded, r=0.79 (p&lt;0.05), which is much higher than the critical value. The null hypothesis was rejected and this proved that there was a statistically signi</w:t>
      </w:r>
      <w:r>
        <w:rPr>
          <w:rFonts w:ascii="Times New Roman" w:hAnsi="Times New Roman" w:cs="Times New Roman"/>
          <w:sz w:val="28"/>
          <w:szCs w:val="28"/>
        </w:rPr>
        <w:t>ficant positive correlation between government involvement and school effectiveness. This significant co-determination shows centrality in education by the government in terms of provision and regulation.</w:t>
      </w:r>
    </w:p>
    <w:p w14:paraId="31D896AF"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Table 11: Government Involvement/ School Effectiven</w:t>
      </w:r>
      <w:r>
        <w:rPr>
          <w:rFonts w:ascii="Times New Roman" w:hAnsi="Times New Roman" w:cs="Times New Roman"/>
          <w:b/>
          <w:bCs/>
          <w:sz w:val="28"/>
          <w:szCs w:val="28"/>
        </w:rPr>
        <w:t>ess correlation.</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717"/>
        <w:gridCol w:w="490"/>
        <w:gridCol w:w="480"/>
        <w:gridCol w:w="1452"/>
        <w:gridCol w:w="1058"/>
        <w:gridCol w:w="1153"/>
      </w:tblGrid>
      <w:tr w:rsidR="00CA2D21" w14:paraId="5817D661" w14:textId="77777777">
        <w:trPr>
          <w:tblHeader/>
          <w:tblCellSpacing w:w="15" w:type="dxa"/>
        </w:trPr>
        <w:tc>
          <w:tcPr>
            <w:tcW w:w="0" w:type="auto"/>
            <w:tcBorders>
              <w:bottom w:val="single" w:sz="4" w:space="0" w:color="auto"/>
              <w:right w:val="single" w:sz="4" w:space="0" w:color="auto"/>
            </w:tcBorders>
            <w:vAlign w:val="center"/>
            <w:hideMark/>
          </w:tcPr>
          <w:p w14:paraId="5D197A8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Variables</w:t>
            </w:r>
          </w:p>
        </w:tc>
        <w:tc>
          <w:tcPr>
            <w:tcW w:w="0" w:type="auto"/>
            <w:tcBorders>
              <w:bottom w:val="single" w:sz="4" w:space="0" w:color="auto"/>
              <w:right w:val="single" w:sz="4" w:space="0" w:color="auto"/>
            </w:tcBorders>
            <w:vAlign w:val="center"/>
            <w:hideMark/>
          </w:tcPr>
          <w:p w14:paraId="357FA8A0"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N</w:t>
            </w:r>
          </w:p>
        </w:tc>
        <w:tc>
          <w:tcPr>
            <w:tcW w:w="0" w:type="auto"/>
            <w:tcBorders>
              <w:bottom w:val="single" w:sz="4" w:space="0" w:color="auto"/>
            </w:tcBorders>
            <w:vAlign w:val="center"/>
            <w:hideMark/>
          </w:tcPr>
          <w:p w14:paraId="7D74D27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df</w:t>
            </w:r>
          </w:p>
        </w:tc>
        <w:tc>
          <w:tcPr>
            <w:tcW w:w="0" w:type="auto"/>
            <w:tcBorders>
              <w:left w:val="single" w:sz="4" w:space="0" w:color="auto"/>
              <w:bottom w:val="single" w:sz="4" w:space="0" w:color="auto"/>
              <w:right w:val="single" w:sz="4" w:space="0" w:color="auto"/>
            </w:tcBorders>
            <w:vAlign w:val="center"/>
            <w:hideMark/>
          </w:tcPr>
          <w:p w14:paraId="05BA54D5"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r-calculated</w:t>
            </w:r>
          </w:p>
        </w:tc>
        <w:tc>
          <w:tcPr>
            <w:tcW w:w="0" w:type="auto"/>
            <w:tcBorders>
              <w:bottom w:val="single" w:sz="4" w:space="0" w:color="auto"/>
            </w:tcBorders>
            <w:vAlign w:val="center"/>
            <w:hideMark/>
          </w:tcPr>
          <w:p w14:paraId="585514C4"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r-critical</w:t>
            </w:r>
          </w:p>
        </w:tc>
        <w:tc>
          <w:tcPr>
            <w:tcW w:w="0" w:type="auto"/>
            <w:tcBorders>
              <w:left w:val="single" w:sz="4" w:space="0" w:color="auto"/>
              <w:bottom w:val="single" w:sz="4" w:space="0" w:color="auto"/>
            </w:tcBorders>
            <w:vAlign w:val="center"/>
            <w:hideMark/>
          </w:tcPr>
          <w:p w14:paraId="530A958B"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Decision</w:t>
            </w:r>
          </w:p>
        </w:tc>
      </w:tr>
      <w:tr w:rsidR="00CA2D21" w14:paraId="7439D8A3" w14:textId="77777777">
        <w:trPr>
          <w:tblCellSpacing w:w="15" w:type="dxa"/>
        </w:trPr>
        <w:tc>
          <w:tcPr>
            <w:tcW w:w="0" w:type="auto"/>
            <w:tcBorders>
              <w:right w:val="single" w:sz="4" w:space="0" w:color="auto"/>
            </w:tcBorders>
            <w:vAlign w:val="center"/>
            <w:hideMark/>
          </w:tcPr>
          <w:p w14:paraId="25881BC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Government Involvement &amp; School Effectiveness</w:t>
            </w:r>
          </w:p>
        </w:tc>
        <w:tc>
          <w:tcPr>
            <w:tcW w:w="0" w:type="auto"/>
            <w:tcBorders>
              <w:right w:val="single" w:sz="4" w:space="0" w:color="auto"/>
            </w:tcBorders>
            <w:vAlign w:val="center"/>
            <w:hideMark/>
          </w:tcPr>
          <w:p w14:paraId="719DB71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300</w:t>
            </w:r>
          </w:p>
        </w:tc>
        <w:tc>
          <w:tcPr>
            <w:tcW w:w="0" w:type="auto"/>
            <w:vAlign w:val="center"/>
            <w:hideMark/>
          </w:tcPr>
          <w:p w14:paraId="4A86EB5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298</w:t>
            </w:r>
          </w:p>
        </w:tc>
        <w:tc>
          <w:tcPr>
            <w:tcW w:w="0" w:type="auto"/>
            <w:tcBorders>
              <w:left w:val="single" w:sz="4" w:space="0" w:color="auto"/>
              <w:right w:val="single" w:sz="4" w:space="0" w:color="auto"/>
            </w:tcBorders>
            <w:vAlign w:val="center"/>
            <w:hideMark/>
          </w:tcPr>
          <w:p w14:paraId="34FF42B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0.79</w:t>
            </w:r>
          </w:p>
        </w:tc>
        <w:tc>
          <w:tcPr>
            <w:tcW w:w="0" w:type="auto"/>
            <w:vAlign w:val="center"/>
            <w:hideMark/>
          </w:tcPr>
          <w:p w14:paraId="3FB0609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0.112</w:t>
            </w:r>
          </w:p>
        </w:tc>
        <w:tc>
          <w:tcPr>
            <w:tcW w:w="0" w:type="auto"/>
            <w:tcBorders>
              <w:left w:val="single" w:sz="4" w:space="0" w:color="auto"/>
            </w:tcBorders>
            <w:vAlign w:val="center"/>
            <w:hideMark/>
          </w:tcPr>
          <w:p w14:paraId="6C7589F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Reject H₀</w:t>
            </w:r>
          </w:p>
        </w:tc>
      </w:tr>
    </w:tbl>
    <w:p w14:paraId="6A38C93E" w14:textId="77777777" w:rsidR="00CA2D21" w:rsidRDefault="00CA2D21">
      <w:pPr>
        <w:jc w:val="both"/>
        <w:rPr>
          <w:rFonts w:ascii="Times New Roman" w:hAnsi="Times New Roman" w:cs="Times New Roman"/>
          <w:b/>
          <w:bCs/>
          <w:sz w:val="28"/>
          <w:szCs w:val="28"/>
        </w:rPr>
      </w:pPr>
    </w:p>
    <w:p w14:paraId="1F8D3C3F"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4.4 Discussion of Findings</w:t>
      </w:r>
    </w:p>
    <w:p w14:paraId="084D05D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All the five hypotheses were rejected, which indicated statistically significant </w:t>
      </w:r>
      <w:r>
        <w:rPr>
          <w:rFonts w:ascii="Times New Roman" w:hAnsi="Times New Roman" w:cs="Times New Roman"/>
          <w:sz w:val="28"/>
          <w:szCs w:val="28"/>
        </w:rPr>
        <w:t xml:space="preserve">positive relationships between each category of stakeholders and school </w:t>
      </w:r>
      <w:r>
        <w:rPr>
          <w:rFonts w:ascii="Times New Roman" w:hAnsi="Times New Roman" w:cs="Times New Roman"/>
          <w:sz w:val="28"/>
          <w:szCs w:val="28"/>
        </w:rPr>
        <w:lastRenderedPageBreak/>
        <w:t>effectiveness. Such results are consistent with propositions of stakeholder theory according to which the success of organizations is based on the effective management of relationships</w:t>
      </w:r>
      <w:r>
        <w:rPr>
          <w:rFonts w:ascii="Times New Roman" w:hAnsi="Times New Roman" w:cs="Times New Roman"/>
          <w:sz w:val="28"/>
          <w:szCs w:val="28"/>
        </w:rPr>
        <w:t xml:space="preserve"> with different stakeholders (Freeman et al., 2010). In the educational context in particular, findings affirm that school effectiveness is manifested through concerted action of various actors and not one institution.</w:t>
      </w:r>
    </w:p>
    <w:p w14:paraId="0DE6EC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high level of association between</w:t>
      </w:r>
      <w:r>
        <w:rPr>
          <w:rFonts w:ascii="Times New Roman" w:hAnsi="Times New Roman" w:cs="Times New Roman"/>
          <w:sz w:val="28"/>
          <w:szCs w:val="28"/>
        </w:rPr>
        <w:t xml:space="preserve"> parental involvement and school effectiveness (r=0.80) is supported by the large body of prior studies that have reported the benefits of parental engagement (Epstein, 2018; Henderson and Mapp, 2002). Parents play a power of role in the school effectivene</w:t>
      </w:r>
      <w:r>
        <w:rPr>
          <w:rFonts w:ascii="Times New Roman" w:hAnsi="Times New Roman" w:cs="Times New Roman"/>
          <w:sz w:val="28"/>
          <w:szCs w:val="28"/>
        </w:rPr>
        <w:t xml:space="preserve">ss through various means: strengthening school values at home, supporting learning, inputting resources, making decisions, and making a case to improve the school. The size of this correlation indicates that strategies of parental engagement must be given </w:t>
      </w:r>
      <w:r>
        <w:rPr>
          <w:rFonts w:ascii="Times New Roman" w:hAnsi="Times New Roman" w:cs="Times New Roman"/>
          <w:sz w:val="28"/>
          <w:szCs w:val="28"/>
        </w:rPr>
        <w:t>priority in the school improvement programs.</w:t>
      </w:r>
    </w:p>
    <w:p w14:paraId="6F05A58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On the same note, the strong correlation between teacher involvement and teacher effectiveness (r=0.77) validates the role that teachers play in educational outcomes (Hattie, 2008; Kennedy, 2016). The teachers a</w:t>
      </w:r>
      <w:r>
        <w:rPr>
          <w:rFonts w:ascii="Times New Roman" w:hAnsi="Times New Roman" w:cs="Times New Roman"/>
          <w:sz w:val="28"/>
          <w:szCs w:val="28"/>
        </w:rPr>
        <w:t>re the main agents in providing instruction and curriculum implementation and classroom environments. In addition to teaching duties, teacher involvement in school life, professional growth and collective refinement activities improves organization and ind</w:t>
      </w:r>
      <w:r>
        <w:rPr>
          <w:rFonts w:ascii="Times New Roman" w:hAnsi="Times New Roman" w:cs="Times New Roman"/>
          <w:sz w:val="28"/>
          <w:szCs w:val="28"/>
        </w:rPr>
        <w:t>ividual drive.</w:t>
      </w:r>
    </w:p>
    <w:p w14:paraId="46AB7F9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fact that community involvement has a strong correlation with effectiveness (r=0.76) indicates the value of contextual embeddedness to schools. Community engagement gives schools more resources, local expertise, accountability systems, a</w:t>
      </w:r>
      <w:r>
        <w:rPr>
          <w:rFonts w:ascii="Times New Roman" w:hAnsi="Times New Roman" w:cs="Times New Roman"/>
          <w:sz w:val="28"/>
          <w:szCs w:val="28"/>
        </w:rPr>
        <w:t>nd social capital, as proposed by Nishimura (2020) and Hossain (2021). In the context of the Lagos State, where governmental resources are not sufficient, community contributions take a specific significance regarding the quality of education. This is cons</w:t>
      </w:r>
      <w:r>
        <w:rPr>
          <w:rFonts w:ascii="Times New Roman" w:hAnsi="Times New Roman" w:cs="Times New Roman"/>
          <w:sz w:val="28"/>
          <w:szCs w:val="28"/>
        </w:rPr>
        <w:t>istent with the modern designs that situate the role of community partnerships as structural elements of school change and not just supplementary services (Goodman, 2023).</w:t>
      </w:r>
    </w:p>
    <w:p w14:paraId="3C4B689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existence of the positive correlation between voluntary agency participation and</w:t>
      </w:r>
      <w:r>
        <w:rPr>
          <w:rFonts w:ascii="Times New Roman" w:hAnsi="Times New Roman" w:cs="Times New Roman"/>
          <w:sz w:val="28"/>
          <w:szCs w:val="28"/>
        </w:rPr>
        <w:t xml:space="preserve"> effectiveness (r=0.73) shows the additional roles of these actors in a setting that is resource-limited. Voluntary agencies add to the governmental provisions and include specialized knowledge, new resources, external lenses, and accountability demands </w:t>
      </w:r>
      <w:r>
        <w:rPr>
          <w:rFonts w:ascii="Times New Roman" w:hAnsi="Times New Roman" w:cs="Times New Roman"/>
          <w:sz w:val="28"/>
          <w:szCs w:val="28"/>
        </w:rPr>
        <w:lastRenderedPageBreak/>
        <w:t>(A</w:t>
      </w:r>
      <w:r>
        <w:rPr>
          <w:rFonts w:ascii="Times New Roman" w:hAnsi="Times New Roman" w:cs="Times New Roman"/>
          <w:sz w:val="28"/>
          <w:szCs w:val="28"/>
        </w:rPr>
        <w:t>siyai, 2012). Their intervention covers capacity shortfalls and presents innovations and alternative ways.</w:t>
      </w:r>
    </w:p>
    <w:p w14:paraId="33F8A91F"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Lastly, the high level of correlation between government involvement and effectiveness (r=0.79) validates the basic roles played by governmental inst</w:t>
      </w:r>
      <w:r>
        <w:rPr>
          <w:rFonts w:ascii="Times New Roman" w:hAnsi="Times New Roman" w:cs="Times New Roman"/>
          <w:sz w:val="28"/>
          <w:szCs w:val="28"/>
        </w:rPr>
        <w:t>itutions in the provision of education, regulation and quality assurance. Although governmental constraints in Nigerian education have been documented (Akpan, 2005), these results reveal that government participation in quality control, coverage of resourc</w:t>
      </w:r>
      <w:r>
        <w:rPr>
          <w:rFonts w:ascii="Times New Roman" w:hAnsi="Times New Roman" w:cs="Times New Roman"/>
          <w:sz w:val="28"/>
          <w:szCs w:val="28"/>
        </w:rPr>
        <w:t>es within their education, infrastructures and policy formulations has a significant impact on the performances of schools.</w:t>
      </w:r>
    </w:p>
    <w:p w14:paraId="657CE78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There are policy and practice implications of these results. According to them, the strategies to improve schools must consider the </w:t>
      </w:r>
      <w:r>
        <w:rPr>
          <w:rFonts w:ascii="Times New Roman" w:hAnsi="Times New Roman" w:cs="Times New Roman"/>
          <w:sz w:val="28"/>
          <w:szCs w:val="28"/>
        </w:rPr>
        <w:t xml:space="preserve">use of holistic stakeholder-based strategies as opposed to government or school-based-based strategies. Engaging stakeholders effectively involves: having clear structures that outline roles and responsibilities, having systems that can be used to promote </w:t>
      </w:r>
      <w:r>
        <w:rPr>
          <w:rFonts w:ascii="Times New Roman" w:hAnsi="Times New Roman" w:cs="Times New Roman"/>
          <w:sz w:val="28"/>
          <w:szCs w:val="28"/>
        </w:rPr>
        <w:t>communication and coordination, capacity building that enables participation of stakeholders, accountability systems that can help in ensuring they do not engage in reckless participation and mobilizing resources that can help them make meaningful contribu</w:t>
      </w:r>
      <w:r>
        <w:rPr>
          <w:rFonts w:ascii="Times New Roman" w:hAnsi="Times New Roman" w:cs="Times New Roman"/>
          <w:sz w:val="28"/>
          <w:szCs w:val="28"/>
        </w:rPr>
        <w:t>tions.</w:t>
      </w:r>
    </w:p>
    <w:p w14:paraId="3B57DE42"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5.1 Summary of Findings</w:t>
      </w:r>
    </w:p>
    <w:p w14:paraId="34F6697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This study explored linkages among five groups of stakeholders; parents, teachers, community members, voluntary agencies, and government bodies and school performance in the primary schools in Lagos State Education District I</w:t>
      </w:r>
      <w:r>
        <w:rPr>
          <w:rFonts w:ascii="Times New Roman" w:hAnsi="Times New Roman" w:cs="Times New Roman"/>
          <w:sz w:val="28"/>
          <w:szCs w:val="28"/>
        </w:rPr>
        <w:t>V. Using data collected through descriptive survey methodology on 300 teachers, the researchers conducted a test on five hypotheses, based on Pearson correlation analysis. The findings showed statistically significant positive correlations among all the fi</w:t>
      </w:r>
      <w:r>
        <w:rPr>
          <w:rFonts w:ascii="Times New Roman" w:hAnsi="Times New Roman" w:cs="Times New Roman"/>
          <w:sz w:val="28"/>
          <w:szCs w:val="28"/>
        </w:rPr>
        <w:t>ve stakeholder effectiveness relationships, which included parental involvement (r=0.80), teacher involvement (r=0.77), community involvement (r=0.76), voluntary agency involvement (r=0.73), and government involvement (r=0.79).</w:t>
      </w:r>
    </w:p>
    <w:p w14:paraId="6C37B0E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results affirm that the </w:t>
      </w:r>
      <w:r>
        <w:rPr>
          <w:rFonts w:ascii="Times New Roman" w:hAnsi="Times New Roman" w:cs="Times New Roman"/>
          <w:sz w:val="28"/>
          <w:szCs w:val="28"/>
        </w:rPr>
        <w:t>success of schools in primary education is a product of co-ordinated action of various stakeholders and not individual institutional activities. All the categories of stakeholders have different resources, skills and support systems that contribute towards</w:t>
      </w:r>
      <w:r>
        <w:rPr>
          <w:rFonts w:ascii="Times New Roman" w:hAnsi="Times New Roman" w:cs="Times New Roman"/>
          <w:sz w:val="28"/>
          <w:szCs w:val="28"/>
        </w:rPr>
        <w:t xml:space="preserve"> better education. Findings are consistent with the </w:t>
      </w:r>
      <w:r>
        <w:rPr>
          <w:rFonts w:ascii="Times New Roman" w:hAnsi="Times New Roman" w:cs="Times New Roman"/>
          <w:sz w:val="28"/>
          <w:szCs w:val="28"/>
        </w:rPr>
        <w:lastRenderedPageBreak/>
        <w:t>propositions of the stakeholder theory (Freeman et al., 2010) and offer an empirical basis to the study contexts of primary education in Nigeria.</w:t>
      </w:r>
    </w:p>
    <w:p w14:paraId="7848B470" w14:textId="77777777" w:rsidR="007B0DDB" w:rsidRDefault="007B0DDB" w:rsidP="007B0DDB">
      <w:pPr>
        <w:jc w:val="both"/>
        <w:rPr>
          <w:rFonts w:ascii="Times New Roman" w:hAnsi="Times New Roman" w:cs="Times New Roman"/>
          <w:b/>
          <w:bCs/>
          <w:sz w:val="28"/>
          <w:szCs w:val="28"/>
        </w:rPr>
      </w:pPr>
      <w:r>
        <w:rPr>
          <w:rFonts w:ascii="Times New Roman" w:hAnsi="Times New Roman" w:cs="Times New Roman"/>
          <w:b/>
          <w:bCs/>
          <w:sz w:val="28"/>
          <w:szCs w:val="28"/>
        </w:rPr>
        <w:t>5. Conclusion and Recommendations</w:t>
      </w:r>
    </w:p>
    <w:p w14:paraId="309F6D1E" w14:textId="77777777" w:rsidR="007B0DDB" w:rsidRDefault="007B0DDB">
      <w:pPr>
        <w:jc w:val="both"/>
        <w:rPr>
          <w:rFonts w:ascii="Times New Roman" w:hAnsi="Times New Roman" w:cs="Times New Roman"/>
          <w:sz w:val="28"/>
          <w:szCs w:val="28"/>
        </w:rPr>
      </w:pPr>
    </w:p>
    <w:p w14:paraId="2F8A3EC6"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5.2 Conclusion</w:t>
      </w:r>
    </w:p>
    <w:p w14:paraId="6596F5E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sz w:val="28"/>
          <w:szCs w:val="28"/>
        </w:rPr>
        <w:t>study confirms that stakeholder participation plays a critical role in determining the effectiveness of schools in the Lagos State primary school. The high positive correlation that has persistently existed among the stakeholder groups indicate that the qu</w:t>
      </w:r>
      <w:r>
        <w:rPr>
          <w:rFonts w:ascii="Times New Roman" w:hAnsi="Times New Roman" w:cs="Times New Roman"/>
          <w:sz w:val="28"/>
          <w:szCs w:val="28"/>
        </w:rPr>
        <w:t>ality of education is reliant on the joint interaction of the various players. These results reject the approaches that focus on individual government or school-based accountability to educational outcomes and draw instead on the need to adopt comprehensiv</w:t>
      </w:r>
      <w:r>
        <w:rPr>
          <w:rFonts w:ascii="Times New Roman" w:hAnsi="Times New Roman" w:cs="Times New Roman"/>
          <w:sz w:val="28"/>
          <w:szCs w:val="28"/>
        </w:rPr>
        <w:t>e stakeholder frameworks.</w:t>
      </w:r>
    </w:p>
    <w:p w14:paraId="6B63FC0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Under the educational settings of Nigeria in particular, where capacity constraints on improvements in quality are imposed by the government, the stakeholder interaction obtains a new significance. Official provisions may be enhan</w:t>
      </w:r>
      <w:r>
        <w:rPr>
          <w:rFonts w:ascii="Times New Roman" w:hAnsi="Times New Roman" w:cs="Times New Roman"/>
          <w:sz w:val="28"/>
          <w:szCs w:val="28"/>
        </w:rPr>
        <w:t>ced by parents, community members, and voluntary agencies and make them more accountable and responsive. But, stakeholder engagement benefits will not just come about spontaneously as it requires planned institutional settings, capacity building, and coord</w:t>
      </w:r>
      <w:r>
        <w:rPr>
          <w:rFonts w:ascii="Times New Roman" w:hAnsi="Times New Roman" w:cs="Times New Roman"/>
          <w:sz w:val="28"/>
          <w:szCs w:val="28"/>
        </w:rPr>
        <w:t>ination mechanisms.</w:t>
      </w:r>
    </w:p>
    <w:p w14:paraId="75C7737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The research paper is relevant to literature as it presents quantitative information on stakeholder-effectiveness associations in the primary education sector which are underrepresented despite having a fundamental role. Besides, the st</w:t>
      </w:r>
      <w:r>
        <w:rPr>
          <w:rFonts w:ascii="Times New Roman" w:hAnsi="Times New Roman" w:cs="Times New Roman"/>
          <w:sz w:val="28"/>
          <w:szCs w:val="28"/>
        </w:rPr>
        <w:t>udy is about developing country scenarios in which the dynamics of the stakeholders vary significantly as compared to trends recorded in high-income environments. Results have inspired theoretical knowledge and practical solutions to improve the effectiven</w:t>
      </w:r>
      <w:r>
        <w:rPr>
          <w:rFonts w:ascii="Times New Roman" w:hAnsi="Times New Roman" w:cs="Times New Roman"/>
          <w:sz w:val="28"/>
          <w:szCs w:val="28"/>
        </w:rPr>
        <w:t>ess of primary education by engaging the stakeholders.</w:t>
      </w:r>
    </w:p>
    <w:p w14:paraId="7FA5E350"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5.3 Recommendations</w:t>
      </w:r>
    </w:p>
    <w:p w14:paraId="1A0E65B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On the basis of empirical results, the following recommendations can be suggested:</w:t>
      </w:r>
    </w:p>
    <w:p w14:paraId="35617F8A" w14:textId="77777777" w:rsidR="00CA2D21" w:rsidRDefault="00E12691">
      <w:pPr>
        <w:jc w:val="both"/>
        <w:rPr>
          <w:rFonts w:ascii="Times New Roman" w:hAnsi="Times New Roman" w:cs="Times New Roman"/>
          <w:b/>
          <w:bCs/>
          <w:sz w:val="28"/>
          <w:szCs w:val="28"/>
        </w:rPr>
      </w:pPr>
      <w:r>
        <w:rPr>
          <w:rFonts w:ascii="Times New Roman" w:hAnsi="Times New Roman" w:cs="Times New Roman"/>
          <w:b/>
          <w:bCs/>
          <w:sz w:val="28"/>
          <w:szCs w:val="28"/>
        </w:rPr>
        <w:t>Policy Level:</w:t>
      </w:r>
    </w:p>
    <w:p w14:paraId="7866AB5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1. Educational authorities ought to come up with clear stakeholder engagement models</w:t>
      </w:r>
      <w:r>
        <w:rPr>
          <w:rFonts w:ascii="Times New Roman" w:hAnsi="Times New Roman" w:cs="Times New Roman"/>
          <w:sz w:val="28"/>
          <w:szCs w:val="28"/>
        </w:rPr>
        <w:t xml:space="preserve"> which outline roles, responsibilities and coordination process among parents, teachers, community members, voluntary agencies and government in primary education.</w:t>
      </w:r>
    </w:p>
    <w:p w14:paraId="15C8437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2. Educational policy making and execution should also be de-politicized by the government s</w:t>
      </w:r>
      <w:r>
        <w:rPr>
          <w:rFonts w:ascii="Times New Roman" w:hAnsi="Times New Roman" w:cs="Times New Roman"/>
          <w:sz w:val="28"/>
          <w:szCs w:val="28"/>
        </w:rPr>
        <w:t>ince the decisions should be based on pedagogical evidence and input by the stakeholders instead of partisan factors. To attain sustainable improvements, educational issues should be treated technically but not politically.</w:t>
      </w:r>
    </w:p>
    <w:p w14:paraId="3ED1B0E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3. It should also be provided wi</w:t>
      </w:r>
      <w:r>
        <w:rPr>
          <w:rFonts w:ascii="Times New Roman" w:hAnsi="Times New Roman" w:cs="Times New Roman"/>
          <w:sz w:val="28"/>
          <w:szCs w:val="28"/>
        </w:rPr>
        <w:t>th channels of communication through which the government can inform the stakeholders systematically on the educational policies, programs and initiatives through mass media, community meetings, schools level dissemination.</w:t>
      </w:r>
    </w:p>
    <w:p w14:paraId="0D7C8B5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4. The frameworks of resource al</w:t>
      </w:r>
      <w:r>
        <w:rPr>
          <w:rFonts w:ascii="Times New Roman" w:hAnsi="Times New Roman" w:cs="Times New Roman"/>
          <w:sz w:val="28"/>
          <w:szCs w:val="28"/>
        </w:rPr>
        <w:t>location must not ignore or overcome the input of stakeholders, such as parental support and the community resources, and voluntary agency support, but the government should remain accountable to its core duties.</w:t>
      </w:r>
    </w:p>
    <w:p w14:paraId="7DFAB1B7"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Institutional Level: </w:t>
      </w:r>
      <w:r>
        <w:rPr>
          <w:rFonts w:ascii="Times New Roman" w:hAnsi="Times New Roman" w:cs="Times New Roman"/>
          <w:sz w:val="28"/>
          <w:szCs w:val="28"/>
        </w:rPr>
        <w:t>5. School administrato</w:t>
      </w:r>
      <w:r>
        <w:rPr>
          <w:rFonts w:ascii="Times New Roman" w:hAnsi="Times New Roman" w:cs="Times New Roman"/>
          <w:sz w:val="28"/>
          <w:szCs w:val="28"/>
        </w:rPr>
        <w:t>rs must employ participatory decision-making institutions that involve effective stakeholder representation in planning, budgeting, and implementation of policies that are related to the running of primary education.</w:t>
      </w:r>
    </w:p>
    <w:p w14:paraId="1580B84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6. The parent-teacher associations need</w:t>
      </w:r>
      <w:r>
        <w:rPr>
          <w:rFonts w:ascii="Times New Roman" w:hAnsi="Times New Roman" w:cs="Times New Roman"/>
          <w:sz w:val="28"/>
          <w:szCs w:val="28"/>
        </w:rPr>
        <w:t xml:space="preserve"> to be reinforced as an official avenue of parent involvement and go further than the fundraising efforts to include education support, surveillance of schools and joint problem solving.</w:t>
      </w:r>
    </w:p>
    <w:p w14:paraId="0629A2B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7. Schools are advised to establish systematic community engagement p</w:t>
      </w:r>
      <w:r>
        <w:rPr>
          <w:rFonts w:ascii="Times New Roman" w:hAnsi="Times New Roman" w:cs="Times New Roman"/>
          <w:sz w:val="28"/>
          <w:szCs w:val="28"/>
        </w:rPr>
        <w:t>lans that identify the available community resources, develop partnerships with community groups, and institute systems that allow the community to contribute input as far as the school improvement priorities are concerned.</w:t>
      </w:r>
    </w:p>
    <w:p w14:paraId="0653AE5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8. The programs on professional </w:t>
      </w:r>
      <w:r>
        <w:rPr>
          <w:rFonts w:ascii="Times New Roman" w:hAnsi="Times New Roman" w:cs="Times New Roman"/>
          <w:sz w:val="28"/>
          <w:szCs w:val="28"/>
        </w:rPr>
        <w:t>development must equip teachers and administrators with skills to engage stakeholders such as communication skills, skills to manage partnerships and collaborative decision-making skills.</w:t>
      </w:r>
    </w:p>
    <w:p w14:paraId="5354A02A"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 xml:space="preserve">Research Level: </w:t>
      </w:r>
      <w:r>
        <w:rPr>
          <w:rFonts w:ascii="Times New Roman" w:hAnsi="Times New Roman" w:cs="Times New Roman"/>
          <w:sz w:val="28"/>
          <w:szCs w:val="28"/>
        </w:rPr>
        <w:t xml:space="preserve">9. The next research direction should be </w:t>
      </w:r>
      <w:r>
        <w:rPr>
          <w:rFonts w:ascii="Times New Roman" w:hAnsi="Times New Roman" w:cs="Times New Roman"/>
          <w:sz w:val="28"/>
          <w:szCs w:val="28"/>
        </w:rPr>
        <w:t xml:space="preserve">longitudinal studies that determine the impact of stakeholder engagement in the long-term to result into </w:t>
      </w:r>
      <w:r>
        <w:rPr>
          <w:rFonts w:ascii="Times New Roman" w:hAnsi="Times New Roman" w:cs="Times New Roman"/>
          <w:sz w:val="28"/>
          <w:szCs w:val="28"/>
        </w:rPr>
        <w:lastRenderedPageBreak/>
        <w:t>causality when drawing conclusions on the stakeholder engagement-effectiveness relationships.</w:t>
      </w:r>
    </w:p>
    <w:p w14:paraId="7091538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10. By comparing research in different settings, it would</w:t>
      </w:r>
      <w:r>
        <w:rPr>
          <w:rFonts w:ascii="Times New Roman" w:hAnsi="Times New Roman" w:cs="Times New Roman"/>
          <w:sz w:val="28"/>
          <w:szCs w:val="28"/>
        </w:rPr>
        <w:t xml:space="preserve"> be enlightening to understand the dynamics of stakeholders in that context depending on the aspects of socioeconomic status, governance, and cultural differences and apply context-specific engagement strategies.</w:t>
      </w:r>
    </w:p>
    <w:p w14:paraId="123F68CC"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11. Research ought to explore the artifices</w:t>
      </w:r>
      <w:r>
        <w:rPr>
          <w:rFonts w:ascii="Times New Roman" w:hAnsi="Times New Roman" w:cs="Times New Roman"/>
          <w:sz w:val="28"/>
          <w:szCs w:val="28"/>
        </w:rPr>
        <w:t xml:space="preserve"> by which stakeholder engagement affects effectiveness, the mediating processes and circumstances under which engagement effects are mediated.</w:t>
      </w:r>
    </w:p>
    <w:p w14:paraId="25A4177A"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12. It is possible to focus the research on equity aspects of stakeholder engagement, where the engagement strate</w:t>
      </w:r>
      <w:r>
        <w:rPr>
          <w:rFonts w:ascii="Times New Roman" w:hAnsi="Times New Roman" w:cs="Times New Roman"/>
          <w:sz w:val="28"/>
          <w:szCs w:val="28"/>
        </w:rPr>
        <w:t>gies may not unintentionally deprive the marginalized groups or replicate existing disparities.</w:t>
      </w:r>
    </w:p>
    <w:p w14:paraId="0620DC56" w14:textId="77777777" w:rsidR="007B0DDB" w:rsidRDefault="007B0DDB">
      <w:pPr>
        <w:jc w:val="both"/>
        <w:rPr>
          <w:rFonts w:ascii="Times New Roman" w:hAnsi="Times New Roman" w:cs="Times New Roman"/>
          <w:sz w:val="28"/>
          <w:szCs w:val="28"/>
        </w:rPr>
      </w:pPr>
    </w:p>
    <w:p w14:paraId="15C487FB" w14:textId="77777777" w:rsidR="007B0DDB" w:rsidRPr="007B0DDB" w:rsidRDefault="007B0DDB" w:rsidP="007B0DDB">
      <w:pPr>
        <w:jc w:val="both"/>
        <w:rPr>
          <w:rFonts w:ascii="Times New Roman" w:hAnsi="Times New Roman" w:cs="Times New Roman"/>
          <w:sz w:val="28"/>
          <w:szCs w:val="28"/>
        </w:rPr>
      </w:pPr>
      <w:r w:rsidRPr="007B0DDB">
        <w:rPr>
          <w:rFonts w:ascii="Times New Roman" w:hAnsi="Times New Roman" w:cs="Times New Roman"/>
          <w:sz w:val="28"/>
          <w:szCs w:val="28"/>
        </w:rPr>
        <w:t>COMPETING INTERESTS DISCLAIMER:</w:t>
      </w:r>
    </w:p>
    <w:p w14:paraId="73AED882" w14:textId="2FA16267" w:rsidR="007B0DDB" w:rsidRDefault="007B0DDB" w:rsidP="007B0DDB">
      <w:pPr>
        <w:jc w:val="both"/>
        <w:rPr>
          <w:rFonts w:ascii="Times New Roman" w:hAnsi="Times New Roman" w:cs="Times New Roman"/>
          <w:sz w:val="28"/>
          <w:szCs w:val="28"/>
        </w:rPr>
      </w:pPr>
      <w:r w:rsidRPr="007B0DDB">
        <w:rPr>
          <w:rFonts w:ascii="Times New Roman" w:hAnsi="Times New Roman" w:cs="Times New Roman"/>
          <w:sz w:val="28"/>
          <w:szCs w:val="28"/>
        </w:rPr>
        <w:t>Authors have declared that they have no known competing financial interests OR non-financial interests OR personal relationships that could have appeared to influence the work reported in this paper.</w:t>
      </w:r>
    </w:p>
    <w:p w14:paraId="23257418" w14:textId="77777777" w:rsidR="00CA2D21" w:rsidRDefault="00CA2D21">
      <w:pPr>
        <w:jc w:val="both"/>
        <w:rPr>
          <w:rFonts w:ascii="Times New Roman" w:hAnsi="Times New Roman" w:cs="Times New Roman"/>
          <w:sz w:val="28"/>
          <w:szCs w:val="28"/>
        </w:rPr>
      </w:pPr>
    </w:p>
    <w:p w14:paraId="6EE38F36" w14:textId="77777777" w:rsidR="00CA2D21" w:rsidRDefault="00E12691">
      <w:pPr>
        <w:jc w:val="both"/>
        <w:rPr>
          <w:rFonts w:ascii="Times New Roman" w:hAnsi="Times New Roman" w:cs="Times New Roman"/>
          <w:sz w:val="28"/>
          <w:szCs w:val="28"/>
        </w:rPr>
      </w:pPr>
      <w:r>
        <w:rPr>
          <w:rFonts w:ascii="Times New Roman" w:hAnsi="Times New Roman" w:cs="Times New Roman"/>
          <w:b/>
          <w:bCs/>
          <w:sz w:val="28"/>
          <w:szCs w:val="28"/>
        </w:rPr>
        <w:t>References</w:t>
      </w:r>
    </w:p>
    <w:p w14:paraId="2AFA0A4C" w14:textId="77777777" w:rsidR="00CA2D21" w:rsidRDefault="00E12691">
      <w:pPr>
        <w:jc w:val="both"/>
        <w:rPr>
          <w:rFonts w:ascii="Times New Roman" w:hAnsi="Times New Roman" w:cs="Times New Roman"/>
          <w:sz w:val="28"/>
          <w:szCs w:val="28"/>
        </w:rPr>
      </w:pPr>
      <w:proofErr w:type="spellStart"/>
      <w:r>
        <w:rPr>
          <w:rFonts w:ascii="Times New Roman" w:hAnsi="Times New Roman" w:cs="Times New Roman"/>
          <w:sz w:val="28"/>
          <w:szCs w:val="28"/>
        </w:rPr>
        <w:t>Asiyai</w:t>
      </w:r>
      <w:proofErr w:type="spellEnd"/>
      <w:r>
        <w:rPr>
          <w:rFonts w:ascii="Times New Roman" w:hAnsi="Times New Roman" w:cs="Times New Roman"/>
          <w:sz w:val="28"/>
          <w:szCs w:val="28"/>
        </w:rPr>
        <w:t>, R.I. (2012) Assessing School Facilities in Public Secondary Schools in Delta State, Nigeria. African Research Review, 6, 192-205.</w:t>
      </w:r>
      <w:r>
        <w:rPr>
          <w:rFonts w:ascii="Times New Roman" w:hAnsi="Times New Roman" w:cs="Times New Roman"/>
          <w:sz w:val="28"/>
          <w:szCs w:val="28"/>
        </w:rPr>
        <w:br/>
      </w:r>
      <w:hyperlink r:id="rId7" w:history="1">
        <w:r w:rsidR="00CA2D21">
          <w:rPr>
            <w:rStyle w:val="Hyperlink"/>
            <w:rFonts w:ascii="Times New Roman" w:hAnsi="Times New Roman" w:cs="Times New Roman"/>
            <w:sz w:val="28"/>
            <w:szCs w:val="28"/>
          </w:rPr>
          <w:t>https://doi.org/10.4314/afrrev.v6i2.17</w:t>
        </w:r>
      </w:hyperlink>
    </w:p>
    <w:p w14:paraId="5569CCD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Christopher, N., Akpan, M. S., &amp; Ologunla, S. E. (2025). Impact of government expenditure on economic growth in Nigeria: A time series analysis of capital and recurrent expenditures in agricultur</w:t>
      </w:r>
      <w:r>
        <w:rPr>
          <w:rFonts w:ascii="Times New Roman" w:hAnsi="Times New Roman" w:cs="Times New Roman"/>
          <w:sz w:val="28"/>
          <w:szCs w:val="28"/>
        </w:rPr>
        <w:t xml:space="preserve">e and infrastructure sectors. </w:t>
      </w:r>
      <w:r>
        <w:rPr>
          <w:rFonts w:ascii="Times New Roman" w:hAnsi="Times New Roman" w:cs="Times New Roman"/>
          <w:i/>
          <w:iCs/>
          <w:sz w:val="28"/>
          <w:szCs w:val="28"/>
        </w:rPr>
        <w:t>South Asian Journal of Social Studies and Economics</w:t>
      </w:r>
      <w:r>
        <w:rPr>
          <w:rFonts w:ascii="Times New Roman" w:hAnsi="Times New Roman" w:cs="Times New Roman"/>
          <w:sz w:val="28"/>
          <w:szCs w:val="28"/>
        </w:rPr>
        <w:t xml:space="preserve">, </w:t>
      </w:r>
      <w:r>
        <w:rPr>
          <w:rFonts w:ascii="Times New Roman" w:hAnsi="Times New Roman" w:cs="Times New Roman"/>
          <w:i/>
          <w:iCs/>
          <w:sz w:val="28"/>
          <w:szCs w:val="28"/>
        </w:rPr>
        <w:t>22</w:t>
      </w:r>
      <w:r>
        <w:rPr>
          <w:rFonts w:ascii="Times New Roman" w:hAnsi="Times New Roman" w:cs="Times New Roman"/>
          <w:sz w:val="28"/>
          <w:szCs w:val="28"/>
        </w:rPr>
        <w:t>(5), 44–60. https://doi.org/10.9734/sajsse/2025/v22i51009</w:t>
      </w:r>
    </w:p>
    <w:p w14:paraId="56E53085"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Cheng, Y.C., &amp; Tam, W.M. (1997). Multi-models of quality in education. Quality Assurance in Education, 5 (1), 22-</w:t>
      </w:r>
      <w:r>
        <w:rPr>
          <w:rFonts w:ascii="Times New Roman" w:hAnsi="Times New Roman" w:cs="Times New Roman"/>
          <w:sz w:val="28"/>
          <w:szCs w:val="28"/>
        </w:rPr>
        <w:t>34.</w:t>
      </w:r>
    </w:p>
    <w:p w14:paraId="3183504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Creswell, J. W., &amp; Creswell, J. D. (2018). </w:t>
      </w:r>
      <w:r>
        <w:rPr>
          <w:rFonts w:ascii="Times New Roman" w:hAnsi="Times New Roman" w:cs="Times New Roman"/>
          <w:i/>
          <w:iCs/>
          <w:sz w:val="28"/>
          <w:szCs w:val="28"/>
        </w:rPr>
        <w:t>Research design: Qualitative, quantitative, and mixed methods approaches</w:t>
      </w:r>
      <w:r>
        <w:rPr>
          <w:rFonts w:ascii="Times New Roman" w:hAnsi="Times New Roman" w:cs="Times New Roman"/>
          <w:sz w:val="28"/>
          <w:szCs w:val="28"/>
        </w:rPr>
        <w:t xml:space="preserve"> (5th ed.). SAGE Publications.</w:t>
      </w:r>
    </w:p>
    <w:p w14:paraId="15ABBE9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Echekoba, F. N., &amp; Chinelo, A. I. (2017). The Impact of government expenditure on Nigeria Economic </w:t>
      </w:r>
      <w:proofErr w:type="gramStart"/>
      <w:r>
        <w:rPr>
          <w:rFonts w:ascii="Times New Roman" w:hAnsi="Times New Roman" w:cs="Times New Roman"/>
          <w:sz w:val="28"/>
          <w:szCs w:val="28"/>
        </w:rPr>
        <w:t>Growth :</w:t>
      </w:r>
      <w:proofErr w:type="gramEnd"/>
      <w:r>
        <w:rPr>
          <w:rFonts w:ascii="Times New Roman" w:hAnsi="Times New Roman" w:cs="Times New Roman"/>
          <w:sz w:val="28"/>
          <w:szCs w:val="28"/>
        </w:rPr>
        <w:t xml:space="preserve"> A further disaggregated approach. </w:t>
      </w:r>
      <w:r>
        <w:rPr>
          <w:rFonts w:ascii="Times New Roman" w:hAnsi="Times New Roman" w:cs="Times New Roman"/>
          <w:i/>
          <w:iCs/>
          <w:sz w:val="28"/>
          <w:szCs w:val="28"/>
        </w:rPr>
        <w:t>NG-Journal of Social Development</w:t>
      </w:r>
      <w:r>
        <w:rPr>
          <w:rFonts w:ascii="Times New Roman" w:hAnsi="Times New Roman" w:cs="Times New Roman"/>
          <w:sz w:val="28"/>
          <w:szCs w:val="28"/>
        </w:rPr>
        <w:t xml:space="preserve">, </w:t>
      </w:r>
      <w:r>
        <w:rPr>
          <w:rFonts w:ascii="Times New Roman" w:hAnsi="Times New Roman" w:cs="Times New Roman"/>
          <w:i/>
          <w:iCs/>
          <w:sz w:val="28"/>
          <w:szCs w:val="28"/>
        </w:rPr>
        <w:t>6</w:t>
      </w:r>
      <w:r>
        <w:rPr>
          <w:rFonts w:ascii="Times New Roman" w:hAnsi="Times New Roman" w:cs="Times New Roman"/>
          <w:sz w:val="28"/>
          <w:szCs w:val="28"/>
        </w:rPr>
        <w:t>(3), 34–48. https://doi.org/10.12816/0038069</w:t>
      </w:r>
    </w:p>
    <w:p w14:paraId="78BA5D1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Adeagbo, J. O. (2023). Public-Private partnership: pathway to educational development in Nigeria? </w:t>
      </w:r>
      <w:r>
        <w:rPr>
          <w:rFonts w:ascii="Times New Roman" w:hAnsi="Times New Roman" w:cs="Times New Roman"/>
          <w:i/>
          <w:iCs/>
          <w:sz w:val="28"/>
          <w:szCs w:val="28"/>
        </w:rPr>
        <w:t>Archives of Business Research</w:t>
      </w:r>
      <w:r>
        <w:rPr>
          <w:rFonts w:ascii="Times New Roman" w:hAnsi="Times New Roman" w:cs="Times New Roman"/>
          <w:sz w:val="28"/>
          <w:szCs w:val="28"/>
        </w:rPr>
        <w:t xml:space="preserve">, </w:t>
      </w:r>
      <w:r>
        <w:rPr>
          <w:rFonts w:ascii="Times New Roman" w:hAnsi="Times New Roman" w:cs="Times New Roman"/>
          <w:i/>
          <w:iCs/>
          <w:sz w:val="28"/>
          <w:szCs w:val="28"/>
        </w:rPr>
        <w:t>11</w:t>
      </w:r>
      <w:r>
        <w:rPr>
          <w:rFonts w:ascii="Times New Roman" w:hAnsi="Times New Roman" w:cs="Times New Roman"/>
          <w:sz w:val="28"/>
          <w:szCs w:val="28"/>
        </w:rPr>
        <w:t>(2</w:t>
      </w:r>
      <w:r>
        <w:rPr>
          <w:rFonts w:ascii="Times New Roman" w:hAnsi="Times New Roman" w:cs="Times New Roman"/>
          <w:sz w:val="28"/>
          <w:szCs w:val="28"/>
        </w:rPr>
        <w:t>). https://doi.org/10.14738/abr.112.13976</w:t>
      </w:r>
    </w:p>
    <w:p w14:paraId="209175AD"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Epstein, J. L. (2018). </w:t>
      </w:r>
      <w:r>
        <w:rPr>
          <w:rFonts w:ascii="Times New Roman" w:hAnsi="Times New Roman" w:cs="Times New Roman"/>
          <w:i/>
          <w:iCs/>
          <w:sz w:val="28"/>
          <w:szCs w:val="28"/>
        </w:rPr>
        <w:t>School, family, and community partnerships: Preparing educators and improving schools</w:t>
      </w:r>
      <w:r>
        <w:rPr>
          <w:rFonts w:ascii="Times New Roman" w:hAnsi="Times New Roman" w:cs="Times New Roman"/>
          <w:sz w:val="28"/>
          <w:szCs w:val="28"/>
        </w:rPr>
        <w:t xml:space="preserve"> (2nd ed.). Routledge. https://doi.org/10.4324/9780429494673</w:t>
      </w:r>
    </w:p>
    <w:p w14:paraId="075C245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Federal Republic of Nigeria. (2013). </w:t>
      </w:r>
      <w:r>
        <w:rPr>
          <w:rFonts w:ascii="Times New Roman" w:hAnsi="Times New Roman" w:cs="Times New Roman"/>
          <w:i/>
          <w:iCs/>
          <w:sz w:val="28"/>
          <w:szCs w:val="28"/>
        </w:rPr>
        <w:t>National</w:t>
      </w:r>
      <w:r>
        <w:rPr>
          <w:rFonts w:ascii="Times New Roman" w:hAnsi="Times New Roman" w:cs="Times New Roman"/>
          <w:i/>
          <w:iCs/>
          <w:sz w:val="28"/>
          <w:szCs w:val="28"/>
        </w:rPr>
        <w:t xml:space="preserve"> policy on education</w:t>
      </w:r>
      <w:r>
        <w:rPr>
          <w:rFonts w:ascii="Times New Roman" w:hAnsi="Times New Roman" w:cs="Times New Roman"/>
          <w:sz w:val="28"/>
          <w:szCs w:val="28"/>
        </w:rPr>
        <w:t xml:space="preserve"> (6th ed.). Nigerian Educational Research and Development Council.</w:t>
      </w:r>
    </w:p>
    <w:p w14:paraId="74EA39A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Freeman, R. E. (1984). </w:t>
      </w:r>
      <w:r>
        <w:rPr>
          <w:rFonts w:ascii="Times New Roman" w:hAnsi="Times New Roman" w:cs="Times New Roman"/>
          <w:i/>
          <w:iCs/>
          <w:sz w:val="28"/>
          <w:szCs w:val="28"/>
        </w:rPr>
        <w:t>Strategic management: A stakeholder approach</w:t>
      </w:r>
      <w:r>
        <w:rPr>
          <w:rFonts w:ascii="Times New Roman" w:hAnsi="Times New Roman" w:cs="Times New Roman"/>
          <w:sz w:val="28"/>
          <w:szCs w:val="28"/>
        </w:rPr>
        <w:t>. Pitman Publishing.</w:t>
      </w:r>
    </w:p>
    <w:p w14:paraId="58B289A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Freeman, R. E., Harrison, J. S., Wicks, A. C., Parmar, B. L., &amp; De Colle, S. (201</w:t>
      </w:r>
      <w:r>
        <w:rPr>
          <w:rFonts w:ascii="Times New Roman" w:hAnsi="Times New Roman" w:cs="Times New Roman"/>
          <w:sz w:val="28"/>
          <w:szCs w:val="28"/>
        </w:rPr>
        <w:t xml:space="preserve">0). Stakeholder Theory. </w:t>
      </w:r>
      <w:r>
        <w:rPr>
          <w:rFonts w:ascii="Times New Roman" w:hAnsi="Times New Roman" w:cs="Times New Roman"/>
          <w:i/>
          <w:iCs/>
          <w:sz w:val="28"/>
          <w:szCs w:val="28"/>
        </w:rPr>
        <w:t>Cambridge University Press eBooks</w:t>
      </w:r>
      <w:r>
        <w:rPr>
          <w:rFonts w:ascii="Times New Roman" w:hAnsi="Times New Roman" w:cs="Times New Roman"/>
          <w:sz w:val="28"/>
          <w:szCs w:val="28"/>
        </w:rPr>
        <w:t>. https://doi.org/10.1017/cbo9780511815768</w:t>
      </w:r>
    </w:p>
    <w:p w14:paraId="54584268"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Gakure, R. W., Mukuria, P., &amp; Kithae, P. P. (2013). An evaluation of factors that affect performance of primary schools in Kenya: A case study of Gatanga District. </w:t>
      </w:r>
      <w:r>
        <w:rPr>
          <w:rFonts w:ascii="Times New Roman" w:hAnsi="Times New Roman" w:cs="Times New Roman"/>
          <w:i/>
          <w:iCs/>
          <w:sz w:val="28"/>
          <w:szCs w:val="28"/>
        </w:rPr>
        <w:t>Educational Research and Review</w:t>
      </w:r>
      <w:r>
        <w:rPr>
          <w:rFonts w:ascii="Times New Roman" w:hAnsi="Times New Roman" w:cs="Times New Roman"/>
          <w:sz w:val="28"/>
          <w:szCs w:val="28"/>
        </w:rPr>
        <w:t>, *8*(13), 927–937</w:t>
      </w:r>
    </w:p>
    <w:p w14:paraId="58F86F17"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Harrison, J. S., Bosse, D. A., &amp; Phillips,</w:t>
      </w:r>
      <w:r>
        <w:rPr>
          <w:rFonts w:ascii="Times New Roman" w:hAnsi="Times New Roman" w:cs="Times New Roman"/>
          <w:sz w:val="28"/>
          <w:szCs w:val="28"/>
        </w:rPr>
        <w:t xml:space="preserve"> R. A. (2009). Managing for stakeholders, stakeholder utility functions, and competitive advantage. </w:t>
      </w:r>
      <w:r>
        <w:rPr>
          <w:rFonts w:ascii="Times New Roman" w:hAnsi="Times New Roman" w:cs="Times New Roman"/>
          <w:i/>
          <w:iCs/>
          <w:sz w:val="28"/>
          <w:szCs w:val="28"/>
        </w:rPr>
        <w:t>Strategic Management Journal</w:t>
      </w:r>
      <w:r>
        <w:rPr>
          <w:rFonts w:ascii="Times New Roman" w:hAnsi="Times New Roman" w:cs="Times New Roman"/>
          <w:sz w:val="28"/>
          <w:szCs w:val="28"/>
        </w:rPr>
        <w:t xml:space="preserve">, </w:t>
      </w:r>
      <w:r>
        <w:rPr>
          <w:rFonts w:ascii="Times New Roman" w:hAnsi="Times New Roman" w:cs="Times New Roman"/>
          <w:i/>
          <w:iCs/>
          <w:sz w:val="28"/>
          <w:szCs w:val="28"/>
        </w:rPr>
        <w:t>31</w:t>
      </w:r>
      <w:r>
        <w:rPr>
          <w:rFonts w:ascii="Times New Roman" w:hAnsi="Times New Roman" w:cs="Times New Roman"/>
          <w:sz w:val="28"/>
          <w:szCs w:val="28"/>
        </w:rPr>
        <w:t>(1), 58–74. https://doi.org/10.1002/smj.801</w:t>
      </w:r>
    </w:p>
    <w:p w14:paraId="4DCAA0F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Hattie, J. (2008). </w:t>
      </w:r>
      <w:r>
        <w:rPr>
          <w:rFonts w:ascii="Times New Roman" w:hAnsi="Times New Roman" w:cs="Times New Roman"/>
          <w:i/>
          <w:iCs/>
          <w:sz w:val="28"/>
          <w:szCs w:val="28"/>
        </w:rPr>
        <w:t>Visible learning: A synthesis of over 800 meta-analyses relat</w:t>
      </w:r>
      <w:r>
        <w:rPr>
          <w:rFonts w:ascii="Times New Roman" w:hAnsi="Times New Roman" w:cs="Times New Roman"/>
          <w:i/>
          <w:iCs/>
          <w:sz w:val="28"/>
          <w:szCs w:val="28"/>
        </w:rPr>
        <w:t>ing to achievement</w:t>
      </w:r>
      <w:r>
        <w:rPr>
          <w:rFonts w:ascii="Times New Roman" w:hAnsi="Times New Roman" w:cs="Times New Roman"/>
          <w:sz w:val="28"/>
          <w:szCs w:val="28"/>
        </w:rPr>
        <w:t>. Routledge. https://doi.org/10.4324/9780203887332</w:t>
      </w:r>
    </w:p>
    <w:p w14:paraId="718F0FB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Henderson, A. T., &amp; Mapp, K. L. (2002). </w:t>
      </w:r>
      <w:r>
        <w:rPr>
          <w:rFonts w:ascii="Times New Roman" w:hAnsi="Times New Roman" w:cs="Times New Roman"/>
          <w:i/>
          <w:iCs/>
          <w:sz w:val="28"/>
          <w:szCs w:val="28"/>
        </w:rPr>
        <w:t>A new wave of evidence: The impact of school, family, and community connections on student achievement</w:t>
      </w:r>
      <w:r>
        <w:rPr>
          <w:rFonts w:ascii="Times New Roman" w:hAnsi="Times New Roman" w:cs="Times New Roman"/>
          <w:sz w:val="28"/>
          <w:szCs w:val="28"/>
        </w:rPr>
        <w:t>. National Center for Family and Community Co</w:t>
      </w:r>
      <w:r>
        <w:rPr>
          <w:rFonts w:ascii="Times New Roman" w:hAnsi="Times New Roman" w:cs="Times New Roman"/>
          <w:sz w:val="28"/>
          <w:szCs w:val="28"/>
        </w:rPr>
        <w:t>nnections with Schools.</w:t>
      </w:r>
    </w:p>
    <w:p w14:paraId="185B628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Hill, N. E., &amp; Taylor, L. C. (2004). Parental school involvement and children’s academic achievement. </w:t>
      </w:r>
      <w:r>
        <w:rPr>
          <w:rFonts w:ascii="Times New Roman" w:hAnsi="Times New Roman" w:cs="Times New Roman"/>
          <w:i/>
          <w:iCs/>
          <w:sz w:val="28"/>
          <w:szCs w:val="28"/>
        </w:rPr>
        <w:t>Current Directions in Psychological Science</w:t>
      </w:r>
      <w:r>
        <w:rPr>
          <w:rFonts w:ascii="Times New Roman" w:hAnsi="Times New Roman" w:cs="Times New Roman"/>
          <w:sz w:val="28"/>
          <w:szCs w:val="28"/>
        </w:rPr>
        <w:t xml:space="preserve">, </w:t>
      </w:r>
      <w:r>
        <w:rPr>
          <w:rFonts w:ascii="Times New Roman" w:hAnsi="Times New Roman" w:cs="Times New Roman"/>
          <w:i/>
          <w:iCs/>
          <w:sz w:val="28"/>
          <w:szCs w:val="28"/>
        </w:rPr>
        <w:t>13</w:t>
      </w:r>
      <w:r>
        <w:rPr>
          <w:rFonts w:ascii="Times New Roman" w:hAnsi="Times New Roman" w:cs="Times New Roman"/>
          <w:sz w:val="28"/>
          <w:szCs w:val="28"/>
        </w:rPr>
        <w:t>(4), 161–164. https://doi.org/10.1111/j.0963-7214.2004.00298.x</w:t>
      </w:r>
    </w:p>
    <w:p w14:paraId="04DEEC8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Hoover-Dempsey, K. V</w:t>
      </w:r>
      <w:r>
        <w:rPr>
          <w:rFonts w:ascii="Times New Roman" w:hAnsi="Times New Roman" w:cs="Times New Roman"/>
          <w:sz w:val="28"/>
          <w:szCs w:val="28"/>
        </w:rPr>
        <w:t xml:space="preserve">., &amp; Sandler, H. M. (1997). Why do parents become involved in their children’s education? </w:t>
      </w:r>
      <w:r>
        <w:rPr>
          <w:rFonts w:ascii="Times New Roman" w:hAnsi="Times New Roman" w:cs="Times New Roman"/>
          <w:i/>
          <w:iCs/>
          <w:sz w:val="28"/>
          <w:szCs w:val="28"/>
        </w:rPr>
        <w:t>Review of Educational Research</w:t>
      </w:r>
      <w:r>
        <w:rPr>
          <w:rFonts w:ascii="Times New Roman" w:hAnsi="Times New Roman" w:cs="Times New Roman"/>
          <w:sz w:val="28"/>
          <w:szCs w:val="28"/>
        </w:rPr>
        <w:t xml:space="preserve">, </w:t>
      </w:r>
      <w:r>
        <w:rPr>
          <w:rFonts w:ascii="Times New Roman" w:hAnsi="Times New Roman" w:cs="Times New Roman"/>
          <w:i/>
          <w:iCs/>
          <w:sz w:val="28"/>
          <w:szCs w:val="28"/>
        </w:rPr>
        <w:t>67</w:t>
      </w:r>
      <w:r>
        <w:rPr>
          <w:rFonts w:ascii="Times New Roman" w:hAnsi="Times New Roman" w:cs="Times New Roman"/>
          <w:sz w:val="28"/>
          <w:szCs w:val="28"/>
        </w:rPr>
        <w:t>(1), 3–42. https://doi.org/10.3102/00346543067001003</w:t>
      </w:r>
    </w:p>
    <w:p w14:paraId="7724753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Hossain, M. (2021). Does greater community involvement mean more parent-teacher</w:t>
      </w:r>
      <w:r>
        <w:rPr>
          <w:rFonts w:ascii="Times New Roman" w:hAnsi="Times New Roman" w:cs="Times New Roman"/>
          <w:sz w:val="28"/>
          <w:szCs w:val="28"/>
        </w:rPr>
        <w:t xml:space="preserve"> interaction? Evidence from seven developing countries. </w:t>
      </w:r>
      <w:r>
        <w:rPr>
          <w:rFonts w:ascii="Times New Roman" w:hAnsi="Times New Roman" w:cs="Times New Roman"/>
          <w:i/>
          <w:iCs/>
          <w:sz w:val="28"/>
          <w:szCs w:val="28"/>
        </w:rPr>
        <w:t>International Journal of Educational Development</w:t>
      </w:r>
      <w:r>
        <w:rPr>
          <w:rFonts w:ascii="Times New Roman" w:hAnsi="Times New Roman" w:cs="Times New Roman"/>
          <w:sz w:val="28"/>
          <w:szCs w:val="28"/>
        </w:rPr>
        <w:t xml:space="preserve">, </w:t>
      </w:r>
      <w:r>
        <w:rPr>
          <w:rFonts w:ascii="Times New Roman" w:hAnsi="Times New Roman" w:cs="Times New Roman"/>
          <w:i/>
          <w:iCs/>
          <w:sz w:val="28"/>
          <w:szCs w:val="28"/>
        </w:rPr>
        <w:t>83</w:t>
      </w:r>
      <w:r>
        <w:rPr>
          <w:rFonts w:ascii="Times New Roman" w:hAnsi="Times New Roman" w:cs="Times New Roman"/>
          <w:sz w:val="28"/>
          <w:szCs w:val="28"/>
        </w:rPr>
        <w:t>, 102378. https://doi.org/10.1016/j.ijedudev.2021.102378</w:t>
      </w:r>
    </w:p>
    <w:p w14:paraId="4CB2BDF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Kennedy, M. M. (2016). How does professional development improve teaching? </w:t>
      </w:r>
      <w:r>
        <w:rPr>
          <w:rFonts w:ascii="Times New Roman" w:hAnsi="Times New Roman" w:cs="Times New Roman"/>
          <w:i/>
          <w:iCs/>
          <w:sz w:val="28"/>
          <w:szCs w:val="28"/>
        </w:rPr>
        <w:t>Review of Educat</w:t>
      </w:r>
      <w:r>
        <w:rPr>
          <w:rFonts w:ascii="Times New Roman" w:hAnsi="Times New Roman" w:cs="Times New Roman"/>
          <w:i/>
          <w:iCs/>
          <w:sz w:val="28"/>
          <w:szCs w:val="28"/>
        </w:rPr>
        <w:t>ional Research</w:t>
      </w:r>
      <w:r>
        <w:rPr>
          <w:rFonts w:ascii="Times New Roman" w:hAnsi="Times New Roman" w:cs="Times New Roman"/>
          <w:sz w:val="28"/>
          <w:szCs w:val="28"/>
        </w:rPr>
        <w:t xml:space="preserve">, </w:t>
      </w:r>
      <w:r>
        <w:rPr>
          <w:rFonts w:ascii="Times New Roman" w:hAnsi="Times New Roman" w:cs="Times New Roman"/>
          <w:i/>
          <w:iCs/>
          <w:sz w:val="28"/>
          <w:szCs w:val="28"/>
        </w:rPr>
        <w:t>86</w:t>
      </w:r>
      <w:r>
        <w:rPr>
          <w:rFonts w:ascii="Times New Roman" w:hAnsi="Times New Roman" w:cs="Times New Roman"/>
          <w:sz w:val="28"/>
          <w:szCs w:val="28"/>
        </w:rPr>
        <w:t>(4), 945–980. https://doi.org/10.3102/0034654315626800</w:t>
      </w:r>
    </w:p>
    <w:p w14:paraId="002D881E"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Lee, J., &amp; Bowen, N. K. (2006). Parent involvement, cultural capital, and the achievement gap among elementary school children. </w:t>
      </w:r>
      <w:r>
        <w:rPr>
          <w:rFonts w:ascii="Times New Roman" w:hAnsi="Times New Roman" w:cs="Times New Roman"/>
          <w:i/>
          <w:iCs/>
          <w:sz w:val="28"/>
          <w:szCs w:val="28"/>
        </w:rPr>
        <w:t>American Educational Research Journal</w:t>
      </w:r>
      <w:r>
        <w:rPr>
          <w:rFonts w:ascii="Times New Roman" w:hAnsi="Times New Roman" w:cs="Times New Roman"/>
          <w:sz w:val="28"/>
          <w:szCs w:val="28"/>
        </w:rPr>
        <w:t xml:space="preserve">, </w:t>
      </w:r>
      <w:r>
        <w:rPr>
          <w:rFonts w:ascii="Times New Roman" w:hAnsi="Times New Roman" w:cs="Times New Roman"/>
          <w:i/>
          <w:iCs/>
          <w:sz w:val="28"/>
          <w:szCs w:val="28"/>
        </w:rPr>
        <w:t>43</w:t>
      </w:r>
      <w:r>
        <w:rPr>
          <w:rFonts w:ascii="Times New Roman" w:hAnsi="Times New Roman" w:cs="Times New Roman"/>
          <w:sz w:val="28"/>
          <w:szCs w:val="28"/>
        </w:rPr>
        <w:t xml:space="preserve">(2), 193–218. </w:t>
      </w:r>
      <w:r>
        <w:rPr>
          <w:rFonts w:ascii="Times New Roman" w:hAnsi="Times New Roman" w:cs="Times New Roman"/>
          <w:sz w:val="28"/>
          <w:szCs w:val="28"/>
        </w:rPr>
        <w:t>https://doi.org/10.3102/00028312043002193</w:t>
      </w:r>
    </w:p>
    <w:p w14:paraId="6DCB97E6"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Nishimura, M. (2020). </w:t>
      </w:r>
      <w:r>
        <w:rPr>
          <w:rFonts w:ascii="Times New Roman" w:hAnsi="Times New Roman" w:cs="Times New Roman"/>
          <w:i/>
          <w:iCs/>
          <w:sz w:val="28"/>
          <w:szCs w:val="28"/>
        </w:rPr>
        <w:t>Community participation in schools in developing countries: Towards Equitable and Inclusive Basic Education for All</w:t>
      </w:r>
      <w:r>
        <w:rPr>
          <w:rFonts w:ascii="Times New Roman" w:hAnsi="Times New Roman" w:cs="Times New Roman"/>
          <w:sz w:val="28"/>
          <w:szCs w:val="28"/>
        </w:rPr>
        <w:t>. Routledge.</w:t>
      </w:r>
    </w:p>
    <w:p w14:paraId="368F4AD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Parmar, B. L., Freeman, R. E., Harrison, J. S., Wicks, A. C., Pu</w:t>
      </w:r>
      <w:r>
        <w:rPr>
          <w:rFonts w:ascii="Times New Roman" w:hAnsi="Times New Roman" w:cs="Times New Roman"/>
          <w:sz w:val="28"/>
          <w:szCs w:val="28"/>
        </w:rPr>
        <w:t xml:space="preserve">rnell, L., &amp; De Colle, S. (2010). Stakeholder </w:t>
      </w:r>
      <w:proofErr w:type="gramStart"/>
      <w:r>
        <w:rPr>
          <w:rFonts w:ascii="Times New Roman" w:hAnsi="Times New Roman" w:cs="Times New Roman"/>
          <w:sz w:val="28"/>
          <w:szCs w:val="28"/>
        </w:rPr>
        <w:t>Theory:The</w:t>
      </w:r>
      <w:proofErr w:type="gramEnd"/>
      <w:r>
        <w:rPr>
          <w:rFonts w:ascii="Times New Roman" w:hAnsi="Times New Roman" w:cs="Times New Roman"/>
          <w:sz w:val="28"/>
          <w:szCs w:val="28"/>
        </w:rPr>
        <w:t xml:space="preserve"> state of the art. </w:t>
      </w:r>
      <w:r>
        <w:rPr>
          <w:rFonts w:ascii="Times New Roman" w:hAnsi="Times New Roman" w:cs="Times New Roman"/>
          <w:i/>
          <w:iCs/>
          <w:sz w:val="28"/>
          <w:szCs w:val="28"/>
        </w:rPr>
        <w:t>Academy of Management Annals</w:t>
      </w:r>
      <w:r>
        <w:rPr>
          <w:rFonts w:ascii="Times New Roman" w:hAnsi="Times New Roman" w:cs="Times New Roman"/>
          <w:sz w:val="28"/>
          <w:szCs w:val="28"/>
        </w:rPr>
        <w:t xml:space="preserve">, </w:t>
      </w:r>
      <w:r>
        <w:rPr>
          <w:rFonts w:ascii="Times New Roman" w:hAnsi="Times New Roman" w:cs="Times New Roman"/>
          <w:i/>
          <w:iCs/>
          <w:sz w:val="28"/>
          <w:szCs w:val="28"/>
        </w:rPr>
        <w:t>4</w:t>
      </w:r>
      <w:r>
        <w:rPr>
          <w:rFonts w:ascii="Times New Roman" w:hAnsi="Times New Roman" w:cs="Times New Roman"/>
          <w:sz w:val="28"/>
          <w:szCs w:val="28"/>
        </w:rPr>
        <w:t>(1), 403–445. https://doi.org/10.5465/19416520.2010.495581</w:t>
      </w:r>
    </w:p>
    <w:p w14:paraId="32360A52"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Lee, A. N., &amp; Nie, Y. (2013). Development and Validation of the School Leader Empowering Be</w:t>
      </w:r>
      <w:r>
        <w:rPr>
          <w:rFonts w:ascii="Times New Roman" w:hAnsi="Times New Roman" w:cs="Times New Roman"/>
          <w:sz w:val="28"/>
          <w:szCs w:val="28"/>
        </w:rPr>
        <w:t xml:space="preserve">haviours (SLEB) scale. </w:t>
      </w:r>
      <w:r>
        <w:rPr>
          <w:rFonts w:ascii="Times New Roman" w:hAnsi="Times New Roman" w:cs="Times New Roman"/>
          <w:i/>
          <w:iCs/>
          <w:sz w:val="28"/>
          <w:szCs w:val="28"/>
        </w:rPr>
        <w:t>The Asia-Pacific Education Researcher</w:t>
      </w:r>
      <w:r>
        <w:rPr>
          <w:rFonts w:ascii="Times New Roman" w:hAnsi="Times New Roman" w:cs="Times New Roman"/>
          <w:sz w:val="28"/>
          <w:szCs w:val="28"/>
        </w:rPr>
        <w:t xml:space="preserve">, </w:t>
      </w:r>
      <w:r>
        <w:rPr>
          <w:rFonts w:ascii="Times New Roman" w:hAnsi="Times New Roman" w:cs="Times New Roman"/>
          <w:i/>
          <w:iCs/>
          <w:sz w:val="28"/>
          <w:szCs w:val="28"/>
        </w:rPr>
        <w:t>22</w:t>
      </w:r>
      <w:r>
        <w:rPr>
          <w:rFonts w:ascii="Times New Roman" w:hAnsi="Times New Roman" w:cs="Times New Roman"/>
          <w:sz w:val="28"/>
          <w:szCs w:val="28"/>
        </w:rPr>
        <w:t>(4), 485–495. https://doi.org/10.1007/s40299-012-0047-8</w:t>
      </w:r>
    </w:p>
    <w:p w14:paraId="5E36AFD3"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Spillane, J. P. (2005). Distributed leadership. </w:t>
      </w:r>
      <w:r>
        <w:rPr>
          <w:rFonts w:ascii="Times New Roman" w:hAnsi="Times New Roman" w:cs="Times New Roman"/>
          <w:i/>
          <w:iCs/>
          <w:sz w:val="28"/>
          <w:szCs w:val="28"/>
        </w:rPr>
        <w:t>The Educational Forum</w:t>
      </w:r>
      <w:r>
        <w:rPr>
          <w:rFonts w:ascii="Times New Roman" w:hAnsi="Times New Roman" w:cs="Times New Roman"/>
          <w:sz w:val="28"/>
          <w:szCs w:val="28"/>
        </w:rPr>
        <w:t xml:space="preserve">, </w:t>
      </w:r>
      <w:r>
        <w:rPr>
          <w:rFonts w:ascii="Times New Roman" w:hAnsi="Times New Roman" w:cs="Times New Roman"/>
          <w:i/>
          <w:iCs/>
          <w:sz w:val="28"/>
          <w:szCs w:val="28"/>
        </w:rPr>
        <w:t>69</w:t>
      </w:r>
      <w:r>
        <w:rPr>
          <w:rFonts w:ascii="Times New Roman" w:hAnsi="Times New Roman" w:cs="Times New Roman"/>
          <w:sz w:val="28"/>
          <w:szCs w:val="28"/>
        </w:rPr>
        <w:t>(2), 143–150. https://doi.org/10.1080/00131720508984678</w:t>
      </w:r>
    </w:p>
    <w:p w14:paraId="730408CB"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Ahmad, </w:t>
      </w:r>
      <w:r>
        <w:rPr>
          <w:rFonts w:ascii="Times New Roman" w:hAnsi="Times New Roman" w:cs="Times New Roman"/>
          <w:sz w:val="28"/>
          <w:szCs w:val="28"/>
        </w:rPr>
        <w:t xml:space="preserve">I. (2013). Effect of Community Participation in Education on Quality of Education: Evidence from a Developing Context. </w:t>
      </w:r>
      <w:r>
        <w:rPr>
          <w:rFonts w:ascii="Times New Roman" w:hAnsi="Times New Roman" w:cs="Times New Roman"/>
          <w:i/>
          <w:iCs/>
          <w:sz w:val="28"/>
          <w:szCs w:val="28"/>
        </w:rPr>
        <w:t>Journal of Education and Vocational Research</w:t>
      </w:r>
      <w:r>
        <w:rPr>
          <w:rFonts w:ascii="Times New Roman" w:hAnsi="Times New Roman" w:cs="Times New Roman"/>
          <w:sz w:val="28"/>
          <w:szCs w:val="28"/>
        </w:rPr>
        <w:t xml:space="preserve">, </w:t>
      </w:r>
      <w:r>
        <w:rPr>
          <w:rFonts w:ascii="Times New Roman" w:hAnsi="Times New Roman" w:cs="Times New Roman"/>
          <w:i/>
          <w:iCs/>
          <w:sz w:val="28"/>
          <w:szCs w:val="28"/>
        </w:rPr>
        <w:t>4</w:t>
      </w:r>
      <w:r>
        <w:rPr>
          <w:rFonts w:ascii="Times New Roman" w:hAnsi="Times New Roman" w:cs="Times New Roman"/>
          <w:sz w:val="28"/>
          <w:szCs w:val="28"/>
        </w:rPr>
        <w:t>(10), 293–299. https://doi.org/10.22610/jevr.v4i10.133</w:t>
      </w:r>
    </w:p>
    <w:p w14:paraId="7CD23719"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lastRenderedPageBreak/>
        <w:t>Watson, S. L., &amp; Reigeluth, C. M. (</w:t>
      </w:r>
      <w:r>
        <w:rPr>
          <w:rFonts w:ascii="Times New Roman" w:hAnsi="Times New Roman" w:cs="Times New Roman"/>
          <w:sz w:val="28"/>
          <w:szCs w:val="28"/>
        </w:rPr>
        <w:t xml:space="preserve">2008). The learner-centered paradigm of education. </w:t>
      </w:r>
      <w:r>
        <w:rPr>
          <w:rFonts w:ascii="Times New Roman" w:hAnsi="Times New Roman" w:cs="Times New Roman"/>
          <w:i/>
          <w:iCs/>
          <w:sz w:val="28"/>
          <w:szCs w:val="28"/>
        </w:rPr>
        <w:t>Educational Technology</w:t>
      </w:r>
      <w:r>
        <w:rPr>
          <w:rFonts w:ascii="Times New Roman" w:hAnsi="Times New Roman" w:cs="Times New Roman"/>
          <w:sz w:val="28"/>
          <w:szCs w:val="28"/>
        </w:rPr>
        <w:t>, *48*(3), 42–48</w:t>
      </w:r>
    </w:p>
    <w:p w14:paraId="2798B4E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Yamane, T. (1967). </w:t>
      </w:r>
      <w:r>
        <w:rPr>
          <w:rFonts w:ascii="Times New Roman" w:hAnsi="Times New Roman" w:cs="Times New Roman"/>
          <w:i/>
          <w:iCs/>
          <w:sz w:val="28"/>
          <w:szCs w:val="28"/>
        </w:rPr>
        <w:t>Statistics: An introductory analysis</w:t>
      </w:r>
      <w:r>
        <w:rPr>
          <w:rFonts w:ascii="Times New Roman" w:hAnsi="Times New Roman" w:cs="Times New Roman"/>
          <w:sz w:val="28"/>
          <w:szCs w:val="28"/>
        </w:rPr>
        <w:t xml:space="preserve"> (2nd ed.). Harper and Row.</w:t>
      </w:r>
    </w:p>
    <w:p w14:paraId="28605D94"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Goodman, H. P., Yow, R., Standberry-Wallace, M., Dekom, R., Harper, M., Gomez, A. N., &amp; Watson, A. D. (2023). Perspectives from community partnerships in three diverse higher education contexts. </w:t>
      </w:r>
      <w:r>
        <w:rPr>
          <w:rFonts w:ascii="Times New Roman" w:hAnsi="Times New Roman" w:cs="Times New Roman"/>
          <w:i/>
          <w:iCs/>
          <w:sz w:val="28"/>
          <w:szCs w:val="28"/>
        </w:rPr>
        <w:t>Gateways International Journal of Community Research and Enga</w:t>
      </w:r>
      <w:r>
        <w:rPr>
          <w:rFonts w:ascii="Times New Roman" w:hAnsi="Times New Roman" w:cs="Times New Roman"/>
          <w:i/>
          <w:iCs/>
          <w:sz w:val="28"/>
          <w:szCs w:val="28"/>
        </w:rPr>
        <w:t>gement</w:t>
      </w:r>
      <w:r>
        <w:rPr>
          <w:rFonts w:ascii="Times New Roman" w:hAnsi="Times New Roman" w:cs="Times New Roman"/>
          <w:sz w:val="28"/>
          <w:szCs w:val="28"/>
        </w:rPr>
        <w:t xml:space="preserve">, </w:t>
      </w:r>
      <w:r>
        <w:rPr>
          <w:rFonts w:ascii="Times New Roman" w:hAnsi="Times New Roman" w:cs="Times New Roman"/>
          <w:i/>
          <w:iCs/>
          <w:sz w:val="28"/>
          <w:szCs w:val="28"/>
        </w:rPr>
        <w:t>16</w:t>
      </w:r>
      <w:r>
        <w:rPr>
          <w:rFonts w:ascii="Times New Roman" w:hAnsi="Times New Roman" w:cs="Times New Roman"/>
          <w:sz w:val="28"/>
          <w:szCs w:val="28"/>
        </w:rPr>
        <w:t xml:space="preserve">(2). </w:t>
      </w:r>
      <w:hyperlink r:id="rId8" w:history="1">
        <w:r w:rsidR="00CA2D21">
          <w:rPr>
            <w:rStyle w:val="Hyperlink"/>
            <w:rFonts w:ascii="Times New Roman" w:hAnsi="Times New Roman" w:cs="Times New Roman"/>
            <w:sz w:val="28"/>
            <w:szCs w:val="28"/>
          </w:rPr>
          <w:t>https://doi.org/10.5130/ijcre.v16i2.8693</w:t>
        </w:r>
      </w:hyperlink>
    </w:p>
    <w:p w14:paraId="13F2CCF0"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 xml:space="preserve">Manla, V. H. (2021). School climate: Its impact on teachers’ commitment and school performance. </w:t>
      </w:r>
      <w:r>
        <w:rPr>
          <w:rFonts w:ascii="Times New Roman" w:hAnsi="Times New Roman" w:cs="Times New Roman"/>
          <w:i/>
          <w:iCs/>
          <w:sz w:val="28"/>
          <w:szCs w:val="28"/>
        </w:rPr>
        <w:t>Journal of World Englishes and Educational Prac</w:t>
      </w:r>
      <w:r>
        <w:rPr>
          <w:rFonts w:ascii="Times New Roman" w:hAnsi="Times New Roman" w:cs="Times New Roman"/>
          <w:i/>
          <w:iCs/>
          <w:sz w:val="28"/>
          <w:szCs w:val="28"/>
        </w:rPr>
        <w:t>tices</w:t>
      </w:r>
      <w:r>
        <w:rPr>
          <w:rFonts w:ascii="Times New Roman" w:hAnsi="Times New Roman" w:cs="Times New Roman"/>
          <w:sz w:val="28"/>
          <w:szCs w:val="28"/>
        </w:rPr>
        <w:t xml:space="preserve">, </w:t>
      </w:r>
      <w:r>
        <w:rPr>
          <w:rFonts w:ascii="Times New Roman" w:hAnsi="Times New Roman" w:cs="Times New Roman"/>
          <w:i/>
          <w:iCs/>
          <w:sz w:val="28"/>
          <w:szCs w:val="28"/>
        </w:rPr>
        <w:t>3</w:t>
      </w:r>
      <w:r>
        <w:rPr>
          <w:rFonts w:ascii="Times New Roman" w:hAnsi="Times New Roman" w:cs="Times New Roman"/>
          <w:sz w:val="28"/>
          <w:szCs w:val="28"/>
        </w:rPr>
        <w:t xml:space="preserve">(2), 21–35. </w:t>
      </w:r>
      <w:hyperlink r:id="rId9" w:history="1">
        <w:r w:rsidR="00CA2D21">
          <w:rPr>
            <w:rStyle w:val="Hyperlink"/>
            <w:rFonts w:ascii="Times New Roman" w:hAnsi="Times New Roman" w:cs="Times New Roman"/>
            <w:sz w:val="28"/>
            <w:szCs w:val="28"/>
          </w:rPr>
          <w:t>https://doi.org/10.32996/jweep.2021.3.2.3</w:t>
        </w:r>
      </w:hyperlink>
    </w:p>
    <w:p w14:paraId="64ACC251" w14:textId="77777777" w:rsidR="00CA2D21" w:rsidRDefault="00E12691">
      <w:pPr>
        <w:jc w:val="both"/>
        <w:rPr>
          <w:rFonts w:ascii="Times New Roman" w:hAnsi="Times New Roman" w:cs="Times New Roman"/>
          <w:sz w:val="28"/>
          <w:szCs w:val="28"/>
        </w:rPr>
      </w:pPr>
      <w:r>
        <w:rPr>
          <w:rFonts w:ascii="Times New Roman" w:hAnsi="Times New Roman" w:cs="Times New Roman"/>
          <w:sz w:val="28"/>
          <w:szCs w:val="28"/>
        </w:rPr>
        <w:t>Yuongsuwan, D., Khammantakhun, W., &amp; Srisombut, K. (2022). A structural equation model of factors affecting effective academic affairs a</w:t>
      </w:r>
      <w:r>
        <w:rPr>
          <w:rFonts w:ascii="Times New Roman" w:hAnsi="Times New Roman" w:cs="Times New Roman"/>
          <w:sz w:val="28"/>
          <w:szCs w:val="28"/>
        </w:rPr>
        <w:t xml:space="preserve">dministration of secondary schools in Northeast of Thailand. </w:t>
      </w:r>
      <w:r>
        <w:rPr>
          <w:rFonts w:ascii="Times New Roman" w:hAnsi="Times New Roman" w:cs="Times New Roman"/>
          <w:i/>
          <w:iCs/>
          <w:sz w:val="28"/>
          <w:szCs w:val="28"/>
        </w:rPr>
        <w:t>International Education Studies</w:t>
      </w:r>
      <w:r>
        <w:rPr>
          <w:rFonts w:ascii="Times New Roman" w:hAnsi="Times New Roman" w:cs="Times New Roman"/>
          <w:sz w:val="28"/>
          <w:szCs w:val="28"/>
        </w:rPr>
        <w:t xml:space="preserve">, </w:t>
      </w:r>
      <w:r>
        <w:rPr>
          <w:rFonts w:ascii="Times New Roman" w:hAnsi="Times New Roman" w:cs="Times New Roman"/>
          <w:i/>
          <w:iCs/>
          <w:sz w:val="28"/>
          <w:szCs w:val="28"/>
        </w:rPr>
        <w:t>15</w:t>
      </w:r>
      <w:r>
        <w:rPr>
          <w:rFonts w:ascii="Times New Roman" w:hAnsi="Times New Roman" w:cs="Times New Roman"/>
          <w:sz w:val="28"/>
          <w:szCs w:val="28"/>
        </w:rPr>
        <w:t>(6), 162. https://doi.org/10.5539/ies.v15n6p162</w:t>
      </w:r>
    </w:p>
    <w:p w14:paraId="52A780EE" w14:textId="77777777" w:rsidR="00CA2D21" w:rsidRDefault="00CA2D21">
      <w:pPr>
        <w:jc w:val="both"/>
        <w:rPr>
          <w:rFonts w:ascii="Times New Roman" w:hAnsi="Times New Roman" w:cs="Times New Roman"/>
          <w:sz w:val="28"/>
          <w:szCs w:val="28"/>
        </w:rPr>
      </w:pPr>
    </w:p>
    <w:p w14:paraId="7F0A0CB0" w14:textId="77777777" w:rsidR="00CA2D21" w:rsidRDefault="00CA2D21">
      <w:pPr>
        <w:jc w:val="both"/>
        <w:rPr>
          <w:rFonts w:ascii="Times New Roman" w:hAnsi="Times New Roman" w:cs="Times New Roman"/>
          <w:sz w:val="28"/>
          <w:szCs w:val="28"/>
        </w:rPr>
      </w:pPr>
    </w:p>
    <w:p w14:paraId="3F95C129" w14:textId="77777777" w:rsidR="00CA2D21" w:rsidRDefault="00CA2D21">
      <w:pPr>
        <w:jc w:val="both"/>
        <w:rPr>
          <w:rFonts w:ascii="Times New Roman" w:hAnsi="Times New Roman" w:cs="Times New Roman"/>
          <w:sz w:val="28"/>
          <w:szCs w:val="28"/>
        </w:rPr>
      </w:pPr>
    </w:p>
    <w:p w14:paraId="6F201A3C" w14:textId="77777777" w:rsidR="00CA2D21" w:rsidRDefault="00CA2D21">
      <w:pPr>
        <w:jc w:val="both"/>
        <w:rPr>
          <w:rFonts w:ascii="Times New Roman" w:hAnsi="Times New Roman" w:cs="Times New Roman"/>
          <w:sz w:val="28"/>
          <w:szCs w:val="28"/>
        </w:rPr>
      </w:pPr>
    </w:p>
    <w:p w14:paraId="3D9B4F8E" w14:textId="77777777" w:rsidR="00CA2D21" w:rsidRDefault="00CA2D21">
      <w:pPr>
        <w:jc w:val="both"/>
        <w:rPr>
          <w:rFonts w:ascii="Times New Roman" w:hAnsi="Times New Roman" w:cs="Times New Roman"/>
          <w:sz w:val="28"/>
          <w:szCs w:val="28"/>
        </w:rPr>
      </w:pPr>
    </w:p>
    <w:p w14:paraId="0A47D9D3" w14:textId="77777777" w:rsidR="00CA2D21" w:rsidRDefault="00CA2D21">
      <w:pPr>
        <w:jc w:val="both"/>
        <w:rPr>
          <w:rFonts w:ascii="Times New Roman" w:hAnsi="Times New Roman" w:cs="Times New Roman"/>
          <w:sz w:val="28"/>
          <w:szCs w:val="28"/>
        </w:rPr>
      </w:pPr>
    </w:p>
    <w:p w14:paraId="017C21F6" w14:textId="77777777" w:rsidR="00CA2D21" w:rsidRDefault="00CA2D21"/>
    <w:sectPr w:rsidR="00CA2D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58EC" w14:textId="77777777" w:rsidR="00E12691" w:rsidRDefault="00E12691" w:rsidP="001C3404">
      <w:pPr>
        <w:spacing w:after="0" w:line="240" w:lineRule="auto"/>
      </w:pPr>
      <w:r>
        <w:separator/>
      </w:r>
    </w:p>
  </w:endnote>
  <w:endnote w:type="continuationSeparator" w:id="0">
    <w:p w14:paraId="73D97B04" w14:textId="77777777" w:rsidR="00E12691" w:rsidRDefault="00E12691" w:rsidP="001C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50A1" w14:textId="77777777" w:rsidR="001C3404" w:rsidRDefault="001C3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A8E5" w14:textId="77777777" w:rsidR="001C3404" w:rsidRDefault="001C3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87A01" w14:textId="77777777" w:rsidR="001C3404" w:rsidRDefault="001C3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1D6AF" w14:textId="77777777" w:rsidR="00E12691" w:rsidRDefault="00E12691" w:rsidP="001C3404">
      <w:pPr>
        <w:spacing w:after="0" w:line="240" w:lineRule="auto"/>
      </w:pPr>
      <w:r>
        <w:separator/>
      </w:r>
    </w:p>
  </w:footnote>
  <w:footnote w:type="continuationSeparator" w:id="0">
    <w:p w14:paraId="0ED2919B" w14:textId="77777777" w:rsidR="00E12691" w:rsidRDefault="00E12691" w:rsidP="001C3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DD71" w14:textId="0726BB3A" w:rsidR="001C3404" w:rsidRDefault="001C3404">
    <w:pPr>
      <w:pStyle w:val="Header"/>
    </w:pPr>
    <w:r>
      <w:rPr>
        <w:noProof/>
      </w:rPr>
      <w:pict w14:anchorId="70F87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F17EA" w14:textId="15C5A1C1" w:rsidR="001C3404" w:rsidRDefault="001C3404">
    <w:pPr>
      <w:pStyle w:val="Header"/>
    </w:pPr>
    <w:r>
      <w:rPr>
        <w:noProof/>
      </w:rPr>
      <w:pict w14:anchorId="20DE9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4D73" w14:textId="77F53FAA" w:rsidR="001C3404" w:rsidRDefault="001C3404">
    <w:pPr>
      <w:pStyle w:val="Header"/>
    </w:pPr>
    <w:r>
      <w:rPr>
        <w:noProof/>
      </w:rPr>
      <w:pict w14:anchorId="299FF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A708F40"/>
    <w:lvl w:ilvl="0">
      <w:start w:val="10"/>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6AF0048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B6BA7FB6"/>
    <w:lvl w:ilvl="0">
      <w:start w:val="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B87CE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88D6F5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0980B9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244B09EF"/>
    <w:multiLevelType w:val="hybridMultilevel"/>
    <w:tmpl w:val="74BE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21"/>
    <w:rsid w:val="001C3404"/>
    <w:rsid w:val="00281D4D"/>
    <w:rsid w:val="00356AD1"/>
    <w:rsid w:val="007B0DDB"/>
    <w:rsid w:val="00CA2D21"/>
    <w:rsid w:val="00E1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6DB75E"/>
  <w15:docId w15:val="{033DDCC9-AE9B-4F76-B445-025C70E5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rPr>
      <w:rFonts w:ascii="Times New Roman" w:hAnsi="Times New Roman" w:cs="Times New Roma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281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130/ijcre.v16i2.869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4314/afrrev.v6i2.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2996/jweep.2021.3.2.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26</Pages>
  <Words>7339</Words>
  <Characters>41836</Characters>
  <Application>Microsoft Office Word</Application>
  <DocSecurity>0</DocSecurity>
  <Lines>348</Lines>
  <Paragraphs>98</Paragraphs>
  <ScaleCrop>false</ScaleCrop>
  <Company/>
  <LinksUpToDate>false</LinksUpToDate>
  <CharactersWithSpaces>49077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SDI 1084</cp:lastModifiedBy>
  <cp:revision>14</cp:revision>
  <dcterms:created xsi:type="dcterms:W3CDTF">2026-01-20T22:17:00Z</dcterms:created>
  <dcterms:modified xsi:type="dcterms:W3CDTF">2026-02-06T07:54:00Z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9911edef637c48fbb6f3ca32f951e14d</vt:lpwstr>
  </property>
</Properties>
</file>