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AD962" w14:textId="77777777" w:rsidR="008D38F4" w:rsidRPr="008D38F4" w:rsidRDefault="008D38F4">
      <w:pPr>
        <w:pStyle w:val="Heading1"/>
        <w:rPr>
          <w:rFonts w:ascii="Times New Roman" w:hAnsi="Times New Roman"/>
          <w:sz w:val="28"/>
          <w:szCs w:val="28"/>
          <w:u w:val="single"/>
        </w:rPr>
      </w:pPr>
      <w:r w:rsidRPr="008D38F4">
        <w:rPr>
          <w:rFonts w:ascii="Times New Roman" w:hAnsi="Times New Roman"/>
          <w:sz w:val="28"/>
          <w:szCs w:val="28"/>
          <w:u w:val="single"/>
        </w:rPr>
        <w:t xml:space="preserve">Short Research Article </w:t>
      </w:r>
    </w:p>
    <w:p w14:paraId="28A4A2A5" w14:textId="6309EC4B" w:rsidR="00403AEE" w:rsidRDefault="00B1391B" w:rsidP="00A06A0A">
      <w:pPr>
        <w:pStyle w:val="Heading1"/>
        <w:jc w:val="left"/>
        <w:rPr>
          <w:rFonts w:ascii="Times New Roman" w:hAnsi="Times New Roman"/>
          <w:sz w:val="28"/>
          <w:szCs w:val="28"/>
        </w:rPr>
      </w:pPr>
      <w:r>
        <w:rPr>
          <w:rFonts w:ascii="Times New Roman" w:hAnsi="Times New Roman"/>
          <w:sz w:val="28"/>
          <w:szCs w:val="28"/>
        </w:rPr>
        <w:t>Fostering Higher-Order Thinking in Advanced Mathematics: A Problem-Driven Approach Using Knowledge Graphs</w:t>
      </w:r>
    </w:p>
    <w:p w14:paraId="7A000006" w14:textId="77777777" w:rsidR="00403AEE" w:rsidRDefault="00403AEE">
      <w:pPr>
        <w:widowControl/>
        <w:shd w:val="clear" w:color="auto" w:fill="FFFFFF"/>
        <w:spacing w:line="285" w:lineRule="atLeast"/>
        <w:rPr>
          <w:rFonts w:ascii="Times New Roman" w:hAnsi="Times New Roman"/>
          <w:b/>
          <w:bCs/>
          <w:sz w:val="24"/>
          <w:vertAlign w:val="superscript"/>
        </w:rPr>
      </w:pPr>
      <w:bookmarkStart w:id="0" w:name="_GoBack"/>
      <w:bookmarkEnd w:id="0"/>
    </w:p>
    <w:p w14:paraId="6D0DDFA3" w14:textId="77777777" w:rsidR="00403AEE" w:rsidRDefault="00B1391B">
      <w:pPr>
        <w:widowControl/>
        <w:shd w:val="clear" w:color="auto" w:fill="FFFFFF"/>
        <w:spacing w:line="285" w:lineRule="atLeast"/>
        <w:rPr>
          <w:rFonts w:ascii="Times New Roman" w:eastAsia="Consolas" w:hAnsi="Times New Roman"/>
          <w:szCs w:val="21"/>
        </w:rPr>
      </w:pPr>
      <w:r>
        <w:rPr>
          <w:rFonts w:ascii="Times New Roman" w:eastAsia="SimSun" w:hAnsi="Times New Roman"/>
          <w:b/>
          <w:bCs/>
          <w:szCs w:val="21"/>
        </w:rPr>
        <w:t xml:space="preserve">Abstract: </w:t>
      </w:r>
      <w:r>
        <w:rPr>
          <w:rFonts w:ascii="Times New Roman" w:eastAsia="SimSun" w:hAnsi="Times New Roman"/>
          <w:szCs w:val="21"/>
        </w:rPr>
        <w:t>In advanced mathematics education, compartmentalized knowledge acquisition and inadequate development of higher-order thinking skills remain persistent challenges. This study introduces a problem-driven teaching model that incorporates knowledge graphs as a cognitive framework to facilitate inquiry-based learning. We focused on "Multivariable Differential Calculus" and "Curve Integrals" as key units and designed teaching cases to help students actively build and integrate knowledge through problem-solving. A comparative experiment between an experimental class and a control class showed that the model enhances students' mastery of structured knowledge and effectively fosters higher-order thinking skills, such as analysis, synthesis, and transfer. These findings offer empirical evidence and practical guidance for reforming advanced mathematics teaching and fostering innovative talent.</w:t>
      </w:r>
    </w:p>
    <w:p w14:paraId="484971EA" w14:textId="77777777" w:rsidR="00403AEE" w:rsidRDefault="00B1391B">
      <w:pPr>
        <w:widowControl/>
        <w:shd w:val="clear" w:color="auto" w:fill="FFFFFF"/>
        <w:spacing w:line="285" w:lineRule="atLeast"/>
        <w:rPr>
          <w:rFonts w:ascii="Times New Roman" w:eastAsia="Consolas" w:hAnsi="Times New Roman"/>
          <w:szCs w:val="21"/>
        </w:rPr>
      </w:pPr>
      <w:r>
        <w:rPr>
          <w:rFonts w:ascii="Times New Roman" w:eastAsia="Consolas" w:hAnsi="Times New Roman"/>
          <w:b/>
          <w:bCs/>
          <w:szCs w:val="21"/>
        </w:rPr>
        <w:t>Keywords:</w:t>
      </w:r>
      <w:r>
        <w:rPr>
          <w:rFonts w:ascii="Times New Roman" w:eastAsia="Consolas" w:hAnsi="Times New Roman"/>
          <w:szCs w:val="21"/>
        </w:rPr>
        <w:t xml:space="preserve"> Problem-driven teaching method; Knowledge graph; Advanced mathematics; Higher-order thinking; Teaching reform</w:t>
      </w:r>
    </w:p>
    <w:p w14:paraId="44A40808" w14:textId="77777777" w:rsidR="00403AEE" w:rsidRDefault="00B1391B">
      <w:pPr>
        <w:pStyle w:val="Heading2"/>
        <w:numPr>
          <w:ilvl w:val="0"/>
          <w:numId w:val="1"/>
        </w:numPr>
        <w:rPr>
          <w:rFonts w:ascii="Times New Roman" w:hAnsi="Times New Roman"/>
          <w:sz w:val="24"/>
          <w:szCs w:val="21"/>
        </w:rPr>
      </w:pPr>
      <w:r>
        <w:rPr>
          <w:rFonts w:ascii="Times New Roman" w:hAnsi="Times New Roman"/>
          <w:sz w:val="24"/>
          <w:szCs w:val="21"/>
        </w:rPr>
        <w:t>Introduction</w:t>
      </w:r>
    </w:p>
    <w:p w14:paraId="63D4F591" w14:textId="336FC582" w:rsidR="00403AEE" w:rsidRDefault="00B1391B">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 xml:space="preserve">Advanced mathematics is a foundational course for science and engineering majors. Its teaching quality directly impacts students' disciplinary learning and innovative capacities. However, traditional approaches face several issues. Lecture-based methods often prioritize knowledge delivery over deep understanding of concepts and application skills. This leads to students who can solve problems mechanically but struggle to apply knowledge flexibly. Additionally, the subject's vast and abstract content makes it hard for students to form a systematic framework, resulting in compartmentalized learning that significantly hinders higher-order thinking development </w:t>
      </w:r>
      <w:r w:rsidRPr="00B1391B">
        <w:rPr>
          <w:rFonts w:ascii="Times New Roman" w:eastAsia="Consolas" w:hAnsi="Times New Roman"/>
          <w:szCs w:val="21"/>
        </w:rPr>
        <w:t>(Gradini et al., 2025; Tajudin et al., 2018a, 2018b, 2017)</w:t>
      </w:r>
      <w:r>
        <w:rPr>
          <w:rFonts w:ascii="Times New Roman" w:eastAsia="Consolas" w:hAnsi="Times New Roman"/>
          <w:szCs w:val="21"/>
        </w:rPr>
        <w:t>.</w:t>
      </w:r>
    </w:p>
    <w:p w14:paraId="7BDDB3A2" w14:textId="77777777" w:rsidR="00403AEE" w:rsidRDefault="00B1391B">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 xml:space="preserve">In recent years, researchers worldwide have explored reforms in advanced mathematics teaching. For information technology integration, Duan et al. </w:t>
      </w:r>
      <w:r>
        <w:rPr>
          <w:rFonts w:ascii="Times New Roman" w:eastAsia="Consolas" w:hAnsi="Times New Roman"/>
          <w:szCs w:val="21"/>
        </w:rPr>
        <w:fldChar w:fldCharType="begin"/>
      </w:r>
      <w:r>
        <w:rPr>
          <w:rFonts w:ascii="Times New Roman" w:eastAsia="Consolas" w:hAnsi="Times New Roman"/>
          <w:szCs w:val="21"/>
        </w:rPr>
        <w:instrText xml:space="preserve"> ADDIN ZOTERO_ITEM CSL_CITATION {"citationID":"rDtrUthl","properties":{"unsorted":false,"formattedCitation":"(2026)","plainCitation":"(2026)","noteIndex":0},"citationItems":[{"id":153,"uris":["http://zotero.org/users/12514566/items/LWJNJGPX"],"itemData":{"id":153,"type":"article-journal","abstract":"As Information Technology (IT) about personalized learning continues to expand in higher education, precision teaching relative to IT has become a new focus for college teachers. This study examined the construction of a Precision Teaching Model for College Mathematics based on Information Technology. It focused on the role of IT in precision teaching, the ability to provide course improvement in teaching using technology, the impact of the pre-class context of learning mathematics on individual differences, precision teaching for students with learning difficulties, and precision teaching for enhancing the self-efficacy and motivation of students. The study was qualitative and quantitative in nature, so the data were collected utilizing quantitative data from questionnaires and qualitative data from open-ended questions. The sample consisted of 355 students and 100 teachers from universities around China. The data were analyzed statistically using SPSS to establish the reliability of the variables, the use of IT for teaching design, and typical precision teaching interventions. The results show a strong positive correlation between information technology and precision teaching, with significantly positive improvements across several features of learner self-efficacy, motivation, and support for learners struggling academically, identified as challenges for teachers in IT. Overall, while this study adds value as the authors have documented important contributions to understanding the role of IT in precision teaching of college mathematics, this study is limited by the cross-sectional, self-report nature of the design, and identified that findings are potentially limited to Chinese universities. In conclusion, this research provides important insights into IT in precision teaching of college mathematics, with implications for educators, researchers, and policy-makers.","container-title":"Current Psychology","DOI":"10.1007/s12144-025-08822-8","ISSN":"1046-1310, 1936-4733","issue":"1","journalAbbreviation":"Curr Psychol","language":"en","page":"43","source":"DOI.org (Crossref)","title":"A precision teaching model for college mathematics based on information technology","volume":"45","author":[{"family":"Duan","given":"Lian"},{"family":"Li","given":"Bing"},{"family":"Han","given":"Xiaofeng"}],"issued":{"date-parts":[["2026",1]]}},"suppress-author":true}],"schema":"https://github.com/citation-style-language/schema/raw/master/csl-citation.json"} </w:instrText>
      </w:r>
      <w:r>
        <w:rPr>
          <w:rFonts w:ascii="Times New Roman" w:eastAsia="Consolas" w:hAnsi="Times New Roman"/>
          <w:szCs w:val="21"/>
        </w:rPr>
        <w:fldChar w:fldCharType="separate"/>
      </w:r>
      <w:r>
        <w:rPr>
          <w:rFonts w:ascii="Times New Roman" w:eastAsia="SimSun" w:hAnsi="Times New Roman"/>
        </w:rPr>
        <w:t>(2026)</w:t>
      </w:r>
      <w:r>
        <w:rPr>
          <w:rFonts w:ascii="Times New Roman" w:eastAsia="Consolas" w:hAnsi="Times New Roman"/>
          <w:szCs w:val="21"/>
        </w:rPr>
        <w:fldChar w:fldCharType="end"/>
      </w:r>
      <w:r>
        <w:rPr>
          <w:rFonts w:ascii="Times New Roman" w:eastAsia="Consolas" w:hAnsi="Times New Roman"/>
          <w:szCs w:val="21"/>
        </w:rPr>
        <w:t xml:space="preserve"> built an IT-based precision teaching model for university mathematics. Their work highlights IT's positive role in personalized learning, pre-class scenarios, and supporting struggling students, showing a strong correlation between IT and precision teaching. On artificial intelligence, Brandibur et al. </w:t>
      </w:r>
      <w:r>
        <w:rPr>
          <w:rFonts w:ascii="Times New Roman" w:eastAsia="Consolas" w:hAnsi="Times New Roman"/>
          <w:szCs w:val="21"/>
        </w:rPr>
        <w:fldChar w:fldCharType="begin"/>
      </w:r>
      <w:r>
        <w:rPr>
          <w:rFonts w:ascii="Times New Roman" w:eastAsia="Consolas" w:hAnsi="Times New Roman"/>
          <w:szCs w:val="21"/>
        </w:rPr>
        <w:instrText xml:space="preserve"> ADDIN ZOTERO_ITEM CSL_CITATION {"citationID":"LXiU1Om9","properties":{"unsorted":false,"formattedCitation":"(2025)","plainCitation":"(2025)","noteIndex":0},"citationItems":[{"id":151,"uris":["http://zotero.org/users/12514566/items/JLSYAEKK"],"itemData":{"id":151,"type":"article-journal","abstract":"The rapid integration of large language models into higher education creates opportunities for mathematics instruction, but also raises the need for structured interaction strategies that support reflective learning rather than passive answer consumption. This study, conducted within the Erasmus+ MAESTRO-AI project, examines how selected AI prompt patterns can be implemented in concrete university mathematics activities and how students evaluate these AI-supported experiences. Two experimental modules were compared: complex numbers for first-semester Applied Mathematics students in Poland (n=100) and conditional probability for second-year Computer Science students in Romania (n=213). After completing AI-assisted learning activities with ChatGPT and/or Gemini, students completed a common evaluation questionnaire assessing engagement, perceived usefulness, and reflections on AI as a tutor. Group comparisons and experience-based analyses were performed using the Mann–Whitney test. Results indicate that students who reported regular prior use of AI tools evaluated AI-supported learning significantly more positively than those with occasional or no prior experience. They gave higher ratings across most questionnaire items as well as for the overall score. The findings suggest that prompt-pattern-based designs can support engaging AI-assisted mathematics activities. They also indicate that such designs can provide a structured learning experience, while introductory guidance may be important to ensure comparable benefits for less experienced students.","container-title":"Applied Sciences","DOI":"10.3390/app16010339","ISSN":"2076-3417","issue":"1","journalAbbreviation":"Applied Sciences","language":"en","page":"339","source":"DOI.org (Crossref)","title":"Higher Mathematics Education and AI Prompt Patterns: Examples from Selected University Classes","title-short":"Higher Mathematics Education and AI Prompt Patterns","volume":"16","author":[{"family":"Brandibur","given":"Oana"},{"family":"Filipowicz-Chomko","given":"Marzena"},{"family":"Girejko","given":"Ewa"},{"family":"Kaslik","given":"Eva"},{"family":"Mozyrska","given":"Dorota"},{"family":"Mureșan","given":"Raluca"},{"family":"Pappas","given":"Nikos"},{"family":"Tănasie","given":"Adriana Loredana"},{"family":"Zaharia","given":"Claudia"}],"issued":{"date-parts":[["2025",12,29]]}},"suppress-author":true}],"schema":"https://github.com/citation-style-language/schema/raw/master/csl-citation.json"} </w:instrText>
      </w:r>
      <w:r>
        <w:rPr>
          <w:rFonts w:ascii="Times New Roman" w:eastAsia="Consolas" w:hAnsi="Times New Roman"/>
          <w:szCs w:val="21"/>
        </w:rPr>
        <w:fldChar w:fldCharType="separate"/>
      </w:r>
      <w:r>
        <w:rPr>
          <w:rFonts w:ascii="Times New Roman" w:eastAsia="SimSun" w:hAnsi="Times New Roman"/>
        </w:rPr>
        <w:t>(2025)</w:t>
      </w:r>
      <w:r>
        <w:rPr>
          <w:rFonts w:ascii="Times New Roman" w:eastAsia="Consolas" w:hAnsi="Times New Roman"/>
          <w:szCs w:val="21"/>
        </w:rPr>
        <w:fldChar w:fldCharType="end"/>
      </w:r>
      <w:r>
        <w:rPr>
          <w:rFonts w:ascii="Times New Roman" w:eastAsia="Consolas" w:hAnsi="Times New Roman"/>
          <w:szCs w:val="21"/>
        </w:rPr>
        <w:t xml:space="preserve"> examined AI prompt patterns in university mathematics. Students with prior AI experience rated AI-assisted activities more positively, and prompt designs provided structured learning experiences for mathematics instruction. For capability assessment, Liu et al. </w:t>
      </w:r>
      <w:r>
        <w:rPr>
          <w:rFonts w:ascii="Times New Roman" w:eastAsia="Consolas" w:hAnsi="Times New Roman"/>
          <w:szCs w:val="21"/>
        </w:rPr>
        <w:fldChar w:fldCharType="begin"/>
      </w:r>
      <w:r>
        <w:rPr>
          <w:rFonts w:ascii="Times New Roman" w:eastAsia="Consolas" w:hAnsi="Times New Roman"/>
          <w:szCs w:val="21"/>
        </w:rPr>
        <w:instrText xml:space="preserve"> ADDIN ZOTERO_ITEM CSL_CITATION {"citationID":"Fmenc71N","properties":{"unsorted":false,"formattedCitation":"(2025)","plainCitation":"(2025)","noteIndex":0},"citationItems":[{"id":154,"uris":["http://zotero.org/users/12514566/items/SHQZ8JXY"],"itemData":{"id":154,"type":"article-journal","abstract":"This study aims at the limitations of the evaluation of Problem Solving Ability (PSA) in college students’ advanced mathematics problem-solving. It constructs a dual-dimensional evaluation system integrating cognitive dimensions (conceptual understanding, logical reasoning, etc.) and behavioral dimensions (time allocation, operation sequence, etc.) based on Piaget’s cognitive theory and Schoenfeld’s behavioral framework. Meanwhile, this study proposes a hybrid model of Convolutional Neural Network-Bidirectional Long Short-Term Memory-Regression (CNN-BiLSTM-Reg) optimized by Multi-Verse Optimizer (MVO). Through a regression-guided attention mechanism, the model converted multiple regression coefficients into neural network weights, achieving a balance between interpretability and prediction accuracy (R²=0.95, Root Mean Square Error (RMSE) = 5.32). The experimental results show that: The contribution rate of the cognitive dimension to PSA reaches 78.6% (β = 0.35 for logical reasoning). Ablation experiments verify that MVO optimization improves performance by 13.7%. The prediction error of the time dimension decreases from 6.85 at the beginning of the semester to 4.06 at the end of the semester. The improvement range of PSA in the intervention group is 3.3 times that in the control group. This study confirms the scientific nature of the integrated modeling of cognition and behavior, and is expected to provide a technical framework with both prediction function and teaching guidance value for intelligent education.","container-title":"Scientific Reports","DOI":"10.1038/s41598-025-27138-y","ISSN":"2045-2322","issue":"1","journalAbbreviation":"Sci Rep","language":"en","page":"42755","source":"DOI.org (Crossref)","title":"Improvement of college students’ higher mathematics problem solving ability based on neural network and multiple regression model","volume":"15","author":[{"family":"Liu","given":"Tengyi"},{"family":"Li","given":"Chuantao"}],"issued":{"date-parts":[["2025",11,28]]}},"suppress-author":true}],"schema":"https://github.com/citation-style-language/schema/raw/master/csl-citation.json"} </w:instrText>
      </w:r>
      <w:r>
        <w:rPr>
          <w:rFonts w:ascii="Times New Roman" w:eastAsia="Consolas" w:hAnsi="Times New Roman"/>
          <w:szCs w:val="21"/>
        </w:rPr>
        <w:fldChar w:fldCharType="separate"/>
      </w:r>
      <w:r>
        <w:rPr>
          <w:rFonts w:ascii="Times New Roman" w:eastAsia="SimSun" w:hAnsi="Times New Roman"/>
        </w:rPr>
        <w:t>(2025)</w:t>
      </w:r>
      <w:r>
        <w:rPr>
          <w:rFonts w:ascii="Times New Roman" w:eastAsia="Consolas" w:hAnsi="Times New Roman"/>
          <w:szCs w:val="21"/>
        </w:rPr>
        <w:fldChar w:fldCharType="end"/>
      </w:r>
      <w:r>
        <w:rPr>
          <w:rFonts w:ascii="Times New Roman" w:eastAsia="Consolas" w:hAnsi="Times New Roman"/>
          <w:szCs w:val="21"/>
        </w:rPr>
        <w:t xml:space="preserve"> proposed a </w:t>
      </w:r>
      <w:r>
        <w:rPr>
          <w:rFonts w:ascii="Times New Roman" w:eastAsia="Consolas" w:hAnsi="Times New Roman"/>
          <w:szCs w:val="21"/>
        </w:rPr>
        <w:lastRenderedPageBreak/>
        <w:t xml:space="preserve">neural network and multivariate regression-based system for mathematical problem-solving. It combines cognitive and behavioral dimensions, using CNN and BiLSTM for 95% prediction accuracy, offering a framework with predictive and instructional value for intelligent education. For teacher development, Santagata et al. </w:t>
      </w:r>
      <w:r>
        <w:rPr>
          <w:rFonts w:ascii="Times New Roman" w:eastAsia="Consolas" w:hAnsi="Times New Roman"/>
          <w:szCs w:val="21"/>
        </w:rPr>
        <w:fldChar w:fldCharType="begin"/>
      </w:r>
      <w:r>
        <w:rPr>
          <w:rFonts w:ascii="Times New Roman" w:eastAsia="Consolas" w:hAnsi="Times New Roman"/>
          <w:szCs w:val="21"/>
        </w:rPr>
        <w:instrText xml:space="preserve"> ADDIN ZOTERO_ITEM CSL_CITATION {"citationID":"eh7kdbMY","properties":{"unsorted":false,"formattedCitation":"(2026)","plainCitation":"(2026)","noteIndex":0},"citationItems":[{"id":157,"uris":["http://zotero.org/users/12514566/items/Y2R8MV5I"],"itemData":{"id":157,"type":"article-journal","abstract":"Abstract\n            Marginalized groups remain underrepresented in college mathematics majors and experience lower outcomes and persistence, highlighting the need for equity-focused professional development (PD). Recent work on teacher noticing identifies competencies of equitable teachers, informing PD design centered on noticing for equity. This study presents a video-based PD, developed by mathematics and education scholars, for college instructional teams. The PD addresses both student thinking and equity-focused noticing, encouraging participants to examine their beliefs and visions of equitable instruction. Ten mathematics faculty and student assistants participated in the study. Through a pre/post-test design, findings demonstrate that PD can be designed to integrate attention to both student mathematical thinking and participation, fostering expansive noticing practices that include students’ historical selves and imagined futures. They also suggest that video-based noticing activities can support the development of beliefs and vision of high-quality mathematics instruction. A study byproduct is a framework to document multidimensional noticing that captures dimensions such as student agency, shared authority, and the socio-emotional and relational aspects of learning.","container-title":"ZDM – Mathematics Education","DOI":"10.1007/s11858-025-01744-6","ISSN":"1863-9690, 1863-9704","issue":"1-2","journalAbbreviation":"ZDM Mathematics Education","language":"en","page":"295-309","source":"DOI.org (Crossref)","title":"Fostering expansive noticing practices through video-based professional development in college mathematics","volume":"58","author":[{"family":"Santagata","given":"Rossella"},{"family":"Fuentes Acevedo","given":"Patricia"},{"family":"Kimmerling","given":"Christina"},{"family":"Pelayo","given":"Roberto"},{"family":"Pantano","given":"Alessandra"},{"family":"Tschönhens","given":"Franziska"}],"issued":{"date-parts":[["2026",4]]}},"suppress-author":true}],"schema":"https://github.com/citation-style-language/schema/raw/master/csl-citation.json"} </w:instrText>
      </w:r>
      <w:r>
        <w:rPr>
          <w:rFonts w:ascii="Times New Roman" w:eastAsia="Consolas" w:hAnsi="Times New Roman"/>
          <w:szCs w:val="21"/>
        </w:rPr>
        <w:fldChar w:fldCharType="separate"/>
      </w:r>
      <w:r>
        <w:rPr>
          <w:rFonts w:ascii="Times New Roman" w:eastAsia="SimSun" w:hAnsi="Times New Roman"/>
        </w:rPr>
        <w:t>(2026)</w:t>
      </w:r>
      <w:r>
        <w:rPr>
          <w:rFonts w:ascii="Times New Roman" w:eastAsia="Consolas" w:hAnsi="Times New Roman"/>
          <w:szCs w:val="21"/>
        </w:rPr>
        <w:fldChar w:fldCharType="end"/>
      </w:r>
      <w:r>
        <w:rPr>
          <w:rFonts w:ascii="Times New Roman" w:eastAsia="Consolas" w:hAnsi="Times New Roman"/>
          <w:szCs w:val="21"/>
        </w:rPr>
        <w:t xml:space="preserve"> created a video-based program focusing on student thinking and equity, enhancing teachers' multidimensional noticing abilities. Finally, Szilágyi et al. </w:t>
      </w:r>
      <w:r>
        <w:rPr>
          <w:rFonts w:ascii="Times New Roman" w:eastAsia="Consolas" w:hAnsi="Times New Roman"/>
          <w:szCs w:val="21"/>
        </w:rPr>
        <w:fldChar w:fldCharType="begin"/>
      </w:r>
      <w:r>
        <w:rPr>
          <w:rFonts w:ascii="Times New Roman" w:eastAsia="Consolas" w:hAnsi="Times New Roman"/>
          <w:szCs w:val="21"/>
        </w:rPr>
        <w:instrText xml:space="preserve"> ADDIN ZOTERO_ITEM CSL_CITATION {"citationID":"4BgUo40x","properties":{"unsorted":false,"formattedCitation":"(2025)","plainCitation":"(2025)","noteIndex":0},"citationItems":[{"id":156,"uris":["http://zotero.org/users/12514566/items/B9TEKJEI"],"itemData":{"id":156,"type":"article-journal","abstract":"An innovative, STEAM-based educational approach uses LEGO® robots to improve the visualisation and understanding of trochoid curves in tertiary mathematics education. The method involves a two-step process: first, the curves are drawn based on the classical definition of trochoids using a custom-designed LEGO® robot that employs LED light to trace the shapes. Then, the same process is replicated with a marker, with the robot controlling the movement of the drawing head to reproduce the curves accurately. To deepen students’ comprehension and visualisation, Desmos dynamic geometry software was used in parallel to draw all three types of trochoids (prolate, curtate, and cusped). This hands-on technique aims to make these motion curves more tangible and engaging within a classroom setting. A quantitative experiment involving 94 first-year IT BSc students was conducted during the spring semester of the 2024/2025 academic year using a quasi-experimental design. We had one control group and two experimental groups. One of the experimental groups did not use educational robotics; participants could only see how the robots worked via video. The other experimental group gained first-hand experience by building and testing LEGO® drawing robots. The aim was to evaluate the effectiveness of an innovative teaching method that used educational robotics to improve understanding of the mathematical properties of trochoids, compared to traditional teaching methods and presentations containing short videos. The Mann–Whitney U test was used in all cases during hypothesis testing. Only watching videos of drawing robots does not have a statistically significant effect on learning outcomes. In this case, the effect size was only 0.12. However, the results of the group performing educational robotics activities showed a statistically significant difference compared to the other two groups, with large effect sizes (0.68 and 0.7). Our results suggest that visualisation using LEGO® robots significantly improves students’ knowledge of parametric curves. Educational robotics offers promising opportunities because it is an attractive and interactive teaching tool. Its great advantage is that it combines abstract mathematical concepts with modern technology, thus creating an effective learning environment.","container-title":"Education Sciences","DOI":"10.3390/educsci15111472","ISSN":"2227-7102","issue":"11","journalAbbreviation":"Education Sciences","language":"en","page":"1472","source":"DOI.org (Crossref)","title":"Teaching and Learning Trochoid Curves: The Importance of LEGO® Drawing Robots and Educational Robotics in Tertiary Mathematics Education","title-short":"Teaching and Learning Trochoid Curves","volume":"15","author":[{"family":"Szilágyi","given":"Szilvia"},{"family":"Körei","given":"Attila"},{"family":"Vaičiulytė","given":"Ingrida"}],"issued":{"date-parts":[["2025",11,3]]}},"suppress-author":true}],"schema":"https://github.com/citation-style-language/schema/raw/master/csl-citation.json"} </w:instrText>
      </w:r>
      <w:r>
        <w:rPr>
          <w:rFonts w:ascii="Times New Roman" w:eastAsia="Consolas" w:hAnsi="Times New Roman"/>
          <w:szCs w:val="21"/>
        </w:rPr>
        <w:fldChar w:fldCharType="separate"/>
      </w:r>
      <w:r>
        <w:rPr>
          <w:rFonts w:ascii="Times New Roman" w:eastAsia="SimSun" w:hAnsi="Times New Roman"/>
        </w:rPr>
        <w:t>(2025)</w:t>
      </w:r>
      <w:r>
        <w:rPr>
          <w:rFonts w:ascii="Times New Roman" w:eastAsia="Consolas" w:hAnsi="Times New Roman"/>
          <w:szCs w:val="21"/>
        </w:rPr>
        <w:fldChar w:fldCharType="end"/>
      </w:r>
      <w:r>
        <w:rPr>
          <w:rFonts w:ascii="Times New Roman" w:eastAsia="Consolas" w:hAnsi="Times New Roman"/>
          <w:szCs w:val="21"/>
        </w:rPr>
        <w:t xml:space="preserve"> used LEGO robots in advanced mathematics. The hands-on experimental group outperformed controls, underscoring educational robots' value in visualizing abstract concepts.</w:t>
      </w:r>
    </w:p>
    <w:p w14:paraId="034146A4" w14:textId="77777777" w:rsidR="00403AEE" w:rsidRDefault="00B1391B">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Despite these advances in IT integration, AI support, and assessment systems, gaps remain. Most studies focus on isolated technological interventions rather than integrating methods like knowledge graphs and problem-driven teaching. There is limited focus on higher-order thinking, with few systematic frameworks or evaluations. Knowledge graphs are mostly used for visualization, not deeply embedded in teaching. Problem-driven methods often lack structured tools, leading to compartmentalized inquiry.</w:t>
      </w:r>
    </w:p>
    <w:p w14:paraId="7A3FAD8F" w14:textId="77777777" w:rsidR="00403AEE" w:rsidRDefault="00B1391B">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To bridge these gaps, this study proposes a knowledge graph-integrated problem-driven model. It uses knowledge graphs to build a systematic cognitive framework, supporting problem-driven teaching and enabling deep knowledge integration and higher-order thinking during problem-solving. We selected "Multivariable Differential Calculus" and "Curve Integrals," designed cases, and conducted experiments to verify the model's effectiveness.</w:t>
      </w:r>
    </w:p>
    <w:p w14:paraId="77F238B1" w14:textId="77777777" w:rsidR="00403AEE" w:rsidRDefault="00B1391B">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The study's innovations include: (1) Deeply integrating knowledge graphs with problem-driven teaching to link theory and practice; (2) Creating a tiered problem chain based on knowledge graphs for progressive thinking development; (3) Validating the model through experiments, providing empirical evidence and practical approaches for advanced mathematics reform. These findings have theoretical and practical significance for teaching innovation in Educational Informatization 2.0 and fostering innovative talent.</w:t>
      </w:r>
    </w:p>
    <w:p w14:paraId="2275C4E1" w14:textId="77777777" w:rsidR="00403AEE" w:rsidRDefault="00B1391B">
      <w:pPr>
        <w:pStyle w:val="Heading2"/>
        <w:numPr>
          <w:ilvl w:val="0"/>
          <w:numId w:val="1"/>
        </w:numPr>
        <w:rPr>
          <w:rFonts w:ascii="Times New Roman" w:hAnsi="Times New Roman"/>
          <w:sz w:val="24"/>
          <w:szCs w:val="21"/>
        </w:rPr>
      </w:pPr>
      <w:r>
        <w:rPr>
          <w:rFonts w:ascii="Times New Roman" w:hAnsi="Times New Roman"/>
          <w:sz w:val="24"/>
          <w:szCs w:val="21"/>
        </w:rPr>
        <w:t>Theoretical Foundations and Related Research Review</w:t>
      </w:r>
    </w:p>
    <w:p w14:paraId="1B0EB8D8" w14:textId="77777777" w:rsidR="00403AEE" w:rsidRDefault="00B1391B">
      <w:pPr>
        <w:pStyle w:val="Heading3"/>
        <w:rPr>
          <w:rFonts w:ascii="Times New Roman" w:hAnsi="Times New Roman"/>
          <w:sz w:val="21"/>
          <w:szCs w:val="18"/>
        </w:rPr>
      </w:pPr>
      <w:r>
        <w:rPr>
          <w:rFonts w:ascii="Times New Roman" w:hAnsi="Times New Roman"/>
          <w:sz w:val="21"/>
          <w:szCs w:val="18"/>
        </w:rPr>
        <w:t>2.1 Application of Knowledge Graphs in the Educational Domain</w:t>
      </w:r>
    </w:p>
    <w:p w14:paraId="1ED5E66D" w14:textId="77777777" w:rsidR="00403AEE" w:rsidRDefault="00B1391B">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 xml:space="preserve">A knowledge graph structures knowledge using nodes (concepts) and edges (relationships), clearly showing semantic and logical connections. Educational research on knowledge graphs has evolved from basic visualization to personalized learning and intelligent assessment </w:t>
      </w:r>
      <w:r>
        <w:rPr>
          <w:rFonts w:ascii="Times New Roman" w:eastAsia="Consolas" w:hAnsi="Times New Roman"/>
          <w:szCs w:val="21"/>
        </w:rPr>
        <w:fldChar w:fldCharType="begin"/>
      </w:r>
      <w:r>
        <w:rPr>
          <w:rFonts w:ascii="Times New Roman" w:eastAsia="Consolas" w:hAnsi="Times New Roman"/>
          <w:szCs w:val="21"/>
        </w:rPr>
        <w:instrText xml:space="preserve"> ADDIN ZOTERO_ITEM CSL_CITATION {"citationID":"8JRyQPqZ","properties":{"unsorted":false,"formattedCitation":"(Cui &amp; Yu, 2019)","plainCitation":"(Cui &amp; Yu, 2019)","noteIndex":0},"citationItems":[{"id":171,"uris":["http://zotero.org/users/12514566/items/JVUQA6BI"],"itemData":{"id":171,"type":"article-journal","abstract":"Abstract\n            \n              \n              Flipped classroom is an approach that has been increasingly used in K‐12 and higher education. Many studies on the flipped classroom have focused on student behaviors, with inadequate attention to student thinking, which is crucial to learning. Meanwhile, prior studies have examined the effects of visualization tools, such as concept map, on improving student learning through in‐depth thinking. Another related approach is knowledge graph, which presents a set of entities and their relationships in a graph as well as in a machine language for further processing and reasoning. It has a potential to support collaborative knowledge construction by automatic combination of individual knowledge graphs. To compare the effects of knowledge graph and concept map on student learning in a flipped classroom, we conducted an experimental study in fifth grade class at an elementary school. Students in the experimental group used a knowledge graph tool in the Learning Cell System, while those in the control group used a concept map tool, XMind, to support their learning of ancient Chinese poetry. The results showed that learning with knowledge graph resulted in better performance in the breadth and depth of subject knowledge as reflected in the students’ learning products (ie, concept maps or knowledge graphs).\n            \n            \n              \n              \n                \n                  \n                    Practitioner Notes\n                  \n                  \n                    What is already known about this topic\n                    \n                      \n                        The flipped classroom can improve student learning by enabling active participation and interactions.\n                      \n                      \n                        The concept map is an effective learning tool that can foster meaningful understanding and higher order thinking in both traditional and flipped classrooms.\n                      \n                      \n                        The knowledge graph is a related tool that presents a set of entities and their semantic relationships in a graph as well as in a machine language to support further processing.\n                      \n                      \n                        The knowledge graph can support collaborative knowledge construction by automatic combination of individual knowledge graphs.\n                      \n                    \n                  \n                  \n                    What this paper adds\n                    \n                      \n                        We conducted an experimental study to compare the effects of knowledge graph and concept map on student learning in a flipped classroom.\n                      \n                      \n                        Compared with concept map, learning with knowledge graph resulted in better performance in the breadth and depth of subject knowledge as reflected in the students’ learning products (ie, concept maps or knowledge graphs).\n                      \n                    \n                  \n                  \n                    Implications for practice and/or policy\n                    \n                      \n                        Learning with knowledge graph fosters more cognitive engagement in exploring the relationships between concepts represented in both individual and converged knowledge graphs.\n                      \n                      \n                        The converged knowledge graph offers the teacher a big picture of the entire class in student understanding.\n                      \n                      \n                        Relevant training should be provided to students and teachers for effective use and learning with the knowledge graph tool.","container-title":"British Journal of Educational Technology","DOI":"10.1111/bjet.12841","ISSN":"0007-1013, 1467-8535","issue":"5","journalAbbreviation":"Brit J Educational Tech","language":"en","page":"2308-2328","source":"DOI.org (Crossref)","title":"Fostering deeper learning in a flipped classroom: Effects of knowledge graphs versus concept maps","title-short":"Fostering deeper learning in a flipped classroom","volume":"50","author":[{"family":"Cui","given":"Jingjing"},{"family":"Yu","given":"Shengquan"}],"issued":{"date-parts":[["2019",9]]}}}],"schema":"https://github.com/citation-style-language/schema/raw/master/csl-citation.json"} </w:instrText>
      </w:r>
      <w:r>
        <w:rPr>
          <w:rFonts w:ascii="Times New Roman" w:eastAsia="Consolas" w:hAnsi="Times New Roman"/>
          <w:szCs w:val="21"/>
        </w:rPr>
        <w:fldChar w:fldCharType="separate"/>
      </w:r>
      <w:r>
        <w:rPr>
          <w:rFonts w:ascii="Times New Roman" w:eastAsia="SimSun" w:hAnsi="Times New Roman"/>
        </w:rPr>
        <w:t>(Cui &amp; Yu, 2019)</w:t>
      </w:r>
      <w:r>
        <w:rPr>
          <w:rFonts w:ascii="Times New Roman" w:eastAsia="Consolas" w:hAnsi="Times New Roman"/>
          <w:szCs w:val="21"/>
        </w:rPr>
        <w:fldChar w:fldCharType="end"/>
      </w:r>
      <w:r>
        <w:rPr>
          <w:rFonts w:ascii="Times New Roman" w:eastAsia="Consolas" w:hAnsi="Times New Roman"/>
          <w:szCs w:val="21"/>
        </w:rPr>
        <w:t>.</w:t>
      </w:r>
    </w:p>
    <w:p w14:paraId="0EF5A0AB" w14:textId="77777777" w:rsidR="00403AEE" w:rsidRDefault="00B1391B">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 xml:space="preserve">In medical education, knowledge graphs have been effectively applied to enhance blended learning. For instance, Li Bugang et al. </w:t>
      </w:r>
      <w:r>
        <w:rPr>
          <w:rFonts w:ascii="Times New Roman" w:eastAsia="Consolas" w:hAnsi="Times New Roman"/>
          <w:szCs w:val="21"/>
        </w:rPr>
        <w:fldChar w:fldCharType="begin"/>
      </w:r>
      <w:r>
        <w:rPr>
          <w:rFonts w:ascii="Times New Roman" w:eastAsia="Consolas" w:hAnsi="Times New Roman"/>
          <w:szCs w:val="21"/>
        </w:rPr>
        <w:instrText xml:space="preserve"> ADDIN ZOTERO_ITEM CSL_CITATION {"citationID":"ZMp4yEvn","properties":{"unsorted":false,"formattedCitation":"(2025)","plainCitation":"(2025)","noteIndex":0},"citationItems":[{"id":160,"uris":["http://zotero.org/users/12514566/items/AP9FCH5R"],"itemData":{"id":160,"type":"article-journal","abstract":"Learning engagement refers to the time and effort students invest in effective learning practices, and it serves as a crucial indicator of their learning abilities as well as a significant proximal factor in predicting their academic performance. However, undergraduate students in Chinese universities have demonstrated only moderately high levels of learning engagement in the context of blended learning, which may be enhanced through the introduction of knowledge graph. This study aimed to examine whether students’ learning engagement could be enhanced through knowledge graph-based blended learning. The findings are intended to provide a basis for implementing knowledge graph-based blended learning in future medical education.","container-title":"BMC Medical Education","DOI":"10.1186/s12909-025-08428-5","ISSN":"1472-6920","issue":"1","journalAbbreviation":"BMC Med Educ","language":"en","page":"96","source":"DOI.org (Crossref)","title":"Improving medical students’ learning absorption in a knowledge graph based blended learning course","volume":"26","author":[{"family":"Li","given":"Bugang"},{"family":"Hu","given":"Wenhui"},{"family":"Duan","given":"Anyan"},{"family":"Li","given":"Qun"},{"family":"Li","given":"Lin"},{"family":"Li","given":"Chunyun"},{"family":"Weng","given":"Chunyan"},{"family":"Peng","given":"Zekang"},{"family":"Chen","given":"Wei"},{"family":"Li","given":"Yufei"}],"issued":{"date-parts":[["2025",12,12]]}},"suppress-author":true}],"schema":"https://github.com/citation-style-language/schema/raw/master/csl-citation.json"} </w:instrText>
      </w:r>
      <w:r>
        <w:rPr>
          <w:rFonts w:ascii="Times New Roman" w:eastAsia="Consolas" w:hAnsi="Times New Roman"/>
          <w:szCs w:val="21"/>
        </w:rPr>
        <w:fldChar w:fldCharType="separate"/>
      </w:r>
      <w:r>
        <w:rPr>
          <w:rFonts w:ascii="Times New Roman" w:eastAsia="SimSun" w:hAnsi="Times New Roman"/>
        </w:rPr>
        <w:t>(2025)</w:t>
      </w:r>
      <w:r>
        <w:rPr>
          <w:rFonts w:ascii="Times New Roman" w:eastAsia="Consolas" w:hAnsi="Times New Roman"/>
          <w:szCs w:val="21"/>
        </w:rPr>
        <w:fldChar w:fldCharType="end"/>
      </w:r>
      <w:r>
        <w:rPr>
          <w:rFonts w:ascii="Times New Roman" w:eastAsia="Consolas" w:hAnsi="Times New Roman"/>
          <w:szCs w:val="21"/>
        </w:rPr>
        <w:t xml:space="preserve"> developed a knowledge graph-based blended learning design to address low engagement, showing significant improvements in student </w:t>
      </w:r>
      <w:r>
        <w:rPr>
          <w:rFonts w:ascii="Times New Roman" w:eastAsia="Consolas" w:hAnsi="Times New Roman"/>
          <w:szCs w:val="21"/>
        </w:rPr>
        <w:lastRenderedPageBreak/>
        <w:t xml:space="preserve">absorption. Similarly, Liu Xia et al. </w:t>
      </w:r>
      <w:r>
        <w:rPr>
          <w:rFonts w:ascii="Times New Roman" w:eastAsia="Consolas" w:hAnsi="Times New Roman"/>
          <w:szCs w:val="21"/>
        </w:rPr>
        <w:fldChar w:fldCharType="begin"/>
      </w:r>
      <w:r>
        <w:rPr>
          <w:rFonts w:ascii="Times New Roman" w:eastAsia="Consolas" w:hAnsi="Times New Roman"/>
          <w:szCs w:val="21"/>
        </w:rPr>
        <w:instrText xml:space="preserve"> ADDIN ZOTERO_ITEM CSL_CITATION {"citationID":"54Hv2AjQ","properties":{"unsorted":false,"formattedCitation":"(2025)","plainCitation":"(2025)","noteIndex":0},"citationItems":[{"id":163,"uris":["http://zotero.org/users/12514566/items/UXVXNJLM"],"itemData":{"id":163,"type":"article-journal","abstract":"The utilization of knowledge graphs has emerged as a prevailing trend in current medical education reform due to its advantages in visualization and personalized learning. The blended teaching still faces challenges such as knowledge fragmentation, lack of personalized learning pathways and inadequate analysis of learning situations. To evalute the learning experience, learning effect and usability of knowledge graph in the clinical microbiology examination course. The knowledge graph of the clinical microbiology examination course was constructed using natural language processing, deep learning, and other advanced technologies on the Superstar learning platform. 100 third-year students enrolled in 2021 and 2020 majoring in medical examination technology served as the experimental and control group, respectively. The theoretical test scores of the experimental group using knowledge graph for online learning were higher compared to those of the control group using MOOC. The utilization of knowledge graph assisted students in constructing an overall knowledge framework of course and achieving personalized learning and self-evaluation. And it also helped teachers accurately analyze learning situations to provide targeted offline teaching methods and optimize online learning resources. The average scores of four dimensions including the quality of work and life, perceived usefulness, perceived ease of use and user control obtained by the “Health Information Technology Usability Assessment Scale” were 4.67, 4.51, 4.32 and 4.26, respectively. The knowledge graph of clinical microbiology examination course was available, which was helpful to realize personalized learning and precise teaching and effectively solve the problems existing in blended teaching model.","container-title":"Education and Information Technologies","DOI":"10.1007/s10639-025-13626-1","ISSN":"1360-2357, 1573-7608","issue":"16","journalAbbreviation":"Educ Inf Technol","language":"en","page":"22841-22863","source":"DOI.org (Crossref)","title":"The study of blended teaching based on knowledge graph: the case of clinical microbiology examination course","title-short":"The study of blended teaching based on knowledge graph","volume":"30","author":[{"family":"Liu","given":"Xia"},{"family":"Shen","given":"Pei"},{"family":"Xu","given":"Xizhu"},{"family":"Meng","given":"Ling"},{"family":"Ni","given":"Jing"},{"family":"Lin","given":"Guoliang"},{"family":"Jiao","given":"Fengping"}],"issued":{"date-parts":[["2025",11]]}},"suppress-author":true}],"schema":"https://github.com/citation-style-language/schema/raw/master/csl-citation.json"} </w:instrText>
      </w:r>
      <w:r>
        <w:rPr>
          <w:rFonts w:ascii="Times New Roman" w:eastAsia="Consolas" w:hAnsi="Times New Roman"/>
          <w:szCs w:val="21"/>
        </w:rPr>
        <w:fldChar w:fldCharType="separate"/>
      </w:r>
      <w:r>
        <w:rPr>
          <w:rFonts w:ascii="Times New Roman" w:eastAsia="SimSun" w:hAnsi="Times New Roman"/>
        </w:rPr>
        <w:t>(2025)</w:t>
      </w:r>
      <w:r>
        <w:rPr>
          <w:rFonts w:ascii="Times New Roman" w:eastAsia="Consolas" w:hAnsi="Times New Roman"/>
          <w:szCs w:val="21"/>
        </w:rPr>
        <w:fldChar w:fldCharType="end"/>
      </w:r>
      <w:r>
        <w:rPr>
          <w:rFonts w:ascii="Times New Roman" w:eastAsia="Consolas" w:hAnsi="Times New Roman"/>
          <w:szCs w:val="21"/>
        </w:rPr>
        <w:t xml:space="preserve"> constructed a graph for clinical microbiology testing, categorizing 99 conceptual, 110 skill-based, and 90 cognitive points to support personalized paths and progress tracking. Extending to engineering education, Yang Dingding et al. </w:t>
      </w:r>
      <w:r>
        <w:rPr>
          <w:rFonts w:ascii="Times New Roman" w:eastAsia="Consolas" w:hAnsi="Times New Roman"/>
          <w:szCs w:val="21"/>
        </w:rPr>
        <w:fldChar w:fldCharType="begin"/>
      </w:r>
      <w:r>
        <w:rPr>
          <w:rFonts w:ascii="Times New Roman" w:eastAsia="Consolas" w:hAnsi="Times New Roman"/>
          <w:szCs w:val="21"/>
        </w:rPr>
        <w:instrText xml:space="preserve"> ADDIN ZOTERO_ITEM CSL_CITATION {"citationID":"2cLPX9OP","properties":{"unsorted":false,"formattedCitation":"(2026)","plainCitation":"(2026)","noteIndex":0},"citationItems":[{"id":162,"uris":["http://zotero.org/users/12514566/items/4K628JTN"],"itemData":{"id":162,"type":"article-journal","abstract":"With the rapid evolution of digital technologies, there is an imperative for higher education to undergo continuous renewal, particularly in the realms of curriculum architecture, instructional methodologies, and student evaluation paradigms. This research delves into the innovation of a Three-Stage Progressive Teaching Model (TSPM) within the undergraduate chemical safety engineering education framework. By leveraging online course resources and implementing a flipped classroom approach, the model seeks to enhance student agency, transforming traditional classrooms into dynamic interactive arenas for teachers, engineers, and learners. Centered on scenario-based project cases, the approach fosters core professional skills and is reinforced by a comprehensive assessment system applied across all instructional stages. The curriculum is deconstructed into six major modules and 251 course knowledge points, which are utilized to construct a knowledge graph. These knowledge points are categorized into conceptual knowledge points (99), skill-based knowledge points (110), and cognitive knowledge points (90), serving as the basis for tracking and evaluating teaching effectiveness. This system enables personalized monitoring of learning progression and quantifies the entire learning trajectory. A survey of students over the past five years yielded 125 valid responses, indicating strong recognition of the course. The suggestions and issues raised will inform future curriculum improvements to better support students’ professional development.","container-title":"Education for Chemical Engineers","DOI":"10.1016/j.ece.2025.10.001","ISSN":"17497728","journalAbbreviation":"Education for Chemical Engineers","language":"en","page":"100491","source":"DOI.org (Crossref)","title":"A three-stage progressive teaching model for chemical safety engineering: Integrating flipped classroom and knowledge graphs for competency development","title-short":"A three-stage progressive teaching model for chemical safety engineering","volume":"54","author":[{"family":"Yang","given":"Dingding"},{"family":"Zheng","given":"Juan"},{"family":"Wang","given":"Bohong"},{"family":"Li","given":"Zhenming"},{"family":"Tian","given":"Xinjiao"}],"issued":{"date-parts":[["2026",1]]}},"suppress-author":true}],"schema":"https://github.com/citation-style-language/schema/raw/master/csl-citation.json"} </w:instrText>
      </w:r>
      <w:r>
        <w:rPr>
          <w:rFonts w:ascii="Times New Roman" w:eastAsia="Consolas" w:hAnsi="Times New Roman"/>
          <w:szCs w:val="21"/>
        </w:rPr>
        <w:fldChar w:fldCharType="separate"/>
      </w:r>
      <w:r>
        <w:rPr>
          <w:rFonts w:ascii="Times New Roman" w:eastAsia="SimSun" w:hAnsi="Times New Roman"/>
        </w:rPr>
        <w:t>(2026)</w:t>
      </w:r>
      <w:r>
        <w:rPr>
          <w:rFonts w:ascii="Times New Roman" w:eastAsia="Consolas" w:hAnsi="Times New Roman"/>
          <w:szCs w:val="21"/>
        </w:rPr>
        <w:fldChar w:fldCharType="end"/>
      </w:r>
      <w:r>
        <w:rPr>
          <w:rFonts w:ascii="Times New Roman" w:eastAsia="Consolas" w:hAnsi="Times New Roman"/>
          <w:szCs w:val="21"/>
        </w:rPr>
        <w:t xml:space="preserve"> created a three-stage progressive model for chemical safety engineering, dividing the curriculum into 6 modules and 251 points, and applying it in flipped classrooms to enhance core competencies through personalized monitoring and evaluation.</w:t>
      </w:r>
    </w:p>
    <w:p w14:paraId="00217506" w14:textId="77777777" w:rsidR="00403AEE" w:rsidRDefault="00B1391B">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 xml:space="preserve">Furthermore, in basic education and teacher development, knowledge graphs facilitate evaluation and personalization. Qin Shaojiao et al. </w:t>
      </w:r>
      <w:r>
        <w:rPr>
          <w:rFonts w:ascii="Times New Roman" w:eastAsia="Consolas" w:hAnsi="Times New Roman"/>
          <w:szCs w:val="21"/>
        </w:rPr>
        <w:fldChar w:fldCharType="begin"/>
      </w:r>
      <w:r>
        <w:rPr>
          <w:rFonts w:ascii="Times New Roman" w:eastAsia="Consolas" w:hAnsi="Times New Roman"/>
          <w:szCs w:val="21"/>
        </w:rPr>
        <w:instrText xml:space="preserve"> ADDIN ZOTERO_ITEM CSL_CITATION {"citationID":"XEzQR1r0","properties":{"unsorted":false,"formattedCitation":"(2026)","plainCitation":"(2026)","noteIndex":0},"citationItems":[{"id":158,"uris":["http://zotero.org/users/12514566/items/I5U7CUP2"],"itemData":{"id":158,"type":"article-journal","abstract":"Interactive teaching evaluation plays an important role in the development of modern education. Accurately evaluating teaching effectiveness can effectively promote the improvement of classroom education. However, traditional methods of interactive teaching evaluation face limitations such as low evaluation efficiency and delayed feedback. Therefore, this study raises an interactive teaching evaluation model based on Knowledge Graph and Complex Question Answering. The model uses K-dimensional Tree and Sentence Bidirectional Encoder Representations from Transformers variant to optimize the retrieval process, while introducing Graph Convolution Neural Networks and attention mechanism to aggregate entity neighbor feature information. In addition, the model incorporates Hybrid Particle Swarm Optimization and Bidirectional Long Short-Term Memory networks to construct a complete interactive teaching evaluation model. Experimental results show that the improved algorithms achieve high fitness and classification accuracy of 95.11%. At the same time, the classification accuracy of the interactive teaching evaluation model built in the simulation verification reached 96.82%, In the K12 education stage, question–answer matching and answer accuracy reach 89.36% and 97.74%, respectively, while on the dialogue-based question answering dataset, they reach 87.38% and 98.47%. In the practical application verification, the activity level of the model classroom is highly consistent with the evaluation of the expert group, the error of the number of questions is only 2, 1, 2 times, the convergence time of the subject scene switching is 0.96 s, and the accuracy rate of scene recognition is 95.67%. These results indicate that the Knowledge Graph and Complex Question Answering based interactive teaching evaluation model can improve question–answer recognition efficiency and evaluation accuracy. This study contributes to the precise construction of interactive teaching evaluation models in educational scenarios and promotes the steady development of modern education.","container-title":"International Journal of Computational Intelligence Systems","DOI":"10.1007/s44196-025-01139-1","ISSN":"1875-6883","issue":"1","journalAbbreviation":"Int J Comput Intell Syst","language":"en","page":"46","source":"DOI.org (Crossref)","title":"Interactive Teaching Evaluation Method Based on KG-CQA","volume":"19","author":[{"family":"Qin","given":"Shaojiao"},{"family":"Li","given":"Lin"}],"issued":{"date-parts":[["2026",1,17]]}},"suppress-author":true}],"schema":"https://github.com/citation-style-language/schema/raw/master/csl-citation.json"} </w:instrText>
      </w:r>
      <w:r>
        <w:rPr>
          <w:rFonts w:ascii="Times New Roman" w:eastAsia="Consolas" w:hAnsi="Times New Roman"/>
          <w:szCs w:val="21"/>
        </w:rPr>
        <w:fldChar w:fldCharType="separate"/>
      </w:r>
      <w:r>
        <w:rPr>
          <w:rFonts w:ascii="Times New Roman" w:eastAsia="SimSun" w:hAnsi="Times New Roman"/>
        </w:rPr>
        <w:t>(2026)</w:t>
      </w:r>
      <w:r>
        <w:rPr>
          <w:rFonts w:ascii="Times New Roman" w:eastAsia="Consolas" w:hAnsi="Times New Roman"/>
          <w:szCs w:val="21"/>
        </w:rPr>
        <w:fldChar w:fldCharType="end"/>
      </w:r>
      <w:r>
        <w:rPr>
          <w:rFonts w:ascii="Times New Roman" w:eastAsia="Consolas" w:hAnsi="Times New Roman"/>
          <w:szCs w:val="21"/>
        </w:rPr>
        <w:t xml:space="preserve"> proposed a knowledge graph and complex question answering model for interactive teaching evaluation, achieving high accuracy and efficiency. Li Aili et al. </w:t>
      </w:r>
      <w:r>
        <w:rPr>
          <w:rFonts w:ascii="Times New Roman" w:eastAsia="Consolas" w:hAnsi="Times New Roman"/>
          <w:szCs w:val="21"/>
        </w:rPr>
        <w:fldChar w:fldCharType="begin"/>
      </w:r>
      <w:r>
        <w:rPr>
          <w:rFonts w:ascii="Times New Roman" w:eastAsia="Consolas" w:hAnsi="Times New Roman"/>
          <w:szCs w:val="21"/>
        </w:rPr>
        <w:instrText xml:space="preserve"> ADDIN ZOTERO_ITEM CSL_CITATION {"citationID":"Aidm7UJq","properties":{"unsorted":false,"formattedCitation":"(2026)","plainCitation":"(2026)","noteIndex":0},"citationItems":[{"id":159,"uris":["http://zotero.org/users/12514566/items/2IWRCV8R"],"itemData":{"id":159,"type":"article-journal","abstract":"The rapid development of artificial intelligence is reshaping learning concepts and instructional practices. Online learning overcomes temporal and spatial constraints, providing flexible and autonomous learning environments, and has become a central component of educational digitalization. However, the physical separation of teachers and learners makes it difficult to monitor learning progress effectively, while the abundance of learning resources often leads to learner disorientation and reduced learning efficiency. Consequently, effective planning of personalized learning paths is essential for reducing learning costs and improving learning outcomes. Traditional one-size-fits-all instructional models are insufficient to meet learners’ needs. In this context, designing transparent, adaptive, and personalized learning paths for individual learners has become an urgent research challenge. This study presents a comprehensive review of personalized learning path recommendation based on knowledge graphs. It analyzes existing methods from interdisciplinary perspectives, with particular emphasis on the theoretical role of Bloom’s taxonomy in guiding the design of learning paths. The review further summarizes core algorithm approaches, examines the characteristics and applicability of commonly used public datasets, and identifies major limitations and challenges in current research. Finally, it outlines future research directions aimed at enhancing transparency, adaptability, and explainability to support educational digital transformation and the realization of individualized instruction.","container-title":"Electronics","DOI":"10.3390/electronics15010238","ISSN":"2079-9292","issue":"1","journalAbbreviation":"Electronics","language":"en","page":"238","source":"DOI.org (Crossref)","title":"Personalized Learning Path Recommendation Based on Knowledge Graphs: A Survey","title-short":"Personalized Learning Path Recommendation Based on Knowledge Graphs","volume":"15","author":[{"family":"Li","given":"Aili"},{"family":"Li","given":"Yong"},{"family":"Gao","given":"Xiyu"}],"issued":{"date-parts":[["2026",1,5]]}},"suppress-author":true}],"schema":"https://github.com/citation-style-language/schema/raw/master/csl-citation.json"} </w:instrText>
      </w:r>
      <w:r>
        <w:rPr>
          <w:rFonts w:ascii="Times New Roman" w:eastAsia="Consolas" w:hAnsi="Times New Roman"/>
          <w:szCs w:val="21"/>
        </w:rPr>
        <w:fldChar w:fldCharType="separate"/>
      </w:r>
      <w:r>
        <w:rPr>
          <w:rFonts w:ascii="Times New Roman" w:eastAsia="SimSun" w:hAnsi="Times New Roman"/>
        </w:rPr>
        <w:t>(2026)</w:t>
      </w:r>
      <w:r>
        <w:rPr>
          <w:rFonts w:ascii="Times New Roman" w:eastAsia="Consolas" w:hAnsi="Times New Roman"/>
          <w:szCs w:val="21"/>
        </w:rPr>
        <w:fldChar w:fldCharType="end"/>
      </w:r>
      <w:r>
        <w:rPr>
          <w:rFonts w:ascii="Times New Roman" w:eastAsia="Consolas" w:hAnsi="Times New Roman"/>
          <w:szCs w:val="21"/>
        </w:rPr>
        <w:t xml:space="preserve"> reviewed knowledge graph-based personalized learning path recommendations, emphasizing Bloom's Taxonomy in design and summarizing algorithms and datasets. Vergara et al. </w:t>
      </w:r>
      <w:r>
        <w:rPr>
          <w:rFonts w:ascii="Times New Roman" w:eastAsia="Consolas" w:hAnsi="Times New Roman"/>
          <w:szCs w:val="21"/>
        </w:rPr>
        <w:fldChar w:fldCharType="begin"/>
      </w:r>
      <w:r>
        <w:rPr>
          <w:rFonts w:ascii="Times New Roman" w:eastAsia="Consolas" w:hAnsi="Times New Roman"/>
          <w:szCs w:val="21"/>
        </w:rPr>
        <w:instrText xml:space="preserve"> ADDIN ZOTERO_ITEM CSL_CITATION {"citationID":"RmAt5MMV","properties":{"unsorted":false,"formattedCitation":"(2025)","plainCitation":"(2025)","noteIndex":0},"citationItems":[{"id":161,"uris":["http://zotero.org/users/12514566/items/PEKMKDEE"],"itemData":{"id":161,"type":"article-journal","abstract":"In the past few decades, a large body of research has been conducted on pedagogical content knowledge (PCK), but further empirical and theoretical studies are needed to enhance our understanding of PCK development. This study aimed to describe the development of PCK of evolution in a group of biology teachers using a modified version of the refined consensus model (Mixed Model), including the five components of PCK from the model elaborated by Magnusson et al. (1999). The qualitative research design involved multiple study cases, including semi-structured interviews and lesson plan meetings. A collective PCK (cPCK) map was generated via content representation interviews with six expert biology teachers and scholars. The ideas expressed by three or more experts were then included in the cPCK map, which was used to assess the personal PCK (pPCK) development of a different group of seven biology schoolteachers using three traits: map area, map shape, and the identity of the concepts included in the map. The findings show that the development of teachers’ pPCK was mainly due to the increase in the map area resulting from the inclusion of new concepts belonging to knowledge of students learning and to the knowledge associated with strategies.","container-title":"International Journal of Science Education","DOI":"10.1080/09500693.2024.2381841","ISSN":"0950-0693, 1464-5289","issue":"17","journalAbbreviation":"International Journal of Science Education","language":"en","page":"2279-2301","source":"DOI.org (Crossref)","title":"A map of collective pedagogical content knowledge as a basis for studying the development of biology teachers’ personal PCK of evolution","volume":"47","author":[{"family":"Vergara","given":"Claudia"},{"family":"Bassaber","given":"Arlette"},{"family":"Núñez Nieto","given":"Paola"},{"family":"Becerra","given":"Beatriz"},{"family":"Hurtado","given":"Harold"},{"family":"Santibáñez","given":"David"},{"family":"Cofré","given":"Hernán"}],"issued":{"date-parts":[["2025",11,22]]}},"suppress-author":true}],"schema":"https://github.com/citation-style-language/schema/raw/master/csl-citation.json"} </w:instrText>
      </w:r>
      <w:r>
        <w:rPr>
          <w:rFonts w:ascii="Times New Roman" w:eastAsia="Consolas" w:hAnsi="Times New Roman"/>
          <w:szCs w:val="21"/>
        </w:rPr>
        <w:fldChar w:fldCharType="separate"/>
      </w:r>
      <w:r>
        <w:rPr>
          <w:rFonts w:ascii="Times New Roman" w:eastAsia="SimSun" w:hAnsi="Times New Roman"/>
        </w:rPr>
        <w:t>(2025)</w:t>
      </w:r>
      <w:r>
        <w:rPr>
          <w:rFonts w:ascii="Times New Roman" w:eastAsia="Consolas" w:hAnsi="Times New Roman"/>
          <w:szCs w:val="21"/>
        </w:rPr>
        <w:fldChar w:fldCharType="end"/>
      </w:r>
      <w:r>
        <w:rPr>
          <w:rFonts w:ascii="Times New Roman" w:eastAsia="Consolas" w:hAnsi="Times New Roman"/>
          <w:szCs w:val="21"/>
        </w:rPr>
        <w:t xml:space="preserve"> used knowledge graphs for teacher development, creating a collective pedagogical content knowledge graph to track personal PCK growth, mainly in student learning and strategies. These applications demonstrate the versatility of knowledge graphs across educational levels, from personalized paths to professional development.</w:t>
      </w:r>
    </w:p>
    <w:p w14:paraId="1E9323CD" w14:textId="77777777" w:rsidR="00403AEE" w:rsidRDefault="00B1391B">
      <w:pPr>
        <w:pStyle w:val="Heading3"/>
        <w:rPr>
          <w:rFonts w:ascii="Times New Roman" w:hAnsi="Times New Roman"/>
          <w:sz w:val="21"/>
          <w:szCs w:val="18"/>
        </w:rPr>
      </w:pPr>
      <w:r>
        <w:rPr>
          <w:rFonts w:ascii="Times New Roman" w:hAnsi="Times New Roman"/>
          <w:sz w:val="21"/>
          <w:szCs w:val="18"/>
        </w:rPr>
        <w:t>2.2 Theory and Practice of the Problem-Driven Teaching Method</w:t>
      </w:r>
    </w:p>
    <w:p w14:paraId="0DD120EE" w14:textId="77777777" w:rsidR="00403AEE" w:rsidRDefault="00B1391B">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Problem-driven teaching (PDT) centers on problems, making students active learners and teachers guides. It creates authentic scenarios to spark exploration and knowledge construction. Originating in 1950s medical education, PDT is now applied across fields.</w:t>
      </w:r>
    </w:p>
    <w:p w14:paraId="2AE907D4" w14:textId="77777777" w:rsidR="00403AEE" w:rsidRDefault="00B1391B">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 xml:space="preserve">In medical education, PDT often pairs with case-based methods to address complex clinical challenges. Liao Pengjun et al. </w:t>
      </w:r>
      <w:r>
        <w:rPr>
          <w:rFonts w:ascii="Times New Roman" w:eastAsia="Consolas" w:hAnsi="Times New Roman"/>
          <w:szCs w:val="21"/>
        </w:rPr>
        <w:fldChar w:fldCharType="begin"/>
      </w:r>
      <w:r>
        <w:rPr>
          <w:rFonts w:ascii="Times New Roman" w:eastAsia="Consolas" w:hAnsi="Times New Roman"/>
          <w:szCs w:val="21"/>
        </w:rPr>
        <w:instrText xml:space="preserve"> ADDIN ZOTERO_ITEM CSL_CITATION {"citationID":"LMBV58ib","properties":{"unsorted":false,"formattedCitation":"(2025)","plainCitation":"(2025)","noteIndex":0},"citationItems":[{"id":164,"uris":["http://zotero.org/users/12514566/items/9YHPMIUW"],"itemData":{"id":164,"type":"article-journal","abstract":"Abstract\n            In the training of lymphoma subspecialty physicians, confronted with the challenges of rapid knowledge updates and complex diagnosis and treatment decisions, this paper proposes a dual-track teaching model that integrates problem-based learning (PBL) and case-based learning (CBL). This model prompts trainees to actively explore knowledge through well-designed clinical problem chains and simulates the clinical decision-making process using selected real cases, aiming to enhance trainees’ independent diagnosis and treatment capabilities, critical thinking, and evidence-based decision-making skills. The teaching implementation emphasizes teacher guidance, group collaboration, and multidimensional ability assessment. This model can effectively stimulate learning motivation and promote the integration of clinical thinking and interdisciplinary knowledge. In the future, it is necessary to continuously optimize teacher capabilities, update case banks, and explore the application of new technologies.","container-title":"BMC Medical Education","DOI":"10.1186/s12909-025-08200-9","ISSN":"1472-6920","issue":"1","journalAbbreviation":"BMC Med Educ","language":"en","page":"1590","source":"DOI.org (Crossref)","title":"Dual-track drive for precision education: developing a targeted teaching model in the standardized training of lymphoma subspecialty physicians through the integration of problem-based learning and case-based learning","title-short":"Dual-track drive for precision education","volume":"25","author":[{"family":"Liao","given":"Pengjun"},{"family":"Liu","given":"Sichu"},{"family":"Luo","given":"Chengwei"},{"family":"Wei","given":"Xiaojuan"}],"issued":{"date-parts":[["2025",11,12]]}},"suppress-author":true}],"schema":"https://github.com/citation-style-language/schema/raw/master/csl-citation.json"} </w:instrText>
      </w:r>
      <w:r>
        <w:rPr>
          <w:rFonts w:ascii="Times New Roman" w:eastAsia="Consolas" w:hAnsi="Times New Roman"/>
          <w:szCs w:val="21"/>
        </w:rPr>
        <w:fldChar w:fldCharType="separate"/>
      </w:r>
      <w:r>
        <w:rPr>
          <w:rFonts w:ascii="Times New Roman" w:eastAsia="SimSun" w:hAnsi="Times New Roman"/>
        </w:rPr>
        <w:t>(2025)</w:t>
      </w:r>
      <w:r>
        <w:rPr>
          <w:rFonts w:ascii="Times New Roman" w:eastAsia="Consolas" w:hAnsi="Times New Roman"/>
          <w:szCs w:val="21"/>
        </w:rPr>
        <w:fldChar w:fldCharType="end"/>
      </w:r>
      <w:r>
        <w:rPr>
          <w:rFonts w:ascii="Times New Roman" w:eastAsia="Consolas" w:hAnsi="Times New Roman"/>
          <w:szCs w:val="21"/>
        </w:rPr>
        <w:t xml:space="preserve"> integrated PBL and CBL for lymphoma training, using problem chains and cases to improve diagnostic skills, critical thinking, and decision-making. Another study </w:t>
      </w:r>
      <w:r>
        <w:rPr>
          <w:rFonts w:ascii="Times New Roman" w:eastAsia="Consolas" w:hAnsi="Times New Roman"/>
          <w:szCs w:val="21"/>
        </w:rPr>
        <w:fldChar w:fldCharType="begin"/>
      </w:r>
      <w:r>
        <w:rPr>
          <w:rFonts w:ascii="Times New Roman" w:eastAsia="Consolas" w:hAnsi="Times New Roman"/>
          <w:szCs w:val="21"/>
        </w:rPr>
        <w:instrText xml:space="preserve"> ADDIN ZOTERO_ITEM CSL_CITATION {"citationID":"aYOU5BtU","properties":{"unsorted":false,"formattedCitation":"(Zheng Zhang, 2023)","plainCitation":"(Zheng Zhang, 2023)","noteIndex":0},"citationItems":[{"id":169,"uris":["http://zotero.org/users/12514566/items/X6RDALC9"],"itemData":{"id":169,"type":"article-journal","abstract":"This study aims to explore the application of problem driven learning mode in obstetrics and gynecology education. Traditional medical education methods have limitations in cultivating students' clinical thinking and problem-solving abilities. Problem driven learning is a problem-based educational method that promotes deep learning and practical skill development by actively engaging students in solving problems in real-world clinical cases. This study provides a detailed introduction to the principles of problem driven learning and its application in medical education, and proposes methods for designing and implementing problem driven learning in obstetrics and gynecology education. The study also emphasizes the importance of student participation and feedback to improve teaching quality. The problem driven learning model provides an innovative educational method for cultivating future obstetricians and gynecology doctors, which is expected to improve their clinical practice ability and patient care quality.","container-title":"Advances in Educational Technology and Psychology","DOI":"10.23977/aetp.2023.071218","ISSN":"23719397","issue":"12","journalAbbreviation":"aetp","source":"DOI.org (Crossref)","title":"Exploration and Implementation of Problem Driven Learning Model in Obstetrics and Gynecology Education","URL":"https://www.clausiuspress.com/article/9228.html","volume":"7","author":[{"literal":"Zheng Zhang"}],"accessed":{"date-parts":[["2026",1,29]]},"issued":{"date-parts":[["2023"]]}}}],"schema":"https://github.com/citation-style-language/schema/raw/master/csl-citation.json"} </w:instrText>
      </w:r>
      <w:r>
        <w:rPr>
          <w:rFonts w:ascii="Times New Roman" w:eastAsia="Consolas" w:hAnsi="Times New Roman"/>
          <w:szCs w:val="21"/>
        </w:rPr>
        <w:fldChar w:fldCharType="separate"/>
      </w:r>
      <w:r>
        <w:rPr>
          <w:rFonts w:ascii="Times New Roman" w:eastAsia="SimSun" w:hAnsi="Times New Roman"/>
        </w:rPr>
        <w:t>(Zheng Zhang, 2023)</w:t>
      </w:r>
      <w:r>
        <w:rPr>
          <w:rFonts w:ascii="Times New Roman" w:eastAsia="Consolas" w:hAnsi="Times New Roman"/>
          <w:szCs w:val="21"/>
        </w:rPr>
        <w:fldChar w:fldCharType="end"/>
      </w:r>
      <w:r>
        <w:rPr>
          <w:rFonts w:ascii="Times New Roman" w:eastAsia="Consolas" w:hAnsi="Times New Roman"/>
          <w:szCs w:val="21"/>
        </w:rPr>
        <w:t xml:space="preserve"> in obstetrics and gynecology noted traditional methods' shortcomings in clinical thinking, while PDT enhanced deep learning and skills via real cases.</w:t>
      </w:r>
    </w:p>
    <w:p w14:paraId="48DE20CA" w14:textId="77777777" w:rsidR="00403AEE" w:rsidRDefault="00B1391B">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 xml:space="preserve">In mathematics education, PDT has shown promise in fostering core competencies. Jin Chang </w:t>
      </w:r>
      <w:r>
        <w:rPr>
          <w:rFonts w:ascii="Times New Roman" w:eastAsia="Consolas" w:hAnsi="Times New Roman"/>
          <w:szCs w:val="21"/>
        </w:rPr>
        <w:fldChar w:fldCharType="begin"/>
      </w:r>
      <w:r>
        <w:rPr>
          <w:rFonts w:ascii="Times New Roman" w:eastAsia="Consolas" w:hAnsi="Times New Roman"/>
          <w:szCs w:val="21"/>
        </w:rPr>
        <w:instrText xml:space="preserve"> ADDIN ZOTERO_ITEM CSL_CITATION {"citationID":"PChIxzwK","properties":{"unsorted":false,"formattedCitation":"(2025)","plainCitation":"(2025)","noteIndex":0},"citationItems":[{"id":167,"uris":["http://zotero.org/users/12514566/items/4QYZJDGH"],"itemData":{"id":167,"type":"article-journal","abstract":"Problem-driven inquiry-based teaching is a student-centered teaching model that emphasizes stimulating students' curiosity and inquiry desire by posing authentic and meaningful questions. It guides them to actively think, cooperate in exploration, and construct knowledge, thus developing their abilities. Taking \"Determining the Perpendicularity of a Line and a Plane\" as an example, this paper demonstrates how problem-driven inquiry-based teaching can help students actively build knowledge, improve their core mathematical literacy, and provide a reference for frontline teachers.","container-title":"Frontiers in Educational Research","DOI":"10.25236/FER.2025.080402","ISSN":"25226398","issue":"4","journalAbbreviation":"FER","source":"DOI.org (Crossref)","title":"Research on problem-driven inquiry-based teaching for high school mathematics—Taking \"determining the perpendicularity of a line and a plane\" as an example","URL":"https://francis-press.com/papers/18653","volume":"8","author":[{"literal":"Chang Jin"}],"accessed":{"date-parts":[["2026",1,29]]},"issued":{"date-parts":[["2025"]]}},"suppress-author":true}],"schema":"https://github.com/citation-style-language/schema/raw/master/csl-citation.json"} </w:instrText>
      </w:r>
      <w:r>
        <w:rPr>
          <w:rFonts w:ascii="Times New Roman" w:eastAsia="Consolas" w:hAnsi="Times New Roman"/>
          <w:szCs w:val="21"/>
        </w:rPr>
        <w:fldChar w:fldCharType="separate"/>
      </w:r>
      <w:r>
        <w:rPr>
          <w:rFonts w:ascii="Times New Roman" w:eastAsia="SimSun" w:hAnsi="Times New Roman"/>
        </w:rPr>
        <w:t>(2025)</w:t>
      </w:r>
      <w:r>
        <w:rPr>
          <w:rFonts w:ascii="Times New Roman" w:eastAsia="Consolas" w:hAnsi="Times New Roman"/>
          <w:szCs w:val="21"/>
        </w:rPr>
        <w:fldChar w:fldCharType="end"/>
      </w:r>
      <w:r>
        <w:rPr>
          <w:rFonts w:ascii="Times New Roman" w:eastAsia="Consolas" w:hAnsi="Times New Roman"/>
          <w:szCs w:val="21"/>
        </w:rPr>
        <w:t xml:space="preserve"> applied PDT to high school geometry, aiding knowledge construction and literacy. Liu Zhenzhen </w:t>
      </w:r>
      <w:r>
        <w:rPr>
          <w:rFonts w:ascii="Times New Roman" w:eastAsia="Consolas" w:hAnsi="Times New Roman"/>
          <w:szCs w:val="21"/>
        </w:rPr>
        <w:fldChar w:fldCharType="begin"/>
      </w:r>
      <w:r>
        <w:rPr>
          <w:rFonts w:ascii="Times New Roman" w:eastAsia="Consolas" w:hAnsi="Times New Roman"/>
          <w:szCs w:val="21"/>
        </w:rPr>
        <w:instrText xml:space="preserve"> ADDIN ZOTERO_ITEM CSL_CITATION {"citationID":"cFohyJD1","properties":{"unsorted":false,"formattedCitation":"(2025)","plainCitation":"(2025)","noteIndex":0},"citationItems":[{"id":168,"uris":["http://zotero.org/users/12514566/items/6D4JGE84"],"itemData":{"id":168,"type":"article-journal","abstract":"With the in-depth advancement of the new curriculum reform, the cultivation of subject literacy has become the focus of basic education, which also puts forward higher requirements for teaching work. The problem-driven method is a teaching model that emerged in the context of educational reform, and it meets the requirements of the new era’s educational reform. Under the application of the problem-driven teaching method, teachers should strengthen teaching work, emphasize the problems, key and difficult points in teaching, encourage students to think in depth, and help them form comprehensive quality and ability. Based on this, this paper deeply explores the principles of problem-driven teaching design in junior high school mathematics, and on this basis, puts forward the classroom teaching strategies of junior high school mathematics based on the problem-driven method, hoping to provide useful references for more junior high school mathematics educators.","container-title":"Education Reform and Development","DOI":"10.26689/erd.v7i8.11719","ISSN":"2652-5372, 2652-5364","issue":"8","journalAbbreviation":"erd","page":"15-21","source":"DOI.org (Crossref)","title":"Teaching Strategies of Junior High School Mathematics Classroom Based on Problem-Driven Method","volume":"7","author":[{"family":"Liu","given":"Zhenzhen"}],"issued":{"date-parts":[["2025",8,29]]}},"suppress-author":true}],"schema":"https://github.com/citation-style-language/schema/raw/master/csl-citation.json"} </w:instrText>
      </w:r>
      <w:r>
        <w:rPr>
          <w:rFonts w:ascii="Times New Roman" w:eastAsia="Consolas" w:hAnsi="Times New Roman"/>
          <w:szCs w:val="21"/>
        </w:rPr>
        <w:fldChar w:fldCharType="separate"/>
      </w:r>
      <w:r>
        <w:rPr>
          <w:rFonts w:ascii="Times New Roman" w:eastAsia="SimSun" w:hAnsi="Times New Roman"/>
        </w:rPr>
        <w:t>(2025)</w:t>
      </w:r>
      <w:r>
        <w:rPr>
          <w:rFonts w:ascii="Times New Roman" w:eastAsia="Consolas" w:hAnsi="Times New Roman"/>
          <w:szCs w:val="21"/>
        </w:rPr>
        <w:fldChar w:fldCharType="end"/>
      </w:r>
      <w:r>
        <w:rPr>
          <w:rFonts w:ascii="Times New Roman" w:eastAsia="Consolas" w:hAnsi="Times New Roman"/>
          <w:szCs w:val="21"/>
        </w:rPr>
        <w:t xml:space="preserve"> outlined PDT principles for middle school mathematics, focusing on problems, key points, and deep thinking. These examples illustrate PDT's adaptability from medical training to school-level subjects, emphasizing its role in promoting active inquiry and skill development.</w:t>
      </w:r>
    </w:p>
    <w:p w14:paraId="0C9CB7E2" w14:textId="77777777" w:rsidR="00403AEE" w:rsidRDefault="00B1391B">
      <w:pPr>
        <w:pStyle w:val="Heading3"/>
        <w:rPr>
          <w:rFonts w:ascii="Times New Roman" w:hAnsi="Times New Roman"/>
          <w:sz w:val="21"/>
          <w:szCs w:val="18"/>
        </w:rPr>
      </w:pPr>
      <w:r>
        <w:rPr>
          <w:rFonts w:ascii="Times New Roman" w:hAnsi="Times New Roman"/>
          <w:sz w:val="21"/>
          <w:szCs w:val="18"/>
        </w:rPr>
        <w:lastRenderedPageBreak/>
        <w:t>2.3 Integration of Knowledge Graphs and Problem-Driven Teaching</w:t>
      </w:r>
    </w:p>
    <w:p w14:paraId="73470C0D" w14:textId="77777777" w:rsidR="00403AEE" w:rsidRDefault="00B1391B">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Knowledge graphs and PDT complement each other naturally. PDT focuses on inquiry but risks knowledge compartmentalization; knowledge graphs provide a systematic framework for navigation and support.</w:t>
      </w:r>
    </w:p>
    <w:p w14:paraId="07A63C59" w14:textId="77777777" w:rsidR="00403AEE" w:rsidRDefault="00B1391B">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Their integration can be observed in three aspects. First, knowledge graphs inform structured problem design, creating hierarchical question sequences to build complete networks. Second, PDT enables dynamic graph updates via student-generated insights, fostering a feedback loop. Third, together they cultivate higher-order thinking: graphs support analysis and synthesis, while PDT offers practice contexts, aligning with Bloom's Taxonomy.</w:t>
      </w:r>
    </w:p>
    <w:p w14:paraId="0F65CBEC" w14:textId="77777777" w:rsidR="00403AEE" w:rsidRDefault="00B1391B">
      <w:pPr>
        <w:widowControl/>
        <w:shd w:val="clear" w:color="auto" w:fill="FFFFFF"/>
        <w:spacing w:line="285" w:lineRule="atLeast"/>
        <w:rPr>
          <w:rFonts w:ascii="Times New Roman" w:eastAsia="Consolas" w:hAnsi="Times New Roman"/>
          <w:szCs w:val="21"/>
        </w:rPr>
      </w:pPr>
      <w:r>
        <w:rPr>
          <w:rFonts w:ascii="Times New Roman" w:eastAsia="Consolas" w:hAnsi="Times New Roman"/>
          <w:szCs w:val="21"/>
        </w:rPr>
        <w:t>Current integration research is nascent but promising. Yang Dingding et al. (2026) combined them in chemical safety education for a progressive model. Liu Xia et al. (2025) used graphs to support blended teaching in medicine.</w:t>
      </w:r>
    </w:p>
    <w:p w14:paraId="4F4CC8F1" w14:textId="77777777" w:rsidR="00403AEE" w:rsidRDefault="00B1391B">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Despite progress, challenges persist: limited interdisciplinary studies, weak theoretical foundations, incomplete evaluations, and technical barriers for teachers.</w:t>
      </w:r>
    </w:p>
    <w:p w14:paraId="4FC5A5D5" w14:textId="77777777" w:rsidR="00403AEE" w:rsidRDefault="00B1391B">
      <w:pPr>
        <w:widowControl/>
        <w:shd w:val="clear" w:color="auto" w:fill="FFFFFF"/>
        <w:spacing w:line="285" w:lineRule="atLeast"/>
        <w:rPr>
          <w:rFonts w:ascii="Times New Roman" w:eastAsia="Consolas" w:hAnsi="Times New Roman"/>
          <w:szCs w:val="21"/>
        </w:rPr>
      </w:pPr>
      <w:r>
        <w:rPr>
          <w:rFonts w:ascii="Times New Roman" w:eastAsia="Consolas" w:hAnsi="Times New Roman"/>
          <w:szCs w:val="21"/>
        </w:rPr>
        <w:t>Future directions include developing cross-disciplinary models, deepening integration theories, creating user-friendly tools, and establishing robust evaluation systems.</w:t>
      </w:r>
    </w:p>
    <w:p w14:paraId="6C77C5E0" w14:textId="77777777" w:rsidR="00403AEE" w:rsidRDefault="00B1391B">
      <w:pPr>
        <w:widowControl/>
        <w:shd w:val="clear" w:color="auto" w:fill="FFFFFF"/>
        <w:spacing w:line="285" w:lineRule="atLeast"/>
        <w:rPr>
          <w:rFonts w:ascii="Times New Roman" w:eastAsia="Consolas" w:hAnsi="Times New Roman"/>
          <w:szCs w:val="21"/>
        </w:rPr>
      </w:pPr>
      <w:r>
        <w:rPr>
          <w:rFonts w:ascii="Times New Roman" w:eastAsia="Consolas" w:hAnsi="Times New Roman"/>
          <w:szCs w:val="21"/>
        </w:rPr>
        <w:t>Through this literature review, knowledge graphs have advanced from visualization to personalized and intelligent applications, aiding educational digitization. PDT excels in student-centered higher-order skill development. Integration research is emerging, with verified complementarity.</w:t>
      </w:r>
    </w:p>
    <w:p w14:paraId="49EF18FC" w14:textId="77777777" w:rsidR="00403AEE" w:rsidRDefault="00B1391B">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This study integrates knowledge graphs and PDT for an innovative advanced mathematics model. It will build a graph to reveal connections, design graph-based PDT, validate via empirical research, and offer practical reforms. Innovations include pioneering deep integration, tailoring to advanced mathematics, and empirical validation.</w:t>
      </w:r>
    </w:p>
    <w:p w14:paraId="749E6A10" w14:textId="77777777" w:rsidR="00403AEE" w:rsidRDefault="00B1391B">
      <w:pPr>
        <w:pStyle w:val="Heading2"/>
        <w:rPr>
          <w:rFonts w:ascii="Times New Roman" w:hAnsi="Times New Roman"/>
          <w:sz w:val="24"/>
          <w:szCs w:val="21"/>
        </w:rPr>
      </w:pPr>
      <w:r>
        <w:rPr>
          <w:rFonts w:ascii="Times New Roman" w:hAnsi="Times New Roman"/>
          <w:sz w:val="24"/>
          <w:szCs w:val="21"/>
        </w:rPr>
        <w:t>3. Teaching Model Design and Implementation Strategies</w:t>
      </w:r>
    </w:p>
    <w:p w14:paraId="7C57E4F0" w14:textId="77777777" w:rsidR="00403AEE" w:rsidRDefault="00B1391B">
      <w:pPr>
        <w:pStyle w:val="Heading3"/>
        <w:rPr>
          <w:rFonts w:ascii="Times New Roman" w:hAnsi="Times New Roman"/>
          <w:sz w:val="21"/>
          <w:szCs w:val="18"/>
        </w:rPr>
      </w:pPr>
      <w:r>
        <w:rPr>
          <w:rFonts w:ascii="Times New Roman" w:hAnsi="Times New Roman"/>
          <w:sz w:val="21"/>
          <w:szCs w:val="18"/>
        </w:rPr>
        <w:t>3.1 Construction of the Knowledge Graph-Integrated Problem-Driven Teaching Model</w:t>
      </w:r>
    </w:p>
    <w:p w14:paraId="52F6D894" w14:textId="77777777" w:rsidR="00403AEE" w:rsidRDefault="00B1391B">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t>The model focuses on the deep integration of systematic knowledge representation with inquiry-based learning. Based on Constructivist and Cognitive Load Theories, it emphasizes active meaning construction through interactions. Problem-driven teaching creates scenarios to spark cognitive conflict and exploration. Knowledge graphs structure disciplinary logic, reducing extraneous load and optimizing resources for deep understanding.</w:t>
      </w:r>
    </w:p>
    <w:p w14:paraId="62DF7650" w14:textId="77777777" w:rsidR="00403AEE" w:rsidRDefault="00B1391B">
      <w:pPr>
        <w:widowControl/>
        <w:shd w:val="clear" w:color="auto" w:fill="FFFFFF"/>
        <w:spacing w:line="285" w:lineRule="atLeast"/>
        <w:ind w:firstLineChars="200" w:firstLine="420"/>
        <w:rPr>
          <w:rFonts w:ascii="Times New Roman" w:eastAsia="Consolas" w:hAnsi="Times New Roman"/>
          <w:szCs w:val="21"/>
        </w:rPr>
      </w:pPr>
      <w:r>
        <w:rPr>
          <w:rFonts w:ascii="Times New Roman" w:eastAsia="Consolas" w:hAnsi="Times New Roman"/>
          <w:szCs w:val="21"/>
        </w:rPr>
        <w:lastRenderedPageBreak/>
        <w:t>The model has three cycling modules: Knowledge Graph Construction, Problem-Driven Teaching, and Assessment/Feedback. They form a closed loop of design, implementation, assessment, and optimization (Figure 1).</w:t>
      </w:r>
    </w:p>
    <w:p w14:paraId="31CABF05" w14:textId="77777777" w:rsidR="00403AEE" w:rsidRDefault="00B1391B">
      <w:pPr>
        <w:widowControl/>
        <w:shd w:val="clear" w:color="auto" w:fill="FFFFFF"/>
        <w:spacing w:line="285" w:lineRule="atLeast"/>
        <w:jc w:val="center"/>
        <w:rPr>
          <w:rFonts w:ascii="Times New Roman" w:hAnsi="Times New Roman"/>
          <w:b/>
          <w:bCs/>
        </w:rPr>
      </w:pPr>
      <w:r>
        <w:rPr>
          <w:rFonts w:ascii="Times New Roman" w:hAnsi="Times New Roman"/>
          <w:noProof/>
        </w:rPr>
        <w:drawing>
          <wp:inline distT="0" distB="0" distL="114300" distR="114300" wp14:anchorId="2CB2B086" wp14:editId="5E2ABCCD">
            <wp:extent cx="5267325" cy="2659380"/>
            <wp:effectExtent l="0" t="0" r="952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67325" cy="2659380"/>
                    </a:xfrm>
                    <a:prstGeom prst="rect">
                      <a:avLst/>
                    </a:prstGeom>
                    <a:noFill/>
                    <a:ln>
                      <a:noFill/>
                    </a:ln>
                  </pic:spPr>
                </pic:pic>
              </a:graphicData>
            </a:graphic>
          </wp:inline>
        </w:drawing>
      </w:r>
      <w:r>
        <w:rPr>
          <w:rFonts w:ascii="Times New Roman" w:hAnsi="Times New Roman"/>
        </w:rPr>
        <w:br/>
      </w:r>
      <w:r>
        <w:rPr>
          <w:rFonts w:ascii="Times New Roman" w:hAnsi="Times New Roman"/>
          <w:b/>
          <w:bCs/>
        </w:rPr>
        <w:t>Figure 1. Knowledge Graph-Integrated Problem-Driven Teaching Model Framework</w:t>
      </w:r>
    </w:p>
    <w:p w14:paraId="4A0EE221" w14:textId="77777777" w:rsidR="00403AEE" w:rsidRDefault="00B1391B">
      <w:pPr>
        <w:widowControl/>
        <w:shd w:val="clear" w:color="auto" w:fill="FFFFFF"/>
        <w:spacing w:line="285" w:lineRule="atLeast"/>
        <w:ind w:firstLineChars="200" w:firstLine="420"/>
        <w:rPr>
          <w:rFonts w:ascii="Times New Roman" w:hAnsi="Times New Roman"/>
        </w:rPr>
      </w:pPr>
      <w:r>
        <w:rPr>
          <w:rFonts w:ascii="Times New Roman" w:hAnsi="Times New Roman"/>
        </w:rPr>
        <w:t>The Problem-Driven Teaching Module serves as the core engine of the model. This module utilizes the knowledge graph as a navigational blueprint to design and implement instruction. Its operation consists of three stages: 1) Problem Design Phase: Based on the structure and relationships within the knowledge graph, a logically interconnected "tiered problem chain" is designed. This chain spans multiple levels, progressing from foundational questions involving factual and conceptual knowledge to higher-order problems requiring analysis, synthesis, and creation. 2) Problem Inquiry Phase: The teacher presents the problem scenario, after which students engage in self-directed inquiry—individually or in groups—to find solutions, using the knowledge graph as a cognitive map. During this process, the knowledge graph helps students locate relevant information, understand conceptual connections, and plan solution paths. 3) Knowledge Construction Phase: Students integrate new understandings, methods, and case studies gained from the inquiry into their personal or shared class knowledge graph by adding annotations, creating links, or inserting new nodes. This facilitates the internalization and deepening of shared knowledge into individual cognitive structures.</w:t>
      </w:r>
    </w:p>
    <w:p w14:paraId="3805F87C" w14:textId="77777777" w:rsidR="00403AEE" w:rsidRDefault="00B1391B">
      <w:pPr>
        <w:widowControl/>
        <w:shd w:val="clear" w:color="auto" w:fill="FFFFFF"/>
        <w:spacing w:line="285" w:lineRule="atLeast"/>
        <w:ind w:firstLineChars="200" w:firstLine="420"/>
        <w:rPr>
          <w:rFonts w:ascii="Times New Roman" w:hAnsi="Times New Roman"/>
        </w:rPr>
      </w:pPr>
      <w:r>
        <w:rPr>
          <w:rFonts w:ascii="Times New Roman" w:hAnsi="Times New Roman"/>
        </w:rPr>
        <w:t xml:space="preserve">The Assessment and Feedback Module ensures the continuous optimization of the model. It employs a diversified, mixed-methods evaluation approach that runs throughout the teaching process. Formative assessment focuses on students' performance during problem inquiry, such as their abilities in information retrieval and integration, critical thinking, and collaborative communication. This can be analyzed through learning behavior data, discussion records, and procedural artifacts. Summative assessment, conducted via standardized tests and comprehensive </w:t>
      </w:r>
      <w:r>
        <w:rPr>
          <w:rFonts w:ascii="Times New Roman" w:hAnsi="Times New Roman"/>
        </w:rPr>
        <w:lastRenderedPageBreak/>
        <w:t>project reports, evaluates students' mastery of structured knowledge and the development of higher-order thinking skills, including analysis, evaluation, and creation. All assessment data is systematically collected and analyzed to serve a dual purpose: first, providing personalized feedback and guidance to students; second, informing refinements to the Knowledge Graph Construction Module and the Problem-Driven Teaching Module. This includes updating relationships within the graph, optimizing problem design, and adjusting teaching strategies, thereby enabling the iterative evolution of the teaching model.</w:t>
      </w:r>
    </w:p>
    <w:p w14:paraId="581A877C" w14:textId="77777777" w:rsidR="00403AEE" w:rsidRDefault="00B1391B">
      <w:pPr>
        <w:widowControl/>
        <w:shd w:val="clear" w:color="auto" w:fill="FFFFFF"/>
        <w:spacing w:line="285" w:lineRule="atLeast"/>
        <w:ind w:firstLineChars="200" w:firstLine="420"/>
        <w:rPr>
          <w:rFonts w:ascii="Times New Roman" w:hAnsi="Times New Roman"/>
        </w:rPr>
      </w:pPr>
      <w:r>
        <w:rPr>
          <w:rFonts w:ascii="Times New Roman" w:hAnsi="Times New Roman"/>
        </w:rPr>
        <w:t>By combining systematic knowledge support with an active inquiry process, this model effectively addresses prevalent issues in traditional teaching—such as the disconnection between knowledge transmission and skill development, and the compartmentalization of knowledge acquisition. It provides a structured instructional pathway for fostering students' higher-order thinking skills.</w:t>
      </w:r>
    </w:p>
    <w:p w14:paraId="0CCC831B" w14:textId="77777777" w:rsidR="00403AEE" w:rsidRDefault="00B1391B">
      <w:pPr>
        <w:pStyle w:val="Heading3"/>
        <w:rPr>
          <w:rFonts w:ascii="Times New Roman" w:hAnsi="Times New Roman"/>
          <w:sz w:val="21"/>
          <w:szCs w:val="18"/>
        </w:rPr>
      </w:pPr>
      <w:r>
        <w:rPr>
          <w:rFonts w:ascii="Times New Roman" w:hAnsi="Times New Roman"/>
          <w:sz w:val="21"/>
          <w:szCs w:val="18"/>
        </w:rPr>
        <w:t>3.2 Design of Teaching Cases</w:t>
      </w:r>
    </w:p>
    <w:p w14:paraId="1CCE5B3B" w14:textId="77777777" w:rsidR="00403AEE" w:rsidRDefault="00B1391B">
      <w:pPr>
        <w:widowControl/>
        <w:shd w:val="clear" w:color="auto" w:fill="FFFFFF"/>
        <w:spacing w:line="285" w:lineRule="atLeast"/>
        <w:ind w:firstLineChars="200" w:firstLine="420"/>
        <w:rPr>
          <w:rFonts w:ascii="Times New Roman" w:hAnsi="Times New Roman"/>
        </w:rPr>
      </w:pPr>
      <w:r>
        <w:rPr>
          <w:rFonts w:ascii="Times New Roman" w:hAnsi="Times New Roman"/>
        </w:rPr>
        <w:t>To concretely illustrate the application of the model, this study selects the content units "Multivariable Differential Calculus" and "Curve Integrals" and designs the following teaching cases.</w:t>
      </w:r>
    </w:p>
    <w:p w14:paraId="338EB7A8" w14:textId="77777777" w:rsidR="00403AEE" w:rsidRDefault="00B1391B">
      <w:pPr>
        <w:pStyle w:val="Heading4"/>
        <w:rPr>
          <w:rFonts w:ascii="Times New Roman" w:hAnsi="Times New Roman"/>
          <w:sz w:val="21"/>
          <w:szCs w:val="20"/>
        </w:rPr>
      </w:pPr>
      <w:r>
        <w:rPr>
          <w:rFonts w:ascii="Times New Roman" w:hAnsi="Times New Roman"/>
          <w:sz w:val="21"/>
          <w:szCs w:val="20"/>
        </w:rPr>
        <w:t>3.2.1 Case 1: Construction and Application of the Knowledge Graph for Multivariable Differential Calculus</w:t>
      </w:r>
    </w:p>
    <w:p w14:paraId="05287DFA" w14:textId="77777777" w:rsidR="00403AEE" w:rsidRDefault="00B1391B">
      <w:pPr>
        <w:widowControl/>
        <w:shd w:val="clear" w:color="auto" w:fill="FFFFFF"/>
        <w:spacing w:line="285" w:lineRule="atLeast"/>
        <w:ind w:firstLineChars="200" w:firstLine="420"/>
        <w:rPr>
          <w:rFonts w:ascii="Times New Roman" w:hAnsi="Times New Roman"/>
        </w:rPr>
      </w:pPr>
      <w:r>
        <w:rPr>
          <w:rFonts w:ascii="Times New Roman" w:hAnsi="Times New Roman"/>
        </w:rPr>
        <w:t>This case addresses the teaching challenges arising from the abstract and interconnected concepts in multivariable differential calculus. First, the knowledge graph for this unit is constructed: with "Multivariable Differential Calculus" as the root node, it branches into three main trunks—"Conceptual System," "Computational System," and "Application System." The "Conceptual System" branch delineates the conceptual progression from "Partial Derivatives" (describing changes along coordinate axes) to "Directional Derivatives" (describing changes in arbitrary directions) and then to "Gradient" (integrating information from all directional derivatives and indicating the direction of steepest ascent). This branch connects via the "Geometric Interpretation" node to concepts such as tangent planes and normal lines of surfaces. The "Computational System" branch links various differentiation rules, while the "Application System" branch extends to optimization problems, including "Unconstrained Extrema" and "Constrained Extrema" (using the Lagrange Multipliers Method). Semantic relationships between concepts—such as "generalization," "special case," and "applied to"—are explicitly annotated in the graph (Figure 2).</w:t>
      </w:r>
    </w:p>
    <w:p w14:paraId="7D75A068" w14:textId="77777777" w:rsidR="00403AEE" w:rsidRDefault="00B1391B">
      <w:pPr>
        <w:widowControl/>
        <w:shd w:val="clear" w:color="auto" w:fill="FFFFFF"/>
        <w:spacing w:line="285" w:lineRule="atLeast"/>
        <w:jc w:val="center"/>
        <w:rPr>
          <w:rFonts w:ascii="Times New Roman" w:hAnsi="Times New Roman"/>
        </w:rPr>
      </w:pPr>
      <w:r>
        <w:rPr>
          <w:rFonts w:ascii="Times New Roman" w:hAnsi="Times New Roman"/>
          <w:noProof/>
        </w:rPr>
        <w:lastRenderedPageBreak/>
        <w:drawing>
          <wp:inline distT="0" distB="0" distL="114300" distR="114300" wp14:anchorId="2899E030" wp14:editId="323A5181">
            <wp:extent cx="3508375" cy="3893820"/>
            <wp:effectExtent l="0" t="0" r="15875" b="114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3508375" cy="3893820"/>
                    </a:xfrm>
                    <a:prstGeom prst="rect">
                      <a:avLst/>
                    </a:prstGeom>
                    <a:noFill/>
                    <a:ln>
                      <a:noFill/>
                    </a:ln>
                  </pic:spPr>
                </pic:pic>
              </a:graphicData>
            </a:graphic>
          </wp:inline>
        </w:drawing>
      </w:r>
    </w:p>
    <w:p w14:paraId="2497A5A7" w14:textId="77777777" w:rsidR="00403AEE" w:rsidRDefault="00B1391B">
      <w:pPr>
        <w:widowControl/>
        <w:shd w:val="clear" w:color="auto" w:fill="FFFFFF"/>
        <w:spacing w:line="285" w:lineRule="atLeast"/>
        <w:jc w:val="center"/>
        <w:rPr>
          <w:rFonts w:ascii="Times New Roman" w:eastAsia="Consolas" w:hAnsi="Times New Roman"/>
          <w:b/>
          <w:bCs/>
          <w:szCs w:val="21"/>
        </w:rPr>
      </w:pPr>
      <w:r>
        <w:rPr>
          <w:rFonts w:ascii="Times New Roman" w:eastAsia="Consolas" w:hAnsi="Times New Roman"/>
          <w:b/>
          <w:bCs/>
          <w:kern w:val="0"/>
          <w:szCs w:val="21"/>
          <w:shd w:val="clear" w:color="auto" w:fill="FFFFFF"/>
          <w:lang w:bidi="ar"/>
        </w:rPr>
        <w:t>Figure 2. Knowledge Graph of Multivariable Differential Calculus</w:t>
      </w:r>
    </w:p>
    <w:p w14:paraId="68BAB27C" w14:textId="77777777" w:rsidR="00403AEE" w:rsidRDefault="00403AEE">
      <w:pPr>
        <w:widowControl/>
        <w:shd w:val="clear" w:color="auto" w:fill="FFFFFF"/>
        <w:spacing w:line="285" w:lineRule="atLeast"/>
        <w:rPr>
          <w:rFonts w:ascii="Times New Roman" w:hAnsi="Times New Roman"/>
        </w:rPr>
      </w:pPr>
    </w:p>
    <w:p w14:paraId="5D5E2F70" w14:textId="77777777" w:rsidR="00403AEE" w:rsidRDefault="00B1391B">
      <w:pPr>
        <w:widowControl/>
        <w:shd w:val="clear" w:color="auto" w:fill="FFFFFF"/>
        <w:spacing w:line="285" w:lineRule="atLeast"/>
        <w:ind w:firstLineChars="200" w:firstLine="420"/>
        <w:rPr>
          <w:rFonts w:ascii="Times New Roman" w:hAnsi="Times New Roman"/>
        </w:rPr>
      </w:pPr>
      <w:r>
        <w:rPr>
          <w:rFonts w:ascii="Times New Roman" w:hAnsi="Times New Roman"/>
        </w:rPr>
        <w:t xml:space="preserve">Based on this graph, a tiered problem chain is designed to progressively deepen students' thinking. First-tier problems (Conceptual Understanding) include, for example: "By analogy with the derivative of a single-variable function, what is the geometric meaning of the partial derivative of a two-variable function? Why does it only reflect 'local' properties?" This question guides students to leverage analogical relationships in the graph for initial comprehension. Second-tier problems (Relationship Analysis and Application) include: "How are partial derivatives 'synthesized' to yield the directional derivative in any arbitrary direction? Why does the gradient direction represent the steepest ascent in function value? Please explain the relationship between the gradient's magnitude and the maximum directional derivative, referencing the graph." This question prompts students to trace the derivation path "Partial Derivatives → Directional Derivatives → Gradient" in the graph, fostering knowledge association and integration. Third-tier problems (Synthesis, Transfer, and Creation) present a realistic scenario: "Suppose a mountainous terrain is modeled by a two-variable function. As a rescue team member, how would you use the gradient concept to plan the fastest ascent path? Please model this and discuss the method's practical limitations and potential improvements." This higher-order problem encourages students to link the "Application System" in the graph to real-world issues, promoting critical application and innovative thinking. During implementation, students use the graph as a navigation tool, engage in group discussions, and add the newly developed "Application Case of Gradient in Path </w:t>
      </w:r>
      <w:r>
        <w:rPr>
          <w:rFonts w:ascii="Times New Roman" w:hAnsi="Times New Roman"/>
        </w:rPr>
        <w:lastRenderedPageBreak/>
        <w:t>Optimization" as supplementary knowledge to the graph, completing the cycle from knowledge understanding to creation.</w:t>
      </w:r>
    </w:p>
    <w:p w14:paraId="014EC737" w14:textId="77777777" w:rsidR="00403AEE" w:rsidRDefault="00B1391B">
      <w:pPr>
        <w:pStyle w:val="Heading4"/>
        <w:rPr>
          <w:rFonts w:ascii="Times New Roman" w:hAnsi="Times New Roman"/>
          <w:sz w:val="21"/>
          <w:szCs w:val="20"/>
        </w:rPr>
      </w:pPr>
      <w:r>
        <w:rPr>
          <w:rFonts w:ascii="Times New Roman" w:hAnsi="Times New Roman"/>
          <w:sz w:val="21"/>
          <w:szCs w:val="20"/>
        </w:rPr>
        <w:t>3.2.2 Case 2: Construction of the Knowledge Graph and Problem-Driven Teaching for Curve Integrals</w:t>
      </w:r>
    </w:p>
    <w:p w14:paraId="463D2F32" w14:textId="77777777" w:rsidR="00403AEE" w:rsidRDefault="00B1391B">
      <w:pPr>
        <w:widowControl/>
        <w:shd w:val="clear" w:color="auto" w:fill="FFFFFF"/>
        <w:spacing w:line="285" w:lineRule="atLeast"/>
        <w:ind w:firstLineChars="200" w:firstLine="420"/>
        <w:rPr>
          <w:rFonts w:ascii="Times New Roman" w:hAnsi="Times New Roman"/>
        </w:rPr>
      </w:pPr>
      <w:r>
        <w:rPr>
          <w:rFonts w:ascii="Times New Roman" w:hAnsi="Times New Roman"/>
        </w:rPr>
        <w:t>This case focuses on distinguishing between the often-confused Line Integrals of the First Kind (with respect to arc length) and the Second Kind (with respect to coordinates). The knowledge graph employs a comparative structure, centered on "Curve Integrals," with parallel branches for the two types. Each branch outlines its "Physical Background" (e.g., calculating mass vs. work/flow), "Mathematical Definition" (summation of scalars vs. vector projections), "Properties," and "Calculation Methods." A key node, "Connections and Differences," bridges the branches to emphasize their essential distinctions. Additionally, the core node "Green's Theorem" establishes a transformation relationship between Second Kind curve integrals (under certain conditions) and double integrals, with applicability conditions clearly noted (Figure 3).</w:t>
      </w:r>
    </w:p>
    <w:p w14:paraId="34485D12" w14:textId="77777777" w:rsidR="00403AEE" w:rsidRDefault="00B1391B">
      <w:pPr>
        <w:widowControl/>
        <w:shd w:val="clear" w:color="auto" w:fill="FFFFFF"/>
        <w:spacing w:line="285" w:lineRule="atLeast"/>
        <w:rPr>
          <w:rFonts w:ascii="Times New Roman" w:hAnsi="Times New Roman"/>
        </w:rPr>
      </w:pPr>
      <w:r>
        <w:rPr>
          <w:rFonts w:ascii="Times New Roman" w:hAnsi="Times New Roman"/>
          <w:noProof/>
        </w:rPr>
        <w:drawing>
          <wp:inline distT="0" distB="0" distL="114300" distR="114300" wp14:anchorId="025580F5" wp14:editId="2540E83C">
            <wp:extent cx="5272405" cy="4305300"/>
            <wp:effectExtent l="0" t="0" r="4445" b="0"/>
            <wp:docPr id="4" name="图片 4" descr="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anvas"/>
                    <pic:cNvPicPr>
                      <a:picLocks noChangeAspect="1"/>
                    </pic:cNvPicPr>
                  </pic:nvPicPr>
                  <pic:blipFill>
                    <a:blip r:embed="rId9"/>
                    <a:stretch>
                      <a:fillRect/>
                    </a:stretch>
                  </pic:blipFill>
                  <pic:spPr>
                    <a:xfrm>
                      <a:off x="0" y="0"/>
                      <a:ext cx="5272405" cy="4305300"/>
                    </a:xfrm>
                    <a:prstGeom prst="rect">
                      <a:avLst/>
                    </a:prstGeom>
                  </pic:spPr>
                </pic:pic>
              </a:graphicData>
            </a:graphic>
          </wp:inline>
        </w:drawing>
      </w:r>
    </w:p>
    <w:p w14:paraId="57273A8D" w14:textId="77777777" w:rsidR="00403AEE" w:rsidRDefault="00B1391B">
      <w:pPr>
        <w:widowControl/>
        <w:shd w:val="clear" w:color="auto" w:fill="FFFFFF"/>
        <w:spacing w:line="285" w:lineRule="atLeast"/>
        <w:jc w:val="center"/>
        <w:rPr>
          <w:rFonts w:ascii="Times New Roman" w:hAnsi="Times New Roman"/>
        </w:rPr>
      </w:pPr>
      <w:r>
        <w:rPr>
          <w:rFonts w:ascii="Times New Roman" w:eastAsia="Consolas" w:hAnsi="Times New Roman"/>
          <w:kern w:val="0"/>
          <w:szCs w:val="21"/>
          <w:shd w:val="clear" w:color="auto" w:fill="FFFFFF"/>
          <w:lang w:bidi="ar"/>
        </w:rPr>
        <w:t>Figure 3. Knowledge Graph of Curve Integrals</w:t>
      </w:r>
    </w:p>
    <w:p w14:paraId="16FE2A36" w14:textId="77777777" w:rsidR="00403AEE" w:rsidRDefault="00B1391B">
      <w:pPr>
        <w:widowControl/>
        <w:shd w:val="clear" w:color="auto" w:fill="FFFFFF"/>
        <w:spacing w:line="285" w:lineRule="atLeast"/>
        <w:ind w:firstLineChars="200" w:firstLine="420"/>
        <w:rPr>
          <w:rFonts w:ascii="Times New Roman" w:hAnsi="Times New Roman"/>
        </w:rPr>
      </w:pPr>
      <w:r>
        <w:rPr>
          <w:rFonts w:ascii="Times New Roman" w:hAnsi="Times New Roman"/>
        </w:rPr>
        <w:t xml:space="preserve">Instruction centers on a series of comparative inquiry-based problems. Problem 1 (Discriminating Physical Essence): "Why is the Line Integral of the First Kind used to compute the mass of a curved object, while the Second Kind calculates work done by a variable force? </w:t>
      </w:r>
      <w:r>
        <w:rPr>
          <w:rFonts w:ascii="Times New Roman" w:hAnsi="Times New Roman"/>
        </w:rPr>
        <w:lastRenderedPageBreak/>
        <w:t>Explain the fundamental difference in terms of the integrand's composition." This question directs students to explore the graph's branches, clarifying concepts from physical origins and mathematical definitions. Problem 2 (Computational Exploration and Discovering Intrinsic Connections): "Calculate a given Line Integral of the First Kind and Second Kind over the same curve and observe the processes. Under what conditions does the Second Kind integral become path-independent? Which graph node suggests this possibility?" This problem allows students to experience differences through computation and connect to the "Green's Theorem" node and its conditions, building a foundation for understanding conservative fields in vector calculus. Problem 3 (Synthesis and Transformative Application): "Explain how Green's Theorem facilitates transformation between integral types. Design a specific problem to demonstrate its advantage in simplifying calculations, and analyze scenarios where the theorem may fail." This problem requires students to synthesize the "Connections," "Green's Theorem," and "Conditions" elements in the graph, engaging in knowledge integration, application, and critical evaluation to deepen their appreciation of mathematical rigor. Throughout the process, students use the graph for comparative learning, associative inquiry, and integrated application, effectively resolving conceptual confusion and building a systematic knowledge network.</w:t>
      </w:r>
    </w:p>
    <w:p w14:paraId="2FA61E2E" w14:textId="77777777" w:rsidR="00403AEE" w:rsidRDefault="00B1391B">
      <w:pPr>
        <w:pStyle w:val="Heading3"/>
        <w:rPr>
          <w:rFonts w:ascii="Times New Roman" w:hAnsi="Times New Roman"/>
          <w:sz w:val="21"/>
          <w:szCs w:val="18"/>
        </w:rPr>
      </w:pPr>
      <w:r>
        <w:rPr>
          <w:rFonts w:ascii="Times New Roman" w:hAnsi="Times New Roman"/>
          <w:sz w:val="21"/>
          <w:szCs w:val="18"/>
        </w:rPr>
        <w:t>3.3 Teaching Implementation Process and Strategies</w:t>
      </w:r>
    </w:p>
    <w:p w14:paraId="12E085E8" w14:textId="77777777" w:rsidR="00403AEE" w:rsidRDefault="00B1391B">
      <w:pPr>
        <w:widowControl/>
        <w:shd w:val="clear" w:color="auto" w:fill="FFFFFF"/>
        <w:spacing w:line="285" w:lineRule="atLeast"/>
        <w:ind w:firstLineChars="200" w:firstLine="420"/>
        <w:rPr>
          <w:rFonts w:ascii="Times New Roman" w:hAnsi="Times New Roman"/>
        </w:rPr>
      </w:pPr>
      <w:r>
        <w:rPr>
          <w:rFonts w:ascii="Times New Roman" w:hAnsi="Times New Roman"/>
        </w:rPr>
        <w:t>To ensure effective model implementation, this study outlines a standardized four-phase teaching process following a "Pre-set – Inquiry – Extension – Iteration" closed loop.</w:t>
      </w:r>
    </w:p>
    <w:p w14:paraId="4A7DDBCA" w14:textId="77777777" w:rsidR="00403AEE" w:rsidRDefault="00B1391B">
      <w:pPr>
        <w:widowControl/>
        <w:shd w:val="clear" w:color="auto" w:fill="FFFFFF"/>
        <w:spacing w:line="285" w:lineRule="atLeast"/>
        <w:rPr>
          <w:rFonts w:ascii="Times New Roman" w:hAnsi="Times New Roman"/>
        </w:rPr>
      </w:pPr>
      <w:r>
        <w:rPr>
          <w:rFonts w:ascii="Times New Roman" w:hAnsi="Times New Roman"/>
        </w:rPr>
        <w:t>The first phase is Pre-class Preparation and Presetting. Teachers construct the core knowledge graph, design a corresponding tiered problem chain aligned with the graph's structure, and anchor resources such as micro-lectures, literature, and simulations to graph nodes. These are released via an online platform to guide students in previewing and forming an initial cognitive map.</w:t>
      </w:r>
    </w:p>
    <w:p w14:paraId="5965AB4C" w14:textId="77777777" w:rsidR="00403AEE" w:rsidRDefault="00B1391B">
      <w:pPr>
        <w:widowControl/>
        <w:shd w:val="clear" w:color="auto" w:fill="FFFFFF"/>
        <w:spacing w:line="285" w:lineRule="atLeast"/>
        <w:rPr>
          <w:rFonts w:ascii="Times New Roman" w:hAnsi="Times New Roman"/>
        </w:rPr>
      </w:pPr>
      <w:r>
        <w:rPr>
          <w:rFonts w:ascii="Times New Roman" w:hAnsi="Times New Roman"/>
        </w:rPr>
        <w:t>The second phase is In-class Inquiry and Construction. Classroom activities are student-centered and unfold in five steps: "Context Introduction and Problem Focus," "Independent/Collaborative Inquiry (using the knowledge graph as a navigation tool)," "Result Sharing and Idea Exchange," "Knowledge Integration and Graph Refinement (jointly by teachers and students)," and "Reflection Summary and Preview of Transfer." This phase facilitates collaborative knowledge construction and internalization.</w:t>
      </w:r>
    </w:p>
    <w:p w14:paraId="2C69776D" w14:textId="77777777" w:rsidR="00403AEE" w:rsidRDefault="00B1391B">
      <w:pPr>
        <w:widowControl/>
        <w:shd w:val="clear" w:color="auto" w:fill="FFFFFF"/>
        <w:spacing w:line="285" w:lineRule="atLeast"/>
        <w:ind w:firstLineChars="200" w:firstLine="420"/>
        <w:rPr>
          <w:rFonts w:ascii="Times New Roman" w:hAnsi="Times New Roman"/>
        </w:rPr>
      </w:pPr>
      <w:r>
        <w:rPr>
          <w:rFonts w:ascii="Times New Roman" w:hAnsi="Times New Roman"/>
        </w:rPr>
        <w:t>The third phase is Post-class Consolidation and Extension. Students create personalized knowledge graph notes based on in-class insights and complete targeted exercises via the platform. The system analyzes learning behavior data to provide personalized resource recommendations.</w:t>
      </w:r>
    </w:p>
    <w:p w14:paraId="65174AE4" w14:textId="77777777" w:rsidR="00403AEE" w:rsidRDefault="00B1391B">
      <w:pPr>
        <w:widowControl/>
        <w:shd w:val="clear" w:color="auto" w:fill="FFFFFF"/>
        <w:spacing w:line="285" w:lineRule="atLeast"/>
        <w:rPr>
          <w:rFonts w:ascii="Times New Roman" w:hAnsi="Times New Roman"/>
        </w:rPr>
      </w:pPr>
      <w:r>
        <w:rPr>
          <w:rFonts w:ascii="Times New Roman" w:hAnsi="Times New Roman"/>
        </w:rPr>
        <w:t xml:space="preserve">The fourth phase is Evaluation, Feedback, and Iteration. Comprehensive assessment integrates process data (e.g., graph interactions, discussion records) and outcome data (e.g., tests, projects). </w:t>
      </w:r>
      <w:r>
        <w:rPr>
          <w:rFonts w:ascii="Times New Roman" w:hAnsi="Times New Roman"/>
        </w:rPr>
        <w:lastRenderedPageBreak/>
        <w:t>Results optimize the knowledge graph, refine problem design, and adjust teaching strategies, enabling continuous model improvement.</w:t>
      </w:r>
    </w:p>
    <w:p w14:paraId="49A0F2CE" w14:textId="77777777" w:rsidR="00403AEE" w:rsidRDefault="00B1391B">
      <w:pPr>
        <w:widowControl/>
        <w:shd w:val="clear" w:color="auto" w:fill="FFFFFF"/>
        <w:spacing w:line="285" w:lineRule="atLeast"/>
        <w:ind w:firstLineChars="200" w:firstLine="420"/>
        <w:rPr>
          <w:rFonts w:ascii="Times New Roman" w:hAnsi="Times New Roman"/>
        </w:rPr>
      </w:pPr>
      <w:r>
        <w:rPr>
          <w:rFonts w:ascii="Times New Roman" w:hAnsi="Times New Roman"/>
        </w:rPr>
        <w:t>Throughout the process, three core strategies are essential. First, Differentiated Scaffolding: The knowledge graph diagnoses prior knowledge gaps and provides dynamic, tiered hints and resources during inquiry. Second, Collaborative Knowledge Construction: Tasks like "group refinement of a graph branch" encourage dialogue and debate, leveraging collective wisdom for deeper understanding. Third, Formative Feedback: Teachers review personalized graphs for structural completeness, relational accuracy, and innovativeness, guiding metacognitive development.</w:t>
      </w:r>
    </w:p>
    <w:p w14:paraId="3E8FAAD8" w14:textId="77777777" w:rsidR="00403AEE" w:rsidRDefault="00B1391B">
      <w:pPr>
        <w:pStyle w:val="Heading2"/>
        <w:rPr>
          <w:rFonts w:ascii="Times New Roman" w:hAnsi="Times New Roman"/>
          <w:sz w:val="24"/>
          <w:szCs w:val="21"/>
        </w:rPr>
      </w:pPr>
      <w:r>
        <w:rPr>
          <w:rFonts w:ascii="Times New Roman" w:hAnsi="Times New Roman"/>
          <w:sz w:val="24"/>
          <w:szCs w:val="21"/>
        </w:rPr>
        <w:t>4. Implementation Results and Evaluation</w:t>
      </w:r>
    </w:p>
    <w:p w14:paraId="2899EA6D" w14:textId="77777777" w:rsidR="00403AEE" w:rsidRDefault="00B1391B">
      <w:pPr>
        <w:widowControl/>
        <w:shd w:val="clear" w:color="auto" w:fill="FFFFFF"/>
        <w:spacing w:line="285" w:lineRule="atLeast"/>
        <w:ind w:firstLineChars="200" w:firstLine="420"/>
        <w:rPr>
          <w:rFonts w:ascii="Times New Roman" w:hAnsi="Times New Roman"/>
        </w:rPr>
      </w:pPr>
      <w:r>
        <w:rPr>
          <w:rFonts w:ascii="Times New Roman" w:hAnsi="Times New Roman"/>
        </w:rPr>
        <w:t>To scientifically validate the practical effectiveness of the Knowledge Graph-Integrated Problem-Driven Teaching Model (hereafter referred to as the "Integrated Model"), a comparative teaching experiment was conducted over one semester with second-year Computer Science majors at Liaoning University of Science and Technology. The experimental class (N=60) implemented the Integrated Model, while the control class (N=60) used a traditional lecture-based approach, with the same instructor teaching both classes to minimize extraneous variables. A pre-test confirmed no significant differences in prior knowledge between the groups (p &gt; 0.05). The study adopted a mixed-methods approach, evaluating outcomes across three dimensions: academic performance, thinking abilities, and learning experience.</w:t>
      </w:r>
    </w:p>
    <w:p w14:paraId="33C315CA" w14:textId="77777777" w:rsidR="00403AEE" w:rsidRDefault="00B1391B">
      <w:pPr>
        <w:pStyle w:val="Heading3"/>
        <w:rPr>
          <w:rFonts w:ascii="Times New Roman" w:hAnsi="Times New Roman"/>
          <w:sz w:val="21"/>
          <w:szCs w:val="18"/>
        </w:rPr>
      </w:pPr>
      <w:r>
        <w:rPr>
          <w:rFonts w:ascii="Times New Roman" w:hAnsi="Times New Roman"/>
          <w:sz w:val="21"/>
          <w:szCs w:val="18"/>
        </w:rPr>
        <w:t>4.1 Quantitative Comparison of Academic Achievement</w:t>
      </w:r>
    </w:p>
    <w:p w14:paraId="5E27B714" w14:textId="77777777" w:rsidR="00403AEE" w:rsidRDefault="00B1391B">
      <w:pPr>
        <w:widowControl/>
        <w:shd w:val="clear" w:color="auto" w:fill="FFFFFF"/>
        <w:spacing w:line="285" w:lineRule="atLeast"/>
        <w:ind w:firstLineChars="200" w:firstLine="420"/>
        <w:rPr>
          <w:rFonts w:ascii="Times New Roman" w:hAnsi="Times New Roman"/>
        </w:rPr>
      </w:pPr>
      <w:r>
        <w:rPr>
          <w:rFonts w:ascii="Times New Roman" w:hAnsi="Times New Roman"/>
        </w:rPr>
        <w:t>At the end of the experiment, both classes completed a unified comprehensive test, which assessed fundamental concepts and calculations (60 points) and items requiring higher-order thinking skills, such as analysis, synthesis, and transferable application (40 points). Independent samples t-test results (see Table 1) showed that the experimental class significantly outperformed the control class in total scores (t = 2.42, p &lt; 0.05, Cohen's d = 0.52), indicating a medium effect size.</w:t>
      </w:r>
    </w:p>
    <w:p w14:paraId="34A76C28" w14:textId="77777777" w:rsidR="00403AEE" w:rsidRDefault="00B1391B">
      <w:pPr>
        <w:widowControl/>
        <w:shd w:val="clear" w:color="auto" w:fill="FFFFFF"/>
        <w:spacing w:line="285" w:lineRule="atLeast"/>
        <w:rPr>
          <w:rFonts w:ascii="Times New Roman" w:hAnsi="Times New Roman"/>
        </w:rPr>
      </w:pPr>
      <w:r>
        <w:rPr>
          <w:rFonts w:ascii="Times New Roman" w:hAnsi="Times New Roman"/>
        </w:rPr>
        <w:t>Table 1. Comparison of Post-test Scores between Experimental and Control Classes (M ± SD)</w:t>
      </w:r>
    </w:p>
    <w:tbl>
      <w:tblPr>
        <w:tblW w:w="9214" w:type="dxa"/>
        <w:jc w:val="center"/>
        <w:tblLook w:val="04A0" w:firstRow="1" w:lastRow="0" w:firstColumn="1" w:lastColumn="0" w:noHBand="0" w:noVBand="1"/>
      </w:tblPr>
      <w:tblGrid>
        <w:gridCol w:w="2443"/>
        <w:gridCol w:w="2091"/>
        <w:gridCol w:w="1566"/>
        <w:gridCol w:w="835"/>
        <w:gridCol w:w="941"/>
        <w:gridCol w:w="1338"/>
      </w:tblGrid>
      <w:tr w:rsidR="00403AEE" w14:paraId="491C9682" w14:textId="77777777">
        <w:trPr>
          <w:tblHeader/>
          <w:jc w:val="center"/>
        </w:trPr>
        <w:tc>
          <w:tcPr>
            <w:tcW w:w="2443" w:type="dxa"/>
            <w:tcBorders>
              <w:top w:val="single" w:sz="12" w:space="0" w:color="auto"/>
              <w:left w:val="nil"/>
              <w:bottom w:val="single" w:sz="4" w:space="0" w:color="auto"/>
              <w:right w:val="nil"/>
            </w:tcBorders>
            <w:shd w:val="clear" w:color="auto" w:fill="FFFFFF"/>
            <w:vAlign w:val="center"/>
          </w:tcPr>
          <w:p w14:paraId="15ED17F8" w14:textId="77777777" w:rsidR="00403AEE" w:rsidRDefault="00403AEE">
            <w:pPr>
              <w:widowControl/>
              <w:snapToGrid w:val="0"/>
              <w:jc w:val="center"/>
              <w:textAlignment w:val="center"/>
              <w:rPr>
                <w:rFonts w:ascii="Times New Roman" w:eastAsia="Helvetica" w:hAnsi="Times New Roman"/>
                <w:b/>
                <w:bCs/>
                <w:szCs w:val="21"/>
              </w:rPr>
            </w:pPr>
          </w:p>
        </w:tc>
        <w:tc>
          <w:tcPr>
            <w:tcW w:w="2091" w:type="dxa"/>
            <w:tcBorders>
              <w:top w:val="single" w:sz="12" w:space="0" w:color="auto"/>
              <w:left w:val="nil"/>
              <w:bottom w:val="single" w:sz="4" w:space="0" w:color="auto"/>
              <w:right w:val="nil"/>
            </w:tcBorders>
            <w:shd w:val="clear" w:color="auto" w:fill="FFFFFF"/>
            <w:vAlign w:val="center"/>
          </w:tcPr>
          <w:p w14:paraId="43BD4BFA" w14:textId="77777777" w:rsidR="00403AEE" w:rsidRDefault="00B1391B">
            <w:pPr>
              <w:widowControl/>
              <w:snapToGrid w:val="0"/>
              <w:jc w:val="center"/>
              <w:textAlignment w:val="center"/>
              <w:rPr>
                <w:rFonts w:ascii="Times New Roman" w:eastAsia="Helvetica" w:hAnsi="Times New Roman"/>
                <w:b/>
                <w:bCs/>
                <w:szCs w:val="21"/>
              </w:rPr>
            </w:pPr>
            <w:r>
              <w:rPr>
                <w:rFonts w:ascii="Times New Roman" w:eastAsia="Helvetica" w:hAnsi="Times New Roman"/>
                <w:b/>
                <w:bCs/>
                <w:kern w:val="0"/>
                <w:szCs w:val="21"/>
                <w:lang w:bidi="ar"/>
              </w:rPr>
              <w:t>Experimental Class</w:t>
            </w:r>
          </w:p>
        </w:tc>
        <w:tc>
          <w:tcPr>
            <w:tcW w:w="1566" w:type="dxa"/>
            <w:tcBorders>
              <w:top w:val="single" w:sz="12" w:space="0" w:color="auto"/>
              <w:left w:val="nil"/>
              <w:bottom w:val="single" w:sz="4" w:space="0" w:color="auto"/>
              <w:right w:val="nil"/>
            </w:tcBorders>
            <w:shd w:val="clear" w:color="auto" w:fill="FFFFFF"/>
            <w:vAlign w:val="center"/>
          </w:tcPr>
          <w:p w14:paraId="50188937" w14:textId="77777777" w:rsidR="00403AEE" w:rsidRDefault="00B1391B">
            <w:pPr>
              <w:widowControl/>
              <w:snapToGrid w:val="0"/>
              <w:jc w:val="center"/>
              <w:textAlignment w:val="center"/>
              <w:rPr>
                <w:rFonts w:ascii="Times New Roman" w:eastAsia="Helvetica" w:hAnsi="Times New Roman"/>
                <w:b/>
                <w:bCs/>
                <w:szCs w:val="21"/>
              </w:rPr>
            </w:pPr>
            <w:r>
              <w:rPr>
                <w:rFonts w:ascii="Times New Roman" w:eastAsia="Helvetica" w:hAnsi="Times New Roman"/>
                <w:b/>
                <w:bCs/>
                <w:kern w:val="0"/>
                <w:szCs w:val="21"/>
                <w:lang w:bidi="ar"/>
              </w:rPr>
              <w:t>Control Class</w:t>
            </w:r>
          </w:p>
        </w:tc>
        <w:tc>
          <w:tcPr>
            <w:tcW w:w="835" w:type="dxa"/>
            <w:tcBorders>
              <w:top w:val="single" w:sz="12" w:space="0" w:color="auto"/>
              <w:left w:val="nil"/>
              <w:bottom w:val="single" w:sz="4" w:space="0" w:color="auto"/>
              <w:right w:val="nil"/>
            </w:tcBorders>
            <w:shd w:val="clear" w:color="auto" w:fill="FFFFFF"/>
            <w:vAlign w:val="center"/>
          </w:tcPr>
          <w:p w14:paraId="5854E330" w14:textId="77777777" w:rsidR="00403AEE" w:rsidRDefault="00B1391B">
            <w:pPr>
              <w:widowControl/>
              <w:snapToGrid w:val="0"/>
              <w:jc w:val="center"/>
              <w:textAlignment w:val="center"/>
              <w:rPr>
                <w:rFonts w:ascii="Times New Roman" w:eastAsia="Helvetica" w:hAnsi="Times New Roman"/>
                <w:b/>
                <w:bCs/>
                <w:szCs w:val="21"/>
              </w:rPr>
            </w:pPr>
            <w:r>
              <w:rPr>
                <w:rFonts w:ascii="Times New Roman" w:eastAsia="Helvetica" w:hAnsi="Times New Roman"/>
                <w:b/>
                <w:bCs/>
                <w:kern w:val="0"/>
                <w:szCs w:val="21"/>
                <w:lang w:bidi="ar"/>
              </w:rPr>
              <w:t>t-value</w:t>
            </w:r>
          </w:p>
        </w:tc>
        <w:tc>
          <w:tcPr>
            <w:tcW w:w="941" w:type="dxa"/>
            <w:tcBorders>
              <w:top w:val="single" w:sz="12" w:space="0" w:color="auto"/>
              <w:left w:val="nil"/>
              <w:bottom w:val="single" w:sz="4" w:space="0" w:color="auto"/>
              <w:right w:val="nil"/>
            </w:tcBorders>
            <w:shd w:val="clear" w:color="auto" w:fill="FFFFFF"/>
            <w:vAlign w:val="center"/>
          </w:tcPr>
          <w:p w14:paraId="4B9C8AF8" w14:textId="77777777" w:rsidR="00403AEE" w:rsidRDefault="00B1391B">
            <w:pPr>
              <w:widowControl/>
              <w:snapToGrid w:val="0"/>
              <w:jc w:val="center"/>
              <w:textAlignment w:val="center"/>
              <w:rPr>
                <w:rFonts w:ascii="Times New Roman" w:eastAsia="Helvetica" w:hAnsi="Times New Roman"/>
                <w:b/>
                <w:bCs/>
                <w:szCs w:val="21"/>
              </w:rPr>
            </w:pPr>
            <w:r>
              <w:rPr>
                <w:rFonts w:ascii="Times New Roman" w:eastAsia="Helvetica" w:hAnsi="Times New Roman"/>
                <w:b/>
                <w:bCs/>
                <w:kern w:val="0"/>
                <w:szCs w:val="21"/>
                <w:lang w:bidi="ar"/>
              </w:rPr>
              <w:t>p-value</w:t>
            </w:r>
          </w:p>
        </w:tc>
        <w:tc>
          <w:tcPr>
            <w:tcW w:w="1338" w:type="dxa"/>
            <w:tcBorders>
              <w:top w:val="single" w:sz="12" w:space="0" w:color="auto"/>
              <w:left w:val="nil"/>
              <w:bottom w:val="single" w:sz="4" w:space="0" w:color="auto"/>
              <w:right w:val="nil"/>
            </w:tcBorders>
            <w:shd w:val="clear" w:color="auto" w:fill="FFFFFF"/>
            <w:vAlign w:val="center"/>
          </w:tcPr>
          <w:p w14:paraId="4F8C2076" w14:textId="77777777" w:rsidR="00403AEE" w:rsidRDefault="00B1391B">
            <w:pPr>
              <w:widowControl/>
              <w:snapToGrid w:val="0"/>
              <w:jc w:val="center"/>
              <w:textAlignment w:val="center"/>
              <w:rPr>
                <w:rFonts w:ascii="Times New Roman" w:eastAsia="Helvetica" w:hAnsi="Times New Roman"/>
                <w:b/>
                <w:bCs/>
                <w:kern w:val="0"/>
                <w:szCs w:val="21"/>
                <w:lang w:bidi="ar"/>
              </w:rPr>
            </w:pPr>
            <w:r>
              <w:rPr>
                <w:rFonts w:ascii="Times New Roman" w:eastAsia="Helvetica" w:hAnsi="Times New Roman"/>
                <w:b/>
                <w:bCs/>
                <w:kern w:val="0"/>
                <w:szCs w:val="21"/>
                <w:lang w:bidi="ar"/>
              </w:rPr>
              <w:t xml:space="preserve">Effect Size </w:t>
            </w:r>
          </w:p>
          <w:p w14:paraId="4DC63CF0" w14:textId="77777777" w:rsidR="00403AEE" w:rsidRDefault="00B1391B">
            <w:pPr>
              <w:widowControl/>
              <w:snapToGrid w:val="0"/>
              <w:jc w:val="center"/>
              <w:textAlignment w:val="center"/>
              <w:rPr>
                <w:rFonts w:ascii="Times New Roman" w:eastAsia="Helvetica" w:hAnsi="Times New Roman"/>
                <w:b/>
                <w:bCs/>
                <w:szCs w:val="21"/>
              </w:rPr>
            </w:pPr>
            <w:r>
              <w:rPr>
                <w:rFonts w:ascii="Times New Roman" w:eastAsia="Helvetica" w:hAnsi="Times New Roman"/>
                <w:b/>
                <w:bCs/>
                <w:kern w:val="0"/>
                <w:szCs w:val="21"/>
                <w:lang w:bidi="ar"/>
              </w:rPr>
              <w:t>(d)</w:t>
            </w:r>
          </w:p>
        </w:tc>
      </w:tr>
      <w:tr w:rsidR="00403AEE" w14:paraId="4DEA73D2" w14:textId="77777777">
        <w:trPr>
          <w:jc w:val="center"/>
        </w:trPr>
        <w:tc>
          <w:tcPr>
            <w:tcW w:w="2443" w:type="dxa"/>
            <w:tcBorders>
              <w:top w:val="single" w:sz="4" w:space="0" w:color="auto"/>
              <w:left w:val="nil"/>
              <w:bottom w:val="nil"/>
              <w:right w:val="nil"/>
            </w:tcBorders>
            <w:shd w:val="clear" w:color="auto" w:fill="FFFFFF"/>
            <w:vAlign w:val="center"/>
          </w:tcPr>
          <w:p w14:paraId="68C6D277" w14:textId="77777777" w:rsidR="00403AEE" w:rsidRDefault="00B1391B">
            <w:pPr>
              <w:widowControl/>
              <w:snapToGrid w:val="0"/>
              <w:jc w:val="left"/>
              <w:textAlignment w:val="center"/>
              <w:rPr>
                <w:rFonts w:ascii="Times New Roman" w:eastAsia="Helvetica" w:hAnsi="Times New Roman"/>
                <w:szCs w:val="21"/>
              </w:rPr>
            </w:pPr>
            <w:r>
              <w:rPr>
                <w:rFonts w:ascii="Times New Roman" w:eastAsia="Helvetica" w:hAnsi="Times New Roman"/>
                <w:szCs w:val="21"/>
              </w:rPr>
              <w:t>Total Score (100)</w:t>
            </w:r>
          </w:p>
        </w:tc>
        <w:tc>
          <w:tcPr>
            <w:tcW w:w="2091" w:type="dxa"/>
            <w:tcBorders>
              <w:top w:val="single" w:sz="4" w:space="0" w:color="auto"/>
              <w:left w:val="nil"/>
              <w:bottom w:val="nil"/>
              <w:right w:val="nil"/>
            </w:tcBorders>
            <w:shd w:val="clear" w:color="auto" w:fill="FFFFFF"/>
            <w:vAlign w:val="center"/>
          </w:tcPr>
          <w:p w14:paraId="2E8505E2" w14:textId="77777777" w:rsidR="00403AEE" w:rsidRDefault="00B1391B">
            <w:pPr>
              <w:widowControl/>
              <w:snapToGrid w:val="0"/>
              <w:jc w:val="center"/>
              <w:textAlignment w:val="center"/>
              <w:rPr>
                <w:rFonts w:ascii="Times New Roman" w:eastAsia="Helvetica" w:hAnsi="Times New Roman"/>
                <w:szCs w:val="21"/>
              </w:rPr>
            </w:pPr>
            <w:r>
              <w:rPr>
                <w:rFonts w:ascii="Times New Roman" w:eastAsia="Helvetica" w:hAnsi="Times New Roman"/>
                <w:kern w:val="0"/>
                <w:szCs w:val="21"/>
                <w:lang w:bidi="ar"/>
              </w:rPr>
              <w:t>78.15 ± 9.24</w:t>
            </w:r>
          </w:p>
        </w:tc>
        <w:tc>
          <w:tcPr>
            <w:tcW w:w="1566" w:type="dxa"/>
            <w:tcBorders>
              <w:top w:val="single" w:sz="4" w:space="0" w:color="auto"/>
              <w:left w:val="nil"/>
              <w:bottom w:val="nil"/>
              <w:right w:val="nil"/>
            </w:tcBorders>
            <w:shd w:val="clear" w:color="auto" w:fill="FFFFFF"/>
            <w:vAlign w:val="center"/>
          </w:tcPr>
          <w:p w14:paraId="403F8319" w14:textId="77777777" w:rsidR="00403AEE" w:rsidRDefault="00B1391B">
            <w:pPr>
              <w:widowControl/>
              <w:snapToGrid w:val="0"/>
              <w:jc w:val="center"/>
              <w:textAlignment w:val="center"/>
              <w:rPr>
                <w:rFonts w:ascii="Times New Roman" w:eastAsia="Helvetica" w:hAnsi="Times New Roman"/>
                <w:szCs w:val="21"/>
              </w:rPr>
            </w:pPr>
            <w:r>
              <w:rPr>
                <w:rFonts w:ascii="Times New Roman" w:eastAsia="Helvetica" w:hAnsi="Times New Roman"/>
                <w:kern w:val="0"/>
                <w:szCs w:val="21"/>
                <w:lang w:bidi="ar"/>
              </w:rPr>
              <w:t>74.03 ± 9.87</w:t>
            </w:r>
          </w:p>
        </w:tc>
        <w:tc>
          <w:tcPr>
            <w:tcW w:w="835" w:type="dxa"/>
            <w:tcBorders>
              <w:top w:val="single" w:sz="4" w:space="0" w:color="auto"/>
              <w:left w:val="nil"/>
              <w:bottom w:val="nil"/>
              <w:right w:val="nil"/>
            </w:tcBorders>
            <w:shd w:val="clear" w:color="auto" w:fill="FFFFFF"/>
            <w:vAlign w:val="center"/>
          </w:tcPr>
          <w:p w14:paraId="5F95214F" w14:textId="77777777" w:rsidR="00403AEE" w:rsidRDefault="00B1391B">
            <w:pPr>
              <w:widowControl/>
              <w:snapToGrid w:val="0"/>
              <w:jc w:val="center"/>
              <w:textAlignment w:val="center"/>
              <w:rPr>
                <w:rFonts w:ascii="Times New Roman" w:eastAsia="Helvetica" w:hAnsi="Times New Roman"/>
                <w:szCs w:val="21"/>
              </w:rPr>
            </w:pPr>
            <w:r>
              <w:rPr>
                <w:rFonts w:ascii="Times New Roman" w:eastAsia="Helvetica" w:hAnsi="Times New Roman"/>
                <w:kern w:val="0"/>
                <w:szCs w:val="21"/>
                <w:lang w:bidi="ar"/>
              </w:rPr>
              <w:t>2.42</w:t>
            </w:r>
          </w:p>
        </w:tc>
        <w:tc>
          <w:tcPr>
            <w:tcW w:w="941" w:type="dxa"/>
            <w:tcBorders>
              <w:top w:val="single" w:sz="4" w:space="0" w:color="auto"/>
              <w:left w:val="nil"/>
              <w:bottom w:val="nil"/>
              <w:right w:val="nil"/>
            </w:tcBorders>
            <w:shd w:val="clear" w:color="auto" w:fill="FFFFFF"/>
            <w:vAlign w:val="center"/>
          </w:tcPr>
          <w:p w14:paraId="772BBB9F" w14:textId="77777777" w:rsidR="00403AEE" w:rsidRDefault="00B1391B">
            <w:pPr>
              <w:widowControl/>
              <w:snapToGrid w:val="0"/>
              <w:jc w:val="center"/>
              <w:textAlignment w:val="center"/>
              <w:rPr>
                <w:rFonts w:ascii="Times New Roman" w:eastAsia="Helvetica" w:hAnsi="Times New Roman"/>
                <w:szCs w:val="21"/>
              </w:rPr>
            </w:pPr>
            <w:r>
              <w:rPr>
                <w:rFonts w:ascii="Times New Roman" w:eastAsia="Helvetica" w:hAnsi="Times New Roman"/>
                <w:kern w:val="0"/>
                <w:szCs w:val="21"/>
                <w:lang w:bidi="ar"/>
              </w:rPr>
              <w:t>&lt;0.05</w:t>
            </w:r>
          </w:p>
        </w:tc>
        <w:tc>
          <w:tcPr>
            <w:tcW w:w="1338" w:type="dxa"/>
            <w:tcBorders>
              <w:top w:val="single" w:sz="4" w:space="0" w:color="auto"/>
              <w:left w:val="nil"/>
              <w:bottom w:val="nil"/>
              <w:right w:val="nil"/>
            </w:tcBorders>
            <w:shd w:val="clear" w:color="auto" w:fill="FFFFFF"/>
            <w:vAlign w:val="center"/>
          </w:tcPr>
          <w:p w14:paraId="63C9C07D" w14:textId="77777777" w:rsidR="00403AEE" w:rsidRDefault="00B1391B">
            <w:pPr>
              <w:widowControl/>
              <w:snapToGrid w:val="0"/>
              <w:jc w:val="center"/>
              <w:textAlignment w:val="center"/>
              <w:rPr>
                <w:rFonts w:ascii="Times New Roman" w:eastAsia="Helvetica" w:hAnsi="Times New Roman"/>
                <w:szCs w:val="21"/>
              </w:rPr>
            </w:pPr>
            <w:r>
              <w:rPr>
                <w:rFonts w:ascii="Times New Roman" w:eastAsia="Helvetica" w:hAnsi="Times New Roman"/>
                <w:kern w:val="0"/>
                <w:szCs w:val="21"/>
                <w:lang w:bidi="ar"/>
              </w:rPr>
              <w:t>0.52</w:t>
            </w:r>
          </w:p>
        </w:tc>
      </w:tr>
      <w:tr w:rsidR="00403AEE" w14:paraId="7DB9EE2B" w14:textId="77777777">
        <w:trPr>
          <w:jc w:val="center"/>
        </w:trPr>
        <w:tc>
          <w:tcPr>
            <w:tcW w:w="2443" w:type="dxa"/>
            <w:tcBorders>
              <w:top w:val="nil"/>
              <w:left w:val="nil"/>
              <w:bottom w:val="nil"/>
              <w:right w:val="nil"/>
            </w:tcBorders>
            <w:shd w:val="clear" w:color="auto" w:fill="FFFFFF"/>
            <w:vAlign w:val="center"/>
          </w:tcPr>
          <w:p w14:paraId="366A1528" w14:textId="77777777" w:rsidR="00403AEE" w:rsidRDefault="00B1391B">
            <w:pPr>
              <w:widowControl/>
              <w:snapToGrid w:val="0"/>
              <w:jc w:val="left"/>
              <w:textAlignment w:val="center"/>
              <w:rPr>
                <w:rFonts w:ascii="Times New Roman" w:eastAsia="Helvetica" w:hAnsi="Times New Roman"/>
                <w:szCs w:val="21"/>
              </w:rPr>
            </w:pPr>
            <w:r>
              <w:rPr>
                <w:rFonts w:ascii="Times New Roman" w:eastAsia="Helvetica" w:hAnsi="Times New Roman"/>
                <w:kern w:val="0"/>
                <w:szCs w:val="21"/>
                <w:lang w:bidi="ar"/>
              </w:rPr>
              <w:t>Basic &amp; Applied Part (60)</w:t>
            </w:r>
          </w:p>
        </w:tc>
        <w:tc>
          <w:tcPr>
            <w:tcW w:w="2091" w:type="dxa"/>
            <w:tcBorders>
              <w:top w:val="nil"/>
              <w:left w:val="nil"/>
              <w:bottom w:val="nil"/>
              <w:right w:val="nil"/>
            </w:tcBorders>
            <w:shd w:val="clear" w:color="auto" w:fill="FFFFFF"/>
            <w:vAlign w:val="center"/>
          </w:tcPr>
          <w:p w14:paraId="1EBA7F84" w14:textId="77777777" w:rsidR="00403AEE" w:rsidRDefault="00B1391B">
            <w:pPr>
              <w:widowControl/>
              <w:snapToGrid w:val="0"/>
              <w:jc w:val="center"/>
              <w:textAlignment w:val="center"/>
              <w:rPr>
                <w:rFonts w:ascii="Times New Roman" w:eastAsia="Helvetica" w:hAnsi="Times New Roman"/>
                <w:szCs w:val="21"/>
              </w:rPr>
            </w:pPr>
            <w:r>
              <w:rPr>
                <w:rFonts w:ascii="Times New Roman" w:eastAsia="Helvetica" w:hAnsi="Times New Roman"/>
                <w:kern w:val="0"/>
                <w:szCs w:val="21"/>
                <w:lang w:bidi="ar"/>
              </w:rPr>
              <w:t>51.23 ± 5.89</w:t>
            </w:r>
          </w:p>
        </w:tc>
        <w:tc>
          <w:tcPr>
            <w:tcW w:w="1566" w:type="dxa"/>
            <w:tcBorders>
              <w:top w:val="nil"/>
              <w:left w:val="nil"/>
              <w:bottom w:val="nil"/>
              <w:right w:val="nil"/>
            </w:tcBorders>
            <w:shd w:val="clear" w:color="auto" w:fill="FFFFFF"/>
            <w:vAlign w:val="center"/>
          </w:tcPr>
          <w:p w14:paraId="73BAB893" w14:textId="77777777" w:rsidR="00403AEE" w:rsidRDefault="00B1391B">
            <w:pPr>
              <w:widowControl/>
              <w:snapToGrid w:val="0"/>
              <w:jc w:val="center"/>
              <w:textAlignment w:val="center"/>
              <w:rPr>
                <w:rFonts w:ascii="Times New Roman" w:eastAsia="Helvetica" w:hAnsi="Times New Roman"/>
                <w:szCs w:val="21"/>
              </w:rPr>
            </w:pPr>
            <w:r>
              <w:rPr>
                <w:rFonts w:ascii="Times New Roman" w:eastAsia="Helvetica" w:hAnsi="Times New Roman"/>
                <w:kern w:val="0"/>
                <w:szCs w:val="21"/>
                <w:lang w:bidi="ar"/>
              </w:rPr>
              <w:t>48.77 ± 7.21</w:t>
            </w:r>
          </w:p>
        </w:tc>
        <w:tc>
          <w:tcPr>
            <w:tcW w:w="835" w:type="dxa"/>
            <w:tcBorders>
              <w:top w:val="nil"/>
              <w:left w:val="nil"/>
              <w:bottom w:val="nil"/>
              <w:right w:val="nil"/>
            </w:tcBorders>
            <w:shd w:val="clear" w:color="auto" w:fill="FFFFFF"/>
            <w:vAlign w:val="center"/>
          </w:tcPr>
          <w:p w14:paraId="5D47E67F" w14:textId="77777777" w:rsidR="00403AEE" w:rsidRDefault="00B1391B">
            <w:pPr>
              <w:widowControl/>
              <w:snapToGrid w:val="0"/>
              <w:jc w:val="center"/>
              <w:textAlignment w:val="center"/>
              <w:rPr>
                <w:rFonts w:ascii="Times New Roman" w:eastAsia="Helvetica" w:hAnsi="Times New Roman"/>
                <w:szCs w:val="21"/>
              </w:rPr>
            </w:pPr>
            <w:r>
              <w:rPr>
                <w:rFonts w:ascii="Times New Roman" w:eastAsia="Helvetica" w:hAnsi="Times New Roman"/>
                <w:kern w:val="0"/>
                <w:szCs w:val="21"/>
                <w:lang w:bidi="ar"/>
              </w:rPr>
              <w:t>2.07</w:t>
            </w:r>
          </w:p>
        </w:tc>
        <w:tc>
          <w:tcPr>
            <w:tcW w:w="941" w:type="dxa"/>
            <w:tcBorders>
              <w:top w:val="nil"/>
              <w:left w:val="nil"/>
              <w:bottom w:val="nil"/>
              <w:right w:val="nil"/>
            </w:tcBorders>
            <w:shd w:val="clear" w:color="auto" w:fill="FFFFFF"/>
            <w:vAlign w:val="center"/>
          </w:tcPr>
          <w:p w14:paraId="2A628329" w14:textId="77777777" w:rsidR="00403AEE" w:rsidRDefault="00B1391B">
            <w:pPr>
              <w:widowControl/>
              <w:snapToGrid w:val="0"/>
              <w:jc w:val="center"/>
              <w:textAlignment w:val="center"/>
              <w:rPr>
                <w:rFonts w:ascii="Times New Roman" w:eastAsia="Helvetica" w:hAnsi="Times New Roman"/>
                <w:szCs w:val="21"/>
              </w:rPr>
            </w:pPr>
            <w:r>
              <w:rPr>
                <w:rFonts w:ascii="Times New Roman" w:eastAsia="Helvetica" w:hAnsi="Times New Roman"/>
                <w:kern w:val="0"/>
                <w:szCs w:val="21"/>
                <w:lang w:bidi="ar"/>
              </w:rPr>
              <w:t>&lt;0.05</w:t>
            </w:r>
          </w:p>
        </w:tc>
        <w:tc>
          <w:tcPr>
            <w:tcW w:w="1338" w:type="dxa"/>
            <w:tcBorders>
              <w:top w:val="nil"/>
              <w:left w:val="nil"/>
              <w:bottom w:val="nil"/>
              <w:right w:val="nil"/>
            </w:tcBorders>
            <w:shd w:val="clear" w:color="auto" w:fill="FFFFFF"/>
            <w:vAlign w:val="center"/>
          </w:tcPr>
          <w:p w14:paraId="204E7A63" w14:textId="77777777" w:rsidR="00403AEE" w:rsidRDefault="00B1391B">
            <w:pPr>
              <w:widowControl/>
              <w:snapToGrid w:val="0"/>
              <w:jc w:val="center"/>
              <w:textAlignment w:val="center"/>
              <w:rPr>
                <w:rFonts w:ascii="Times New Roman" w:eastAsia="Helvetica" w:hAnsi="Times New Roman"/>
                <w:szCs w:val="21"/>
              </w:rPr>
            </w:pPr>
            <w:r>
              <w:rPr>
                <w:rFonts w:ascii="Times New Roman" w:eastAsia="Helvetica" w:hAnsi="Times New Roman"/>
                <w:kern w:val="0"/>
                <w:szCs w:val="21"/>
                <w:lang w:bidi="ar"/>
              </w:rPr>
              <w:t>0.38</w:t>
            </w:r>
          </w:p>
        </w:tc>
      </w:tr>
      <w:tr w:rsidR="00403AEE" w14:paraId="23B5EB74" w14:textId="77777777">
        <w:trPr>
          <w:jc w:val="center"/>
        </w:trPr>
        <w:tc>
          <w:tcPr>
            <w:tcW w:w="2443" w:type="dxa"/>
            <w:tcBorders>
              <w:top w:val="nil"/>
              <w:left w:val="nil"/>
              <w:bottom w:val="single" w:sz="12" w:space="0" w:color="auto"/>
              <w:right w:val="nil"/>
            </w:tcBorders>
            <w:shd w:val="clear" w:color="auto" w:fill="FFFFFF"/>
            <w:vAlign w:val="center"/>
          </w:tcPr>
          <w:p w14:paraId="60F2EF64" w14:textId="77777777" w:rsidR="00403AEE" w:rsidRDefault="00B1391B">
            <w:pPr>
              <w:widowControl/>
              <w:snapToGrid w:val="0"/>
              <w:jc w:val="left"/>
              <w:textAlignment w:val="center"/>
              <w:rPr>
                <w:rFonts w:ascii="Times New Roman" w:eastAsia="Helvetica" w:hAnsi="Times New Roman"/>
                <w:szCs w:val="21"/>
              </w:rPr>
            </w:pPr>
            <w:r>
              <w:rPr>
                <w:rFonts w:ascii="Times New Roman" w:eastAsia="Helvetica" w:hAnsi="Times New Roman"/>
                <w:kern w:val="0"/>
                <w:szCs w:val="21"/>
                <w:lang w:bidi="ar"/>
              </w:rPr>
              <w:t>Higher-order Thinking Part (40)</w:t>
            </w:r>
          </w:p>
        </w:tc>
        <w:tc>
          <w:tcPr>
            <w:tcW w:w="2091" w:type="dxa"/>
            <w:tcBorders>
              <w:top w:val="nil"/>
              <w:left w:val="nil"/>
              <w:bottom w:val="single" w:sz="12" w:space="0" w:color="auto"/>
              <w:right w:val="nil"/>
            </w:tcBorders>
            <w:shd w:val="clear" w:color="auto" w:fill="FFFFFF"/>
            <w:vAlign w:val="center"/>
          </w:tcPr>
          <w:p w14:paraId="62D6AE43" w14:textId="77777777" w:rsidR="00403AEE" w:rsidRDefault="00B1391B">
            <w:pPr>
              <w:widowControl/>
              <w:snapToGrid w:val="0"/>
              <w:jc w:val="center"/>
              <w:textAlignment w:val="center"/>
              <w:rPr>
                <w:rFonts w:ascii="Times New Roman" w:eastAsia="Helvetica" w:hAnsi="Times New Roman"/>
                <w:szCs w:val="21"/>
              </w:rPr>
            </w:pPr>
            <w:r>
              <w:rPr>
                <w:rFonts w:ascii="Times New Roman" w:eastAsia="Helvetica" w:hAnsi="Times New Roman"/>
                <w:kern w:val="0"/>
                <w:szCs w:val="21"/>
                <w:lang w:bidi="ar"/>
              </w:rPr>
              <w:t>27.92 ± 6.88</w:t>
            </w:r>
          </w:p>
        </w:tc>
        <w:tc>
          <w:tcPr>
            <w:tcW w:w="1566" w:type="dxa"/>
            <w:tcBorders>
              <w:top w:val="nil"/>
              <w:left w:val="nil"/>
              <w:bottom w:val="single" w:sz="12" w:space="0" w:color="auto"/>
              <w:right w:val="nil"/>
            </w:tcBorders>
            <w:shd w:val="clear" w:color="auto" w:fill="FFFFFF"/>
            <w:vAlign w:val="center"/>
          </w:tcPr>
          <w:p w14:paraId="60E81F7F" w14:textId="77777777" w:rsidR="00403AEE" w:rsidRDefault="00B1391B">
            <w:pPr>
              <w:widowControl/>
              <w:snapToGrid w:val="0"/>
              <w:jc w:val="center"/>
              <w:textAlignment w:val="center"/>
              <w:rPr>
                <w:rFonts w:ascii="Times New Roman" w:eastAsia="Helvetica" w:hAnsi="Times New Roman"/>
                <w:szCs w:val="21"/>
              </w:rPr>
            </w:pPr>
            <w:r>
              <w:rPr>
                <w:rFonts w:ascii="Times New Roman" w:eastAsia="Helvetica" w:hAnsi="Times New Roman"/>
                <w:kern w:val="0"/>
                <w:szCs w:val="21"/>
                <w:lang w:bidi="ar"/>
              </w:rPr>
              <w:t>25.26 ± 7.45</w:t>
            </w:r>
          </w:p>
        </w:tc>
        <w:tc>
          <w:tcPr>
            <w:tcW w:w="835" w:type="dxa"/>
            <w:tcBorders>
              <w:top w:val="nil"/>
              <w:left w:val="nil"/>
              <w:bottom w:val="single" w:sz="12" w:space="0" w:color="auto"/>
              <w:right w:val="nil"/>
            </w:tcBorders>
            <w:shd w:val="clear" w:color="auto" w:fill="FFFFFF"/>
            <w:vAlign w:val="center"/>
          </w:tcPr>
          <w:p w14:paraId="440D3F33" w14:textId="77777777" w:rsidR="00403AEE" w:rsidRDefault="00B1391B">
            <w:pPr>
              <w:widowControl/>
              <w:snapToGrid w:val="0"/>
              <w:jc w:val="center"/>
              <w:textAlignment w:val="center"/>
              <w:rPr>
                <w:rFonts w:ascii="Times New Roman" w:eastAsia="Helvetica" w:hAnsi="Times New Roman"/>
                <w:szCs w:val="21"/>
              </w:rPr>
            </w:pPr>
            <w:r>
              <w:rPr>
                <w:rFonts w:ascii="Times New Roman" w:eastAsia="Helvetica" w:hAnsi="Times New Roman"/>
                <w:kern w:val="0"/>
                <w:szCs w:val="21"/>
                <w:lang w:bidi="ar"/>
              </w:rPr>
              <w:t>2.18</w:t>
            </w:r>
          </w:p>
        </w:tc>
        <w:tc>
          <w:tcPr>
            <w:tcW w:w="941" w:type="dxa"/>
            <w:tcBorders>
              <w:top w:val="nil"/>
              <w:left w:val="nil"/>
              <w:bottom w:val="single" w:sz="12" w:space="0" w:color="auto"/>
              <w:right w:val="nil"/>
            </w:tcBorders>
            <w:shd w:val="clear" w:color="auto" w:fill="FFFFFF"/>
            <w:vAlign w:val="center"/>
          </w:tcPr>
          <w:p w14:paraId="4B3E6F3A" w14:textId="77777777" w:rsidR="00403AEE" w:rsidRDefault="00B1391B">
            <w:pPr>
              <w:widowControl/>
              <w:snapToGrid w:val="0"/>
              <w:jc w:val="center"/>
              <w:textAlignment w:val="center"/>
              <w:rPr>
                <w:rFonts w:ascii="Times New Roman" w:eastAsia="Helvetica" w:hAnsi="Times New Roman"/>
                <w:szCs w:val="21"/>
              </w:rPr>
            </w:pPr>
            <w:r>
              <w:rPr>
                <w:rFonts w:ascii="Times New Roman" w:eastAsia="Helvetica" w:hAnsi="Times New Roman"/>
                <w:kern w:val="0"/>
                <w:szCs w:val="21"/>
                <w:lang w:bidi="ar"/>
              </w:rPr>
              <w:t>&lt;0.05</w:t>
            </w:r>
          </w:p>
        </w:tc>
        <w:tc>
          <w:tcPr>
            <w:tcW w:w="1338" w:type="dxa"/>
            <w:tcBorders>
              <w:top w:val="nil"/>
              <w:left w:val="nil"/>
              <w:bottom w:val="single" w:sz="12" w:space="0" w:color="auto"/>
              <w:right w:val="nil"/>
            </w:tcBorders>
            <w:shd w:val="clear" w:color="auto" w:fill="FFFFFF"/>
            <w:vAlign w:val="center"/>
          </w:tcPr>
          <w:p w14:paraId="353DECE5" w14:textId="77777777" w:rsidR="00403AEE" w:rsidRDefault="00B1391B">
            <w:pPr>
              <w:widowControl/>
              <w:snapToGrid w:val="0"/>
              <w:jc w:val="center"/>
              <w:textAlignment w:val="center"/>
              <w:rPr>
                <w:rFonts w:ascii="Times New Roman" w:eastAsia="Helvetica" w:hAnsi="Times New Roman"/>
                <w:szCs w:val="21"/>
              </w:rPr>
            </w:pPr>
            <w:r>
              <w:rPr>
                <w:rFonts w:ascii="Times New Roman" w:eastAsia="Helvetica" w:hAnsi="Times New Roman"/>
                <w:kern w:val="0"/>
                <w:szCs w:val="21"/>
                <w:lang w:bidi="ar"/>
              </w:rPr>
              <w:t>0.42</w:t>
            </w:r>
          </w:p>
        </w:tc>
      </w:tr>
    </w:tbl>
    <w:p w14:paraId="151687F3" w14:textId="77777777" w:rsidR="00403AEE" w:rsidRDefault="00403AEE">
      <w:pPr>
        <w:widowControl/>
        <w:shd w:val="clear" w:color="auto" w:fill="FFFFFF"/>
        <w:spacing w:line="285" w:lineRule="atLeast"/>
        <w:rPr>
          <w:rFonts w:ascii="Times New Roman" w:hAnsi="Times New Roman"/>
        </w:rPr>
      </w:pPr>
    </w:p>
    <w:p w14:paraId="1C6A41B5" w14:textId="77777777" w:rsidR="00403AEE" w:rsidRDefault="00B1391B">
      <w:pPr>
        <w:widowControl/>
        <w:shd w:val="clear" w:color="auto" w:fill="FFFFFF"/>
        <w:spacing w:line="285" w:lineRule="atLeast"/>
        <w:ind w:firstLineChars="200" w:firstLine="420"/>
        <w:rPr>
          <w:rFonts w:ascii="Times New Roman" w:hAnsi="Times New Roman"/>
        </w:rPr>
      </w:pPr>
      <w:r>
        <w:rPr>
          <w:rFonts w:ascii="Times New Roman" w:hAnsi="Times New Roman"/>
        </w:rPr>
        <w:t xml:space="preserve">Sub-score analysis revealed that the experimental class achieved significantly higher means in both the basic and applied section (with a small effect size, d = 0.38) and the higher-order </w:t>
      </w:r>
      <w:r>
        <w:rPr>
          <w:rFonts w:ascii="Times New Roman" w:hAnsi="Times New Roman"/>
        </w:rPr>
        <w:lastRenderedPageBreak/>
        <w:t>thinking section (p &lt; 0.05, d = 0.42, approaching a medium effect). These findings confirm that the Integrated Model had a statistically significant positive impact on students' mastery of procedural knowledge and, notably, on fostering higher-order cognitive skills such as analysis, synthesis, and transfer.</w:t>
      </w:r>
    </w:p>
    <w:p w14:paraId="33677AB8" w14:textId="77777777" w:rsidR="00403AEE" w:rsidRDefault="00B1391B">
      <w:pPr>
        <w:pStyle w:val="Heading3"/>
        <w:rPr>
          <w:rFonts w:ascii="Times New Roman" w:hAnsi="Times New Roman"/>
          <w:sz w:val="21"/>
          <w:szCs w:val="18"/>
        </w:rPr>
      </w:pPr>
      <w:r>
        <w:rPr>
          <w:rFonts w:ascii="Times New Roman" w:hAnsi="Times New Roman"/>
          <w:sz w:val="21"/>
          <w:szCs w:val="18"/>
        </w:rPr>
        <w:t>4.2 Multidimensional Feedback on Learning Processes and Affective Attitudes</w:t>
      </w:r>
    </w:p>
    <w:p w14:paraId="23DBC700" w14:textId="77777777" w:rsidR="00403AEE" w:rsidRDefault="00B1391B">
      <w:pPr>
        <w:widowControl/>
        <w:shd w:val="clear" w:color="auto" w:fill="FFFFFF"/>
        <w:spacing w:line="285" w:lineRule="atLeast"/>
        <w:ind w:firstLineChars="200" w:firstLine="420"/>
        <w:rPr>
          <w:rFonts w:ascii="Times New Roman" w:hAnsi="Times New Roman"/>
        </w:rPr>
      </w:pPr>
      <w:r>
        <w:rPr>
          <w:rFonts w:ascii="Times New Roman" w:hAnsi="Times New Roman"/>
        </w:rPr>
        <w:t xml:space="preserve">In addition to academic achievement, the study examined students' learning processes and subjective experiences through post-test questionnaires and platform-based learning behavior data. The questionnaire employed a five-point Likert scale (1 = strongly disagree, 5 = strongly agree), with the experimental class scoring significantly higher than the control class across all affective-attitudinal dimensions (all p &lt; 0.05). The most notable differences were in "Perception of Structured Knowledge Understanding" (Experimental: 4.41 vs. Control: 3.52) and "Overall Satisfaction with the Teaching Model" (Experimental: 4.48 vs. Control: 3.78). This suggests that students not only endorsed the model but also experienced tangible improvements in their cognitive structures (see Figure 4). </w:t>
      </w:r>
    </w:p>
    <w:p w14:paraId="416E22E4" w14:textId="77777777" w:rsidR="00403AEE" w:rsidRDefault="00B1391B">
      <w:pPr>
        <w:widowControl/>
        <w:shd w:val="clear" w:color="auto" w:fill="FFFFFF"/>
        <w:spacing w:line="285" w:lineRule="atLeast"/>
        <w:rPr>
          <w:rFonts w:ascii="Times New Roman" w:hAnsi="Times New Roman"/>
        </w:rPr>
      </w:pPr>
      <w:r>
        <w:rPr>
          <w:rFonts w:ascii="Times New Roman" w:hAnsi="Times New Roman"/>
          <w:noProof/>
        </w:rPr>
        <w:drawing>
          <wp:inline distT="0" distB="0" distL="114300" distR="114300" wp14:anchorId="461A063D" wp14:editId="6F6E24BB">
            <wp:extent cx="5270500" cy="3240405"/>
            <wp:effectExtent l="0" t="0" r="6350" b="171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270500" cy="3240405"/>
                    </a:xfrm>
                    <a:prstGeom prst="rect">
                      <a:avLst/>
                    </a:prstGeom>
                    <a:noFill/>
                    <a:ln>
                      <a:noFill/>
                    </a:ln>
                  </pic:spPr>
                </pic:pic>
              </a:graphicData>
            </a:graphic>
          </wp:inline>
        </w:drawing>
      </w:r>
    </w:p>
    <w:p w14:paraId="393D6124" w14:textId="77777777" w:rsidR="00403AEE" w:rsidRDefault="00B1391B">
      <w:pPr>
        <w:widowControl/>
        <w:shd w:val="clear" w:color="auto" w:fill="FFFFFF"/>
        <w:spacing w:line="285" w:lineRule="atLeast"/>
        <w:jc w:val="center"/>
        <w:rPr>
          <w:rFonts w:ascii="Times New Roman" w:hAnsi="Times New Roman"/>
        </w:rPr>
      </w:pPr>
      <w:r>
        <w:rPr>
          <w:rFonts w:ascii="Times New Roman" w:hAnsi="Times New Roman"/>
        </w:rPr>
        <w:t>Figure 4 Comparison of Questionnaire Results between Experimental and Control Classes</w:t>
      </w:r>
    </w:p>
    <w:p w14:paraId="02C47387" w14:textId="77777777" w:rsidR="00403AEE" w:rsidRDefault="00B1391B">
      <w:pPr>
        <w:widowControl/>
        <w:shd w:val="clear" w:color="auto" w:fill="FFFFFF"/>
        <w:spacing w:line="285" w:lineRule="atLeast"/>
        <w:rPr>
          <w:rFonts w:ascii="Times New Roman" w:hAnsi="Times New Roman"/>
        </w:rPr>
      </w:pPr>
      <w:r>
        <w:rPr>
          <w:rFonts w:ascii="Times New Roman" w:hAnsi="Times New Roman"/>
        </w:rPr>
        <w:t xml:space="preserve">Platform backend data objectively supported these perceptions. Experimental class students accessed the knowledge graph an average of 18.5 times per unit, with over 70% proactively using it for assignments and reviews. Node click heatmaps indicated frequent engagement not only with core concepts but also with relational links such as "distinctions," "connections," and "application conditions," reflecting a shift toward relational and systematic learning rather than isolated memorization. </w:t>
      </w:r>
    </w:p>
    <w:p w14:paraId="4590C687" w14:textId="77777777" w:rsidR="00403AEE" w:rsidRDefault="00403AEE">
      <w:pPr>
        <w:widowControl/>
        <w:shd w:val="clear" w:color="auto" w:fill="FFFFFF"/>
        <w:spacing w:line="285" w:lineRule="atLeast"/>
        <w:rPr>
          <w:rFonts w:ascii="Times New Roman" w:hAnsi="Times New Roman"/>
        </w:rPr>
      </w:pPr>
    </w:p>
    <w:p w14:paraId="5E1D03A2" w14:textId="77777777" w:rsidR="00403AEE" w:rsidRDefault="00B1391B">
      <w:pPr>
        <w:pStyle w:val="Heading3"/>
        <w:rPr>
          <w:rFonts w:ascii="Times New Roman" w:hAnsi="Times New Roman"/>
          <w:sz w:val="21"/>
          <w:szCs w:val="18"/>
        </w:rPr>
      </w:pPr>
      <w:r>
        <w:rPr>
          <w:rFonts w:ascii="Times New Roman" w:hAnsi="Times New Roman"/>
          <w:sz w:val="21"/>
          <w:szCs w:val="18"/>
        </w:rPr>
        <w:t>4.3 Qualitative Evidence Revealing the Deepening of Thinking Processes</w:t>
      </w:r>
    </w:p>
    <w:p w14:paraId="1A213F7C" w14:textId="77777777" w:rsidR="00403AEE" w:rsidRDefault="00B1391B">
      <w:pPr>
        <w:widowControl/>
        <w:shd w:val="clear" w:color="auto" w:fill="FFFFFF"/>
        <w:spacing w:line="285" w:lineRule="atLeast"/>
        <w:ind w:firstLineChars="200" w:firstLine="420"/>
        <w:rPr>
          <w:rFonts w:ascii="Times New Roman" w:hAnsi="Times New Roman"/>
        </w:rPr>
      </w:pPr>
      <w:r>
        <w:rPr>
          <w:rFonts w:ascii="Times New Roman" w:hAnsi="Times New Roman"/>
        </w:rPr>
        <w:t>To explore the mechanisms underlying the quantitative results, semi-structured interviews were conducted with ten students of varying academic levels from the experimental class. Additionally, classroom observations and student-generated personalized knowledge graphs were analyzed. Thematic analysis of interview transcripts identified three core themes:</w:t>
      </w:r>
    </w:p>
    <w:p w14:paraId="088D4587" w14:textId="77777777" w:rsidR="00403AEE" w:rsidRDefault="00B1391B">
      <w:pPr>
        <w:widowControl/>
        <w:shd w:val="clear" w:color="auto" w:fill="FFFFFF"/>
        <w:spacing w:line="285" w:lineRule="atLeast"/>
        <w:ind w:firstLineChars="200" w:firstLine="420"/>
        <w:rPr>
          <w:rFonts w:ascii="Times New Roman" w:hAnsi="Times New Roman"/>
        </w:rPr>
      </w:pPr>
      <w:r>
        <w:rPr>
          <w:rFonts w:ascii="Times New Roman" w:hAnsi="Times New Roman"/>
        </w:rPr>
        <w:t>1. The Navigational Role of the "Cognitive Map": Most students described the knowledge graph as a "learning map" or "thinking navigator." One student noted: "Previously, learning felt like scattered beads on the ground—very disorganized. Now, with the knowledge graph, it's like having a string to thread them. I can clearly see how partial derivatives, directional derivatives, and gradients connect and extend step-by-step. When solving problems, I know which knowledge block to draw upon."</w:t>
      </w:r>
    </w:p>
    <w:p w14:paraId="2EB0F87A" w14:textId="77777777" w:rsidR="00403AEE" w:rsidRDefault="00B1391B">
      <w:pPr>
        <w:widowControl/>
        <w:shd w:val="clear" w:color="auto" w:fill="FFFFFF"/>
        <w:spacing w:line="285" w:lineRule="atLeast"/>
        <w:ind w:firstLineChars="200" w:firstLine="420"/>
        <w:rPr>
          <w:rFonts w:ascii="Times New Roman" w:hAnsi="Times New Roman"/>
        </w:rPr>
      </w:pPr>
      <w:r>
        <w:rPr>
          <w:rFonts w:ascii="Times New Roman" w:hAnsi="Times New Roman"/>
        </w:rPr>
        <w:t>2. Shifts in Thinking Patterns Driven by Problems: Students reported that problem chains prompted deeper engagement. For example: "When discussing 'Why is the gradient direction the fastest?', we couldn't just memorize the conclusion. We had to follow the logical chain on the graph, deriving and explaining from partial derivatives to directional derivatives. This 'why' inquiry made understanding much more profound."</w:t>
      </w:r>
    </w:p>
    <w:p w14:paraId="56392F25" w14:textId="77777777" w:rsidR="00403AEE" w:rsidRDefault="00B1391B">
      <w:pPr>
        <w:widowControl/>
        <w:shd w:val="clear" w:color="auto" w:fill="FFFFFF"/>
        <w:spacing w:line="285" w:lineRule="atLeast"/>
        <w:ind w:firstLineChars="200" w:firstLine="420"/>
        <w:rPr>
          <w:rFonts w:ascii="Times New Roman" w:hAnsi="Times New Roman"/>
        </w:rPr>
      </w:pPr>
      <w:r>
        <w:rPr>
          <w:rFonts w:ascii="Times New Roman" w:hAnsi="Times New Roman"/>
        </w:rPr>
        <w:t>3. From Passive Reception to Active Construction: In collaborative tasks refining graph branches, students showed high engagement, adding examples, annotating pitfalls, and linking to other chapters (e.g., field theory). This marked a transition from passive recipients to active integrators.</w:t>
      </w:r>
    </w:p>
    <w:p w14:paraId="6AD27B93" w14:textId="77777777" w:rsidR="00403AEE" w:rsidRDefault="00B1391B">
      <w:pPr>
        <w:widowControl/>
        <w:shd w:val="clear" w:color="auto" w:fill="FFFFFF"/>
        <w:spacing w:line="285" w:lineRule="atLeast"/>
        <w:ind w:firstLineChars="200" w:firstLine="420"/>
        <w:rPr>
          <w:rFonts w:ascii="Times New Roman" w:hAnsi="Times New Roman"/>
        </w:rPr>
      </w:pPr>
      <w:r>
        <w:rPr>
          <w:rFonts w:ascii="Times New Roman" w:hAnsi="Times New Roman"/>
        </w:rPr>
        <w:t>Classroom observations reinforced this: Experimental discussions emphasized conceptual comparisons (e.g., physical distinctions between line integral types) and theorem conditions (e.g., Green's Theorem premises), contrasting with the control class's procedural focus. End-of-semester personalized graphs demonstrated structural completeness, relational accuracy, and insightful annotations, visually evidencing systematized cognitive structures.</w:t>
      </w:r>
    </w:p>
    <w:p w14:paraId="27DBAE24" w14:textId="77777777" w:rsidR="00403AEE" w:rsidRDefault="00B1391B">
      <w:pPr>
        <w:pStyle w:val="Heading3"/>
        <w:rPr>
          <w:rFonts w:ascii="Times New Roman" w:hAnsi="Times New Roman"/>
          <w:sz w:val="21"/>
          <w:szCs w:val="18"/>
        </w:rPr>
      </w:pPr>
      <w:r>
        <w:rPr>
          <w:rFonts w:ascii="Times New Roman" w:hAnsi="Times New Roman"/>
          <w:sz w:val="21"/>
          <w:szCs w:val="18"/>
        </w:rPr>
        <w:t>4.4 Discussion and Reflection</w:t>
      </w:r>
    </w:p>
    <w:p w14:paraId="31B458BF" w14:textId="77777777" w:rsidR="00403AEE" w:rsidRDefault="00B1391B">
      <w:pPr>
        <w:widowControl/>
        <w:shd w:val="clear" w:color="auto" w:fill="FFFFFF"/>
        <w:spacing w:line="285" w:lineRule="atLeast"/>
        <w:ind w:firstLineChars="200" w:firstLine="420"/>
        <w:rPr>
          <w:rFonts w:ascii="Times New Roman" w:hAnsi="Times New Roman"/>
        </w:rPr>
      </w:pPr>
      <w:r>
        <w:rPr>
          <w:rFonts w:ascii="Times New Roman" w:hAnsi="Times New Roman"/>
        </w:rPr>
        <w:t xml:space="preserve">Combining quantitative and qualitative evidence, this study confirms the Integrated Model's significant effectiveness in advanced mathematics teaching. Its success stems from a virtuous cycle between a "structural scaffold" (the knowledge graph, reducing cognitive load and providing a clear framework) and a "cognitive engine" (the problem chain, stimulating conflict and guiding active differentiation, integration, and application). This integration resolves traditional </w:t>
      </w:r>
      <w:r>
        <w:rPr>
          <w:rFonts w:ascii="Times New Roman" w:hAnsi="Times New Roman"/>
        </w:rPr>
        <w:lastRenderedPageBreak/>
        <w:t>disconnects between knowledge transmission and thinking cultivation, advancing both mastery and higher-order skills.</w:t>
      </w:r>
    </w:p>
    <w:p w14:paraId="6EBD5DAB" w14:textId="77777777" w:rsidR="00403AEE" w:rsidRDefault="00B1391B">
      <w:pPr>
        <w:widowControl/>
        <w:shd w:val="clear" w:color="auto" w:fill="FFFFFF"/>
        <w:spacing w:line="285" w:lineRule="atLeast"/>
        <w:ind w:firstLineChars="200" w:firstLine="420"/>
        <w:rPr>
          <w:rFonts w:ascii="Times New Roman" w:hAnsi="Times New Roman"/>
        </w:rPr>
      </w:pPr>
      <w:r>
        <w:rPr>
          <w:rFonts w:ascii="Times New Roman" w:hAnsi="Times New Roman"/>
        </w:rPr>
        <w:t>However, challenges emerged: The model demands substantial instructor effort for graph construction and problem design. Future enhancements could include subject-specific templates, case libraries, and student co-construction activities to distribute workload and boost engagement. Current assessments, though diversified, lack refined tracking of cognitive evolution; learning analytics could analyze interaction paths and self-constructed graphs for precise diagnosis. Finally, generalizability requires testing across majors and courses, with resources like training materials and tools to support broader adoption.</w:t>
      </w:r>
    </w:p>
    <w:p w14:paraId="71BF517E" w14:textId="77777777" w:rsidR="00403AEE" w:rsidRDefault="00B1391B">
      <w:pPr>
        <w:pStyle w:val="Heading2"/>
        <w:rPr>
          <w:rFonts w:ascii="Times New Roman" w:hAnsi="Times New Roman"/>
          <w:sz w:val="24"/>
          <w:szCs w:val="21"/>
        </w:rPr>
      </w:pPr>
      <w:r>
        <w:rPr>
          <w:rFonts w:ascii="Times New Roman" w:hAnsi="Times New Roman"/>
          <w:sz w:val="24"/>
          <w:szCs w:val="21"/>
        </w:rPr>
        <w:t>5. Conclusion</w:t>
      </w:r>
    </w:p>
    <w:p w14:paraId="53A65006" w14:textId="77777777" w:rsidR="00403AEE" w:rsidRDefault="00B1391B">
      <w:pPr>
        <w:widowControl/>
        <w:shd w:val="clear" w:color="auto" w:fill="FFFFFF"/>
        <w:ind w:firstLineChars="200" w:firstLine="420"/>
        <w:rPr>
          <w:rFonts w:ascii="Times New Roman" w:hAnsi="Times New Roman"/>
        </w:rPr>
      </w:pPr>
      <w:r>
        <w:rPr>
          <w:rFonts w:ascii="Times New Roman" w:hAnsi="Times New Roman"/>
        </w:rPr>
        <w:t>To address compartmentalized knowledge acquisition and insufficient higher-order thinking cultivation in advanced mathematics, this study developed and empirically validated a Knowledge Graph-Integrated Problem-Driven Teaching Model. Theoretical analysis and experiments show that the model enhances structured understanding of core units like Multivariable Differential Calculus and Curve Integrals via the knowledge graph's systematic framework. Meanwhile, graph-navigated tiered problem chains drive inquiry, significantly improving analysis, synthesis, and transfer abilities. The experimental class outperformed the control class on higher-order thinking tasks (p &lt; 0.05), with feedback affirming boosts in interest and cognitive depth. By innovatively integrating knowledge graphs and problem-driven teaching, this study offers a theoretically grounded, practically effective reform path for advanced mathematics, providing valuable insights for nurturing innovative talents.</w:t>
      </w:r>
    </w:p>
    <w:p w14:paraId="67281C0C" w14:textId="77777777" w:rsidR="00E41C03" w:rsidRDefault="00E41C03">
      <w:pPr>
        <w:widowControl/>
        <w:shd w:val="clear" w:color="auto" w:fill="FFFFFF"/>
        <w:ind w:firstLineChars="200" w:firstLine="420"/>
        <w:rPr>
          <w:rFonts w:ascii="Times New Roman" w:hAnsi="Times New Roman"/>
        </w:rPr>
      </w:pPr>
    </w:p>
    <w:p w14:paraId="12A526BB" w14:textId="77777777" w:rsidR="00E41C03" w:rsidRPr="00E41C03" w:rsidRDefault="00E41C03" w:rsidP="00E41C03">
      <w:pPr>
        <w:widowControl/>
        <w:spacing w:after="200" w:line="276" w:lineRule="auto"/>
        <w:jc w:val="left"/>
        <w:rPr>
          <w:rFonts w:eastAsia="Times New Roman" w:cs="Arial"/>
          <w:b/>
          <w:bCs/>
          <w:kern w:val="0"/>
          <w:sz w:val="22"/>
          <w:szCs w:val="22"/>
          <w:lang w:val="en-GB" w:eastAsia="en-GB"/>
        </w:rPr>
      </w:pPr>
      <w:r w:rsidRPr="00E41C03">
        <w:rPr>
          <w:rFonts w:eastAsia="Times New Roman" w:cs="Arial"/>
          <w:b/>
          <w:bCs/>
          <w:kern w:val="0"/>
          <w:sz w:val="22"/>
          <w:szCs w:val="22"/>
          <w:lang w:val="en-GB" w:eastAsia="en-GB"/>
        </w:rPr>
        <w:t>COMPETING INTERESTS DISCLAIMER:</w:t>
      </w:r>
    </w:p>
    <w:p w14:paraId="64CB7F9D" w14:textId="77777777" w:rsidR="00E41C03" w:rsidRPr="00E41C03" w:rsidRDefault="00E41C03" w:rsidP="00E41C03">
      <w:pPr>
        <w:widowControl/>
        <w:spacing w:after="200" w:line="276" w:lineRule="auto"/>
        <w:jc w:val="left"/>
        <w:rPr>
          <w:rFonts w:ascii="Calibri" w:eastAsia="Times New Roman" w:hAnsi="Calibri"/>
          <w:kern w:val="0"/>
          <w:sz w:val="22"/>
          <w:szCs w:val="22"/>
          <w:lang w:val="en-GB" w:eastAsia="en-GB"/>
        </w:rPr>
      </w:pPr>
      <w:r w:rsidRPr="00E41C03">
        <w:rPr>
          <w:rFonts w:eastAsia="Times New Roman" w:cs="Arial"/>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F1A3353" w14:textId="77777777" w:rsidR="00E41C03" w:rsidRDefault="00E41C03">
      <w:pPr>
        <w:widowControl/>
        <w:shd w:val="clear" w:color="auto" w:fill="FFFFFF"/>
        <w:ind w:firstLineChars="200" w:firstLine="420"/>
        <w:rPr>
          <w:rFonts w:ascii="Times New Roman" w:hAnsi="Times New Roman"/>
        </w:rPr>
      </w:pPr>
    </w:p>
    <w:p w14:paraId="2E58DCC2" w14:textId="77777777" w:rsidR="00403AEE" w:rsidRDefault="00B1391B">
      <w:pPr>
        <w:pStyle w:val="Heading2"/>
        <w:rPr>
          <w:rFonts w:ascii="Times New Roman" w:hAnsi="Times New Roman"/>
          <w:sz w:val="24"/>
          <w:szCs w:val="21"/>
        </w:rPr>
      </w:pPr>
      <w:r>
        <w:rPr>
          <w:rFonts w:ascii="Times New Roman" w:hAnsi="Times New Roman"/>
          <w:sz w:val="24"/>
          <w:szCs w:val="21"/>
        </w:rPr>
        <w:t>References</w:t>
      </w:r>
    </w:p>
    <w:p w14:paraId="2219CB81" w14:textId="77777777" w:rsidR="00403AEE" w:rsidRDefault="00B1391B" w:rsidP="00B1391B">
      <w:pPr>
        <w:pStyle w:val="Bibliography1"/>
        <w:numPr>
          <w:ilvl w:val="0"/>
          <w:numId w:val="2"/>
        </w:numPr>
        <w:spacing w:line="240" w:lineRule="auto"/>
        <w:rPr>
          <w:rFonts w:ascii="Times New Roman" w:hAnsi="Times New Roman"/>
        </w:rPr>
      </w:pPr>
      <w:r>
        <w:rPr>
          <w:rFonts w:ascii="Times New Roman" w:hAnsi="Times New Roman"/>
        </w:rPr>
        <w:fldChar w:fldCharType="begin"/>
      </w:r>
      <w:r>
        <w:rPr>
          <w:rFonts w:ascii="Times New Roman" w:hAnsi="Times New Roman"/>
        </w:rPr>
        <w:instrText xml:space="preserve"> ADDIN ZOTERO_BIBL {"uncited":[],"omitted":[],"custom":[]} CSL_BIBLIOGRAPHY </w:instrText>
      </w:r>
      <w:r>
        <w:rPr>
          <w:rFonts w:ascii="Times New Roman" w:hAnsi="Times New Roman"/>
        </w:rPr>
        <w:fldChar w:fldCharType="separate"/>
      </w:r>
      <w:r>
        <w:rPr>
          <w:rFonts w:ascii="Times New Roman" w:hAnsi="Times New Roman"/>
        </w:rPr>
        <w:t xml:space="preserve">Brandibur, O., Filipowicz-Chomko, M., Girejko, E., Kaslik, E., Mozyrska, D., Mureșan, R., Pappas, N., Tănasie, A. L., &amp; Zaharia, C. (2025). Higher Mathematics Education and AI Prompt Patterns: Examples from Selected University Classes. </w:t>
      </w:r>
      <w:r>
        <w:rPr>
          <w:rFonts w:ascii="Times New Roman" w:hAnsi="Times New Roman"/>
          <w:i/>
        </w:rPr>
        <w:t>Applied Sciences</w:t>
      </w:r>
      <w:r>
        <w:rPr>
          <w:rFonts w:ascii="Times New Roman" w:hAnsi="Times New Roman"/>
        </w:rPr>
        <w:t xml:space="preserve">, </w:t>
      </w:r>
      <w:r>
        <w:rPr>
          <w:rFonts w:ascii="Times New Roman" w:hAnsi="Times New Roman"/>
          <w:i/>
        </w:rPr>
        <w:t>16</w:t>
      </w:r>
      <w:r>
        <w:rPr>
          <w:rFonts w:ascii="Times New Roman" w:hAnsi="Times New Roman"/>
        </w:rPr>
        <w:t>(1), 339. https://doi.org/10.3390/app16010339</w:t>
      </w:r>
    </w:p>
    <w:p w14:paraId="52A0E336" w14:textId="77777777" w:rsidR="00403AEE" w:rsidRDefault="00B1391B" w:rsidP="00B1391B">
      <w:pPr>
        <w:pStyle w:val="Bibliography1"/>
        <w:numPr>
          <w:ilvl w:val="0"/>
          <w:numId w:val="2"/>
        </w:numPr>
        <w:spacing w:line="240" w:lineRule="auto"/>
        <w:rPr>
          <w:rFonts w:ascii="Times New Roman" w:hAnsi="Times New Roman"/>
        </w:rPr>
      </w:pPr>
      <w:r>
        <w:rPr>
          <w:rFonts w:ascii="Times New Roman" w:hAnsi="Times New Roman"/>
        </w:rPr>
        <w:lastRenderedPageBreak/>
        <w:t xml:space="preserve">Chang Jin. (2025). Research on problem-driven inquiry-based teaching for high school mathematics—Taking “determining the perpendicularity of a line and a plane” as an example. </w:t>
      </w:r>
      <w:r>
        <w:rPr>
          <w:rFonts w:ascii="Times New Roman" w:hAnsi="Times New Roman"/>
          <w:i/>
        </w:rPr>
        <w:t>Frontiers in Educational Research</w:t>
      </w:r>
      <w:r>
        <w:rPr>
          <w:rFonts w:ascii="Times New Roman" w:hAnsi="Times New Roman"/>
        </w:rPr>
        <w:t xml:space="preserve">, </w:t>
      </w:r>
      <w:r>
        <w:rPr>
          <w:rFonts w:ascii="Times New Roman" w:hAnsi="Times New Roman"/>
          <w:i/>
        </w:rPr>
        <w:t>8</w:t>
      </w:r>
      <w:r>
        <w:rPr>
          <w:rFonts w:ascii="Times New Roman" w:hAnsi="Times New Roman"/>
        </w:rPr>
        <w:t>(4). https://doi.org/10.25236/FER.2025.080402</w:t>
      </w:r>
    </w:p>
    <w:p w14:paraId="0139762C" w14:textId="77777777" w:rsidR="00403AEE" w:rsidRDefault="00B1391B" w:rsidP="00B1391B">
      <w:pPr>
        <w:pStyle w:val="Bibliography1"/>
        <w:numPr>
          <w:ilvl w:val="0"/>
          <w:numId w:val="2"/>
        </w:numPr>
        <w:spacing w:line="240" w:lineRule="auto"/>
        <w:rPr>
          <w:rFonts w:ascii="Times New Roman" w:hAnsi="Times New Roman"/>
        </w:rPr>
      </w:pPr>
      <w:r>
        <w:rPr>
          <w:rFonts w:ascii="Times New Roman" w:hAnsi="Times New Roman"/>
        </w:rPr>
        <w:t xml:space="preserve">Cui, J., &amp; Yu, S. (2019). Fostering deeper learning in a flipped classroom: Effects of knowledge graphs versus concept maps. </w:t>
      </w:r>
      <w:r>
        <w:rPr>
          <w:rFonts w:ascii="Times New Roman" w:hAnsi="Times New Roman"/>
          <w:i/>
        </w:rPr>
        <w:t>British Journal of Educational Technology</w:t>
      </w:r>
      <w:r>
        <w:rPr>
          <w:rFonts w:ascii="Times New Roman" w:hAnsi="Times New Roman"/>
        </w:rPr>
        <w:t xml:space="preserve">, </w:t>
      </w:r>
      <w:r>
        <w:rPr>
          <w:rFonts w:ascii="Times New Roman" w:hAnsi="Times New Roman"/>
          <w:i/>
        </w:rPr>
        <w:t>50</w:t>
      </w:r>
      <w:r>
        <w:rPr>
          <w:rFonts w:ascii="Times New Roman" w:hAnsi="Times New Roman"/>
        </w:rPr>
        <w:t>(5), 2308–2328. https://doi.org/10.1111/bjet.12841</w:t>
      </w:r>
    </w:p>
    <w:p w14:paraId="14772A83" w14:textId="77777777" w:rsidR="00403AEE" w:rsidRDefault="00B1391B" w:rsidP="00B1391B">
      <w:pPr>
        <w:pStyle w:val="Bibliography1"/>
        <w:numPr>
          <w:ilvl w:val="0"/>
          <w:numId w:val="2"/>
        </w:numPr>
        <w:spacing w:line="240" w:lineRule="auto"/>
        <w:rPr>
          <w:rFonts w:ascii="Times New Roman" w:hAnsi="Times New Roman"/>
        </w:rPr>
      </w:pPr>
      <w:r>
        <w:rPr>
          <w:rFonts w:ascii="Times New Roman" w:hAnsi="Times New Roman"/>
        </w:rPr>
        <w:t xml:space="preserve">Duan, L., Li, B., &amp; Han, X. (2026). A precision teaching model for college mathematics based on information technology. </w:t>
      </w:r>
      <w:r>
        <w:rPr>
          <w:rFonts w:ascii="Times New Roman" w:hAnsi="Times New Roman"/>
          <w:i/>
        </w:rPr>
        <w:t>Current Psychology</w:t>
      </w:r>
      <w:r>
        <w:rPr>
          <w:rFonts w:ascii="Times New Roman" w:hAnsi="Times New Roman"/>
        </w:rPr>
        <w:t xml:space="preserve">, </w:t>
      </w:r>
      <w:r>
        <w:rPr>
          <w:rFonts w:ascii="Times New Roman" w:hAnsi="Times New Roman"/>
          <w:i/>
        </w:rPr>
        <w:t>45</w:t>
      </w:r>
      <w:r>
        <w:rPr>
          <w:rFonts w:ascii="Times New Roman" w:hAnsi="Times New Roman"/>
        </w:rPr>
        <w:t>(1), 43. https://doi.org/10.1007/s12144-025-08822-8</w:t>
      </w:r>
    </w:p>
    <w:p w14:paraId="3AA6A3BB" w14:textId="77777777" w:rsidR="00403AEE" w:rsidRDefault="00B1391B" w:rsidP="00B1391B">
      <w:pPr>
        <w:pStyle w:val="Bibliography1"/>
        <w:numPr>
          <w:ilvl w:val="0"/>
          <w:numId w:val="2"/>
        </w:numPr>
        <w:spacing w:line="240" w:lineRule="auto"/>
        <w:rPr>
          <w:rFonts w:ascii="Times New Roman" w:hAnsi="Times New Roman"/>
        </w:rPr>
      </w:pPr>
      <w:r>
        <w:rPr>
          <w:rFonts w:ascii="Times New Roman" w:hAnsi="Times New Roman"/>
        </w:rPr>
        <w:t xml:space="preserve">Li, A., Li, Y., &amp; Gao, X. (2026). Personalized Learning Path Recommendation Based on Knowledge Graphs: A Survey. </w:t>
      </w:r>
      <w:r>
        <w:rPr>
          <w:rFonts w:ascii="Times New Roman" w:hAnsi="Times New Roman"/>
          <w:i/>
        </w:rPr>
        <w:t>Electronics</w:t>
      </w:r>
      <w:r>
        <w:rPr>
          <w:rFonts w:ascii="Times New Roman" w:hAnsi="Times New Roman"/>
        </w:rPr>
        <w:t xml:space="preserve">, </w:t>
      </w:r>
      <w:r>
        <w:rPr>
          <w:rFonts w:ascii="Times New Roman" w:hAnsi="Times New Roman"/>
          <w:i/>
        </w:rPr>
        <w:t>15</w:t>
      </w:r>
      <w:r>
        <w:rPr>
          <w:rFonts w:ascii="Times New Roman" w:hAnsi="Times New Roman"/>
        </w:rPr>
        <w:t>(1), 238. https://doi.org/10.3390/electronics15010238</w:t>
      </w:r>
    </w:p>
    <w:p w14:paraId="25E40E7F" w14:textId="77777777" w:rsidR="00403AEE" w:rsidRDefault="00B1391B" w:rsidP="00B1391B">
      <w:pPr>
        <w:pStyle w:val="Bibliography1"/>
        <w:numPr>
          <w:ilvl w:val="0"/>
          <w:numId w:val="2"/>
        </w:numPr>
        <w:spacing w:line="240" w:lineRule="auto"/>
        <w:rPr>
          <w:rFonts w:ascii="Times New Roman" w:hAnsi="Times New Roman"/>
        </w:rPr>
      </w:pPr>
      <w:r>
        <w:rPr>
          <w:rFonts w:ascii="Times New Roman" w:hAnsi="Times New Roman"/>
        </w:rPr>
        <w:t xml:space="preserve">Li, B., Hu, W., Duan, A., Li, Q., Li, L., Li, C., Weng, C., Peng, Z., Chen, W., &amp; Li, Y. (2025). Improving medical students’ learning absorption in a knowledge graph based blended learning course. </w:t>
      </w:r>
      <w:r>
        <w:rPr>
          <w:rFonts w:ascii="Times New Roman" w:hAnsi="Times New Roman"/>
          <w:i/>
        </w:rPr>
        <w:t>BMC Medical Education</w:t>
      </w:r>
      <w:r>
        <w:rPr>
          <w:rFonts w:ascii="Times New Roman" w:hAnsi="Times New Roman"/>
        </w:rPr>
        <w:t xml:space="preserve">, </w:t>
      </w:r>
      <w:r>
        <w:rPr>
          <w:rFonts w:ascii="Times New Roman" w:hAnsi="Times New Roman"/>
          <w:i/>
        </w:rPr>
        <w:t>26</w:t>
      </w:r>
      <w:r>
        <w:rPr>
          <w:rFonts w:ascii="Times New Roman" w:hAnsi="Times New Roman"/>
        </w:rPr>
        <w:t>(1), 96. https://doi.org/10.1186/s12909-025-08428-5</w:t>
      </w:r>
    </w:p>
    <w:p w14:paraId="390CD9EE" w14:textId="77777777" w:rsidR="00403AEE" w:rsidRDefault="00B1391B" w:rsidP="00B1391B">
      <w:pPr>
        <w:pStyle w:val="Bibliography1"/>
        <w:numPr>
          <w:ilvl w:val="0"/>
          <w:numId w:val="2"/>
        </w:numPr>
        <w:spacing w:line="240" w:lineRule="auto"/>
        <w:rPr>
          <w:rFonts w:ascii="Times New Roman" w:hAnsi="Times New Roman"/>
        </w:rPr>
      </w:pPr>
      <w:r>
        <w:rPr>
          <w:rFonts w:ascii="Times New Roman" w:hAnsi="Times New Roman"/>
        </w:rPr>
        <w:t xml:space="preserve">Liao, P., Liu, S., Luo, C., &amp; Wei, X. (2025). Dual-track drive for precision education: Developing a targeted teaching model in the standardized training of lymphoma subspecialty physicians through the integration of problem-based learning and case-based learning. </w:t>
      </w:r>
      <w:r>
        <w:rPr>
          <w:rFonts w:ascii="Times New Roman" w:hAnsi="Times New Roman"/>
          <w:i/>
        </w:rPr>
        <w:t>BMC Medical Education</w:t>
      </w:r>
      <w:r>
        <w:rPr>
          <w:rFonts w:ascii="Times New Roman" w:hAnsi="Times New Roman"/>
        </w:rPr>
        <w:t xml:space="preserve">, </w:t>
      </w:r>
      <w:r>
        <w:rPr>
          <w:rFonts w:ascii="Times New Roman" w:hAnsi="Times New Roman"/>
          <w:i/>
        </w:rPr>
        <w:t>25</w:t>
      </w:r>
      <w:r>
        <w:rPr>
          <w:rFonts w:ascii="Times New Roman" w:hAnsi="Times New Roman"/>
        </w:rPr>
        <w:t>(1), 1590. https://doi.org/10.1186/s12909-025-08200-9</w:t>
      </w:r>
    </w:p>
    <w:p w14:paraId="3D11575A" w14:textId="77777777" w:rsidR="00403AEE" w:rsidRDefault="00B1391B" w:rsidP="00B1391B">
      <w:pPr>
        <w:pStyle w:val="Bibliography1"/>
        <w:numPr>
          <w:ilvl w:val="0"/>
          <w:numId w:val="2"/>
        </w:numPr>
        <w:spacing w:line="240" w:lineRule="auto"/>
        <w:rPr>
          <w:rFonts w:ascii="Times New Roman" w:hAnsi="Times New Roman"/>
        </w:rPr>
      </w:pPr>
      <w:r>
        <w:rPr>
          <w:rFonts w:ascii="Times New Roman" w:hAnsi="Times New Roman"/>
        </w:rPr>
        <w:t xml:space="preserve">Liu, T., &amp; Li, C. (2025). Improvement of college students’ higher mathematics problem solving ability based on neural network and multiple regression model. </w:t>
      </w:r>
      <w:r>
        <w:rPr>
          <w:rFonts w:ascii="Times New Roman" w:hAnsi="Times New Roman"/>
          <w:i/>
        </w:rPr>
        <w:t>Scientific Reports</w:t>
      </w:r>
      <w:r>
        <w:rPr>
          <w:rFonts w:ascii="Times New Roman" w:hAnsi="Times New Roman"/>
        </w:rPr>
        <w:t xml:space="preserve">, </w:t>
      </w:r>
      <w:r>
        <w:rPr>
          <w:rFonts w:ascii="Times New Roman" w:hAnsi="Times New Roman"/>
          <w:i/>
        </w:rPr>
        <w:t>15</w:t>
      </w:r>
      <w:r>
        <w:rPr>
          <w:rFonts w:ascii="Times New Roman" w:hAnsi="Times New Roman"/>
        </w:rPr>
        <w:t>(1), 42755. https://doi.org/10.1038/s41598-025-27138-y</w:t>
      </w:r>
    </w:p>
    <w:p w14:paraId="5D50F401" w14:textId="77777777" w:rsidR="00403AEE" w:rsidRDefault="00B1391B" w:rsidP="00B1391B">
      <w:pPr>
        <w:pStyle w:val="Bibliography1"/>
        <w:numPr>
          <w:ilvl w:val="0"/>
          <w:numId w:val="2"/>
        </w:numPr>
        <w:spacing w:line="240" w:lineRule="auto"/>
        <w:rPr>
          <w:rFonts w:ascii="Times New Roman" w:hAnsi="Times New Roman"/>
        </w:rPr>
      </w:pPr>
      <w:r>
        <w:rPr>
          <w:rFonts w:ascii="Times New Roman" w:hAnsi="Times New Roman"/>
        </w:rPr>
        <w:t xml:space="preserve">Liu, X., Shen, P., Xu, X., Meng, L., Ni, J., Lin, G., &amp; Jiao, F. (2025). The study of blended teaching based on knowledge graph: The case of clinical microbiology examination course. </w:t>
      </w:r>
      <w:r>
        <w:rPr>
          <w:rFonts w:ascii="Times New Roman" w:hAnsi="Times New Roman"/>
          <w:i/>
        </w:rPr>
        <w:t>Education and Information Technologies</w:t>
      </w:r>
      <w:r>
        <w:rPr>
          <w:rFonts w:ascii="Times New Roman" w:hAnsi="Times New Roman"/>
        </w:rPr>
        <w:t xml:space="preserve">, </w:t>
      </w:r>
      <w:r>
        <w:rPr>
          <w:rFonts w:ascii="Times New Roman" w:hAnsi="Times New Roman"/>
          <w:i/>
        </w:rPr>
        <w:t>30</w:t>
      </w:r>
      <w:r>
        <w:rPr>
          <w:rFonts w:ascii="Times New Roman" w:hAnsi="Times New Roman"/>
        </w:rPr>
        <w:t>(16), 22841–22863. https://doi.org/10.1007/s10639-025-13626-1</w:t>
      </w:r>
    </w:p>
    <w:p w14:paraId="05ADC22D" w14:textId="77777777" w:rsidR="00403AEE" w:rsidRDefault="00B1391B" w:rsidP="00B1391B">
      <w:pPr>
        <w:pStyle w:val="Bibliography1"/>
        <w:numPr>
          <w:ilvl w:val="0"/>
          <w:numId w:val="2"/>
        </w:numPr>
        <w:spacing w:line="240" w:lineRule="auto"/>
        <w:rPr>
          <w:rFonts w:ascii="Times New Roman" w:hAnsi="Times New Roman"/>
        </w:rPr>
      </w:pPr>
      <w:r>
        <w:rPr>
          <w:rFonts w:ascii="Times New Roman" w:hAnsi="Times New Roman"/>
        </w:rPr>
        <w:t xml:space="preserve">Liu, Z. (2025). Teaching Strategies of Junior High School Mathematics Classroom Based on Problem-Driven Method. </w:t>
      </w:r>
      <w:r>
        <w:rPr>
          <w:rFonts w:ascii="Times New Roman" w:hAnsi="Times New Roman"/>
          <w:i/>
        </w:rPr>
        <w:t>Education Reform and Development</w:t>
      </w:r>
      <w:r>
        <w:rPr>
          <w:rFonts w:ascii="Times New Roman" w:hAnsi="Times New Roman"/>
        </w:rPr>
        <w:t xml:space="preserve">, </w:t>
      </w:r>
      <w:r>
        <w:rPr>
          <w:rFonts w:ascii="Times New Roman" w:hAnsi="Times New Roman"/>
          <w:i/>
        </w:rPr>
        <w:t>7</w:t>
      </w:r>
      <w:r>
        <w:rPr>
          <w:rFonts w:ascii="Times New Roman" w:hAnsi="Times New Roman"/>
        </w:rPr>
        <w:t>(8), 15–21. https://doi.org/10.26689/erd.v7i8.11719</w:t>
      </w:r>
    </w:p>
    <w:p w14:paraId="75FEFCD4" w14:textId="77777777" w:rsidR="00403AEE" w:rsidRDefault="00B1391B" w:rsidP="00B1391B">
      <w:pPr>
        <w:pStyle w:val="Bibliography1"/>
        <w:numPr>
          <w:ilvl w:val="0"/>
          <w:numId w:val="2"/>
        </w:numPr>
        <w:spacing w:line="240" w:lineRule="auto"/>
        <w:rPr>
          <w:rFonts w:ascii="Times New Roman" w:hAnsi="Times New Roman"/>
        </w:rPr>
      </w:pPr>
      <w:r>
        <w:rPr>
          <w:rFonts w:ascii="Times New Roman" w:hAnsi="Times New Roman"/>
        </w:rPr>
        <w:t xml:space="preserve">Qin, S., &amp; Li, L. (2026). Interactive Teaching Evaluation Method Based on KG-CQA. </w:t>
      </w:r>
      <w:r>
        <w:rPr>
          <w:rFonts w:ascii="Times New Roman" w:hAnsi="Times New Roman"/>
          <w:i/>
        </w:rPr>
        <w:t>International Journal of Computational Intelligence Systems</w:t>
      </w:r>
      <w:r>
        <w:rPr>
          <w:rFonts w:ascii="Times New Roman" w:hAnsi="Times New Roman"/>
        </w:rPr>
        <w:t xml:space="preserve">, </w:t>
      </w:r>
      <w:r>
        <w:rPr>
          <w:rFonts w:ascii="Times New Roman" w:hAnsi="Times New Roman"/>
          <w:i/>
        </w:rPr>
        <w:t>19</w:t>
      </w:r>
      <w:r>
        <w:rPr>
          <w:rFonts w:ascii="Times New Roman" w:hAnsi="Times New Roman"/>
        </w:rPr>
        <w:t>(1), 46. https://doi.org/10.1007/s44196-025-01139-1</w:t>
      </w:r>
    </w:p>
    <w:p w14:paraId="523651F7" w14:textId="77777777" w:rsidR="00403AEE" w:rsidRDefault="00B1391B" w:rsidP="00B1391B">
      <w:pPr>
        <w:pStyle w:val="Bibliography1"/>
        <w:numPr>
          <w:ilvl w:val="0"/>
          <w:numId w:val="2"/>
        </w:numPr>
        <w:spacing w:line="240" w:lineRule="auto"/>
        <w:rPr>
          <w:rFonts w:ascii="Times New Roman" w:hAnsi="Times New Roman"/>
        </w:rPr>
      </w:pPr>
      <w:r>
        <w:rPr>
          <w:rFonts w:ascii="Times New Roman" w:hAnsi="Times New Roman"/>
        </w:rPr>
        <w:t xml:space="preserve">Santagata, R., Fuentes Acevedo, P., Kimmerling, C., Pelayo, R., Pantano, A., &amp; </w:t>
      </w:r>
      <w:r>
        <w:rPr>
          <w:rFonts w:ascii="Times New Roman" w:hAnsi="Times New Roman"/>
        </w:rPr>
        <w:lastRenderedPageBreak/>
        <w:t xml:space="preserve">Tschönhens, F. (2026). Fostering expansive noticing practices through video-based professional development in college mathematics. </w:t>
      </w:r>
      <w:r>
        <w:rPr>
          <w:rFonts w:ascii="Times New Roman" w:hAnsi="Times New Roman"/>
          <w:i/>
        </w:rPr>
        <w:t>ZDM – Mathematics Education</w:t>
      </w:r>
      <w:r>
        <w:rPr>
          <w:rFonts w:ascii="Times New Roman" w:hAnsi="Times New Roman"/>
        </w:rPr>
        <w:t xml:space="preserve">, </w:t>
      </w:r>
      <w:r>
        <w:rPr>
          <w:rFonts w:ascii="Times New Roman" w:hAnsi="Times New Roman"/>
          <w:i/>
        </w:rPr>
        <w:t>58</w:t>
      </w:r>
      <w:r>
        <w:rPr>
          <w:rFonts w:ascii="Times New Roman" w:hAnsi="Times New Roman"/>
        </w:rPr>
        <w:t>(1–2), 295–309. https://doi.org/10.1007/s11858-025-01744-6</w:t>
      </w:r>
    </w:p>
    <w:p w14:paraId="08F361CD" w14:textId="77777777" w:rsidR="00403AEE" w:rsidRDefault="00B1391B" w:rsidP="00B1391B">
      <w:pPr>
        <w:pStyle w:val="Bibliography1"/>
        <w:numPr>
          <w:ilvl w:val="0"/>
          <w:numId w:val="2"/>
        </w:numPr>
        <w:spacing w:line="240" w:lineRule="auto"/>
        <w:rPr>
          <w:rFonts w:ascii="Times New Roman" w:hAnsi="Times New Roman"/>
        </w:rPr>
      </w:pPr>
      <w:r>
        <w:rPr>
          <w:rFonts w:ascii="Times New Roman" w:hAnsi="Times New Roman"/>
        </w:rPr>
        <w:t xml:space="preserve">Szilágyi, S., Körei, A., &amp; Vaičiulytė, I. (2025). Teaching and Learning Trochoid Curves: The Importance of LEGO® Drawing Robots and Educational Robotics in Tertiary Mathematics Education. </w:t>
      </w:r>
      <w:r>
        <w:rPr>
          <w:rFonts w:ascii="Times New Roman" w:hAnsi="Times New Roman"/>
          <w:i/>
        </w:rPr>
        <w:t>Education Sciences</w:t>
      </w:r>
      <w:r>
        <w:rPr>
          <w:rFonts w:ascii="Times New Roman" w:hAnsi="Times New Roman"/>
        </w:rPr>
        <w:t xml:space="preserve">, </w:t>
      </w:r>
      <w:r>
        <w:rPr>
          <w:rFonts w:ascii="Times New Roman" w:hAnsi="Times New Roman"/>
          <w:i/>
        </w:rPr>
        <w:t>15</w:t>
      </w:r>
      <w:r>
        <w:rPr>
          <w:rFonts w:ascii="Times New Roman" w:hAnsi="Times New Roman"/>
        </w:rPr>
        <w:t>(11), 1472. https://doi.org/10.3390/educsci15111472</w:t>
      </w:r>
    </w:p>
    <w:p w14:paraId="7BFBAC9E" w14:textId="77777777" w:rsidR="00403AEE" w:rsidRDefault="00B1391B" w:rsidP="00B1391B">
      <w:pPr>
        <w:pStyle w:val="Bibliography1"/>
        <w:numPr>
          <w:ilvl w:val="0"/>
          <w:numId w:val="2"/>
        </w:numPr>
        <w:spacing w:line="240" w:lineRule="auto"/>
        <w:rPr>
          <w:rFonts w:ascii="Times New Roman" w:hAnsi="Times New Roman"/>
        </w:rPr>
      </w:pPr>
      <w:r>
        <w:rPr>
          <w:rFonts w:ascii="Times New Roman" w:hAnsi="Times New Roman"/>
        </w:rPr>
        <w:t xml:space="preserve">Vergara, C., Bassaber, A., Núñez Nieto, P., Becerra, B., Hurtado, H., Santibáñez, D., &amp; Cofré, H. (2025). A map of collective pedagogical content knowledge as a basis for studying the development of biology teachers’ personal PCK of evolution. </w:t>
      </w:r>
      <w:r>
        <w:rPr>
          <w:rFonts w:ascii="Times New Roman" w:hAnsi="Times New Roman"/>
          <w:i/>
        </w:rPr>
        <w:t>International Journal of Science Education</w:t>
      </w:r>
      <w:r>
        <w:rPr>
          <w:rFonts w:ascii="Times New Roman" w:hAnsi="Times New Roman"/>
        </w:rPr>
        <w:t xml:space="preserve">, </w:t>
      </w:r>
      <w:r>
        <w:rPr>
          <w:rFonts w:ascii="Times New Roman" w:hAnsi="Times New Roman"/>
          <w:i/>
        </w:rPr>
        <w:t>47</w:t>
      </w:r>
      <w:r>
        <w:rPr>
          <w:rFonts w:ascii="Times New Roman" w:hAnsi="Times New Roman"/>
        </w:rPr>
        <w:t>(17), 2279–2301. https://doi.org/10.1080/09500693.2024.2381841</w:t>
      </w:r>
    </w:p>
    <w:p w14:paraId="011A1D9E" w14:textId="77777777" w:rsidR="00403AEE" w:rsidRDefault="00B1391B" w:rsidP="00B1391B">
      <w:pPr>
        <w:pStyle w:val="Bibliography1"/>
        <w:numPr>
          <w:ilvl w:val="0"/>
          <w:numId w:val="2"/>
        </w:numPr>
        <w:spacing w:line="240" w:lineRule="auto"/>
        <w:rPr>
          <w:rFonts w:ascii="Times New Roman" w:hAnsi="Times New Roman"/>
        </w:rPr>
      </w:pPr>
      <w:r>
        <w:rPr>
          <w:rFonts w:ascii="Times New Roman" w:hAnsi="Times New Roman"/>
        </w:rPr>
        <w:t xml:space="preserve">Yang, D., Zheng, J., Wang, B., Li, Z., &amp; Tian, X. (2026). A three-stage progressive teaching model for chemical safety engineering: Integrating flipped classroom and knowledge graphs for competency development. </w:t>
      </w:r>
      <w:r>
        <w:rPr>
          <w:rFonts w:ascii="Times New Roman" w:hAnsi="Times New Roman"/>
          <w:i/>
        </w:rPr>
        <w:t>Education for Chemical Engineers</w:t>
      </w:r>
      <w:r>
        <w:rPr>
          <w:rFonts w:ascii="Times New Roman" w:hAnsi="Times New Roman"/>
        </w:rPr>
        <w:t xml:space="preserve">, </w:t>
      </w:r>
      <w:r>
        <w:rPr>
          <w:rFonts w:ascii="Times New Roman" w:hAnsi="Times New Roman"/>
          <w:i/>
        </w:rPr>
        <w:t>54</w:t>
      </w:r>
      <w:r>
        <w:rPr>
          <w:rFonts w:ascii="Times New Roman" w:hAnsi="Times New Roman"/>
        </w:rPr>
        <w:t>, 100491. https://doi.org/10.1016/j.ece.2025.10.001</w:t>
      </w:r>
    </w:p>
    <w:p w14:paraId="61EEDF62" w14:textId="5C1BE924" w:rsidR="00403AEE" w:rsidRDefault="00B1391B" w:rsidP="00B1391B">
      <w:pPr>
        <w:pStyle w:val="Bibliography1"/>
        <w:numPr>
          <w:ilvl w:val="0"/>
          <w:numId w:val="2"/>
        </w:numPr>
        <w:spacing w:line="240" w:lineRule="auto"/>
        <w:rPr>
          <w:rFonts w:ascii="Times New Roman" w:hAnsi="Times New Roman"/>
        </w:rPr>
      </w:pPr>
      <w:r>
        <w:rPr>
          <w:rFonts w:ascii="Times New Roman" w:hAnsi="Times New Roman"/>
        </w:rPr>
        <w:t xml:space="preserve">Zheng Zhang. (2023). Exploration and Implementation of Problem Driven Learning Model in Obstetrics and Gynecology Education. </w:t>
      </w:r>
      <w:r>
        <w:rPr>
          <w:rFonts w:ascii="Times New Roman" w:hAnsi="Times New Roman"/>
          <w:i/>
        </w:rPr>
        <w:t>Advances in Educational Technology and Psychology</w:t>
      </w:r>
      <w:r>
        <w:rPr>
          <w:rFonts w:ascii="Times New Roman" w:hAnsi="Times New Roman"/>
        </w:rPr>
        <w:t xml:space="preserve">, </w:t>
      </w:r>
      <w:r>
        <w:rPr>
          <w:rFonts w:ascii="Times New Roman" w:hAnsi="Times New Roman"/>
          <w:i/>
        </w:rPr>
        <w:t>7</w:t>
      </w:r>
      <w:r>
        <w:rPr>
          <w:rFonts w:ascii="Times New Roman" w:hAnsi="Times New Roman"/>
        </w:rPr>
        <w:t>(12). https://doi.org/10.23977/aetp.2023.071218</w:t>
      </w:r>
    </w:p>
    <w:p w14:paraId="35CBF6CD" w14:textId="318E74AD" w:rsidR="00B1391B" w:rsidRPr="00B1391B" w:rsidRDefault="00B1391B" w:rsidP="00B1391B">
      <w:pPr>
        <w:pStyle w:val="Bibliography1"/>
        <w:numPr>
          <w:ilvl w:val="0"/>
          <w:numId w:val="2"/>
        </w:numPr>
        <w:spacing w:line="240" w:lineRule="auto"/>
        <w:rPr>
          <w:rFonts w:ascii="Times New Roman" w:hAnsi="Times New Roman"/>
        </w:rPr>
      </w:pPr>
      <w:r>
        <w:rPr>
          <w:rFonts w:cs="Arial"/>
          <w:color w:val="222222"/>
          <w:sz w:val="20"/>
          <w:szCs w:val="20"/>
          <w:shd w:val="clear" w:color="auto" w:fill="FFFFFF"/>
        </w:rPr>
        <w:t>Gradini, E., Noviani, J., &amp; Ulya, K. (2025). Fostering higher-order thinking skills in mathematics education: Strategies, challenges, and classroom practices. </w:t>
      </w:r>
      <w:r>
        <w:rPr>
          <w:rFonts w:cs="Arial"/>
          <w:i/>
          <w:iCs/>
          <w:color w:val="222222"/>
          <w:sz w:val="20"/>
          <w:szCs w:val="20"/>
          <w:shd w:val="clear" w:color="auto" w:fill="FFFFFF"/>
        </w:rPr>
        <w:t>Prisma Sains: Jurnal Pengkajian Ilmu Dan Pembelajaran Matematika Dan IPA IKIP Mataram</w:t>
      </w:r>
      <w:r>
        <w:rPr>
          <w:rFonts w:cs="Arial"/>
          <w:color w:val="222222"/>
          <w:sz w:val="20"/>
          <w:szCs w:val="20"/>
          <w:shd w:val="clear" w:color="auto" w:fill="FFFFFF"/>
        </w:rPr>
        <w:t>, </w:t>
      </w:r>
      <w:r>
        <w:rPr>
          <w:rFonts w:cs="Arial"/>
          <w:i/>
          <w:iCs/>
          <w:color w:val="222222"/>
          <w:sz w:val="20"/>
          <w:szCs w:val="20"/>
          <w:shd w:val="clear" w:color="auto" w:fill="FFFFFF"/>
        </w:rPr>
        <w:t>13</w:t>
      </w:r>
      <w:r>
        <w:rPr>
          <w:rFonts w:cs="Arial"/>
          <w:color w:val="222222"/>
          <w:sz w:val="20"/>
          <w:szCs w:val="20"/>
          <w:shd w:val="clear" w:color="auto" w:fill="FFFFFF"/>
        </w:rPr>
        <w:t>(2), 135-163.</w:t>
      </w:r>
    </w:p>
    <w:p w14:paraId="411EDB40" w14:textId="44EFF2C2" w:rsidR="00B1391B" w:rsidRPr="00B1391B" w:rsidRDefault="00B1391B" w:rsidP="00B1391B">
      <w:pPr>
        <w:pStyle w:val="Bibliography1"/>
        <w:numPr>
          <w:ilvl w:val="0"/>
          <w:numId w:val="2"/>
        </w:numPr>
        <w:spacing w:line="240" w:lineRule="auto"/>
        <w:rPr>
          <w:rFonts w:ascii="Times New Roman" w:hAnsi="Times New Roman"/>
        </w:rPr>
      </w:pPr>
      <w:r>
        <w:rPr>
          <w:rFonts w:cs="Arial"/>
          <w:color w:val="222222"/>
          <w:sz w:val="20"/>
          <w:szCs w:val="20"/>
          <w:shd w:val="clear" w:color="auto" w:fill="FFFFFF"/>
        </w:rPr>
        <w:t>Tajudin, N. A. M., Puteh, M., &amp; Adnan, M. (2018). Guiding principles to foster higher order thinking skills in teaching and learning of mathematics. </w:t>
      </w:r>
      <w:r>
        <w:rPr>
          <w:rFonts w:cs="Arial"/>
          <w:i/>
          <w:iCs/>
          <w:color w:val="222222"/>
          <w:sz w:val="20"/>
          <w:szCs w:val="20"/>
          <w:shd w:val="clear" w:color="auto" w:fill="FFFFFF"/>
        </w:rPr>
        <w:t>International Journal of Engineering &amp; Technology</w:t>
      </w:r>
      <w:r>
        <w:rPr>
          <w:rFonts w:cs="Arial"/>
          <w:color w:val="222222"/>
          <w:sz w:val="20"/>
          <w:szCs w:val="20"/>
          <w:shd w:val="clear" w:color="auto" w:fill="FFFFFF"/>
        </w:rPr>
        <w:t>, </w:t>
      </w:r>
      <w:r>
        <w:rPr>
          <w:rFonts w:cs="Arial"/>
          <w:i/>
          <w:iCs/>
          <w:color w:val="222222"/>
          <w:sz w:val="20"/>
          <w:szCs w:val="20"/>
          <w:shd w:val="clear" w:color="auto" w:fill="FFFFFF"/>
        </w:rPr>
        <w:t>7</w:t>
      </w:r>
      <w:r>
        <w:rPr>
          <w:rFonts w:cs="Arial"/>
          <w:color w:val="222222"/>
          <w:sz w:val="20"/>
          <w:szCs w:val="20"/>
          <w:shd w:val="clear" w:color="auto" w:fill="FFFFFF"/>
        </w:rPr>
        <w:t>(4.15), 195.</w:t>
      </w:r>
    </w:p>
    <w:p w14:paraId="4440E2AE" w14:textId="14AF0203" w:rsidR="00B1391B" w:rsidRPr="00B1391B" w:rsidRDefault="00B1391B" w:rsidP="00B1391B">
      <w:pPr>
        <w:pStyle w:val="Bibliography1"/>
        <w:numPr>
          <w:ilvl w:val="0"/>
          <w:numId w:val="2"/>
        </w:numPr>
        <w:spacing w:line="240" w:lineRule="auto"/>
        <w:rPr>
          <w:rFonts w:ascii="Times New Roman" w:hAnsi="Times New Roman"/>
        </w:rPr>
      </w:pPr>
      <w:r>
        <w:rPr>
          <w:rFonts w:cs="Arial"/>
          <w:color w:val="222222"/>
          <w:sz w:val="20"/>
          <w:szCs w:val="20"/>
          <w:shd w:val="clear" w:color="auto" w:fill="FFFFFF"/>
        </w:rPr>
        <w:t>Tajudin, N. A. M., Puteh, M., &amp; Adnan, M. (2018). Guiding principles to foster higher order thinking skills in teaching and learning of mathematics. </w:t>
      </w:r>
      <w:r>
        <w:rPr>
          <w:rFonts w:cs="Arial"/>
          <w:i/>
          <w:iCs/>
          <w:color w:val="222222"/>
          <w:sz w:val="20"/>
          <w:szCs w:val="20"/>
          <w:shd w:val="clear" w:color="auto" w:fill="FFFFFF"/>
        </w:rPr>
        <w:t>International Journal of Engineering &amp; Technology</w:t>
      </w:r>
      <w:r>
        <w:rPr>
          <w:rFonts w:cs="Arial"/>
          <w:color w:val="222222"/>
          <w:sz w:val="20"/>
          <w:szCs w:val="20"/>
          <w:shd w:val="clear" w:color="auto" w:fill="FFFFFF"/>
        </w:rPr>
        <w:t>, </w:t>
      </w:r>
      <w:r>
        <w:rPr>
          <w:rFonts w:cs="Arial"/>
          <w:i/>
          <w:iCs/>
          <w:color w:val="222222"/>
          <w:sz w:val="20"/>
          <w:szCs w:val="20"/>
          <w:shd w:val="clear" w:color="auto" w:fill="FFFFFF"/>
        </w:rPr>
        <w:t>7</w:t>
      </w:r>
      <w:r>
        <w:rPr>
          <w:rFonts w:cs="Arial"/>
          <w:color w:val="222222"/>
          <w:sz w:val="20"/>
          <w:szCs w:val="20"/>
          <w:shd w:val="clear" w:color="auto" w:fill="FFFFFF"/>
        </w:rPr>
        <w:t>(4.15), 195.</w:t>
      </w:r>
    </w:p>
    <w:p w14:paraId="18ECDCAC" w14:textId="40FC384D" w:rsidR="00B1391B" w:rsidRDefault="00B1391B" w:rsidP="00B1391B">
      <w:pPr>
        <w:pStyle w:val="Bibliography1"/>
        <w:numPr>
          <w:ilvl w:val="0"/>
          <w:numId w:val="2"/>
        </w:numPr>
        <w:spacing w:line="240" w:lineRule="auto"/>
        <w:rPr>
          <w:rFonts w:ascii="Times New Roman" w:hAnsi="Times New Roman"/>
        </w:rPr>
      </w:pPr>
      <w:r>
        <w:rPr>
          <w:rFonts w:cs="Arial"/>
          <w:color w:val="222222"/>
          <w:sz w:val="20"/>
          <w:szCs w:val="20"/>
          <w:shd w:val="clear" w:color="auto" w:fill="FFFFFF"/>
        </w:rPr>
        <w:t>Tajudin, N. A. M., Puteh, M., &amp; Adnan, M. (2017). Developing themes of guiding principles to foster higher order thinking skills in teaching and learning of mathematics. </w:t>
      </w:r>
      <w:r>
        <w:rPr>
          <w:rFonts w:cs="Arial"/>
          <w:i/>
          <w:iCs/>
          <w:color w:val="222222"/>
          <w:sz w:val="20"/>
          <w:szCs w:val="20"/>
          <w:shd w:val="clear" w:color="auto" w:fill="FFFFFF"/>
        </w:rPr>
        <w:t>International Journal of Academic Research in Progressive Education and Development</w:t>
      </w:r>
      <w:r>
        <w:rPr>
          <w:rFonts w:cs="Arial"/>
          <w:color w:val="222222"/>
          <w:sz w:val="20"/>
          <w:szCs w:val="20"/>
          <w:shd w:val="clear" w:color="auto" w:fill="FFFFFF"/>
        </w:rPr>
        <w:t>, </w:t>
      </w:r>
      <w:r>
        <w:rPr>
          <w:rFonts w:cs="Arial"/>
          <w:i/>
          <w:iCs/>
          <w:color w:val="222222"/>
          <w:sz w:val="20"/>
          <w:szCs w:val="20"/>
          <w:shd w:val="clear" w:color="auto" w:fill="FFFFFF"/>
        </w:rPr>
        <w:t>6</w:t>
      </w:r>
      <w:r>
        <w:rPr>
          <w:rFonts w:cs="Arial"/>
          <w:color w:val="222222"/>
          <w:sz w:val="20"/>
          <w:szCs w:val="20"/>
          <w:shd w:val="clear" w:color="auto" w:fill="FFFFFF"/>
        </w:rPr>
        <w:t>(4), 195-199.</w:t>
      </w:r>
    </w:p>
    <w:p w14:paraId="23FC9A28" w14:textId="77777777" w:rsidR="00403AEE" w:rsidRDefault="00B1391B">
      <w:pPr>
        <w:rPr>
          <w:rFonts w:ascii="Times New Roman" w:hAnsi="Times New Roman"/>
        </w:rPr>
      </w:pPr>
      <w:r>
        <w:rPr>
          <w:rFonts w:ascii="Times New Roman" w:hAnsi="Times New Roman"/>
        </w:rPr>
        <w:fldChar w:fldCharType="end"/>
      </w:r>
    </w:p>
    <w:sectPr w:rsidR="00403AEE">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0"/>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21B94" w14:textId="77777777" w:rsidR="00085FC5" w:rsidRDefault="00085FC5" w:rsidP="00A86C91">
      <w:r>
        <w:separator/>
      </w:r>
    </w:p>
  </w:endnote>
  <w:endnote w:type="continuationSeparator" w:id="0">
    <w:p w14:paraId="330EFA8D" w14:textId="77777777" w:rsidR="00085FC5" w:rsidRDefault="00085FC5" w:rsidP="00A8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68F24" w14:textId="77777777" w:rsidR="00A86C91" w:rsidRDefault="00A86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94CE" w14:textId="77777777" w:rsidR="00A86C91" w:rsidRDefault="00A86C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BF82D" w14:textId="77777777" w:rsidR="00A86C91" w:rsidRDefault="00A86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C919C" w14:textId="77777777" w:rsidR="00085FC5" w:rsidRDefault="00085FC5" w:rsidP="00A86C91">
      <w:r>
        <w:separator/>
      </w:r>
    </w:p>
  </w:footnote>
  <w:footnote w:type="continuationSeparator" w:id="0">
    <w:p w14:paraId="59EFC6ED" w14:textId="77777777" w:rsidR="00085FC5" w:rsidRDefault="00085FC5" w:rsidP="00A86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111D9" w14:textId="56768BBF" w:rsidR="00A86C91" w:rsidRDefault="00A86C91">
    <w:pPr>
      <w:pStyle w:val="Header"/>
    </w:pPr>
    <w:r>
      <w:rPr>
        <w:noProof/>
      </w:rPr>
      <w:pict w14:anchorId="283A0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754657"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96C6D" w14:textId="0C4CD82D" w:rsidR="00A86C91" w:rsidRDefault="00A86C91">
    <w:pPr>
      <w:pStyle w:val="Header"/>
    </w:pPr>
    <w:r>
      <w:rPr>
        <w:noProof/>
      </w:rPr>
      <w:pict w14:anchorId="264050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754658"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1514E" w14:textId="5D578753" w:rsidR="00A86C91" w:rsidRDefault="00A86C91">
    <w:pPr>
      <w:pStyle w:val="Header"/>
    </w:pPr>
    <w:r>
      <w:rPr>
        <w:noProof/>
      </w:rPr>
      <w:pict w14:anchorId="264FC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754656"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89ABCA"/>
    <w:multiLevelType w:val="singleLevel"/>
    <w:tmpl w:val="8F89ABCA"/>
    <w:lvl w:ilvl="0">
      <w:start w:val="1"/>
      <w:numFmt w:val="decimal"/>
      <w:suff w:val="space"/>
      <w:lvlText w:val="%1."/>
      <w:lvlJc w:val="left"/>
    </w:lvl>
  </w:abstractNum>
  <w:abstractNum w:abstractNumId="1" w15:restartNumberingAfterBreak="0">
    <w:nsid w:val="4B0D637A"/>
    <w:multiLevelType w:val="hybridMultilevel"/>
    <w:tmpl w:val="0DAE1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420"/>
  <w:drawingGridHorizontalSpacing w:val="210"/>
  <w:drawingGridVerticalSpacing w:val="194"/>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BFE6F841"/>
    <w:rsid w:val="D5DE8897"/>
    <w:rsid w:val="E7FE3684"/>
    <w:rsid w:val="EFFF70E4"/>
    <w:rsid w:val="F7EEC240"/>
    <w:rsid w:val="FBF75102"/>
    <w:rsid w:val="FDDC5620"/>
    <w:rsid w:val="FDEA700A"/>
    <w:rsid w:val="FFBFCE42"/>
    <w:rsid w:val="00085FC5"/>
    <w:rsid w:val="00172A27"/>
    <w:rsid w:val="001E1FB6"/>
    <w:rsid w:val="00403AEE"/>
    <w:rsid w:val="00424B0B"/>
    <w:rsid w:val="00611BDD"/>
    <w:rsid w:val="00797FBC"/>
    <w:rsid w:val="008C6907"/>
    <w:rsid w:val="008D38F4"/>
    <w:rsid w:val="008D7A9B"/>
    <w:rsid w:val="009A47B2"/>
    <w:rsid w:val="00A06A0A"/>
    <w:rsid w:val="00A86C91"/>
    <w:rsid w:val="00B1391B"/>
    <w:rsid w:val="00B36F57"/>
    <w:rsid w:val="00B91828"/>
    <w:rsid w:val="00D04682"/>
    <w:rsid w:val="00E41C03"/>
    <w:rsid w:val="00F2530F"/>
    <w:rsid w:val="01282E62"/>
    <w:rsid w:val="04762C22"/>
    <w:rsid w:val="06691F53"/>
    <w:rsid w:val="06F81F89"/>
    <w:rsid w:val="07011CC2"/>
    <w:rsid w:val="07644792"/>
    <w:rsid w:val="09284798"/>
    <w:rsid w:val="09AA04A0"/>
    <w:rsid w:val="09B01C47"/>
    <w:rsid w:val="0D507D2F"/>
    <w:rsid w:val="0E1F739B"/>
    <w:rsid w:val="0F2B6FD9"/>
    <w:rsid w:val="118B3352"/>
    <w:rsid w:val="11A51F14"/>
    <w:rsid w:val="11E95386"/>
    <w:rsid w:val="1202500A"/>
    <w:rsid w:val="137912FC"/>
    <w:rsid w:val="14810A3E"/>
    <w:rsid w:val="15ED5B6A"/>
    <w:rsid w:val="168D7A89"/>
    <w:rsid w:val="16EF0253"/>
    <w:rsid w:val="183C240D"/>
    <w:rsid w:val="1AA24D9F"/>
    <w:rsid w:val="1B313181"/>
    <w:rsid w:val="1B80142C"/>
    <w:rsid w:val="1BCF41AF"/>
    <w:rsid w:val="1E4F15D7"/>
    <w:rsid w:val="1F903714"/>
    <w:rsid w:val="1F9813B0"/>
    <w:rsid w:val="1FC102B2"/>
    <w:rsid w:val="1FE67DEC"/>
    <w:rsid w:val="20191E9C"/>
    <w:rsid w:val="20A84763"/>
    <w:rsid w:val="22993CC8"/>
    <w:rsid w:val="28DA2E89"/>
    <w:rsid w:val="295A3164"/>
    <w:rsid w:val="2A4254F9"/>
    <w:rsid w:val="2B4A5540"/>
    <w:rsid w:val="2CF00429"/>
    <w:rsid w:val="2D1F32F4"/>
    <w:rsid w:val="2D6C1676"/>
    <w:rsid w:val="2E4F3903"/>
    <w:rsid w:val="2F880DEC"/>
    <w:rsid w:val="323B4D81"/>
    <w:rsid w:val="33FE78CF"/>
    <w:rsid w:val="3407106E"/>
    <w:rsid w:val="34B70380"/>
    <w:rsid w:val="34BE37C2"/>
    <w:rsid w:val="353A2B86"/>
    <w:rsid w:val="363C0B1D"/>
    <w:rsid w:val="36AE738B"/>
    <w:rsid w:val="38156A94"/>
    <w:rsid w:val="3A15327D"/>
    <w:rsid w:val="3A2B3000"/>
    <w:rsid w:val="3AE174A3"/>
    <w:rsid w:val="3AFC7989"/>
    <w:rsid w:val="3B65269B"/>
    <w:rsid w:val="3CBC4C6B"/>
    <w:rsid w:val="3CDA7B9F"/>
    <w:rsid w:val="3CE676B2"/>
    <w:rsid w:val="3D725614"/>
    <w:rsid w:val="3D7B2612"/>
    <w:rsid w:val="3F5C4245"/>
    <w:rsid w:val="40AF35F2"/>
    <w:rsid w:val="42263ACC"/>
    <w:rsid w:val="42AD499A"/>
    <w:rsid w:val="42D9164B"/>
    <w:rsid w:val="43446334"/>
    <w:rsid w:val="43706711"/>
    <w:rsid w:val="440C56F0"/>
    <w:rsid w:val="44A84E71"/>
    <w:rsid w:val="45F002CC"/>
    <w:rsid w:val="4677335A"/>
    <w:rsid w:val="471F573B"/>
    <w:rsid w:val="477C0DDF"/>
    <w:rsid w:val="477DCE1E"/>
    <w:rsid w:val="47F57C70"/>
    <w:rsid w:val="49B72255"/>
    <w:rsid w:val="4AA523FB"/>
    <w:rsid w:val="4D94711C"/>
    <w:rsid w:val="4FE237A9"/>
    <w:rsid w:val="50776004"/>
    <w:rsid w:val="50A62A29"/>
    <w:rsid w:val="52295BA6"/>
    <w:rsid w:val="533407C0"/>
    <w:rsid w:val="54743D5F"/>
    <w:rsid w:val="56142CB3"/>
    <w:rsid w:val="57315FD0"/>
    <w:rsid w:val="573E1E21"/>
    <w:rsid w:val="58062F18"/>
    <w:rsid w:val="580C1D0B"/>
    <w:rsid w:val="595E0345"/>
    <w:rsid w:val="5B487E91"/>
    <w:rsid w:val="5BA364E3"/>
    <w:rsid w:val="5CF9550F"/>
    <w:rsid w:val="5DC15346"/>
    <w:rsid w:val="5E452033"/>
    <w:rsid w:val="5E565A8E"/>
    <w:rsid w:val="5EDB41E5"/>
    <w:rsid w:val="5EFEBDE8"/>
    <w:rsid w:val="5F5F4E16"/>
    <w:rsid w:val="5FB25167"/>
    <w:rsid w:val="61377DF9"/>
    <w:rsid w:val="64A91C22"/>
    <w:rsid w:val="64AD7871"/>
    <w:rsid w:val="66091638"/>
    <w:rsid w:val="671E148E"/>
    <w:rsid w:val="674548F2"/>
    <w:rsid w:val="68CA2609"/>
    <w:rsid w:val="68CC1AED"/>
    <w:rsid w:val="69AC67B3"/>
    <w:rsid w:val="69BB0F42"/>
    <w:rsid w:val="6A637494"/>
    <w:rsid w:val="6B0B7113"/>
    <w:rsid w:val="6BC54253"/>
    <w:rsid w:val="6BCF62E6"/>
    <w:rsid w:val="6CD3A16D"/>
    <w:rsid w:val="6D535020"/>
    <w:rsid w:val="6E5F49A6"/>
    <w:rsid w:val="6F59718C"/>
    <w:rsid w:val="6FFF37D2"/>
    <w:rsid w:val="70DE2EF1"/>
    <w:rsid w:val="740225A4"/>
    <w:rsid w:val="750E2E16"/>
    <w:rsid w:val="759354F2"/>
    <w:rsid w:val="75BF3AC1"/>
    <w:rsid w:val="773B1D96"/>
    <w:rsid w:val="777779B1"/>
    <w:rsid w:val="796230E1"/>
    <w:rsid w:val="7B803CF3"/>
    <w:rsid w:val="7BCB31C0"/>
    <w:rsid w:val="7C5F4108"/>
    <w:rsid w:val="7D692A50"/>
    <w:rsid w:val="7E6B2A38"/>
    <w:rsid w:val="7F79C282"/>
    <w:rsid w:val="7F7B6CAE"/>
    <w:rsid w:val="7FBD2B73"/>
    <w:rsid w:val="7FBF6DD0"/>
    <w:rsid w:val="7FCD17FE"/>
    <w:rsid w:val="7FD7E9A0"/>
    <w:rsid w:val="7FE9FBB2"/>
    <w:rsid w:val="8FFFA67E"/>
    <w:rsid w:val="A97F623E"/>
    <w:rsid w:val="AFBF8780"/>
    <w:rsid w:val="BEEFC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851E9AA"/>
  <w15:docId w15:val="{2407BBB8-7485-4CBB-BB8A-2451CD3B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Arial" w:eastAsia="Microsoft YaHei" w:hAnsi="Arial"/>
      <w:kern w:val="2"/>
      <w:sz w:val="21"/>
      <w:szCs w:val="24"/>
      <w:lang w:eastAsia="zh-CN"/>
    </w:rPr>
  </w:style>
  <w:style w:type="paragraph" w:styleId="Heading1">
    <w:name w:val="heading 1"/>
    <w:basedOn w:val="Normal"/>
    <w:next w:val="Normal"/>
    <w:link w:val="Heading1Char"/>
    <w:qFormat/>
    <w:pPr>
      <w:keepNext/>
      <w:keepLines/>
      <w:spacing w:before="260" w:after="220"/>
      <w:outlineLvl w:val="0"/>
    </w:pPr>
    <w:rPr>
      <w:b/>
      <w:kern w:val="44"/>
      <w:sz w:val="36"/>
    </w:rPr>
  </w:style>
  <w:style w:type="paragraph" w:styleId="Heading2">
    <w:name w:val="heading 2"/>
    <w:basedOn w:val="Normal"/>
    <w:next w:val="Normal"/>
    <w:unhideWhenUsed/>
    <w:qFormat/>
    <w:pPr>
      <w:keepNext/>
      <w:keepLines/>
      <w:spacing w:before="260" w:after="200"/>
      <w:outlineLvl w:val="1"/>
    </w:pPr>
    <w:rPr>
      <w:b/>
      <w:sz w:val="32"/>
    </w:rPr>
  </w:style>
  <w:style w:type="paragraph" w:styleId="Heading3">
    <w:name w:val="heading 3"/>
    <w:basedOn w:val="Normal"/>
    <w:next w:val="Normal"/>
    <w:unhideWhenUsed/>
    <w:qFormat/>
    <w:pPr>
      <w:keepNext/>
      <w:keepLines/>
      <w:spacing w:before="260" w:after="180"/>
      <w:outlineLvl w:val="2"/>
    </w:pPr>
    <w:rPr>
      <w:b/>
      <w:sz w:val="30"/>
    </w:rPr>
  </w:style>
  <w:style w:type="paragraph" w:styleId="Heading4">
    <w:name w:val="heading 4"/>
    <w:basedOn w:val="Normal"/>
    <w:next w:val="Normal"/>
    <w:unhideWhenUsed/>
    <w:qFormat/>
    <w:pPr>
      <w:keepNext/>
      <w:keepLines/>
      <w:spacing w:before="240" w:after="160"/>
      <w:outlineLvl w:val="3"/>
    </w:pPr>
    <w:rPr>
      <w:b/>
      <w:sz w:val="28"/>
    </w:rPr>
  </w:style>
  <w:style w:type="paragraph" w:styleId="Heading5">
    <w:name w:val="heading 5"/>
    <w:basedOn w:val="Normal"/>
    <w:next w:val="Normal"/>
    <w:unhideWhenUsed/>
    <w:qFormat/>
    <w:pPr>
      <w:keepNext/>
      <w:keepLines/>
      <w:spacing w:before="240" w:after="160"/>
      <w:outlineLvl w:val="4"/>
    </w:pPr>
    <w:rPr>
      <w:b/>
      <w:sz w:val="28"/>
    </w:rPr>
  </w:style>
  <w:style w:type="paragraph" w:styleId="Heading6">
    <w:name w:val="heading 6"/>
    <w:basedOn w:val="Normal"/>
    <w:next w:val="Normal"/>
    <w:unhideWhenUsed/>
    <w:qFormat/>
    <w:pPr>
      <w:keepNext/>
      <w:keepLines/>
      <w:spacing w:before="240" w:after="120"/>
      <w:outlineLvl w:val="5"/>
    </w:pPr>
    <w:rPr>
      <w:b/>
      <w:sz w:val="24"/>
    </w:rPr>
  </w:style>
  <w:style w:type="paragraph" w:styleId="Heading7">
    <w:name w:val="heading 7"/>
    <w:basedOn w:val="Normal"/>
    <w:next w:val="Normal"/>
    <w:unhideWhenUsed/>
    <w:qFormat/>
    <w:pPr>
      <w:keepNext/>
      <w:keepLines/>
      <w:spacing w:before="240" w:after="120"/>
      <w:outlineLvl w:val="6"/>
    </w:pPr>
    <w:rPr>
      <w:b/>
      <w:sz w:val="24"/>
    </w:rPr>
  </w:style>
  <w:style w:type="paragraph" w:styleId="Heading8">
    <w:name w:val="heading 8"/>
    <w:basedOn w:val="Normal"/>
    <w:next w:val="Normal"/>
    <w:unhideWhenUsed/>
    <w:qFormat/>
    <w:pPr>
      <w:keepNext/>
      <w:keepLines/>
      <w:spacing w:before="180" w:after="64"/>
      <w:outlineLvl w:val="7"/>
    </w:pPr>
    <w:rPr>
      <w:sz w:val="24"/>
    </w:rPr>
  </w:style>
  <w:style w:type="paragraph" w:styleId="Heading9">
    <w:name w:val="heading 9"/>
    <w:basedOn w:val="Normal"/>
    <w:next w:val="Normal"/>
    <w:unhideWhenUsed/>
    <w:qFormat/>
    <w:pPr>
      <w:keepNext/>
      <w:keepLines/>
      <w:spacing w:before="180" w:after="6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jc w:val="left"/>
    </w:pPr>
    <w:rPr>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Emphasis">
    <w:name w:val="Emphasis"/>
    <w:basedOn w:val="DefaultParagraphFont"/>
    <w:qFormat/>
    <w:rPr>
      <w:i/>
    </w:rPr>
  </w:style>
  <w:style w:type="character" w:styleId="HTMLCode">
    <w:name w:val="HTML Code"/>
    <w:basedOn w:val="DefaultParagraphFont"/>
    <w:qFormat/>
    <w:rPr>
      <w:rFonts w:ascii="Courier New" w:hAnsi="Courier New"/>
      <w:sz w:val="20"/>
    </w:rPr>
  </w:style>
  <w:style w:type="character" w:customStyle="1" w:styleId="Heading1Char">
    <w:name w:val="Heading 1 Char"/>
    <w:link w:val="Heading1"/>
    <w:qFormat/>
    <w:rPr>
      <w:rFonts w:ascii="Arial" w:hAnsi="Arial"/>
      <w:b/>
      <w:kern w:val="44"/>
      <w:sz w:val="36"/>
    </w:rPr>
  </w:style>
  <w:style w:type="paragraph" w:customStyle="1" w:styleId="Bibliography1">
    <w:name w:val="Bibliography1"/>
    <w:basedOn w:val="Normal"/>
    <w:qFormat/>
    <w:pPr>
      <w:spacing w:line="480" w:lineRule="auto"/>
      <w:ind w:left="720" w:hanging="720"/>
    </w:pPr>
  </w:style>
  <w:style w:type="character" w:styleId="Hyperlink">
    <w:name w:val="Hyperlink"/>
    <w:basedOn w:val="DefaultParagraphFont"/>
    <w:rsid w:val="008D38F4"/>
    <w:rPr>
      <w:color w:val="0563C1" w:themeColor="hyperlink"/>
      <w:u w:val="single"/>
    </w:rPr>
  </w:style>
  <w:style w:type="character" w:styleId="UnresolvedMention">
    <w:name w:val="Unresolved Mention"/>
    <w:basedOn w:val="DefaultParagraphFont"/>
    <w:uiPriority w:val="99"/>
    <w:semiHidden/>
    <w:unhideWhenUsed/>
    <w:rsid w:val="008D38F4"/>
    <w:rPr>
      <w:color w:val="605E5C"/>
      <w:shd w:val="clear" w:color="auto" w:fill="E1DFDD"/>
    </w:rPr>
  </w:style>
  <w:style w:type="paragraph" w:styleId="Header">
    <w:name w:val="header"/>
    <w:basedOn w:val="Normal"/>
    <w:link w:val="HeaderChar"/>
    <w:rsid w:val="00A86C91"/>
    <w:pPr>
      <w:tabs>
        <w:tab w:val="center" w:pos="4680"/>
        <w:tab w:val="right" w:pos="9360"/>
      </w:tabs>
    </w:pPr>
  </w:style>
  <w:style w:type="character" w:customStyle="1" w:styleId="HeaderChar">
    <w:name w:val="Header Char"/>
    <w:basedOn w:val="DefaultParagraphFont"/>
    <w:link w:val="Header"/>
    <w:rsid w:val="00A86C91"/>
    <w:rPr>
      <w:rFonts w:ascii="Arial" w:eastAsia="Microsoft YaHei" w:hAnsi="Arial"/>
      <w:kern w:val="2"/>
      <w:sz w:val="21"/>
      <w:szCs w:val="24"/>
      <w:lang w:eastAsia="zh-CN"/>
    </w:rPr>
  </w:style>
  <w:style w:type="paragraph" w:styleId="Footer">
    <w:name w:val="footer"/>
    <w:basedOn w:val="Normal"/>
    <w:link w:val="FooterChar"/>
    <w:rsid w:val="00A86C91"/>
    <w:pPr>
      <w:tabs>
        <w:tab w:val="center" w:pos="4680"/>
        <w:tab w:val="right" w:pos="9360"/>
      </w:tabs>
    </w:pPr>
  </w:style>
  <w:style w:type="character" w:customStyle="1" w:styleId="FooterChar">
    <w:name w:val="Footer Char"/>
    <w:basedOn w:val="DefaultParagraphFont"/>
    <w:link w:val="Footer"/>
    <w:rsid w:val="00A86C91"/>
    <w:rPr>
      <w:rFonts w:ascii="Arial" w:eastAsia="Microsoft YaHei" w:hAnsi="Arial"/>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11474</Words>
  <Characters>65408</Characters>
  <Application>Microsoft Office Word</Application>
  <DocSecurity>0</DocSecurity>
  <Lines>545</Lines>
  <Paragraphs>153</Paragraphs>
  <ScaleCrop>false</ScaleCrop>
  <Company/>
  <LinksUpToDate>false</LinksUpToDate>
  <CharactersWithSpaces>76729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dc:creator>
  <cp:lastModifiedBy>SDI PC 1170</cp:lastModifiedBy>
  <cp:revision>17</cp:revision>
  <dcterms:created xsi:type="dcterms:W3CDTF">2018-05-27T17:24:00Z</dcterms:created>
  <dcterms:modified xsi:type="dcterms:W3CDTF">2026-02-03T11:35:00Z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eyJoZGlkIjoiMTkwNTY5NTYzYzk0ZjBhZWYxNDc2MjBhY2VkNDhlMzEiLCJ1c2VySWQiOiI2MDI0MzgxOTUifQ==</vt:lpwstr>
  </property>
  <property fmtid="{D5CDD505-2E9C-101B-9397-08002B2CF9AE}" pid="6" name="ICV">
    <vt:lpwstr>C0A52D5F166C4A2B950B750CD48FFB8B_12</vt:lpwstr>
  </property>
  <property fmtid="{D5CDD505-2E9C-101B-9397-08002B2CF9AE}" pid="7" name="ZOTERO_PREF_1">
    <vt:lpwstr>&lt;data data-version="3" zotero-version="8.0.1"&gt;&lt;session id="Gzez3Fmb"/&gt;&lt;style id="http://www.zotero.org/styles/apa" locale="en-US" hasBibliography="1" bibliographyStyleHasBeenSet="1"/&gt;&lt;prefs&gt;&lt;pref name="fieldType" value="Field"/&gt;&lt;/prefs&gt;&lt;/data&gt;</vt:lpwstr>
  </property>
</Properties>
</file>