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FAD5" w14:textId="77777777" w:rsidR="00A258C3" w:rsidRDefault="005B4302" w:rsidP="005B4302">
      <w:pPr>
        <w:pStyle w:val="Author"/>
        <w:spacing w:line="240" w:lineRule="auto"/>
        <w:rPr>
          <w:rFonts w:ascii="Arial" w:hAnsi="Arial" w:cs="Arial"/>
          <w:bCs/>
          <w:iCs/>
          <w:kern w:val="28"/>
          <w:sz w:val="36"/>
        </w:rPr>
      </w:pPr>
      <w:r w:rsidRPr="005B4302">
        <w:rPr>
          <w:rFonts w:ascii="Arial" w:hAnsi="Arial" w:cs="Arial"/>
          <w:bCs/>
          <w:iCs/>
          <w:kern w:val="28"/>
          <w:sz w:val="36"/>
        </w:rPr>
        <w:t>UNCOVERING ENGAGEMENT IN GENERAL MATHEMATICS OF THE</w:t>
      </w:r>
      <w:r>
        <w:rPr>
          <w:rFonts w:ascii="Arial" w:hAnsi="Arial" w:cs="Arial"/>
          <w:bCs/>
          <w:iCs/>
          <w:kern w:val="28"/>
          <w:sz w:val="36"/>
        </w:rPr>
        <w:t xml:space="preserve"> </w:t>
      </w:r>
      <w:r w:rsidRPr="005B4302">
        <w:rPr>
          <w:rFonts w:ascii="Arial" w:hAnsi="Arial" w:cs="Arial"/>
          <w:bCs/>
          <w:iCs/>
          <w:kern w:val="28"/>
          <w:sz w:val="36"/>
        </w:rPr>
        <w:t>GRADE 11 STUDENTS OF MABILBILA INTEGRATED SCHOOL</w:t>
      </w:r>
    </w:p>
    <w:p w14:paraId="42937DAB" w14:textId="77777777" w:rsidR="005B4302" w:rsidRPr="005B4302" w:rsidRDefault="005B4302" w:rsidP="005B4302">
      <w:pPr>
        <w:pStyle w:val="Author"/>
        <w:spacing w:line="240" w:lineRule="auto"/>
        <w:rPr>
          <w:rFonts w:ascii="Arial" w:hAnsi="Arial" w:cs="Arial"/>
          <w:bCs/>
          <w:iCs/>
          <w:kern w:val="28"/>
          <w:sz w:val="36"/>
        </w:rPr>
      </w:pPr>
    </w:p>
    <w:p w14:paraId="72E4F4C0" w14:textId="77777777" w:rsidR="002F0115" w:rsidRPr="00FB3A86" w:rsidRDefault="002F0115" w:rsidP="00441B6F">
      <w:pPr>
        <w:pStyle w:val="Affiliation"/>
        <w:spacing w:after="0" w:line="240" w:lineRule="auto"/>
        <w:jc w:val="both"/>
        <w:rPr>
          <w:rFonts w:ascii="Arial" w:hAnsi="Arial" w:cs="Arial"/>
        </w:rPr>
      </w:pPr>
    </w:p>
    <w:p w14:paraId="548E580B" w14:textId="77777777" w:rsidR="00B01FCD" w:rsidRPr="00FB3A86" w:rsidRDefault="0019379B" w:rsidP="00441B6F">
      <w:pPr>
        <w:pStyle w:val="Copyright"/>
        <w:spacing w:after="0" w:line="240" w:lineRule="auto"/>
        <w:jc w:val="both"/>
        <w:rPr>
          <w:rFonts w:ascii="Arial" w:hAnsi="Arial" w:cs="Arial"/>
        </w:rPr>
        <w:sectPr w:rsidR="00B01FCD" w:rsidRPr="00FB3A86" w:rsidSect="009249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3F20B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3D4863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96A973" w14:textId="77777777" w:rsidTr="001E44FE">
        <w:tc>
          <w:tcPr>
            <w:tcW w:w="9576" w:type="dxa"/>
            <w:shd w:val="clear" w:color="auto" w:fill="F2F2F2"/>
          </w:tcPr>
          <w:p w14:paraId="3B2E0596" w14:textId="77777777" w:rsidR="004A3035" w:rsidRDefault="004A3035" w:rsidP="00441B6F">
            <w:pPr>
              <w:pStyle w:val="Body"/>
              <w:spacing w:after="0"/>
              <w:rPr>
                <w:rFonts w:ascii="Arial" w:eastAsia="Calibri" w:hAnsi="Arial" w:cs="Arial"/>
                <w:b/>
                <w:szCs w:val="22"/>
              </w:rPr>
            </w:pPr>
          </w:p>
          <w:p w14:paraId="6F990D0D" w14:textId="77777777" w:rsidR="00505F06" w:rsidRPr="00894E8E" w:rsidRDefault="00894E8E" w:rsidP="00441B6F">
            <w:pPr>
              <w:pStyle w:val="Body"/>
              <w:spacing w:after="0"/>
              <w:rPr>
                <w:rFonts w:ascii="Arial" w:eastAsia="Calibri" w:hAnsi="Arial" w:cs="Arial"/>
                <w:szCs w:val="22"/>
              </w:rPr>
            </w:pPr>
            <w:r w:rsidRPr="00894E8E">
              <w:rPr>
                <w:rFonts w:ascii="Arial" w:eastAsia="Calibri" w:hAnsi="Arial" w:cs="Arial"/>
                <w:szCs w:val="22"/>
              </w:rPr>
              <w:t xml:space="preserve">Student engagement is a crucial determinant of enhanced learning outcomes in General Mathematics; nevertheless, engagement levels among public senior high school students fluctuate due to disparities in academic background, learning styles, and availability to educational resources. This study examined the correlation between students' profiles and their engagement levels in General Mathematics among Grade 11 students at </w:t>
            </w:r>
            <w:proofErr w:type="spellStart"/>
            <w:r w:rsidRPr="00894E8E">
              <w:rPr>
                <w:rFonts w:ascii="Arial" w:eastAsia="Calibri" w:hAnsi="Arial" w:cs="Arial"/>
                <w:szCs w:val="22"/>
              </w:rPr>
              <w:t>Mabilbila</w:t>
            </w:r>
            <w:proofErr w:type="spellEnd"/>
            <w:r w:rsidRPr="00894E8E">
              <w:rPr>
                <w:rFonts w:ascii="Arial" w:eastAsia="Calibri" w:hAnsi="Arial" w:cs="Arial"/>
                <w:szCs w:val="22"/>
              </w:rPr>
              <w:t xml:space="preserve"> Integrated School during the 2025–2026 academic year. The research utilized a descriptive correlational design with a questionnaire produced by the researcher. All 83 Grade 11 students from the STEM and GAS courses participated via total enumeration. The profiles of students were characterized by strand, academic grade, preferred learning style, and the accessibility of learning resources at home. Engagement was analyzed across motivational, social, behavioral, and cognitive aspects. Data were examined utilizing frequency, percentage, mean, descriptive interpretation, and Spearman’s rank correlation coefficient. The results indicated that the majority of respondents were affiliated with the GAS strand, achieved satisfactory to outstanding academic grades, favored the Reading and Writing learning style, and reported restricted to adequate learning resources. Overall participation in General Mathematics was substantial, with behavioral engagement identified as the predominant dimension. Significant positive connections were identified between academic grade and all engagement aspects, as well as between availability of learning materials and engagement. In contrast, strand and preferred learning style exhibited strong negative associations with participation. These findings imply that improving access to learning resources and recognizing students’ learning profiles may assist enhance engagement and academic achievement in General Mathematics.</w:t>
            </w:r>
          </w:p>
        </w:tc>
      </w:tr>
    </w:tbl>
    <w:p w14:paraId="77EF992F" w14:textId="77777777" w:rsidR="00636EB2" w:rsidRDefault="00636EB2" w:rsidP="00441B6F">
      <w:pPr>
        <w:pStyle w:val="Body"/>
        <w:spacing w:after="0"/>
        <w:rPr>
          <w:rFonts w:ascii="Arial" w:hAnsi="Arial" w:cs="Arial"/>
          <w:i/>
        </w:rPr>
      </w:pPr>
    </w:p>
    <w:p w14:paraId="3DD49C4E" w14:textId="77777777" w:rsidR="00A24E7E" w:rsidRDefault="00A24E7E" w:rsidP="00407C61">
      <w:pPr>
        <w:pStyle w:val="Body"/>
        <w:rPr>
          <w:rFonts w:ascii="Arial" w:hAnsi="Arial" w:cs="Arial"/>
          <w:i/>
        </w:rPr>
      </w:pPr>
      <w:r>
        <w:rPr>
          <w:rFonts w:ascii="Arial" w:hAnsi="Arial" w:cs="Arial"/>
          <w:i/>
        </w:rPr>
        <w:t xml:space="preserve">Keywords: </w:t>
      </w:r>
      <w:r w:rsidR="00407C61" w:rsidRPr="00407C61">
        <w:rPr>
          <w:rFonts w:ascii="Arial" w:hAnsi="Arial" w:cs="Arial"/>
          <w:i/>
        </w:rPr>
        <w:t>Academic Performance, General Mathematics, Learning Resources, Preferred Learning Style, Student Engagement</w:t>
      </w:r>
      <w:r w:rsidR="00407C61">
        <w:rPr>
          <w:rFonts w:ascii="Arial" w:hAnsi="Arial" w:cs="Arial"/>
          <w:i/>
        </w:rPr>
        <w:t>.</w:t>
      </w:r>
    </w:p>
    <w:p w14:paraId="207D3C79" w14:textId="77777777" w:rsidR="00505F06" w:rsidRPr="00A24E7E" w:rsidRDefault="00505F06" w:rsidP="00441B6F">
      <w:pPr>
        <w:pStyle w:val="Body"/>
        <w:spacing w:after="0"/>
        <w:rPr>
          <w:rFonts w:ascii="Arial" w:hAnsi="Arial" w:cs="Arial"/>
          <w:i/>
        </w:rPr>
      </w:pPr>
    </w:p>
    <w:p w14:paraId="7F85A32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D10E06" w14:textId="77777777" w:rsidR="00790ADA" w:rsidRPr="00FB3A86" w:rsidRDefault="00790ADA" w:rsidP="00441B6F">
      <w:pPr>
        <w:pStyle w:val="AbstHead"/>
        <w:spacing w:after="0"/>
        <w:jc w:val="both"/>
        <w:rPr>
          <w:rFonts w:ascii="Arial" w:hAnsi="Arial" w:cs="Arial"/>
        </w:rPr>
      </w:pPr>
    </w:p>
    <w:p w14:paraId="2313C397"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 xml:space="preserve">Education in the Philippines is always improving to prepare students for further education, jobs, and lifelong learning. Mathematics plays a crucial role in molding how learners think and solve issues, not only in academic settings but also in everyday life. It is a worldwide language that reinforces science, technology, business, and decision-making. Beyond its practical use, mathematics fosters logical reasoning, analytical thinking, and problem-solving skills that can be employed in real-life difficulties. </w:t>
      </w:r>
    </w:p>
    <w:p w14:paraId="48432F4D"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 xml:space="preserve">General Mathematics is one of the core subjects taken by Grade 11 students in the Senior High School curriculum. It covers three topics: Functions and Their Graphs, Basic Business Mathematics, and Logic. Each covers fundamental math skills needed for academic and career growth. These topics serve as foundations for more complex courses such as Pre-Calculus, Business Mathematics, and Statistics and Probability, while also educating students with skills needed for higher education and lifetime learning. Function and Their </w:t>
      </w:r>
      <w:r w:rsidRPr="00407C61">
        <w:rPr>
          <w:rFonts w:ascii="Arial" w:hAnsi="Arial" w:cs="Arial"/>
          <w:b w:val="0"/>
          <w:caps w:val="0"/>
          <w:sz w:val="20"/>
        </w:rPr>
        <w:lastRenderedPageBreak/>
        <w:t>Graphs test students’ comprehension of algebraic relationships, graphical representations, and function transformations. Basic Business Mathematics helps students apply math in real-life circumstances, including understanding percentages, interest rates, and cost analysis abilities important for business-related occupations and everyday financial literacy. Logic increases students’ deductive reasoning and problem-solving skills.</w:t>
      </w:r>
    </w:p>
    <w:p w14:paraId="547A86B2"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However, despite its prime importance, multiple studies have indicated that many Filipino students regard math to be one of the most challenging subjects. They often suffer with low achievement, lack of confidence, and disengagement, which impair their academic success (</w:t>
      </w:r>
      <w:proofErr w:type="spellStart"/>
      <w:r w:rsidRPr="00407C61">
        <w:rPr>
          <w:rFonts w:ascii="Arial" w:hAnsi="Arial" w:cs="Arial"/>
          <w:b w:val="0"/>
          <w:caps w:val="0"/>
          <w:sz w:val="20"/>
        </w:rPr>
        <w:t>Dodongan</w:t>
      </w:r>
      <w:proofErr w:type="spellEnd"/>
      <w:r w:rsidRPr="00407C61">
        <w:rPr>
          <w:rFonts w:ascii="Arial" w:hAnsi="Arial" w:cs="Arial"/>
          <w:b w:val="0"/>
          <w:caps w:val="0"/>
          <w:sz w:val="20"/>
        </w:rPr>
        <w:t>, 2022). Student engagement, defined as the level to which students demonstrate attention, interest, and involvement in learning tasks, is vital for enhancing performance. It has four main aspects: behavioral, emotional, cognitive, and social (Fredricks, Blumenfeld, &amp; Paris, 2016).</w:t>
      </w:r>
    </w:p>
    <w:p w14:paraId="7B8E3FD0"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 xml:space="preserve">Local studies demonstrate a persistent issue in keeping pupils motivated in math. </w:t>
      </w:r>
      <w:proofErr w:type="spellStart"/>
      <w:r w:rsidRPr="00407C61">
        <w:rPr>
          <w:rFonts w:ascii="Arial" w:hAnsi="Arial" w:cs="Arial"/>
          <w:b w:val="0"/>
          <w:caps w:val="0"/>
          <w:sz w:val="20"/>
        </w:rPr>
        <w:t>Dodongan</w:t>
      </w:r>
      <w:proofErr w:type="spellEnd"/>
      <w:r w:rsidRPr="00407C61">
        <w:rPr>
          <w:rFonts w:ascii="Arial" w:hAnsi="Arial" w:cs="Arial"/>
          <w:b w:val="0"/>
          <w:caps w:val="0"/>
          <w:sz w:val="20"/>
        </w:rPr>
        <w:t xml:space="preserve"> (2022) reported that Filipino pupils feel high arithmetic anxiety but poor engagement, which greatly affects their performance. </w:t>
      </w:r>
      <w:proofErr w:type="spellStart"/>
      <w:r w:rsidRPr="00407C61">
        <w:rPr>
          <w:rFonts w:ascii="Arial" w:hAnsi="Arial" w:cs="Arial"/>
          <w:b w:val="0"/>
          <w:caps w:val="0"/>
          <w:sz w:val="20"/>
        </w:rPr>
        <w:t>Sabug</w:t>
      </w:r>
      <w:proofErr w:type="spellEnd"/>
      <w:r w:rsidRPr="00407C61">
        <w:rPr>
          <w:rFonts w:ascii="Arial" w:hAnsi="Arial" w:cs="Arial"/>
          <w:b w:val="0"/>
          <w:caps w:val="0"/>
          <w:sz w:val="20"/>
        </w:rPr>
        <w:t xml:space="preserve"> (2023) revealed that students in Antique demonstrated only moderate involvement, influenced by their access to ICT resources for math exercises. </w:t>
      </w:r>
      <w:proofErr w:type="spellStart"/>
      <w:r w:rsidRPr="00407C61">
        <w:rPr>
          <w:rFonts w:ascii="Arial" w:hAnsi="Arial" w:cs="Arial"/>
          <w:b w:val="0"/>
          <w:caps w:val="0"/>
          <w:sz w:val="20"/>
        </w:rPr>
        <w:t>Torrejos</w:t>
      </w:r>
      <w:proofErr w:type="spellEnd"/>
      <w:r w:rsidRPr="00407C61">
        <w:rPr>
          <w:rFonts w:ascii="Arial" w:hAnsi="Arial" w:cs="Arial"/>
          <w:b w:val="0"/>
          <w:caps w:val="0"/>
          <w:sz w:val="20"/>
        </w:rPr>
        <w:t xml:space="preserve"> (2024) revealed that teaching quality and critical thinking abilities greatly increased math engagement in blended learning contexts, indicating the relevance of strong teaching methods in keeping students involved.</w:t>
      </w:r>
    </w:p>
    <w:p w14:paraId="1B331702"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 xml:space="preserve">Other research </w:t>
      </w:r>
      <w:proofErr w:type="gramStart"/>
      <w:r w:rsidRPr="00407C61">
        <w:rPr>
          <w:rFonts w:ascii="Arial" w:hAnsi="Arial" w:cs="Arial"/>
          <w:b w:val="0"/>
          <w:caps w:val="0"/>
          <w:sz w:val="20"/>
        </w:rPr>
        <w:t>stress</w:t>
      </w:r>
      <w:proofErr w:type="gramEnd"/>
      <w:r w:rsidRPr="00407C61">
        <w:rPr>
          <w:rFonts w:ascii="Arial" w:hAnsi="Arial" w:cs="Arial"/>
          <w:b w:val="0"/>
          <w:caps w:val="0"/>
          <w:sz w:val="20"/>
        </w:rPr>
        <w:t xml:space="preserve"> the impact of environmental and relationship factors. A study at </w:t>
      </w:r>
      <w:proofErr w:type="spellStart"/>
      <w:r w:rsidRPr="00407C61">
        <w:rPr>
          <w:rFonts w:ascii="Arial" w:hAnsi="Arial" w:cs="Arial"/>
          <w:b w:val="0"/>
          <w:caps w:val="0"/>
          <w:sz w:val="20"/>
        </w:rPr>
        <w:t>Tangub</w:t>
      </w:r>
      <w:proofErr w:type="spellEnd"/>
      <w:r w:rsidRPr="00407C61">
        <w:rPr>
          <w:rFonts w:ascii="Arial" w:hAnsi="Arial" w:cs="Arial"/>
          <w:b w:val="0"/>
          <w:caps w:val="0"/>
          <w:sz w:val="20"/>
        </w:rPr>
        <w:t xml:space="preserve"> City State College (2021) found that competence, autonomy, and relationships between professors and students affected participation in all aspects—affective, behavioral, and cognitive. Likewise, a classroom research at </w:t>
      </w:r>
      <w:proofErr w:type="spellStart"/>
      <w:r w:rsidRPr="00407C61">
        <w:rPr>
          <w:rFonts w:ascii="Arial" w:hAnsi="Arial" w:cs="Arial"/>
          <w:b w:val="0"/>
          <w:caps w:val="0"/>
          <w:sz w:val="20"/>
        </w:rPr>
        <w:t>Kalilangan</w:t>
      </w:r>
      <w:proofErr w:type="spellEnd"/>
      <w:r w:rsidRPr="00407C61">
        <w:rPr>
          <w:rFonts w:ascii="Arial" w:hAnsi="Arial" w:cs="Arial"/>
          <w:b w:val="0"/>
          <w:caps w:val="0"/>
          <w:sz w:val="20"/>
        </w:rPr>
        <w:t xml:space="preserve"> National High School (2024) demonstrated that blended learning enhanced students’ performance and interest in math, even though their baseline levels were poor.</w:t>
      </w:r>
    </w:p>
    <w:p w14:paraId="120678BA"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These findings indicate that students' involvement in arithmetic is influenced by both personal characteristics, such as confidence and learning style, and contextual ones, including resources, teaching methods, and classroom environment. While there is research on math engagement at many levels, there is a shortage of studies explicitly concentrating on Senior High School students’ interest in General Mathematics. Given that students from all streams take this course, assessing their engagement levels and how these connect to their profiles and performances is both pertinent and necessary.</w:t>
      </w:r>
    </w:p>
    <w:p w14:paraId="1D52389C" w14:textId="77777777" w:rsidR="00407C61" w:rsidRDefault="00407C61" w:rsidP="00407C61">
      <w:pPr>
        <w:pStyle w:val="AbstHead"/>
        <w:spacing w:after="0"/>
        <w:jc w:val="both"/>
        <w:rPr>
          <w:rFonts w:ascii="Arial" w:hAnsi="Arial" w:cs="Arial"/>
          <w:b w:val="0"/>
          <w:caps w:val="0"/>
          <w:sz w:val="20"/>
        </w:rPr>
      </w:pPr>
      <w:r w:rsidRPr="00407C61">
        <w:rPr>
          <w:rFonts w:ascii="Arial" w:hAnsi="Arial" w:cs="Arial"/>
          <w:b w:val="0"/>
          <w:caps w:val="0"/>
          <w:sz w:val="20"/>
        </w:rPr>
        <w:t xml:space="preserve">Thus, this study aims to address this gap by examining the relationship between students’ profiles, including their academic strand, academic grade in General Mathematics, preferred learning style, and availability of learning resources, and their level of engagement in terms of motivational, social, behavioral, and cognitive dimensions. The study is limited to Grade 11 Senior High School students of </w:t>
      </w:r>
      <w:proofErr w:type="spellStart"/>
      <w:r w:rsidRPr="00407C61">
        <w:rPr>
          <w:rFonts w:ascii="Arial" w:hAnsi="Arial" w:cs="Arial"/>
          <w:b w:val="0"/>
          <w:caps w:val="0"/>
          <w:sz w:val="20"/>
        </w:rPr>
        <w:t>Mabilbila</w:t>
      </w:r>
      <w:proofErr w:type="spellEnd"/>
      <w:r w:rsidRPr="00407C61">
        <w:rPr>
          <w:rFonts w:ascii="Arial" w:hAnsi="Arial" w:cs="Arial"/>
          <w:b w:val="0"/>
          <w:caps w:val="0"/>
          <w:sz w:val="20"/>
        </w:rPr>
        <w:t xml:space="preserve"> Integrated School. The findings are expected to provide insights that can aid teachers and schools in devising ways to improve engagement and performance in General Mathematics.</w:t>
      </w:r>
    </w:p>
    <w:p w14:paraId="7652859F" w14:textId="77777777" w:rsidR="00947E85" w:rsidRDefault="00947E85" w:rsidP="00407C61">
      <w:pPr>
        <w:pStyle w:val="AbstHead"/>
        <w:spacing w:after="0"/>
        <w:jc w:val="both"/>
        <w:rPr>
          <w:rFonts w:ascii="Arial" w:hAnsi="Arial" w:cs="Arial"/>
          <w:b w:val="0"/>
          <w:caps w:val="0"/>
          <w:sz w:val="20"/>
        </w:rPr>
      </w:pPr>
    </w:p>
    <w:p w14:paraId="56DD1381" w14:textId="77777777" w:rsidR="00790ADA" w:rsidRPr="00FB3A86" w:rsidRDefault="00902823" w:rsidP="00407C61">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A4227AF" w14:textId="77777777" w:rsidR="00790ADA" w:rsidRPr="00FB3A86" w:rsidRDefault="00790ADA" w:rsidP="00441B6F">
      <w:pPr>
        <w:pStyle w:val="Body"/>
        <w:spacing w:after="0"/>
        <w:rPr>
          <w:rFonts w:ascii="Arial" w:hAnsi="Arial" w:cs="Arial"/>
        </w:rPr>
      </w:pPr>
    </w:p>
    <w:p w14:paraId="56F94D06" w14:textId="77777777" w:rsidR="008109F8" w:rsidRDefault="00AA74E0" w:rsidP="00A254D3">
      <w:pPr>
        <w:pStyle w:val="Body"/>
        <w:rPr>
          <w:rFonts w:ascii="Arial" w:hAnsi="Arial" w:cs="Arial"/>
          <w:b/>
          <w:sz w:val="22"/>
        </w:rPr>
      </w:pPr>
      <w:r w:rsidRPr="00C30A0F">
        <w:rPr>
          <w:rFonts w:ascii="Arial" w:hAnsi="Arial" w:cs="Arial"/>
          <w:b/>
          <w:caps/>
          <w:sz w:val="22"/>
        </w:rPr>
        <w:t xml:space="preserve">2.1 </w:t>
      </w:r>
      <w:r w:rsidR="00362BD2" w:rsidRPr="00362BD2">
        <w:rPr>
          <w:rFonts w:ascii="Arial" w:hAnsi="Arial" w:cs="Arial"/>
          <w:b/>
          <w:sz w:val="22"/>
        </w:rPr>
        <w:t>Research Design</w:t>
      </w:r>
    </w:p>
    <w:p w14:paraId="350CC11D" w14:textId="77777777" w:rsidR="00B4747F" w:rsidRPr="00B4747F" w:rsidRDefault="00B4747F" w:rsidP="00B4747F">
      <w:pPr>
        <w:pStyle w:val="Body"/>
        <w:rPr>
          <w:rFonts w:ascii="Arial" w:hAnsi="Arial" w:cs="Arial"/>
        </w:rPr>
      </w:pPr>
      <w:r w:rsidRPr="00B4747F">
        <w:rPr>
          <w:rFonts w:ascii="Arial" w:hAnsi="Arial" w:cs="Arial"/>
        </w:rPr>
        <w:t xml:space="preserve">This study used a descriptive and general correlational research design. The descriptive technique enables the researcher to sketch the students' profiles and measure their level of participation in General Mathematics. Descriptive research is fitting when the purpose is to </w:t>
      </w:r>
      <w:r w:rsidRPr="00B4747F">
        <w:rPr>
          <w:rFonts w:ascii="Arial" w:hAnsi="Arial" w:cs="Arial"/>
        </w:rPr>
        <w:lastRenderedPageBreak/>
        <w:t>comprehensively describe the features of a population or phenomenon without modifying the variables (Creswell &amp; Creswell, 2018).</w:t>
      </w:r>
    </w:p>
    <w:p w14:paraId="45593885" w14:textId="77777777" w:rsidR="00B4747F" w:rsidRPr="00B4747F" w:rsidRDefault="00B4747F" w:rsidP="00B4747F">
      <w:pPr>
        <w:pStyle w:val="Body"/>
        <w:rPr>
          <w:rFonts w:ascii="Arial" w:hAnsi="Arial" w:cs="Arial"/>
        </w:rPr>
      </w:pPr>
      <w:r w:rsidRPr="00B4747F">
        <w:rPr>
          <w:rFonts w:ascii="Arial" w:hAnsi="Arial" w:cs="Arial"/>
        </w:rPr>
        <w:t>The correlational part of the design was used to investigate the relationship between the students' profile variables, such as strand, academic grade in General Mathematics, preferred learning style, and availability of learning resources—and their engagement dimensions, which include motivational, social, behavioral, and cognitive aspects. Correlational research is important for establishing whether a correlation exists between variables in natural settings (Fraenkel, Wallen, &amp; Hyun, 2019).</w:t>
      </w:r>
    </w:p>
    <w:p w14:paraId="0ADA2EFF" w14:textId="77777777" w:rsidR="00B4747F" w:rsidRDefault="00B4747F" w:rsidP="00B4747F">
      <w:pPr>
        <w:pStyle w:val="Body"/>
        <w:rPr>
          <w:rFonts w:ascii="Arial" w:hAnsi="Arial" w:cs="Arial"/>
        </w:rPr>
      </w:pPr>
      <w:r w:rsidRPr="00B4747F">
        <w:rPr>
          <w:rFonts w:ascii="Arial" w:hAnsi="Arial" w:cs="Arial"/>
        </w:rPr>
        <w:t>This concept proved ideal since it does not modify variables; it observes them as they occur in the educational setting. This makes it suited for studies with big groups of pupils. Moreover, this approach has been frequently employed in educational research in the Philippines to study how characteristics connected to students affect engagement, performance, and learning outcomes (</w:t>
      </w:r>
      <w:proofErr w:type="spellStart"/>
      <w:r w:rsidRPr="00B4747F">
        <w:rPr>
          <w:rFonts w:ascii="Arial" w:hAnsi="Arial" w:cs="Arial"/>
        </w:rPr>
        <w:t>Dodongan</w:t>
      </w:r>
      <w:proofErr w:type="spellEnd"/>
      <w:r w:rsidRPr="00B4747F">
        <w:rPr>
          <w:rFonts w:ascii="Arial" w:hAnsi="Arial" w:cs="Arial"/>
        </w:rPr>
        <w:t xml:space="preserve">, 2022; </w:t>
      </w:r>
      <w:proofErr w:type="spellStart"/>
      <w:r w:rsidRPr="00B4747F">
        <w:rPr>
          <w:rFonts w:ascii="Arial" w:hAnsi="Arial" w:cs="Arial"/>
        </w:rPr>
        <w:t>Sabug</w:t>
      </w:r>
      <w:proofErr w:type="spellEnd"/>
      <w:r w:rsidRPr="00B4747F">
        <w:rPr>
          <w:rFonts w:ascii="Arial" w:hAnsi="Arial" w:cs="Arial"/>
        </w:rPr>
        <w:t xml:space="preserve">, 2023; </w:t>
      </w:r>
      <w:proofErr w:type="spellStart"/>
      <w:r w:rsidRPr="00B4747F">
        <w:rPr>
          <w:rFonts w:ascii="Arial" w:hAnsi="Arial" w:cs="Arial"/>
        </w:rPr>
        <w:t>Torrejos</w:t>
      </w:r>
      <w:proofErr w:type="spellEnd"/>
      <w:r w:rsidRPr="00B4747F">
        <w:rPr>
          <w:rFonts w:ascii="Arial" w:hAnsi="Arial" w:cs="Arial"/>
        </w:rPr>
        <w:t>, 2024). It thus provides a complete assessment of students’ engagement and explores how their profile characteristics relate to their engagement in General Mathematics.</w:t>
      </w:r>
    </w:p>
    <w:p w14:paraId="6F499698" w14:textId="77777777" w:rsidR="00A254D3" w:rsidRPr="00A254D3" w:rsidRDefault="00AA74E0" w:rsidP="00B4747F">
      <w:pPr>
        <w:pStyle w:val="Body"/>
        <w:rPr>
          <w:rFonts w:ascii="Arial" w:hAnsi="Arial" w:cs="Arial"/>
          <w:b/>
          <w:sz w:val="22"/>
        </w:rPr>
      </w:pPr>
      <w:r w:rsidRPr="00A254D3">
        <w:rPr>
          <w:rFonts w:ascii="Arial" w:hAnsi="Arial" w:cs="Arial"/>
          <w:b/>
          <w:sz w:val="22"/>
        </w:rPr>
        <w:t>2.</w:t>
      </w:r>
      <w:r w:rsidR="00A254D3" w:rsidRPr="00A254D3">
        <w:rPr>
          <w:rFonts w:ascii="Arial" w:hAnsi="Arial" w:cs="Arial"/>
          <w:b/>
          <w:sz w:val="22"/>
        </w:rPr>
        <w:t>2</w:t>
      </w:r>
      <w:r w:rsidR="00A254D3" w:rsidRPr="00A254D3">
        <w:rPr>
          <w:b/>
          <w:sz w:val="22"/>
        </w:rPr>
        <w:t xml:space="preserve"> </w:t>
      </w:r>
      <w:r w:rsidR="00A254D3" w:rsidRPr="00A254D3">
        <w:rPr>
          <w:rFonts w:ascii="Arial" w:hAnsi="Arial" w:cs="Arial"/>
          <w:b/>
          <w:sz w:val="22"/>
        </w:rPr>
        <w:t>Source of Data</w:t>
      </w:r>
    </w:p>
    <w:p w14:paraId="75233AA1" w14:textId="77777777" w:rsidR="00B4747F" w:rsidRDefault="00B4747F" w:rsidP="00A254D3">
      <w:pPr>
        <w:pStyle w:val="Body"/>
        <w:rPr>
          <w:rFonts w:ascii="Arial" w:hAnsi="Arial" w:cs="Arial"/>
        </w:rPr>
      </w:pPr>
      <w:r w:rsidRPr="00B4747F">
        <w:rPr>
          <w:rFonts w:ascii="Arial" w:hAnsi="Arial" w:cs="Arial"/>
        </w:rPr>
        <w:t xml:space="preserve">The population of the study were all 83 Grade 11 STEM and GAS students enrolled at </w:t>
      </w:r>
      <w:proofErr w:type="spellStart"/>
      <w:r w:rsidRPr="00B4747F">
        <w:rPr>
          <w:rFonts w:ascii="Arial" w:hAnsi="Arial" w:cs="Arial"/>
        </w:rPr>
        <w:t>Mabilbila</w:t>
      </w:r>
      <w:proofErr w:type="spellEnd"/>
      <w:r w:rsidRPr="00B4747F">
        <w:rPr>
          <w:rFonts w:ascii="Arial" w:hAnsi="Arial" w:cs="Arial"/>
        </w:rPr>
        <w:t xml:space="preserve"> Integrated School, school year 2025-2026. Since the overall number of students was manageable, the study adopted the total enumeration technique, in which all members of the population were included as respondents.</w:t>
      </w:r>
    </w:p>
    <w:p w14:paraId="638D249A" w14:textId="77777777" w:rsidR="00A254D3" w:rsidRPr="00A254D3" w:rsidRDefault="00A254D3" w:rsidP="00A254D3">
      <w:pPr>
        <w:pStyle w:val="Body"/>
        <w:rPr>
          <w:rFonts w:ascii="Arial" w:hAnsi="Arial" w:cs="Arial"/>
          <w:b/>
          <w:sz w:val="22"/>
        </w:rPr>
      </w:pPr>
      <w:r>
        <w:rPr>
          <w:rFonts w:ascii="Arial" w:hAnsi="Arial" w:cs="Arial"/>
          <w:b/>
          <w:sz w:val="22"/>
        </w:rPr>
        <w:t xml:space="preserve">2.3 </w:t>
      </w:r>
      <w:r w:rsidRPr="00A254D3">
        <w:rPr>
          <w:rFonts w:ascii="Arial" w:hAnsi="Arial" w:cs="Arial"/>
          <w:b/>
          <w:sz w:val="22"/>
        </w:rPr>
        <w:t>Data Gathering Instrument</w:t>
      </w:r>
    </w:p>
    <w:p w14:paraId="38C21A5D" w14:textId="77777777" w:rsidR="00694ED7" w:rsidRPr="00694ED7" w:rsidRDefault="00694ED7" w:rsidP="00694ED7">
      <w:pPr>
        <w:pStyle w:val="Body"/>
        <w:rPr>
          <w:rFonts w:ascii="Arial" w:hAnsi="Arial" w:cs="Arial"/>
        </w:rPr>
      </w:pPr>
      <w:r w:rsidRPr="00694ED7">
        <w:rPr>
          <w:rFonts w:ascii="Arial" w:hAnsi="Arial" w:cs="Arial"/>
        </w:rPr>
        <w:t>In this study, the researchers designed a survey questionnaire which analyzes the students’ level of engagement in General Mathematics. The questionnaire includes elements categorized into four domains of engagement: motivational, social, behavioral, and cognitive. Each issue employed a five-point Likert scale, allowing respondents to show how much they agree with the claims.</w:t>
      </w:r>
    </w:p>
    <w:p w14:paraId="097A2347" w14:textId="77777777" w:rsidR="00694ED7" w:rsidRDefault="00694ED7" w:rsidP="00694ED7">
      <w:pPr>
        <w:pStyle w:val="Body"/>
        <w:rPr>
          <w:rFonts w:ascii="Arial" w:hAnsi="Arial" w:cs="Arial"/>
        </w:rPr>
      </w:pPr>
      <w:r w:rsidRPr="00694ED7">
        <w:rPr>
          <w:rFonts w:ascii="Arial" w:hAnsi="Arial" w:cs="Arial"/>
        </w:rPr>
        <w:t>To ensure validity, experts in mathematics teaching, research, and measurement reviewed the questionnaire. A pilot test was completed with 30 Grade 12 students who are not part of the main study. The results demonstrated that the instrument had good internal consistency, as determined by Cronbach’s alpha (α). Specifically, the motivational engagement had an overall α of 0.890, social engagement 0.902, behavioral engagement 0.905, and cognitive engagement 0.889. These numbers show that the questionnaire was reliable for measuring the students’ level of involvement in General Mathematics.</w:t>
      </w:r>
    </w:p>
    <w:p w14:paraId="2DA804D4" w14:textId="77777777" w:rsidR="00A254D3" w:rsidRPr="00A254D3" w:rsidRDefault="00A254D3" w:rsidP="00694ED7">
      <w:pPr>
        <w:pStyle w:val="Body"/>
        <w:rPr>
          <w:rFonts w:ascii="Arial" w:hAnsi="Arial" w:cs="Arial"/>
          <w:b/>
          <w:sz w:val="22"/>
        </w:rPr>
      </w:pPr>
      <w:r w:rsidRPr="00A254D3">
        <w:rPr>
          <w:rFonts w:ascii="Arial" w:hAnsi="Arial" w:cs="Arial"/>
          <w:b/>
          <w:sz w:val="22"/>
        </w:rPr>
        <w:t>2.4 Data Gathering Procedure</w:t>
      </w:r>
    </w:p>
    <w:p w14:paraId="21CE0F09" w14:textId="77777777" w:rsidR="00087789" w:rsidRDefault="00F53C25" w:rsidP="00A254D3">
      <w:pPr>
        <w:pStyle w:val="Body"/>
        <w:rPr>
          <w:rFonts w:ascii="Arial" w:hAnsi="Arial" w:cs="Arial"/>
        </w:rPr>
      </w:pPr>
      <w:r w:rsidRPr="00F53C25">
        <w:rPr>
          <w:rFonts w:ascii="Arial" w:hAnsi="Arial" w:cs="Arial"/>
        </w:rPr>
        <w:t>This study used a Likert-type scale to gauge respondents' level of engagement in general mathematics as well as a questionnaire to gather personal information about the respondents' strand, first quarter math grade, preferred learning style, and availability of learning resources at home. The principal of the school and the relevant authorities granted a formal request to carry out the study. After obtaining consent, the researcher gave the participants an explanation of the study's objectives and personally distributed the surveys to guarantee correct administration. To guarantee maximum retrieval, the answer papers were recovered right away after completion. For statistical analysis, the data were tallied, arranged, and encoded.</w:t>
      </w:r>
    </w:p>
    <w:p w14:paraId="792393D3" w14:textId="77777777" w:rsidR="00A254D3" w:rsidRPr="00700210" w:rsidRDefault="00700210" w:rsidP="00A254D3">
      <w:pPr>
        <w:pStyle w:val="Body"/>
        <w:rPr>
          <w:rFonts w:ascii="Arial" w:hAnsi="Arial" w:cs="Arial"/>
          <w:b/>
          <w:sz w:val="22"/>
        </w:rPr>
      </w:pPr>
      <w:r w:rsidRPr="00700210">
        <w:rPr>
          <w:rFonts w:ascii="Arial" w:hAnsi="Arial" w:cs="Arial"/>
          <w:b/>
          <w:sz w:val="22"/>
        </w:rPr>
        <w:lastRenderedPageBreak/>
        <w:t xml:space="preserve">2.5 </w:t>
      </w:r>
      <w:r w:rsidR="00A254D3" w:rsidRPr="00700210">
        <w:rPr>
          <w:rFonts w:ascii="Arial" w:hAnsi="Arial" w:cs="Arial"/>
          <w:b/>
          <w:sz w:val="22"/>
        </w:rPr>
        <w:t>Statistical Treatment of Data</w:t>
      </w:r>
    </w:p>
    <w:p w14:paraId="64EAF166" w14:textId="77777777" w:rsidR="00087789" w:rsidRPr="00087789" w:rsidRDefault="00087789" w:rsidP="00087789">
      <w:pPr>
        <w:pStyle w:val="Body"/>
        <w:rPr>
          <w:rFonts w:ascii="Arial" w:hAnsi="Arial" w:cs="Arial"/>
        </w:rPr>
      </w:pPr>
      <w:r w:rsidRPr="00087789">
        <w:rPr>
          <w:rFonts w:ascii="Arial" w:hAnsi="Arial" w:cs="Arial"/>
        </w:rPr>
        <w:t>Data were processed using the following Statistical Technique:</w:t>
      </w:r>
    </w:p>
    <w:p w14:paraId="243BB7B0" w14:textId="77777777" w:rsidR="00087789" w:rsidRPr="00087789" w:rsidRDefault="00087789" w:rsidP="00087789">
      <w:pPr>
        <w:pStyle w:val="Body"/>
        <w:rPr>
          <w:rFonts w:ascii="Arial" w:hAnsi="Arial" w:cs="Arial"/>
        </w:rPr>
      </w:pPr>
      <w:r w:rsidRPr="00087789">
        <w:rPr>
          <w:rFonts w:ascii="Arial" w:hAnsi="Arial" w:cs="Arial"/>
          <w:i/>
        </w:rPr>
        <w:t>Frequency and rate distribution</w:t>
      </w:r>
      <w:r w:rsidRPr="00087789">
        <w:rPr>
          <w:rFonts w:ascii="Arial" w:hAnsi="Arial" w:cs="Arial"/>
        </w:rPr>
        <w:t xml:space="preserve"> were employed to determine the characteristics of the respondents.</w:t>
      </w:r>
    </w:p>
    <w:p w14:paraId="2202A86A" w14:textId="77777777" w:rsidR="00087789" w:rsidRPr="00087789" w:rsidRDefault="00087789" w:rsidP="00087789">
      <w:pPr>
        <w:pStyle w:val="Body"/>
        <w:rPr>
          <w:rFonts w:ascii="Arial" w:hAnsi="Arial" w:cs="Arial"/>
        </w:rPr>
      </w:pPr>
      <w:r w:rsidRPr="00872C69">
        <w:rPr>
          <w:rFonts w:ascii="Arial" w:hAnsi="Arial" w:cs="Arial"/>
          <w:i/>
        </w:rPr>
        <w:t>Mean and descriptive interpretation</w:t>
      </w:r>
      <w:r w:rsidRPr="00087789">
        <w:rPr>
          <w:rFonts w:ascii="Arial" w:hAnsi="Arial" w:cs="Arial"/>
        </w:rPr>
        <w:t xml:space="preserve"> employing statistical limits were utilized to determine the level of engagement of students in General Mathematics.</w:t>
      </w:r>
    </w:p>
    <w:p w14:paraId="5B03BD4D" w14:textId="77777777" w:rsidR="00087789" w:rsidRDefault="00087789" w:rsidP="00087789">
      <w:pPr>
        <w:pStyle w:val="Body"/>
        <w:rPr>
          <w:rFonts w:ascii="Arial" w:hAnsi="Arial" w:cs="Arial"/>
        </w:rPr>
      </w:pPr>
      <w:r w:rsidRPr="00087789">
        <w:rPr>
          <w:rFonts w:ascii="Arial" w:hAnsi="Arial" w:cs="Arial"/>
        </w:rPr>
        <w:t xml:space="preserve">A </w:t>
      </w:r>
      <w:r w:rsidRPr="00872C69">
        <w:rPr>
          <w:rFonts w:ascii="Arial" w:hAnsi="Arial" w:cs="Arial"/>
          <w:i/>
        </w:rPr>
        <w:t>normality test</w:t>
      </w:r>
      <w:r w:rsidRPr="00087789">
        <w:rPr>
          <w:rFonts w:ascii="Arial" w:hAnsi="Arial" w:cs="Arial"/>
        </w:rPr>
        <w:t xml:space="preserve"> was conducted, followed by the necessary correlational analysis. Since the data were not normally distributed, Spearman’s rank correlation coefficient was utilized to analyze the correlations between the students’ profile and their level of engagement.</w:t>
      </w:r>
    </w:p>
    <w:p w14:paraId="39822829" w14:textId="77777777" w:rsidR="00A254D3" w:rsidRPr="00700210" w:rsidRDefault="00700210" w:rsidP="00087789">
      <w:pPr>
        <w:pStyle w:val="Body"/>
        <w:rPr>
          <w:rFonts w:ascii="Arial" w:hAnsi="Arial" w:cs="Arial"/>
          <w:b/>
          <w:sz w:val="22"/>
        </w:rPr>
      </w:pPr>
      <w:r w:rsidRPr="00700210">
        <w:rPr>
          <w:rFonts w:ascii="Arial" w:hAnsi="Arial" w:cs="Arial"/>
          <w:b/>
          <w:sz w:val="22"/>
        </w:rPr>
        <w:t xml:space="preserve">2.6 </w:t>
      </w:r>
      <w:r w:rsidR="00A254D3" w:rsidRPr="00700210">
        <w:rPr>
          <w:rFonts w:ascii="Arial" w:hAnsi="Arial" w:cs="Arial"/>
          <w:b/>
          <w:sz w:val="22"/>
        </w:rPr>
        <w:t>Ethical Considerations</w:t>
      </w:r>
    </w:p>
    <w:p w14:paraId="514B8A08" w14:textId="77777777" w:rsidR="00A254D3" w:rsidRDefault="00872C69" w:rsidP="00A254D3">
      <w:pPr>
        <w:pStyle w:val="Body"/>
        <w:spacing w:after="0"/>
        <w:rPr>
          <w:rFonts w:ascii="Arial" w:hAnsi="Arial" w:cs="Arial"/>
        </w:rPr>
      </w:pPr>
      <w:r w:rsidRPr="00872C69">
        <w:rPr>
          <w:rFonts w:ascii="Arial" w:hAnsi="Arial" w:cs="Arial"/>
        </w:rPr>
        <w:t>In this study, ethical standards were strictly adhered to preserve the rights and welfare of the respondents. Informed consent was gained, and students were made aware that participation was voluntary and that they might withdraw at any time without consequences. Confidentiality and anonymity were maintained, ensuring that personal information and replies were kept private and utilized solely for research reasons. The questionnaire was developed to avoid discomfort or upset, and all participants were handled with respect and decency. Additionally, formal consent to perform the study was received from the school authorities, and all data were securely maintained and accessed only by the researcher.</w:t>
      </w:r>
    </w:p>
    <w:p w14:paraId="59FB2647" w14:textId="77777777" w:rsidR="00872C69" w:rsidRPr="00FB3A86" w:rsidRDefault="00872C69" w:rsidP="00A254D3">
      <w:pPr>
        <w:pStyle w:val="Body"/>
        <w:spacing w:after="0"/>
        <w:rPr>
          <w:rFonts w:ascii="Arial" w:hAnsi="Arial" w:cs="Arial"/>
        </w:rPr>
      </w:pPr>
    </w:p>
    <w:p w14:paraId="12F855A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FB8631" w14:textId="77777777" w:rsidR="00790ADA" w:rsidRPr="00FB3A86" w:rsidRDefault="00790ADA" w:rsidP="00441B6F">
      <w:pPr>
        <w:pStyle w:val="Head1"/>
        <w:spacing w:after="0"/>
        <w:jc w:val="both"/>
        <w:rPr>
          <w:rFonts w:ascii="Arial" w:hAnsi="Arial" w:cs="Arial"/>
        </w:rPr>
      </w:pPr>
    </w:p>
    <w:p w14:paraId="5B57F66B" w14:textId="77777777" w:rsidR="003A42F3" w:rsidRDefault="003A42F3" w:rsidP="00242D32">
      <w:pPr>
        <w:pStyle w:val="Body"/>
        <w:spacing w:after="0"/>
        <w:rPr>
          <w:rFonts w:ascii="Arial" w:hAnsi="Arial" w:cs="Arial"/>
          <w:b/>
        </w:rPr>
      </w:pPr>
      <w:r w:rsidRPr="003A42F3">
        <w:rPr>
          <w:rFonts w:ascii="Arial" w:hAnsi="Arial" w:cs="Arial"/>
          <w:b/>
        </w:rPr>
        <w:t>Profile of the Student-Respondents</w:t>
      </w:r>
    </w:p>
    <w:p w14:paraId="589540EF" w14:textId="77777777" w:rsidR="00F87E04" w:rsidRDefault="00F87E04" w:rsidP="00242D32">
      <w:pPr>
        <w:pStyle w:val="Body"/>
        <w:spacing w:after="0"/>
        <w:rPr>
          <w:rFonts w:ascii="Arial" w:hAnsi="Arial" w:cs="Arial"/>
        </w:rPr>
      </w:pPr>
      <w:r w:rsidRPr="00F87E04">
        <w:rPr>
          <w:rFonts w:ascii="Arial" w:hAnsi="Arial" w:cs="Arial"/>
        </w:rPr>
        <w:t xml:space="preserve">Table 1 present </w:t>
      </w:r>
      <w:r w:rsidR="003A42F3" w:rsidRPr="003A42F3">
        <w:rPr>
          <w:rFonts w:ascii="Arial" w:hAnsi="Arial" w:cs="Arial"/>
        </w:rPr>
        <w:t>shows the profile of the students in terms of the selected variables.</w:t>
      </w:r>
    </w:p>
    <w:p w14:paraId="70E8F766" w14:textId="77777777" w:rsidR="003A42F3" w:rsidRDefault="003A42F3" w:rsidP="00242D32">
      <w:pPr>
        <w:pStyle w:val="Body"/>
        <w:spacing w:after="0"/>
        <w:rPr>
          <w:rFonts w:ascii="Arial" w:hAnsi="Arial" w:cs="Arial"/>
        </w:rPr>
      </w:pPr>
    </w:p>
    <w:p w14:paraId="3467F772" w14:textId="77777777" w:rsidR="003A42F3" w:rsidRPr="00991752" w:rsidRDefault="00991752" w:rsidP="00991752">
      <w:pPr>
        <w:pStyle w:val="Body"/>
        <w:spacing w:after="0"/>
        <w:jc w:val="center"/>
        <w:rPr>
          <w:rFonts w:ascii="Arial" w:hAnsi="Arial" w:cs="Arial"/>
          <w:b/>
        </w:rPr>
      </w:pPr>
      <w:r w:rsidRPr="00991752">
        <w:rPr>
          <w:rFonts w:ascii="Arial" w:hAnsi="Arial" w:cs="Arial"/>
          <w:b/>
        </w:rPr>
        <w:t>Table 1. Profile of Respondents</w:t>
      </w:r>
    </w:p>
    <w:tbl>
      <w:tblPr>
        <w:tblStyle w:val="TableGrid"/>
        <w:tblW w:w="0" w:type="auto"/>
        <w:tblInd w:w="98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677"/>
        <w:gridCol w:w="1191"/>
      </w:tblGrid>
      <w:tr w:rsidR="001556EF" w:rsidRPr="001556EF" w14:paraId="2EC67A7C" w14:textId="77777777" w:rsidTr="001556EF">
        <w:trPr>
          <w:trHeight w:val="263"/>
        </w:trPr>
        <w:tc>
          <w:tcPr>
            <w:tcW w:w="6095" w:type="dxa"/>
            <w:tcBorders>
              <w:top w:val="single" w:sz="4" w:space="0" w:color="auto"/>
              <w:bottom w:val="single" w:sz="4" w:space="0" w:color="auto"/>
            </w:tcBorders>
            <w:vAlign w:val="center"/>
          </w:tcPr>
          <w:p w14:paraId="138C9FC4"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Profile of Respondents</w:t>
            </w:r>
          </w:p>
        </w:tc>
        <w:tc>
          <w:tcPr>
            <w:tcW w:w="709" w:type="dxa"/>
            <w:tcBorders>
              <w:top w:val="single" w:sz="4" w:space="0" w:color="auto"/>
              <w:bottom w:val="single" w:sz="4" w:space="0" w:color="auto"/>
            </w:tcBorders>
          </w:tcPr>
          <w:p w14:paraId="14D9E365" w14:textId="77777777" w:rsidR="001556EF" w:rsidRPr="001556EF" w:rsidRDefault="001556EF" w:rsidP="003514F8">
            <w:pPr>
              <w:jc w:val="center"/>
              <w:rPr>
                <w:rFonts w:ascii="Arial" w:hAnsi="Arial" w:cs="Arial"/>
                <w:b/>
                <w:bCs/>
                <w:sz w:val="20"/>
                <w:szCs w:val="20"/>
              </w:rPr>
            </w:pPr>
            <m:oMathPara>
              <m:oMath>
                <m:r>
                  <m:rPr>
                    <m:sty m:val="bi"/>
                  </m:rPr>
                  <w:rPr>
                    <w:rFonts w:ascii="Cambria Math" w:hAnsi="Cambria Math" w:cs="Arial"/>
                    <w:sz w:val="20"/>
                    <w:szCs w:val="20"/>
                  </w:rPr>
                  <m:t>f</m:t>
                </m:r>
              </m:oMath>
            </m:oMathPara>
          </w:p>
        </w:tc>
        <w:tc>
          <w:tcPr>
            <w:tcW w:w="1253" w:type="dxa"/>
            <w:tcBorders>
              <w:top w:val="single" w:sz="4" w:space="0" w:color="auto"/>
              <w:bottom w:val="single" w:sz="4" w:space="0" w:color="auto"/>
            </w:tcBorders>
            <w:vAlign w:val="center"/>
          </w:tcPr>
          <w:p w14:paraId="05F54E38" w14:textId="77777777" w:rsidR="001556EF" w:rsidRPr="001556EF" w:rsidRDefault="001556EF" w:rsidP="003514F8">
            <w:pPr>
              <w:jc w:val="center"/>
              <w:rPr>
                <w:rFonts w:ascii="Arial" w:hAnsi="Arial" w:cs="Arial"/>
                <w:b/>
                <w:bCs/>
                <w:sz w:val="20"/>
                <w:szCs w:val="20"/>
              </w:rPr>
            </w:pPr>
            <m:oMathPara>
              <m:oMath>
                <m:r>
                  <m:rPr>
                    <m:sty m:val="bi"/>
                  </m:rPr>
                  <w:rPr>
                    <w:rFonts w:ascii="Cambria Math" w:hAnsi="Cambria Math" w:cs="Arial"/>
                    <w:sz w:val="20"/>
                    <w:szCs w:val="20"/>
                  </w:rPr>
                  <m:t>%</m:t>
                </m:r>
              </m:oMath>
            </m:oMathPara>
          </w:p>
        </w:tc>
      </w:tr>
      <w:tr w:rsidR="001556EF" w:rsidRPr="001556EF" w14:paraId="59F1A281" w14:textId="77777777" w:rsidTr="001556EF">
        <w:trPr>
          <w:trHeight w:val="263"/>
        </w:trPr>
        <w:tc>
          <w:tcPr>
            <w:tcW w:w="6095" w:type="dxa"/>
            <w:tcBorders>
              <w:top w:val="single" w:sz="4" w:space="0" w:color="auto"/>
            </w:tcBorders>
            <w:vAlign w:val="center"/>
          </w:tcPr>
          <w:p w14:paraId="0F55AD1C"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Strand</w:t>
            </w:r>
          </w:p>
        </w:tc>
        <w:tc>
          <w:tcPr>
            <w:tcW w:w="709" w:type="dxa"/>
            <w:tcBorders>
              <w:top w:val="single" w:sz="4" w:space="0" w:color="auto"/>
            </w:tcBorders>
          </w:tcPr>
          <w:p w14:paraId="64DEB847" w14:textId="77777777" w:rsidR="001556EF" w:rsidRPr="001556EF" w:rsidRDefault="001556EF" w:rsidP="003514F8">
            <w:pPr>
              <w:jc w:val="center"/>
              <w:rPr>
                <w:rFonts w:ascii="Arial" w:hAnsi="Arial" w:cs="Arial"/>
                <w:b/>
                <w:bCs/>
                <w:sz w:val="20"/>
                <w:szCs w:val="20"/>
              </w:rPr>
            </w:pPr>
          </w:p>
        </w:tc>
        <w:tc>
          <w:tcPr>
            <w:tcW w:w="1253" w:type="dxa"/>
            <w:tcBorders>
              <w:top w:val="single" w:sz="4" w:space="0" w:color="auto"/>
            </w:tcBorders>
            <w:vAlign w:val="center"/>
          </w:tcPr>
          <w:p w14:paraId="4F5062F8" w14:textId="77777777" w:rsidR="001556EF" w:rsidRPr="001556EF" w:rsidRDefault="001556EF" w:rsidP="003514F8">
            <w:pPr>
              <w:jc w:val="center"/>
              <w:rPr>
                <w:rFonts w:ascii="Arial" w:hAnsi="Arial" w:cs="Arial"/>
                <w:b/>
                <w:bCs/>
                <w:sz w:val="20"/>
                <w:szCs w:val="20"/>
              </w:rPr>
            </w:pPr>
          </w:p>
        </w:tc>
      </w:tr>
      <w:tr w:rsidR="001556EF" w:rsidRPr="001556EF" w14:paraId="76D4B953" w14:textId="77777777" w:rsidTr="001556EF">
        <w:trPr>
          <w:trHeight w:val="272"/>
        </w:trPr>
        <w:tc>
          <w:tcPr>
            <w:tcW w:w="6095" w:type="dxa"/>
            <w:vAlign w:val="center"/>
          </w:tcPr>
          <w:p w14:paraId="25F4039C"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STEM</w:t>
            </w:r>
          </w:p>
        </w:tc>
        <w:tc>
          <w:tcPr>
            <w:tcW w:w="709" w:type="dxa"/>
          </w:tcPr>
          <w:p w14:paraId="1D3B3BDC"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32</w:t>
            </w:r>
          </w:p>
        </w:tc>
        <w:tc>
          <w:tcPr>
            <w:tcW w:w="1253" w:type="dxa"/>
            <w:vAlign w:val="center"/>
          </w:tcPr>
          <w:p w14:paraId="047425A4"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38.55</w:t>
            </w:r>
          </w:p>
        </w:tc>
      </w:tr>
      <w:tr w:rsidR="001556EF" w:rsidRPr="001556EF" w14:paraId="71C0EB4A" w14:textId="77777777" w:rsidTr="001556EF">
        <w:trPr>
          <w:trHeight w:val="263"/>
        </w:trPr>
        <w:tc>
          <w:tcPr>
            <w:tcW w:w="6095" w:type="dxa"/>
            <w:vAlign w:val="center"/>
          </w:tcPr>
          <w:p w14:paraId="59D6A08F"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GAS</w:t>
            </w:r>
          </w:p>
        </w:tc>
        <w:tc>
          <w:tcPr>
            <w:tcW w:w="709" w:type="dxa"/>
          </w:tcPr>
          <w:p w14:paraId="19DA6E16"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51</w:t>
            </w:r>
          </w:p>
        </w:tc>
        <w:tc>
          <w:tcPr>
            <w:tcW w:w="1253" w:type="dxa"/>
            <w:vAlign w:val="center"/>
          </w:tcPr>
          <w:p w14:paraId="6BBDF730"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61.45</w:t>
            </w:r>
          </w:p>
        </w:tc>
      </w:tr>
      <w:tr w:rsidR="001556EF" w:rsidRPr="001556EF" w14:paraId="5ECF120A" w14:textId="77777777" w:rsidTr="001556EF">
        <w:trPr>
          <w:trHeight w:val="263"/>
        </w:trPr>
        <w:tc>
          <w:tcPr>
            <w:tcW w:w="6095" w:type="dxa"/>
          </w:tcPr>
          <w:p w14:paraId="110F63A8"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Total</w:t>
            </w:r>
          </w:p>
        </w:tc>
        <w:tc>
          <w:tcPr>
            <w:tcW w:w="709" w:type="dxa"/>
          </w:tcPr>
          <w:p w14:paraId="166EDB8E"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83</w:t>
            </w:r>
          </w:p>
        </w:tc>
        <w:tc>
          <w:tcPr>
            <w:tcW w:w="1253" w:type="dxa"/>
          </w:tcPr>
          <w:p w14:paraId="35E9A0EA"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100</w:t>
            </w:r>
          </w:p>
        </w:tc>
      </w:tr>
      <w:tr w:rsidR="001556EF" w:rsidRPr="001556EF" w14:paraId="70AA3C47" w14:textId="77777777" w:rsidTr="001556EF">
        <w:trPr>
          <w:trHeight w:val="263"/>
        </w:trPr>
        <w:tc>
          <w:tcPr>
            <w:tcW w:w="6095" w:type="dxa"/>
          </w:tcPr>
          <w:p w14:paraId="48F3EC17"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Academic Grade in General Mathematics</w:t>
            </w:r>
          </w:p>
        </w:tc>
        <w:tc>
          <w:tcPr>
            <w:tcW w:w="709" w:type="dxa"/>
          </w:tcPr>
          <w:p w14:paraId="50B4FBC1" w14:textId="77777777" w:rsidR="001556EF" w:rsidRPr="001556EF" w:rsidRDefault="001556EF" w:rsidP="003514F8">
            <w:pPr>
              <w:jc w:val="center"/>
              <w:rPr>
                <w:rFonts w:ascii="Arial" w:hAnsi="Arial" w:cs="Arial"/>
                <w:b/>
                <w:bCs/>
                <w:sz w:val="20"/>
                <w:szCs w:val="20"/>
              </w:rPr>
            </w:pPr>
          </w:p>
        </w:tc>
        <w:tc>
          <w:tcPr>
            <w:tcW w:w="1253" w:type="dxa"/>
          </w:tcPr>
          <w:p w14:paraId="4A2B0D4E" w14:textId="77777777" w:rsidR="001556EF" w:rsidRPr="001556EF" w:rsidRDefault="001556EF" w:rsidP="003514F8">
            <w:pPr>
              <w:jc w:val="center"/>
              <w:rPr>
                <w:rFonts w:ascii="Arial" w:hAnsi="Arial" w:cs="Arial"/>
                <w:b/>
                <w:bCs/>
                <w:sz w:val="20"/>
                <w:szCs w:val="20"/>
              </w:rPr>
            </w:pPr>
          </w:p>
        </w:tc>
      </w:tr>
      <w:tr w:rsidR="001556EF" w:rsidRPr="001556EF" w14:paraId="4B3BAF45" w14:textId="77777777" w:rsidTr="001556EF">
        <w:trPr>
          <w:trHeight w:val="263"/>
        </w:trPr>
        <w:tc>
          <w:tcPr>
            <w:tcW w:w="6095" w:type="dxa"/>
            <w:vAlign w:val="center"/>
          </w:tcPr>
          <w:p w14:paraId="4DD772EB"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Outstanding</w:t>
            </w:r>
          </w:p>
        </w:tc>
        <w:tc>
          <w:tcPr>
            <w:tcW w:w="709" w:type="dxa"/>
            <w:vAlign w:val="center"/>
          </w:tcPr>
          <w:p w14:paraId="5D60766A"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23</w:t>
            </w:r>
          </w:p>
        </w:tc>
        <w:tc>
          <w:tcPr>
            <w:tcW w:w="1253" w:type="dxa"/>
            <w:vAlign w:val="bottom"/>
          </w:tcPr>
          <w:p w14:paraId="58ABA091"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27.71</w:t>
            </w:r>
          </w:p>
        </w:tc>
      </w:tr>
      <w:tr w:rsidR="001556EF" w:rsidRPr="001556EF" w14:paraId="7438E6A2" w14:textId="77777777" w:rsidTr="001556EF">
        <w:trPr>
          <w:trHeight w:val="263"/>
        </w:trPr>
        <w:tc>
          <w:tcPr>
            <w:tcW w:w="6095" w:type="dxa"/>
            <w:vAlign w:val="center"/>
          </w:tcPr>
          <w:p w14:paraId="4BBFC6AD"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Very Satisfactory</w:t>
            </w:r>
          </w:p>
        </w:tc>
        <w:tc>
          <w:tcPr>
            <w:tcW w:w="709" w:type="dxa"/>
            <w:vAlign w:val="center"/>
          </w:tcPr>
          <w:p w14:paraId="1735C82C"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20</w:t>
            </w:r>
          </w:p>
        </w:tc>
        <w:tc>
          <w:tcPr>
            <w:tcW w:w="1253" w:type="dxa"/>
            <w:vAlign w:val="bottom"/>
          </w:tcPr>
          <w:p w14:paraId="054CF3FD"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24.10</w:t>
            </w:r>
          </w:p>
        </w:tc>
      </w:tr>
      <w:tr w:rsidR="001556EF" w:rsidRPr="001556EF" w14:paraId="3363D598" w14:textId="77777777" w:rsidTr="001556EF">
        <w:trPr>
          <w:trHeight w:val="263"/>
        </w:trPr>
        <w:tc>
          <w:tcPr>
            <w:tcW w:w="6095" w:type="dxa"/>
            <w:vAlign w:val="center"/>
          </w:tcPr>
          <w:p w14:paraId="45F4B7C2"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Satisfactory</w:t>
            </w:r>
          </w:p>
        </w:tc>
        <w:tc>
          <w:tcPr>
            <w:tcW w:w="709" w:type="dxa"/>
            <w:vAlign w:val="center"/>
          </w:tcPr>
          <w:p w14:paraId="583A5E53"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29</w:t>
            </w:r>
          </w:p>
        </w:tc>
        <w:tc>
          <w:tcPr>
            <w:tcW w:w="1253" w:type="dxa"/>
            <w:vAlign w:val="bottom"/>
          </w:tcPr>
          <w:p w14:paraId="52416F9E"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34.94</w:t>
            </w:r>
          </w:p>
        </w:tc>
      </w:tr>
      <w:tr w:rsidR="001556EF" w:rsidRPr="001556EF" w14:paraId="44D3DC9F" w14:textId="77777777" w:rsidTr="001556EF">
        <w:trPr>
          <w:trHeight w:val="263"/>
        </w:trPr>
        <w:tc>
          <w:tcPr>
            <w:tcW w:w="6095" w:type="dxa"/>
            <w:vAlign w:val="center"/>
          </w:tcPr>
          <w:p w14:paraId="1805EFDA"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Fairly Satisfactory</w:t>
            </w:r>
          </w:p>
        </w:tc>
        <w:tc>
          <w:tcPr>
            <w:tcW w:w="709" w:type="dxa"/>
            <w:vAlign w:val="center"/>
          </w:tcPr>
          <w:p w14:paraId="36CF4A8C"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11</w:t>
            </w:r>
          </w:p>
        </w:tc>
        <w:tc>
          <w:tcPr>
            <w:tcW w:w="1253" w:type="dxa"/>
            <w:vAlign w:val="bottom"/>
          </w:tcPr>
          <w:p w14:paraId="496BBA38"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13.25</w:t>
            </w:r>
          </w:p>
        </w:tc>
      </w:tr>
      <w:tr w:rsidR="001556EF" w:rsidRPr="001556EF" w14:paraId="5BAFD552" w14:textId="77777777" w:rsidTr="001556EF">
        <w:trPr>
          <w:trHeight w:val="263"/>
        </w:trPr>
        <w:tc>
          <w:tcPr>
            <w:tcW w:w="6095" w:type="dxa"/>
          </w:tcPr>
          <w:p w14:paraId="0EC39748"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Total</w:t>
            </w:r>
          </w:p>
        </w:tc>
        <w:tc>
          <w:tcPr>
            <w:tcW w:w="709" w:type="dxa"/>
          </w:tcPr>
          <w:p w14:paraId="008F5EA1"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83</w:t>
            </w:r>
          </w:p>
        </w:tc>
        <w:tc>
          <w:tcPr>
            <w:tcW w:w="1253" w:type="dxa"/>
          </w:tcPr>
          <w:p w14:paraId="172E062E"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100</w:t>
            </w:r>
          </w:p>
        </w:tc>
      </w:tr>
      <w:tr w:rsidR="001556EF" w:rsidRPr="001556EF" w14:paraId="4F9B3EAD" w14:textId="77777777" w:rsidTr="001556EF">
        <w:trPr>
          <w:trHeight w:val="263"/>
        </w:trPr>
        <w:tc>
          <w:tcPr>
            <w:tcW w:w="6095" w:type="dxa"/>
          </w:tcPr>
          <w:p w14:paraId="0397A27E"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Preferred Learning Style</w:t>
            </w:r>
          </w:p>
        </w:tc>
        <w:tc>
          <w:tcPr>
            <w:tcW w:w="709" w:type="dxa"/>
          </w:tcPr>
          <w:p w14:paraId="6B416295" w14:textId="77777777" w:rsidR="001556EF" w:rsidRPr="001556EF" w:rsidRDefault="001556EF" w:rsidP="003514F8">
            <w:pPr>
              <w:jc w:val="center"/>
              <w:rPr>
                <w:rFonts w:ascii="Arial" w:hAnsi="Arial" w:cs="Arial"/>
                <w:b/>
                <w:bCs/>
                <w:sz w:val="20"/>
                <w:szCs w:val="20"/>
              </w:rPr>
            </w:pPr>
          </w:p>
        </w:tc>
        <w:tc>
          <w:tcPr>
            <w:tcW w:w="1253" w:type="dxa"/>
          </w:tcPr>
          <w:p w14:paraId="466FF1C7" w14:textId="77777777" w:rsidR="001556EF" w:rsidRPr="001556EF" w:rsidRDefault="001556EF" w:rsidP="003514F8">
            <w:pPr>
              <w:jc w:val="center"/>
              <w:rPr>
                <w:rFonts w:ascii="Arial" w:hAnsi="Arial" w:cs="Arial"/>
                <w:b/>
                <w:bCs/>
                <w:sz w:val="20"/>
                <w:szCs w:val="20"/>
              </w:rPr>
            </w:pPr>
          </w:p>
        </w:tc>
      </w:tr>
      <w:tr w:rsidR="001556EF" w:rsidRPr="001556EF" w14:paraId="61C8E2C2" w14:textId="77777777" w:rsidTr="001556EF">
        <w:trPr>
          <w:trHeight w:val="263"/>
        </w:trPr>
        <w:tc>
          <w:tcPr>
            <w:tcW w:w="6095" w:type="dxa"/>
          </w:tcPr>
          <w:p w14:paraId="11C05575"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 xml:space="preserve">Visual </w:t>
            </w:r>
          </w:p>
        </w:tc>
        <w:tc>
          <w:tcPr>
            <w:tcW w:w="709" w:type="dxa"/>
            <w:vAlign w:val="center"/>
          </w:tcPr>
          <w:p w14:paraId="1A9B1E7B"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26</w:t>
            </w:r>
          </w:p>
        </w:tc>
        <w:tc>
          <w:tcPr>
            <w:tcW w:w="1253" w:type="dxa"/>
            <w:vAlign w:val="bottom"/>
          </w:tcPr>
          <w:p w14:paraId="4BED1845"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31.33</w:t>
            </w:r>
          </w:p>
        </w:tc>
      </w:tr>
      <w:tr w:rsidR="001556EF" w:rsidRPr="001556EF" w14:paraId="7C8DAFCA" w14:textId="77777777" w:rsidTr="001556EF">
        <w:trPr>
          <w:trHeight w:val="263"/>
        </w:trPr>
        <w:tc>
          <w:tcPr>
            <w:tcW w:w="6095" w:type="dxa"/>
          </w:tcPr>
          <w:p w14:paraId="72B0288E"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 xml:space="preserve">Auditory </w:t>
            </w:r>
          </w:p>
        </w:tc>
        <w:tc>
          <w:tcPr>
            <w:tcW w:w="709" w:type="dxa"/>
            <w:vAlign w:val="center"/>
          </w:tcPr>
          <w:p w14:paraId="6B10C7FE"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6</w:t>
            </w:r>
          </w:p>
        </w:tc>
        <w:tc>
          <w:tcPr>
            <w:tcW w:w="1253" w:type="dxa"/>
            <w:vAlign w:val="bottom"/>
          </w:tcPr>
          <w:p w14:paraId="7DD55793"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7.23</w:t>
            </w:r>
          </w:p>
        </w:tc>
      </w:tr>
      <w:tr w:rsidR="001556EF" w:rsidRPr="001556EF" w14:paraId="75693746" w14:textId="77777777" w:rsidTr="001556EF">
        <w:trPr>
          <w:trHeight w:val="263"/>
        </w:trPr>
        <w:tc>
          <w:tcPr>
            <w:tcW w:w="6095" w:type="dxa"/>
          </w:tcPr>
          <w:p w14:paraId="629DCF4B"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 xml:space="preserve">Reading/Writing </w:t>
            </w:r>
          </w:p>
        </w:tc>
        <w:tc>
          <w:tcPr>
            <w:tcW w:w="709" w:type="dxa"/>
            <w:vAlign w:val="center"/>
          </w:tcPr>
          <w:p w14:paraId="5B265446"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50</w:t>
            </w:r>
          </w:p>
        </w:tc>
        <w:tc>
          <w:tcPr>
            <w:tcW w:w="1253" w:type="dxa"/>
            <w:vAlign w:val="bottom"/>
          </w:tcPr>
          <w:p w14:paraId="687BEE13"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60.24</w:t>
            </w:r>
          </w:p>
        </w:tc>
      </w:tr>
      <w:tr w:rsidR="001556EF" w:rsidRPr="001556EF" w14:paraId="17363967" w14:textId="77777777" w:rsidTr="001556EF">
        <w:trPr>
          <w:trHeight w:val="263"/>
        </w:trPr>
        <w:tc>
          <w:tcPr>
            <w:tcW w:w="6095" w:type="dxa"/>
          </w:tcPr>
          <w:p w14:paraId="607A799B"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Kinesthetic</w:t>
            </w:r>
          </w:p>
        </w:tc>
        <w:tc>
          <w:tcPr>
            <w:tcW w:w="709" w:type="dxa"/>
            <w:vAlign w:val="center"/>
          </w:tcPr>
          <w:p w14:paraId="55980ED7"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w:t>
            </w:r>
          </w:p>
        </w:tc>
        <w:tc>
          <w:tcPr>
            <w:tcW w:w="1253" w:type="dxa"/>
            <w:vAlign w:val="bottom"/>
          </w:tcPr>
          <w:p w14:paraId="457E3EA6"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1.20</w:t>
            </w:r>
          </w:p>
        </w:tc>
      </w:tr>
      <w:tr w:rsidR="001556EF" w:rsidRPr="001556EF" w14:paraId="2201D8D9" w14:textId="77777777" w:rsidTr="001556EF">
        <w:trPr>
          <w:trHeight w:val="263"/>
        </w:trPr>
        <w:tc>
          <w:tcPr>
            <w:tcW w:w="6095" w:type="dxa"/>
          </w:tcPr>
          <w:p w14:paraId="1644E8C1" w14:textId="77777777" w:rsidR="001556EF" w:rsidRPr="001556EF" w:rsidRDefault="001556EF" w:rsidP="003514F8">
            <w:pPr>
              <w:jc w:val="center"/>
              <w:rPr>
                <w:rFonts w:ascii="Arial" w:hAnsi="Arial" w:cs="Arial"/>
                <w:sz w:val="20"/>
                <w:szCs w:val="20"/>
              </w:rPr>
            </w:pPr>
            <w:r w:rsidRPr="001556EF">
              <w:rPr>
                <w:rFonts w:ascii="Arial" w:hAnsi="Arial" w:cs="Arial"/>
                <w:b/>
                <w:bCs/>
                <w:sz w:val="20"/>
                <w:szCs w:val="20"/>
              </w:rPr>
              <w:t>Total</w:t>
            </w:r>
          </w:p>
        </w:tc>
        <w:tc>
          <w:tcPr>
            <w:tcW w:w="709" w:type="dxa"/>
          </w:tcPr>
          <w:p w14:paraId="6CA200C3"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83</w:t>
            </w:r>
          </w:p>
        </w:tc>
        <w:tc>
          <w:tcPr>
            <w:tcW w:w="1253" w:type="dxa"/>
          </w:tcPr>
          <w:p w14:paraId="1E043214"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100</w:t>
            </w:r>
          </w:p>
        </w:tc>
      </w:tr>
      <w:tr w:rsidR="001556EF" w:rsidRPr="001556EF" w14:paraId="11BE38A1" w14:textId="77777777" w:rsidTr="001556EF">
        <w:trPr>
          <w:trHeight w:val="263"/>
        </w:trPr>
        <w:tc>
          <w:tcPr>
            <w:tcW w:w="6095" w:type="dxa"/>
          </w:tcPr>
          <w:p w14:paraId="3BE8BD6C"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Availability of Learning Resources at Home</w:t>
            </w:r>
          </w:p>
        </w:tc>
        <w:tc>
          <w:tcPr>
            <w:tcW w:w="709" w:type="dxa"/>
          </w:tcPr>
          <w:p w14:paraId="6AB7A1BD" w14:textId="77777777" w:rsidR="001556EF" w:rsidRPr="001556EF" w:rsidRDefault="001556EF" w:rsidP="003514F8">
            <w:pPr>
              <w:jc w:val="center"/>
              <w:rPr>
                <w:rFonts w:ascii="Arial" w:hAnsi="Arial" w:cs="Arial"/>
                <w:b/>
                <w:bCs/>
                <w:sz w:val="20"/>
                <w:szCs w:val="20"/>
              </w:rPr>
            </w:pPr>
          </w:p>
        </w:tc>
        <w:tc>
          <w:tcPr>
            <w:tcW w:w="1253" w:type="dxa"/>
          </w:tcPr>
          <w:p w14:paraId="21C4B0C5" w14:textId="77777777" w:rsidR="001556EF" w:rsidRPr="001556EF" w:rsidRDefault="001556EF" w:rsidP="003514F8">
            <w:pPr>
              <w:jc w:val="center"/>
              <w:rPr>
                <w:rFonts w:ascii="Arial" w:hAnsi="Arial" w:cs="Arial"/>
                <w:b/>
                <w:bCs/>
                <w:sz w:val="20"/>
                <w:szCs w:val="20"/>
              </w:rPr>
            </w:pPr>
          </w:p>
        </w:tc>
      </w:tr>
      <w:tr w:rsidR="001556EF" w:rsidRPr="001556EF" w14:paraId="30A63A6E" w14:textId="77777777" w:rsidTr="001556EF">
        <w:trPr>
          <w:trHeight w:val="263"/>
        </w:trPr>
        <w:tc>
          <w:tcPr>
            <w:tcW w:w="6095" w:type="dxa"/>
            <w:vAlign w:val="center"/>
          </w:tcPr>
          <w:p w14:paraId="498F41C5"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Internet</w:t>
            </w:r>
          </w:p>
        </w:tc>
        <w:tc>
          <w:tcPr>
            <w:tcW w:w="709" w:type="dxa"/>
            <w:vAlign w:val="bottom"/>
          </w:tcPr>
          <w:p w14:paraId="17DAEEC5"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83</w:t>
            </w:r>
          </w:p>
        </w:tc>
        <w:tc>
          <w:tcPr>
            <w:tcW w:w="1253" w:type="dxa"/>
            <w:vAlign w:val="bottom"/>
          </w:tcPr>
          <w:p w14:paraId="4506CAFE"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100%</w:t>
            </w:r>
          </w:p>
        </w:tc>
      </w:tr>
      <w:tr w:rsidR="001556EF" w:rsidRPr="001556EF" w14:paraId="6E947229" w14:textId="77777777" w:rsidTr="001556EF">
        <w:trPr>
          <w:trHeight w:val="263"/>
        </w:trPr>
        <w:tc>
          <w:tcPr>
            <w:tcW w:w="6095" w:type="dxa"/>
            <w:vAlign w:val="bottom"/>
          </w:tcPr>
          <w:p w14:paraId="741C64BA"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lastRenderedPageBreak/>
              <w:t>Computer</w:t>
            </w:r>
          </w:p>
        </w:tc>
        <w:tc>
          <w:tcPr>
            <w:tcW w:w="709" w:type="dxa"/>
            <w:vAlign w:val="bottom"/>
          </w:tcPr>
          <w:p w14:paraId="00511A73"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13</w:t>
            </w:r>
          </w:p>
        </w:tc>
        <w:tc>
          <w:tcPr>
            <w:tcW w:w="1253" w:type="dxa"/>
            <w:vAlign w:val="bottom"/>
          </w:tcPr>
          <w:p w14:paraId="42707064"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16%</w:t>
            </w:r>
          </w:p>
        </w:tc>
      </w:tr>
      <w:tr w:rsidR="001556EF" w:rsidRPr="001556EF" w14:paraId="0A33161B" w14:textId="77777777" w:rsidTr="001556EF">
        <w:trPr>
          <w:trHeight w:val="263"/>
        </w:trPr>
        <w:tc>
          <w:tcPr>
            <w:tcW w:w="6095" w:type="dxa"/>
            <w:vAlign w:val="bottom"/>
          </w:tcPr>
          <w:p w14:paraId="4FEC8235"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Smartphone</w:t>
            </w:r>
          </w:p>
        </w:tc>
        <w:tc>
          <w:tcPr>
            <w:tcW w:w="709" w:type="dxa"/>
            <w:vAlign w:val="bottom"/>
          </w:tcPr>
          <w:p w14:paraId="3F4C1A13"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83</w:t>
            </w:r>
          </w:p>
        </w:tc>
        <w:tc>
          <w:tcPr>
            <w:tcW w:w="1253" w:type="dxa"/>
            <w:vAlign w:val="bottom"/>
          </w:tcPr>
          <w:p w14:paraId="6591172D"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100%</w:t>
            </w:r>
          </w:p>
        </w:tc>
      </w:tr>
      <w:tr w:rsidR="001556EF" w:rsidRPr="001556EF" w14:paraId="028D32D7" w14:textId="77777777" w:rsidTr="001556EF">
        <w:trPr>
          <w:trHeight w:val="263"/>
        </w:trPr>
        <w:tc>
          <w:tcPr>
            <w:tcW w:w="6095" w:type="dxa"/>
            <w:vAlign w:val="bottom"/>
          </w:tcPr>
          <w:p w14:paraId="64E3CDD7" w14:textId="77777777" w:rsidR="001556EF" w:rsidRPr="001556EF" w:rsidRDefault="001556EF" w:rsidP="003514F8">
            <w:pPr>
              <w:jc w:val="center"/>
              <w:rPr>
                <w:rFonts w:ascii="Arial" w:hAnsi="Arial" w:cs="Arial"/>
                <w:color w:val="000000"/>
                <w:sz w:val="20"/>
                <w:szCs w:val="20"/>
              </w:rPr>
            </w:pPr>
            <w:r w:rsidRPr="001556EF">
              <w:rPr>
                <w:rFonts w:ascii="Arial" w:hAnsi="Arial" w:cs="Arial"/>
                <w:color w:val="000000"/>
                <w:sz w:val="20"/>
                <w:szCs w:val="20"/>
              </w:rPr>
              <w:t>Calculator</w:t>
            </w:r>
          </w:p>
        </w:tc>
        <w:tc>
          <w:tcPr>
            <w:tcW w:w="709" w:type="dxa"/>
            <w:vAlign w:val="bottom"/>
          </w:tcPr>
          <w:p w14:paraId="125CAE9D"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43</w:t>
            </w:r>
          </w:p>
        </w:tc>
        <w:tc>
          <w:tcPr>
            <w:tcW w:w="1253" w:type="dxa"/>
            <w:vAlign w:val="bottom"/>
          </w:tcPr>
          <w:p w14:paraId="08A37A08"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52%</w:t>
            </w:r>
          </w:p>
        </w:tc>
      </w:tr>
      <w:tr w:rsidR="001556EF" w:rsidRPr="001556EF" w14:paraId="0D82FBB3" w14:textId="77777777" w:rsidTr="00991752">
        <w:trPr>
          <w:trHeight w:val="263"/>
        </w:trPr>
        <w:tc>
          <w:tcPr>
            <w:tcW w:w="6095" w:type="dxa"/>
            <w:tcBorders>
              <w:bottom w:val="nil"/>
            </w:tcBorders>
            <w:vAlign w:val="bottom"/>
          </w:tcPr>
          <w:p w14:paraId="7DE422D7" w14:textId="77777777" w:rsidR="001556EF" w:rsidRPr="001556EF" w:rsidRDefault="001556EF" w:rsidP="003514F8">
            <w:pPr>
              <w:jc w:val="center"/>
              <w:rPr>
                <w:rFonts w:ascii="Arial" w:hAnsi="Arial" w:cs="Arial"/>
                <w:color w:val="000000"/>
                <w:sz w:val="20"/>
                <w:szCs w:val="20"/>
              </w:rPr>
            </w:pPr>
            <w:r w:rsidRPr="001556EF">
              <w:rPr>
                <w:rFonts w:ascii="Arial" w:hAnsi="Arial" w:cs="Arial"/>
                <w:color w:val="000000"/>
                <w:sz w:val="20"/>
                <w:szCs w:val="20"/>
              </w:rPr>
              <w:t>Textbook</w:t>
            </w:r>
          </w:p>
        </w:tc>
        <w:tc>
          <w:tcPr>
            <w:tcW w:w="709" w:type="dxa"/>
            <w:tcBorders>
              <w:bottom w:val="nil"/>
            </w:tcBorders>
            <w:vAlign w:val="bottom"/>
          </w:tcPr>
          <w:p w14:paraId="34198FEA"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9</w:t>
            </w:r>
          </w:p>
        </w:tc>
        <w:tc>
          <w:tcPr>
            <w:tcW w:w="1253" w:type="dxa"/>
            <w:tcBorders>
              <w:bottom w:val="nil"/>
            </w:tcBorders>
            <w:vAlign w:val="bottom"/>
          </w:tcPr>
          <w:p w14:paraId="53B2CD83"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11%</w:t>
            </w:r>
          </w:p>
        </w:tc>
      </w:tr>
      <w:tr w:rsidR="001556EF" w:rsidRPr="001556EF" w14:paraId="704D791C" w14:textId="77777777" w:rsidTr="00991752">
        <w:trPr>
          <w:trHeight w:val="263"/>
        </w:trPr>
        <w:tc>
          <w:tcPr>
            <w:tcW w:w="6095" w:type="dxa"/>
            <w:tcBorders>
              <w:top w:val="nil"/>
              <w:bottom w:val="single" w:sz="4" w:space="0" w:color="auto"/>
            </w:tcBorders>
            <w:vAlign w:val="bottom"/>
          </w:tcPr>
          <w:p w14:paraId="74FEC516" w14:textId="77777777" w:rsidR="001556EF" w:rsidRPr="001556EF" w:rsidRDefault="001556EF" w:rsidP="003514F8">
            <w:pPr>
              <w:jc w:val="center"/>
              <w:rPr>
                <w:rFonts w:ascii="Arial" w:hAnsi="Arial" w:cs="Arial"/>
                <w:color w:val="000000"/>
                <w:sz w:val="20"/>
                <w:szCs w:val="20"/>
              </w:rPr>
            </w:pPr>
            <w:r w:rsidRPr="001556EF">
              <w:rPr>
                <w:rFonts w:ascii="Arial" w:hAnsi="Arial" w:cs="Arial"/>
                <w:color w:val="000000"/>
                <w:sz w:val="20"/>
                <w:szCs w:val="20"/>
              </w:rPr>
              <w:t>Study space</w:t>
            </w:r>
          </w:p>
        </w:tc>
        <w:tc>
          <w:tcPr>
            <w:tcW w:w="709" w:type="dxa"/>
            <w:tcBorders>
              <w:top w:val="nil"/>
              <w:bottom w:val="single" w:sz="4" w:space="0" w:color="auto"/>
            </w:tcBorders>
            <w:vAlign w:val="bottom"/>
          </w:tcPr>
          <w:p w14:paraId="6CDBCCA2"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22</w:t>
            </w:r>
          </w:p>
        </w:tc>
        <w:tc>
          <w:tcPr>
            <w:tcW w:w="1253" w:type="dxa"/>
            <w:tcBorders>
              <w:top w:val="nil"/>
              <w:bottom w:val="single" w:sz="4" w:space="0" w:color="auto"/>
            </w:tcBorders>
            <w:vAlign w:val="bottom"/>
          </w:tcPr>
          <w:p w14:paraId="47465591"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27%</w:t>
            </w:r>
          </w:p>
        </w:tc>
      </w:tr>
    </w:tbl>
    <w:p w14:paraId="672C146A" w14:textId="77777777" w:rsidR="00790ADA" w:rsidRDefault="00790ADA" w:rsidP="00441B6F">
      <w:pPr>
        <w:pStyle w:val="Body"/>
        <w:spacing w:after="0"/>
        <w:rPr>
          <w:rFonts w:ascii="Arial" w:hAnsi="Arial" w:cs="Arial"/>
        </w:rPr>
      </w:pPr>
    </w:p>
    <w:p w14:paraId="2118206B" w14:textId="77777777" w:rsidR="00137FAC" w:rsidRDefault="00137FAC" w:rsidP="00137FAC">
      <w:pPr>
        <w:autoSpaceDE w:val="0"/>
        <w:autoSpaceDN w:val="0"/>
        <w:adjustRightInd w:val="0"/>
        <w:jc w:val="both"/>
        <w:rPr>
          <w:rFonts w:ascii="Arial" w:hAnsi="Arial" w:cs="Arial"/>
        </w:rPr>
      </w:pPr>
      <w:r w:rsidRPr="00137FAC">
        <w:rPr>
          <w:rFonts w:ascii="Arial" w:hAnsi="Arial" w:cs="Arial"/>
          <w:b/>
          <w:i/>
        </w:rPr>
        <w:t>Strand.</w:t>
      </w:r>
      <w:r w:rsidRPr="00137FAC">
        <w:rPr>
          <w:rFonts w:ascii="Arial" w:hAnsi="Arial" w:cs="Arial"/>
        </w:rPr>
        <w:t xml:space="preserve"> The table shows that among the 83 responses, the majority belong to the GAS strand, totaling 51 (61.45%.) students. Meanwhile, 32 students (38.55%) are enrolled in the STEM strand, making them the smaller group. This distribution demonstrates that GAS has a substantially higher population in </w:t>
      </w:r>
      <w:proofErr w:type="spellStart"/>
      <w:r w:rsidRPr="00137FAC">
        <w:rPr>
          <w:rFonts w:ascii="Arial" w:hAnsi="Arial" w:cs="Arial"/>
        </w:rPr>
        <w:t>Mabilbila</w:t>
      </w:r>
      <w:proofErr w:type="spellEnd"/>
      <w:r w:rsidRPr="00137FAC">
        <w:rPr>
          <w:rFonts w:ascii="Arial" w:hAnsi="Arial" w:cs="Arial"/>
        </w:rPr>
        <w:t xml:space="preserve"> Integrated School, which accords with national enrollment patterns where flexible and non-specialized courses such as GAS frequently draw more pupils. As a result, future data on student involvement may reflect more strongly the learning practices, interests, and academic attributes often associated with GAS learners. This imbalance may also reflect disparities in class size, resource allocation, and teaching styles among strands. The tendency is congruent with the findings of Gonzales (2024), who observed that the GAS strand generally had higher enrollment rates in many Philippine senior high schools, contributing to more diversified learner profiles and engagement patterns</w:t>
      </w:r>
    </w:p>
    <w:p w14:paraId="35A070A7" w14:textId="77777777" w:rsidR="00137FAC" w:rsidRPr="00137FAC" w:rsidRDefault="00137FAC" w:rsidP="00137FAC">
      <w:pPr>
        <w:autoSpaceDE w:val="0"/>
        <w:autoSpaceDN w:val="0"/>
        <w:adjustRightInd w:val="0"/>
        <w:jc w:val="both"/>
        <w:rPr>
          <w:rFonts w:ascii="Arial" w:hAnsi="Arial" w:cs="Arial"/>
        </w:rPr>
      </w:pPr>
    </w:p>
    <w:p w14:paraId="670E90F4" w14:textId="77777777" w:rsidR="002D5537" w:rsidRDefault="00137FAC" w:rsidP="00137FAC">
      <w:pPr>
        <w:autoSpaceDE w:val="0"/>
        <w:autoSpaceDN w:val="0"/>
        <w:adjustRightInd w:val="0"/>
        <w:jc w:val="both"/>
        <w:rPr>
          <w:rFonts w:ascii="Arial" w:hAnsi="Arial" w:cs="Arial"/>
        </w:rPr>
      </w:pPr>
      <w:r w:rsidRPr="00137FAC">
        <w:rPr>
          <w:rFonts w:ascii="Arial" w:hAnsi="Arial" w:cs="Arial"/>
          <w:b/>
          <w:i/>
        </w:rPr>
        <w:t>Academic Grade in General Mathematics</w:t>
      </w:r>
      <w:r w:rsidRPr="00137FAC">
        <w:rPr>
          <w:rFonts w:ascii="Arial" w:hAnsi="Arial" w:cs="Arial"/>
        </w:rPr>
        <w:t xml:space="preserve">. As reported in Table </w:t>
      </w:r>
      <w:r w:rsidR="002D5537">
        <w:rPr>
          <w:rFonts w:ascii="Arial" w:hAnsi="Arial" w:cs="Arial"/>
        </w:rPr>
        <w:t>1</w:t>
      </w:r>
      <w:r w:rsidRPr="00137FAC">
        <w:rPr>
          <w:rFonts w:ascii="Arial" w:hAnsi="Arial" w:cs="Arial"/>
        </w:rPr>
        <w:t xml:space="preserve">, the biggest proportion of students, 29 (34.94%), got a Satisfactory grade in General Mathematics. This is followed by 23 (27.71%) who obtained Outstanding, and 20 (24.10%) classified as Very Satisfactory. Meanwhile, 11 pupils (13.25%) scored Fairly Satisfactory, and no respondent failed the subject. The majority of pupils fall within the Satisfactory to Outstanding range, suggesting generally positive academic achievement. This shows that responders have core competencies that may relate to higher levels of involvement in the issue. The absence of children failing General Mathematics shows that the group likely has enough support mechanisms, motivation, or instructional exposure. This corresponds with studies by Fung, F., Tan, C. Y., &amp; Chen, G. (2018), who showed that pupils with superior academic backgrounds tend to demonstrate higher engagement levels in Mathematics. </w:t>
      </w:r>
    </w:p>
    <w:p w14:paraId="34DBDC20" w14:textId="77777777" w:rsidR="00137FAC" w:rsidRPr="00137FAC" w:rsidRDefault="00137FAC" w:rsidP="00137FAC">
      <w:pPr>
        <w:autoSpaceDE w:val="0"/>
        <w:autoSpaceDN w:val="0"/>
        <w:adjustRightInd w:val="0"/>
        <w:jc w:val="both"/>
        <w:rPr>
          <w:rFonts w:ascii="Arial" w:hAnsi="Arial" w:cs="Arial"/>
        </w:rPr>
      </w:pPr>
      <w:r w:rsidRPr="00137FAC">
        <w:rPr>
          <w:rFonts w:ascii="Arial" w:hAnsi="Arial" w:cs="Arial"/>
        </w:rPr>
        <w:t xml:space="preserve"> </w:t>
      </w:r>
    </w:p>
    <w:p w14:paraId="71987849" w14:textId="77777777" w:rsidR="00137FAC" w:rsidRPr="00137FAC" w:rsidRDefault="00137FAC" w:rsidP="00137FAC">
      <w:pPr>
        <w:autoSpaceDE w:val="0"/>
        <w:autoSpaceDN w:val="0"/>
        <w:adjustRightInd w:val="0"/>
        <w:jc w:val="both"/>
        <w:rPr>
          <w:rFonts w:ascii="Arial" w:hAnsi="Arial" w:cs="Arial"/>
        </w:rPr>
      </w:pPr>
      <w:r w:rsidRPr="002D5537">
        <w:rPr>
          <w:rFonts w:ascii="Arial" w:hAnsi="Arial" w:cs="Arial"/>
          <w:b/>
          <w:i/>
        </w:rPr>
        <w:t>Preferred Learning Style.</w:t>
      </w:r>
      <w:r w:rsidRPr="00137FAC">
        <w:rPr>
          <w:rFonts w:ascii="Arial" w:hAnsi="Arial" w:cs="Arial"/>
        </w:rPr>
        <w:t xml:space="preserve"> Table </w:t>
      </w:r>
      <w:r w:rsidR="002D5537">
        <w:rPr>
          <w:rFonts w:ascii="Arial" w:hAnsi="Arial" w:cs="Arial"/>
        </w:rPr>
        <w:t>1</w:t>
      </w:r>
      <w:r w:rsidRPr="00137FAC">
        <w:rPr>
          <w:rFonts w:ascii="Arial" w:hAnsi="Arial" w:cs="Arial"/>
        </w:rPr>
        <w:t xml:space="preserve"> demonstrates that the majority of respondents, 50 (60.24%), favor the Reading/Writing learning style, followed by 26 (31.33%) Visual learners. Only 6 (7.23%) favor the Auditory learning method, while just 1 (1.20%) identify with a Kinesthetic type. These results suggest that instructional strategies in General Mathematics should highlight reading- and writing-based activities, such as note-taking, solving written exercises, and reflective tasks. Incorporating visual tools like diagrams and charts can further boost engagement for Visual learners. Although Auditory and Kinesthetic learners form a tiny minority, giving occasional oral conversations and hands-on exercises ensures that all learning preferences are met. This study accords with Fleming and Mills (1992), who highlighted that when teaching tactics are aligned with students’ learning preferences, both engagement and comprehension are likely to improve. By recognizing the main learning styles, teachers can develop lessons and activities that support increased involvement, motivation, and academic performance in General Mathematics.</w:t>
      </w:r>
    </w:p>
    <w:p w14:paraId="014B7F5C" w14:textId="77777777" w:rsidR="00137FAC" w:rsidRPr="00137FAC" w:rsidRDefault="00137FAC" w:rsidP="00137FAC">
      <w:pPr>
        <w:autoSpaceDE w:val="0"/>
        <w:autoSpaceDN w:val="0"/>
        <w:adjustRightInd w:val="0"/>
        <w:jc w:val="both"/>
        <w:rPr>
          <w:rFonts w:ascii="Arial" w:hAnsi="Arial" w:cs="Arial"/>
        </w:rPr>
      </w:pPr>
    </w:p>
    <w:p w14:paraId="4861A332" w14:textId="77777777" w:rsidR="00137FAC" w:rsidRDefault="00137FAC" w:rsidP="00137FAC">
      <w:pPr>
        <w:autoSpaceDE w:val="0"/>
        <w:autoSpaceDN w:val="0"/>
        <w:adjustRightInd w:val="0"/>
        <w:jc w:val="both"/>
        <w:rPr>
          <w:rFonts w:ascii="Arial" w:hAnsi="Arial" w:cs="Arial"/>
        </w:rPr>
      </w:pPr>
      <w:r w:rsidRPr="002D5537">
        <w:rPr>
          <w:rFonts w:ascii="Arial" w:hAnsi="Arial" w:cs="Arial"/>
          <w:b/>
          <w:i/>
        </w:rPr>
        <w:t>Availability of Learning Resources at Home.</w:t>
      </w:r>
      <w:r w:rsidRPr="00137FAC">
        <w:rPr>
          <w:rFonts w:ascii="Arial" w:hAnsi="Arial" w:cs="Arial"/>
        </w:rPr>
        <w:t xml:space="preserve"> The table shows that among the 83 students, 35 (42.17%) have restricted resources, 34 (40.96%) have enough resources, 14 (16.87%) have extremely adequate resources at home, and none are without resources. This suggests that while all students have at least some accesses to learning materials, the majority have only limited to acceptable resources. The inequality in resource availability may </w:t>
      </w:r>
      <w:r w:rsidR="002D5537" w:rsidRPr="00137FAC">
        <w:rPr>
          <w:rFonts w:ascii="Arial" w:hAnsi="Arial" w:cs="Arial"/>
        </w:rPr>
        <w:t>affect</w:t>
      </w:r>
      <w:r w:rsidRPr="00137FAC">
        <w:rPr>
          <w:rFonts w:ascii="Arial" w:hAnsi="Arial" w:cs="Arial"/>
        </w:rPr>
        <w:t xml:space="preserve"> students’ engagement and performance in General Mathematics, since those with fewer resources might have difficulty in completing tasks or participating fully in learning activities. These findings are consistent with </w:t>
      </w:r>
      <w:proofErr w:type="spellStart"/>
      <w:r w:rsidRPr="00137FAC">
        <w:rPr>
          <w:rFonts w:ascii="Arial" w:hAnsi="Arial" w:cs="Arial"/>
        </w:rPr>
        <w:t>Sabug</w:t>
      </w:r>
      <w:proofErr w:type="spellEnd"/>
      <w:r w:rsidRPr="00137FAC">
        <w:rPr>
          <w:rFonts w:ascii="Arial" w:hAnsi="Arial" w:cs="Arial"/>
        </w:rPr>
        <w:t xml:space="preserve"> (2023), who stated that access to ICT </w:t>
      </w:r>
      <w:r w:rsidRPr="00137FAC">
        <w:rPr>
          <w:rFonts w:ascii="Arial" w:hAnsi="Arial" w:cs="Arial"/>
        </w:rPr>
        <w:lastRenderedPageBreak/>
        <w:t>and learning materials increases students’ involvement, and with OECD (2015), which underlined that limited resources and study environments can impact learning outcomes. Therefore, instructors and institutions should consider providing additional support or alternate learning resources to guarantee fair involvement and opportunities for all children.</w:t>
      </w:r>
    </w:p>
    <w:p w14:paraId="64BE8689" w14:textId="77777777" w:rsidR="00137FAC" w:rsidRDefault="00137FAC" w:rsidP="00137FAC">
      <w:pPr>
        <w:autoSpaceDE w:val="0"/>
        <w:autoSpaceDN w:val="0"/>
        <w:adjustRightInd w:val="0"/>
        <w:jc w:val="both"/>
        <w:rPr>
          <w:rFonts w:ascii="Arial" w:hAnsi="Arial" w:cs="Arial"/>
        </w:rPr>
      </w:pPr>
    </w:p>
    <w:p w14:paraId="7C3C251C" w14:textId="77777777" w:rsidR="002D5537" w:rsidRDefault="002D5537" w:rsidP="00A54A8C">
      <w:pPr>
        <w:autoSpaceDE w:val="0"/>
        <w:autoSpaceDN w:val="0"/>
        <w:adjustRightInd w:val="0"/>
        <w:jc w:val="both"/>
        <w:rPr>
          <w:rFonts w:ascii="Arial" w:hAnsi="Arial" w:cs="Arial"/>
          <w:b/>
        </w:rPr>
      </w:pPr>
      <w:r w:rsidRPr="002D5537">
        <w:rPr>
          <w:rFonts w:ascii="Arial" w:hAnsi="Arial" w:cs="Arial"/>
          <w:b/>
        </w:rPr>
        <w:t>Level of Student Engagement in learning General Mathematics</w:t>
      </w:r>
    </w:p>
    <w:p w14:paraId="2A68A03B" w14:textId="77777777" w:rsidR="006D4D11" w:rsidRDefault="002D5537" w:rsidP="002D5537">
      <w:pPr>
        <w:autoSpaceDE w:val="0"/>
        <w:autoSpaceDN w:val="0"/>
        <w:adjustRightInd w:val="0"/>
        <w:rPr>
          <w:rFonts w:ascii="Arial" w:hAnsi="Arial" w:cs="Arial"/>
          <w:b/>
          <w:bCs/>
          <w:szCs w:val="22"/>
        </w:rPr>
      </w:pPr>
      <w:r w:rsidRPr="002D5537">
        <w:rPr>
          <w:rFonts w:ascii="Arial" w:hAnsi="Arial" w:cs="Arial"/>
        </w:rPr>
        <w:t xml:space="preserve">The Table </w:t>
      </w:r>
      <w:r>
        <w:rPr>
          <w:rFonts w:ascii="Arial" w:hAnsi="Arial" w:cs="Arial"/>
        </w:rPr>
        <w:t>2</w:t>
      </w:r>
      <w:r w:rsidRPr="002D5537">
        <w:rPr>
          <w:rFonts w:ascii="Arial" w:hAnsi="Arial" w:cs="Arial"/>
        </w:rPr>
        <w:t xml:space="preserve"> shows the level of student engagement along the following dimensions.</w:t>
      </w:r>
    </w:p>
    <w:p w14:paraId="0AD7B10F" w14:textId="77777777" w:rsidR="00A54A8C" w:rsidRPr="00FA71A3" w:rsidRDefault="00A54A8C" w:rsidP="00FA71A3">
      <w:pPr>
        <w:autoSpaceDE w:val="0"/>
        <w:autoSpaceDN w:val="0"/>
        <w:adjustRightInd w:val="0"/>
        <w:jc w:val="center"/>
        <w:rPr>
          <w:rFonts w:ascii="Arial" w:hAnsi="Arial" w:cs="Arial"/>
          <w:b/>
          <w:bCs/>
          <w:szCs w:val="22"/>
        </w:rPr>
      </w:pPr>
    </w:p>
    <w:p w14:paraId="0FB033B7" w14:textId="77777777" w:rsidR="002D5537" w:rsidRDefault="008D403A" w:rsidP="00FA71A3">
      <w:pPr>
        <w:ind w:left="851" w:hanging="851"/>
        <w:jc w:val="center"/>
        <w:rPr>
          <w:rFonts w:ascii="Arial" w:hAnsi="Arial" w:cs="Arial"/>
          <w:b/>
        </w:rPr>
      </w:pPr>
      <w:r w:rsidRPr="00FA71A3">
        <w:rPr>
          <w:rFonts w:ascii="Arial" w:hAnsi="Arial" w:cs="Arial"/>
          <w:b/>
        </w:rPr>
        <w:t>Table 2.</w:t>
      </w:r>
      <w:r w:rsidRPr="00FA71A3">
        <w:rPr>
          <w:rFonts w:ascii="Arial" w:hAnsi="Arial" w:cs="Arial"/>
          <w:b/>
        </w:rPr>
        <w:tab/>
      </w:r>
      <w:r w:rsidR="002D5537" w:rsidRPr="002D5537">
        <w:rPr>
          <w:rFonts w:ascii="Arial" w:hAnsi="Arial" w:cs="Arial"/>
          <w:b/>
        </w:rPr>
        <w:t>Level of engagement of the students in learning General Mathematics</w:t>
      </w:r>
    </w:p>
    <w:p w14:paraId="75BCADD9" w14:textId="77777777" w:rsidR="008D403A" w:rsidRPr="00FA71A3" w:rsidRDefault="008D403A" w:rsidP="00653336">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857"/>
        <w:gridCol w:w="3236"/>
      </w:tblGrid>
      <w:tr w:rsidR="00F35278" w:rsidRPr="00F35278" w14:paraId="35FF6972" w14:textId="77777777" w:rsidTr="001F10B4">
        <w:tc>
          <w:tcPr>
            <w:tcW w:w="4868" w:type="dxa"/>
            <w:tcBorders>
              <w:top w:val="single" w:sz="4" w:space="0" w:color="auto"/>
              <w:bottom w:val="single" w:sz="4" w:space="0" w:color="auto"/>
            </w:tcBorders>
            <w:vAlign w:val="center"/>
          </w:tcPr>
          <w:p w14:paraId="62664AC7" w14:textId="77777777" w:rsidR="00F35278" w:rsidRPr="00F35278" w:rsidRDefault="00F35278" w:rsidP="003514F8">
            <w:pPr>
              <w:jc w:val="center"/>
              <w:rPr>
                <w:rFonts w:ascii="Arial" w:hAnsi="Arial" w:cs="Arial"/>
                <w:sz w:val="20"/>
                <w:szCs w:val="20"/>
              </w:rPr>
            </w:pPr>
            <w:bookmarkStart w:id="1" w:name="_Hlk219792351"/>
            <w:r w:rsidRPr="00F35278">
              <w:rPr>
                <w:rFonts w:ascii="Arial" w:hAnsi="Arial" w:cs="Arial"/>
                <w:b/>
                <w:bCs/>
                <w:sz w:val="20"/>
                <w:szCs w:val="20"/>
              </w:rPr>
              <w:t>Indicator</w:t>
            </w:r>
          </w:p>
        </w:tc>
        <w:tc>
          <w:tcPr>
            <w:tcW w:w="884" w:type="dxa"/>
            <w:tcBorders>
              <w:top w:val="single" w:sz="4" w:space="0" w:color="auto"/>
              <w:bottom w:val="single" w:sz="4" w:space="0" w:color="auto"/>
            </w:tcBorders>
            <w:vAlign w:val="center"/>
          </w:tcPr>
          <w:p w14:paraId="094F9255"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Mean</w:t>
            </w:r>
          </w:p>
        </w:tc>
        <w:tc>
          <w:tcPr>
            <w:tcW w:w="3598" w:type="dxa"/>
            <w:tcBorders>
              <w:top w:val="single" w:sz="4" w:space="0" w:color="auto"/>
              <w:bottom w:val="single" w:sz="4" w:space="0" w:color="auto"/>
            </w:tcBorders>
          </w:tcPr>
          <w:p w14:paraId="4CAD78C8" w14:textId="77777777" w:rsidR="00F35278" w:rsidRPr="00F35278" w:rsidRDefault="00F35278" w:rsidP="003514F8">
            <w:pPr>
              <w:jc w:val="center"/>
              <w:rPr>
                <w:rFonts w:ascii="Arial" w:hAnsi="Arial" w:cs="Arial"/>
                <w:b/>
                <w:bCs/>
                <w:sz w:val="20"/>
                <w:szCs w:val="20"/>
              </w:rPr>
            </w:pPr>
            <w:r w:rsidRPr="00F35278">
              <w:rPr>
                <w:rFonts w:ascii="Arial" w:hAnsi="Arial" w:cs="Arial"/>
                <w:b/>
                <w:bCs/>
                <w:sz w:val="20"/>
                <w:szCs w:val="20"/>
              </w:rPr>
              <w:t>Descriptive Interpretation</w:t>
            </w:r>
          </w:p>
        </w:tc>
      </w:tr>
      <w:tr w:rsidR="00F35278" w:rsidRPr="00F35278" w14:paraId="34E6231F" w14:textId="77777777" w:rsidTr="001F10B4">
        <w:tc>
          <w:tcPr>
            <w:tcW w:w="9350" w:type="dxa"/>
            <w:gridSpan w:val="3"/>
            <w:tcBorders>
              <w:top w:val="single" w:sz="4" w:space="0" w:color="auto"/>
            </w:tcBorders>
          </w:tcPr>
          <w:p w14:paraId="227D1D9F" w14:textId="77777777" w:rsidR="00F35278" w:rsidRPr="00F35278" w:rsidRDefault="00F35278" w:rsidP="003514F8">
            <w:pPr>
              <w:rPr>
                <w:rFonts w:ascii="Arial" w:hAnsi="Arial" w:cs="Arial"/>
                <w:b/>
                <w:bCs/>
                <w:sz w:val="20"/>
                <w:szCs w:val="20"/>
              </w:rPr>
            </w:pPr>
            <w:r w:rsidRPr="00F35278">
              <w:rPr>
                <w:rFonts w:ascii="Arial" w:hAnsi="Arial" w:cs="Arial"/>
                <w:b/>
                <w:bCs/>
                <w:sz w:val="20"/>
                <w:szCs w:val="20"/>
              </w:rPr>
              <w:t>Motivational Engagement</w:t>
            </w:r>
          </w:p>
        </w:tc>
      </w:tr>
      <w:tr w:rsidR="00F35278" w:rsidRPr="00F35278" w14:paraId="4526FC5B" w14:textId="77777777" w:rsidTr="001F10B4">
        <w:tc>
          <w:tcPr>
            <w:tcW w:w="4868" w:type="dxa"/>
          </w:tcPr>
          <w:p w14:paraId="7BDE253D"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am eager to attend my General Mathematics classes.</w:t>
            </w:r>
          </w:p>
        </w:tc>
        <w:tc>
          <w:tcPr>
            <w:tcW w:w="884" w:type="dxa"/>
            <w:vAlign w:val="center"/>
          </w:tcPr>
          <w:p w14:paraId="14479238"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3.81</w:t>
            </w:r>
          </w:p>
        </w:tc>
        <w:tc>
          <w:tcPr>
            <w:tcW w:w="3598" w:type="dxa"/>
          </w:tcPr>
          <w:p w14:paraId="18C127F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1C7BEAD3" w14:textId="77777777" w:rsidTr="001F10B4">
        <w:tc>
          <w:tcPr>
            <w:tcW w:w="4868" w:type="dxa"/>
          </w:tcPr>
          <w:p w14:paraId="03AC0FCC"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believe that General Mathematics is important for my future studies and career.</w:t>
            </w:r>
          </w:p>
        </w:tc>
        <w:tc>
          <w:tcPr>
            <w:tcW w:w="884" w:type="dxa"/>
            <w:vAlign w:val="center"/>
          </w:tcPr>
          <w:p w14:paraId="7AE6A553"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4.07</w:t>
            </w:r>
          </w:p>
        </w:tc>
        <w:tc>
          <w:tcPr>
            <w:tcW w:w="3598" w:type="dxa"/>
          </w:tcPr>
          <w:p w14:paraId="7D61656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A5B2ED9" w14:textId="77777777" w:rsidTr="001F10B4">
        <w:tc>
          <w:tcPr>
            <w:tcW w:w="4868" w:type="dxa"/>
          </w:tcPr>
          <w:p w14:paraId="58EC625D"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feel motivated to learn new mathematical concepts and skills.</w:t>
            </w:r>
          </w:p>
        </w:tc>
        <w:tc>
          <w:tcPr>
            <w:tcW w:w="884" w:type="dxa"/>
            <w:vAlign w:val="center"/>
          </w:tcPr>
          <w:p w14:paraId="7F866F1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3.76</w:t>
            </w:r>
          </w:p>
        </w:tc>
        <w:tc>
          <w:tcPr>
            <w:tcW w:w="3598" w:type="dxa"/>
          </w:tcPr>
          <w:p w14:paraId="63608F02"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90C71E0" w14:textId="77777777" w:rsidTr="001F10B4">
        <w:tc>
          <w:tcPr>
            <w:tcW w:w="4868" w:type="dxa"/>
          </w:tcPr>
          <w:p w14:paraId="6720FC9E"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set personal goals to improve my performance in General Mathematics.</w:t>
            </w:r>
          </w:p>
        </w:tc>
        <w:tc>
          <w:tcPr>
            <w:tcW w:w="884" w:type="dxa"/>
            <w:vAlign w:val="center"/>
          </w:tcPr>
          <w:p w14:paraId="778825AB"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3.80</w:t>
            </w:r>
          </w:p>
        </w:tc>
        <w:tc>
          <w:tcPr>
            <w:tcW w:w="3598" w:type="dxa"/>
          </w:tcPr>
          <w:p w14:paraId="3D19FD05"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48601F33" w14:textId="77777777" w:rsidTr="001F10B4">
        <w:tc>
          <w:tcPr>
            <w:tcW w:w="4868" w:type="dxa"/>
          </w:tcPr>
          <w:p w14:paraId="5D7955AC"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exert effort even if the math lessons are challenging.</w:t>
            </w:r>
          </w:p>
        </w:tc>
        <w:tc>
          <w:tcPr>
            <w:tcW w:w="884" w:type="dxa"/>
            <w:vAlign w:val="center"/>
          </w:tcPr>
          <w:p w14:paraId="12D8834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3.73</w:t>
            </w:r>
          </w:p>
        </w:tc>
        <w:tc>
          <w:tcPr>
            <w:tcW w:w="3598" w:type="dxa"/>
          </w:tcPr>
          <w:p w14:paraId="1730DB7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40459D5E" w14:textId="77777777" w:rsidTr="001F10B4">
        <w:tc>
          <w:tcPr>
            <w:tcW w:w="4868" w:type="dxa"/>
          </w:tcPr>
          <w:p w14:paraId="2A99BF7F"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Sub-Mean</w:t>
            </w:r>
          </w:p>
        </w:tc>
        <w:tc>
          <w:tcPr>
            <w:tcW w:w="884" w:type="dxa"/>
            <w:vAlign w:val="center"/>
          </w:tcPr>
          <w:p w14:paraId="6754280D"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3.83</w:t>
            </w:r>
          </w:p>
        </w:tc>
        <w:tc>
          <w:tcPr>
            <w:tcW w:w="3598" w:type="dxa"/>
          </w:tcPr>
          <w:p w14:paraId="22916E6A"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719C785D" w14:textId="77777777" w:rsidTr="001F10B4">
        <w:tc>
          <w:tcPr>
            <w:tcW w:w="9350" w:type="dxa"/>
            <w:gridSpan w:val="3"/>
          </w:tcPr>
          <w:p w14:paraId="49B2F637" w14:textId="77777777" w:rsidR="00F35278" w:rsidRPr="00F35278" w:rsidRDefault="00F35278" w:rsidP="003514F8">
            <w:pPr>
              <w:rPr>
                <w:rFonts w:ascii="Arial" w:hAnsi="Arial" w:cs="Arial"/>
                <w:b/>
                <w:bCs/>
                <w:sz w:val="20"/>
                <w:szCs w:val="20"/>
              </w:rPr>
            </w:pPr>
            <w:r w:rsidRPr="00F35278">
              <w:rPr>
                <w:rFonts w:ascii="Arial" w:hAnsi="Arial" w:cs="Arial"/>
                <w:b/>
                <w:bCs/>
                <w:sz w:val="20"/>
                <w:szCs w:val="20"/>
              </w:rPr>
              <w:t>Social Engagement</w:t>
            </w:r>
          </w:p>
        </w:tc>
      </w:tr>
      <w:tr w:rsidR="00F35278" w:rsidRPr="00F35278" w14:paraId="091497B1" w14:textId="77777777" w:rsidTr="001F10B4">
        <w:tc>
          <w:tcPr>
            <w:tcW w:w="4868" w:type="dxa"/>
          </w:tcPr>
          <w:p w14:paraId="1AC28691"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actively participate in group activities during General Mathematics class.</w:t>
            </w:r>
          </w:p>
        </w:tc>
        <w:tc>
          <w:tcPr>
            <w:tcW w:w="884" w:type="dxa"/>
            <w:vAlign w:val="center"/>
          </w:tcPr>
          <w:p w14:paraId="33B1290A"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3.76</w:t>
            </w:r>
          </w:p>
        </w:tc>
        <w:tc>
          <w:tcPr>
            <w:tcW w:w="3598" w:type="dxa"/>
          </w:tcPr>
          <w:p w14:paraId="2E803F99"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535727F" w14:textId="77777777" w:rsidTr="001F10B4">
        <w:tc>
          <w:tcPr>
            <w:tcW w:w="4868" w:type="dxa"/>
          </w:tcPr>
          <w:p w14:paraId="760C233C"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feel comfortable asking questions or sharing ideas in front of the class.</w:t>
            </w:r>
          </w:p>
        </w:tc>
        <w:tc>
          <w:tcPr>
            <w:tcW w:w="884" w:type="dxa"/>
            <w:vAlign w:val="center"/>
          </w:tcPr>
          <w:p w14:paraId="4AB0AF01"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3.12</w:t>
            </w:r>
          </w:p>
        </w:tc>
        <w:tc>
          <w:tcPr>
            <w:tcW w:w="3598" w:type="dxa"/>
          </w:tcPr>
          <w:p w14:paraId="77369D1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Moderately Engaged</w:t>
            </w:r>
          </w:p>
        </w:tc>
      </w:tr>
      <w:tr w:rsidR="00F35278" w:rsidRPr="00F35278" w14:paraId="6BAD4BF1" w14:textId="77777777" w:rsidTr="001F10B4">
        <w:tc>
          <w:tcPr>
            <w:tcW w:w="4868" w:type="dxa"/>
          </w:tcPr>
          <w:p w14:paraId="6E761E6B"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collaborate with classmates when solving math problems.</w:t>
            </w:r>
          </w:p>
        </w:tc>
        <w:tc>
          <w:tcPr>
            <w:tcW w:w="884" w:type="dxa"/>
            <w:vAlign w:val="center"/>
          </w:tcPr>
          <w:p w14:paraId="4479D61F"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3.82</w:t>
            </w:r>
          </w:p>
        </w:tc>
        <w:tc>
          <w:tcPr>
            <w:tcW w:w="3598" w:type="dxa"/>
          </w:tcPr>
          <w:p w14:paraId="111848CB"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BF1AD3E" w14:textId="77777777" w:rsidTr="001F10B4">
        <w:tc>
          <w:tcPr>
            <w:tcW w:w="4868" w:type="dxa"/>
          </w:tcPr>
          <w:p w14:paraId="72473F3B"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help my peers understand lessons in General Mathematics.</w:t>
            </w:r>
          </w:p>
        </w:tc>
        <w:tc>
          <w:tcPr>
            <w:tcW w:w="884" w:type="dxa"/>
            <w:vAlign w:val="center"/>
          </w:tcPr>
          <w:p w14:paraId="32519CD1"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3.59</w:t>
            </w:r>
          </w:p>
        </w:tc>
        <w:tc>
          <w:tcPr>
            <w:tcW w:w="3598" w:type="dxa"/>
          </w:tcPr>
          <w:p w14:paraId="7FF9C46E"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464AF756" w14:textId="77777777" w:rsidTr="001F10B4">
        <w:tc>
          <w:tcPr>
            <w:tcW w:w="4868" w:type="dxa"/>
          </w:tcPr>
          <w:p w14:paraId="718FF1F8"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enjoy class discussions in General Mathematics.</w:t>
            </w:r>
          </w:p>
        </w:tc>
        <w:tc>
          <w:tcPr>
            <w:tcW w:w="884" w:type="dxa"/>
            <w:vAlign w:val="center"/>
          </w:tcPr>
          <w:p w14:paraId="3A42BE1D"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3.90</w:t>
            </w:r>
          </w:p>
        </w:tc>
        <w:tc>
          <w:tcPr>
            <w:tcW w:w="3598" w:type="dxa"/>
          </w:tcPr>
          <w:p w14:paraId="2D8444AA"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CED828A" w14:textId="77777777" w:rsidTr="001F10B4">
        <w:tc>
          <w:tcPr>
            <w:tcW w:w="4868" w:type="dxa"/>
          </w:tcPr>
          <w:p w14:paraId="44FF8651"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 xml:space="preserve">Sub-Mean </w:t>
            </w:r>
          </w:p>
        </w:tc>
        <w:tc>
          <w:tcPr>
            <w:tcW w:w="884" w:type="dxa"/>
            <w:vAlign w:val="center"/>
          </w:tcPr>
          <w:p w14:paraId="19D0B6BB"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3.64</w:t>
            </w:r>
          </w:p>
        </w:tc>
        <w:tc>
          <w:tcPr>
            <w:tcW w:w="3598" w:type="dxa"/>
          </w:tcPr>
          <w:p w14:paraId="76FEED96"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093EF46A" w14:textId="77777777" w:rsidTr="001F10B4">
        <w:tc>
          <w:tcPr>
            <w:tcW w:w="9350" w:type="dxa"/>
            <w:gridSpan w:val="3"/>
          </w:tcPr>
          <w:p w14:paraId="2EB5A31A" w14:textId="77777777" w:rsidR="00F35278" w:rsidRPr="00F35278" w:rsidRDefault="00F35278" w:rsidP="003514F8">
            <w:pPr>
              <w:rPr>
                <w:rFonts w:ascii="Arial" w:hAnsi="Arial" w:cs="Arial"/>
                <w:b/>
                <w:sz w:val="20"/>
                <w:szCs w:val="20"/>
              </w:rPr>
            </w:pPr>
            <w:r w:rsidRPr="00F35278">
              <w:rPr>
                <w:rFonts w:ascii="Arial" w:hAnsi="Arial" w:cs="Arial"/>
                <w:b/>
                <w:bCs/>
                <w:sz w:val="20"/>
                <w:szCs w:val="20"/>
              </w:rPr>
              <w:t>Behavioral Engagement</w:t>
            </w:r>
          </w:p>
        </w:tc>
      </w:tr>
      <w:tr w:rsidR="00F35278" w:rsidRPr="00F35278" w14:paraId="21BDB726" w14:textId="77777777" w:rsidTr="001F10B4">
        <w:tc>
          <w:tcPr>
            <w:tcW w:w="4868" w:type="dxa"/>
          </w:tcPr>
          <w:p w14:paraId="4F33436D"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attend General Mathematics classes regularly and on time.</w:t>
            </w:r>
          </w:p>
        </w:tc>
        <w:tc>
          <w:tcPr>
            <w:tcW w:w="884" w:type="dxa"/>
            <w:vAlign w:val="center"/>
          </w:tcPr>
          <w:p w14:paraId="7CAE79EC"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4.06</w:t>
            </w:r>
          </w:p>
        </w:tc>
        <w:tc>
          <w:tcPr>
            <w:tcW w:w="3598" w:type="dxa"/>
          </w:tcPr>
          <w:p w14:paraId="4C883DF5"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7A60A6C1" w14:textId="77777777" w:rsidTr="001F10B4">
        <w:tc>
          <w:tcPr>
            <w:tcW w:w="4868" w:type="dxa"/>
          </w:tcPr>
          <w:p w14:paraId="0627E9CD"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pay close attention to the teacher’s explanations.</w:t>
            </w:r>
          </w:p>
        </w:tc>
        <w:tc>
          <w:tcPr>
            <w:tcW w:w="884" w:type="dxa"/>
            <w:vAlign w:val="center"/>
          </w:tcPr>
          <w:p w14:paraId="44410B6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4.10</w:t>
            </w:r>
          </w:p>
        </w:tc>
        <w:tc>
          <w:tcPr>
            <w:tcW w:w="3598" w:type="dxa"/>
          </w:tcPr>
          <w:p w14:paraId="0E5F558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6EBF687A" w14:textId="77777777" w:rsidTr="001F10B4">
        <w:tc>
          <w:tcPr>
            <w:tcW w:w="4868" w:type="dxa"/>
          </w:tcPr>
          <w:p w14:paraId="68EA3957"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complete and submit math assignments on time.</w:t>
            </w:r>
          </w:p>
        </w:tc>
        <w:tc>
          <w:tcPr>
            <w:tcW w:w="884" w:type="dxa"/>
            <w:vAlign w:val="center"/>
          </w:tcPr>
          <w:p w14:paraId="7CA6A8ED"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3.87</w:t>
            </w:r>
          </w:p>
        </w:tc>
        <w:tc>
          <w:tcPr>
            <w:tcW w:w="3598" w:type="dxa"/>
          </w:tcPr>
          <w:p w14:paraId="20AB82A3"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6ED23007" w14:textId="77777777" w:rsidTr="001F10B4">
        <w:tc>
          <w:tcPr>
            <w:tcW w:w="4868" w:type="dxa"/>
          </w:tcPr>
          <w:p w14:paraId="4017F22D"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avoid distractions (gadgets, chatting, etc.) during General Mathematics class.</w:t>
            </w:r>
          </w:p>
        </w:tc>
        <w:tc>
          <w:tcPr>
            <w:tcW w:w="884" w:type="dxa"/>
            <w:vAlign w:val="center"/>
          </w:tcPr>
          <w:p w14:paraId="71B28AE0"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3.92</w:t>
            </w:r>
          </w:p>
        </w:tc>
        <w:tc>
          <w:tcPr>
            <w:tcW w:w="3598" w:type="dxa"/>
          </w:tcPr>
          <w:p w14:paraId="6986AE1B"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622E535E" w14:textId="77777777" w:rsidTr="001F10B4">
        <w:tc>
          <w:tcPr>
            <w:tcW w:w="4868" w:type="dxa"/>
          </w:tcPr>
          <w:p w14:paraId="10895DCE"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follow classroom rules and instructions in math activities.</w:t>
            </w:r>
          </w:p>
        </w:tc>
        <w:tc>
          <w:tcPr>
            <w:tcW w:w="884" w:type="dxa"/>
            <w:vAlign w:val="center"/>
          </w:tcPr>
          <w:p w14:paraId="00E052A0"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4.25</w:t>
            </w:r>
          </w:p>
        </w:tc>
        <w:tc>
          <w:tcPr>
            <w:tcW w:w="3598" w:type="dxa"/>
          </w:tcPr>
          <w:p w14:paraId="38CE6CBD"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Highly Engaged</w:t>
            </w:r>
          </w:p>
        </w:tc>
      </w:tr>
      <w:tr w:rsidR="00F35278" w:rsidRPr="00F35278" w14:paraId="6FB1D029" w14:textId="77777777" w:rsidTr="001F10B4">
        <w:tc>
          <w:tcPr>
            <w:tcW w:w="4868" w:type="dxa"/>
          </w:tcPr>
          <w:p w14:paraId="2641381C"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Sub-Mean</w:t>
            </w:r>
          </w:p>
        </w:tc>
        <w:tc>
          <w:tcPr>
            <w:tcW w:w="884" w:type="dxa"/>
            <w:vAlign w:val="center"/>
          </w:tcPr>
          <w:p w14:paraId="2F12406C"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4.04</w:t>
            </w:r>
          </w:p>
        </w:tc>
        <w:tc>
          <w:tcPr>
            <w:tcW w:w="3598" w:type="dxa"/>
          </w:tcPr>
          <w:p w14:paraId="6A3E3630"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72058DF2" w14:textId="77777777" w:rsidTr="001F10B4">
        <w:tc>
          <w:tcPr>
            <w:tcW w:w="9350" w:type="dxa"/>
            <w:gridSpan w:val="3"/>
          </w:tcPr>
          <w:p w14:paraId="138BB759" w14:textId="77777777" w:rsidR="00F35278" w:rsidRPr="00F35278" w:rsidRDefault="00F35278" w:rsidP="003514F8">
            <w:pPr>
              <w:rPr>
                <w:rFonts w:ascii="Arial" w:hAnsi="Arial" w:cs="Arial"/>
                <w:b/>
                <w:bCs/>
                <w:sz w:val="20"/>
                <w:szCs w:val="20"/>
              </w:rPr>
            </w:pPr>
            <w:r w:rsidRPr="00F35278">
              <w:rPr>
                <w:rFonts w:ascii="Arial" w:hAnsi="Arial" w:cs="Arial"/>
                <w:b/>
                <w:bCs/>
                <w:sz w:val="20"/>
                <w:szCs w:val="20"/>
              </w:rPr>
              <w:t>Cognitive Engagement</w:t>
            </w:r>
          </w:p>
        </w:tc>
      </w:tr>
      <w:tr w:rsidR="00F35278" w:rsidRPr="00F35278" w14:paraId="014BA7B7" w14:textId="77777777" w:rsidTr="001F10B4">
        <w:tc>
          <w:tcPr>
            <w:tcW w:w="4868" w:type="dxa"/>
          </w:tcPr>
          <w:p w14:paraId="5A237B18" w14:textId="77777777" w:rsidR="00F35278" w:rsidRPr="00F35278" w:rsidRDefault="00F35278" w:rsidP="00F35278">
            <w:pPr>
              <w:pStyle w:val="ListParagraph"/>
              <w:numPr>
                <w:ilvl w:val="0"/>
                <w:numId w:val="35"/>
              </w:numPr>
              <w:spacing w:after="0" w:line="240" w:lineRule="auto"/>
              <w:jc w:val="both"/>
              <w:rPr>
                <w:rFonts w:ascii="Arial" w:hAnsi="Arial" w:cs="Arial"/>
                <w:sz w:val="20"/>
                <w:szCs w:val="20"/>
              </w:rPr>
            </w:pPr>
            <w:r w:rsidRPr="00F35278">
              <w:rPr>
                <w:rFonts w:ascii="Arial" w:hAnsi="Arial" w:cs="Arial"/>
                <w:sz w:val="20"/>
                <w:szCs w:val="20"/>
              </w:rPr>
              <w:t>I try to understand the reasoning behind formulas and problem-solving methods.</w:t>
            </w:r>
          </w:p>
        </w:tc>
        <w:tc>
          <w:tcPr>
            <w:tcW w:w="884" w:type="dxa"/>
            <w:vAlign w:val="center"/>
          </w:tcPr>
          <w:p w14:paraId="1E361D11"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3.90</w:t>
            </w:r>
          </w:p>
        </w:tc>
        <w:tc>
          <w:tcPr>
            <w:tcW w:w="3598" w:type="dxa"/>
          </w:tcPr>
          <w:p w14:paraId="1D05C462"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6864228" w14:textId="77777777" w:rsidTr="001F10B4">
        <w:tc>
          <w:tcPr>
            <w:tcW w:w="4868" w:type="dxa"/>
            <w:vAlign w:val="center"/>
          </w:tcPr>
          <w:p w14:paraId="4E6DCF3A"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lastRenderedPageBreak/>
              <w:t>I employ various strategies when solving math problems.</w:t>
            </w:r>
          </w:p>
        </w:tc>
        <w:tc>
          <w:tcPr>
            <w:tcW w:w="884" w:type="dxa"/>
            <w:vAlign w:val="center"/>
          </w:tcPr>
          <w:p w14:paraId="65B3C34E"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3.71</w:t>
            </w:r>
          </w:p>
        </w:tc>
        <w:tc>
          <w:tcPr>
            <w:tcW w:w="3598" w:type="dxa"/>
          </w:tcPr>
          <w:p w14:paraId="3C586778"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5DAEEBCE" w14:textId="77777777" w:rsidTr="001F10B4">
        <w:tc>
          <w:tcPr>
            <w:tcW w:w="4868" w:type="dxa"/>
            <w:vAlign w:val="center"/>
          </w:tcPr>
          <w:p w14:paraId="07A4D106"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t>I reflect on my mistakes in General Mathematics and learn from them.</w:t>
            </w:r>
          </w:p>
        </w:tc>
        <w:tc>
          <w:tcPr>
            <w:tcW w:w="884" w:type="dxa"/>
            <w:vAlign w:val="center"/>
          </w:tcPr>
          <w:p w14:paraId="58F39A83"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3.84</w:t>
            </w:r>
          </w:p>
        </w:tc>
        <w:tc>
          <w:tcPr>
            <w:tcW w:w="3598" w:type="dxa"/>
          </w:tcPr>
          <w:p w14:paraId="147B6A6F"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76C697A8" w14:textId="77777777" w:rsidTr="001F10B4">
        <w:tc>
          <w:tcPr>
            <w:tcW w:w="4868" w:type="dxa"/>
            <w:vAlign w:val="center"/>
          </w:tcPr>
          <w:p w14:paraId="1A99229E"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t>I connect math concepts to real-life situations.</w:t>
            </w:r>
          </w:p>
        </w:tc>
        <w:tc>
          <w:tcPr>
            <w:tcW w:w="884" w:type="dxa"/>
            <w:vAlign w:val="center"/>
          </w:tcPr>
          <w:p w14:paraId="7FD1C6A2"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3.73</w:t>
            </w:r>
          </w:p>
        </w:tc>
        <w:tc>
          <w:tcPr>
            <w:tcW w:w="3598" w:type="dxa"/>
          </w:tcPr>
          <w:p w14:paraId="2DBE40BE"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46BCB86" w14:textId="77777777" w:rsidTr="001F10B4">
        <w:tc>
          <w:tcPr>
            <w:tcW w:w="4868" w:type="dxa"/>
            <w:vAlign w:val="center"/>
          </w:tcPr>
          <w:p w14:paraId="3BB4F1AE"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t>I challenge myself to solve more complex math problems beyond the examples given.</w:t>
            </w:r>
          </w:p>
        </w:tc>
        <w:tc>
          <w:tcPr>
            <w:tcW w:w="884" w:type="dxa"/>
            <w:vAlign w:val="center"/>
          </w:tcPr>
          <w:p w14:paraId="27A87E8C"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3.89</w:t>
            </w:r>
          </w:p>
        </w:tc>
        <w:tc>
          <w:tcPr>
            <w:tcW w:w="3598" w:type="dxa"/>
          </w:tcPr>
          <w:p w14:paraId="060B8EA4"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C0F8CC9" w14:textId="77777777" w:rsidTr="001F10B4">
        <w:tc>
          <w:tcPr>
            <w:tcW w:w="4868" w:type="dxa"/>
            <w:tcBorders>
              <w:bottom w:val="single" w:sz="4" w:space="0" w:color="auto"/>
            </w:tcBorders>
            <w:vAlign w:val="center"/>
          </w:tcPr>
          <w:p w14:paraId="366B9205" w14:textId="77777777" w:rsidR="00F35278" w:rsidRPr="00F35278" w:rsidRDefault="00F35278" w:rsidP="003514F8">
            <w:pPr>
              <w:jc w:val="center"/>
              <w:rPr>
                <w:rFonts w:ascii="Arial" w:hAnsi="Arial" w:cs="Arial"/>
                <w:b/>
                <w:bCs/>
                <w:sz w:val="20"/>
                <w:szCs w:val="20"/>
              </w:rPr>
            </w:pPr>
            <w:r w:rsidRPr="00F35278">
              <w:rPr>
                <w:rFonts w:ascii="Arial" w:hAnsi="Arial" w:cs="Arial"/>
                <w:b/>
                <w:bCs/>
                <w:sz w:val="20"/>
                <w:szCs w:val="20"/>
              </w:rPr>
              <w:t>Sub-Mean</w:t>
            </w:r>
          </w:p>
        </w:tc>
        <w:tc>
          <w:tcPr>
            <w:tcW w:w="884" w:type="dxa"/>
            <w:tcBorders>
              <w:bottom w:val="single" w:sz="4" w:space="0" w:color="auto"/>
            </w:tcBorders>
            <w:vAlign w:val="center"/>
          </w:tcPr>
          <w:p w14:paraId="57CDA873"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3.82</w:t>
            </w:r>
          </w:p>
        </w:tc>
        <w:tc>
          <w:tcPr>
            <w:tcW w:w="3598" w:type="dxa"/>
            <w:tcBorders>
              <w:bottom w:val="single" w:sz="4" w:space="0" w:color="auto"/>
            </w:tcBorders>
          </w:tcPr>
          <w:p w14:paraId="07C42D6E"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7F588D89" w14:textId="77777777" w:rsidTr="001F10B4">
        <w:tc>
          <w:tcPr>
            <w:tcW w:w="4868" w:type="dxa"/>
            <w:tcBorders>
              <w:top w:val="single" w:sz="4" w:space="0" w:color="auto"/>
              <w:bottom w:val="single" w:sz="4" w:space="0" w:color="auto"/>
            </w:tcBorders>
            <w:vAlign w:val="center"/>
          </w:tcPr>
          <w:p w14:paraId="4B98BADC" w14:textId="77777777" w:rsidR="00F35278" w:rsidRPr="00F35278" w:rsidRDefault="00F35278" w:rsidP="003514F8">
            <w:pPr>
              <w:jc w:val="center"/>
              <w:rPr>
                <w:rFonts w:ascii="Arial" w:hAnsi="Arial" w:cs="Arial"/>
                <w:b/>
                <w:bCs/>
                <w:sz w:val="20"/>
                <w:szCs w:val="20"/>
              </w:rPr>
            </w:pPr>
            <w:r w:rsidRPr="00F35278">
              <w:rPr>
                <w:rFonts w:ascii="Arial" w:hAnsi="Arial" w:cs="Arial"/>
                <w:b/>
                <w:bCs/>
                <w:sz w:val="20"/>
                <w:szCs w:val="20"/>
              </w:rPr>
              <w:t>Overall Mean</w:t>
            </w:r>
          </w:p>
        </w:tc>
        <w:tc>
          <w:tcPr>
            <w:tcW w:w="884" w:type="dxa"/>
            <w:tcBorders>
              <w:top w:val="single" w:sz="4" w:space="0" w:color="auto"/>
              <w:bottom w:val="single" w:sz="4" w:space="0" w:color="auto"/>
            </w:tcBorders>
            <w:vAlign w:val="center"/>
          </w:tcPr>
          <w:p w14:paraId="3D455A78"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3.83</w:t>
            </w:r>
          </w:p>
        </w:tc>
        <w:tc>
          <w:tcPr>
            <w:tcW w:w="3598" w:type="dxa"/>
            <w:tcBorders>
              <w:top w:val="single" w:sz="4" w:space="0" w:color="auto"/>
              <w:bottom w:val="single" w:sz="4" w:space="0" w:color="auto"/>
            </w:tcBorders>
          </w:tcPr>
          <w:p w14:paraId="28AC918D" w14:textId="77777777" w:rsidR="00F35278" w:rsidRPr="00F35278" w:rsidRDefault="00F35278" w:rsidP="003514F8">
            <w:pPr>
              <w:jc w:val="center"/>
              <w:rPr>
                <w:rFonts w:ascii="Arial" w:hAnsi="Arial" w:cs="Arial"/>
                <w:sz w:val="20"/>
                <w:szCs w:val="20"/>
              </w:rPr>
            </w:pPr>
            <w:r w:rsidRPr="00F35278">
              <w:rPr>
                <w:rFonts w:ascii="Arial" w:hAnsi="Arial" w:cs="Arial"/>
                <w:b/>
                <w:sz w:val="20"/>
                <w:szCs w:val="20"/>
              </w:rPr>
              <w:t>Very Engaged</w:t>
            </w:r>
          </w:p>
        </w:tc>
      </w:tr>
      <w:bookmarkEnd w:id="1"/>
    </w:tbl>
    <w:p w14:paraId="033AAD45" w14:textId="77777777" w:rsidR="00A54A8C" w:rsidRDefault="00A54A8C" w:rsidP="00A54A8C">
      <w:pPr>
        <w:autoSpaceDE w:val="0"/>
        <w:autoSpaceDN w:val="0"/>
        <w:adjustRightInd w:val="0"/>
        <w:jc w:val="both"/>
        <w:rPr>
          <w:rFonts w:ascii="Arial" w:hAnsi="Arial" w:cs="Arial"/>
          <w:bCs/>
          <w:szCs w:val="22"/>
        </w:rPr>
      </w:pPr>
    </w:p>
    <w:p w14:paraId="7D15E423" w14:textId="77777777" w:rsidR="00216DBA" w:rsidRDefault="00216DBA" w:rsidP="00216DBA">
      <w:pPr>
        <w:autoSpaceDE w:val="0"/>
        <w:autoSpaceDN w:val="0"/>
        <w:adjustRightInd w:val="0"/>
        <w:jc w:val="both"/>
        <w:rPr>
          <w:rFonts w:ascii="Arial" w:hAnsi="Arial" w:cs="Arial"/>
          <w:bCs/>
          <w:szCs w:val="22"/>
        </w:rPr>
      </w:pPr>
      <w:r w:rsidRPr="00216DBA">
        <w:rPr>
          <w:rFonts w:ascii="Arial" w:hAnsi="Arial" w:cs="Arial"/>
          <w:bCs/>
          <w:szCs w:val="22"/>
        </w:rPr>
        <w:t xml:space="preserve">Across all four aspects, students exhibit a high level of engagement in General Mathematics. The mean ratings range from 3.64 (Social Engagement) to 4.04 (Behavioral Engagement), demonstrating that students are attentive, participatory, motivated, and cognitively active in learning. The data imply that students’ profile—strand, academic performance, learning style, and availability of resources—contributes positively to engagement. Teachers can harness these insights to build instructional tactics that correspond with students’ profiles, further </w:t>
      </w:r>
      <w:r w:rsidR="00BE0A85">
        <w:rPr>
          <w:rFonts w:ascii="Arial" w:hAnsi="Arial" w:cs="Arial"/>
          <w:bCs/>
          <w:szCs w:val="22"/>
        </w:rPr>
        <w:t xml:space="preserve">improving </w:t>
      </w:r>
      <w:r w:rsidRPr="00216DBA">
        <w:rPr>
          <w:rFonts w:ascii="Arial" w:hAnsi="Arial" w:cs="Arial"/>
          <w:bCs/>
          <w:szCs w:val="22"/>
        </w:rPr>
        <w:t>engagement and learning results.</w:t>
      </w:r>
    </w:p>
    <w:p w14:paraId="4BDE1C23" w14:textId="77777777" w:rsidR="00216DBA" w:rsidRPr="00216DBA" w:rsidRDefault="00216DBA" w:rsidP="00216DBA">
      <w:pPr>
        <w:autoSpaceDE w:val="0"/>
        <w:autoSpaceDN w:val="0"/>
        <w:adjustRightInd w:val="0"/>
        <w:jc w:val="both"/>
        <w:rPr>
          <w:rFonts w:ascii="Arial" w:hAnsi="Arial" w:cs="Arial"/>
          <w:bCs/>
          <w:szCs w:val="22"/>
        </w:rPr>
      </w:pPr>
    </w:p>
    <w:p w14:paraId="22EA3A37" w14:textId="77777777" w:rsidR="00216DBA"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Motivational Engagement.</w:t>
      </w:r>
      <w:r w:rsidRPr="00216DBA">
        <w:rPr>
          <w:rFonts w:ascii="Arial" w:hAnsi="Arial" w:cs="Arial"/>
          <w:bCs/>
          <w:szCs w:val="22"/>
        </w:rPr>
        <w:t xml:space="preserve"> Students displayed a high level of motivational engagement with an overall mean of 3.83, indicating that they are very involved in terms of interest, tenacity, and goal-oriented conduct. This shows that learners are genuinely driven to participate in General Mathematics lessons. The results show that teachers could increase motivation by setting clear goals, providing appreciation for achievements, and developing hard yet feasible assignments. These findings are similar with Reeve (2013), who emphasized that intrinsic drive is critical for ongoing engagement and learning.</w:t>
      </w:r>
    </w:p>
    <w:p w14:paraId="0EC81F1C" w14:textId="77777777" w:rsidR="00BE0A85" w:rsidRPr="00216DBA" w:rsidRDefault="00BE0A85" w:rsidP="00216DBA">
      <w:pPr>
        <w:autoSpaceDE w:val="0"/>
        <w:autoSpaceDN w:val="0"/>
        <w:adjustRightInd w:val="0"/>
        <w:jc w:val="both"/>
        <w:rPr>
          <w:rFonts w:ascii="Arial" w:hAnsi="Arial" w:cs="Arial"/>
          <w:bCs/>
          <w:szCs w:val="22"/>
        </w:rPr>
      </w:pPr>
    </w:p>
    <w:p w14:paraId="2E5E2175" w14:textId="77777777" w:rsidR="00216DBA"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Social Engagement.</w:t>
      </w:r>
      <w:r w:rsidRPr="00216DBA">
        <w:rPr>
          <w:rFonts w:ascii="Arial" w:hAnsi="Arial" w:cs="Arial"/>
          <w:bCs/>
          <w:szCs w:val="22"/>
        </w:rPr>
        <w:t xml:space="preserve"> The overall mean of 3.64 for social engagement implies that students are strongly involved socially, actively participating in conversations, cooperating with peers, and connecting well with teachers. Since the majority of respondents are GAS students and favor the Reading/Writing learning style, including structured peer-learning tasks, group problem-solving, and discussion-based activities can further strengthen collaboration and interaction. This agrees with Wentzel (2010), who reported that strong social involvement increases collaboration and greater understanding of academic subject.</w:t>
      </w:r>
    </w:p>
    <w:p w14:paraId="6C364664" w14:textId="77777777" w:rsidR="00BE0A85" w:rsidRPr="00216DBA" w:rsidRDefault="00BE0A85" w:rsidP="00216DBA">
      <w:pPr>
        <w:autoSpaceDE w:val="0"/>
        <w:autoSpaceDN w:val="0"/>
        <w:adjustRightInd w:val="0"/>
        <w:jc w:val="both"/>
        <w:rPr>
          <w:rFonts w:ascii="Arial" w:hAnsi="Arial" w:cs="Arial"/>
          <w:bCs/>
          <w:szCs w:val="22"/>
        </w:rPr>
      </w:pPr>
    </w:p>
    <w:p w14:paraId="79374FB4" w14:textId="77777777" w:rsidR="00216DBA"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Behavioral Engagement.</w:t>
      </w:r>
      <w:r w:rsidRPr="00216DBA">
        <w:rPr>
          <w:rFonts w:ascii="Arial" w:hAnsi="Arial" w:cs="Arial"/>
          <w:bCs/>
          <w:szCs w:val="22"/>
        </w:rPr>
        <w:t xml:space="preserve"> Behavioral involvement obtained the highest mean (4.04), suggesting very active participation in school activities, consistent completion of assignments, and obedience to classroom regulations. This is certainly encouraged by the ubiquitous availability of digital resources such as Internet and smartphones, which promote assignment completion and classroom involvement. According to Fredricks et al. (2004), pupils who are behaviorally engaged display superior academic achievement and more consistent learning habits.</w:t>
      </w:r>
    </w:p>
    <w:p w14:paraId="59F9A373" w14:textId="77777777" w:rsidR="00BE0A85" w:rsidRPr="00216DBA" w:rsidRDefault="00BE0A85" w:rsidP="00216DBA">
      <w:pPr>
        <w:autoSpaceDE w:val="0"/>
        <w:autoSpaceDN w:val="0"/>
        <w:adjustRightInd w:val="0"/>
        <w:jc w:val="both"/>
        <w:rPr>
          <w:rFonts w:ascii="Arial" w:hAnsi="Arial" w:cs="Arial"/>
          <w:bCs/>
          <w:szCs w:val="22"/>
        </w:rPr>
      </w:pPr>
    </w:p>
    <w:p w14:paraId="590064BE" w14:textId="77777777" w:rsidR="001F10B4"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Cognitive Engagement.</w:t>
      </w:r>
      <w:r w:rsidRPr="00216DBA">
        <w:rPr>
          <w:rFonts w:ascii="Arial" w:hAnsi="Arial" w:cs="Arial"/>
          <w:bCs/>
          <w:szCs w:val="22"/>
        </w:rPr>
        <w:t xml:space="preserve"> The mean score of 3.82 suggests a “Very Engaged” level of cognitive involvement. Students actively apply techniques, engage critical thinking, and solve mathematical problems. Their predilection for Reading/Writing learning style may assist the deeper comprehension of mathematical knowledge. Research reveals that cognitive engagement is favorably connected with accomplishment and development of higher-order thinking skills (Appleton et al., 2008).</w:t>
      </w:r>
    </w:p>
    <w:p w14:paraId="7F25B16C" w14:textId="77777777" w:rsidR="00216DBA" w:rsidRPr="008D403A" w:rsidRDefault="00216DBA" w:rsidP="00216DBA">
      <w:pPr>
        <w:autoSpaceDE w:val="0"/>
        <w:autoSpaceDN w:val="0"/>
        <w:adjustRightInd w:val="0"/>
        <w:jc w:val="both"/>
        <w:rPr>
          <w:rFonts w:ascii="Arial" w:hAnsi="Arial" w:cs="Arial"/>
          <w:b/>
          <w:bCs/>
          <w:szCs w:val="22"/>
        </w:rPr>
      </w:pPr>
    </w:p>
    <w:p w14:paraId="64148BB8" w14:textId="77777777" w:rsidR="00D17C88" w:rsidRDefault="00D17C88" w:rsidP="00A54A8C">
      <w:pPr>
        <w:autoSpaceDE w:val="0"/>
        <w:autoSpaceDN w:val="0"/>
        <w:adjustRightInd w:val="0"/>
        <w:jc w:val="both"/>
        <w:rPr>
          <w:rFonts w:ascii="Arial" w:hAnsi="Arial" w:cs="Arial"/>
          <w:b/>
          <w:bCs/>
          <w:szCs w:val="22"/>
        </w:rPr>
      </w:pPr>
      <w:r w:rsidRPr="00D17C88">
        <w:rPr>
          <w:rFonts w:ascii="Arial" w:hAnsi="Arial" w:cs="Arial"/>
          <w:b/>
          <w:bCs/>
          <w:szCs w:val="22"/>
        </w:rPr>
        <w:t>Correlation between the Students’ Profiles and their Level of Engagement</w:t>
      </w:r>
    </w:p>
    <w:p w14:paraId="03410C0E" w14:textId="77777777" w:rsidR="00D17C88" w:rsidRDefault="00D17C88" w:rsidP="00D17C88">
      <w:pPr>
        <w:jc w:val="both"/>
        <w:rPr>
          <w:rFonts w:ascii="Arial" w:hAnsi="Arial" w:cs="Arial"/>
          <w:bCs/>
          <w:szCs w:val="22"/>
        </w:rPr>
      </w:pPr>
      <w:r w:rsidRPr="00D17C88">
        <w:rPr>
          <w:rFonts w:ascii="Arial" w:hAnsi="Arial" w:cs="Arial"/>
          <w:bCs/>
          <w:szCs w:val="22"/>
        </w:rPr>
        <w:lastRenderedPageBreak/>
        <w:t xml:space="preserve">The Table </w:t>
      </w:r>
      <w:r>
        <w:rPr>
          <w:rFonts w:ascii="Arial" w:hAnsi="Arial" w:cs="Arial"/>
          <w:bCs/>
          <w:szCs w:val="22"/>
        </w:rPr>
        <w:t>3</w:t>
      </w:r>
      <w:r w:rsidRPr="00D17C88">
        <w:rPr>
          <w:rFonts w:ascii="Arial" w:hAnsi="Arial" w:cs="Arial"/>
          <w:bCs/>
          <w:szCs w:val="22"/>
        </w:rPr>
        <w:t xml:space="preserve"> shows the correlation between the students’ profile and their level of engagement in learning General Mathematics</w:t>
      </w:r>
    </w:p>
    <w:p w14:paraId="71783260" w14:textId="77777777" w:rsidR="00D17C88" w:rsidRDefault="00D17C88" w:rsidP="00D17C88">
      <w:pPr>
        <w:jc w:val="both"/>
        <w:rPr>
          <w:rFonts w:ascii="Arial" w:hAnsi="Arial" w:cs="Arial"/>
          <w:bCs/>
          <w:szCs w:val="22"/>
        </w:rPr>
      </w:pPr>
    </w:p>
    <w:p w14:paraId="2B317D0C" w14:textId="77777777" w:rsidR="00C75923" w:rsidRDefault="00C75923" w:rsidP="00C75923">
      <w:pPr>
        <w:jc w:val="center"/>
        <w:rPr>
          <w:rFonts w:ascii="Arial" w:hAnsi="Arial" w:cs="Arial"/>
          <w:b/>
          <w:bCs/>
        </w:rPr>
      </w:pPr>
      <w:r w:rsidRPr="00C75923">
        <w:rPr>
          <w:rFonts w:ascii="Arial" w:hAnsi="Arial" w:cs="Arial"/>
          <w:b/>
          <w:bCs/>
        </w:rPr>
        <w:t xml:space="preserve">Table 3. </w:t>
      </w:r>
      <w:r w:rsidR="00932CA6" w:rsidRPr="00932CA6">
        <w:rPr>
          <w:rFonts w:ascii="Arial" w:hAnsi="Arial" w:cs="Arial"/>
          <w:b/>
          <w:bCs/>
        </w:rPr>
        <w:t>Correlation between the students’ profile and their level of engagement in learning General Mathematics</w:t>
      </w:r>
    </w:p>
    <w:tbl>
      <w:tblPr>
        <w:tblStyle w:val="TableGrid"/>
        <w:tblW w:w="8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9"/>
        <w:gridCol w:w="1701"/>
        <w:gridCol w:w="1559"/>
        <w:gridCol w:w="1701"/>
        <w:gridCol w:w="1700"/>
      </w:tblGrid>
      <w:tr w:rsidR="001306D5" w:rsidRPr="00216DBA" w14:paraId="187E8E09" w14:textId="77777777" w:rsidTr="001306D5">
        <w:trPr>
          <w:trHeight w:val="410"/>
        </w:trPr>
        <w:tc>
          <w:tcPr>
            <w:tcW w:w="2209" w:type="dxa"/>
            <w:vMerge w:val="restart"/>
            <w:tcBorders>
              <w:top w:val="single" w:sz="4" w:space="0" w:color="auto"/>
            </w:tcBorders>
            <w:vAlign w:val="center"/>
          </w:tcPr>
          <w:p w14:paraId="2496FC9E" w14:textId="77777777" w:rsidR="001306D5" w:rsidRPr="00216DBA" w:rsidRDefault="001306D5" w:rsidP="003514F8">
            <w:pPr>
              <w:pStyle w:val="ListParagraph"/>
              <w:ind w:left="0"/>
              <w:jc w:val="center"/>
              <w:rPr>
                <w:rFonts w:ascii="Arial" w:hAnsi="Arial" w:cs="Arial"/>
                <w:b/>
                <w:bCs/>
                <w:sz w:val="20"/>
                <w:szCs w:val="20"/>
              </w:rPr>
            </w:pPr>
            <w:r w:rsidRPr="00216DBA">
              <w:rPr>
                <w:rFonts w:ascii="Arial" w:hAnsi="Arial" w:cs="Arial"/>
                <w:b/>
                <w:bCs/>
                <w:sz w:val="20"/>
                <w:szCs w:val="20"/>
              </w:rPr>
              <w:t>Profile of the Respondents</w:t>
            </w:r>
          </w:p>
        </w:tc>
        <w:tc>
          <w:tcPr>
            <w:tcW w:w="6661" w:type="dxa"/>
            <w:gridSpan w:val="4"/>
            <w:tcBorders>
              <w:top w:val="single" w:sz="4" w:space="0" w:color="auto"/>
              <w:bottom w:val="single" w:sz="4" w:space="0" w:color="auto"/>
            </w:tcBorders>
            <w:vAlign w:val="center"/>
          </w:tcPr>
          <w:p w14:paraId="4F660945"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Level of Engagement</w:t>
            </w:r>
          </w:p>
        </w:tc>
      </w:tr>
      <w:tr w:rsidR="001306D5" w:rsidRPr="00216DBA" w14:paraId="419ABDA3" w14:textId="77777777" w:rsidTr="00AC4DDE">
        <w:trPr>
          <w:trHeight w:val="410"/>
        </w:trPr>
        <w:tc>
          <w:tcPr>
            <w:tcW w:w="2209" w:type="dxa"/>
            <w:vMerge/>
            <w:tcBorders>
              <w:bottom w:val="single" w:sz="4" w:space="0" w:color="auto"/>
            </w:tcBorders>
            <w:vAlign w:val="center"/>
          </w:tcPr>
          <w:p w14:paraId="4A1BAD4F" w14:textId="77777777" w:rsidR="001306D5" w:rsidRPr="00216DBA" w:rsidRDefault="001306D5" w:rsidP="001306D5">
            <w:pPr>
              <w:pStyle w:val="ListParagraph"/>
              <w:ind w:left="0"/>
              <w:jc w:val="center"/>
              <w:rPr>
                <w:rFonts w:ascii="Arial" w:hAnsi="Arial" w:cs="Arial"/>
                <w:b/>
                <w:bCs/>
                <w:sz w:val="20"/>
                <w:szCs w:val="20"/>
              </w:rPr>
            </w:pPr>
          </w:p>
        </w:tc>
        <w:tc>
          <w:tcPr>
            <w:tcW w:w="1701" w:type="dxa"/>
            <w:tcBorders>
              <w:top w:val="single" w:sz="4" w:space="0" w:color="auto"/>
              <w:bottom w:val="single" w:sz="4" w:space="0" w:color="auto"/>
            </w:tcBorders>
            <w:vAlign w:val="center"/>
          </w:tcPr>
          <w:p w14:paraId="22D498D3"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Motivational Engagement</w:t>
            </w:r>
          </w:p>
        </w:tc>
        <w:tc>
          <w:tcPr>
            <w:tcW w:w="1559" w:type="dxa"/>
            <w:tcBorders>
              <w:top w:val="single" w:sz="4" w:space="0" w:color="auto"/>
              <w:bottom w:val="single" w:sz="4" w:space="0" w:color="auto"/>
            </w:tcBorders>
            <w:vAlign w:val="center"/>
          </w:tcPr>
          <w:p w14:paraId="50F7AA6C"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Social Engagement</w:t>
            </w:r>
          </w:p>
        </w:tc>
        <w:tc>
          <w:tcPr>
            <w:tcW w:w="1701" w:type="dxa"/>
            <w:tcBorders>
              <w:top w:val="single" w:sz="4" w:space="0" w:color="auto"/>
              <w:bottom w:val="single" w:sz="4" w:space="0" w:color="auto"/>
            </w:tcBorders>
            <w:vAlign w:val="center"/>
          </w:tcPr>
          <w:p w14:paraId="4851CDEC"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Behavioral Engagement</w:t>
            </w:r>
          </w:p>
        </w:tc>
        <w:tc>
          <w:tcPr>
            <w:tcW w:w="1700" w:type="dxa"/>
            <w:tcBorders>
              <w:top w:val="single" w:sz="4" w:space="0" w:color="auto"/>
              <w:bottom w:val="single" w:sz="4" w:space="0" w:color="auto"/>
            </w:tcBorders>
            <w:vAlign w:val="center"/>
          </w:tcPr>
          <w:p w14:paraId="0555A4AA"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Cognitive Engagement</w:t>
            </w:r>
          </w:p>
        </w:tc>
      </w:tr>
      <w:tr w:rsidR="003E7C28" w:rsidRPr="00216DBA" w14:paraId="713B7F8F" w14:textId="77777777" w:rsidTr="00D54509">
        <w:trPr>
          <w:trHeight w:val="410"/>
        </w:trPr>
        <w:tc>
          <w:tcPr>
            <w:tcW w:w="2209" w:type="dxa"/>
            <w:tcBorders>
              <w:top w:val="single" w:sz="4" w:space="0" w:color="auto"/>
            </w:tcBorders>
            <w:vAlign w:val="center"/>
          </w:tcPr>
          <w:p w14:paraId="6869F2AD"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Strand</w:t>
            </w:r>
          </w:p>
        </w:tc>
        <w:tc>
          <w:tcPr>
            <w:tcW w:w="1701" w:type="dxa"/>
            <w:tcBorders>
              <w:top w:val="single" w:sz="4" w:space="0" w:color="auto"/>
            </w:tcBorders>
            <w:vAlign w:val="center"/>
          </w:tcPr>
          <w:p w14:paraId="438FB63B"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−0.163</w:t>
            </w:r>
          </w:p>
        </w:tc>
        <w:tc>
          <w:tcPr>
            <w:tcW w:w="1559" w:type="dxa"/>
            <w:tcBorders>
              <w:top w:val="single" w:sz="4" w:space="0" w:color="auto"/>
            </w:tcBorders>
            <w:vAlign w:val="center"/>
          </w:tcPr>
          <w:p w14:paraId="7B4ED809"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−0.091</w:t>
            </w:r>
          </w:p>
        </w:tc>
        <w:tc>
          <w:tcPr>
            <w:tcW w:w="1701" w:type="dxa"/>
            <w:tcBorders>
              <w:top w:val="single" w:sz="4" w:space="0" w:color="auto"/>
            </w:tcBorders>
            <w:vAlign w:val="center"/>
          </w:tcPr>
          <w:p w14:paraId="1AC2D2F9"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−0.274*</w:t>
            </w:r>
          </w:p>
        </w:tc>
        <w:tc>
          <w:tcPr>
            <w:tcW w:w="1700" w:type="dxa"/>
            <w:tcBorders>
              <w:top w:val="single" w:sz="4" w:space="0" w:color="auto"/>
            </w:tcBorders>
            <w:vAlign w:val="center"/>
          </w:tcPr>
          <w:p w14:paraId="3F245E1E"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−0.187</w:t>
            </w:r>
          </w:p>
        </w:tc>
      </w:tr>
      <w:tr w:rsidR="003E7C28" w:rsidRPr="00216DBA" w14:paraId="5654F1A4" w14:textId="77777777" w:rsidTr="00D54509">
        <w:trPr>
          <w:trHeight w:val="398"/>
        </w:trPr>
        <w:tc>
          <w:tcPr>
            <w:tcW w:w="2209" w:type="dxa"/>
            <w:vAlign w:val="center"/>
          </w:tcPr>
          <w:p w14:paraId="129988EA"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Academic Grade</w:t>
            </w:r>
          </w:p>
        </w:tc>
        <w:tc>
          <w:tcPr>
            <w:tcW w:w="1701" w:type="dxa"/>
            <w:vAlign w:val="center"/>
          </w:tcPr>
          <w:p w14:paraId="2726252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0.314**</w:t>
            </w:r>
          </w:p>
        </w:tc>
        <w:tc>
          <w:tcPr>
            <w:tcW w:w="1559" w:type="dxa"/>
            <w:vAlign w:val="center"/>
          </w:tcPr>
          <w:p w14:paraId="7D6BAF6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0.228*</w:t>
            </w:r>
          </w:p>
        </w:tc>
        <w:tc>
          <w:tcPr>
            <w:tcW w:w="1701" w:type="dxa"/>
            <w:vAlign w:val="center"/>
          </w:tcPr>
          <w:p w14:paraId="27347CF3"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0.692**</w:t>
            </w:r>
          </w:p>
        </w:tc>
        <w:tc>
          <w:tcPr>
            <w:tcW w:w="1700" w:type="dxa"/>
            <w:vAlign w:val="center"/>
          </w:tcPr>
          <w:p w14:paraId="23AA463A"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0.260*</w:t>
            </w:r>
          </w:p>
        </w:tc>
      </w:tr>
      <w:tr w:rsidR="003E7C28" w:rsidRPr="00216DBA" w14:paraId="7E8CD803" w14:textId="77777777" w:rsidTr="00D54509">
        <w:trPr>
          <w:trHeight w:val="410"/>
        </w:trPr>
        <w:tc>
          <w:tcPr>
            <w:tcW w:w="2209" w:type="dxa"/>
            <w:vAlign w:val="center"/>
          </w:tcPr>
          <w:p w14:paraId="13C700DD"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Preferred Learning Style</w:t>
            </w:r>
          </w:p>
        </w:tc>
        <w:tc>
          <w:tcPr>
            <w:tcW w:w="1701" w:type="dxa"/>
            <w:vAlign w:val="center"/>
          </w:tcPr>
          <w:p w14:paraId="5478E16C"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−0.167</w:t>
            </w:r>
          </w:p>
        </w:tc>
        <w:tc>
          <w:tcPr>
            <w:tcW w:w="1559" w:type="dxa"/>
            <w:vAlign w:val="center"/>
          </w:tcPr>
          <w:p w14:paraId="3C6CBC7C"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0.426***</w:t>
            </w:r>
          </w:p>
        </w:tc>
        <w:tc>
          <w:tcPr>
            <w:tcW w:w="1701" w:type="dxa"/>
            <w:vAlign w:val="center"/>
          </w:tcPr>
          <w:p w14:paraId="3287A921"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−0.254*</w:t>
            </w:r>
          </w:p>
        </w:tc>
        <w:tc>
          <w:tcPr>
            <w:tcW w:w="1700" w:type="dxa"/>
            <w:vAlign w:val="center"/>
          </w:tcPr>
          <w:p w14:paraId="197026CA"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−0.166</w:t>
            </w:r>
          </w:p>
        </w:tc>
      </w:tr>
      <w:tr w:rsidR="003E7C28" w:rsidRPr="00216DBA" w14:paraId="1B378870" w14:textId="77777777" w:rsidTr="00D54509">
        <w:trPr>
          <w:trHeight w:val="615"/>
        </w:trPr>
        <w:tc>
          <w:tcPr>
            <w:tcW w:w="2209" w:type="dxa"/>
            <w:tcBorders>
              <w:bottom w:val="single" w:sz="4" w:space="0" w:color="auto"/>
            </w:tcBorders>
            <w:vAlign w:val="center"/>
          </w:tcPr>
          <w:p w14:paraId="7C47F9FA"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Availability of Learning Resources</w:t>
            </w:r>
          </w:p>
        </w:tc>
        <w:tc>
          <w:tcPr>
            <w:tcW w:w="1701" w:type="dxa"/>
            <w:tcBorders>
              <w:bottom w:val="single" w:sz="4" w:space="0" w:color="auto"/>
            </w:tcBorders>
            <w:vAlign w:val="center"/>
          </w:tcPr>
          <w:p w14:paraId="704DD4A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0.303**</w:t>
            </w:r>
          </w:p>
        </w:tc>
        <w:tc>
          <w:tcPr>
            <w:tcW w:w="1559" w:type="dxa"/>
            <w:tcBorders>
              <w:bottom w:val="single" w:sz="4" w:space="0" w:color="auto"/>
            </w:tcBorders>
            <w:vAlign w:val="center"/>
          </w:tcPr>
          <w:p w14:paraId="74E39C46"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0.426**</w:t>
            </w:r>
          </w:p>
        </w:tc>
        <w:tc>
          <w:tcPr>
            <w:tcW w:w="1701" w:type="dxa"/>
            <w:tcBorders>
              <w:bottom w:val="single" w:sz="4" w:space="0" w:color="auto"/>
            </w:tcBorders>
            <w:vAlign w:val="center"/>
          </w:tcPr>
          <w:p w14:paraId="5AEF1DA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0.695**</w:t>
            </w:r>
          </w:p>
        </w:tc>
        <w:tc>
          <w:tcPr>
            <w:tcW w:w="1700" w:type="dxa"/>
            <w:tcBorders>
              <w:bottom w:val="single" w:sz="4" w:space="0" w:color="auto"/>
            </w:tcBorders>
            <w:vAlign w:val="center"/>
          </w:tcPr>
          <w:p w14:paraId="2251124B"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0.720**</w:t>
            </w:r>
          </w:p>
        </w:tc>
      </w:tr>
    </w:tbl>
    <w:p w14:paraId="3C79E536" w14:textId="77777777" w:rsidR="0049348D" w:rsidRDefault="0049348D" w:rsidP="0049348D">
      <w:pPr>
        <w:autoSpaceDE w:val="0"/>
        <w:autoSpaceDN w:val="0"/>
        <w:adjustRightInd w:val="0"/>
        <w:jc w:val="both"/>
        <w:rPr>
          <w:rFonts w:ascii="Arial" w:hAnsi="Arial" w:cs="Arial"/>
          <w:color w:val="000000"/>
        </w:rPr>
      </w:pPr>
    </w:p>
    <w:p w14:paraId="2B5B2F1F" w14:textId="77777777" w:rsidR="0049348D" w:rsidRPr="0049348D" w:rsidRDefault="0049348D" w:rsidP="0049348D">
      <w:pPr>
        <w:autoSpaceDE w:val="0"/>
        <w:autoSpaceDN w:val="0"/>
        <w:adjustRightInd w:val="0"/>
        <w:jc w:val="both"/>
        <w:rPr>
          <w:rFonts w:ascii="Arial" w:hAnsi="Arial" w:cs="Arial"/>
          <w:bCs/>
          <w:szCs w:val="22"/>
        </w:rPr>
      </w:pPr>
      <w:r w:rsidRPr="0049348D">
        <w:rPr>
          <w:rFonts w:ascii="Arial" w:hAnsi="Arial" w:cs="Arial"/>
          <w:bCs/>
          <w:szCs w:val="22"/>
        </w:rPr>
        <w:t>The table indicates Strand negative connections with all measures of engagement, with significant relationships only in behavioral engagement (−0.274). This implies that students from diverse strands, notably those in GAS, tend to participate less actively in classroom assignments than STEM students. This highlights the necessity for strand-sensitive instructional approaches to enhance active participation, complementing Fredricks et al. (2004), who stressed the importance of academic setting on involvement.</w:t>
      </w:r>
    </w:p>
    <w:p w14:paraId="642B7E51" w14:textId="77777777" w:rsidR="0049348D" w:rsidRDefault="0049348D" w:rsidP="0049348D">
      <w:pPr>
        <w:autoSpaceDE w:val="0"/>
        <w:autoSpaceDN w:val="0"/>
        <w:adjustRightInd w:val="0"/>
        <w:jc w:val="both"/>
        <w:rPr>
          <w:rFonts w:ascii="Arial" w:hAnsi="Arial" w:cs="Arial"/>
          <w:bCs/>
          <w:szCs w:val="22"/>
        </w:rPr>
      </w:pPr>
    </w:p>
    <w:p w14:paraId="7399E342" w14:textId="77777777" w:rsidR="0049348D" w:rsidRPr="0049348D" w:rsidRDefault="0049348D" w:rsidP="0049348D">
      <w:pPr>
        <w:autoSpaceDE w:val="0"/>
        <w:autoSpaceDN w:val="0"/>
        <w:adjustRightInd w:val="0"/>
        <w:jc w:val="both"/>
        <w:rPr>
          <w:rFonts w:ascii="Arial" w:hAnsi="Arial" w:cs="Arial"/>
          <w:bCs/>
          <w:szCs w:val="22"/>
        </w:rPr>
      </w:pPr>
      <w:r w:rsidRPr="0049348D">
        <w:rPr>
          <w:rFonts w:ascii="Arial" w:hAnsi="Arial" w:cs="Arial"/>
          <w:bCs/>
          <w:szCs w:val="22"/>
        </w:rPr>
        <w:t>Meanwhile, academic grade displays significant positive connections with all engagement characteristics, with the largest link identified in behavioral engagement (0.692). This suggests that higher-performing kids tend to be more driven, socially engaging, behaviorally responsible, and cognitively immersed in learning. The result is that students with inferior academic achievement may require personalized assistance to raise their level of involvement. This finding is congruent with Appleton et al. (2008), who noted that academic achievement and involvement reinforce each other.</w:t>
      </w:r>
    </w:p>
    <w:p w14:paraId="71B04226" w14:textId="77777777" w:rsidR="0049348D" w:rsidRDefault="0049348D" w:rsidP="0049348D">
      <w:pPr>
        <w:autoSpaceDE w:val="0"/>
        <w:autoSpaceDN w:val="0"/>
        <w:adjustRightInd w:val="0"/>
        <w:jc w:val="both"/>
        <w:rPr>
          <w:rFonts w:ascii="Arial" w:hAnsi="Arial" w:cs="Arial"/>
          <w:bCs/>
          <w:szCs w:val="22"/>
        </w:rPr>
      </w:pPr>
    </w:p>
    <w:p w14:paraId="11E6B0A8" w14:textId="77777777" w:rsidR="0049348D" w:rsidRDefault="0049348D" w:rsidP="0049348D">
      <w:pPr>
        <w:autoSpaceDE w:val="0"/>
        <w:autoSpaceDN w:val="0"/>
        <w:adjustRightInd w:val="0"/>
        <w:jc w:val="both"/>
        <w:rPr>
          <w:rFonts w:ascii="Arial" w:hAnsi="Arial" w:cs="Arial"/>
          <w:bCs/>
          <w:szCs w:val="22"/>
        </w:rPr>
      </w:pPr>
      <w:r w:rsidRPr="0049348D">
        <w:rPr>
          <w:rFonts w:ascii="Arial" w:hAnsi="Arial" w:cs="Arial"/>
          <w:bCs/>
          <w:szCs w:val="22"/>
        </w:rPr>
        <w:t>For preferred learning style, negative associations occur in motivational, behavioral, and cognitive engagement, while only behavioral engagement is significant (−0.254). Interestingly, a large significant positive association occurs with social engagement (0.426), showing that students with certain learning styles—particularly Reading/Writing learners—engage more actively in social discussions and collaborative work. This underscores the necessity of multimodal educational methodologies. The conclusion corresponds with Fleming and Mills (1992), who stated that matching teaching styles with learning preferences promotes engagement.</w:t>
      </w:r>
    </w:p>
    <w:p w14:paraId="5A13D274" w14:textId="77777777" w:rsidR="00262EC6" w:rsidRDefault="00262EC6" w:rsidP="00262EC6">
      <w:pPr>
        <w:autoSpaceDE w:val="0"/>
        <w:autoSpaceDN w:val="0"/>
        <w:adjustRightInd w:val="0"/>
        <w:jc w:val="both"/>
        <w:rPr>
          <w:rFonts w:ascii="Arial" w:hAnsi="Arial" w:cs="Arial"/>
          <w:bCs/>
          <w:szCs w:val="22"/>
        </w:rPr>
      </w:pPr>
    </w:p>
    <w:p w14:paraId="457D9989" w14:textId="77777777" w:rsidR="008826A1" w:rsidRDefault="0049348D" w:rsidP="00262EC6">
      <w:pPr>
        <w:autoSpaceDE w:val="0"/>
        <w:autoSpaceDN w:val="0"/>
        <w:adjustRightInd w:val="0"/>
        <w:jc w:val="both"/>
        <w:rPr>
          <w:rFonts w:ascii="Arial" w:hAnsi="Arial" w:cs="Arial"/>
          <w:bCs/>
          <w:szCs w:val="22"/>
        </w:rPr>
      </w:pPr>
      <w:r w:rsidRPr="0049348D">
        <w:rPr>
          <w:rFonts w:ascii="Arial" w:hAnsi="Arial" w:cs="Arial"/>
          <w:bCs/>
          <w:szCs w:val="22"/>
        </w:rPr>
        <w:t>Lastly, availability of learning materials demonstrates substantial and significant positive connections across all engagement characteristics, most notably with cognitive engagement (0.720) and behavioral engagement (0.695). This indicates that students having better access to resources such as internet, smartphones, and textbooks tend to participate more actively and process mathematical topics more deeply. The implication is that enhancing students’ access to learning materials could significantly increase their engagement. These findings are reinforced by Wentzel (2010), who highlighted that adequate resources promote active and meaningful learning.</w:t>
      </w:r>
    </w:p>
    <w:p w14:paraId="7E77FE19" w14:textId="77777777" w:rsidR="0049348D" w:rsidRPr="008826A1" w:rsidRDefault="0049348D" w:rsidP="0049348D">
      <w:pPr>
        <w:autoSpaceDE w:val="0"/>
        <w:autoSpaceDN w:val="0"/>
        <w:adjustRightInd w:val="0"/>
        <w:ind w:firstLine="720"/>
        <w:jc w:val="both"/>
        <w:rPr>
          <w:rFonts w:ascii="Arial" w:hAnsi="Arial" w:cs="Arial"/>
          <w:bCs/>
          <w:szCs w:val="22"/>
        </w:rPr>
      </w:pPr>
    </w:p>
    <w:p w14:paraId="5C5C0369"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0FBB693" w14:textId="77777777" w:rsidR="00790ADA" w:rsidRPr="00FB3A86" w:rsidRDefault="00790ADA" w:rsidP="00441B6F">
      <w:pPr>
        <w:pStyle w:val="ConcHead"/>
        <w:spacing w:after="0"/>
        <w:jc w:val="both"/>
        <w:rPr>
          <w:rFonts w:ascii="Arial" w:hAnsi="Arial" w:cs="Arial"/>
        </w:rPr>
      </w:pPr>
    </w:p>
    <w:p w14:paraId="639800AA" w14:textId="77777777" w:rsidR="004F4C90" w:rsidRDefault="00262EC6" w:rsidP="00A5045A">
      <w:pPr>
        <w:pStyle w:val="Body"/>
        <w:rPr>
          <w:rFonts w:ascii="Arial" w:hAnsi="Arial" w:cs="Arial"/>
        </w:rPr>
      </w:pPr>
      <w:r w:rsidRPr="00262EC6">
        <w:rPr>
          <w:rFonts w:ascii="Arial" w:hAnsi="Arial" w:cs="Arial"/>
        </w:rPr>
        <w:t xml:space="preserve">Based on the findings of the study, the following conclusions were drawn: </w:t>
      </w:r>
      <w:r>
        <w:rPr>
          <w:rFonts w:ascii="Arial" w:hAnsi="Arial" w:cs="Arial"/>
        </w:rPr>
        <w:t>t</w:t>
      </w:r>
      <w:r w:rsidRPr="00262EC6">
        <w:rPr>
          <w:rFonts w:ascii="Arial" w:hAnsi="Arial" w:cs="Arial"/>
        </w:rPr>
        <w:t>he profile characteristics of the respondents show a learner population with basic academic readiness but different levels of instructional support outside the classroom</w:t>
      </w:r>
      <w:r>
        <w:rPr>
          <w:rFonts w:ascii="Arial" w:hAnsi="Arial" w:cs="Arial"/>
        </w:rPr>
        <w:t>; s</w:t>
      </w:r>
      <w:r w:rsidRPr="00262EC6">
        <w:rPr>
          <w:rFonts w:ascii="Arial" w:hAnsi="Arial" w:cs="Arial"/>
        </w:rPr>
        <w:t>tudents display a high level of engagement across motivational, social, behavioral, and cognitive dimensions suggesting that learners are generally attentive and interested in the learning process despite disparities in profile factors</w:t>
      </w:r>
      <w:r w:rsidR="00A5045A">
        <w:rPr>
          <w:rFonts w:ascii="Arial" w:hAnsi="Arial" w:cs="Arial"/>
        </w:rPr>
        <w:t>; and s</w:t>
      </w:r>
      <w:r w:rsidRPr="00262EC6">
        <w:rPr>
          <w:rFonts w:ascii="Arial" w:hAnsi="Arial" w:cs="Arial"/>
        </w:rPr>
        <w:t>tudents’ profile factors considerably influence engagement in learning General Mathematics.</w:t>
      </w:r>
    </w:p>
    <w:p w14:paraId="595E5CBD" w14:textId="77777777" w:rsidR="004F4C90" w:rsidRPr="004F4C90" w:rsidRDefault="004F4C90" w:rsidP="004F4C90">
      <w:pPr>
        <w:pStyle w:val="Body"/>
        <w:spacing w:after="0"/>
        <w:rPr>
          <w:rFonts w:ascii="Arial" w:hAnsi="Arial" w:cs="Arial"/>
          <w:b/>
          <w:sz w:val="22"/>
          <w:szCs w:val="22"/>
        </w:rPr>
      </w:pPr>
      <w:r w:rsidRPr="004F4C90">
        <w:rPr>
          <w:rFonts w:ascii="Arial" w:hAnsi="Arial" w:cs="Arial"/>
          <w:b/>
          <w:sz w:val="22"/>
          <w:szCs w:val="22"/>
        </w:rPr>
        <w:t>DISCLAIMER (ARTIFICIAL INTELLIGENCE)</w:t>
      </w:r>
    </w:p>
    <w:p w14:paraId="1418967B" w14:textId="77777777" w:rsidR="0018000D" w:rsidRDefault="0018000D" w:rsidP="004F4C90">
      <w:pPr>
        <w:pStyle w:val="Body"/>
        <w:spacing w:after="0"/>
        <w:rPr>
          <w:rFonts w:ascii="Arial" w:hAnsi="Arial" w:cs="Arial"/>
        </w:rPr>
      </w:pPr>
    </w:p>
    <w:p w14:paraId="0E519BAB" w14:textId="77777777" w:rsidR="0018000D" w:rsidRDefault="00A5045A" w:rsidP="00441B6F">
      <w:pPr>
        <w:pStyle w:val="Body"/>
        <w:spacing w:after="0"/>
        <w:rPr>
          <w:rFonts w:ascii="Arial" w:hAnsi="Arial" w:cs="Arial"/>
        </w:rPr>
      </w:pPr>
      <w:r w:rsidRPr="00A5045A">
        <w:rPr>
          <w:rFonts w:ascii="Arial" w:hAnsi="Arial" w:cs="Arial"/>
        </w:rPr>
        <w:t>The artificial intelligence was utilized to improve the discussion's coherence and clarity, polish the abstract for easier reading and scholarly standards compliance, and improve grammar and academic tone.    The authors only are in control of all intellectual content, data interpretation, and scientific discoveries.   The AI tool only functioned as a linguistic and editorial help; it did not contribute any unique scientific ideas or undertake any data analysis.</w:t>
      </w:r>
    </w:p>
    <w:p w14:paraId="6BCD9E53" w14:textId="77777777" w:rsidR="00A5045A" w:rsidRPr="00FB3A86" w:rsidRDefault="00A5045A" w:rsidP="00441B6F">
      <w:pPr>
        <w:pStyle w:val="Body"/>
        <w:spacing w:after="0"/>
        <w:rPr>
          <w:rFonts w:ascii="Arial" w:hAnsi="Arial" w:cs="Arial"/>
        </w:rPr>
      </w:pPr>
    </w:p>
    <w:p w14:paraId="0C58F4E8" w14:textId="77777777" w:rsidR="00860000" w:rsidRPr="0005640D"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BB81277" w14:textId="77777777" w:rsidR="00052B14" w:rsidRDefault="006C6E4C" w:rsidP="0005640D">
      <w:pPr>
        <w:pStyle w:val="ReferHead"/>
        <w:spacing w:after="0"/>
        <w:jc w:val="both"/>
        <w:rPr>
          <w:rFonts w:ascii="Arial" w:hAnsi="Arial" w:cs="Arial"/>
          <w:b w:val="0"/>
          <w:caps w:val="0"/>
          <w:sz w:val="20"/>
        </w:rPr>
      </w:pPr>
      <w:r w:rsidRPr="006C6E4C">
        <w:rPr>
          <w:rFonts w:ascii="Arial" w:hAnsi="Arial" w:cs="Arial"/>
          <w:b w:val="0"/>
          <w:caps w:val="0"/>
          <w:sz w:val="20"/>
        </w:rPr>
        <w:t>The authors declared that there were no competing interests exist.</w:t>
      </w:r>
    </w:p>
    <w:p w14:paraId="6FA9432F" w14:textId="77777777" w:rsidR="00052B14" w:rsidRDefault="00052B14" w:rsidP="0005640D">
      <w:pPr>
        <w:pStyle w:val="ReferHead"/>
        <w:spacing w:after="0"/>
        <w:jc w:val="both"/>
        <w:rPr>
          <w:rFonts w:ascii="Arial" w:hAnsi="Arial" w:cs="Arial"/>
          <w:b w:val="0"/>
          <w:caps w:val="0"/>
          <w:sz w:val="20"/>
        </w:rPr>
      </w:pPr>
    </w:p>
    <w:p w14:paraId="4B8347C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6647D53" w14:textId="77777777" w:rsidR="002B685A" w:rsidRPr="002B685A" w:rsidRDefault="002B685A" w:rsidP="00441B6F">
      <w:pPr>
        <w:pStyle w:val="ReferHead"/>
        <w:spacing w:after="0"/>
        <w:jc w:val="both"/>
        <w:rPr>
          <w:rFonts w:ascii="Arial" w:hAnsi="Arial" w:cs="Arial"/>
          <w:bCs/>
        </w:rPr>
      </w:pPr>
    </w:p>
    <w:p w14:paraId="58289432" w14:textId="77777777" w:rsidR="001A29D8" w:rsidRDefault="00655349" w:rsidP="00441B6F">
      <w:pPr>
        <w:pStyle w:val="ReferHead"/>
        <w:spacing w:after="0"/>
        <w:jc w:val="both"/>
        <w:rPr>
          <w:rFonts w:ascii="Arial" w:hAnsi="Arial" w:cs="Arial"/>
          <w:b w:val="0"/>
          <w:caps w:val="0"/>
          <w:sz w:val="20"/>
        </w:rPr>
      </w:pPr>
      <w:r w:rsidRPr="00655349">
        <w:rPr>
          <w:rFonts w:ascii="Arial" w:hAnsi="Arial" w:cs="Arial"/>
          <w:b w:val="0"/>
          <w:caps w:val="0"/>
          <w:sz w:val="20"/>
        </w:rPr>
        <w:t>The participant's written informed consent was obtained, according to the author.</w:t>
      </w:r>
    </w:p>
    <w:p w14:paraId="27CA211A" w14:textId="77777777" w:rsidR="005C784C" w:rsidRDefault="005C784C" w:rsidP="00441B6F">
      <w:pPr>
        <w:pStyle w:val="ReferHead"/>
        <w:spacing w:after="0"/>
        <w:jc w:val="both"/>
        <w:rPr>
          <w:rFonts w:ascii="Arial" w:hAnsi="Arial" w:cs="Arial"/>
          <w:b w:val="0"/>
          <w:caps w:val="0"/>
          <w:sz w:val="20"/>
        </w:rPr>
      </w:pPr>
    </w:p>
    <w:p w14:paraId="10649B3F"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EA46738" w14:textId="77777777" w:rsidR="005C784C" w:rsidRPr="002B685A" w:rsidRDefault="005C784C" w:rsidP="00441B6F">
      <w:pPr>
        <w:pStyle w:val="ReferHead"/>
        <w:spacing w:after="0"/>
        <w:jc w:val="both"/>
        <w:rPr>
          <w:rFonts w:ascii="Arial" w:hAnsi="Arial" w:cs="Arial"/>
          <w:bCs/>
        </w:rPr>
      </w:pPr>
    </w:p>
    <w:p w14:paraId="0418DD69" w14:textId="77777777" w:rsidR="00D13EA5" w:rsidRDefault="00D13EA5" w:rsidP="00441B6F">
      <w:pPr>
        <w:pStyle w:val="ReferHead"/>
        <w:spacing w:after="0"/>
        <w:jc w:val="both"/>
        <w:rPr>
          <w:rFonts w:ascii="Arial" w:hAnsi="Arial" w:cs="Arial"/>
          <w:b w:val="0"/>
          <w:caps w:val="0"/>
          <w:sz w:val="20"/>
        </w:rPr>
      </w:pPr>
      <w:r w:rsidRPr="00D13EA5">
        <w:rPr>
          <w:rFonts w:ascii="Arial" w:hAnsi="Arial" w:cs="Arial"/>
          <w:b w:val="0"/>
          <w:caps w:val="0"/>
          <w:sz w:val="20"/>
        </w:rPr>
        <w:t>The Institutional Review Committee approved the paper after it had passed institutional review.</w:t>
      </w:r>
    </w:p>
    <w:p w14:paraId="4B244112" w14:textId="77777777" w:rsidR="00005FA7" w:rsidRDefault="00005FA7" w:rsidP="00441B6F">
      <w:pPr>
        <w:pStyle w:val="ReferHead"/>
        <w:spacing w:after="0"/>
        <w:jc w:val="both"/>
        <w:rPr>
          <w:rFonts w:ascii="Arial" w:hAnsi="Arial" w:cs="Arial"/>
          <w:b w:val="0"/>
          <w:caps w:val="0"/>
          <w:sz w:val="20"/>
        </w:rPr>
      </w:pPr>
    </w:p>
    <w:p w14:paraId="20451959" w14:textId="77777777" w:rsidR="00005FA7" w:rsidRPr="00005FA7" w:rsidRDefault="00005FA7" w:rsidP="00005FA7">
      <w:pPr>
        <w:pStyle w:val="ReferHead"/>
        <w:jc w:val="both"/>
        <w:rPr>
          <w:rFonts w:ascii="Arial" w:hAnsi="Arial" w:cs="Arial"/>
          <w:b w:val="0"/>
          <w:caps w:val="0"/>
          <w:sz w:val="20"/>
        </w:rPr>
      </w:pPr>
      <w:r w:rsidRPr="00005FA7">
        <w:rPr>
          <w:rFonts w:ascii="Arial" w:hAnsi="Arial" w:cs="Arial"/>
          <w:b w:val="0"/>
          <w:caps w:val="0"/>
          <w:sz w:val="20"/>
        </w:rPr>
        <w:t>COMPETING INTERESTS DISCLAIMER:</w:t>
      </w:r>
    </w:p>
    <w:p w14:paraId="26D47676" w14:textId="15EA3DAE" w:rsidR="00005FA7" w:rsidRDefault="00005FA7" w:rsidP="00005FA7">
      <w:pPr>
        <w:pStyle w:val="ReferHead"/>
        <w:spacing w:after="0"/>
        <w:jc w:val="both"/>
        <w:rPr>
          <w:rFonts w:ascii="Arial" w:hAnsi="Arial" w:cs="Arial"/>
          <w:b w:val="0"/>
          <w:caps w:val="0"/>
          <w:sz w:val="20"/>
        </w:rPr>
      </w:pPr>
      <w:r w:rsidRPr="00005FA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8F2C79B" w14:textId="77777777" w:rsidR="00D13EA5" w:rsidRDefault="00D13EA5" w:rsidP="00441B6F">
      <w:pPr>
        <w:pStyle w:val="ReferHead"/>
        <w:spacing w:after="0"/>
        <w:jc w:val="both"/>
        <w:rPr>
          <w:rFonts w:ascii="Arial" w:hAnsi="Arial" w:cs="Arial"/>
          <w:b w:val="0"/>
          <w:caps w:val="0"/>
          <w:sz w:val="20"/>
        </w:rPr>
      </w:pPr>
    </w:p>
    <w:p w14:paraId="24E0639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F589ED8" w14:textId="77777777" w:rsidR="00790ADA" w:rsidRPr="00FB3A86" w:rsidRDefault="00790ADA" w:rsidP="00FA1E41">
      <w:pPr>
        <w:pStyle w:val="ReferHead"/>
        <w:spacing w:after="0"/>
        <w:jc w:val="both"/>
        <w:rPr>
          <w:rFonts w:ascii="Arial" w:hAnsi="Arial" w:cs="Arial"/>
        </w:rPr>
      </w:pPr>
    </w:p>
    <w:p w14:paraId="15D2B743"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Antipuesto, J. L, &amp; Tan, D. A. (2023). Students’ Academic Performance and Engagement in Mathematics via Blended Learning. American Journal of Educational Research, 11(4), 235-240. https://pubs.sciepub.com/education/11/4/7</w:t>
      </w:r>
    </w:p>
    <w:p w14:paraId="4FCD434E"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Creswell, J. W., &amp; Creswell, J. D. (2018). Research design: qualitative, quantitative, and mixed methods approaches. Fifth edition. SAGE.</w:t>
      </w:r>
    </w:p>
    <w:p w14:paraId="109BE97F" w14:textId="77777777" w:rsidR="00DF7CFD" w:rsidRPr="00DF7CFD" w:rsidRDefault="00DF7CFD" w:rsidP="0049044B">
      <w:pPr>
        <w:pStyle w:val="Appendix"/>
        <w:spacing w:after="0"/>
        <w:ind w:left="720" w:hanging="720"/>
        <w:jc w:val="both"/>
        <w:rPr>
          <w:rFonts w:ascii="Arial" w:hAnsi="Arial" w:cs="Arial"/>
          <w:b w:val="0"/>
          <w:caps w:val="0"/>
          <w:sz w:val="20"/>
        </w:rPr>
      </w:pPr>
      <w:proofErr w:type="spellStart"/>
      <w:r w:rsidRPr="00DF7CFD">
        <w:rPr>
          <w:rFonts w:ascii="Arial" w:hAnsi="Arial" w:cs="Arial"/>
          <w:b w:val="0"/>
          <w:caps w:val="0"/>
          <w:sz w:val="20"/>
        </w:rPr>
        <w:t>Dodongan</w:t>
      </w:r>
      <w:proofErr w:type="spellEnd"/>
      <w:r w:rsidRPr="00DF7CFD">
        <w:rPr>
          <w:rFonts w:ascii="Arial" w:hAnsi="Arial" w:cs="Arial"/>
          <w:b w:val="0"/>
          <w:caps w:val="0"/>
          <w:sz w:val="20"/>
        </w:rPr>
        <w:t xml:space="preserve">, E. B., &amp; </w:t>
      </w:r>
      <w:proofErr w:type="spellStart"/>
      <w:r w:rsidRPr="00DF7CFD">
        <w:rPr>
          <w:rFonts w:ascii="Arial" w:hAnsi="Arial" w:cs="Arial"/>
          <w:b w:val="0"/>
          <w:caps w:val="0"/>
          <w:sz w:val="20"/>
        </w:rPr>
        <w:t>Casocot</w:t>
      </w:r>
      <w:proofErr w:type="spellEnd"/>
      <w:r w:rsidRPr="00DF7CFD">
        <w:rPr>
          <w:rFonts w:ascii="Arial" w:hAnsi="Arial" w:cs="Arial"/>
          <w:b w:val="0"/>
          <w:caps w:val="0"/>
          <w:sz w:val="20"/>
        </w:rPr>
        <w:t>, N. T. (2022). Math Anxiety, Learning Engagement and Perceived Usefulness of Technology as Predictors to Mathematics Performance of Students. United International Journal for Research &amp; Technology, 3(4), 98-104. https://doi.org/10.33122/ijtmer.v5i1.104</w:t>
      </w:r>
    </w:p>
    <w:p w14:paraId="48595EAA"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 xml:space="preserve">Enerio, A. J. (2021). Factors and Levels of Student Engagement in a State College: A Mixed-Methods Study. </w:t>
      </w:r>
      <w:proofErr w:type="spellStart"/>
      <w:r w:rsidRPr="00DF7CFD">
        <w:rPr>
          <w:rFonts w:ascii="Arial" w:hAnsi="Arial" w:cs="Arial"/>
          <w:b w:val="0"/>
          <w:caps w:val="0"/>
          <w:sz w:val="20"/>
        </w:rPr>
        <w:t>Technium</w:t>
      </w:r>
      <w:proofErr w:type="spellEnd"/>
      <w:r w:rsidRPr="00DF7CFD">
        <w:rPr>
          <w:rFonts w:ascii="Arial" w:hAnsi="Arial" w:cs="Arial"/>
          <w:b w:val="0"/>
          <w:caps w:val="0"/>
          <w:sz w:val="20"/>
        </w:rPr>
        <w:t xml:space="preserve"> Social Sciences Journal, 24(1), 99–112. https://doi.org/10.47577/tssj.v24i1.4716</w:t>
      </w:r>
    </w:p>
    <w:p w14:paraId="27917C12"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Fleming, N. D., &amp; Mills, C. (1992). Not another inventory, rather a catalyst for reflection. To Improve the Academy, 11(1), 137–151. https://doi.org/10.1002/j.2334-4822.1992.tb00213.x</w:t>
      </w:r>
    </w:p>
    <w:p w14:paraId="13518FFD"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Fraenkel, J. R., Wallen, N. E., &amp; Hyun, H. H. (2019). How to design and evaluate research in education (10th ed.). McGraw-Hill Education.</w:t>
      </w:r>
    </w:p>
    <w:p w14:paraId="3B0DA165"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Fredricks, J. A., Blumenfeld, P. C., &amp; Paris, A. H. (2004). School Engagement: Potential of the Concept, State of the Evidence. Review of Educational Research, 74(1), 59–109. https://doi.org/10.3102/00346543074001059</w:t>
      </w:r>
    </w:p>
    <w:p w14:paraId="14F57A48"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Fung, F., Tan, C. Y., &amp; Chen, G. (2018). Student engagement and mathematics achievement: Unraveling main and interactive effects. Psychology in the Schools, 55(4), 815-831. https://doi.org/10.1002/pits.22139</w:t>
      </w:r>
    </w:p>
    <w:p w14:paraId="2860E6C9"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Gonzales, E. T. (2024). Senior high school track and course preference of the students. International Journal of Social Science, Education and Research Studies (IJSSERS), 4(3),207-215. https://doi.org/10.55677/ijssers/V04I3Y2024-06</w:t>
      </w:r>
    </w:p>
    <w:p w14:paraId="28828390"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 xml:space="preserve">OECD (2015), Students, Computers and Learning: Making the Connection, PISA, OECD Publishing, Paris, </w:t>
      </w:r>
    </w:p>
    <w:p w14:paraId="31FDFD49"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Reeve, J. (2013). How students create motivationally supportive learning environments for themselves: The concept of agentic engagement. Journal of Educational Psychology, 105(3), 579–595. https://doi.org/10.1037/a0032690</w:t>
      </w:r>
    </w:p>
    <w:p w14:paraId="77EAA86A" w14:textId="77777777" w:rsidR="00DF7CFD" w:rsidRPr="00DF7CFD" w:rsidRDefault="00DF7CFD" w:rsidP="0049044B">
      <w:pPr>
        <w:pStyle w:val="Appendix"/>
        <w:spacing w:after="0"/>
        <w:ind w:left="720" w:hanging="720"/>
        <w:jc w:val="both"/>
        <w:rPr>
          <w:rFonts w:ascii="Arial" w:hAnsi="Arial" w:cs="Arial"/>
          <w:b w:val="0"/>
          <w:caps w:val="0"/>
          <w:sz w:val="20"/>
        </w:rPr>
      </w:pPr>
      <w:proofErr w:type="spellStart"/>
      <w:r w:rsidRPr="00DF7CFD">
        <w:rPr>
          <w:rFonts w:ascii="Arial" w:hAnsi="Arial" w:cs="Arial"/>
          <w:b w:val="0"/>
          <w:caps w:val="0"/>
          <w:sz w:val="20"/>
        </w:rPr>
        <w:t>Sabug</w:t>
      </w:r>
      <w:proofErr w:type="spellEnd"/>
      <w:r w:rsidRPr="00DF7CFD">
        <w:rPr>
          <w:rFonts w:ascii="Arial" w:hAnsi="Arial" w:cs="Arial"/>
          <w:b w:val="0"/>
          <w:caps w:val="0"/>
          <w:sz w:val="20"/>
        </w:rPr>
        <w:t xml:space="preserve">, D. J. V. (2023). Students’ mathematics confidence and engagement. International Journal of Novel Research and Development (IJNRD), 8(7), 1–16. </w:t>
      </w:r>
    </w:p>
    <w:p w14:paraId="004BF4FB" w14:textId="77777777" w:rsidR="00DF7CFD" w:rsidRPr="00DF7CFD" w:rsidRDefault="00DF7CFD" w:rsidP="0049044B">
      <w:pPr>
        <w:pStyle w:val="Appendix"/>
        <w:spacing w:after="0"/>
        <w:ind w:left="720" w:hanging="720"/>
        <w:jc w:val="both"/>
        <w:rPr>
          <w:rFonts w:ascii="Arial" w:hAnsi="Arial" w:cs="Arial"/>
          <w:b w:val="0"/>
          <w:caps w:val="0"/>
          <w:sz w:val="20"/>
        </w:rPr>
      </w:pPr>
      <w:proofErr w:type="spellStart"/>
      <w:r w:rsidRPr="00DF7CFD">
        <w:rPr>
          <w:rFonts w:ascii="Arial" w:hAnsi="Arial" w:cs="Arial"/>
          <w:b w:val="0"/>
          <w:caps w:val="0"/>
          <w:sz w:val="20"/>
        </w:rPr>
        <w:lastRenderedPageBreak/>
        <w:t>Sabug</w:t>
      </w:r>
      <w:proofErr w:type="spellEnd"/>
      <w:r w:rsidRPr="00DF7CFD">
        <w:rPr>
          <w:rFonts w:ascii="Arial" w:hAnsi="Arial" w:cs="Arial"/>
          <w:b w:val="0"/>
          <w:caps w:val="0"/>
          <w:sz w:val="20"/>
        </w:rPr>
        <w:t>, D. V. (2023). Students’ Mathematics Confidence and Engagement. International Journal of Novel Research and Development, 8(7), b565-b580. https://ijnrd.org/papers/IJNRD2307163.pdf</w:t>
      </w:r>
    </w:p>
    <w:p w14:paraId="7D01E811" w14:textId="77777777" w:rsidR="00DF7CFD" w:rsidRPr="00DF7CFD" w:rsidRDefault="00DF7CFD" w:rsidP="0049044B">
      <w:pPr>
        <w:pStyle w:val="Appendix"/>
        <w:spacing w:after="0"/>
        <w:ind w:left="720" w:hanging="720"/>
        <w:jc w:val="both"/>
        <w:rPr>
          <w:rFonts w:ascii="Arial" w:hAnsi="Arial" w:cs="Arial"/>
          <w:b w:val="0"/>
          <w:caps w:val="0"/>
          <w:sz w:val="20"/>
        </w:rPr>
      </w:pPr>
      <w:proofErr w:type="spellStart"/>
      <w:r w:rsidRPr="00DF7CFD">
        <w:rPr>
          <w:rFonts w:ascii="Arial" w:hAnsi="Arial" w:cs="Arial"/>
          <w:b w:val="0"/>
          <w:caps w:val="0"/>
          <w:sz w:val="20"/>
        </w:rPr>
        <w:t>Torrejos</w:t>
      </w:r>
      <w:proofErr w:type="spellEnd"/>
      <w:r w:rsidRPr="00DF7CFD">
        <w:rPr>
          <w:rFonts w:ascii="Arial" w:hAnsi="Arial" w:cs="Arial"/>
          <w:b w:val="0"/>
          <w:caps w:val="0"/>
          <w:sz w:val="20"/>
        </w:rPr>
        <w:t>, R. L. (2024). College students’ engagement in mathematics in the modern world: The influential role of perceived teaching performance of instructors and critical thinking skills in a blended learning environment. European Journal of Contemporary Education and E-Learning, 2(3), 74–89. https://doi.org/10.59324/ejceel.2024.2(3).07</w:t>
      </w:r>
    </w:p>
    <w:p w14:paraId="4D30DECB" w14:textId="77777777" w:rsidR="004D4277" w:rsidRPr="00FA1E41" w:rsidRDefault="00DF7CFD" w:rsidP="0049044B">
      <w:pPr>
        <w:pStyle w:val="Appendix"/>
        <w:spacing w:after="0"/>
        <w:ind w:left="720" w:hanging="720"/>
        <w:jc w:val="both"/>
        <w:rPr>
          <w:b w:val="0"/>
          <w:caps w:val="0"/>
          <w:sz w:val="20"/>
        </w:rPr>
        <w:sectPr w:rsidR="004D4277" w:rsidRPr="00FA1E41" w:rsidSect="0092492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DF7CFD">
        <w:rPr>
          <w:rFonts w:ascii="Arial" w:hAnsi="Arial" w:cs="Arial"/>
          <w:b w:val="0"/>
          <w:caps w:val="0"/>
          <w:sz w:val="20"/>
        </w:rPr>
        <w:t>Wentzel, K. R., Battle, A., Russell, S. L., &amp; Looney, L. B. (2010). Social supports from teachers and peers as predictors of academic and social motivation. Contemporary Educational Psychology, 35(3), 193–202.</w:t>
      </w:r>
    </w:p>
    <w:p w14:paraId="66DFFB51" w14:textId="77777777" w:rsidR="00B01FCD" w:rsidRPr="00FB3A86" w:rsidRDefault="00B01FCD" w:rsidP="00B828CA">
      <w:pPr>
        <w:pStyle w:val="Appendix"/>
        <w:spacing w:after="0"/>
        <w:jc w:val="both"/>
        <w:rPr>
          <w:rFonts w:ascii="Arial" w:hAnsi="Arial" w:cs="Arial"/>
          <w:b w:val="0"/>
        </w:rPr>
      </w:pPr>
    </w:p>
    <w:sectPr w:rsidR="00B01FCD" w:rsidRPr="00FB3A86" w:rsidSect="009249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0D95" w14:textId="77777777" w:rsidR="0019379B" w:rsidRDefault="0019379B" w:rsidP="00C37E61">
      <w:r>
        <w:separator/>
      </w:r>
    </w:p>
  </w:endnote>
  <w:endnote w:type="continuationSeparator" w:id="0">
    <w:p w14:paraId="64F4FBBD" w14:textId="77777777" w:rsidR="0019379B" w:rsidRDefault="001937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93A0" w14:textId="77777777" w:rsidR="00924924" w:rsidRDefault="00924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192C" w14:textId="77777777" w:rsidR="00924924" w:rsidRDefault="00924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46B7" w14:textId="763A45DB" w:rsidR="00754C9A" w:rsidRPr="00697928" w:rsidRDefault="00754C9A" w:rsidP="0069792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FFF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2669E" w14:textId="77777777" w:rsidR="0019379B" w:rsidRDefault="0019379B" w:rsidP="00C37E61">
      <w:r>
        <w:separator/>
      </w:r>
    </w:p>
  </w:footnote>
  <w:footnote w:type="continuationSeparator" w:id="0">
    <w:p w14:paraId="13EB88F1" w14:textId="77777777" w:rsidR="0019379B" w:rsidRDefault="001937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0A2E" w14:textId="679D7A3B" w:rsidR="00924924" w:rsidRDefault="00924924">
    <w:pPr>
      <w:pStyle w:val="Header"/>
    </w:pPr>
    <w:r>
      <w:rPr>
        <w:noProof/>
      </w:rPr>
      <w:pict w14:anchorId="0026B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A025" w14:textId="2559FFF8" w:rsidR="00924924" w:rsidRDefault="00924924">
    <w:pPr>
      <w:pStyle w:val="Header"/>
    </w:pPr>
    <w:r>
      <w:rPr>
        <w:noProof/>
      </w:rPr>
      <w:pict w14:anchorId="42A09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B877" w14:textId="5B2963BB" w:rsidR="00296529" w:rsidRPr="00296529" w:rsidRDefault="00924924" w:rsidP="00296529">
    <w:pPr>
      <w:ind w:left="2160"/>
      <w:jc w:val="center"/>
      <w:rPr>
        <w:rFonts w:ascii="Times New Roman" w:eastAsia="Calibri" w:hAnsi="Times New Roman"/>
        <w:i/>
        <w:sz w:val="18"/>
        <w:szCs w:val="22"/>
      </w:rPr>
    </w:pPr>
    <w:r>
      <w:rPr>
        <w:noProof/>
      </w:rPr>
      <w:pict w14:anchorId="5C484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556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AD97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740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7F7F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5A2E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BBF0C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73E9" w14:textId="44C7EDA2" w:rsidR="00924924" w:rsidRDefault="00924924">
    <w:pPr>
      <w:pStyle w:val="Header"/>
    </w:pPr>
    <w:r>
      <w:rPr>
        <w:noProof/>
      </w:rPr>
      <w:pict w14:anchorId="0B9A9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DF64" w14:textId="2C03BC4E" w:rsidR="00924924" w:rsidRDefault="00924924">
    <w:pPr>
      <w:pStyle w:val="Header"/>
    </w:pPr>
    <w:r>
      <w:rPr>
        <w:noProof/>
      </w:rPr>
      <w:pict w14:anchorId="4C77D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AE0E" w14:textId="7E49ED39" w:rsidR="00924924" w:rsidRDefault="00924924">
    <w:pPr>
      <w:pStyle w:val="Header"/>
    </w:pPr>
    <w:r>
      <w:rPr>
        <w:noProof/>
      </w:rPr>
      <w:pict w14:anchorId="7C12F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E5579F"/>
    <w:multiLevelType w:val="hybridMultilevel"/>
    <w:tmpl w:val="605C0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EF2397"/>
    <w:multiLevelType w:val="hybridMultilevel"/>
    <w:tmpl w:val="42AAE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EB686B"/>
    <w:multiLevelType w:val="hybridMultilevel"/>
    <w:tmpl w:val="1732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C4DAE"/>
    <w:multiLevelType w:val="hybridMultilevel"/>
    <w:tmpl w:val="97926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B209FF"/>
    <w:multiLevelType w:val="hybridMultilevel"/>
    <w:tmpl w:val="63CC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FA7"/>
    <w:rsid w:val="00030174"/>
    <w:rsid w:val="0004579C"/>
    <w:rsid w:val="00052B14"/>
    <w:rsid w:val="0005640D"/>
    <w:rsid w:val="00087789"/>
    <w:rsid w:val="000A47FA"/>
    <w:rsid w:val="000A65D3"/>
    <w:rsid w:val="000A7B62"/>
    <w:rsid w:val="000B1E33"/>
    <w:rsid w:val="000B764C"/>
    <w:rsid w:val="000D689F"/>
    <w:rsid w:val="000E7B7B"/>
    <w:rsid w:val="000E7D62"/>
    <w:rsid w:val="00103357"/>
    <w:rsid w:val="001033FB"/>
    <w:rsid w:val="00123C9F"/>
    <w:rsid w:val="00126190"/>
    <w:rsid w:val="001306D5"/>
    <w:rsid w:val="00130F17"/>
    <w:rsid w:val="001320BF"/>
    <w:rsid w:val="00137FAC"/>
    <w:rsid w:val="001556EF"/>
    <w:rsid w:val="00163BC4"/>
    <w:rsid w:val="0018000D"/>
    <w:rsid w:val="00191062"/>
    <w:rsid w:val="00192B72"/>
    <w:rsid w:val="0019379B"/>
    <w:rsid w:val="001A29D8"/>
    <w:rsid w:val="001A5CAA"/>
    <w:rsid w:val="001B0427"/>
    <w:rsid w:val="001D3A51"/>
    <w:rsid w:val="001E10D2"/>
    <w:rsid w:val="001E25B4"/>
    <w:rsid w:val="001E44FE"/>
    <w:rsid w:val="001F10B4"/>
    <w:rsid w:val="00200595"/>
    <w:rsid w:val="00204835"/>
    <w:rsid w:val="00216DBA"/>
    <w:rsid w:val="00231920"/>
    <w:rsid w:val="0023195C"/>
    <w:rsid w:val="0023668C"/>
    <w:rsid w:val="0024282C"/>
    <w:rsid w:val="00242D32"/>
    <w:rsid w:val="002460DC"/>
    <w:rsid w:val="00250985"/>
    <w:rsid w:val="002556F6"/>
    <w:rsid w:val="00262EC6"/>
    <w:rsid w:val="00272E3B"/>
    <w:rsid w:val="00283105"/>
    <w:rsid w:val="00284C4C"/>
    <w:rsid w:val="002877D6"/>
    <w:rsid w:val="00287E68"/>
    <w:rsid w:val="00296529"/>
    <w:rsid w:val="002B27FB"/>
    <w:rsid w:val="002B685A"/>
    <w:rsid w:val="002C57D2"/>
    <w:rsid w:val="002C747F"/>
    <w:rsid w:val="002D34AF"/>
    <w:rsid w:val="002D404D"/>
    <w:rsid w:val="002D5537"/>
    <w:rsid w:val="002E0D56"/>
    <w:rsid w:val="002E1307"/>
    <w:rsid w:val="002F0115"/>
    <w:rsid w:val="00315186"/>
    <w:rsid w:val="0033343E"/>
    <w:rsid w:val="003512C2"/>
    <w:rsid w:val="00362BD2"/>
    <w:rsid w:val="00371FB6"/>
    <w:rsid w:val="003763C1"/>
    <w:rsid w:val="00376BBE"/>
    <w:rsid w:val="0039224F"/>
    <w:rsid w:val="003A2CFA"/>
    <w:rsid w:val="003A42F3"/>
    <w:rsid w:val="003A43A4"/>
    <w:rsid w:val="003A7E18"/>
    <w:rsid w:val="003B5392"/>
    <w:rsid w:val="003C4C86"/>
    <w:rsid w:val="003C6258"/>
    <w:rsid w:val="003E2904"/>
    <w:rsid w:val="003E7C28"/>
    <w:rsid w:val="00401927"/>
    <w:rsid w:val="00407C61"/>
    <w:rsid w:val="0041027F"/>
    <w:rsid w:val="00412475"/>
    <w:rsid w:val="00423789"/>
    <w:rsid w:val="00440F43"/>
    <w:rsid w:val="00441B6F"/>
    <w:rsid w:val="00446221"/>
    <w:rsid w:val="00450E62"/>
    <w:rsid w:val="004539DB"/>
    <w:rsid w:val="00471A80"/>
    <w:rsid w:val="0049044B"/>
    <w:rsid w:val="0049348D"/>
    <w:rsid w:val="004A3035"/>
    <w:rsid w:val="004A3CA3"/>
    <w:rsid w:val="004C6F19"/>
    <w:rsid w:val="004D305E"/>
    <w:rsid w:val="004D4277"/>
    <w:rsid w:val="004F0B1A"/>
    <w:rsid w:val="004F4C90"/>
    <w:rsid w:val="00502516"/>
    <w:rsid w:val="00505F06"/>
    <w:rsid w:val="00506828"/>
    <w:rsid w:val="0053056E"/>
    <w:rsid w:val="00554FDA"/>
    <w:rsid w:val="005B4302"/>
    <w:rsid w:val="005C784C"/>
    <w:rsid w:val="005D17F6"/>
    <w:rsid w:val="005E5539"/>
    <w:rsid w:val="00602BF5"/>
    <w:rsid w:val="00617FDD"/>
    <w:rsid w:val="00633614"/>
    <w:rsid w:val="00633F68"/>
    <w:rsid w:val="00636EB2"/>
    <w:rsid w:val="006375B8"/>
    <w:rsid w:val="00653336"/>
    <w:rsid w:val="00655349"/>
    <w:rsid w:val="0066510A"/>
    <w:rsid w:val="00673F9F"/>
    <w:rsid w:val="00686953"/>
    <w:rsid w:val="00687DEA"/>
    <w:rsid w:val="00687E67"/>
    <w:rsid w:val="00694ED7"/>
    <w:rsid w:val="006967F7"/>
    <w:rsid w:val="00697928"/>
    <w:rsid w:val="006A250C"/>
    <w:rsid w:val="006A2F6C"/>
    <w:rsid w:val="006B21D3"/>
    <w:rsid w:val="006B57D0"/>
    <w:rsid w:val="006C6E4C"/>
    <w:rsid w:val="006D30FF"/>
    <w:rsid w:val="006D4D11"/>
    <w:rsid w:val="006D6940"/>
    <w:rsid w:val="006F11EC"/>
    <w:rsid w:val="00700210"/>
    <w:rsid w:val="0070082C"/>
    <w:rsid w:val="007369E6"/>
    <w:rsid w:val="00746E59"/>
    <w:rsid w:val="00754C9A"/>
    <w:rsid w:val="0075599A"/>
    <w:rsid w:val="00761D52"/>
    <w:rsid w:val="0077749E"/>
    <w:rsid w:val="00790ADA"/>
    <w:rsid w:val="007D2288"/>
    <w:rsid w:val="007E088F"/>
    <w:rsid w:val="007F7B32"/>
    <w:rsid w:val="00804BC2"/>
    <w:rsid w:val="008109F8"/>
    <w:rsid w:val="0081431A"/>
    <w:rsid w:val="0082392C"/>
    <w:rsid w:val="0083216F"/>
    <w:rsid w:val="0083362D"/>
    <w:rsid w:val="00860000"/>
    <w:rsid w:val="00863BD3"/>
    <w:rsid w:val="008641ED"/>
    <w:rsid w:val="00866D66"/>
    <w:rsid w:val="008671C6"/>
    <w:rsid w:val="00872C69"/>
    <w:rsid w:val="00875803"/>
    <w:rsid w:val="008826A1"/>
    <w:rsid w:val="00894E8E"/>
    <w:rsid w:val="008B459E"/>
    <w:rsid w:val="008D403A"/>
    <w:rsid w:val="008E13AE"/>
    <w:rsid w:val="008E1506"/>
    <w:rsid w:val="008E710C"/>
    <w:rsid w:val="008F69D6"/>
    <w:rsid w:val="00902823"/>
    <w:rsid w:val="00915CA6"/>
    <w:rsid w:val="00924924"/>
    <w:rsid w:val="009271B5"/>
    <w:rsid w:val="00927834"/>
    <w:rsid w:val="00932CA6"/>
    <w:rsid w:val="00947E85"/>
    <w:rsid w:val="009500A6"/>
    <w:rsid w:val="00957C18"/>
    <w:rsid w:val="009659BA"/>
    <w:rsid w:val="00983040"/>
    <w:rsid w:val="00991752"/>
    <w:rsid w:val="009B3FB9"/>
    <w:rsid w:val="009C2465"/>
    <w:rsid w:val="009C7861"/>
    <w:rsid w:val="009D1041"/>
    <w:rsid w:val="009D35A0"/>
    <w:rsid w:val="009D7EB7"/>
    <w:rsid w:val="009E048A"/>
    <w:rsid w:val="009E08E9"/>
    <w:rsid w:val="009E3DB9"/>
    <w:rsid w:val="009E6E35"/>
    <w:rsid w:val="009F0EDA"/>
    <w:rsid w:val="00A03B96"/>
    <w:rsid w:val="00A05B19"/>
    <w:rsid w:val="00A1134E"/>
    <w:rsid w:val="00A24E7E"/>
    <w:rsid w:val="00A254D3"/>
    <w:rsid w:val="00A258C3"/>
    <w:rsid w:val="00A347C0"/>
    <w:rsid w:val="00A3625E"/>
    <w:rsid w:val="00A3657D"/>
    <w:rsid w:val="00A5045A"/>
    <w:rsid w:val="00A51431"/>
    <w:rsid w:val="00A539AD"/>
    <w:rsid w:val="00A54A8C"/>
    <w:rsid w:val="00A94063"/>
    <w:rsid w:val="00AA4535"/>
    <w:rsid w:val="00AA6219"/>
    <w:rsid w:val="00AA74E0"/>
    <w:rsid w:val="00AB703F"/>
    <w:rsid w:val="00AC6BB8"/>
    <w:rsid w:val="00AE008F"/>
    <w:rsid w:val="00B01FCD"/>
    <w:rsid w:val="00B1776C"/>
    <w:rsid w:val="00B3042B"/>
    <w:rsid w:val="00B4747F"/>
    <w:rsid w:val="00B52583"/>
    <w:rsid w:val="00B52896"/>
    <w:rsid w:val="00B67067"/>
    <w:rsid w:val="00B67ABA"/>
    <w:rsid w:val="00B828CA"/>
    <w:rsid w:val="00B95236"/>
    <w:rsid w:val="00B96BD9"/>
    <w:rsid w:val="00BA0B29"/>
    <w:rsid w:val="00BA1B01"/>
    <w:rsid w:val="00BA2641"/>
    <w:rsid w:val="00BB37AA"/>
    <w:rsid w:val="00BC53A0"/>
    <w:rsid w:val="00BE0A85"/>
    <w:rsid w:val="00BE62AD"/>
    <w:rsid w:val="00BF121F"/>
    <w:rsid w:val="00BF1F80"/>
    <w:rsid w:val="00C166EF"/>
    <w:rsid w:val="00C17EB0"/>
    <w:rsid w:val="00C27F5F"/>
    <w:rsid w:val="00C30A0F"/>
    <w:rsid w:val="00C37E61"/>
    <w:rsid w:val="00C65433"/>
    <w:rsid w:val="00C67FDD"/>
    <w:rsid w:val="00C70F1B"/>
    <w:rsid w:val="00C71A47"/>
    <w:rsid w:val="00C7464C"/>
    <w:rsid w:val="00C75923"/>
    <w:rsid w:val="00C85588"/>
    <w:rsid w:val="00C922AA"/>
    <w:rsid w:val="00CC1960"/>
    <w:rsid w:val="00CD6755"/>
    <w:rsid w:val="00CD6856"/>
    <w:rsid w:val="00CE0089"/>
    <w:rsid w:val="00CE793C"/>
    <w:rsid w:val="00CF193C"/>
    <w:rsid w:val="00D100B2"/>
    <w:rsid w:val="00D13EA5"/>
    <w:rsid w:val="00D173F1"/>
    <w:rsid w:val="00D17C88"/>
    <w:rsid w:val="00D54509"/>
    <w:rsid w:val="00D74CB0"/>
    <w:rsid w:val="00D8295D"/>
    <w:rsid w:val="00DC0FDC"/>
    <w:rsid w:val="00DC2A65"/>
    <w:rsid w:val="00DE15F0"/>
    <w:rsid w:val="00DE5663"/>
    <w:rsid w:val="00DE78AA"/>
    <w:rsid w:val="00DF7CFD"/>
    <w:rsid w:val="00E053D0"/>
    <w:rsid w:val="00E15994"/>
    <w:rsid w:val="00E16C9C"/>
    <w:rsid w:val="00E3114E"/>
    <w:rsid w:val="00E31A70"/>
    <w:rsid w:val="00E35B02"/>
    <w:rsid w:val="00E66496"/>
    <w:rsid w:val="00E66B35"/>
    <w:rsid w:val="00E66E10"/>
    <w:rsid w:val="00E769F6"/>
    <w:rsid w:val="00E8407C"/>
    <w:rsid w:val="00E84F3C"/>
    <w:rsid w:val="00E910A1"/>
    <w:rsid w:val="00EA012C"/>
    <w:rsid w:val="00EC6A55"/>
    <w:rsid w:val="00ED0288"/>
    <w:rsid w:val="00EE52CB"/>
    <w:rsid w:val="00EF581D"/>
    <w:rsid w:val="00EF7FD8"/>
    <w:rsid w:val="00F06F59"/>
    <w:rsid w:val="00F17988"/>
    <w:rsid w:val="00F35278"/>
    <w:rsid w:val="00F469F0"/>
    <w:rsid w:val="00F53273"/>
    <w:rsid w:val="00F53C25"/>
    <w:rsid w:val="00F755E4"/>
    <w:rsid w:val="00F77D02"/>
    <w:rsid w:val="00F87E04"/>
    <w:rsid w:val="00FA1E41"/>
    <w:rsid w:val="00FA71A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2011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7592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15315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573570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57403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2693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8C26-1906-4C68-96DB-8570801A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11</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2026-01-23T09:29:00Z</dcterms:modified>
</cp:coreProperties>
</file>