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50E8D" w14:textId="4F2B6A01" w:rsidR="00754C9A" w:rsidRDefault="005E50F8" w:rsidP="00441B6F">
      <w:pPr>
        <w:pStyle w:val="Title"/>
        <w:spacing w:after="0"/>
        <w:jc w:val="both"/>
        <w:rPr>
          <w:rFonts w:ascii="Arial" w:hAnsi="Arial" w:cs="Arial"/>
        </w:rPr>
      </w:pPr>
      <w:r w:rsidRPr="005E50F8">
        <w:rPr>
          <w:rFonts w:ascii="Arial" w:hAnsi="Arial" w:cs="Arial"/>
        </w:rPr>
        <w:t>Original Research Article</w:t>
      </w:r>
    </w:p>
    <w:p w14:paraId="36C79FF9" w14:textId="77777777" w:rsidR="005E50F8" w:rsidRDefault="005E50F8" w:rsidP="00441B6F">
      <w:pPr>
        <w:pStyle w:val="Title"/>
        <w:spacing w:after="0"/>
        <w:jc w:val="both"/>
        <w:rPr>
          <w:rFonts w:ascii="Arial" w:hAnsi="Arial" w:cs="Arial"/>
        </w:rPr>
      </w:pPr>
    </w:p>
    <w:p w14:paraId="40D5E350" w14:textId="77777777" w:rsidR="005E50F8" w:rsidRDefault="005E50F8" w:rsidP="00441B6F">
      <w:pPr>
        <w:pStyle w:val="Title"/>
        <w:spacing w:after="0"/>
        <w:jc w:val="both"/>
        <w:rPr>
          <w:rFonts w:ascii="Arial" w:hAnsi="Arial" w:cs="Arial"/>
        </w:rPr>
      </w:pPr>
    </w:p>
    <w:p w14:paraId="4C4C1A94" w14:textId="4B6A34C6" w:rsidR="00163BC4" w:rsidRPr="00977494" w:rsidRDefault="00977494" w:rsidP="00441B6F">
      <w:pPr>
        <w:pStyle w:val="Author"/>
        <w:spacing w:line="240" w:lineRule="auto"/>
        <w:rPr>
          <w:rFonts w:ascii="Arial" w:hAnsi="Arial" w:cs="Arial"/>
          <w:bCs/>
          <w:iCs/>
          <w:kern w:val="28"/>
          <w:sz w:val="36"/>
          <w:szCs w:val="36"/>
        </w:rPr>
      </w:pPr>
      <w:r w:rsidRPr="00977494">
        <w:rPr>
          <w:rFonts w:ascii="Arial" w:hAnsi="Arial" w:cs="Arial"/>
          <w:sz w:val="36"/>
          <w:szCs w:val="36"/>
          <w:lang w:val="en-US"/>
        </w:rPr>
        <w:t>Digital Payment Trends and Institutional Financial Implications: Global Evidence and the Philippine Context</w:t>
      </w:r>
    </w:p>
    <w:p w14:paraId="1EA47410" w14:textId="77777777" w:rsidR="00A258C3" w:rsidRPr="00790ADA" w:rsidRDefault="00A258C3" w:rsidP="00441B6F">
      <w:pPr>
        <w:pStyle w:val="Author"/>
        <w:spacing w:line="240" w:lineRule="auto"/>
        <w:jc w:val="both"/>
        <w:rPr>
          <w:rFonts w:ascii="Arial" w:hAnsi="Arial" w:cs="Arial"/>
          <w:sz w:val="36"/>
        </w:rPr>
      </w:pPr>
    </w:p>
    <w:p w14:paraId="6CB153F5" w14:textId="326297E9" w:rsidR="00B01FCD" w:rsidRPr="00FB3A86" w:rsidRDefault="00AD1E3F" w:rsidP="00441B6F">
      <w:pPr>
        <w:pStyle w:val="Copyright"/>
        <w:spacing w:after="0" w:line="240" w:lineRule="auto"/>
        <w:jc w:val="both"/>
        <w:rPr>
          <w:rFonts w:ascii="Arial" w:hAnsi="Arial" w:cs="Arial"/>
        </w:rPr>
        <w:sectPr w:rsidR="00B01FCD" w:rsidRPr="00FB3A86" w:rsidSect="00557BA1">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746A15" wp14:editId="4B1694F3">
                <wp:extent cx="5303520" cy="635"/>
                <wp:effectExtent l="0" t="12700" r="5080" b="12065"/>
                <wp:docPr id="4331425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AAA87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08C18C2E" w14:textId="77777777" w:rsidR="00790ADA" w:rsidRDefault="00790ADA" w:rsidP="00441B6F">
      <w:pPr>
        <w:pStyle w:val="AbstHead"/>
        <w:spacing w:after="0"/>
        <w:jc w:val="both"/>
        <w:rPr>
          <w:rFonts w:ascii="Arial" w:hAnsi="Arial" w:cs="Arial"/>
        </w:rPr>
      </w:pPr>
    </w:p>
    <w:p w14:paraId="57943B5A" w14:textId="1BCDF799" w:rsidR="00E30244" w:rsidRDefault="00E30244" w:rsidP="00441B6F">
      <w:pPr>
        <w:pStyle w:val="AbstHead"/>
        <w:spacing w:after="0"/>
        <w:jc w:val="both"/>
        <w:rPr>
          <w:rFonts w:ascii="Arial" w:hAnsi="Arial" w:cs="Arial"/>
        </w:rPr>
      </w:pPr>
      <w:r w:rsidRPr="00FB3A86">
        <w:rPr>
          <w:rFonts w:ascii="Arial" w:hAnsi="Arial" w:cs="Arial"/>
        </w:rPr>
        <w:t>ABSTRACT</w:t>
      </w:r>
    </w:p>
    <w:p w14:paraId="30D373FA" w14:textId="77777777" w:rsidR="00E30244" w:rsidRPr="00FB3A86" w:rsidRDefault="00E30244"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77137AC" w14:textId="77777777" w:rsidTr="001E44FE">
        <w:tc>
          <w:tcPr>
            <w:tcW w:w="9576" w:type="dxa"/>
            <w:shd w:val="clear" w:color="auto" w:fill="F2F2F2"/>
          </w:tcPr>
          <w:p w14:paraId="03DC6B4B" w14:textId="77777777" w:rsidR="001B1FD9" w:rsidRPr="001B1FD9" w:rsidRDefault="001B1FD9" w:rsidP="001B1FD9">
            <w:pPr>
              <w:rPr>
                <w:rFonts w:ascii="Arial" w:hAnsi="Arial" w:cs="Arial"/>
                <w:sz w:val="20"/>
                <w:szCs w:val="20"/>
              </w:rPr>
            </w:pPr>
            <w:r w:rsidRPr="001B1FD9">
              <w:rPr>
                <w:rFonts w:ascii="Arial" w:hAnsi="Arial" w:cs="Arial"/>
                <w:sz w:val="20"/>
                <w:szCs w:val="20"/>
              </w:rPr>
              <w:t>This study looked at global and national trends in digital payment adoption and their financial effects on institutions. It focused on how these trends appear in the financial practices of a higher education institution in Northern Mindanao, Philippines.</w:t>
            </w:r>
          </w:p>
          <w:p w14:paraId="3A0CCF46" w14:textId="77777777" w:rsidR="001B1FD9" w:rsidRPr="001B1FD9" w:rsidRDefault="001B1FD9" w:rsidP="001B1FD9">
            <w:pPr>
              <w:rPr>
                <w:rFonts w:ascii="Arial" w:hAnsi="Arial" w:cs="Arial"/>
                <w:sz w:val="20"/>
                <w:szCs w:val="20"/>
              </w:rPr>
            </w:pPr>
            <w:r w:rsidRPr="001B1FD9">
              <w:rPr>
                <w:rFonts w:ascii="Arial" w:hAnsi="Arial" w:cs="Arial"/>
                <w:sz w:val="20"/>
                <w:szCs w:val="20"/>
              </w:rPr>
              <w:t>The study used a descriptive, document-based research design, relying on publicly available data and institutional documents from 2020 to 2024. Global evidence came from international datasets on digital payment use and infrastructure. National evidence was taken from official Philippine government reports on digital payments and technology access. For the institution, the study used university documents about payment practices that were available to the public.</w:t>
            </w:r>
          </w:p>
          <w:p w14:paraId="18787EA8" w14:textId="77777777" w:rsidR="001B1FD9" w:rsidRPr="001B1FD9" w:rsidRDefault="001B1FD9" w:rsidP="001B1FD9">
            <w:pPr>
              <w:rPr>
                <w:rFonts w:ascii="Arial" w:hAnsi="Arial" w:cs="Arial"/>
                <w:sz w:val="20"/>
                <w:szCs w:val="20"/>
              </w:rPr>
            </w:pPr>
            <w:r w:rsidRPr="001B1FD9">
              <w:rPr>
                <w:rFonts w:ascii="Arial" w:hAnsi="Arial" w:cs="Arial"/>
                <w:sz w:val="20"/>
                <w:szCs w:val="20"/>
              </w:rPr>
              <w:t>The data were analyzed to find patterns and changes in digital payment adoption. The main framework used was Payment Choice Theory, with support from the Financial Inclusion Framework and Institutional Theory to help explain how institutions respond to new payment systems.</w:t>
            </w:r>
          </w:p>
          <w:p w14:paraId="619FBEC8" w14:textId="77777777" w:rsidR="001B1FD9" w:rsidRPr="001B1FD9" w:rsidRDefault="001B1FD9" w:rsidP="001B1FD9">
            <w:pPr>
              <w:rPr>
                <w:rFonts w:ascii="Arial" w:hAnsi="Arial" w:cs="Arial"/>
                <w:sz w:val="20"/>
                <w:szCs w:val="20"/>
              </w:rPr>
            </w:pPr>
            <w:r w:rsidRPr="001B1FD9">
              <w:rPr>
                <w:rFonts w:ascii="Arial" w:hAnsi="Arial" w:cs="Arial"/>
                <w:sz w:val="20"/>
                <w:szCs w:val="20"/>
              </w:rPr>
              <w:t>The results show a steady rise in digital payment adoption worldwide and in the Philippines since 2020. By 2024, most retail transactions in the country used digital payments, both in number and value, showing a move toward less cash use. At the institutional level, the university adopted several digital payment channels that match national systems, adjusting its operations to new payment methods and stakeholder needs.</w:t>
            </w:r>
          </w:p>
          <w:p w14:paraId="35BB246D" w14:textId="307E6D7F" w:rsidR="00B95F86" w:rsidRPr="00B43556" w:rsidRDefault="001B1FD9" w:rsidP="001B1FD9">
            <w:r w:rsidRPr="001B1FD9">
              <w:rPr>
                <w:rFonts w:ascii="Arial" w:hAnsi="Arial" w:cs="Arial"/>
                <w:sz w:val="20"/>
                <w:szCs w:val="20"/>
              </w:rPr>
              <w:t>The study finds that institutions reflect global and national digital payment trends by adapting them to their own context, rather than making major changes to their structure. These results show that digital payment reforms matter for managing institutional finances and that public data is useful for studying how digital payments affect institutions.</w:t>
            </w:r>
          </w:p>
        </w:tc>
      </w:tr>
    </w:tbl>
    <w:p w14:paraId="7D71A5A9" w14:textId="77777777" w:rsidR="00636EB2" w:rsidRPr="005F2A27" w:rsidRDefault="00636EB2" w:rsidP="00441B6F">
      <w:pPr>
        <w:pStyle w:val="Body"/>
        <w:spacing w:after="0"/>
        <w:rPr>
          <w:rFonts w:ascii="Arial" w:hAnsi="Arial" w:cs="Arial"/>
          <w:i/>
          <w:sz w:val="20"/>
          <w:szCs w:val="20"/>
        </w:rPr>
      </w:pPr>
    </w:p>
    <w:p w14:paraId="1E23BF9B" w14:textId="15E5CFBB" w:rsidR="00505F06" w:rsidRPr="005F2A27" w:rsidRDefault="00A24E7E" w:rsidP="00441B6F">
      <w:pPr>
        <w:pStyle w:val="Body"/>
        <w:spacing w:after="0"/>
        <w:rPr>
          <w:rFonts w:ascii="Arial" w:hAnsi="Arial" w:cs="Arial"/>
          <w:i/>
          <w:iCs/>
          <w:sz w:val="20"/>
          <w:szCs w:val="20"/>
        </w:rPr>
      </w:pPr>
      <w:r w:rsidRPr="005F2A27">
        <w:rPr>
          <w:rFonts w:ascii="Arial" w:hAnsi="Arial" w:cs="Arial"/>
          <w:i/>
          <w:sz w:val="20"/>
          <w:szCs w:val="20"/>
        </w:rPr>
        <w:t xml:space="preserve">Keywords: </w:t>
      </w:r>
      <w:r w:rsidR="006D5A7C">
        <w:rPr>
          <w:rFonts w:ascii="Arial" w:hAnsi="Arial" w:cs="Arial"/>
          <w:i/>
          <w:iCs/>
          <w:sz w:val="20"/>
          <w:szCs w:val="20"/>
        </w:rPr>
        <w:t xml:space="preserve">Digital </w:t>
      </w:r>
      <w:r w:rsidR="00413E65">
        <w:rPr>
          <w:rFonts w:ascii="Arial" w:hAnsi="Arial" w:cs="Arial"/>
          <w:i/>
          <w:iCs/>
          <w:sz w:val="20"/>
          <w:szCs w:val="20"/>
        </w:rPr>
        <w:t>payments</w:t>
      </w:r>
      <w:r w:rsidR="00500E0E" w:rsidRPr="005F2A27">
        <w:rPr>
          <w:rFonts w:ascii="Arial" w:hAnsi="Arial" w:cs="Arial"/>
          <w:i/>
          <w:iCs/>
          <w:sz w:val="20"/>
          <w:szCs w:val="20"/>
        </w:rPr>
        <w:t xml:space="preserve">; </w:t>
      </w:r>
      <w:r w:rsidR="00413E65">
        <w:rPr>
          <w:rFonts w:ascii="Arial" w:hAnsi="Arial" w:cs="Arial"/>
          <w:i/>
          <w:iCs/>
          <w:sz w:val="20"/>
          <w:szCs w:val="20"/>
        </w:rPr>
        <w:t>payment systems</w:t>
      </w:r>
      <w:r w:rsidR="00500E0E" w:rsidRPr="005F2A27">
        <w:rPr>
          <w:rFonts w:ascii="Arial" w:hAnsi="Arial" w:cs="Arial"/>
          <w:i/>
          <w:iCs/>
          <w:sz w:val="20"/>
          <w:szCs w:val="20"/>
        </w:rPr>
        <w:t xml:space="preserve">; </w:t>
      </w:r>
      <w:r w:rsidR="00413E65">
        <w:rPr>
          <w:rFonts w:ascii="Arial" w:hAnsi="Arial" w:cs="Arial"/>
          <w:i/>
          <w:iCs/>
          <w:sz w:val="20"/>
          <w:szCs w:val="20"/>
        </w:rPr>
        <w:t>financial inclusion framework</w:t>
      </w:r>
      <w:r w:rsidR="00500E0E" w:rsidRPr="005F2A27">
        <w:rPr>
          <w:rFonts w:ascii="Arial" w:hAnsi="Arial" w:cs="Arial"/>
          <w:i/>
          <w:iCs/>
          <w:sz w:val="20"/>
          <w:szCs w:val="20"/>
        </w:rPr>
        <w:t xml:space="preserve">; institutional theory; </w:t>
      </w:r>
      <w:r w:rsidR="00413E65">
        <w:rPr>
          <w:rFonts w:ascii="Arial" w:hAnsi="Arial" w:cs="Arial"/>
          <w:i/>
          <w:iCs/>
          <w:sz w:val="20"/>
          <w:szCs w:val="20"/>
        </w:rPr>
        <w:t>payment choice theory</w:t>
      </w:r>
    </w:p>
    <w:p w14:paraId="2E4EEEA5" w14:textId="77777777" w:rsidR="00500E0E" w:rsidRPr="00500E0E" w:rsidRDefault="00500E0E" w:rsidP="00441B6F">
      <w:pPr>
        <w:pStyle w:val="Body"/>
        <w:spacing w:after="0"/>
        <w:rPr>
          <w:rFonts w:ascii="Arial" w:hAnsi="Arial" w:cs="Arial"/>
          <w:i/>
          <w:iCs/>
        </w:rPr>
      </w:pPr>
    </w:p>
    <w:p w14:paraId="5C7A5BB9" w14:textId="21CC334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D1DADCF" w14:textId="77777777" w:rsidR="00790ADA" w:rsidRPr="00FB3A86" w:rsidRDefault="00790ADA" w:rsidP="00441B6F">
      <w:pPr>
        <w:pStyle w:val="AbstHead"/>
        <w:spacing w:after="0"/>
        <w:jc w:val="both"/>
        <w:rPr>
          <w:rFonts w:ascii="Arial" w:hAnsi="Arial" w:cs="Arial"/>
        </w:rPr>
      </w:pPr>
    </w:p>
    <w:p w14:paraId="3A36C8DE"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Over the past decade, digital payments have become a key part of financial systems around the world. Digital payments are transactions made electronically through formal channels such as bank transfers, electronic money, online payment platforms, and other cashless tools. These methods let people transfer value without using physical cash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They depend on digital infrastructure that links users, financial institutions, payment service providers, and settlement systems, so payments can be authorized, cleared, and settled electronically. Since 2020, digital payment use has grown quickly </w:t>
      </w:r>
      <w:r>
        <w:rPr>
          <w:rFonts w:ascii="Arial" w:hAnsi="Arial" w:cs="Arial"/>
          <w:color w:val="000000"/>
          <w:sz w:val="20"/>
          <w:szCs w:val="20"/>
        </w:rPr>
        <w:lastRenderedPageBreak/>
        <w:t>worldwide, helped by new technology, better internet access, and changes in how people and organizations pay, especially during and after the COVID-19 pandemic. Studies show that both the use of digital payment tools and the supporting infrastructure have increased in many countries, making electronic transactions a regular part of retail payment systems instead of just an alternative to cash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International Monetary Fund, 2025).</w:t>
      </w:r>
    </w:p>
    <w:p w14:paraId="62C4B04F"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 xml:space="preserve">In the Philippines, the retail payment system has changed significantly in recent years. The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xml:space="preserve"> (BSP) has encouraged digital payments by updating regulations, improving infrastructure, and setting national payment standards. According to the BSP, by 2024, most retail payment transactions in the country were made digitally, both in number and value, showing a move toward a cash-lite economy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This shift is also supported by more households and individuals gaining access to the internet and digital technology, making it easier for people to use digital financial services like electronic payments (Philippine Statistics Authority &amp; Department of Information and Communications Technology, 2025). All these factors help digital payments continue to grow across different parts of the economy.</w:t>
      </w:r>
    </w:p>
    <w:p w14:paraId="2EACA15D"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Although there is a lot of information about global and national digital payment trends, less is known about how these changes affect financial practices at the local level, especially outside big cities. Regional universities, like those in Northern Mindanao, follow national payment rules but have their own unique challenges and situations. Studying how a university in Northern Mindanao uses digital payment channels can show how national payment reforms work in practice. Universities act as a bridge between national financial systems and local users, making them a good place to study the effects of digital payment trends in regional areas.</w:t>
      </w:r>
    </w:p>
    <w:p w14:paraId="2FB73E62"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In this study, trends means the visible patterns and changes over time in how digital payment tools are adopted, used, and made available, based on public data. The study does not try to show cause or predict the future. Instead, it describes steady increases, changes in payment types, and how institutions respond to wider payment system changes from 2020 to 2024.</w:t>
      </w:r>
    </w:p>
    <w:p w14:paraId="23E10806" w14:textId="77777777" w:rsidR="00413E65" w:rsidRDefault="00413E65" w:rsidP="00413E65">
      <w:pPr>
        <w:pStyle w:val="NormalWeb"/>
        <w:spacing w:before="0" w:beforeAutospacing="0" w:after="0" w:afterAutospacing="0"/>
        <w:ind w:right="18"/>
      </w:pPr>
      <w:r>
        <w:rPr>
          <w:rFonts w:ascii="Arial" w:hAnsi="Arial" w:cs="Arial"/>
          <w:color w:val="000000"/>
          <w:sz w:val="20"/>
          <w:szCs w:val="20"/>
        </w:rPr>
        <w:t>This study mainly uses Payment Choice Theory, which looks at how people and organizations choose payment methods based on factors like convenience, cost, access, and reliability (Humphrey et al., 2001). This theory helps explain why people move from cash to digital payments. The study also uses the Financial Inclusion Framework, which focuses on how access to formal financial services supports inclusive financial systems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While the study does not directly measure inclusion, this framework helps place digital payment growth in the context of wider financial system changes. Finally, Institutional Theory is used to show how organizations change their practices in response to rules, expectations, and new technology in their environment (DiMaggio &amp; Powell, 1983; Scott, 2020).</w:t>
      </w:r>
    </w:p>
    <w:p w14:paraId="740BF5AA" w14:textId="00B1F1E7" w:rsidR="00B01FCD" w:rsidRPr="00413E65" w:rsidRDefault="00413E65" w:rsidP="00413E65">
      <w:pPr>
        <w:pStyle w:val="NormalWeb"/>
        <w:spacing w:before="0" w:beforeAutospacing="0" w:after="0" w:afterAutospacing="0"/>
        <w:ind w:right="18"/>
      </w:pPr>
      <w:r>
        <w:rPr>
          <w:rFonts w:ascii="Arial" w:hAnsi="Arial" w:cs="Arial"/>
          <w:color w:val="000000"/>
          <w:sz w:val="20"/>
          <w:szCs w:val="20"/>
        </w:rPr>
        <w:t>While there is a lot of research on global and national digital payment trends, there is less discussion about how these changes show up in the financial practices of institutions, especially in higher education and regional areas. Most studies look at consumer behavior or financial inclusion, but fewer focus on how organizations use digital payments with public data. This study helps fill that gap by describing how global and national digital payment trends connect to financial practices at a university in Northern Mindanao. By using only public datasets and documents, the study provides a method that others can repeat to examine how digital payment reforms affect institutions, without needing private data or surveys. This helps link big-picture payment system changes to what happens in organizations.</w:t>
      </w:r>
    </w:p>
    <w:p w14:paraId="09DC836E" w14:textId="77777777" w:rsidR="00790ADA" w:rsidRPr="00FB3A86" w:rsidRDefault="00790ADA" w:rsidP="00441B6F">
      <w:pPr>
        <w:pStyle w:val="Body"/>
        <w:spacing w:after="0"/>
        <w:rPr>
          <w:rFonts w:ascii="Arial" w:hAnsi="Arial" w:cs="Arial"/>
        </w:rPr>
      </w:pPr>
    </w:p>
    <w:p w14:paraId="6BAAD26C" w14:textId="5D8B339C" w:rsidR="007F7B32" w:rsidRDefault="00902823" w:rsidP="00441B6F">
      <w:pPr>
        <w:pStyle w:val="AbstHead"/>
        <w:spacing w:after="0"/>
        <w:jc w:val="both"/>
        <w:rPr>
          <w:rFonts w:ascii="Arial" w:hAnsi="Arial" w:cs="Arial"/>
        </w:rPr>
      </w:pPr>
      <w:r>
        <w:rPr>
          <w:rFonts w:ascii="Arial" w:hAnsi="Arial" w:cs="Arial"/>
        </w:rPr>
        <w:t>2. m</w:t>
      </w:r>
      <w:r w:rsidR="00E33360">
        <w:rPr>
          <w:rFonts w:ascii="Arial" w:hAnsi="Arial" w:cs="Arial"/>
        </w:rPr>
        <w:t>ETHODOLOGY</w:t>
      </w:r>
    </w:p>
    <w:p w14:paraId="135773AC" w14:textId="77777777" w:rsidR="00790ADA" w:rsidRDefault="00790ADA" w:rsidP="00441B6F">
      <w:pPr>
        <w:pStyle w:val="AbstHead"/>
        <w:spacing w:after="0"/>
        <w:jc w:val="both"/>
        <w:rPr>
          <w:rFonts w:ascii="Arial" w:hAnsi="Arial" w:cs="Arial"/>
        </w:rPr>
      </w:pPr>
    </w:p>
    <w:p w14:paraId="7AAE46CE" w14:textId="6ACEF895" w:rsidR="00FC2F4F" w:rsidRDefault="00674F58" w:rsidP="00674F58">
      <w:pPr>
        <w:rPr>
          <w:rFonts w:ascii="Arial" w:hAnsi="Arial" w:cs="Arial"/>
          <w:b/>
          <w:bCs/>
          <w:color w:val="000000"/>
          <w:sz w:val="22"/>
          <w:szCs w:val="22"/>
        </w:rPr>
      </w:pPr>
      <w:r w:rsidRPr="00674F58">
        <w:rPr>
          <w:rFonts w:ascii="Arial" w:hAnsi="Arial" w:cs="Arial"/>
          <w:b/>
          <w:bCs/>
          <w:color w:val="000000"/>
          <w:sz w:val="22"/>
          <w:szCs w:val="22"/>
        </w:rPr>
        <w:t>2.1 Research Desig</w:t>
      </w:r>
      <w:r w:rsidR="00413E65">
        <w:rPr>
          <w:rFonts w:ascii="Arial" w:hAnsi="Arial" w:cs="Arial"/>
          <w:b/>
          <w:bCs/>
          <w:color w:val="000000"/>
          <w:sz w:val="22"/>
          <w:szCs w:val="22"/>
        </w:rPr>
        <w:t>n</w:t>
      </w:r>
    </w:p>
    <w:p w14:paraId="0E7A3959" w14:textId="77777777" w:rsidR="00413E65" w:rsidRPr="00413E65" w:rsidRDefault="00413E65" w:rsidP="00674F58">
      <w:pPr>
        <w:rPr>
          <w:rFonts w:ascii="Arial" w:hAnsi="Arial" w:cs="Arial"/>
          <w:b/>
          <w:bCs/>
          <w:color w:val="000000"/>
          <w:sz w:val="22"/>
          <w:szCs w:val="22"/>
        </w:rPr>
      </w:pPr>
    </w:p>
    <w:p w14:paraId="641FA1E0" w14:textId="5A4E5BC4" w:rsidR="00413E65" w:rsidRDefault="00413E65" w:rsidP="00413E65">
      <w:pPr>
        <w:pStyle w:val="NormalWeb"/>
        <w:spacing w:before="0" w:beforeAutospacing="0" w:after="0" w:afterAutospacing="0"/>
        <w:ind w:right="18"/>
      </w:pPr>
      <w:r>
        <w:rPr>
          <w:rFonts w:ascii="Arial" w:hAnsi="Arial" w:cs="Arial"/>
          <w:color w:val="000000"/>
          <w:sz w:val="20"/>
          <w:szCs w:val="20"/>
        </w:rPr>
        <w:t>This study used a descriptive, document-based research design to examine global and national digital payment trends and their financial effects on institutions. It also included a case study of a private higher education institution in the Philippines. The research relied on document-based and secondary-data methods, which are common in economics and business for studying trends, policy environments, and institutional practices using public records instead of collecting new data (Bowen, 2009; Lim, 2025).</w:t>
      </w:r>
    </w:p>
    <w:p w14:paraId="6508D529" w14:textId="18EC8F0E" w:rsidR="00FC2F4F" w:rsidRDefault="00413E65" w:rsidP="00413E65">
      <w:pPr>
        <w:pStyle w:val="NormalWeb"/>
        <w:spacing w:before="0" w:beforeAutospacing="0" w:after="0" w:afterAutospacing="0"/>
        <w:ind w:right="18"/>
        <w:rPr>
          <w:rFonts w:ascii="Arial" w:hAnsi="Arial" w:cs="Arial"/>
          <w:color w:val="000000"/>
          <w:sz w:val="20"/>
          <w:szCs w:val="20"/>
        </w:rPr>
      </w:pPr>
      <w:r>
        <w:rPr>
          <w:rFonts w:ascii="Arial" w:hAnsi="Arial" w:cs="Arial"/>
          <w:color w:val="000000"/>
          <w:sz w:val="20"/>
          <w:szCs w:val="20"/>
        </w:rPr>
        <w:t>The study used only publicly available secondary data and institutional documents, mostly published from 2020 onward. This period saw faster digital payment adoption and more policy intervention during and after COVID. This approach follows standard practices in economics, business, and accounting research, which value transparency and replicability (World Bank, 2022; IMF, 2024). The analysis was non-experimental and interpretive. Rather than testing cause and effect, it described payment trends and how institutions responded, using established economic and organizational frameworks.</w:t>
      </w:r>
    </w:p>
    <w:p w14:paraId="3AD26234" w14:textId="77777777" w:rsidR="00413E65" w:rsidRPr="00674F58" w:rsidRDefault="00413E65" w:rsidP="00413E65">
      <w:pPr>
        <w:pStyle w:val="NormalWeb"/>
        <w:spacing w:before="0" w:beforeAutospacing="0" w:after="0" w:afterAutospacing="0"/>
        <w:ind w:right="600"/>
      </w:pPr>
    </w:p>
    <w:p w14:paraId="15C82466" w14:textId="38C8A750" w:rsidR="00674F58" w:rsidRDefault="00B84C4D" w:rsidP="00674F58">
      <w:pPr>
        <w:rPr>
          <w:rFonts w:ascii="Arial" w:hAnsi="Arial" w:cs="Arial"/>
          <w:b/>
          <w:bCs/>
          <w:color w:val="000000"/>
          <w:sz w:val="22"/>
          <w:szCs w:val="22"/>
        </w:rPr>
      </w:pPr>
      <w:r>
        <w:rPr>
          <w:rFonts w:ascii="Arial" w:hAnsi="Arial" w:cs="Arial"/>
          <w:b/>
          <w:bCs/>
          <w:color w:val="000000"/>
          <w:sz w:val="22"/>
          <w:szCs w:val="22"/>
        </w:rPr>
        <w:t>2.2 Analytical Framework</w:t>
      </w:r>
    </w:p>
    <w:p w14:paraId="46771704" w14:textId="77777777" w:rsidR="00FC2F4F" w:rsidRDefault="00FC2F4F" w:rsidP="00674F58"/>
    <w:p w14:paraId="6F83BAC3" w14:textId="77777777" w:rsidR="00B84C4D" w:rsidRDefault="00B84C4D" w:rsidP="00B84C4D">
      <w:pPr>
        <w:pStyle w:val="NormalWeb"/>
        <w:spacing w:before="0" w:beforeAutospacing="0" w:after="0" w:afterAutospacing="0"/>
      </w:pPr>
      <w:r>
        <w:rPr>
          <w:rFonts w:ascii="Arial" w:hAnsi="Arial" w:cs="Arial"/>
          <w:color w:val="000000"/>
          <w:sz w:val="20"/>
          <w:szCs w:val="20"/>
        </w:rPr>
        <w:t>This study mainly used Payment Choice Theory, which looks at how people and organizations choose between payment methods based on convenience, costs, access, and available infrastructure (Humphrey et al., 2001; Klee, 2008). This theory helped interpret trends in cash and digital payment use worldwide and within countries.</w:t>
      </w:r>
    </w:p>
    <w:p w14:paraId="2BA0AD26" w14:textId="4153F8DA" w:rsidR="00B84C4D" w:rsidRDefault="007C4A5E" w:rsidP="00B84C4D">
      <w:pPr>
        <w:pStyle w:val="NormalWeb"/>
        <w:spacing w:before="0" w:beforeAutospacing="0" w:after="0" w:afterAutospacing="0"/>
      </w:pPr>
      <w:r>
        <w:rPr>
          <w:rFonts w:ascii="Arial" w:hAnsi="Arial" w:cs="Arial"/>
          <w:noProof/>
          <w:color w:val="000000"/>
          <w:sz w:val="20"/>
          <w:szCs w:val="20"/>
        </w:rPr>
        <w:drawing>
          <wp:anchor distT="0" distB="0" distL="114300" distR="114300" simplePos="0" relativeHeight="251659264" behindDoc="1" locked="0" layoutInCell="1" allowOverlap="1" wp14:anchorId="4509A37B" wp14:editId="6D9368FF">
            <wp:simplePos x="0" y="0"/>
            <wp:positionH relativeFrom="column">
              <wp:posOffset>592941</wp:posOffset>
            </wp:positionH>
            <wp:positionV relativeFrom="paragraph">
              <wp:posOffset>615315</wp:posOffset>
            </wp:positionV>
            <wp:extent cx="3944471" cy="3944471"/>
            <wp:effectExtent l="0" t="0" r="0" b="0"/>
            <wp:wrapNone/>
            <wp:docPr id="122019250" name="Picture 2" descr="A diagram of a pay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19250" name="Picture 2" descr="A diagram of a payment proces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4471" cy="3944471"/>
                    </a:xfrm>
                    <a:prstGeom prst="rect">
                      <a:avLst/>
                    </a:prstGeom>
                  </pic:spPr>
                </pic:pic>
              </a:graphicData>
            </a:graphic>
            <wp14:sizeRelH relativeFrom="page">
              <wp14:pctWidth>0</wp14:pctWidth>
            </wp14:sizeRelH>
            <wp14:sizeRelV relativeFrom="page">
              <wp14:pctHeight>0</wp14:pctHeight>
            </wp14:sizeRelV>
          </wp:anchor>
        </w:drawing>
      </w:r>
      <w:r w:rsidR="00B84C4D">
        <w:rPr>
          <w:rFonts w:ascii="Arial" w:hAnsi="Arial" w:cs="Arial"/>
          <w:color w:val="000000"/>
          <w:sz w:val="20"/>
          <w:szCs w:val="20"/>
        </w:rPr>
        <w:t xml:space="preserve">The analysis also used the Financial Inclusion Framework, which focuses on access to and use of formal financial services as signs of inclusive economic growth (World Bank, 2022; </w:t>
      </w:r>
      <w:proofErr w:type="spellStart"/>
      <w:r w:rsidR="00B84C4D">
        <w:rPr>
          <w:rFonts w:ascii="Arial" w:hAnsi="Arial" w:cs="Arial"/>
          <w:color w:val="000000"/>
          <w:sz w:val="20"/>
          <w:szCs w:val="20"/>
        </w:rPr>
        <w:t>Demirgüç-Kunt</w:t>
      </w:r>
      <w:proofErr w:type="spellEnd"/>
      <w:r w:rsidR="00B84C4D">
        <w:rPr>
          <w:rFonts w:ascii="Arial" w:hAnsi="Arial" w:cs="Arial"/>
          <w:color w:val="000000"/>
          <w:sz w:val="20"/>
          <w:szCs w:val="20"/>
        </w:rPr>
        <w:t xml:space="preserve"> et al., 2022). In the discussion, Institutional Theory was added to explain how organizations react to rules, social expectations, and competition when adopting digital payment systems (DiMaggio &amp; Powell, 1983; Scott, 2020).</w:t>
      </w:r>
    </w:p>
    <w:p w14:paraId="0940AD63" w14:textId="099753C9" w:rsidR="00FC2F4F" w:rsidRDefault="00FC2F4F" w:rsidP="00FC2F4F">
      <w:pPr>
        <w:pStyle w:val="NormalWeb"/>
        <w:spacing w:before="0" w:beforeAutospacing="0" w:after="0" w:afterAutospacing="0"/>
        <w:rPr>
          <w:rFonts w:ascii="Arial" w:hAnsi="Arial" w:cs="Arial"/>
          <w:color w:val="000000"/>
          <w:sz w:val="20"/>
          <w:szCs w:val="20"/>
        </w:rPr>
      </w:pPr>
    </w:p>
    <w:p w14:paraId="1F4B5648" w14:textId="1A56842C" w:rsidR="00B84C4D" w:rsidRDefault="00B84C4D" w:rsidP="00FC2F4F">
      <w:pPr>
        <w:pStyle w:val="NormalWeb"/>
        <w:spacing w:before="0" w:beforeAutospacing="0" w:after="0" w:afterAutospacing="0"/>
        <w:rPr>
          <w:rFonts w:ascii="Arial" w:hAnsi="Arial" w:cs="Arial"/>
          <w:color w:val="000000"/>
          <w:sz w:val="20"/>
          <w:szCs w:val="20"/>
        </w:rPr>
      </w:pPr>
    </w:p>
    <w:p w14:paraId="4DB6CB9B" w14:textId="7CA59D2D" w:rsidR="00B84C4D" w:rsidRDefault="00B84C4D" w:rsidP="00FC2F4F">
      <w:pPr>
        <w:pStyle w:val="NormalWeb"/>
        <w:spacing w:before="0" w:beforeAutospacing="0" w:after="0" w:afterAutospacing="0"/>
        <w:rPr>
          <w:rFonts w:ascii="Arial" w:hAnsi="Arial" w:cs="Arial"/>
          <w:color w:val="000000"/>
          <w:sz w:val="20"/>
          <w:szCs w:val="20"/>
        </w:rPr>
      </w:pPr>
    </w:p>
    <w:p w14:paraId="44862B02" w14:textId="3267B58C" w:rsidR="00B84C4D" w:rsidRDefault="00B84C4D" w:rsidP="00FC2F4F">
      <w:pPr>
        <w:pStyle w:val="NormalWeb"/>
        <w:spacing w:before="0" w:beforeAutospacing="0" w:after="0" w:afterAutospacing="0"/>
        <w:rPr>
          <w:rFonts w:ascii="Arial" w:hAnsi="Arial" w:cs="Arial"/>
          <w:color w:val="000000"/>
          <w:sz w:val="20"/>
          <w:szCs w:val="20"/>
        </w:rPr>
      </w:pPr>
    </w:p>
    <w:p w14:paraId="65734269" w14:textId="50F77825" w:rsidR="00B84C4D" w:rsidRDefault="00B84C4D" w:rsidP="00FC2F4F">
      <w:pPr>
        <w:pStyle w:val="NormalWeb"/>
        <w:spacing w:before="0" w:beforeAutospacing="0" w:after="0" w:afterAutospacing="0"/>
        <w:rPr>
          <w:rFonts w:ascii="Arial" w:hAnsi="Arial" w:cs="Arial"/>
          <w:color w:val="000000"/>
          <w:sz w:val="20"/>
          <w:szCs w:val="20"/>
        </w:rPr>
      </w:pPr>
    </w:p>
    <w:p w14:paraId="72CF4D34" w14:textId="489BCF41" w:rsidR="00B84C4D" w:rsidRDefault="00B84C4D" w:rsidP="00FC2F4F">
      <w:pPr>
        <w:pStyle w:val="NormalWeb"/>
        <w:spacing w:before="0" w:beforeAutospacing="0" w:after="0" w:afterAutospacing="0"/>
        <w:rPr>
          <w:rFonts w:ascii="Arial" w:hAnsi="Arial" w:cs="Arial"/>
          <w:color w:val="000000"/>
          <w:sz w:val="20"/>
          <w:szCs w:val="20"/>
        </w:rPr>
      </w:pPr>
    </w:p>
    <w:p w14:paraId="7B3CCD99" w14:textId="74154D87" w:rsidR="00B84C4D" w:rsidRDefault="00B84C4D" w:rsidP="00FC2F4F">
      <w:pPr>
        <w:pStyle w:val="NormalWeb"/>
        <w:spacing w:before="0" w:beforeAutospacing="0" w:after="0" w:afterAutospacing="0"/>
        <w:rPr>
          <w:rFonts w:ascii="Arial" w:hAnsi="Arial" w:cs="Arial"/>
          <w:color w:val="000000"/>
          <w:sz w:val="20"/>
          <w:szCs w:val="20"/>
        </w:rPr>
      </w:pPr>
    </w:p>
    <w:p w14:paraId="671B172C" w14:textId="1BED7753" w:rsidR="00B84C4D" w:rsidRDefault="00B84C4D" w:rsidP="00FC2F4F">
      <w:pPr>
        <w:pStyle w:val="NormalWeb"/>
        <w:spacing w:before="0" w:beforeAutospacing="0" w:after="0" w:afterAutospacing="0"/>
        <w:rPr>
          <w:rFonts w:ascii="Arial" w:hAnsi="Arial" w:cs="Arial"/>
          <w:color w:val="000000"/>
          <w:sz w:val="20"/>
          <w:szCs w:val="20"/>
        </w:rPr>
      </w:pPr>
    </w:p>
    <w:p w14:paraId="690B0D81" w14:textId="280A34F3" w:rsidR="00B84C4D" w:rsidRDefault="00B84C4D" w:rsidP="00FC2F4F">
      <w:pPr>
        <w:pStyle w:val="NormalWeb"/>
        <w:spacing w:before="0" w:beforeAutospacing="0" w:after="0" w:afterAutospacing="0"/>
        <w:rPr>
          <w:rFonts w:ascii="Arial" w:hAnsi="Arial" w:cs="Arial"/>
          <w:color w:val="000000"/>
          <w:sz w:val="20"/>
          <w:szCs w:val="20"/>
        </w:rPr>
      </w:pPr>
    </w:p>
    <w:p w14:paraId="27E9E1BA" w14:textId="658BDAC1" w:rsidR="00B84C4D" w:rsidRDefault="00B84C4D" w:rsidP="00FC2F4F">
      <w:pPr>
        <w:pStyle w:val="NormalWeb"/>
        <w:spacing w:before="0" w:beforeAutospacing="0" w:after="0" w:afterAutospacing="0"/>
        <w:rPr>
          <w:rFonts w:ascii="Arial" w:hAnsi="Arial" w:cs="Arial"/>
          <w:color w:val="000000"/>
          <w:sz w:val="20"/>
          <w:szCs w:val="20"/>
        </w:rPr>
      </w:pPr>
    </w:p>
    <w:p w14:paraId="2BE3E6B5" w14:textId="77777777" w:rsidR="007C4A5E" w:rsidRDefault="007C4A5E" w:rsidP="00FC2F4F">
      <w:pPr>
        <w:pStyle w:val="NormalWeb"/>
        <w:spacing w:before="0" w:beforeAutospacing="0" w:after="0" w:afterAutospacing="0"/>
        <w:rPr>
          <w:rFonts w:ascii="Arial" w:hAnsi="Arial" w:cs="Arial"/>
          <w:color w:val="000000"/>
          <w:sz w:val="20"/>
          <w:szCs w:val="20"/>
        </w:rPr>
      </w:pPr>
    </w:p>
    <w:p w14:paraId="1B0491F3" w14:textId="77777777" w:rsidR="007C4A5E" w:rsidRDefault="007C4A5E" w:rsidP="00FC2F4F">
      <w:pPr>
        <w:pStyle w:val="NormalWeb"/>
        <w:spacing w:before="0" w:beforeAutospacing="0" w:after="0" w:afterAutospacing="0"/>
        <w:rPr>
          <w:rFonts w:ascii="Arial" w:hAnsi="Arial" w:cs="Arial"/>
          <w:color w:val="000000"/>
          <w:sz w:val="20"/>
          <w:szCs w:val="20"/>
        </w:rPr>
      </w:pPr>
    </w:p>
    <w:p w14:paraId="58BB7320" w14:textId="77777777" w:rsidR="007C4A5E" w:rsidRDefault="007C4A5E" w:rsidP="00FC2F4F">
      <w:pPr>
        <w:pStyle w:val="NormalWeb"/>
        <w:spacing w:before="0" w:beforeAutospacing="0" w:after="0" w:afterAutospacing="0"/>
        <w:rPr>
          <w:rFonts w:ascii="Arial" w:hAnsi="Arial" w:cs="Arial"/>
          <w:color w:val="000000"/>
          <w:sz w:val="20"/>
          <w:szCs w:val="20"/>
        </w:rPr>
      </w:pPr>
    </w:p>
    <w:p w14:paraId="1BDFBDB8" w14:textId="77777777" w:rsidR="007C4A5E" w:rsidRDefault="007C4A5E" w:rsidP="00FC2F4F">
      <w:pPr>
        <w:pStyle w:val="NormalWeb"/>
        <w:spacing w:before="0" w:beforeAutospacing="0" w:after="0" w:afterAutospacing="0"/>
        <w:rPr>
          <w:rFonts w:ascii="Arial" w:hAnsi="Arial" w:cs="Arial"/>
          <w:color w:val="000000"/>
          <w:sz w:val="20"/>
          <w:szCs w:val="20"/>
        </w:rPr>
      </w:pPr>
    </w:p>
    <w:p w14:paraId="4DE21A49" w14:textId="77777777" w:rsidR="007C4A5E" w:rsidRDefault="007C4A5E" w:rsidP="00FC2F4F">
      <w:pPr>
        <w:pStyle w:val="NormalWeb"/>
        <w:spacing w:before="0" w:beforeAutospacing="0" w:after="0" w:afterAutospacing="0"/>
        <w:rPr>
          <w:rFonts w:ascii="Arial" w:hAnsi="Arial" w:cs="Arial"/>
          <w:color w:val="000000"/>
          <w:sz w:val="20"/>
          <w:szCs w:val="20"/>
        </w:rPr>
      </w:pPr>
    </w:p>
    <w:p w14:paraId="20D6B21E" w14:textId="77777777" w:rsidR="007C4A5E" w:rsidRDefault="007C4A5E" w:rsidP="00FC2F4F">
      <w:pPr>
        <w:pStyle w:val="NormalWeb"/>
        <w:spacing w:before="0" w:beforeAutospacing="0" w:after="0" w:afterAutospacing="0"/>
        <w:rPr>
          <w:rFonts w:ascii="Arial" w:hAnsi="Arial" w:cs="Arial"/>
          <w:color w:val="000000"/>
          <w:sz w:val="20"/>
          <w:szCs w:val="20"/>
        </w:rPr>
      </w:pPr>
    </w:p>
    <w:p w14:paraId="080E37FE" w14:textId="77777777" w:rsidR="007C4A5E" w:rsidRDefault="007C4A5E" w:rsidP="00FC2F4F">
      <w:pPr>
        <w:pStyle w:val="NormalWeb"/>
        <w:spacing w:before="0" w:beforeAutospacing="0" w:after="0" w:afterAutospacing="0"/>
        <w:rPr>
          <w:rFonts w:ascii="Arial" w:hAnsi="Arial" w:cs="Arial"/>
          <w:color w:val="000000"/>
          <w:sz w:val="20"/>
          <w:szCs w:val="20"/>
        </w:rPr>
      </w:pPr>
    </w:p>
    <w:p w14:paraId="7C25BC88" w14:textId="77777777" w:rsidR="001B1FD9" w:rsidRDefault="001B1FD9" w:rsidP="00FC2F4F">
      <w:pPr>
        <w:pStyle w:val="NormalWeb"/>
        <w:spacing w:before="0" w:beforeAutospacing="0" w:after="0" w:afterAutospacing="0"/>
        <w:rPr>
          <w:rFonts w:ascii="Arial" w:hAnsi="Arial" w:cs="Arial"/>
          <w:color w:val="000000"/>
          <w:sz w:val="20"/>
          <w:szCs w:val="20"/>
        </w:rPr>
      </w:pPr>
    </w:p>
    <w:p w14:paraId="00B5CCC8" w14:textId="77777777" w:rsidR="001B1FD9" w:rsidRDefault="001B1FD9" w:rsidP="00FC2F4F">
      <w:pPr>
        <w:pStyle w:val="NormalWeb"/>
        <w:spacing w:before="0" w:beforeAutospacing="0" w:after="0" w:afterAutospacing="0"/>
        <w:rPr>
          <w:rFonts w:ascii="Arial" w:hAnsi="Arial" w:cs="Arial"/>
          <w:color w:val="000000"/>
          <w:sz w:val="20"/>
          <w:szCs w:val="20"/>
        </w:rPr>
      </w:pPr>
    </w:p>
    <w:p w14:paraId="330F64B6" w14:textId="77777777" w:rsidR="001B1FD9" w:rsidRDefault="001B1FD9" w:rsidP="00FC2F4F">
      <w:pPr>
        <w:pStyle w:val="NormalWeb"/>
        <w:spacing w:before="0" w:beforeAutospacing="0" w:after="0" w:afterAutospacing="0"/>
        <w:rPr>
          <w:rFonts w:ascii="Arial" w:hAnsi="Arial" w:cs="Arial"/>
          <w:color w:val="000000"/>
          <w:sz w:val="20"/>
          <w:szCs w:val="20"/>
        </w:rPr>
      </w:pPr>
    </w:p>
    <w:p w14:paraId="14B00676" w14:textId="77777777" w:rsidR="001B1FD9" w:rsidRDefault="001B1FD9" w:rsidP="00FC2F4F">
      <w:pPr>
        <w:pStyle w:val="NormalWeb"/>
        <w:spacing w:before="0" w:beforeAutospacing="0" w:after="0" w:afterAutospacing="0"/>
        <w:rPr>
          <w:rFonts w:ascii="Arial" w:hAnsi="Arial" w:cs="Arial"/>
          <w:color w:val="000000"/>
          <w:sz w:val="20"/>
          <w:szCs w:val="20"/>
        </w:rPr>
      </w:pPr>
    </w:p>
    <w:p w14:paraId="31799F83" w14:textId="77777777" w:rsidR="007C4A5E" w:rsidRDefault="007C4A5E" w:rsidP="00FC2F4F">
      <w:pPr>
        <w:pStyle w:val="NormalWeb"/>
        <w:spacing w:before="0" w:beforeAutospacing="0" w:after="0" w:afterAutospacing="0"/>
        <w:rPr>
          <w:rFonts w:ascii="Arial" w:hAnsi="Arial" w:cs="Arial"/>
          <w:color w:val="000000"/>
          <w:sz w:val="20"/>
          <w:szCs w:val="20"/>
        </w:rPr>
      </w:pPr>
    </w:p>
    <w:p w14:paraId="4B04D9AF" w14:textId="77777777" w:rsidR="007C4A5E" w:rsidRDefault="007C4A5E" w:rsidP="00FC2F4F">
      <w:pPr>
        <w:pStyle w:val="NormalWeb"/>
        <w:spacing w:before="0" w:beforeAutospacing="0" w:after="0" w:afterAutospacing="0"/>
        <w:rPr>
          <w:rFonts w:ascii="Arial" w:hAnsi="Arial" w:cs="Arial"/>
          <w:color w:val="000000"/>
          <w:sz w:val="20"/>
          <w:szCs w:val="20"/>
        </w:rPr>
      </w:pPr>
    </w:p>
    <w:p w14:paraId="3E3FD32A" w14:textId="77777777" w:rsidR="007C4A5E" w:rsidRDefault="007C4A5E" w:rsidP="00FC2F4F">
      <w:pPr>
        <w:pStyle w:val="NormalWeb"/>
        <w:spacing w:before="0" w:beforeAutospacing="0" w:after="0" w:afterAutospacing="0"/>
        <w:rPr>
          <w:rFonts w:ascii="Arial" w:hAnsi="Arial" w:cs="Arial"/>
          <w:color w:val="000000"/>
          <w:sz w:val="20"/>
          <w:szCs w:val="20"/>
        </w:rPr>
      </w:pPr>
    </w:p>
    <w:p w14:paraId="3BDEC6A8" w14:textId="77777777" w:rsidR="007C4A5E" w:rsidRDefault="007C4A5E" w:rsidP="007C4A5E">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 xml:space="preserve">Fig. 1. Analytical Framework Linking Global Payment Trends, </w:t>
      </w:r>
    </w:p>
    <w:p w14:paraId="781D39AC" w14:textId="1F7EE6BB" w:rsidR="007C4A5E" w:rsidRDefault="007C4A5E" w:rsidP="00151F25">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National Payment Environments,</w:t>
      </w:r>
      <w:r>
        <w:t xml:space="preserve"> </w:t>
      </w:r>
      <w:r>
        <w:rPr>
          <w:rFonts w:ascii="Arial" w:hAnsi="Arial" w:cs="Arial"/>
          <w:b/>
          <w:bCs/>
          <w:color w:val="000000"/>
          <w:sz w:val="20"/>
          <w:szCs w:val="20"/>
        </w:rPr>
        <w:t>and Institutional Response</w:t>
      </w:r>
      <w:r w:rsidR="00151F25">
        <w:rPr>
          <w:rFonts w:ascii="Arial" w:hAnsi="Arial" w:cs="Arial"/>
          <w:b/>
          <w:bCs/>
          <w:color w:val="000000"/>
          <w:sz w:val="20"/>
          <w:szCs w:val="20"/>
        </w:rPr>
        <w:t>s</w:t>
      </w:r>
    </w:p>
    <w:p w14:paraId="74BECF31" w14:textId="77777777" w:rsidR="00151F25" w:rsidRDefault="00151F25" w:rsidP="00151F25">
      <w:pPr>
        <w:pStyle w:val="NormalWeb"/>
        <w:spacing w:before="0" w:beforeAutospacing="0" w:after="0" w:afterAutospacing="0"/>
        <w:jc w:val="center"/>
        <w:rPr>
          <w:rFonts w:ascii="Arial" w:hAnsi="Arial" w:cs="Arial"/>
          <w:b/>
          <w:bCs/>
          <w:color w:val="000000"/>
          <w:sz w:val="20"/>
          <w:szCs w:val="20"/>
        </w:rPr>
      </w:pPr>
    </w:p>
    <w:p w14:paraId="28338690" w14:textId="0A479595" w:rsidR="00151F25" w:rsidRDefault="00151F25" w:rsidP="00151F25">
      <w:pPr>
        <w:pStyle w:val="Heading1"/>
        <w:spacing w:before="0" w:after="0"/>
        <w:rPr>
          <w:rFonts w:cs="Arial"/>
          <w:color w:val="000000"/>
          <w:sz w:val="22"/>
          <w:szCs w:val="22"/>
        </w:rPr>
      </w:pPr>
      <w:r>
        <w:rPr>
          <w:rFonts w:cs="Arial"/>
          <w:color w:val="000000"/>
          <w:sz w:val="22"/>
          <w:szCs w:val="22"/>
        </w:rPr>
        <w:lastRenderedPageBreak/>
        <w:t>2.3 Data Sources</w:t>
      </w:r>
    </w:p>
    <w:p w14:paraId="2EF0BEBF" w14:textId="77777777" w:rsidR="00151F25" w:rsidRPr="00151F25" w:rsidRDefault="00151F25" w:rsidP="00151F25">
      <w:pPr>
        <w:pStyle w:val="NormalWeb"/>
        <w:spacing w:before="0" w:beforeAutospacing="0" w:after="0" w:afterAutospacing="0"/>
        <w:ind w:right="600"/>
        <w:rPr>
          <w:rFonts w:ascii="Arial" w:hAnsi="Arial" w:cs="Arial"/>
          <w:color w:val="000000"/>
          <w:sz w:val="22"/>
          <w:szCs w:val="22"/>
        </w:rPr>
      </w:pPr>
    </w:p>
    <w:p w14:paraId="5BBE1602" w14:textId="49BB3BC5" w:rsidR="00151F25" w:rsidRDefault="00151F25" w:rsidP="00896597">
      <w:pPr>
        <w:pStyle w:val="NormalWeb"/>
        <w:spacing w:before="0" w:beforeAutospacing="0" w:after="0" w:afterAutospacing="0"/>
        <w:ind w:right="14"/>
      </w:pPr>
      <w:r>
        <w:rPr>
          <w:rFonts w:ascii="Arial" w:hAnsi="Arial" w:cs="Arial"/>
          <w:color w:val="000000"/>
          <w:sz w:val="20"/>
          <w:szCs w:val="20"/>
        </w:rPr>
        <w:t>All data came from publicly available international, national, and institutional sources. These were chosen to make the study transparent and easy to replicate, and to match the descriptive and comparative approach (Bowen, 2009; Lim, 2025). Only documents and datasets from 2020 or later were used to reflect current digital payment trends.</w:t>
      </w:r>
    </w:p>
    <w:p w14:paraId="265F2072" w14:textId="77777777" w:rsidR="00151F25" w:rsidRDefault="00151F25" w:rsidP="00896597">
      <w:pPr>
        <w:ind w:right="14"/>
      </w:pPr>
    </w:p>
    <w:p w14:paraId="5E1A2BE2" w14:textId="77777777" w:rsidR="00896597" w:rsidRPr="00896597" w:rsidRDefault="00896597" w:rsidP="00896597">
      <w:pPr>
        <w:pStyle w:val="Heading3"/>
        <w:spacing w:before="0"/>
        <w:ind w:right="14"/>
        <w:rPr>
          <w:b/>
          <w:bCs/>
          <w:sz w:val="27"/>
          <w:szCs w:val="27"/>
        </w:rPr>
      </w:pPr>
      <w:r w:rsidRPr="00896597">
        <w:rPr>
          <w:rFonts w:ascii="Arial" w:hAnsi="Arial" w:cs="Arial"/>
          <w:b/>
          <w:bCs/>
          <w:color w:val="000000"/>
          <w:sz w:val="20"/>
          <w:szCs w:val="20"/>
          <w:u w:val="single"/>
        </w:rPr>
        <w:t>2.3.1 Global-Level Sources</w:t>
      </w:r>
    </w:p>
    <w:p w14:paraId="2D1267CD" w14:textId="77777777" w:rsidR="00896597" w:rsidRDefault="00896597" w:rsidP="00896597">
      <w:pPr>
        <w:ind w:right="14"/>
      </w:pPr>
    </w:p>
    <w:p w14:paraId="3624F020"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 xml:space="preserve">To study global digital payment trends, two well-known datasets were used. The World Bank Global Findex Database provides demand-side data on how people use digital payments and financial accounts across countries, based on worldwide household surveys (World Bank, 2025;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The International Monetary Fund (IMF) Financial Access Survey (FAS) provided supply-side data on the availability of digital payment channels and financial infrastructure in each country, such as electronic money accounts and access points (International Monetary Fund, 2025).</w:t>
      </w:r>
    </w:p>
    <w:p w14:paraId="421CCE7F"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Together, these datasets offered a complete view of how digital payments are adopted and the conditions that make this possible.</w:t>
      </w:r>
    </w:p>
    <w:p w14:paraId="662AB3ED" w14:textId="77777777" w:rsidR="00896597" w:rsidRDefault="00896597" w:rsidP="00896597">
      <w:pPr>
        <w:ind w:right="14"/>
      </w:pPr>
    </w:p>
    <w:p w14:paraId="0F458A7B" w14:textId="77777777" w:rsidR="00896597" w:rsidRPr="00896597" w:rsidRDefault="00896597" w:rsidP="00896597">
      <w:pPr>
        <w:pStyle w:val="Heading3"/>
        <w:spacing w:before="0"/>
        <w:ind w:right="14"/>
        <w:rPr>
          <w:b/>
          <w:bCs/>
        </w:rPr>
      </w:pPr>
      <w:r w:rsidRPr="00896597">
        <w:rPr>
          <w:rFonts w:ascii="Arial" w:hAnsi="Arial" w:cs="Arial"/>
          <w:b/>
          <w:bCs/>
          <w:color w:val="000000"/>
          <w:sz w:val="20"/>
          <w:szCs w:val="20"/>
          <w:u w:val="single"/>
        </w:rPr>
        <w:t>2.3.2 National-Level Sources (Philippines)</w:t>
      </w:r>
    </w:p>
    <w:p w14:paraId="79DE3C10" w14:textId="77777777" w:rsidR="00896597" w:rsidRDefault="00896597" w:rsidP="00896597">
      <w:pPr>
        <w:ind w:right="14"/>
      </w:pPr>
    </w:p>
    <w:p w14:paraId="5DB33888"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 xml:space="preserve">National-level data came from official publications by the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xml:space="preserve"> (BSP) and the Philippine Statistics Authority (PSA). BSP reports, such as the </w:t>
      </w:r>
      <w:r>
        <w:rPr>
          <w:rFonts w:ascii="Arial" w:hAnsi="Arial" w:cs="Arial"/>
          <w:i/>
          <w:iCs/>
          <w:color w:val="000000"/>
          <w:sz w:val="20"/>
          <w:szCs w:val="20"/>
        </w:rPr>
        <w:t>2024 Report on E-Payments Measurement</w:t>
      </w:r>
      <w:r>
        <w:rPr>
          <w:rFonts w:ascii="Arial" w:hAnsi="Arial" w:cs="Arial"/>
          <w:color w:val="000000"/>
          <w:sz w:val="20"/>
          <w:szCs w:val="20"/>
        </w:rPr>
        <w:t xml:space="preserve"> and other digital payments status updates, helped identify payment trends, policy goals, and regulations shaping digital payments in the Philippines. The BSP’s 2024 report shows that digital payments made up 57.4% of all retail payment volume and 59% of retail payment value in 2024, showing a steady move toward electronic payments and surpassing national digitalization goals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3F8CA9E0"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Data from 2023 also show that digital payment use kept growing, with digital transactions making up about 52.8% of all retail payments. This growth reflects the ongoing impact of the BSP’s digital payments transformation efforts (Philippine Star, 2024).</w:t>
      </w:r>
    </w:p>
    <w:p w14:paraId="125DC281" w14:textId="77777777" w:rsidR="00896597" w:rsidRDefault="00896597" w:rsidP="00896597">
      <w:pPr>
        <w:pStyle w:val="NormalWeb"/>
        <w:spacing w:before="0" w:beforeAutospacing="0" w:after="0" w:afterAutospacing="0"/>
        <w:ind w:right="14"/>
      </w:pPr>
      <w:r>
        <w:rPr>
          <w:rFonts w:ascii="Arial" w:hAnsi="Arial" w:cs="Arial"/>
          <w:color w:val="000000"/>
          <w:sz w:val="20"/>
          <w:szCs w:val="20"/>
        </w:rPr>
        <w:t>Reports from the Philippine Statistics Authority (PSA) supported analysis of information and communication technology (ICT) access and digital readiness, both of which affect payment system adoption. This includes the latest National Information and Communications Technology Household Survey (NICTHS), which gives updated data on household and individual internet access in the Philippines (Philippine Statistics Authority &amp; Department of Information and Communications Technology, 2025).</w:t>
      </w:r>
    </w:p>
    <w:p w14:paraId="31FB9752" w14:textId="77777777" w:rsidR="00896597" w:rsidRDefault="00896597" w:rsidP="00896597">
      <w:pPr>
        <w:ind w:right="14"/>
      </w:pPr>
    </w:p>
    <w:p w14:paraId="1BE8F112" w14:textId="77777777" w:rsidR="00896597" w:rsidRPr="00896597" w:rsidRDefault="00896597" w:rsidP="00896597">
      <w:pPr>
        <w:pStyle w:val="Heading3"/>
        <w:spacing w:before="0"/>
        <w:ind w:right="14"/>
        <w:rPr>
          <w:b/>
          <w:bCs/>
        </w:rPr>
      </w:pPr>
      <w:r w:rsidRPr="00896597">
        <w:rPr>
          <w:rFonts w:ascii="Arial" w:hAnsi="Arial" w:cs="Arial"/>
          <w:b/>
          <w:bCs/>
          <w:color w:val="000000"/>
          <w:sz w:val="20"/>
          <w:szCs w:val="20"/>
          <w:u w:val="single"/>
        </w:rPr>
        <w:t>2.3.3 Institutional-Level Sources</w:t>
      </w:r>
    </w:p>
    <w:p w14:paraId="5274EF91" w14:textId="77777777" w:rsidR="00896597" w:rsidRDefault="00896597" w:rsidP="00896597">
      <w:pPr>
        <w:ind w:right="14"/>
      </w:pPr>
    </w:p>
    <w:p w14:paraId="7E66480A" w14:textId="418BB246" w:rsidR="00896597" w:rsidRDefault="00896597" w:rsidP="00896597">
      <w:pPr>
        <w:pStyle w:val="NormalWeb"/>
        <w:spacing w:before="0" w:beforeAutospacing="0" w:after="0" w:afterAutospacing="0"/>
        <w:ind w:right="14"/>
        <w:rPr>
          <w:rFonts w:ascii="Arial" w:hAnsi="Arial" w:cs="Arial"/>
          <w:color w:val="000000"/>
          <w:sz w:val="20"/>
          <w:szCs w:val="20"/>
        </w:rPr>
      </w:pPr>
      <w:r>
        <w:rPr>
          <w:rFonts w:ascii="Arial" w:hAnsi="Arial" w:cs="Arial"/>
          <w:color w:val="000000"/>
          <w:sz w:val="20"/>
          <w:szCs w:val="20"/>
        </w:rPr>
        <w:t>Institutional evidence was obtained from publicly available documents of Xavier University – Ateneo de Cagayan, including official payment and enrollment advisories, announcements on accepted digital payment channels, and publicly released institutional or sustainability reports (Xavier University – Ateneo de Cagayan, 2024). Only documents published on official university platforms were included. No internal financial data or confidential records were accessed.</w:t>
      </w:r>
    </w:p>
    <w:p w14:paraId="1FFF38AB" w14:textId="77777777" w:rsidR="00896597" w:rsidRDefault="00896597" w:rsidP="00896597">
      <w:pPr>
        <w:pStyle w:val="NormalWeb"/>
        <w:spacing w:before="0" w:beforeAutospacing="0" w:after="0" w:afterAutospacing="0"/>
        <w:ind w:right="14"/>
        <w:rPr>
          <w:rFonts w:ascii="Arial" w:hAnsi="Arial" w:cs="Arial"/>
          <w:color w:val="000000"/>
          <w:sz w:val="20"/>
          <w:szCs w:val="20"/>
        </w:rPr>
      </w:pPr>
    </w:p>
    <w:p w14:paraId="62E8DD43" w14:textId="489F44FB" w:rsidR="00896597" w:rsidRDefault="00EB4BAE" w:rsidP="00EB4BAE">
      <w:pPr>
        <w:pStyle w:val="NormalWeb"/>
        <w:spacing w:before="0" w:beforeAutospacing="0" w:after="0" w:afterAutospacing="0"/>
        <w:ind w:right="14"/>
        <w:jc w:val="center"/>
        <w:rPr>
          <w:rFonts w:ascii="Arial" w:hAnsi="Arial" w:cs="Arial"/>
          <w:color w:val="000000"/>
          <w:sz w:val="20"/>
          <w:szCs w:val="20"/>
        </w:rPr>
      </w:pPr>
      <w:r>
        <w:rPr>
          <w:rFonts w:ascii="Arial" w:hAnsi="Arial" w:cs="Arial"/>
          <w:b/>
          <w:bCs/>
          <w:color w:val="000000"/>
          <w:sz w:val="20"/>
          <w:szCs w:val="20"/>
        </w:rPr>
        <w:t>Table 1. Description of Data Sources Used in the Study</w:t>
      </w:r>
    </w:p>
    <w:p w14:paraId="026A69A1" w14:textId="77777777" w:rsidR="00896597" w:rsidRDefault="00896597" w:rsidP="00896597">
      <w:pPr>
        <w:pStyle w:val="NormalWeb"/>
        <w:spacing w:before="0" w:beforeAutospacing="0" w:after="0" w:afterAutospacing="0"/>
        <w:ind w:right="14"/>
      </w:pPr>
    </w:p>
    <w:tbl>
      <w:tblPr>
        <w:tblW w:w="8190" w:type="dxa"/>
        <w:jc w:val="center"/>
        <w:tblBorders>
          <w:top w:val="single" w:sz="4" w:space="0" w:color="auto"/>
          <w:bottom w:val="single" w:sz="4" w:space="0" w:color="auto"/>
        </w:tblBorders>
        <w:tblLook w:val="01E0" w:firstRow="1" w:lastRow="1" w:firstColumn="1" w:lastColumn="1" w:noHBand="0" w:noVBand="0"/>
      </w:tblPr>
      <w:tblGrid>
        <w:gridCol w:w="1980"/>
        <w:gridCol w:w="1706"/>
        <w:gridCol w:w="2027"/>
        <w:gridCol w:w="2477"/>
      </w:tblGrid>
      <w:tr w:rsidR="00EB4BAE" w:rsidRPr="00BE2238" w14:paraId="7959C0F1" w14:textId="77777777" w:rsidTr="00EB4BAE">
        <w:trPr>
          <w:jc w:val="center"/>
        </w:trPr>
        <w:tc>
          <w:tcPr>
            <w:tcW w:w="1980" w:type="dxa"/>
            <w:tcBorders>
              <w:top w:val="single" w:sz="4" w:space="0" w:color="auto"/>
              <w:bottom w:val="single" w:sz="4" w:space="0" w:color="auto"/>
            </w:tcBorders>
            <w:vAlign w:val="center"/>
          </w:tcPr>
          <w:p w14:paraId="10F305D7" w14:textId="124CDF6D" w:rsidR="00EB4BAE" w:rsidRPr="00BE2238" w:rsidRDefault="00EB4BAE" w:rsidP="00EB4BAE">
            <w:pPr>
              <w:jc w:val="both"/>
              <w:rPr>
                <w:rFonts w:ascii="Arial" w:hAnsi="Arial"/>
                <w:b/>
                <w:bCs/>
                <w:sz w:val="20"/>
                <w:szCs w:val="20"/>
              </w:rPr>
            </w:pPr>
            <w:r>
              <w:rPr>
                <w:rFonts w:ascii="Arial" w:hAnsi="Arial" w:cs="Arial"/>
                <w:b/>
                <w:bCs/>
                <w:color w:val="000000"/>
                <w:sz w:val="20"/>
                <w:szCs w:val="20"/>
              </w:rPr>
              <w:t>Analytical Level</w:t>
            </w:r>
          </w:p>
        </w:tc>
        <w:tc>
          <w:tcPr>
            <w:tcW w:w="1706" w:type="dxa"/>
            <w:tcBorders>
              <w:top w:val="single" w:sz="4" w:space="0" w:color="auto"/>
              <w:bottom w:val="single" w:sz="4" w:space="0" w:color="auto"/>
            </w:tcBorders>
            <w:vAlign w:val="center"/>
          </w:tcPr>
          <w:p w14:paraId="5633B1F1" w14:textId="4407058A" w:rsidR="00EB4BAE" w:rsidRPr="00BE2238" w:rsidRDefault="00EB4BAE" w:rsidP="00EB4BAE">
            <w:pPr>
              <w:jc w:val="both"/>
              <w:rPr>
                <w:rFonts w:ascii="Arial" w:hAnsi="Arial"/>
                <w:b/>
                <w:bCs/>
                <w:sz w:val="20"/>
                <w:szCs w:val="20"/>
              </w:rPr>
            </w:pPr>
            <w:r>
              <w:rPr>
                <w:rFonts w:ascii="Arial" w:hAnsi="Arial" w:cs="Arial"/>
                <w:b/>
                <w:bCs/>
                <w:color w:val="000000"/>
                <w:sz w:val="20"/>
                <w:szCs w:val="20"/>
              </w:rPr>
              <w:t>Source</w:t>
            </w:r>
          </w:p>
        </w:tc>
        <w:tc>
          <w:tcPr>
            <w:tcW w:w="2027" w:type="dxa"/>
            <w:tcBorders>
              <w:top w:val="single" w:sz="4" w:space="0" w:color="auto"/>
              <w:bottom w:val="single" w:sz="4" w:space="0" w:color="auto"/>
            </w:tcBorders>
            <w:vAlign w:val="center"/>
          </w:tcPr>
          <w:p w14:paraId="183E442B" w14:textId="445BD198" w:rsidR="00EB4BAE" w:rsidRPr="00BE2238" w:rsidRDefault="00EB4BAE" w:rsidP="00EB4BAE">
            <w:pPr>
              <w:jc w:val="both"/>
              <w:rPr>
                <w:rFonts w:ascii="Arial" w:hAnsi="Arial"/>
                <w:b/>
                <w:bCs/>
                <w:sz w:val="20"/>
                <w:szCs w:val="20"/>
              </w:rPr>
            </w:pPr>
            <w:r>
              <w:rPr>
                <w:rFonts w:ascii="Arial" w:hAnsi="Arial" w:cs="Arial"/>
                <w:b/>
                <w:bCs/>
                <w:color w:val="000000"/>
                <w:sz w:val="20"/>
                <w:szCs w:val="20"/>
              </w:rPr>
              <w:t>Brief Description</w:t>
            </w:r>
          </w:p>
        </w:tc>
        <w:tc>
          <w:tcPr>
            <w:tcW w:w="2477" w:type="dxa"/>
            <w:tcBorders>
              <w:top w:val="single" w:sz="4" w:space="0" w:color="auto"/>
              <w:bottom w:val="single" w:sz="4" w:space="0" w:color="auto"/>
            </w:tcBorders>
            <w:vAlign w:val="center"/>
          </w:tcPr>
          <w:p w14:paraId="27C9E264" w14:textId="24B52DD9" w:rsidR="00EB4BAE" w:rsidRPr="00BE2238" w:rsidRDefault="00EB4BAE" w:rsidP="00EB4BAE">
            <w:pPr>
              <w:rPr>
                <w:rFonts w:ascii="Arial" w:hAnsi="Arial"/>
                <w:b/>
                <w:bCs/>
                <w:sz w:val="20"/>
                <w:szCs w:val="20"/>
              </w:rPr>
            </w:pPr>
            <w:r>
              <w:rPr>
                <w:rFonts w:ascii="Arial" w:hAnsi="Arial" w:cs="Arial"/>
                <w:b/>
                <w:bCs/>
                <w:color w:val="000000"/>
                <w:sz w:val="20"/>
                <w:szCs w:val="20"/>
              </w:rPr>
              <w:t>Purpose in the Study</w:t>
            </w:r>
          </w:p>
        </w:tc>
      </w:tr>
      <w:tr w:rsidR="00EB4BAE" w:rsidRPr="00BE2238" w14:paraId="4F4AB083" w14:textId="77777777" w:rsidTr="00EB4BAE">
        <w:trPr>
          <w:trHeight w:val="773"/>
          <w:jc w:val="center"/>
        </w:trPr>
        <w:tc>
          <w:tcPr>
            <w:tcW w:w="1980" w:type="dxa"/>
            <w:tcBorders>
              <w:top w:val="single" w:sz="4" w:space="0" w:color="auto"/>
              <w:bottom w:val="single" w:sz="4" w:space="0" w:color="auto"/>
            </w:tcBorders>
            <w:vAlign w:val="center"/>
          </w:tcPr>
          <w:p w14:paraId="034BDA3C" w14:textId="55ACA756" w:rsidR="00EB4BAE" w:rsidRPr="00BE2238" w:rsidRDefault="00EB4BAE" w:rsidP="00EB4BAE">
            <w:pPr>
              <w:rPr>
                <w:rFonts w:ascii="Arial" w:hAnsi="Arial"/>
                <w:b/>
                <w:bCs/>
                <w:sz w:val="20"/>
                <w:szCs w:val="20"/>
              </w:rPr>
            </w:pPr>
            <w:r>
              <w:rPr>
                <w:rFonts w:ascii="Arial" w:hAnsi="Arial" w:cs="Arial"/>
                <w:color w:val="000000"/>
                <w:sz w:val="20"/>
                <w:szCs w:val="20"/>
              </w:rPr>
              <w:lastRenderedPageBreak/>
              <w:t>Global</w:t>
            </w:r>
          </w:p>
        </w:tc>
        <w:tc>
          <w:tcPr>
            <w:tcW w:w="1706" w:type="dxa"/>
            <w:tcBorders>
              <w:top w:val="single" w:sz="4" w:space="0" w:color="auto"/>
              <w:bottom w:val="single" w:sz="4" w:space="0" w:color="auto"/>
            </w:tcBorders>
            <w:vAlign w:val="center"/>
          </w:tcPr>
          <w:p w14:paraId="0FFFECDE" w14:textId="5B9C6F59" w:rsidR="00EB4BAE" w:rsidRPr="00BE2238" w:rsidRDefault="00EB4BAE" w:rsidP="00EB4BAE">
            <w:pPr>
              <w:rPr>
                <w:rFonts w:ascii="Arial" w:hAnsi="Arial"/>
                <w:b/>
                <w:bCs/>
                <w:sz w:val="20"/>
                <w:szCs w:val="20"/>
              </w:rPr>
            </w:pPr>
            <w:r>
              <w:rPr>
                <w:rFonts w:ascii="Arial" w:hAnsi="Arial" w:cs="Arial"/>
                <w:color w:val="000000"/>
                <w:sz w:val="20"/>
                <w:szCs w:val="20"/>
              </w:rPr>
              <w:t>World Bank Global Findex</w:t>
            </w:r>
          </w:p>
        </w:tc>
        <w:tc>
          <w:tcPr>
            <w:tcW w:w="2027" w:type="dxa"/>
            <w:tcBorders>
              <w:top w:val="single" w:sz="4" w:space="0" w:color="auto"/>
              <w:bottom w:val="single" w:sz="4" w:space="0" w:color="auto"/>
            </w:tcBorders>
            <w:vAlign w:val="center"/>
          </w:tcPr>
          <w:p w14:paraId="682EB58C" w14:textId="1B6892C2" w:rsidR="00EB4BAE" w:rsidRPr="00BE2238" w:rsidRDefault="00EB4BAE" w:rsidP="00EB4BAE">
            <w:pPr>
              <w:rPr>
                <w:rFonts w:ascii="Arial" w:hAnsi="Arial"/>
                <w:b/>
                <w:bCs/>
                <w:sz w:val="20"/>
                <w:szCs w:val="20"/>
              </w:rPr>
            </w:pPr>
            <w:r>
              <w:rPr>
                <w:rFonts w:ascii="Arial" w:hAnsi="Arial" w:cs="Arial"/>
                <w:color w:val="000000"/>
                <w:sz w:val="20"/>
                <w:szCs w:val="20"/>
              </w:rPr>
              <w:t>Cross-country survey database on account ownership and digital payment usage</w:t>
            </w:r>
          </w:p>
        </w:tc>
        <w:tc>
          <w:tcPr>
            <w:tcW w:w="2477" w:type="dxa"/>
            <w:tcBorders>
              <w:top w:val="single" w:sz="4" w:space="0" w:color="auto"/>
              <w:bottom w:val="single" w:sz="4" w:space="0" w:color="auto"/>
            </w:tcBorders>
            <w:vAlign w:val="center"/>
          </w:tcPr>
          <w:p w14:paraId="62F7B5D7" w14:textId="15D2E5C2" w:rsidR="00EB4BAE" w:rsidRPr="00BE2238" w:rsidRDefault="00EB4BAE" w:rsidP="00EB4BAE">
            <w:pPr>
              <w:rPr>
                <w:rFonts w:ascii="Arial" w:hAnsi="Arial" w:cs="Arial"/>
                <w:sz w:val="20"/>
                <w:szCs w:val="20"/>
              </w:rPr>
            </w:pPr>
            <w:r>
              <w:rPr>
                <w:rFonts w:ascii="Arial" w:hAnsi="Arial" w:cs="Arial"/>
                <w:color w:val="000000"/>
                <w:sz w:val="20"/>
                <w:szCs w:val="20"/>
              </w:rPr>
              <w:t>Identify global digital payment trends</w:t>
            </w:r>
          </w:p>
        </w:tc>
      </w:tr>
      <w:tr w:rsidR="00EB4BAE" w:rsidRPr="00BE2238" w14:paraId="0C3D7329" w14:textId="77777777" w:rsidTr="00EB4BAE">
        <w:trPr>
          <w:jc w:val="center"/>
        </w:trPr>
        <w:tc>
          <w:tcPr>
            <w:tcW w:w="1980" w:type="dxa"/>
            <w:tcBorders>
              <w:top w:val="single" w:sz="4" w:space="0" w:color="auto"/>
              <w:bottom w:val="single" w:sz="4" w:space="0" w:color="auto"/>
            </w:tcBorders>
            <w:vAlign w:val="center"/>
          </w:tcPr>
          <w:p w14:paraId="7F626714" w14:textId="56C50FAD" w:rsidR="00EB4BAE" w:rsidRPr="00BE2238" w:rsidRDefault="00EB4BAE" w:rsidP="00EB4BAE">
            <w:pPr>
              <w:rPr>
                <w:rFonts w:ascii="Arial" w:hAnsi="Arial" w:cs="Arial"/>
                <w:sz w:val="20"/>
                <w:szCs w:val="20"/>
              </w:rPr>
            </w:pPr>
            <w:r>
              <w:rPr>
                <w:rFonts w:ascii="Arial" w:hAnsi="Arial" w:cs="Arial"/>
                <w:color w:val="000000"/>
                <w:sz w:val="20"/>
                <w:szCs w:val="20"/>
              </w:rPr>
              <w:t>Global</w:t>
            </w:r>
          </w:p>
        </w:tc>
        <w:tc>
          <w:tcPr>
            <w:tcW w:w="1706" w:type="dxa"/>
            <w:tcBorders>
              <w:top w:val="single" w:sz="4" w:space="0" w:color="auto"/>
              <w:bottom w:val="single" w:sz="4" w:space="0" w:color="auto"/>
            </w:tcBorders>
            <w:vAlign w:val="center"/>
          </w:tcPr>
          <w:p w14:paraId="7D197421" w14:textId="60F755A2" w:rsidR="00EB4BAE" w:rsidRPr="00BE2238" w:rsidRDefault="00EB4BAE" w:rsidP="00EB4BAE">
            <w:pPr>
              <w:rPr>
                <w:rFonts w:ascii="Arial" w:hAnsi="Arial" w:cs="Arial"/>
                <w:sz w:val="20"/>
                <w:szCs w:val="20"/>
              </w:rPr>
            </w:pPr>
            <w:r>
              <w:rPr>
                <w:rFonts w:ascii="Arial" w:hAnsi="Arial" w:cs="Arial"/>
                <w:color w:val="000000"/>
                <w:sz w:val="20"/>
                <w:szCs w:val="20"/>
              </w:rPr>
              <w:t>IMF Financial Access Survey (FAS)</w:t>
            </w:r>
          </w:p>
        </w:tc>
        <w:tc>
          <w:tcPr>
            <w:tcW w:w="2027" w:type="dxa"/>
            <w:tcBorders>
              <w:top w:val="single" w:sz="4" w:space="0" w:color="auto"/>
              <w:bottom w:val="single" w:sz="4" w:space="0" w:color="auto"/>
            </w:tcBorders>
            <w:vAlign w:val="center"/>
          </w:tcPr>
          <w:p w14:paraId="54891E95" w14:textId="0B9D1660" w:rsidR="00EB4BAE" w:rsidRPr="00BE2238" w:rsidRDefault="00EB4BAE" w:rsidP="00EB4BAE">
            <w:pPr>
              <w:rPr>
                <w:rFonts w:ascii="Arial" w:hAnsi="Arial"/>
                <w:sz w:val="20"/>
                <w:szCs w:val="20"/>
              </w:rPr>
            </w:pPr>
            <w:r>
              <w:rPr>
                <w:rFonts w:ascii="Arial" w:hAnsi="Arial" w:cs="Arial"/>
                <w:color w:val="000000"/>
                <w:sz w:val="20"/>
                <w:szCs w:val="20"/>
              </w:rPr>
              <w:t>Country-level dataset on payment infrastructure and digital access channels</w:t>
            </w:r>
          </w:p>
        </w:tc>
        <w:tc>
          <w:tcPr>
            <w:tcW w:w="2477" w:type="dxa"/>
            <w:tcBorders>
              <w:top w:val="single" w:sz="4" w:space="0" w:color="auto"/>
              <w:bottom w:val="single" w:sz="4" w:space="0" w:color="auto"/>
            </w:tcBorders>
            <w:vAlign w:val="center"/>
          </w:tcPr>
          <w:p w14:paraId="2B671911" w14:textId="24701148" w:rsidR="00EB4BAE" w:rsidRPr="00BE2238" w:rsidRDefault="00EB4BAE" w:rsidP="00EB4BAE">
            <w:pPr>
              <w:rPr>
                <w:rFonts w:ascii="Arial" w:hAnsi="Arial" w:cs="Arial"/>
                <w:sz w:val="20"/>
                <w:szCs w:val="20"/>
              </w:rPr>
            </w:pPr>
            <w:r>
              <w:rPr>
                <w:rFonts w:ascii="Arial" w:hAnsi="Arial" w:cs="Arial"/>
                <w:color w:val="000000"/>
                <w:sz w:val="20"/>
                <w:szCs w:val="20"/>
              </w:rPr>
              <w:t>Examine availability of digital payment channels</w:t>
            </w:r>
          </w:p>
        </w:tc>
      </w:tr>
      <w:tr w:rsidR="00EB4BAE" w:rsidRPr="00BE2238" w14:paraId="249C9DA6" w14:textId="77777777" w:rsidTr="00EB4BAE">
        <w:trPr>
          <w:jc w:val="center"/>
        </w:trPr>
        <w:tc>
          <w:tcPr>
            <w:tcW w:w="1980" w:type="dxa"/>
            <w:tcBorders>
              <w:top w:val="single" w:sz="4" w:space="0" w:color="auto"/>
              <w:bottom w:val="single" w:sz="4" w:space="0" w:color="auto"/>
            </w:tcBorders>
            <w:vAlign w:val="center"/>
          </w:tcPr>
          <w:p w14:paraId="2C77AD3C" w14:textId="7A53B7AB" w:rsidR="00EB4BAE" w:rsidRPr="00BE2238" w:rsidRDefault="00EB4BAE" w:rsidP="00EB4BAE">
            <w:pPr>
              <w:rPr>
                <w:rFonts w:ascii="Arial" w:hAnsi="Arial" w:cs="Arial"/>
                <w:sz w:val="20"/>
                <w:szCs w:val="20"/>
              </w:rPr>
            </w:pPr>
            <w:r>
              <w:rPr>
                <w:rFonts w:ascii="Arial" w:hAnsi="Arial" w:cs="Arial"/>
                <w:color w:val="000000"/>
                <w:sz w:val="20"/>
                <w:szCs w:val="20"/>
              </w:rPr>
              <w:t>National (PH)</w:t>
            </w:r>
          </w:p>
        </w:tc>
        <w:tc>
          <w:tcPr>
            <w:tcW w:w="1706" w:type="dxa"/>
            <w:tcBorders>
              <w:top w:val="single" w:sz="4" w:space="0" w:color="auto"/>
              <w:bottom w:val="single" w:sz="4" w:space="0" w:color="auto"/>
            </w:tcBorders>
            <w:vAlign w:val="center"/>
          </w:tcPr>
          <w:p w14:paraId="063D9943" w14:textId="78BA0404" w:rsidR="00EB4BAE" w:rsidRPr="00BE2238" w:rsidRDefault="00EB4BAE" w:rsidP="00EB4BAE">
            <w:pPr>
              <w:rPr>
                <w:rFonts w:ascii="Arial" w:hAnsi="Arial" w:cs="Arial"/>
                <w:sz w:val="20"/>
                <w:szCs w:val="20"/>
              </w:rPr>
            </w:pPr>
            <w:r>
              <w:rPr>
                <w:rFonts w:ascii="Arial" w:hAnsi="Arial" w:cs="Arial"/>
                <w:color w:val="000000"/>
                <w:sz w:val="20"/>
                <w:szCs w:val="20"/>
              </w:rPr>
              <w:t>BSP policy reports and surveys</w:t>
            </w:r>
          </w:p>
        </w:tc>
        <w:tc>
          <w:tcPr>
            <w:tcW w:w="2027" w:type="dxa"/>
            <w:tcBorders>
              <w:top w:val="single" w:sz="4" w:space="0" w:color="auto"/>
              <w:bottom w:val="single" w:sz="4" w:space="0" w:color="auto"/>
            </w:tcBorders>
            <w:vAlign w:val="center"/>
          </w:tcPr>
          <w:p w14:paraId="042D573E" w14:textId="1339190C" w:rsidR="00EB4BAE" w:rsidRPr="00BE2238" w:rsidRDefault="00EB4BAE" w:rsidP="00EB4BAE">
            <w:pPr>
              <w:rPr>
                <w:rFonts w:ascii="Arial" w:hAnsi="Arial"/>
                <w:sz w:val="20"/>
                <w:szCs w:val="20"/>
              </w:rPr>
            </w:pPr>
            <w:r>
              <w:rPr>
                <w:rFonts w:ascii="Arial" w:hAnsi="Arial" w:cs="Arial"/>
                <w:color w:val="000000"/>
                <w:sz w:val="20"/>
                <w:szCs w:val="20"/>
              </w:rPr>
              <w:t>Official central bank publications on digital payments and financial inclusion</w:t>
            </w:r>
          </w:p>
        </w:tc>
        <w:tc>
          <w:tcPr>
            <w:tcW w:w="2477" w:type="dxa"/>
            <w:tcBorders>
              <w:top w:val="single" w:sz="4" w:space="0" w:color="auto"/>
              <w:bottom w:val="single" w:sz="4" w:space="0" w:color="auto"/>
            </w:tcBorders>
            <w:vAlign w:val="center"/>
          </w:tcPr>
          <w:p w14:paraId="5A7885F7" w14:textId="1082A420" w:rsidR="00EB4BAE" w:rsidRPr="00BE2238" w:rsidRDefault="00EB4BAE" w:rsidP="00EB4BAE">
            <w:pPr>
              <w:rPr>
                <w:rFonts w:ascii="Arial" w:hAnsi="Arial" w:cs="Arial"/>
                <w:sz w:val="20"/>
                <w:szCs w:val="20"/>
              </w:rPr>
            </w:pPr>
            <w:r>
              <w:rPr>
                <w:rFonts w:ascii="Arial" w:hAnsi="Arial" w:cs="Arial"/>
                <w:color w:val="000000"/>
                <w:sz w:val="20"/>
                <w:szCs w:val="20"/>
              </w:rPr>
              <w:t>Identify national trends and policy direction</w:t>
            </w:r>
          </w:p>
        </w:tc>
      </w:tr>
      <w:tr w:rsidR="00EB4BAE" w:rsidRPr="00BE2238" w14:paraId="19CEFCC7" w14:textId="77777777" w:rsidTr="00EB4BAE">
        <w:trPr>
          <w:jc w:val="center"/>
        </w:trPr>
        <w:tc>
          <w:tcPr>
            <w:tcW w:w="1980" w:type="dxa"/>
            <w:tcBorders>
              <w:top w:val="single" w:sz="4" w:space="0" w:color="auto"/>
              <w:bottom w:val="single" w:sz="4" w:space="0" w:color="auto"/>
            </w:tcBorders>
            <w:vAlign w:val="center"/>
          </w:tcPr>
          <w:p w14:paraId="2758A519" w14:textId="7EDF0D07" w:rsidR="00EB4BAE" w:rsidRPr="00BE2238" w:rsidRDefault="00EB4BAE" w:rsidP="00EB4BAE">
            <w:pPr>
              <w:rPr>
                <w:rFonts w:ascii="Arial" w:hAnsi="Arial" w:cs="Arial"/>
                <w:sz w:val="20"/>
                <w:szCs w:val="20"/>
              </w:rPr>
            </w:pPr>
            <w:r>
              <w:rPr>
                <w:rFonts w:ascii="Arial" w:hAnsi="Arial" w:cs="Arial"/>
                <w:color w:val="000000"/>
                <w:sz w:val="20"/>
                <w:szCs w:val="20"/>
              </w:rPr>
              <w:t>National (PH)</w:t>
            </w:r>
          </w:p>
        </w:tc>
        <w:tc>
          <w:tcPr>
            <w:tcW w:w="1706" w:type="dxa"/>
            <w:tcBorders>
              <w:top w:val="single" w:sz="4" w:space="0" w:color="auto"/>
              <w:bottom w:val="single" w:sz="4" w:space="0" w:color="auto"/>
            </w:tcBorders>
            <w:vAlign w:val="center"/>
          </w:tcPr>
          <w:p w14:paraId="0EC287FA" w14:textId="4E03C898" w:rsidR="00EB4BAE" w:rsidRPr="00BE2238" w:rsidRDefault="00EB4BAE" w:rsidP="00EB4BAE">
            <w:pPr>
              <w:rPr>
                <w:rFonts w:ascii="Arial" w:hAnsi="Arial" w:cs="Arial"/>
                <w:sz w:val="20"/>
                <w:szCs w:val="20"/>
              </w:rPr>
            </w:pPr>
            <w:r>
              <w:rPr>
                <w:rFonts w:ascii="Arial" w:hAnsi="Arial" w:cs="Arial"/>
                <w:color w:val="000000"/>
                <w:sz w:val="20"/>
                <w:szCs w:val="20"/>
              </w:rPr>
              <w:t>Philippine Statistics Authority</w:t>
            </w:r>
          </w:p>
        </w:tc>
        <w:tc>
          <w:tcPr>
            <w:tcW w:w="2027" w:type="dxa"/>
            <w:tcBorders>
              <w:top w:val="single" w:sz="4" w:space="0" w:color="auto"/>
              <w:bottom w:val="single" w:sz="4" w:space="0" w:color="auto"/>
            </w:tcBorders>
            <w:vAlign w:val="center"/>
          </w:tcPr>
          <w:p w14:paraId="57E737C4" w14:textId="02333D39" w:rsidR="00EB4BAE" w:rsidRPr="00BE2238" w:rsidRDefault="00EB4BAE" w:rsidP="00EB4BAE">
            <w:pPr>
              <w:rPr>
                <w:rFonts w:ascii="Arial" w:hAnsi="Arial"/>
                <w:sz w:val="20"/>
                <w:szCs w:val="20"/>
              </w:rPr>
            </w:pPr>
            <w:r>
              <w:rPr>
                <w:rFonts w:ascii="Arial" w:hAnsi="Arial" w:cs="Arial"/>
                <w:color w:val="000000"/>
                <w:sz w:val="20"/>
                <w:szCs w:val="20"/>
              </w:rPr>
              <w:t>Official statistics on ICT access and digital readiness</w:t>
            </w:r>
          </w:p>
        </w:tc>
        <w:tc>
          <w:tcPr>
            <w:tcW w:w="2477" w:type="dxa"/>
            <w:tcBorders>
              <w:top w:val="single" w:sz="4" w:space="0" w:color="auto"/>
              <w:bottom w:val="single" w:sz="4" w:space="0" w:color="auto"/>
            </w:tcBorders>
            <w:vAlign w:val="center"/>
          </w:tcPr>
          <w:p w14:paraId="5C535203" w14:textId="02C06A8F" w:rsidR="00EB4BAE" w:rsidRPr="00BE2238" w:rsidRDefault="00EB4BAE" w:rsidP="00EB4BAE">
            <w:pPr>
              <w:rPr>
                <w:rFonts w:ascii="Arial" w:hAnsi="Arial" w:cs="Arial"/>
                <w:sz w:val="20"/>
                <w:szCs w:val="20"/>
              </w:rPr>
            </w:pPr>
            <w:r>
              <w:rPr>
                <w:rFonts w:ascii="Arial" w:hAnsi="Arial" w:cs="Arial"/>
                <w:color w:val="000000"/>
                <w:sz w:val="20"/>
                <w:szCs w:val="20"/>
              </w:rPr>
              <w:t>Provide contextual support</w:t>
            </w:r>
          </w:p>
        </w:tc>
      </w:tr>
      <w:tr w:rsidR="00EB4BAE" w:rsidRPr="00BE2238" w14:paraId="6FE34D62" w14:textId="77777777" w:rsidTr="00EB4BAE">
        <w:trPr>
          <w:jc w:val="center"/>
        </w:trPr>
        <w:tc>
          <w:tcPr>
            <w:tcW w:w="1980" w:type="dxa"/>
            <w:tcBorders>
              <w:top w:val="single" w:sz="4" w:space="0" w:color="auto"/>
              <w:bottom w:val="single" w:sz="4" w:space="0" w:color="auto"/>
            </w:tcBorders>
            <w:vAlign w:val="center"/>
          </w:tcPr>
          <w:p w14:paraId="748464CB" w14:textId="2AC4A1EE" w:rsidR="00EB4BAE" w:rsidRDefault="00EB4BAE" w:rsidP="00EB4BAE">
            <w:pPr>
              <w:rPr>
                <w:rFonts w:ascii="Arial" w:hAnsi="Arial" w:cs="Arial"/>
                <w:color w:val="000000"/>
                <w:sz w:val="20"/>
                <w:szCs w:val="20"/>
              </w:rPr>
            </w:pPr>
            <w:r>
              <w:rPr>
                <w:rFonts w:ascii="Arial" w:hAnsi="Arial" w:cs="Arial"/>
                <w:color w:val="000000"/>
                <w:sz w:val="20"/>
                <w:szCs w:val="20"/>
              </w:rPr>
              <w:t>Institutional</w:t>
            </w:r>
          </w:p>
        </w:tc>
        <w:tc>
          <w:tcPr>
            <w:tcW w:w="1706" w:type="dxa"/>
            <w:tcBorders>
              <w:top w:val="single" w:sz="4" w:space="0" w:color="auto"/>
              <w:bottom w:val="single" w:sz="4" w:space="0" w:color="auto"/>
            </w:tcBorders>
            <w:vAlign w:val="center"/>
          </w:tcPr>
          <w:p w14:paraId="161BAE45" w14:textId="5484F7DA" w:rsidR="00EB4BAE" w:rsidRDefault="00EB4BAE" w:rsidP="00EB4BAE">
            <w:pPr>
              <w:rPr>
                <w:rFonts w:ascii="Arial" w:hAnsi="Arial" w:cs="Arial"/>
                <w:color w:val="000000"/>
                <w:sz w:val="20"/>
                <w:szCs w:val="20"/>
              </w:rPr>
            </w:pPr>
            <w:r>
              <w:rPr>
                <w:rFonts w:ascii="Arial" w:hAnsi="Arial" w:cs="Arial"/>
                <w:color w:val="000000"/>
                <w:sz w:val="20"/>
                <w:szCs w:val="20"/>
              </w:rPr>
              <w:t>Xavier University public documents</w:t>
            </w:r>
          </w:p>
        </w:tc>
        <w:tc>
          <w:tcPr>
            <w:tcW w:w="2027" w:type="dxa"/>
            <w:tcBorders>
              <w:top w:val="single" w:sz="4" w:space="0" w:color="auto"/>
              <w:bottom w:val="single" w:sz="4" w:space="0" w:color="auto"/>
            </w:tcBorders>
            <w:vAlign w:val="center"/>
          </w:tcPr>
          <w:p w14:paraId="3EF93D8C" w14:textId="0C255AF0" w:rsidR="00EB4BAE" w:rsidRDefault="00EB4BAE" w:rsidP="00EB4BAE">
            <w:pPr>
              <w:rPr>
                <w:rFonts w:ascii="Arial" w:hAnsi="Arial" w:cs="Arial"/>
                <w:color w:val="000000"/>
                <w:sz w:val="20"/>
                <w:szCs w:val="20"/>
              </w:rPr>
            </w:pPr>
            <w:r>
              <w:rPr>
                <w:rFonts w:ascii="Arial" w:hAnsi="Arial" w:cs="Arial"/>
                <w:color w:val="000000"/>
                <w:sz w:val="20"/>
                <w:szCs w:val="20"/>
              </w:rPr>
              <w:t>Official advisories and reports on payment practices</w:t>
            </w:r>
          </w:p>
        </w:tc>
        <w:tc>
          <w:tcPr>
            <w:tcW w:w="2477" w:type="dxa"/>
            <w:tcBorders>
              <w:top w:val="single" w:sz="4" w:space="0" w:color="auto"/>
              <w:bottom w:val="single" w:sz="4" w:space="0" w:color="auto"/>
            </w:tcBorders>
            <w:vAlign w:val="center"/>
          </w:tcPr>
          <w:p w14:paraId="7ABAEB56" w14:textId="101E5C84" w:rsidR="00EB4BAE" w:rsidRDefault="00EB4BAE" w:rsidP="00EB4BAE">
            <w:pPr>
              <w:rPr>
                <w:rFonts w:ascii="Arial" w:hAnsi="Arial" w:cs="Arial"/>
                <w:color w:val="000000"/>
                <w:sz w:val="20"/>
                <w:szCs w:val="20"/>
              </w:rPr>
            </w:pPr>
            <w:r>
              <w:rPr>
                <w:rFonts w:ascii="Arial" w:hAnsi="Arial" w:cs="Arial"/>
                <w:color w:val="000000"/>
                <w:sz w:val="20"/>
                <w:szCs w:val="20"/>
              </w:rPr>
              <w:t>Examine institutional response</w:t>
            </w:r>
          </w:p>
        </w:tc>
      </w:tr>
    </w:tbl>
    <w:p w14:paraId="56B3C19E" w14:textId="77777777" w:rsidR="00896597" w:rsidRDefault="00896597" w:rsidP="00151F25">
      <w:pPr>
        <w:rPr>
          <w:rFonts w:ascii="Arial" w:hAnsi="Arial" w:cs="Arial"/>
          <w:sz w:val="20"/>
          <w:szCs w:val="20"/>
        </w:rPr>
      </w:pPr>
    </w:p>
    <w:p w14:paraId="7888B73B" w14:textId="77777777" w:rsidR="000E395C" w:rsidRPr="000E395C" w:rsidRDefault="000E395C" w:rsidP="000E395C">
      <w:pPr>
        <w:pStyle w:val="Heading3"/>
        <w:spacing w:before="0"/>
        <w:jc w:val="both"/>
        <w:rPr>
          <w:b/>
          <w:bCs/>
          <w:sz w:val="27"/>
          <w:szCs w:val="27"/>
        </w:rPr>
      </w:pPr>
      <w:r w:rsidRPr="000E395C">
        <w:rPr>
          <w:rFonts w:ascii="Arial" w:hAnsi="Arial" w:cs="Arial"/>
          <w:b/>
          <w:bCs/>
          <w:color w:val="000000"/>
          <w:sz w:val="22"/>
          <w:szCs w:val="22"/>
        </w:rPr>
        <w:t>2.4 Inclusion Criteria for Documentary Sources</w:t>
      </w:r>
    </w:p>
    <w:p w14:paraId="2FEA59D5" w14:textId="77777777" w:rsidR="000E395C" w:rsidRPr="000E395C" w:rsidRDefault="000E395C" w:rsidP="000E395C">
      <w:pPr>
        <w:rPr>
          <w:rFonts w:ascii="Arial" w:hAnsi="Arial" w:cs="Arial"/>
          <w:sz w:val="22"/>
          <w:szCs w:val="22"/>
        </w:rPr>
      </w:pPr>
    </w:p>
    <w:p w14:paraId="4C84FC8C" w14:textId="77777777" w:rsidR="000E395C" w:rsidRDefault="000E395C" w:rsidP="000E395C">
      <w:pPr>
        <w:pStyle w:val="NormalWeb"/>
        <w:spacing w:before="0" w:beforeAutospacing="0" w:after="0" w:afterAutospacing="0"/>
        <w:jc w:val="both"/>
      </w:pPr>
      <w:r>
        <w:rPr>
          <w:rFonts w:ascii="Arial" w:hAnsi="Arial" w:cs="Arial"/>
          <w:color w:val="000000"/>
          <w:sz w:val="20"/>
          <w:szCs w:val="20"/>
        </w:rPr>
        <w:t>Documents were included in the analysis if they met all of the following criteria, following established standards for qualitative document analysis (Bowen, 2009):</w:t>
      </w:r>
    </w:p>
    <w:p w14:paraId="24D95B3B"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Publicly accessible and verifiable</w:t>
      </w:r>
    </w:p>
    <w:p w14:paraId="418DAE24"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Issued by recognized international organizations, national authorities, or the case institution</w:t>
      </w:r>
    </w:p>
    <w:p w14:paraId="735E6E65"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Directly relevant to digital payments, financial systems, or institutional payment practices</w:t>
      </w:r>
    </w:p>
    <w:p w14:paraId="08BE184C"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Published in English</w:t>
      </w:r>
    </w:p>
    <w:p w14:paraId="7FB6DBF8" w14:textId="77777777" w:rsidR="000E395C" w:rsidRDefault="000E395C" w:rsidP="000E395C">
      <w:pPr>
        <w:pStyle w:val="NormalWeb"/>
        <w:numPr>
          <w:ilvl w:val="0"/>
          <w:numId w:val="39"/>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Suitable for identifying recent trends (primarily 2020 onward)</w:t>
      </w:r>
    </w:p>
    <w:p w14:paraId="2521BA6C" w14:textId="77777777" w:rsidR="000E395C" w:rsidRDefault="000E395C" w:rsidP="000E395C">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year 2020 was chosen as the main reference point because it marked a rapid increase in digital payment use during the COVID-19 pandemic and saw the launch of key national digital payment programs in the Philippines.</w:t>
      </w:r>
    </w:p>
    <w:p w14:paraId="58419E65" w14:textId="77777777" w:rsidR="00C83B34" w:rsidRDefault="00C83B34" w:rsidP="000E395C">
      <w:pPr>
        <w:pStyle w:val="NormalWeb"/>
        <w:spacing w:before="0" w:beforeAutospacing="0" w:after="0" w:afterAutospacing="0"/>
        <w:jc w:val="both"/>
        <w:rPr>
          <w:rFonts w:ascii="Arial" w:hAnsi="Arial" w:cs="Arial"/>
          <w:color w:val="000000"/>
          <w:sz w:val="20"/>
          <w:szCs w:val="20"/>
        </w:rPr>
      </w:pPr>
    </w:p>
    <w:p w14:paraId="6899D354" w14:textId="1EC01B88" w:rsidR="00C83B34" w:rsidRPr="00C83B34" w:rsidRDefault="00C83B34" w:rsidP="00C83B34">
      <w:pPr>
        <w:pStyle w:val="NormalWeb"/>
        <w:spacing w:before="0" w:beforeAutospacing="0" w:after="0" w:afterAutospacing="0"/>
        <w:jc w:val="center"/>
      </w:pPr>
      <w:r>
        <w:rPr>
          <w:rFonts w:ascii="Arial" w:hAnsi="Arial" w:cs="Arial"/>
          <w:b/>
          <w:bCs/>
          <w:color w:val="000000"/>
          <w:sz w:val="20"/>
          <w:szCs w:val="20"/>
        </w:rPr>
        <w:t>Table 2. Inclusion Criteria for Documentary Source</w:t>
      </w:r>
    </w:p>
    <w:p w14:paraId="68E319FB" w14:textId="77777777" w:rsidR="00C83B34" w:rsidRDefault="00C83B34" w:rsidP="000E395C">
      <w:pPr>
        <w:pStyle w:val="NormalWeb"/>
        <w:spacing w:before="0" w:beforeAutospacing="0" w:after="0" w:afterAutospacing="0"/>
        <w:jc w:val="both"/>
        <w:rPr>
          <w:rFonts w:ascii="Arial" w:hAnsi="Arial" w:cs="Arial"/>
          <w:color w:val="000000"/>
          <w:sz w:val="20"/>
          <w:szCs w:val="20"/>
        </w:rPr>
      </w:pPr>
    </w:p>
    <w:tbl>
      <w:tblPr>
        <w:tblW w:w="7380" w:type="dxa"/>
        <w:jc w:val="center"/>
        <w:tblBorders>
          <w:top w:val="single" w:sz="4" w:space="0" w:color="auto"/>
          <w:bottom w:val="single" w:sz="4" w:space="0" w:color="auto"/>
        </w:tblBorders>
        <w:tblLook w:val="01E0" w:firstRow="1" w:lastRow="1" w:firstColumn="1" w:lastColumn="1" w:noHBand="0" w:noVBand="0"/>
      </w:tblPr>
      <w:tblGrid>
        <w:gridCol w:w="2880"/>
        <w:gridCol w:w="4500"/>
      </w:tblGrid>
      <w:tr w:rsidR="00C83B34" w:rsidRPr="00BE2238" w14:paraId="17F5FECB" w14:textId="77777777" w:rsidTr="00C83B34">
        <w:trPr>
          <w:jc w:val="center"/>
        </w:trPr>
        <w:tc>
          <w:tcPr>
            <w:tcW w:w="2880" w:type="dxa"/>
            <w:tcBorders>
              <w:top w:val="single" w:sz="4" w:space="0" w:color="auto"/>
              <w:bottom w:val="single" w:sz="4" w:space="0" w:color="auto"/>
            </w:tcBorders>
            <w:vAlign w:val="center"/>
          </w:tcPr>
          <w:p w14:paraId="046E9D5E" w14:textId="6A6EAE11" w:rsidR="00C83B34" w:rsidRPr="00BE2238" w:rsidRDefault="00C83B34" w:rsidP="00C83B34">
            <w:pPr>
              <w:jc w:val="both"/>
              <w:rPr>
                <w:rFonts w:ascii="Arial" w:hAnsi="Arial"/>
                <w:b/>
                <w:bCs/>
                <w:sz w:val="20"/>
                <w:szCs w:val="20"/>
              </w:rPr>
            </w:pPr>
            <w:r>
              <w:rPr>
                <w:rFonts w:ascii="Arial" w:hAnsi="Arial" w:cs="Arial"/>
                <w:b/>
                <w:bCs/>
                <w:color w:val="000000"/>
                <w:sz w:val="20"/>
                <w:szCs w:val="20"/>
              </w:rPr>
              <w:t>Criterion</w:t>
            </w:r>
          </w:p>
        </w:tc>
        <w:tc>
          <w:tcPr>
            <w:tcW w:w="4500" w:type="dxa"/>
            <w:tcBorders>
              <w:top w:val="single" w:sz="4" w:space="0" w:color="auto"/>
              <w:bottom w:val="single" w:sz="4" w:space="0" w:color="auto"/>
            </w:tcBorders>
            <w:vAlign w:val="center"/>
          </w:tcPr>
          <w:p w14:paraId="2297CEF4" w14:textId="56BDC23B" w:rsidR="00C83B34" w:rsidRPr="00BE2238" w:rsidRDefault="00C83B34" w:rsidP="00C83B34">
            <w:pPr>
              <w:jc w:val="both"/>
              <w:rPr>
                <w:rFonts w:ascii="Arial" w:hAnsi="Arial"/>
                <w:b/>
                <w:bCs/>
                <w:sz w:val="20"/>
                <w:szCs w:val="20"/>
              </w:rPr>
            </w:pPr>
            <w:r>
              <w:rPr>
                <w:rFonts w:ascii="Arial" w:hAnsi="Arial" w:cs="Arial"/>
                <w:b/>
                <w:bCs/>
                <w:color w:val="000000"/>
                <w:sz w:val="20"/>
                <w:szCs w:val="20"/>
              </w:rPr>
              <w:t>Description</w:t>
            </w:r>
          </w:p>
        </w:tc>
      </w:tr>
      <w:tr w:rsidR="00C83B34" w:rsidRPr="00BE2238" w14:paraId="39153EF5" w14:textId="77777777" w:rsidTr="00C83B34">
        <w:trPr>
          <w:trHeight w:val="260"/>
          <w:jc w:val="center"/>
        </w:trPr>
        <w:tc>
          <w:tcPr>
            <w:tcW w:w="2880" w:type="dxa"/>
            <w:tcBorders>
              <w:top w:val="single" w:sz="4" w:space="0" w:color="auto"/>
              <w:bottom w:val="single" w:sz="4" w:space="0" w:color="auto"/>
            </w:tcBorders>
            <w:vAlign w:val="center"/>
          </w:tcPr>
          <w:p w14:paraId="533C6A3E" w14:textId="1BC38A9D" w:rsidR="00C83B34" w:rsidRPr="00BE2238" w:rsidRDefault="00C83B34" w:rsidP="00C83B34">
            <w:pPr>
              <w:rPr>
                <w:rFonts w:ascii="Arial" w:hAnsi="Arial"/>
                <w:b/>
                <w:bCs/>
                <w:sz w:val="20"/>
                <w:szCs w:val="20"/>
              </w:rPr>
            </w:pPr>
            <w:r>
              <w:rPr>
                <w:rFonts w:ascii="Arial" w:hAnsi="Arial" w:cs="Arial"/>
                <w:color w:val="000000"/>
                <w:sz w:val="20"/>
                <w:szCs w:val="20"/>
              </w:rPr>
              <w:t>Public accessibility</w:t>
            </w:r>
          </w:p>
        </w:tc>
        <w:tc>
          <w:tcPr>
            <w:tcW w:w="4500" w:type="dxa"/>
            <w:tcBorders>
              <w:top w:val="single" w:sz="4" w:space="0" w:color="auto"/>
              <w:bottom w:val="single" w:sz="4" w:space="0" w:color="auto"/>
            </w:tcBorders>
            <w:vAlign w:val="center"/>
          </w:tcPr>
          <w:p w14:paraId="4FC4A4B7" w14:textId="77D03970" w:rsidR="00C83B34" w:rsidRPr="00BE2238" w:rsidRDefault="00C83B34" w:rsidP="00C83B34">
            <w:pPr>
              <w:rPr>
                <w:rFonts w:ascii="Arial" w:hAnsi="Arial"/>
                <w:b/>
                <w:bCs/>
                <w:sz w:val="20"/>
                <w:szCs w:val="20"/>
              </w:rPr>
            </w:pPr>
            <w:r>
              <w:rPr>
                <w:rFonts w:ascii="Arial" w:hAnsi="Arial" w:cs="Arial"/>
                <w:color w:val="000000"/>
                <w:sz w:val="20"/>
                <w:szCs w:val="20"/>
              </w:rPr>
              <w:t>Freely available online</w:t>
            </w:r>
          </w:p>
        </w:tc>
      </w:tr>
      <w:tr w:rsidR="00C83B34" w:rsidRPr="00BE2238" w14:paraId="066F1D5D" w14:textId="77777777" w:rsidTr="00C83B34">
        <w:trPr>
          <w:jc w:val="center"/>
        </w:trPr>
        <w:tc>
          <w:tcPr>
            <w:tcW w:w="2880" w:type="dxa"/>
            <w:tcBorders>
              <w:top w:val="single" w:sz="4" w:space="0" w:color="auto"/>
              <w:bottom w:val="single" w:sz="4" w:space="0" w:color="auto"/>
            </w:tcBorders>
            <w:vAlign w:val="center"/>
          </w:tcPr>
          <w:p w14:paraId="7F1D0981" w14:textId="35257B49" w:rsidR="00C83B34" w:rsidRPr="00BE2238" w:rsidRDefault="00C83B34" w:rsidP="00C83B34">
            <w:pPr>
              <w:rPr>
                <w:rFonts w:ascii="Arial" w:hAnsi="Arial" w:cs="Arial"/>
                <w:sz w:val="20"/>
                <w:szCs w:val="20"/>
              </w:rPr>
            </w:pPr>
            <w:r>
              <w:rPr>
                <w:rFonts w:ascii="Arial" w:hAnsi="Arial" w:cs="Arial"/>
                <w:color w:val="000000"/>
                <w:sz w:val="20"/>
                <w:szCs w:val="20"/>
              </w:rPr>
              <w:t>Institutional credibility</w:t>
            </w:r>
          </w:p>
        </w:tc>
        <w:tc>
          <w:tcPr>
            <w:tcW w:w="4500" w:type="dxa"/>
            <w:tcBorders>
              <w:top w:val="single" w:sz="4" w:space="0" w:color="auto"/>
              <w:bottom w:val="single" w:sz="4" w:space="0" w:color="auto"/>
            </w:tcBorders>
            <w:vAlign w:val="center"/>
          </w:tcPr>
          <w:p w14:paraId="1802852A" w14:textId="231A9113" w:rsidR="00C83B34" w:rsidRPr="00BE2238" w:rsidRDefault="00C83B34" w:rsidP="00C83B34">
            <w:pPr>
              <w:rPr>
                <w:rFonts w:ascii="Arial" w:hAnsi="Arial" w:cs="Arial"/>
                <w:sz w:val="20"/>
                <w:szCs w:val="20"/>
              </w:rPr>
            </w:pPr>
            <w:r>
              <w:rPr>
                <w:rFonts w:ascii="Arial" w:hAnsi="Arial" w:cs="Arial"/>
                <w:color w:val="000000"/>
                <w:sz w:val="20"/>
                <w:szCs w:val="20"/>
              </w:rPr>
              <w:t>Issued by recognized organizations</w:t>
            </w:r>
          </w:p>
        </w:tc>
      </w:tr>
      <w:tr w:rsidR="00C83B34" w:rsidRPr="00BE2238" w14:paraId="399CF96A" w14:textId="77777777" w:rsidTr="00C83B34">
        <w:trPr>
          <w:jc w:val="center"/>
        </w:trPr>
        <w:tc>
          <w:tcPr>
            <w:tcW w:w="2880" w:type="dxa"/>
            <w:tcBorders>
              <w:top w:val="single" w:sz="4" w:space="0" w:color="auto"/>
              <w:bottom w:val="single" w:sz="4" w:space="0" w:color="auto"/>
            </w:tcBorders>
            <w:vAlign w:val="center"/>
          </w:tcPr>
          <w:p w14:paraId="6FC635A0" w14:textId="1CA57691" w:rsidR="00C83B34" w:rsidRPr="00BE2238" w:rsidRDefault="00C83B34" w:rsidP="00C83B34">
            <w:pPr>
              <w:rPr>
                <w:rFonts w:ascii="Arial" w:hAnsi="Arial" w:cs="Arial"/>
                <w:sz w:val="20"/>
                <w:szCs w:val="20"/>
              </w:rPr>
            </w:pPr>
            <w:r>
              <w:rPr>
                <w:rFonts w:ascii="Arial" w:hAnsi="Arial" w:cs="Arial"/>
                <w:color w:val="000000"/>
                <w:sz w:val="20"/>
                <w:szCs w:val="20"/>
              </w:rPr>
              <w:t>Relevance</w:t>
            </w:r>
          </w:p>
        </w:tc>
        <w:tc>
          <w:tcPr>
            <w:tcW w:w="4500" w:type="dxa"/>
            <w:tcBorders>
              <w:top w:val="single" w:sz="4" w:space="0" w:color="auto"/>
              <w:bottom w:val="single" w:sz="4" w:space="0" w:color="auto"/>
            </w:tcBorders>
            <w:vAlign w:val="center"/>
          </w:tcPr>
          <w:p w14:paraId="220427D9" w14:textId="428E8A3D" w:rsidR="00C83B34" w:rsidRPr="00BE2238" w:rsidRDefault="00C83B34" w:rsidP="00C83B34">
            <w:pPr>
              <w:rPr>
                <w:rFonts w:ascii="Arial" w:hAnsi="Arial" w:cs="Arial"/>
                <w:sz w:val="20"/>
                <w:szCs w:val="20"/>
              </w:rPr>
            </w:pPr>
            <w:r>
              <w:rPr>
                <w:rFonts w:ascii="Arial" w:hAnsi="Arial" w:cs="Arial"/>
                <w:color w:val="000000"/>
                <w:sz w:val="20"/>
                <w:szCs w:val="20"/>
              </w:rPr>
              <w:t>Related to digital payments or financial systems</w:t>
            </w:r>
          </w:p>
        </w:tc>
      </w:tr>
      <w:tr w:rsidR="00C83B34" w:rsidRPr="00BE2238" w14:paraId="3DAD3DD1" w14:textId="77777777" w:rsidTr="00C83B34">
        <w:trPr>
          <w:jc w:val="center"/>
        </w:trPr>
        <w:tc>
          <w:tcPr>
            <w:tcW w:w="2880" w:type="dxa"/>
            <w:tcBorders>
              <w:top w:val="single" w:sz="4" w:space="0" w:color="auto"/>
              <w:bottom w:val="single" w:sz="4" w:space="0" w:color="auto"/>
            </w:tcBorders>
            <w:vAlign w:val="center"/>
          </w:tcPr>
          <w:p w14:paraId="56191E8A" w14:textId="27798978" w:rsidR="00C83B34" w:rsidRPr="00BE2238" w:rsidRDefault="00C83B34" w:rsidP="00C83B34">
            <w:pPr>
              <w:rPr>
                <w:rFonts w:ascii="Arial" w:hAnsi="Arial" w:cs="Arial"/>
                <w:sz w:val="20"/>
                <w:szCs w:val="20"/>
              </w:rPr>
            </w:pPr>
            <w:r>
              <w:rPr>
                <w:rFonts w:ascii="Arial" w:hAnsi="Arial" w:cs="Arial"/>
                <w:color w:val="000000"/>
                <w:sz w:val="20"/>
                <w:szCs w:val="20"/>
              </w:rPr>
              <w:t>Language</w:t>
            </w:r>
          </w:p>
        </w:tc>
        <w:tc>
          <w:tcPr>
            <w:tcW w:w="4500" w:type="dxa"/>
            <w:tcBorders>
              <w:top w:val="single" w:sz="4" w:space="0" w:color="auto"/>
              <w:bottom w:val="single" w:sz="4" w:space="0" w:color="auto"/>
            </w:tcBorders>
            <w:vAlign w:val="center"/>
          </w:tcPr>
          <w:p w14:paraId="1CB57578" w14:textId="7716364A" w:rsidR="00C83B34" w:rsidRPr="00BE2238" w:rsidRDefault="00C83B34" w:rsidP="00C83B34">
            <w:pPr>
              <w:rPr>
                <w:rFonts w:ascii="Arial" w:hAnsi="Arial" w:cs="Arial"/>
                <w:sz w:val="20"/>
                <w:szCs w:val="20"/>
              </w:rPr>
            </w:pPr>
            <w:r>
              <w:rPr>
                <w:rFonts w:ascii="Arial" w:hAnsi="Arial" w:cs="Arial"/>
                <w:color w:val="000000"/>
                <w:sz w:val="20"/>
                <w:szCs w:val="20"/>
              </w:rPr>
              <w:t>English</w:t>
            </w:r>
          </w:p>
        </w:tc>
      </w:tr>
      <w:tr w:rsidR="00C83B34" w:rsidRPr="00BE2238" w14:paraId="40300CB6" w14:textId="77777777" w:rsidTr="00C83B34">
        <w:trPr>
          <w:jc w:val="center"/>
        </w:trPr>
        <w:tc>
          <w:tcPr>
            <w:tcW w:w="2880" w:type="dxa"/>
            <w:tcBorders>
              <w:top w:val="single" w:sz="4" w:space="0" w:color="auto"/>
              <w:bottom w:val="single" w:sz="4" w:space="0" w:color="auto"/>
            </w:tcBorders>
            <w:vAlign w:val="center"/>
          </w:tcPr>
          <w:p w14:paraId="3A2946C1" w14:textId="33CB7E4C" w:rsidR="00C83B34" w:rsidRDefault="00C83B34" w:rsidP="00C83B34">
            <w:pPr>
              <w:rPr>
                <w:rFonts w:ascii="Arial" w:hAnsi="Arial" w:cs="Arial"/>
                <w:color w:val="000000"/>
                <w:sz w:val="20"/>
                <w:szCs w:val="20"/>
              </w:rPr>
            </w:pPr>
            <w:r>
              <w:rPr>
                <w:rFonts w:ascii="Arial" w:hAnsi="Arial" w:cs="Arial"/>
                <w:color w:val="000000"/>
                <w:sz w:val="20"/>
                <w:szCs w:val="20"/>
              </w:rPr>
              <w:t>Time frame</w:t>
            </w:r>
          </w:p>
        </w:tc>
        <w:tc>
          <w:tcPr>
            <w:tcW w:w="4500" w:type="dxa"/>
            <w:tcBorders>
              <w:top w:val="single" w:sz="4" w:space="0" w:color="auto"/>
              <w:bottom w:val="single" w:sz="4" w:space="0" w:color="auto"/>
            </w:tcBorders>
            <w:vAlign w:val="center"/>
          </w:tcPr>
          <w:p w14:paraId="5C8C2D0F" w14:textId="7136ED71" w:rsidR="00C83B34" w:rsidRDefault="00C83B34" w:rsidP="00C83B34">
            <w:pPr>
              <w:rPr>
                <w:rFonts w:ascii="Arial" w:hAnsi="Arial" w:cs="Arial"/>
                <w:color w:val="000000"/>
                <w:sz w:val="20"/>
                <w:szCs w:val="20"/>
              </w:rPr>
            </w:pPr>
            <w:r>
              <w:rPr>
                <w:rFonts w:ascii="Arial" w:hAnsi="Arial" w:cs="Arial"/>
                <w:color w:val="000000"/>
                <w:sz w:val="20"/>
                <w:szCs w:val="20"/>
              </w:rPr>
              <w:t>Primarily 2020 onward</w:t>
            </w:r>
          </w:p>
        </w:tc>
      </w:tr>
      <w:tr w:rsidR="00C83B34" w:rsidRPr="00BE2238" w14:paraId="1B92F83F" w14:textId="77777777" w:rsidTr="00C83B34">
        <w:trPr>
          <w:jc w:val="center"/>
        </w:trPr>
        <w:tc>
          <w:tcPr>
            <w:tcW w:w="2880" w:type="dxa"/>
            <w:tcBorders>
              <w:top w:val="single" w:sz="4" w:space="0" w:color="auto"/>
              <w:bottom w:val="single" w:sz="4" w:space="0" w:color="auto"/>
            </w:tcBorders>
            <w:vAlign w:val="center"/>
          </w:tcPr>
          <w:p w14:paraId="5B05E15D" w14:textId="634009D3" w:rsidR="00C83B34" w:rsidRDefault="00C83B34" w:rsidP="00C83B34">
            <w:pPr>
              <w:rPr>
                <w:rFonts w:ascii="Arial" w:hAnsi="Arial" w:cs="Arial"/>
                <w:color w:val="000000"/>
                <w:sz w:val="20"/>
                <w:szCs w:val="20"/>
              </w:rPr>
            </w:pPr>
            <w:r>
              <w:rPr>
                <w:rFonts w:ascii="Arial" w:hAnsi="Arial" w:cs="Arial"/>
                <w:color w:val="000000"/>
                <w:sz w:val="20"/>
                <w:szCs w:val="20"/>
              </w:rPr>
              <w:t>Data type</w:t>
            </w:r>
          </w:p>
        </w:tc>
        <w:tc>
          <w:tcPr>
            <w:tcW w:w="4500" w:type="dxa"/>
            <w:tcBorders>
              <w:top w:val="single" w:sz="4" w:space="0" w:color="auto"/>
              <w:bottom w:val="single" w:sz="4" w:space="0" w:color="auto"/>
            </w:tcBorders>
            <w:vAlign w:val="center"/>
          </w:tcPr>
          <w:p w14:paraId="0BA38787" w14:textId="2AC5D492" w:rsidR="00C83B34" w:rsidRDefault="00C83B34" w:rsidP="00C83B34">
            <w:pPr>
              <w:rPr>
                <w:rFonts w:ascii="Arial" w:hAnsi="Arial" w:cs="Arial"/>
                <w:color w:val="000000"/>
                <w:sz w:val="20"/>
                <w:szCs w:val="20"/>
              </w:rPr>
            </w:pPr>
            <w:r>
              <w:rPr>
                <w:rFonts w:ascii="Arial" w:hAnsi="Arial" w:cs="Arial"/>
                <w:color w:val="000000"/>
                <w:sz w:val="20"/>
                <w:szCs w:val="20"/>
              </w:rPr>
              <w:t>Descriptive, policy, or institutional documents</w:t>
            </w:r>
          </w:p>
        </w:tc>
      </w:tr>
    </w:tbl>
    <w:p w14:paraId="2F585D46" w14:textId="77777777" w:rsidR="00C83B34" w:rsidRDefault="00C83B34" w:rsidP="000E395C">
      <w:pPr>
        <w:pStyle w:val="NormalWeb"/>
        <w:spacing w:before="0" w:beforeAutospacing="0" w:after="0" w:afterAutospacing="0"/>
        <w:jc w:val="both"/>
        <w:rPr>
          <w:rFonts w:ascii="Arial" w:hAnsi="Arial" w:cs="Arial"/>
          <w:sz w:val="20"/>
          <w:szCs w:val="20"/>
        </w:rPr>
      </w:pPr>
    </w:p>
    <w:p w14:paraId="21EF51E0" w14:textId="77777777" w:rsidR="006F39E3" w:rsidRPr="006F39E3" w:rsidRDefault="006F39E3" w:rsidP="006F39E3">
      <w:pPr>
        <w:outlineLvl w:val="1"/>
        <w:rPr>
          <w:b/>
          <w:bCs/>
          <w:sz w:val="36"/>
          <w:szCs w:val="36"/>
        </w:rPr>
      </w:pPr>
      <w:r w:rsidRPr="006F39E3">
        <w:rPr>
          <w:rFonts w:ascii="Arial" w:hAnsi="Arial" w:cs="Arial"/>
          <w:b/>
          <w:bCs/>
          <w:color w:val="000000"/>
          <w:sz w:val="22"/>
          <w:szCs w:val="22"/>
        </w:rPr>
        <w:t>2.5 Data Extraction and Organization</w:t>
      </w:r>
    </w:p>
    <w:p w14:paraId="7524D36A" w14:textId="77777777" w:rsidR="006F39E3" w:rsidRPr="006F39E3" w:rsidRDefault="006F39E3" w:rsidP="006F39E3"/>
    <w:p w14:paraId="20CF8FEE" w14:textId="77777777" w:rsidR="006F39E3" w:rsidRPr="006F39E3" w:rsidRDefault="006F39E3" w:rsidP="006F39E3">
      <w:r w:rsidRPr="006F39E3">
        <w:rPr>
          <w:rFonts w:ascii="Arial" w:hAnsi="Arial" w:cs="Arial"/>
          <w:color w:val="000000"/>
          <w:sz w:val="20"/>
          <w:szCs w:val="20"/>
        </w:rPr>
        <w:t xml:space="preserve">Key indicators, statements, and policy elements were carefully collected from each source. For quantitative datasets, descriptive indicators such as proportions, usage trends, and infrastructure counts were recorded in accordance with standard economic analysis </w:t>
      </w:r>
      <w:r w:rsidRPr="006F39E3">
        <w:rPr>
          <w:rFonts w:ascii="Arial" w:hAnsi="Arial" w:cs="Arial"/>
          <w:color w:val="000000"/>
          <w:sz w:val="20"/>
          <w:szCs w:val="20"/>
        </w:rPr>
        <w:lastRenderedPageBreak/>
        <w:t>(International Monetary Fund, 2025; World Bank, 2025). For institutional documents, textual evidence on payment channels, administrative processes, and financial practices was identified through qualitative document analysis (Bowen, 2009).</w:t>
      </w:r>
    </w:p>
    <w:p w14:paraId="55D1720E" w14:textId="77777777" w:rsidR="006F39E3" w:rsidRPr="006F39E3" w:rsidRDefault="006F39E3" w:rsidP="006F39E3">
      <w:r w:rsidRPr="006F39E3">
        <w:rPr>
          <w:rFonts w:ascii="Arial" w:hAnsi="Arial" w:cs="Arial"/>
          <w:color w:val="000000"/>
          <w:sz w:val="20"/>
          <w:szCs w:val="20"/>
        </w:rPr>
        <w:t>The collected data were organized into matrices based on global trends, national context, and institutional practices to facilitate comparisons.</w:t>
      </w:r>
    </w:p>
    <w:p w14:paraId="5F115FB2" w14:textId="77777777" w:rsidR="006F39E3" w:rsidRPr="006F39E3" w:rsidRDefault="006F39E3" w:rsidP="006F39E3"/>
    <w:p w14:paraId="1B667A10" w14:textId="77777777" w:rsidR="006F39E3" w:rsidRDefault="006F39E3" w:rsidP="006F39E3">
      <w:pPr>
        <w:outlineLvl w:val="1"/>
        <w:rPr>
          <w:rFonts w:ascii="Arial" w:hAnsi="Arial" w:cs="Arial"/>
          <w:b/>
          <w:bCs/>
          <w:color w:val="000000"/>
          <w:sz w:val="22"/>
          <w:szCs w:val="22"/>
        </w:rPr>
      </w:pPr>
      <w:r w:rsidRPr="006F39E3">
        <w:rPr>
          <w:rFonts w:ascii="Arial" w:hAnsi="Arial" w:cs="Arial"/>
          <w:b/>
          <w:bCs/>
          <w:color w:val="000000"/>
          <w:sz w:val="22"/>
          <w:szCs w:val="22"/>
        </w:rPr>
        <w:t>2.6 Data Analysis Procedur</w:t>
      </w:r>
      <w:r>
        <w:rPr>
          <w:rFonts w:ascii="Arial" w:hAnsi="Arial" w:cs="Arial"/>
          <w:b/>
          <w:bCs/>
          <w:color w:val="000000"/>
          <w:sz w:val="22"/>
          <w:szCs w:val="22"/>
        </w:rPr>
        <w:t>e</w:t>
      </w:r>
    </w:p>
    <w:p w14:paraId="635B5280" w14:textId="77777777" w:rsidR="006F39E3" w:rsidRDefault="006F39E3" w:rsidP="006F39E3">
      <w:pPr>
        <w:outlineLvl w:val="1"/>
        <w:rPr>
          <w:rFonts w:ascii="Arial" w:hAnsi="Arial" w:cs="Arial"/>
          <w:b/>
          <w:bCs/>
          <w:color w:val="000000"/>
          <w:sz w:val="22"/>
          <w:szCs w:val="22"/>
        </w:rPr>
      </w:pPr>
    </w:p>
    <w:p w14:paraId="3211C9E9" w14:textId="445DF3B5" w:rsidR="006F39E3" w:rsidRPr="006F39E3" w:rsidRDefault="006F39E3" w:rsidP="006F39E3">
      <w:pPr>
        <w:outlineLvl w:val="1"/>
        <w:rPr>
          <w:rFonts w:ascii="Arial" w:hAnsi="Arial" w:cs="Arial"/>
          <w:b/>
          <w:bCs/>
          <w:color w:val="000000"/>
          <w:sz w:val="22"/>
          <w:szCs w:val="22"/>
        </w:rPr>
      </w:pPr>
      <w:r w:rsidRPr="006F39E3">
        <w:rPr>
          <w:rFonts w:ascii="Arial" w:hAnsi="Arial" w:cs="Arial"/>
          <w:color w:val="000000"/>
          <w:sz w:val="20"/>
          <w:szCs w:val="20"/>
        </w:rPr>
        <w:t>The data analysis used three main steps:</w:t>
      </w:r>
    </w:p>
    <w:p w14:paraId="6F7BCBBB" w14:textId="77777777" w:rsidR="006F39E3" w:rsidRPr="006F39E3" w:rsidRDefault="006F39E3" w:rsidP="006F39E3">
      <w:pPr>
        <w:numPr>
          <w:ilvl w:val="0"/>
          <w:numId w:val="40"/>
        </w:numPr>
        <w:textAlignment w:val="baseline"/>
        <w:rPr>
          <w:rFonts w:ascii="Arial" w:hAnsi="Arial" w:cs="Arial"/>
          <w:color w:val="000000"/>
          <w:sz w:val="20"/>
          <w:szCs w:val="20"/>
        </w:rPr>
      </w:pPr>
      <w:r w:rsidRPr="006F39E3">
        <w:rPr>
          <w:rFonts w:ascii="Arial" w:hAnsi="Arial" w:cs="Arial"/>
          <w:color w:val="000000"/>
          <w:sz w:val="20"/>
          <w:szCs w:val="20"/>
        </w:rPr>
        <w:t>Trend Identification</w:t>
      </w:r>
      <w:r w:rsidRPr="006F39E3">
        <w:rPr>
          <w:rFonts w:ascii="Arial" w:hAnsi="Arial" w:cs="Arial"/>
          <w:color w:val="000000"/>
          <w:sz w:val="20"/>
          <w:szCs w:val="20"/>
        </w:rPr>
        <w:br/>
        <w:t>The study reviewed global and national datasets to find general patterns in digital payment use and the availability of needed infrastructure (</w:t>
      </w:r>
      <w:proofErr w:type="spellStart"/>
      <w:r w:rsidRPr="006F39E3">
        <w:rPr>
          <w:rFonts w:ascii="Arial" w:hAnsi="Arial" w:cs="Arial"/>
          <w:color w:val="000000"/>
          <w:sz w:val="20"/>
          <w:szCs w:val="20"/>
        </w:rPr>
        <w:t>Demirgüç-Kunt</w:t>
      </w:r>
      <w:proofErr w:type="spellEnd"/>
      <w:r w:rsidRPr="006F39E3">
        <w:rPr>
          <w:rFonts w:ascii="Arial" w:hAnsi="Arial" w:cs="Arial"/>
          <w:color w:val="000000"/>
          <w:sz w:val="20"/>
          <w:szCs w:val="20"/>
        </w:rPr>
        <w:t xml:space="preserve"> et al., 2022; </w:t>
      </w:r>
      <w:proofErr w:type="spellStart"/>
      <w:r w:rsidRPr="006F39E3">
        <w:rPr>
          <w:rFonts w:ascii="Arial" w:hAnsi="Arial" w:cs="Arial"/>
          <w:color w:val="000000"/>
          <w:sz w:val="20"/>
          <w:szCs w:val="20"/>
        </w:rPr>
        <w:t>Bangko</w:t>
      </w:r>
      <w:proofErr w:type="spellEnd"/>
      <w:r w:rsidRPr="006F39E3">
        <w:rPr>
          <w:rFonts w:ascii="Arial" w:hAnsi="Arial" w:cs="Arial"/>
          <w:color w:val="000000"/>
          <w:sz w:val="20"/>
          <w:szCs w:val="20"/>
        </w:rPr>
        <w:t xml:space="preserve"> </w:t>
      </w:r>
      <w:proofErr w:type="spellStart"/>
      <w:r w:rsidRPr="006F39E3">
        <w:rPr>
          <w:rFonts w:ascii="Arial" w:hAnsi="Arial" w:cs="Arial"/>
          <w:color w:val="000000"/>
          <w:sz w:val="20"/>
          <w:szCs w:val="20"/>
        </w:rPr>
        <w:t>Sentral</w:t>
      </w:r>
      <w:proofErr w:type="spellEnd"/>
      <w:r w:rsidRPr="006F39E3">
        <w:rPr>
          <w:rFonts w:ascii="Arial" w:hAnsi="Arial" w:cs="Arial"/>
          <w:color w:val="000000"/>
          <w:sz w:val="20"/>
          <w:szCs w:val="20"/>
        </w:rPr>
        <w:t xml:space="preserve"> ng </w:t>
      </w:r>
      <w:proofErr w:type="spellStart"/>
      <w:r w:rsidRPr="006F39E3">
        <w:rPr>
          <w:rFonts w:ascii="Arial" w:hAnsi="Arial" w:cs="Arial"/>
          <w:color w:val="000000"/>
          <w:sz w:val="20"/>
          <w:szCs w:val="20"/>
        </w:rPr>
        <w:t>Pilipinas</w:t>
      </w:r>
      <w:proofErr w:type="spellEnd"/>
      <w:r w:rsidRPr="006F39E3">
        <w:rPr>
          <w:rFonts w:ascii="Arial" w:hAnsi="Arial" w:cs="Arial"/>
          <w:color w:val="000000"/>
          <w:sz w:val="20"/>
          <w:szCs w:val="20"/>
        </w:rPr>
        <w:t>, 2024).</w:t>
      </w:r>
    </w:p>
    <w:p w14:paraId="7B43A7D6" w14:textId="77777777" w:rsidR="006F39E3" w:rsidRPr="006F39E3" w:rsidRDefault="006F39E3" w:rsidP="006F39E3">
      <w:pPr>
        <w:numPr>
          <w:ilvl w:val="0"/>
          <w:numId w:val="40"/>
        </w:numPr>
        <w:textAlignment w:val="baseline"/>
        <w:rPr>
          <w:rFonts w:ascii="Arial" w:hAnsi="Arial" w:cs="Arial"/>
          <w:color w:val="000000"/>
          <w:sz w:val="20"/>
          <w:szCs w:val="20"/>
        </w:rPr>
      </w:pPr>
      <w:r w:rsidRPr="006F39E3">
        <w:rPr>
          <w:rFonts w:ascii="Arial" w:hAnsi="Arial" w:cs="Arial"/>
          <w:color w:val="000000"/>
          <w:sz w:val="20"/>
          <w:szCs w:val="20"/>
        </w:rPr>
        <w:t>Data Interpretation</w:t>
      </w:r>
      <w:r w:rsidRPr="006F39E3">
        <w:rPr>
          <w:rFonts w:ascii="Arial" w:hAnsi="Arial" w:cs="Arial"/>
          <w:color w:val="000000"/>
          <w:sz w:val="20"/>
          <w:szCs w:val="20"/>
        </w:rPr>
        <w:br/>
        <w:t>Payment Choice Theory helped explain why people changed their payment methods, with a focus on convenience, cost, and accessibility (Humphrey et al., 2001; Klee, 2008).</w:t>
      </w:r>
    </w:p>
    <w:p w14:paraId="6D8AB3F3" w14:textId="77777777" w:rsidR="006F39E3" w:rsidRPr="006F39E3" w:rsidRDefault="006F39E3" w:rsidP="006F39E3">
      <w:pPr>
        <w:numPr>
          <w:ilvl w:val="0"/>
          <w:numId w:val="40"/>
        </w:numPr>
        <w:textAlignment w:val="baseline"/>
        <w:rPr>
          <w:rFonts w:ascii="Arial" w:hAnsi="Arial" w:cs="Arial"/>
          <w:color w:val="000000"/>
          <w:sz w:val="20"/>
          <w:szCs w:val="20"/>
        </w:rPr>
      </w:pPr>
      <w:r w:rsidRPr="006F39E3">
        <w:rPr>
          <w:rFonts w:ascii="Arial" w:hAnsi="Arial" w:cs="Arial"/>
          <w:color w:val="000000"/>
          <w:sz w:val="20"/>
          <w:szCs w:val="20"/>
        </w:rPr>
        <w:t>Institutional Analysis</w:t>
      </w:r>
      <w:r w:rsidRPr="006F39E3">
        <w:rPr>
          <w:rFonts w:ascii="Arial" w:hAnsi="Arial" w:cs="Arial"/>
          <w:color w:val="000000"/>
          <w:sz w:val="20"/>
          <w:szCs w:val="20"/>
        </w:rPr>
        <w:br/>
        <w:t>University documents were looked at to understand how the university changed its payment practices in response to national trends and policies. Institutional Theory explained these organizational changes (DiMaggio &amp; Powell, 1983; Scott, 2020).</w:t>
      </w:r>
    </w:p>
    <w:p w14:paraId="27039700" w14:textId="77777777" w:rsidR="00450ABB" w:rsidRDefault="006F39E3" w:rsidP="00450ABB">
      <w:pPr>
        <w:rPr>
          <w:rFonts w:ascii="Arial" w:hAnsi="Arial" w:cs="Arial"/>
          <w:color w:val="000000"/>
          <w:sz w:val="20"/>
          <w:szCs w:val="20"/>
        </w:rPr>
      </w:pPr>
      <w:r w:rsidRPr="006F39E3">
        <w:rPr>
          <w:rFonts w:ascii="Arial" w:hAnsi="Arial" w:cs="Arial"/>
          <w:color w:val="000000"/>
          <w:sz w:val="20"/>
          <w:szCs w:val="20"/>
        </w:rPr>
        <w:t>The study did not use inferential statistics or econometric models.</w:t>
      </w:r>
    </w:p>
    <w:p w14:paraId="22A2C77C" w14:textId="77777777" w:rsidR="00450ABB" w:rsidRDefault="00450ABB" w:rsidP="00450ABB">
      <w:pPr>
        <w:rPr>
          <w:rFonts w:ascii="Arial" w:hAnsi="Arial" w:cs="Arial"/>
          <w:color w:val="000000"/>
          <w:sz w:val="20"/>
          <w:szCs w:val="20"/>
        </w:rPr>
      </w:pPr>
    </w:p>
    <w:p w14:paraId="68E31A0A" w14:textId="67F7A5DC" w:rsidR="00450ABB" w:rsidRPr="00450ABB" w:rsidRDefault="00450ABB" w:rsidP="00450ABB">
      <w:pPr>
        <w:rPr>
          <w:b/>
          <w:bCs/>
        </w:rPr>
      </w:pPr>
      <w:r w:rsidRPr="00450ABB">
        <w:rPr>
          <w:rFonts w:ascii="Arial" w:hAnsi="Arial" w:cs="Arial"/>
          <w:b/>
          <w:bCs/>
          <w:color w:val="000000"/>
          <w:sz w:val="22"/>
          <w:szCs w:val="22"/>
        </w:rPr>
        <w:t>2.7 Trustworthiness and Rigor</w:t>
      </w:r>
    </w:p>
    <w:p w14:paraId="6B6ADAD4" w14:textId="77777777" w:rsidR="00450ABB" w:rsidRDefault="00450ABB" w:rsidP="00450ABB"/>
    <w:p w14:paraId="7D59F81D" w14:textId="77777777" w:rsidR="00450ABB" w:rsidRDefault="00450ABB" w:rsidP="00450ABB">
      <w:pPr>
        <w:pStyle w:val="NormalWeb"/>
        <w:spacing w:before="0" w:beforeAutospacing="0" w:after="0" w:afterAutospacing="0"/>
      </w:pPr>
      <w:r>
        <w:rPr>
          <w:rFonts w:ascii="Arial" w:hAnsi="Arial" w:cs="Arial"/>
          <w:color w:val="000000"/>
          <w:sz w:val="20"/>
          <w:szCs w:val="20"/>
        </w:rPr>
        <w:t>The study’s rigor was established by adhering to recognized criteria for documentary research. Credibility was strengthened through triangulation of independent and authoritative sources, such as international databases, national policy documents, and institutional records, which validated observed trends and interpretations. Dependability was achieved by consistently applying standardized procedures for document selection, data extraction, and organization. Confirmability was maintained by basing all interpretations on verifiable documentary evidence rather than subjective judgments. Transferability was facilitated by providing transparent documentation of data sources, selection criteria, and analytical steps, allowing readers to evaluate the relevance of the study’s approach to other institutional or national contexts (Bowen, 2009; Lim, 2025).</w:t>
      </w:r>
    </w:p>
    <w:p w14:paraId="7F906F89" w14:textId="77777777" w:rsidR="00450ABB" w:rsidRPr="00450ABB" w:rsidRDefault="00450ABB" w:rsidP="00450ABB">
      <w:pPr>
        <w:rPr>
          <w:sz w:val="20"/>
          <w:szCs w:val="20"/>
        </w:rPr>
      </w:pPr>
    </w:p>
    <w:p w14:paraId="607B2BD1" w14:textId="77777777" w:rsidR="00450ABB" w:rsidRDefault="00450ABB" w:rsidP="00450ABB">
      <w:pPr>
        <w:pStyle w:val="Heading2"/>
        <w:spacing w:before="0"/>
        <w:rPr>
          <w:rFonts w:ascii="Arial" w:hAnsi="Arial" w:cs="Arial"/>
          <w:b/>
          <w:bCs/>
          <w:color w:val="000000"/>
          <w:sz w:val="22"/>
          <w:szCs w:val="22"/>
        </w:rPr>
      </w:pPr>
      <w:r w:rsidRPr="00450ABB">
        <w:rPr>
          <w:rFonts w:ascii="Arial" w:hAnsi="Arial" w:cs="Arial"/>
          <w:b/>
          <w:bCs/>
          <w:color w:val="000000"/>
          <w:sz w:val="22"/>
          <w:szCs w:val="22"/>
        </w:rPr>
        <w:t>2.8 Ethical Consideration</w:t>
      </w:r>
      <w:r>
        <w:rPr>
          <w:rFonts w:ascii="Arial" w:hAnsi="Arial" w:cs="Arial"/>
          <w:b/>
          <w:bCs/>
          <w:color w:val="000000"/>
          <w:sz w:val="22"/>
          <w:szCs w:val="22"/>
        </w:rPr>
        <w:t>s</w:t>
      </w:r>
    </w:p>
    <w:p w14:paraId="25201545" w14:textId="77777777" w:rsidR="00450ABB" w:rsidRDefault="00450ABB" w:rsidP="00450ABB">
      <w:pPr>
        <w:pStyle w:val="Heading2"/>
        <w:spacing w:before="0"/>
        <w:rPr>
          <w:rFonts w:ascii="Arial" w:hAnsi="Arial" w:cs="Arial"/>
          <w:b/>
          <w:bCs/>
          <w:color w:val="000000"/>
          <w:sz w:val="22"/>
          <w:szCs w:val="22"/>
        </w:rPr>
      </w:pPr>
    </w:p>
    <w:p w14:paraId="1C025FAF" w14:textId="58C77F48" w:rsidR="00450ABB" w:rsidRDefault="00450ABB" w:rsidP="00450ABB">
      <w:pPr>
        <w:pStyle w:val="Heading2"/>
        <w:spacing w:before="0"/>
        <w:rPr>
          <w:rFonts w:ascii="Arial" w:hAnsi="Arial" w:cs="Arial"/>
          <w:color w:val="000000"/>
          <w:sz w:val="20"/>
          <w:szCs w:val="20"/>
        </w:rPr>
      </w:pPr>
      <w:r>
        <w:rPr>
          <w:rFonts w:ascii="Arial" w:hAnsi="Arial" w:cs="Arial"/>
          <w:color w:val="000000"/>
          <w:sz w:val="20"/>
          <w:szCs w:val="20"/>
        </w:rPr>
        <w:t>This study relied only on publicly available secondary data and did not include human participants, personal information, or confidential records. As a result, ethical approval was not required, in line with standard research ethics for secondary data studies.</w:t>
      </w:r>
    </w:p>
    <w:p w14:paraId="78C44561" w14:textId="77777777" w:rsidR="00946627" w:rsidRPr="00946627" w:rsidRDefault="00946627" w:rsidP="00946627">
      <w:pPr>
        <w:rPr>
          <w:rFonts w:ascii="Arial" w:hAnsi="Arial" w:cs="Arial"/>
          <w:sz w:val="20"/>
          <w:szCs w:val="20"/>
        </w:rPr>
      </w:pPr>
    </w:p>
    <w:p w14:paraId="71E22DBB" w14:textId="64B61246" w:rsidR="00946627" w:rsidRDefault="00946627" w:rsidP="00946627">
      <w:pPr>
        <w:pStyle w:val="AbstHead"/>
        <w:spacing w:after="0"/>
        <w:jc w:val="both"/>
        <w:rPr>
          <w:rFonts w:ascii="Arial" w:hAnsi="Arial" w:cs="Arial"/>
        </w:rPr>
      </w:pPr>
      <w:r>
        <w:rPr>
          <w:rFonts w:ascii="Arial" w:hAnsi="Arial" w:cs="Arial"/>
        </w:rPr>
        <w:t>3. RESULTS</w:t>
      </w:r>
    </w:p>
    <w:p w14:paraId="70DAF34C" w14:textId="77777777" w:rsidR="00946627" w:rsidRDefault="00946627" w:rsidP="00CC30CF">
      <w:pPr>
        <w:pStyle w:val="AbstHead"/>
        <w:spacing w:after="0"/>
        <w:ind w:right="18"/>
        <w:jc w:val="both"/>
        <w:rPr>
          <w:rFonts w:ascii="Arial" w:hAnsi="Arial" w:cs="Arial"/>
        </w:rPr>
      </w:pPr>
    </w:p>
    <w:p w14:paraId="776EBF04" w14:textId="77777777" w:rsidR="00CC30CF" w:rsidRDefault="00CC30CF" w:rsidP="00CC30CF">
      <w:pPr>
        <w:ind w:right="18"/>
        <w:outlineLvl w:val="1"/>
        <w:rPr>
          <w:rFonts w:ascii="Arial" w:hAnsi="Arial" w:cs="Arial"/>
          <w:b/>
          <w:bCs/>
          <w:color w:val="000000"/>
          <w:sz w:val="22"/>
          <w:szCs w:val="22"/>
        </w:rPr>
      </w:pPr>
      <w:r w:rsidRPr="00CC30CF">
        <w:rPr>
          <w:rFonts w:ascii="Arial" w:hAnsi="Arial" w:cs="Arial"/>
          <w:b/>
          <w:bCs/>
          <w:color w:val="000000"/>
          <w:sz w:val="22"/>
          <w:szCs w:val="22"/>
        </w:rPr>
        <w:t>3.1 Global Trends in Digital Payment Adoption (2020–202</w:t>
      </w:r>
      <w:r>
        <w:rPr>
          <w:rFonts w:ascii="Arial" w:hAnsi="Arial" w:cs="Arial"/>
          <w:b/>
          <w:bCs/>
          <w:color w:val="000000"/>
          <w:sz w:val="22"/>
          <w:szCs w:val="22"/>
        </w:rPr>
        <w:t xml:space="preserve">4) </w:t>
      </w:r>
    </w:p>
    <w:p w14:paraId="2240FE36" w14:textId="77777777" w:rsidR="00CC30CF" w:rsidRDefault="00CC30CF" w:rsidP="00CC30CF">
      <w:pPr>
        <w:ind w:right="18"/>
        <w:outlineLvl w:val="1"/>
        <w:rPr>
          <w:rFonts w:ascii="Arial" w:hAnsi="Arial" w:cs="Arial"/>
          <w:b/>
          <w:bCs/>
          <w:color w:val="000000"/>
          <w:sz w:val="22"/>
          <w:szCs w:val="22"/>
        </w:rPr>
      </w:pPr>
    </w:p>
    <w:p w14:paraId="7CAEB7A6" w14:textId="2761E7D2" w:rsidR="00CC30CF" w:rsidRPr="00CC30CF" w:rsidRDefault="00CC30CF" w:rsidP="00CC30CF">
      <w:pPr>
        <w:ind w:right="18"/>
        <w:outlineLvl w:val="1"/>
        <w:rPr>
          <w:b/>
          <w:bCs/>
          <w:sz w:val="36"/>
          <w:szCs w:val="36"/>
        </w:rPr>
      </w:pPr>
      <w:r>
        <w:rPr>
          <w:rFonts w:ascii="Arial" w:hAnsi="Arial" w:cs="Arial"/>
          <w:color w:val="000000"/>
          <w:sz w:val="20"/>
          <w:szCs w:val="20"/>
        </w:rPr>
        <w:t>S</w:t>
      </w:r>
      <w:r w:rsidRPr="00CC30CF">
        <w:rPr>
          <w:rFonts w:ascii="Arial" w:hAnsi="Arial" w:cs="Arial"/>
          <w:color w:val="000000"/>
          <w:sz w:val="20"/>
          <w:szCs w:val="20"/>
        </w:rPr>
        <w:t>ince 2020, digital payments have become more common worldwide. The World Bank Global Findex Database 2021 reports that the number of adults making or receiving digital payments increased significantly compared to before the pandemic, reflecting a shift to electronic transactions in both developed and developing countries (</w:t>
      </w:r>
      <w:proofErr w:type="spellStart"/>
      <w:r w:rsidRPr="00CC30CF">
        <w:rPr>
          <w:rFonts w:ascii="Arial" w:hAnsi="Arial" w:cs="Arial"/>
          <w:color w:val="000000"/>
          <w:sz w:val="20"/>
          <w:szCs w:val="20"/>
        </w:rPr>
        <w:t>Demirgüç-Kunt</w:t>
      </w:r>
      <w:proofErr w:type="spellEnd"/>
      <w:r w:rsidRPr="00CC30CF">
        <w:rPr>
          <w:rFonts w:ascii="Arial" w:hAnsi="Arial" w:cs="Arial"/>
          <w:color w:val="000000"/>
          <w:sz w:val="20"/>
          <w:szCs w:val="20"/>
        </w:rPr>
        <w:t xml:space="preserve"> et al., 2022). Recent World Bank studies also show that digital payments became even more widespread during and after the COVID-19 pandemic, as households and businesses </w:t>
      </w:r>
      <w:r w:rsidRPr="00CC30CF">
        <w:rPr>
          <w:rFonts w:ascii="Arial" w:hAnsi="Arial" w:cs="Arial"/>
          <w:color w:val="000000"/>
          <w:sz w:val="20"/>
          <w:szCs w:val="20"/>
        </w:rPr>
        <w:lastRenderedPageBreak/>
        <w:t>changed their payment habits because of movement restrictions and improved digital infrastructure (Norris &amp; Singer, 2025).</w:t>
      </w:r>
    </w:p>
    <w:p w14:paraId="55C8641F" w14:textId="77777777" w:rsidR="00CC30CF" w:rsidRPr="00CC30CF" w:rsidRDefault="00CC30CF" w:rsidP="00CC30CF">
      <w:pPr>
        <w:ind w:right="18"/>
      </w:pPr>
      <w:r w:rsidRPr="00CC30CF">
        <w:rPr>
          <w:rFonts w:ascii="Arial" w:hAnsi="Arial" w:cs="Arial"/>
          <w:color w:val="000000"/>
          <w:sz w:val="20"/>
          <w:szCs w:val="20"/>
        </w:rPr>
        <w:t>This trend is fueled by changes in payment habits and the expansion of payment infrastructure. The IMF Financial Access Survey (FAS) shows that since 2020, many countries have increased digital financial access points, including electronic money accounts and payment service providers (International Monetary Fund, 2025). These results suggest that digital payments are now a standard part of national payment systems, rather than just an alternative to cash.</w:t>
      </w:r>
    </w:p>
    <w:p w14:paraId="03B5ED08" w14:textId="77777777" w:rsidR="00CC30CF" w:rsidRPr="00CC30CF" w:rsidRDefault="00CC30CF" w:rsidP="00CC30CF">
      <w:pPr>
        <w:ind w:right="18"/>
      </w:pPr>
      <w:r w:rsidRPr="00CC30CF">
        <w:rPr>
          <w:rFonts w:ascii="Arial" w:hAnsi="Arial" w:cs="Arial"/>
          <w:color w:val="000000"/>
          <w:sz w:val="20"/>
          <w:szCs w:val="20"/>
        </w:rPr>
        <w:t>These global changes support the view that the COVID-19 pandemic sped up the use of digital finance, especially in countries with increasing internet and mobile access. This shows how important digital technology is for today’s payment systems (Norris &amp; Singer, 2025).</w:t>
      </w:r>
    </w:p>
    <w:p w14:paraId="7552F15E" w14:textId="1B738D18" w:rsidR="00CC30CF" w:rsidRDefault="00CC30CF" w:rsidP="00CC30CF">
      <w:pPr>
        <w:ind w:right="18"/>
        <w:rPr>
          <w:rFonts w:ascii="Arial" w:hAnsi="Arial" w:cs="Arial"/>
          <w:color w:val="000000"/>
          <w:sz w:val="20"/>
          <w:szCs w:val="20"/>
        </w:rPr>
      </w:pPr>
      <w:r w:rsidRPr="00CC30CF">
        <w:rPr>
          <w:rFonts w:ascii="Arial" w:hAnsi="Arial" w:cs="Arial"/>
          <w:color w:val="000000"/>
          <w:sz w:val="20"/>
          <w:szCs w:val="20"/>
        </w:rPr>
        <w:t xml:space="preserve">Table </w:t>
      </w:r>
      <w:r>
        <w:rPr>
          <w:rFonts w:ascii="Arial" w:hAnsi="Arial" w:cs="Arial"/>
          <w:color w:val="000000"/>
          <w:sz w:val="20"/>
          <w:szCs w:val="20"/>
        </w:rPr>
        <w:t>3</w:t>
      </w:r>
      <w:r w:rsidRPr="00CC30CF">
        <w:rPr>
          <w:rFonts w:ascii="Arial" w:hAnsi="Arial" w:cs="Arial"/>
          <w:color w:val="000000"/>
          <w:sz w:val="20"/>
          <w:szCs w:val="20"/>
        </w:rPr>
        <w:t xml:space="preserve"> shows how these global datasets work together to document trends in digital payment</w:t>
      </w:r>
      <w:r>
        <w:rPr>
          <w:rFonts w:ascii="Arial" w:hAnsi="Arial" w:cs="Arial"/>
          <w:color w:val="000000"/>
          <w:sz w:val="20"/>
          <w:szCs w:val="20"/>
        </w:rPr>
        <w:t>s.</w:t>
      </w:r>
    </w:p>
    <w:p w14:paraId="03714ED6" w14:textId="77777777" w:rsidR="00CC30CF" w:rsidRDefault="00CC30CF" w:rsidP="00CC30CF">
      <w:pPr>
        <w:ind w:right="18"/>
        <w:jc w:val="center"/>
        <w:rPr>
          <w:rFonts w:ascii="Arial" w:hAnsi="Arial" w:cs="Arial"/>
          <w:color w:val="000000"/>
          <w:sz w:val="20"/>
          <w:szCs w:val="20"/>
        </w:rPr>
      </w:pPr>
    </w:p>
    <w:p w14:paraId="5B9F8182" w14:textId="64158E6B" w:rsidR="00CC30CF" w:rsidRDefault="00CC30CF" w:rsidP="00CC30CF">
      <w:pPr>
        <w:ind w:right="18"/>
        <w:jc w:val="center"/>
        <w:rPr>
          <w:rFonts w:ascii="Arial" w:hAnsi="Arial" w:cs="Arial"/>
          <w:color w:val="000000"/>
          <w:sz w:val="20"/>
          <w:szCs w:val="20"/>
        </w:rPr>
      </w:pPr>
      <w:r>
        <w:rPr>
          <w:rFonts w:ascii="Arial" w:hAnsi="Arial" w:cs="Arial"/>
          <w:b/>
          <w:bCs/>
          <w:color w:val="000000"/>
          <w:sz w:val="20"/>
          <w:szCs w:val="20"/>
        </w:rPr>
        <w:t>Table 3. Summary of global digital payment trends (2020–2024)</w:t>
      </w:r>
    </w:p>
    <w:p w14:paraId="41708CC4" w14:textId="77777777" w:rsidR="00CC30CF" w:rsidRDefault="00CC30CF" w:rsidP="00CC30CF">
      <w:pPr>
        <w:ind w:right="18"/>
        <w:rPr>
          <w:rFonts w:ascii="Arial" w:hAnsi="Arial" w:cs="Arial"/>
          <w:color w:val="000000"/>
          <w:sz w:val="20"/>
          <w:szCs w:val="20"/>
        </w:rPr>
      </w:pPr>
    </w:p>
    <w:tbl>
      <w:tblPr>
        <w:tblW w:w="8208" w:type="dxa"/>
        <w:jc w:val="center"/>
        <w:tblBorders>
          <w:top w:val="single" w:sz="4" w:space="0" w:color="auto"/>
          <w:bottom w:val="single" w:sz="4" w:space="0" w:color="auto"/>
        </w:tblBorders>
        <w:tblLook w:val="01E0" w:firstRow="1" w:lastRow="1" w:firstColumn="1" w:lastColumn="1" w:noHBand="0" w:noVBand="0"/>
      </w:tblPr>
      <w:tblGrid>
        <w:gridCol w:w="2226"/>
        <w:gridCol w:w="3233"/>
        <w:gridCol w:w="2749"/>
      </w:tblGrid>
      <w:tr w:rsidR="00CC30CF" w:rsidRPr="00BE2238" w14:paraId="0039B2A3" w14:textId="7EB95C52" w:rsidTr="00CC30CF">
        <w:trPr>
          <w:jc w:val="center"/>
        </w:trPr>
        <w:tc>
          <w:tcPr>
            <w:tcW w:w="2226" w:type="dxa"/>
            <w:tcBorders>
              <w:top w:val="single" w:sz="4" w:space="0" w:color="auto"/>
              <w:bottom w:val="single" w:sz="4" w:space="0" w:color="auto"/>
            </w:tcBorders>
            <w:vAlign w:val="center"/>
          </w:tcPr>
          <w:p w14:paraId="40993244" w14:textId="1FAAE827" w:rsidR="00CC30CF" w:rsidRPr="00BE2238" w:rsidRDefault="00CC30CF" w:rsidP="00CC30CF">
            <w:pPr>
              <w:jc w:val="both"/>
              <w:rPr>
                <w:rFonts w:ascii="Arial" w:hAnsi="Arial"/>
                <w:b/>
                <w:bCs/>
                <w:sz w:val="20"/>
                <w:szCs w:val="20"/>
              </w:rPr>
            </w:pPr>
            <w:r>
              <w:rPr>
                <w:rFonts w:ascii="Arial" w:hAnsi="Arial" w:cs="Arial"/>
                <w:b/>
                <w:bCs/>
                <w:color w:val="000000"/>
                <w:sz w:val="20"/>
                <w:szCs w:val="20"/>
              </w:rPr>
              <w:t>Aspect</w:t>
            </w:r>
          </w:p>
        </w:tc>
        <w:tc>
          <w:tcPr>
            <w:tcW w:w="3233" w:type="dxa"/>
            <w:tcBorders>
              <w:top w:val="single" w:sz="4" w:space="0" w:color="auto"/>
              <w:bottom w:val="single" w:sz="4" w:space="0" w:color="auto"/>
            </w:tcBorders>
            <w:vAlign w:val="center"/>
          </w:tcPr>
          <w:p w14:paraId="502A422E" w14:textId="56F03099" w:rsidR="00CC30CF" w:rsidRPr="00BE2238" w:rsidRDefault="00CC30CF" w:rsidP="00CC30CF">
            <w:pPr>
              <w:jc w:val="both"/>
              <w:rPr>
                <w:rFonts w:ascii="Arial" w:hAnsi="Arial"/>
                <w:b/>
                <w:bCs/>
                <w:sz w:val="20"/>
                <w:szCs w:val="20"/>
              </w:rPr>
            </w:pPr>
            <w:r>
              <w:rPr>
                <w:rFonts w:ascii="Arial" w:hAnsi="Arial" w:cs="Arial"/>
                <w:b/>
                <w:bCs/>
                <w:color w:val="000000"/>
                <w:sz w:val="20"/>
                <w:szCs w:val="20"/>
              </w:rPr>
              <w:t>Evidence from Global Findex</w:t>
            </w:r>
          </w:p>
        </w:tc>
        <w:tc>
          <w:tcPr>
            <w:tcW w:w="2749" w:type="dxa"/>
            <w:tcBorders>
              <w:top w:val="single" w:sz="4" w:space="0" w:color="auto"/>
              <w:bottom w:val="single" w:sz="4" w:space="0" w:color="auto"/>
            </w:tcBorders>
            <w:vAlign w:val="center"/>
          </w:tcPr>
          <w:p w14:paraId="2817AE33" w14:textId="578553BE" w:rsidR="00CC30CF" w:rsidRDefault="00CC30CF" w:rsidP="00CC30CF">
            <w:pPr>
              <w:jc w:val="both"/>
              <w:rPr>
                <w:rFonts w:ascii="Arial" w:hAnsi="Arial" w:cs="Arial"/>
                <w:b/>
                <w:bCs/>
                <w:color w:val="000000"/>
                <w:sz w:val="20"/>
                <w:szCs w:val="20"/>
              </w:rPr>
            </w:pPr>
            <w:r>
              <w:rPr>
                <w:rFonts w:ascii="Arial" w:hAnsi="Arial" w:cs="Arial"/>
                <w:b/>
                <w:bCs/>
                <w:color w:val="000000"/>
                <w:sz w:val="20"/>
                <w:szCs w:val="20"/>
              </w:rPr>
              <w:t>Evidence from IMF FAS</w:t>
            </w:r>
          </w:p>
        </w:tc>
      </w:tr>
      <w:tr w:rsidR="00CC30CF" w:rsidRPr="00BE2238" w14:paraId="23264CB9" w14:textId="2F82B079" w:rsidTr="00CC30CF">
        <w:trPr>
          <w:trHeight w:val="260"/>
          <w:jc w:val="center"/>
        </w:trPr>
        <w:tc>
          <w:tcPr>
            <w:tcW w:w="2226" w:type="dxa"/>
            <w:tcBorders>
              <w:top w:val="single" w:sz="4" w:space="0" w:color="auto"/>
              <w:bottom w:val="single" w:sz="4" w:space="0" w:color="auto"/>
            </w:tcBorders>
            <w:vAlign w:val="center"/>
          </w:tcPr>
          <w:p w14:paraId="4086B51D" w14:textId="30E42758" w:rsidR="00CC30CF" w:rsidRPr="00BE2238" w:rsidRDefault="00CC30CF" w:rsidP="00CC30CF">
            <w:pPr>
              <w:rPr>
                <w:rFonts w:ascii="Arial" w:hAnsi="Arial"/>
                <w:b/>
                <w:bCs/>
                <w:sz w:val="20"/>
                <w:szCs w:val="20"/>
              </w:rPr>
            </w:pPr>
            <w:r>
              <w:rPr>
                <w:rFonts w:ascii="Arial" w:hAnsi="Arial" w:cs="Arial"/>
                <w:color w:val="000000"/>
                <w:sz w:val="20"/>
                <w:szCs w:val="20"/>
              </w:rPr>
              <w:t>Nature of data</w:t>
            </w:r>
          </w:p>
        </w:tc>
        <w:tc>
          <w:tcPr>
            <w:tcW w:w="3233" w:type="dxa"/>
            <w:tcBorders>
              <w:top w:val="single" w:sz="4" w:space="0" w:color="auto"/>
              <w:bottom w:val="single" w:sz="4" w:space="0" w:color="auto"/>
            </w:tcBorders>
            <w:vAlign w:val="center"/>
          </w:tcPr>
          <w:p w14:paraId="0ADEDF39" w14:textId="3A61035A" w:rsidR="00CC30CF" w:rsidRPr="00BE2238" w:rsidRDefault="00CC30CF" w:rsidP="00CC30CF">
            <w:pPr>
              <w:rPr>
                <w:rFonts w:ascii="Arial" w:hAnsi="Arial"/>
                <w:b/>
                <w:bCs/>
                <w:sz w:val="20"/>
                <w:szCs w:val="20"/>
              </w:rPr>
            </w:pPr>
            <w:r>
              <w:rPr>
                <w:rFonts w:ascii="Arial" w:hAnsi="Arial" w:cs="Arial"/>
                <w:color w:val="000000"/>
                <w:sz w:val="20"/>
                <w:szCs w:val="20"/>
              </w:rPr>
              <w:t>Demand-side indicators of digital payment use</w:t>
            </w:r>
          </w:p>
        </w:tc>
        <w:tc>
          <w:tcPr>
            <w:tcW w:w="2749" w:type="dxa"/>
            <w:tcBorders>
              <w:top w:val="single" w:sz="4" w:space="0" w:color="auto"/>
              <w:bottom w:val="single" w:sz="4" w:space="0" w:color="auto"/>
            </w:tcBorders>
            <w:vAlign w:val="center"/>
          </w:tcPr>
          <w:p w14:paraId="43B8D28C" w14:textId="36CA5EA0" w:rsidR="00CC30CF" w:rsidRDefault="00CC30CF" w:rsidP="00CC30CF">
            <w:pPr>
              <w:rPr>
                <w:rFonts w:ascii="Arial" w:hAnsi="Arial" w:cs="Arial"/>
                <w:color w:val="000000"/>
                <w:sz w:val="20"/>
                <w:szCs w:val="20"/>
              </w:rPr>
            </w:pPr>
            <w:r>
              <w:rPr>
                <w:rFonts w:ascii="Arial" w:hAnsi="Arial" w:cs="Arial"/>
                <w:color w:val="000000"/>
                <w:sz w:val="20"/>
                <w:szCs w:val="20"/>
              </w:rPr>
              <w:t>Supply-side indicators of financial infrastructure</w:t>
            </w:r>
          </w:p>
        </w:tc>
      </w:tr>
      <w:tr w:rsidR="00CC30CF" w:rsidRPr="00BE2238" w14:paraId="527E78BE" w14:textId="24720E5E" w:rsidTr="00CC30CF">
        <w:trPr>
          <w:jc w:val="center"/>
        </w:trPr>
        <w:tc>
          <w:tcPr>
            <w:tcW w:w="2226" w:type="dxa"/>
            <w:tcBorders>
              <w:top w:val="single" w:sz="4" w:space="0" w:color="auto"/>
              <w:bottom w:val="single" w:sz="4" w:space="0" w:color="auto"/>
            </w:tcBorders>
            <w:vAlign w:val="center"/>
          </w:tcPr>
          <w:p w14:paraId="0F5A25D5" w14:textId="7B1D6232" w:rsidR="00CC30CF" w:rsidRPr="00BE2238" w:rsidRDefault="00CC30CF" w:rsidP="00CC30CF">
            <w:pPr>
              <w:rPr>
                <w:rFonts w:ascii="Arial" w:hAnsi="Arial" w:cs="Arial"/>
                <w:sz w:val="20"/>
                <w:szCs w:val="20"/>
              </w:rPr>
            </w:pPr>
            <w:r>
              <w:rPr>
                <w:rFonts w:ascii="Arial" w:hAnsi="Arial" w:cs="Arial"/>
                <w:color w:val="000000"/>
                <w:sz w:val="20"/>
                <w:szCs w:val="20"/>
              </w:rPr>
              <w:t>Observed trend</w:t>
            </w:r>
          </w:p>
        </w:tc>
        <w:tc>
          <w:tcPr>
            <w:tcW w:w="3233" w:type="dxa"/>
            <w:tcBorders>
              <w:top w:val="single" w:sz="4" w:space="0" w:color="auto"/>
              <w:bottom w:val="single" w:sz="4" w:space="0" w:color="auto"/>
            </w:tcBorders>
            <w:vAlign w:val="center"/>
          </w:tcPr>
          <w:p w14:paraId="106A20F1" w14:textId="74427030" w:rsidR="00CC30CF" w:rsidRPr="00BE2238" w:rsidRDefault="00CC30CF" w:rsidP="00CC30CF">
            <w:pPr>
              <w:rPr>
                <w:rFonts w:ascii="Arial" w:hAnsi="Arial" w:cs="Arial"/>
                <w:sz w:val="20"/>
                <w:szCs w:val="20"/>
              </w:rPr>
            </w:pPr>
            <w:r>
              <w:rPr>
                <w:rFonts w:ascii="Arial" w:hAnsi="Arial" w:cs="Arial"/>
                <w:color w:val="000000"/>
                <w:sz w:val="20"/>
                <w:szCs w:val="20"/>
              </w:rPr>
              <w:t>Increasing use of digital payments</w:t>
            </w:r>
          </w:p>
        </w:tc>
        <w:tc>
          <w:tcPr>
            <w:tcW w:w="2749" w:type="dxa"/>
            <w:tcBorders>
              <w:top w:val="single" w:sz="4" w:space="0" w:color="auto"/>
              <w:bottom w:val="single" w:sz="4" w:space="0" w:color="auto"/>
            </w:tcBorders>
            <w:vAlign w:val="center"/>
          </w:tcPr>
          <w:p w14:paraId="469DE6E4" w14:textId="33D6D654" w:rsidR="00CC30CF" w:rsidRDefault="00CC30CF" w:rsidP="00CC30CF">
            <w:pPr>
              <w:rPr>
                <w:rFonts w:ascii="Arial" w:hAnsi="Arial" w:cs="Arial"/>
                <w:color w:val="000000"/>
                <w:sz w:val="20"/>
                <w:szCs w:val="20"/>
              </w:rPr>
            </w:pPr>
            <w:r>
              <w:rPr>
                <w:rFonts w:ascii="Arial" w:hAnsi="Arial" w:cs="Arial"/>
                <w:color w:val="000000"/>
                <w:sz w:val="20"/>
                <w:szCs w:val="20"/>
              </w:rPr>
              <w:t>Expansion of digital payment access points</w:t>
            </w:r>
          </w:p>
        </w:tc>
      </w:tr>
      <w:tr w:rsidR="00CC30CF" w:rsidRPr="00BE2238" w14:paraId="0B6C2DA0" w14:textId="32AFA241" w:rsidTr="00CC30CF">
        <w:trPr>
          <w:jc w:val="center"/>
        </w:trPr>
        <w:tc>
          <w:tcPr>
            <w:tcW w:w="2226" w:type="dxa"/>
            <w:tcBorders>
              <w:top w:val="single" w:sz="4" w:space="0" w:color="auto"/>
              <w:bottom w:val="single" w:sz="4" w:space="0" w:color="auto"/>
            </w:tcBorders>
            <w:vAlign w:val="center"/>
          </w:tcPr>
          <w:p w14:paraId="58EAFDE5" w14:textId="2FF55527" w:rsidR="00CC30CF" w:rsidRPr="00BE2238" w:rsidRDefault="00CC30CF" w:rsidP="00CC30CF">
            <w:pPr>
              <w:rPr>
                <w:rFonts w:ascii="Arial" w:hAnsi="Arial" w:cs="Arial"/>
                <w:sz w:val="20"/>
                <w:szCs w:val="20"/>
              </w:rPr>
            </w:pPr>
            <w:r>
              <w:rPr>
                <w:rFonts w:ascii="Arial" w:hAnsi="Arial" w:cs="Arial"/>
                <w:color w:val="000000"/>
                <w:sz w:val="20"/>
                <w:szCs w:val="20"/>
              </w:rPr>
              <w:t>Payment instruments</w:t>
            </w:r>
          </w:p>
        </w:tc>
        <w:tc>
          <w:tcPr>
            <w:tcW w:w="3233" w:type="dxa"/>
            <w:tcBorders>
              <w:top w:val="single" w:sz="4" w:space="0" w:color="auto"/>
              <w:bottom w:val="single" w:sz="4" w:space="0" w:color="auto"/>
            </w:tcBorders>
            <w:vAlign w:val="center"/>
          </w:tcPr>
          <w:p w14:paraId="4A1B111C" w14:textId="652C78DE" w:rsidR="00CC30CF" w:rsidRPr="00BE2238" w:rsidRDefault="00CC30CF" w:rsidP="00CC30CF">
            <w:pPr>
              <w:rPr>
                <w:rFonts w:ascii="Arial" w:hAnsi="Arial" w:cs="Arial"/>
                <w:sz w:val="20"/>
                <w:szCs w:val="20"/>
              </w:rPr>
            </w:pPr>
            <w:r>
              <w:rPr>
                <w:rFonts w:ascii="Arial" w:hAnsi="Arial" w:cs="Arial"/>
                <w:color w:val="000000"/>
                <w:sz w:val="20"/>
                <w:szCs w:val="20"/>
              </w:rPr>
              <w:t>Digital transfers, merchant payments</w:t>
            </w:r>
          </w:p>
        </w:tc>
        <w:tc>
          <w:tcPr>
            <w:tcW w:w="2749" w:type="dxa"/>
            <w:tcBorders>
              <w:top w:val="single" w:sz="4" w:space="0" w:color="auto"/>
              <w:bottom w:val="single" w:sz="4" w:space="0" w:color="auto"/>
            </w:tcBorders>
            <w:vAlign w:val="center"/>
          </w:tcPr>
          <w:p w14:paraId="16F060E5" w14:textId="7625D2F5" w:rsidR="00CC30CF" w:rsidRDefault="00CC30CF" w:rsidP="00CC30CF">
            <w:pPr>
              <w:rPr>
                <w:rFonts w:ascii="Arial" w:hAnsi="Arial" w:cs="Arial"/>
                <w:color w:val="000000"/>
                <w:sz w:val="20"/>
                <w:szCs w:val="20"/>
              </w:rPr>
            </w:pPr>
            <w:r>
              <w:rPr>
                <w:rFonts w:ascii="Arial" w:hAnsi="Arial" w:cs="Arial"/>
                <w:color w:val="000000"/>
                <w:sz w:val="20"/>
                <w:szCs w:val="20"/>
              </w:rPr>
              <w:t>E-money accounts, payment service providers</w:t>
            </w:r>
          </w:p>
        </w:tc>
      </w:tr>
      <w:tr w:rsidR="00CC30CF" w:rsidRPr="00BE2238" w14:paraId="47FE11D7" w14:textId="1EC1FD65" w:rsidTr="00CC30CF">
        <w:trPr>
          <w:jc w:val="center"/>
        </w:trPr>
        <w:tc>
          <w:tcPr>
            <w:tcW w:w="2226" w:type="dxa"/>
            <w:tcBorders>
              <w:top w:val="single" w:sz="4" w:space="0" w:color="auto"/>
              <w:bottom w:val="single" w:sz="4" w:space="0" w:color="auto"/>
            </w:tcBorders>
            <w:vAlign w:val="center"/>
          </w:tcPr>
          <w:p w14:paraId="501F0D6B" w14:textId="39F34C79" w:rsidR="00CC30CF" w:rsidRPr="00BE2238" w:rsidRDefault="00CC30CF" w:rsidP="00CC30CF">
            <w:pPr>
              <w:rPr>
                <w:rFonts w:ascii="Arial" w:hAnsi="Arial" w:cs="Arial"/>
                <w:sz w:val="20"/>
                <w:szCs w:val="20"/>
              </w:rPr>
            </w:pPr>
            <w:r>
              <w:rPr>
                <w:rFonts w:ascii="Arial" w:hAnsi="Arial" w:cs="Arial"/>
                <w:color w:val="000000"/>
                <w:sz w:val="20"/>
                <w:szCs w:val="20"/>
              </w:rPr>
              <w:t>Key implication</w:t>
            </w:r>
          </w:p>
        </w:tc>
        <w:tc>
          <w:tcPr>
            <w:tcW w:w="3233" w:type="dxa"/>
            <w:tcBorders>
              <w:top w:val="single" w:sz="4" w:space="0" w:color="auto"/>
              <w:bottom w:val="single" w:sz="4" w:space="0" w:color="auto"/>
            </w:tcBorders>
            <w:vAlign w:val="center"/>
          </w:tcPr>
          <w:p w14:paraId="5252A7D9" w14:textId="5E6A45F7" w:rsidR="00CC30CF" w:rsidRPr="00BE2238" w:rsidRDefault="00CC30CF" w:rsidP="00CC30CF">
            <w:pPr>
              <w:rPr>
                <w:rFonts w:ascii="Arial" w:hAnsi="Arial" w:cs="Arial"/>
                <w:sz w:val="20"/>
                <w:szCs w:val="20"/>
              </w:rPr>
            </w:pPr>
            <w:r>
              <w:rPr>
                <w:rFonts w:ascii="Arial" w:hAnsi="Arial" w:cs="Arial"/>
                <w:color w:val="000000"/>
                <w:sz w:val="20"/>
                <w:szCs w:val="20"/>
              </w:rPr>
              <w:t>Growing preference for digital transactions</w:t>
            </w:r>
          </w:p>
        </w:tc>
        <w:tc>
          <w:tcPr>
            <w:tcW w:w="2749" w:type="dxa"/>
            <w:tcBorders>
              <w:top w:val="single" w:sz="4" w:space="0" w:color="auto"/>
              <w:bottom w:val="single" w:sz="4" w:space="0" w:color="auto"/>
            </w:tcBorders>
            <w:vAlign w:val="center"/>
          </w:tcPr>
          <w:p w14:paraId="1322DB1E" w14:textId="2E0B032D" w:rsidR="00CC30CF" w:rsidRDefault="00CC30CF" w:rsidP="00CC30CF">
            <w:pPr>
              <w:rPr>
                <w:rFonts w:ascii="Arial" w:hAnsi="Arial" w:cs="Arial"/>
                <w:color w:val="000000"/>
                <w:sz w:val="20"/>
                <w:szCs w:val="20"/>
              </w:rPr>
            </w:pPr>
            <w:r>
              <w:rPr>
                <w:rFonts w:ascii="Arial" w:hAnsi="Arial" w:cs="Arial"/>
                <w:color w:val="000000"/>
                <w:sz w:val="20"/>
                <w:szCs w:val="20"/>
              </w:rPr>
              <w:t>Improved availability of digital channels</w:t>
            </w:r>
          </w:p>
        </w:tc>
      </w:tr>
      <w:tr w:rsidR="00CC30CF" w:rsidRPr="00BE2238" w14:paraId="25F3F210" w14:textId="3B3CD60E" w:rsidTr="00CC30CF">
        <w:trPr>
          <w:jc w:val="center"/>
        </w:trPr>
        <w:tc>
          <w:tcPr>
            <w:tcW w:w="2226" w:type="dxa"/>
            <w:tcBorders>
              <w:top w:val="single" w:sz="4" w:space="0" w:color="auto"/>
              <w:bottom w:val="single" w:sz="4" w:space="0" w:color="auto"/>
            </w:tcBorders>
            <w:vAlign w:val="center"/>
          </w:tcPr>
          <w:p w14:paraId="78FF2F0E" w14:textId="5D1D6770" w:rsidR="00CC30CF" w:rsidRDefault="00CC30CF" w:rsidP="00CC30CF">
            <w:pPr>
              <w:rPr>
                <w:rFonts w:ascii="Arial" w:hAnsi="Arial" w:cs="Arial"/>
                <w:color w:val="000000"/>
                <w:sz w:val="20"/>
                <w:szCs w:val="20"/>
              </w:rPr>
            </w:pPr>
            <w:r>
              <w:rPr>
                <w:rFonts w:ascii="Arial" w:hAnsi="Arial" w:cs="Arial"/>
                <w:color w:val="000000"/>
                <w:sz w:val="20"/>
                <w:szCs w:val="20"/>
              </w:rPr>
              <w:t>Analytical role</w:t>
            </w:r>
          </w:p>
        </w:tc>
        <w:tc>
          <w:tcPr>
            <w:tcW w:w="3233" w:type="dxa"/>
            <w:tcBorders>
              <w:top w:val="single" w:sz="4" w:space="0" w:color="auto"/>
              <w:bottom w:val="single" w:sz="4" w:space="0" w:color="auto"/>
            </w:tcBorders>
            <w:vAlign w:val="center"/>
          </w:tcPr>
          <w:p w14:paraId="70BD3700" w14:textId="07452C5F" w:rsidR="00CC30CF" w:rsidRDefault="00CC30CF" w:rsidP="00CC30CF">
            <w:pPr>
              <w:rPr>
                <w:rFonts w:ascii="Arial" w:hAnsi="Arial" w:cs="Arial"/>
                <w:color w:val="000000"/>
                <w:sz w:val="20"/>
                <w:szCs w:val="20"/>
              </w:rPr>
            </w:pPr>
            <w:r>
              <w:rPr>
                <w:rFonts w:ascii="Arial" w:hAnsi="Arial" w:cs="Arial"/>
                <w:color w:val="000000"/>
                <w:sz w:val="20"/>
                <w:szCs w:val="20"/>
              </w:rPr>
              <w:t>Captures payment behavior</w:t>
            </w:r>
          </w:p>
        </w:tc>
        <w:tc>
          <w:tcPr>
            <w:tcW w:w="2749" w:type="dxa"/>
            <w:tcBorders>
              <w:top w:val="single" w:sz="4" w:space="0" w:color="auto"/>
            </w:tcBorders>
            <w:vAlign w:val="center"/>
          </w:tcPr>
          <w:p w14:paraId="27ECADDB" w14:textId="03C3E972" w:rsidR="00CC30CF" w:rsidRDefault="00CC30CF" w:rsidP="00CC30CF">
            <w:pPr>
              <w:rPr>
                <w:rFonts w:ascii="Arial" w:hAnsi="Arial" w:cs="Arial"/>
                <w:color w:val="000000"/>
                <w:sz w:val="20"/>
                <w:szCs w:val="20"/>
              </w:rPr>
            </w:pPr>
            <w:r>
              <w:rPr>
                <w:rFonts w:ascii="Arial" w:hAnsi="Arial" w:cs="Arial"/>
                <w:color w:val="000000"/>
                <w:sz w:val="20"/>
                <w:szCs w:val="20"/>
              </w:rPr>
              <w:t>Captures enabling conditions</w:t>
            </w:r>
          </w:p>
        </w:tc>
      </w:tr>
    </w:tbl>
    <w:p w14:paraId="2CF3ACDB" w14:textId="77777777" w:rsidR="00CC30CF" w:rsidRDefault="00CC30CF" w:rsidP="00CC30CF">
      <w:pPr>
        <w:ind w:right="18"/>
        <w:rPr>
          <w:rFonts w:ascii="Arial" w:hAnsi="Arial" w:cs="Arial"/>
          <w:color w:val="000000"/>
          <w:sz w:val="20"/>
          <w:szCs w:val="20"/>
        </w:rPr>
      </w:pPr>
    </w:p>
    <w:p w14:paraId="30A9E83E" w14:textId="77777777" w:rsidR="008A44A2" w:rsidRPr="008A44A2" w:rsidRDefault="008A44A2" w:rsidP="008A44A2">
      <w:pPr>
        <w:outlineLvl w:val="1"/>
        <w:rPr>
          <w:b/>
          <w:bCs/>
          <w:sz w:val="36"/>
          <w:szCs w:val="36"/>
        </w:rPr>
      </w:pPr>
      <w:r w:rsidRPr="008A44A2">
        <w:rPr>
          <w:rFonts w:ascii="Arial" w:hAnsi="Arial" w:cs="Arial"/>
          <w:b/>
          <w:bCs/>
          <w:color w:val="000000"/>
          <w:sz w:val="22"/>
          <w:szCs w:val="22"/>
        </w:rPr>
        <w:t>3.2 National Digital Payment Trends in the Philippines (2020–2024)</w:t>
      </w:r>
    </w:p>
    <w:p w14:paraId="013F664C" w14:textId="77777777" w:rsidR="008A44A2" w:rsidRPr="008A44A2" w:rsidRDefault="008A44A2" w:rsidP="008A44A2">
      <w:pPr>
        <w:rPr>
          <w:rFonts w:ascii="Arial" w:hAnsi="Arial" w:cs="Arial"/>
          <w:sz w:val="20"/>
          <w:szCs w:val="20"/>
        </w:rPr>
      </w:pPr>
    </w:p>
    <w:p w14:paraId="784427EE" w14:textId="77777777" w:rsidR="008A44A2" w:rsidRPr="008A44A2" w:rsidRDefault="008A44A2" w:rsidP="008A44A2">
      <w:pPr>
        <w:ind w:right="14"/>
      </w:pPr>
      <w:r w:rsidRPr="008A44A2">
        <w:rPr>
          <w:rFonts w:ascii="Arial" w:hAnsi="Arial" w:cs="Arial"/>
          <w:color w:val="000000"/>
          <w:sz w:val="20"/>
          <w:szCs w:val="20"/>
        </w:rPr>
        <w:t xml:space="preserve">Digital payment use in the Philippines has grown steadily during the study period. The </w:t>
      </w:r>
      <w:proofErr w:type="spellStart"/>
      <w:r w:rsidRPr="008A44A2">
        <w:rPr>
          <w:rFonts w:ascii="Arial" w:hAnsi="Arial" w:cs="Arial"/>
          <w:color w:val="000000"/>
          <w:sz w:val="20"/>
          <w:szCs w:val="20"/>
        </w:rPr>
        <w:t>Bangko</w:t>
      </w:r>
      <w:proofErr w:type="spellEnd"/>
      <w:r w:rsidRPr="008A44A2">
        <w:rPr>
          <w:rFonts w:ascii="Arial" w:hAnsi="Arial" w:cs="Arial"/>
          <w:color w:val="000000"/>
          <w:sz w:val="20"/>
          <w:szCs w:val="20"/>
        </w:rPr>
        <w:t xml:space="preserve"> </w:t>
      </w:r>
      <w:proofErr w:type="spellStart"/>
      <w:r w:rsidRPr="008A44A2">
        <w:rPr>
          <w:rFonts w:ascii="Arial" w:hAnsi="Arial" w:cs="Arial"/>
          <w:color w:val="000000"/>
          <w:sz w:val="20"/>
          <w:szCs w:val="20"/>
        </w:rPr>
        <w:t>Sentral</w:t>
      </w:r>
      <w:proofErr w:type="spellEnd"/>
      <w:r w:rsidRPr="008A44A2">
        <w:rPr>
          <w:rFonts w:ascii="Arial" w:hAnsi="Arial" w:cs="Arial"/>
          <w:color w:val="000000"/>
          <w:sz w:val="20"/>
          <w:szCs w:val="20"/>
        </w:rPr>
        <w:t xml:space="preserve"> ng </w:t>
      </w:r>
      <w:proofErr w:type="spellStart"/>
      <w:r w:rsidRPr="008A44A2">
        <w:rPr>
          <w:rFonts w:ascii="Arial" w:hAnsi="Arial" w:cs="Arial"/>
          <w:color w:val="000000"/>
          <w:sz w:val="20"/>
          <w:szCs w:val="20"/>
        </w:rPr>
        <w:t>Pilipinas</w:t>
      </w:r>
      <w:proofErr w:type="spellEnd"/>
      <w:r w:rsidRPr="008A44A2">
        <w:rPr>
          <w:rFonts w:ascii="Arial" w:hAnsi="Arial" w:cs="Arial"/>
          <w:color w:val="000000"/>
          <w:sz w:val="20"/>
          <w:szCs w:val="20"/>
        </w:rPr>
        <w:t xml:space="preserve"> (BSP) </w:t>
      </w:r>
      <w:r w:rsidRPr="008A44A2">
        <w:rPr>
          <w:rFonts w:ascii="Arial" w:hAnsi="Arial" w:cs="Arial"/>
          <w:i/>
          <w:iCs/>
          <w:color w:val="000000"/>
          <w:sz w:val="20"/>
          <w:szCs w:val="20"/>
        </w:rPr>
        <w:t>Report on E-Payments Measurement 2024 shows that</w:t>
      </w:r>
      <w:r w:rsidRPr="008A44A2">
        <w:rPr>
          <w:rFonts w:ascii="Arial" w:hAnsi="Arial" w:cs="Arial"/>
          <w:color w:val="000000"/>
          <w:sz w:val="20"/>
          <w:szCs w:val="20"/>
        </w:rPr>
        <w:t xml:space="preserve"> digital payments made up 57.4% of total retail payment volume and 59% of total retail payment value in 2024. This marks a lasting move toward electronic payments and surpasses earlier national goals for digitalization (</w:t>
      </w:r>
      <w:proofErr w:type="spellStart"/>
      <w:r w:rsidRPr="008A44A2">
        <w:rPr>
          <w:rFonts w:ascii="Arial" w:hAnsi="Arial" w:cs="Arial"/>
          <w:color w:val="000000"/>
          <w:sz w:val="20"/>
          <w:szCs w:val="20"/>
        </w:rPr>
        <w:t>Bangko</w:t>
      </w:r>
      <w:proofErr w:type="spellEnd"/>
      <w:r w:rsidRPr="008A44A2">
        <w:rPr>
          <w:rFonts w:ascii="Arial" w:hAnsi="Arial" w:cs="Arial"/>
          <w:color w:val="000000"/>
          <w:sz w:val="20"/>
          <w:szCs w:val="20"/>
        </w:rPr>
        <w:t xml:space="preserve"> </w:t>
      </w:r>
      <w:proofErr w:type="spellStart"/>
      <w:r w:rsidRPr="008A44A2">
        <w:rPr>
          <w:rFonts w:ascii="Arial" w:hAnsi="Arial" w:cs="Arial"/>
          <w:color w:val="000000"/>
          <w:sz w:val="20"/>
          <w:szCs w:val="20"/>
        </w:rPr>
        <w:t>Sentral</w:t>
      </w:r>
      <w:proofErr w:type="spellEnd"/>
      <w:r w:rsidRPr="008A44A2">
        <w:rPr>
          <w:rFonts w:ascii="Arial" w:hAnsi="Arial" w:cs="Arial"/>
          <w:color w:val="000000"/>
          <w:sz w:val="20"/>
          <w:szCs w:val="20"/>
        </w:rPr>
        <w:t xml:space="preserve"> ng </w:t>
      </w:r>
      <w:proofErr w:type="spellStart"/>
      <w:r w:rsidRPr="008A44A2">
        <w:rPr>
          <w:rFonts w:ascii="Arial" w:hAnsi="Arial" w:cs="Arial"/>
          <w:color w:val="000000"/>
          <w:sz w:val="20"/>
          <w:szCs w:val="20"/>
        </w:rPr>
        <w:t>Pilipinas</w:t>
      </w:r>
      <w:proofErr w:type="spellEnd"/>
      <w:r w:rsidRPr="008A44A2">
        <w:rPr>
          <w:rFonts w:ascii="Arial" w:hAnsi="Arial" w:cs="Arial"/>
          <w:color w:val="000000"/>
          <w:sz w:val="20"/>
          <w:szCs w:val="20"/>
        </w:rPr>
        <w:t>, 2024).</w:t>
      </w:r>
    </w:p>
    <w:p w14:paraId="0A94AC89" w14:textId="15C14717" w:rsidR="008A44A2" w:rsidRDefault="008A44A2" w:rsidP="008A44A2">
      <w:pPr>
        <w:ind w:right="14"/>
        <w:rPr>
          <w:rFonts w:ascii="Arial" w:hAnsi="Arial" w:cs="Arial"/>
          <w:color w:val="000000"/>
          <w:sz w:val="20"/>
          <w:szCs w:val="20"/>
        </w:rPr>
      </w:pPr>
      <w:r w:rsidRPr="008A44A2">
        <w:rPr>
          <w:rFonts w:ascii="Arial" w:hAnsi="Arial" w:cs="Arial"/>
          <w:color w:val="000000"/>
          <w:sz w:val="20"/>
          <w:szCs w:val="20"/>
        </w:rPr>
        <w:t>This growth has continued over the past few years. BSP data shows that digital payments made up about 52.8% of retail transactions in 2023, showing a steady rise instead of a short-term increase (</w:t>
      </w:r>
      <w:proofErr w:type="spellStart"/>
      <w:r w:rsidRPr="008A44A2">
        <w:rPr>
          <w:rFonts w:ascii="Arial" w:hAnsi="Arial" w:cs="Arial"/>
          <w:color w:val="000000"/>
          <w:sz w:val="20"/>
          <w:szCs w:val="20"/>
        </w:rPr>
        <w:t>Bangko</w:t>
      </w:r>
      <w:proofErr w:type="spellEnd"/>
      <w:r w:rsidRPr="008A44A2">
        <w:rPr>
          <w:rFonts w:ascii="Arial" w:hAnsi="Arial" w:cs="Arial"/>
          <w:color w:val="000000"/>
          <w:sz w:val="20"/>
          <w:szCs w:val="20"/>
        </w:rPr>
        <w:t xml:space="preserve"> </w:t>
      </w:r>
      <w:proofErr w:type="spellStart"/>
      <w:r w:rsidRPr="008A44A2">
        <w:rPr>
          <w:rFonts w:ascii="Arial" w:hAnsi="Arial" w:cs="Arial"/>
          <w:color w:val="000000"/>
          <w:sz w:val="20"/>
          <w:szCs w:val="20"/>
        </w:rPr>
        <w:t>Sentral</w:t>
      </w:r>
      <w:proofErr w:type="spellEnd"/>
      <w:r w:rsidRPr="008A44A2">
        <w:rPr>
          <w:rFonts w:ascii="Arial" w:hAnsi="Arial" w:cs="Arial"/>
          <w:color w:val="000000"/>
          <w:sz w:val="20"/>
          <w:szCs w:val="20"/>
        </w:rPr>
        <w:t xml:space="preserve"> ng </w:t>
      </w:r>
      <w:proofErr w:type="spellStart"/>
      <w:r w:rsidRPr="008A44A2">
        <w:rPr>
          <w:rFonts w:ascii="Arial" w:hAnsi="Arial" w:cs="Arial"/>
          <w:color w:val="000000"/>
          <w:sz w:val="20"/>
          <w:szCs w:val="20"/>
        </w:rPr>
        <w:t>Pilipinas</w:t>
      </w:r>
      <w:proofErr w:type="spellEnd"/>
      <w:r w:rsidRPr="008A44A2">
        <w:rPr>
          <w:rFonts w:ascii="Arial" w:hAnsi="Arial" w:cs="Arial"/>
          <w:color w:val="000000"/>
          <w:sz w:val="20"/>
          <w:szCs w:val="20"/>
        </w:rPr>
        <w:t>, 2024). Independent business reports using BSP data also confirm that both the number and value of digital payments in the country have kept increasing (Jocson, 2024; 2025)</w:t>
      </w:r>
      <w:r>
        <w:rPr>
          <w:rFonts w:ascii="Arial" w:hAnsi="Arial" w:cs="Arial"/>
          <w:color w:val="000000"/>
          <w:sz w:val="20"/>
          <w:szCs w:val="20"/>
        </w:rPr>
        <w:t>.</w:t>
      </w:r>
    </w:p>
    <w:p w14:paraId="41A56810" w14:textId="77777777" w:rsidR="008A44A2" w:rsidRDefault="008A44A2" w:rsidP="008A44A2">
      <w:pPr>
        <w:ind w:right="14"/>
        <w:rPr>
          <w:rFonts w:ascii="Arial" w:hAnsi="Arial" w:cs="Arial"/>
          <w:color w:val="000000"/>
          <w:sz w:val="20"/>
          <w:szCs w:val="20"/>
        </w:rPr>
      </w:pPr>
    </w:p>
    <w:p w14:paraId="0BC5F98A" w14:textId="77777777" w:rsidR="008A44A2" w:rsidRDefault="008A44A2" w:rsidP="008A44A2">
      <w:pPr>
        <w:pStyle w:val="NormalWeb"/>
        <w:spacing w:before="0" w:beforeAutospacing="0" w:after="0" w:afterAutospacing="0"/>
        <w:jc w:val="center"/>
      </w:pPr>
      <w:r>
        <w:rPr>
          <w:rFonts w:ascii="Arial" w:hAnsi="Arial" w:cs="Arial"/>
          <w:b/>
          <w:bCs/>
          <w:color w:val="000000"/>
          <w:sz w:val="20"/>
          <w:szCs w:val="20"/>
        </w:rPr>
        <w:t>Table 4. Selected National Indicators of Digital Payment Adoption </w:t>
      </w:r>
    </w:p>
    <w:p w14:paraId="1B4B9530" w14:textId="4F9ED1B3" w:rsidR="008A44A2" w:rsidRDefault="008A44A2" w:rsidP="008A44A2">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in the Philippines (2020–2024)</w:t>
      </w:r>
    </w:p>
    <w:p w14:paraId="1D0C9C6B" w14:textId="77777777" w:rsidR="008A44A2" w:rsidRDefault="008A44A2" w:rsidP="008A44A2">
      <w:pPr>
        <w:pStyle w:val="NormalWeb"/>
        <w:spacing w:before="0" w:beforeAutospacing="0" w:after="0" w:afterAutospacing="0"/>
        <w:jc w:val="center"/>
        <w:rPr>
          <w:rFonts w:ascii="Arial" w:hAnsi="Arial" w:cs="Arial"/>
          <w:b/>
          <w:bCs/>
          <w:color w:val="000000"/>
          <w:sz w:val="20"/>
          <w:szCs w:val="20"/>
        </w:rPr>
      </w:pPr>
    </w:p>
    <w:tbl>
      <w:tblPr>
        <w:tblW w:w="7830" w:type="dxa"/>
        <w:jc w:val="center"/>
        <w:tblBorders>
          <w:top w:val="single" w:sz="4" w:space="0" w:color="auto"/>
          <w:bottom w:val="single" w:sz="4" w:space="0" w:color="auto"/>
        </w:tblBorders>
        <w:tblLook w:val="01E0" w:firstRow="1" w:lastRow="1" w:firstColumn="1" w:lastColumn="1" w:noHBand="0" w:noVBand="0"/>
      </w:tblPr>
      <w:tblGrid>
        <w:gridCol w:w="2783"/>
        <w:gridCol w:w="1863"/>
        <w:gridCol w:w="1611"/>
        <w:gridCol w:w="1573"/>
      </w:tblGrid>
      <w:tr w:rsidR="008A44A2" w:rsidRPr="00BE2238" w14:paraId="600F7A5F" w14:textId="3FDA16F5" w:rsidTr="008A44A2">
        <w:trPr>
          <w:jc w:val="center"/>
        </w:trPr>
        <w:tc>
          <w:tcPr>
            <w:tcW w:w="2783" w:type="dxa"/>
            <w:tcBorders>
              <w:top w:val="single" w:sz="4" w:space="0" w:color="auto"/>
              <w:bottom w:val="single" w:sz="4" w:space="0" w:color="auto"/>
            </w:tcBorders>
            <w:vAlign w:val="center"/>
          </w:tcPr>
          <w:p w14:paraId="685F1244" w14:textId="239F2741" w:rsidR="008A44A2" w:rsidRPr="00BE2238" w:rsidRDefault="008A44A2" w:rsidP="008A44A2">
            <w:pPr>
              <w:jc w:val="both"/>
              <w:rPr>
                <w:rFonts w:ascii="Arial" w:hAnsi="Arial"/>
                <w:b/>
                <w:bCs/>
                <w:sz w:val="20"/>
                <w:szCs w:val="20"/>
              </w:rPr>
            </w:pPr>
            <w:r>
              <w:rPr>
                <w:rFonts w:ascii="Arial" w:hAnsi="Arial" w:cs="Arial"/>
                <w:b/>
                <w:bCs/>
                <w:color w:val="000000"/>
                <w:sz w:val="20"/>
                <w:szCs w:val="20"/>
              </w:rPr>
              <w:t>Indicator</w:t>
            </w:r>
          </w:p>
        </w:tc>
        <w:tc>
          <w:tcPr>
            <w:tcW w:w="1863" w:type="dxa"/>
            <w:tcBorders>
              <w:top w:val="single" w:sz="4" w:space="0" w:color="auto"/>
              <w:bottom w:val="single" w:sz="4" w:space="0" w:color="auto"/>
            </w:tcBorders>
            <w:vAlign w:val="center"/>
          </w:tcPr>
          <w:p w14:paraId="224C9A77" w14:textId="59AF39A7" w:rsidR="008A44A2" w:rsidRPr="00BE2238" w:rsidRDefault="008A44A2" w:rsidP="008A44A2">
            <w:pPr>
              <w:jc w:val="both"/>
              <w:rPr>
                <w:rFonts w:ascii="Arial" w:hAnsi="Arial"/>
                <w:b/>
                <w:bCs/>
                <w:sz w:val="20"/>
                <w:szCs w:val="20"/>
              </w:rPr>
            </w:pPr>
            <w:r>
              <w:rPr>
                <w:rFonts w:ascii="Arial" w:hAnsi="Arial" w:cs="Arial"/>
                <w:b/>
                <w:bCs/>
                <w:color w:val="000000"/>
                <w:sz w:val="20"/>
                <w:szCs w:val="20"/>
              </w:rPr>
              <w:t>2020*</w:t>
            </w:r>
          </w:p>
        </w:tc>
        <w:tc>
          <w:tcPr>
            <w:tcW w:w="1611" w:type="dxa"/>
            <w:tcBorders>
              <w:top w:val="single" w:sz="4" w:space="0" w:color="auto"/>
              <w:bottom w:val="single" w:sz="4" w:space="0" w:color="auto"/>
            </w:tcBorders>
            <w:vAlign w:val="center"/>
          </w:tcPr>
          <w:p w14:paraId="6FCE7FF3" w14:textId="681E7320" w:rsidR="008A44A2" w:rsidRDefault="008A44A2" w:rsidP="008A44A2">
            <w:pPr>
              <w:jc w:val="both"/>
              <w:rPr>
                <w:rFonts w:ascii="Arial" w:hAnsi="Arial" w:cs="Arial"/>
                <w:b/>
                <w:bCs/>
                <w:color w:val="000000"/>
                <w:sz w:val="20"/>
                <w:szCs w:val="20"/>
              </w:rPr>
            </w:pPr>
            <w:r>
              <w:rPr>
                <w:rFonts w:ascii="Arial" w:hAnsi="Arial" w:cs="Arial"/>
                <w:b/>
                <w:bCs/>
                <w:color w:val="000000"/>
                <w:sz w:val="20"/>
                <w:szCs w:val="20"/>
              </w:rPr>
              <w:t>2023</w:t>
            </w:r>
          </w:p>
        </w:tc>
        <w:tc>
          <w:tcPr>
            <w:tcW w:w="1573" w:type="dxa"/>
            <w:tcBorders>
              <w:top w:val="single" w:sz="4" w:space="0" w:color="auto"/>
              <w:bottom w:val="single" w:sz="4" w:space="0" w:color="auto"/>
            </w:tcBorders>
            <w:vAlign w:val="center"/>
          </w:tcPr>
          <w:p w14:paraId="2CAF9D02" w14:textId="7333894F" w:rsidR="008A44A2" w:rsidRDefault="008A44A2" w:rsidP="008A44A2">
            <w:pPr>
              <w:jc w:val="both"/>
              <w:rPr>
                <w:rFonts w:ascii="Arial" w:hAnsi="Arial" w:cs="Arial"/>
                <w:b/>
                <w:bCs/>
                <w:color w:val="000000"/>
                <w:sz w:val="20"/>
                <w:szCs w:val="20"/>
              </w:rPr>
            </w:pPr>
            <w:r>
              <w:rPr>
                <w:rFonts w:ascii="Arial" w:hAnsi="Arial" w:cs="Arial"/>
                <w:b/>
                <w:bCs/>
                <w:color w:val="000000"/>
                <w:sz w:val="20"/>
                <w:szCs w:val="20"/>
              </w:rPr>
              <w:t>2024</w:t>
            </w:r>
          </w:p>
        </w:tc>
      </w:tr>
      <w:tr w:rsidR="008A44A2" w:rsidRPr="00BE2238" w14:paraId="299CC606" w14:textId="68270DB2" w:rsidTr="008A44A2">
        <w:trPr>
          <w:trHeight w:val="260"/>
          <w:jc w:val="center"/>
        </w:trPr>
        <w:tc>
          <w:tcPr>
            <w:tcW w:w="2783" w:type="dxa"/>
            <w:tcBorders>
              <w:top w:val="single" w:sz="4" w:space="0" w:color="auto"/>
              <w:bottom w:val="single" w:sz="4" w:space="0" w:color="auto"/>
            </w:tcBorders>
            <w:vAlign w:val="center"/>
          </w:tcPr>
          <w:p w14:paraId="4CD67A55" w14:textId="57F6D149" w:rsidR="008A44A2" w:rsidRPr="00BE2238" w:rsidRDefault="008A44A2" w:rsidP="008A44A2">
            <w:pPr>
              <w:rPr>
                <w:rFonts w:ascii="Arial" w:hAnsi="Arial"/>
                <w:b/>
                <w:bCs/>
                <w:sz w:val="20"/>
                <w:szCs w:val="20"/>
              </w:rPr>
            </w:pPr>
            <w:r>
              <w:rPr>
                <w:rFonts w:ascii="Arial" w:hAnsi="Arial" w:cs="Arial"/>
                <w:color w:val="000000"/>
                <w:sz w:val="20"/>
                <w:szCs w:val="20"/>
              </w:rPr>
              <w:t>Share of digital payments in retail transactions</w:t>
            </w:r>
          </w:p>
        </w:tc>
        <w:tc>
          <w:tcPr>
            <w:tcW w:w="1863" w:type="dxa"/>
            <w:tcBorders>
              <w:top w:val="single" w:sz="4" w:space="0" w:color="auto"/>
              <w:bottom w:val="single" w:sz="4" w:space="0" w:color="auto"/>
            </w:tcBorders>
            <w:vAlign w:val="center"/>
          </w:tcPr>
          <w:p w14:paraId="5B1FF754" w14:textId="367E0BCE" w:rsidR="008A44A2" w:rsidRPr="00BE2238" w:rsidRDefault="008A44A2" w:rsidP="008A44A2">
            <w:pPr>
              <w:rPr>
                <w:rFonts w:ascii="Arial" w:hAnsi="Arial"/>
                <w:b/>
                <w:bCs/>
                <w:sz w:val="20"/>
                <w:szCs w:val="20"/>
              </w:rPr>
            </w:pPr>
            <w:r>
              <w:rPr>
                <w:rFonts w:ascii="Arial" w:hAnsi="Arial" w:cs="Arial"/>
                <w:color w:val="000000"/>
                <w:sz w:val="20"/>
                <w:szCs w:val="20"/>
              </w:rPr>
              <w:t>Below 50%</w:t>
            </w:r>
          </w:p>
        </w:tc>
        <w:tc>
          <w:tcPr>
            <w:tcW w:w="1611" w:type="dxa"/>
            <w:tcBorders>
              <w:top w:val="single" w:sz="4" w:space="0" w:color="auto"/>
              <w:bottom w:val="single" w:sz="4" w:space="0" w:color="auto"/>
            </w:tcBorders>
            <w:vAlign w:val="center"/>
          </w:tcPr>
          <w:p w14:paraId="7460334B" w14:textId="02A222B5" w:rsidR="008A44A2" w:rsidRDefault="008A44A2" w:rsidP="008A44A2">
            <w:pPr>
              <w:rPr>
                <w:rFonts w:ascii="Arial" w:hAnsi="Arial" w:cs="Arial"/>
                <w:color w:val="000000"/>
                <w:sz w:val="20"/>
                <w:szCs w:val="20"/>
              </w:rPr>
            </w:pPr>
            <w:r>
              <w:rPr>
                <w:rFonts w:ascii="Arial" w:hAnsi="Arial" w:cs="Arial"/>
                <w:color w:val="000000"/>
                <w:sz w:val="20"/>
                <w:szCs w:val="20"/>
              </w:rPr>
              <w:t>~52.8%</w:t>
            </w:r>
          </w:p>
        </w:tc>
        <w:tc>
          <w:tcPr>
            <w:tcW w:w="1573" w:type="dxa"/>
            <w:tcBorders>
              <w:top w:val="single" w:sz="4" w:space="0" w:color="auto"/>
              <w:bottom w:val="single" w:sz="4" w:space="0" w:color="auto"/>
            </w:tcBorders>
            <w:vAlign w:val="center"/>
          </w:tcPr>
          <w:p w14:paraId="3D4559CE" w14:textId="211A1E79" w:rsidR="008A44A2" w:rsidRDefault="008A44A2" w:rsidP="008A44A2">
            <w:pPr>
              <w:rPr>
                <w:rFonts w:ascii="Arial" w:hAnsi="Arial" w:cs="Arial"/>
                <w:color w:val="000000"/>
                <w:sz w:val="20"/>
                <w:szCs w:val="20"/>
              </w:rPr>
            </w:pPr>
            <w:r>
              <w:rPr>
                <w:rFonts w:ascii="Arial" w:hAnsi="Arial" w:cs="Arial"/>
                <w:color w:val="000000"/>
                <w:sz w:val="20"/>
                <w:szCs w:val="20"/>
              </w:rPr>
              <w:t>57.4%</w:t>
            </w:r>
          </w:p>
        </w:tc>
      </w:tr>
      <w:tr w:rsidR="008A44A2" w:rsidRPr="00BE2238" w14:paraId="476CA055" w14:textId="2892FC25" w:rsidTr="008A44A2">
        <w:trPr>
          <w:jc w:val="center"/>
        </w:trPr>
        <w:tc>
          <w:tcPr>
            <w:tcW w:w="2783" w:type="dxa"/>
            <w:tcBorders>
              <w:top w:val="single" w:sz="4" w:space="0" w:color="auto"/>
              <w:bottom w:val="single" w:sz="4" w:space="0" w:color="auto"/>
            </w:tcBorders>
            <w:vAlign w:val="center"/>
          </w:tcPr>
          <w:p w14:paraId="7E659EBB" w14:textId="309C39BE" w:rsidR="008A44A2" w:rsidRPr="00BE2238" w:rsidRDefault="008A44A2" w:rsidP="008A44A2">
            <w:pPr>
              <w:rPr>
                <w:rFonts w:ascii="Arial" w:hAnsi="Arial" w:cs="Arial"/>
                <w:sz w:val="20"/>
                <w:szCs w:val="20"/>
              </w:rPr>
            </w:pPr>
            <w:r>
              <w:rPr>
                <w:rFonts w:ascii="Arial" w:hAnsi="Arial" w:cs="Arial"/>
                <w:color w:val="000000"/>
                <w:sz w:val="20"/>
                <w:szCs w:val="20"/>
              </w:rPr>
              <w:t>Share of digital payments by value</w:t>
            </w:r>
          </w:p>
        </w:tc>
        <w:tc>
          <w:tcPr>
            <w:tcW w:w="1863" w:type="dxa"/>
            <w:tcBorders>
              <w:top w:val="single" w:sz="4" w:space="0" w:color="auto"/>
              <w:bottom w:val="single" w:sz="4" w:space="0" w:color="auto"/>
            </w:tcBorders>
            <w:vAlign w:val="center"/>
          </w:tcPr>
          <w:p w14:paraId="1B8761E0" w14:textId="2071509D" w:rsidR="008A44A2" w:rsidRPr="00BE2238" w:rsidRDefault="008A44A2" w:rsidP="008A44A2">
            <w:pPr>
              <w:rPr>
                <w:rFonts w:ascii="Arial" w:hAnsi="Arial" w:cs="Arial"/>
                <w:sz w:val="20"/>
                <w:szCs w:val="20"/>
              </w:rPr>
            </w:pPr>
            <w:r>
              <w:rPr>
                <w:rFonts w:ascii="Arial" w:hAnsi="Arial" w:cs="Arial"/>
                <w:color w:val="000000"/>
                <w:sz w:val="20"/>
                <w:szCs w:val="20"/>
              </w:rPr>
              <w:t>Not officially reported</w:t>
            </w:r>
          </w:p>
        </w:tc>
        <w:tc>
          <w:tcPr>
            <w:tcW w:w="1611" w:type="dxa"/>
            <w:tcBorders>
              <w:top w:val="single" w:sz="4" w:space="0" w:color="auto"/>
              <w:bottom w:val="single" w:sz="4" w:space="0" w:color="auto"/>
            </w:tcBorders>
            <w:vAlign w:val="center"/>
          </w:tcPr>
          <w:p w14:paraId="33C27E1B" w14:textId="2A23C74C" w:rsidR="008A44A2" w:rsidRDefault="008A44A2" w:rsidP="008A44A2">
            <w:pPr>
              <w:rPr>
                <w:rFonts w:ascii="Arial" w:hAnsi="Arial" w:cs="Arial"/>
                <w:color w:val="000000"/>
                <w:sz w:val="20"/>
                <w:szCs w:val="20"/>
              </w:rPr>
            </w:pPr>
            <w:r>
              <w:rPr>
                <w:rFonts w:ascii="Arial" w:hAnsi="Arial" w:cs="Arial"/>
                <w:color w:val="000000"/>
                <w:sz w:val="20"/>
                <w:szCs w:val="20"/>
              </w:rPr>
              <w:t>~55%</w:t>
            </w:r>
          </w:p>
        </w:tc>
        <w:tc>
          <w:tcPr>
            <w:tcW w:w="1573" w:type="dxa"/>
            <w:tcBorders>
              <w:top w:val="single" w:sz="4" w:space="0" w:color="auto"/>
              <w:bottom w:val="single" w:sz="4" w:space="0" w:color="auto"/>
            </w:tcBorders>
            <w:vAlign w:val="center"/>
          </w:tcPr>
          <w:p w14:paraId="29DFD5C9" w14:textId="39A170EC" w:rsidR="008A44A2" w:rsidRDefault="008A44A2" w:rsidP="008A44A2">
            <w:pPr>
              <w:rPr>
                <w:rFonts w:ascii="Arial" w:hAnsi="Arial" w:cs="Arial"/>
                <w:color w:val="000000"/>
                <w:sz w:val="20"/>
                <w:szCs w:val="20"/>
              </w:rPr>
            </w:pPr>
            <w:r>
              <w:rPr>
                <w:rFonts w:ascii="Arial" w:hAnsi="Arial" w:cs="Arial"/>
                <w:color w:val="000000"/>
                <w:sz w:val="20"/>
                <w:szCs w:val="20"/>
              </w:rPr>
              <w:t>59%</w:t>
            </w:r>
          </w:p>
        </w:tc>
      </w:tr>
      <w:tr w:rsidR="008A44A2" w:rsidRPr="00BE2238" w14:paraId="17FD3281" w14:textId="0B19384B" w:rsidTr="008A44A2">
        <w:trPr>
          <w:jc w:val="center"/>
        </w:trPr>
        <w:tc>
          <w:tcPr>
            <w:tcW w:w="2783" w:type="dxa"/>
            <w:tcBorders>
              <w:top w:val="single" w:sz="4" w:space="0" w:color="auto"/>
              <w:bottom w:val="single" w:sz="4" w:space="0" w:color="auto"/>
            </w:tcBorders>
            <w:vAlign w:val="center"/>
          </w:tcPr>
          <w:p w14:paraId="2D4FC482" w14:textId="21D4B480" w:rsidR="008A44A2" w:rsidRPr="00BE2238" w:rsidRDefault="008A44A2" w:rsidP="008A44A2">
            <w:pPr>
              <w:rPr>
                <w:rFonts w:ascii="Arial" w:hAnsi="Arial" w:cs="Arial"/>
                <w:sz w:val="20"/>
                <w:szCs w:val="20"/>
              </w:rPr>
            </w:pPr>
            <w:r>
              <w:rPr>
                <w:rFonts w:ascii="Arial" w:hAnsi="Arial" w:cs="Arial"/>
                <w:color w:val="000000"/>
                <w:sz w:val="20"/>
                <w:szCs w:val="20"/>
              </w:rPr>
              <w:t>BSP digital payment policy focus</w:t>
            </w:r>
          </w:p>
        </w:tc>
        <w:tc>
          <w:tcPr>
            <w:tcW w:w="1863" w:type="dxa"/>
            <w:tcBorders>
              <w:top w:val="single" w:sz="4" w:space="0" w:color="auto"/>
              <w:bottom w:val="single" w:sz="4" w:space="0" w:color="auto"/>
            </w:tcBorders>
            <w:vAlign w:val="center"/>
          </w:tcPr>
          <w:p w14:paraId="68326AB8" w14:textId="19B2DB39" w:rsidR="008A44A2" w:rsidRPr="00BE2238" w:rsidRDefault="008A44A2" w:rsidP="008A44A2">
            <w:pPr>
              <w:rPr>
                <w:rFonts w:ascii="Arial" w:hAnsi="Arial" w:cs="Arial"/>
                <w:sz w:val="20"/>
                <w:szCs w:val="20"/>
              </w:rPr>
            </w:pPr>
            <w:r>
              <w:rPr>
                <w:rFonts w:ascii="Arial" w:hAnsi="Arial" w:cs="Arial"/>
                <w:color w:val="000000"/>
                <w:sz w:val="20"/>
                <w:szCs w:val="20"/>
              </w:rPr>
              <w:t>Roadmap initiation</w:t>
            </w:r>
          </w:p>
        </w:tc>
        <w:tc>
          <w:tcPr>
            <w:tcW w:w="1611" w:type="dxa"/>
            <w:tcBorders>
              <w:top w:val="single" w:sz="4" w:space="0" w:color="auto"/>
              <w:bottom w:val="single" w:sz="4" w:space="0" w:color="auto"/>
            </w:tcBorders>
            <w:vAlign w:val="center"/>
          </w:tcPr>
          <w:p w14:paraId="7134F739" w14:textId="3AF92942" w:rsidR="008A44A2" w:rsidRDefault="008A44A2" w:rsidP="008A44A2">
            <w:pPr>
              <w:rPr>
                <w:rFonts w:ascii="Arial" w:hAnsi="Arial" w:cs="Arial"/>
                <w:color w:val="000000"/>
                <w:sz w:val="20"/>
                <w:szCs w:val="20"/>
              </w:rPr>
            </w:pPr>
            <w:r>
              <w:rPr>
                <w:rFonts w:ascii="Arial" w:hAnsi="Arial" w:cs="Arial"/>
                <w:color w:val="000000"/>
                <w:sz w:val="20"/>
                <w:szCs w:val="20"/>
              </w:rPr>
              <w:t>Expansion</w:t>
            </w:r>
          </w:p>
        </w:tc>
        <w:tc>
          <w:tcPr>
            <w:tcW w:w="1573" w:type="dxa"/>
            <w:tcBorders>
              <w:top w:val="single" w:sz="4" w:space="0" w:color="auto"/>
              <w:bottom w:val="single" w:sz="4" w:space="0" w:color="auto"/>
            </w:tcBorders>
            <w:vAlign w:val="center"/>
          </w:tcPr>
          <w:p w14:paraId="61915888" w14:textId="03B0A42B" w:rsidR="008A44A2" w:rsidRDefault="008A44A2" w:rsidP="008A44A2">
            <w:pPr>
              <w:rPr>
                <w:rFonts w:ascii="Arial" w:hAnsi="Arial" w:cs="Arial"/>
                <w:color w:val="000000"/>
                <w:sz w:val="20"/>
                <w:szCs w:val="20"/>
              </w:rPr>
            </w:pPr>
            <w:r>
              <w:rPr>
                <w:rFonts w:ascii="Arial" w:hAnsi="Arial" w:cs="Arial"/>
                <w:color w:val="000000"/>
                <w:sz w:val="20"/>
                <w:szCs w:val="20"/>
              </w:rPr>
              <w:t>Sustained implementation</w:t>
            </w:r>
          </w:p>
        </w:tc>
      </w:tr>
    </w:tbl>
    <w:p w14:paraId="11C70E18" w14:textId="77777777" w:rsidR="001B1FD9" w:rsidRDefault="001B1FD9" w:rsidP="00FE7419">
      <w:pPr>
        <w:ind w:right="18"/>
        <w:rPr>
          <w:rFonts w:ascii="Arial" w:hAnsi="Arial" w:cs="Arial"/>
          <w:color w:val="000000"/>
          <w:sz w:val="20"/>
          <w:szCs w:val="20"/>
        </w:rPr>
      </w:pPr>
    </w:p>
    <w:p w14:paraId="3B38AED8" w14:textId="126D9A59" w:rsidR="00FE7419" w:rsidRPr="00FE7419" w:rsidRDefault="00FE7419" w:rsidP="00FE7419">
      <w:pPr>
        <w:ind w:right="18"/>
      </w:pPr>
      <w:r w:rsidRPr="00FE7419">
        <w:rPr>
          <w:rFonts w:ascii="Arial" w:hAnsi="Arial" w:cs="Arial"/>
          <w:color w:val="000000"/>
          <w:sz w:val="20"/>
          <w:szCs w:val="20"/>
        </w:rPr>
        <w:lastRenderedPageBreak/>
        <w:t>These findings show that the Philippines is moving toward a cash-lite payment system, with digital payments now the main way people make retail transactions.</w:t>
      </w:r>
    </w:p>
    <w:p w14:paraId="089871C2" w14:textId="77777777" w:rsidR="00FE7419" w:rsidRPr="00FE7419" w:rsidRDefault="00FE7419" w:rsidP="00FE7419">
      <w:pPr>
        <w:ind w:right="18"/>
      </w:pPr>
    </w:p>
    <w:p w14:paraId="5B50D86C" w14:textId="77777777" w:rsidR="00FE7419" w:rsidRPr="00FE7419" w:rsidRDefault="00FE7419" w:rsidP="00FE7419">
      <w:pPr>
        <w:ind w:right="18"/>
        <w:outlineLvl w:val="1"/>
        <w:rPr>
          <w:b/>
          <w:bCs/>
          <w:sz w:val="36"/>
          <w:szCs w:val="36"/>
        </w:rPr>
      </w:pPr>
      <w:r w:rsidRPr="00FE7419">
        <w:rPr>
          <w:rFonts w:ascii="Arial" w:hAnsi="Arial" w:cs="Arial"/>
          <w:b/>
          <w:bCs/>
          <w:color w:val="000000"/>
          <w:sz w:val="22"/>
          <w:szCs w:val="22"/>
        </w:rPr>
        <w:t>3.3 Digital Readiness and Enabling Conditions</w:t>
      </w:r>
    </w:p>
    <w:p w14:paraId="478B82DF" w14:textId="77777777" w:rsidR="00FE7419" w:rsidRPr="00FE7419" w:rsidRDefault="00FE7419" w:rsidP="00FE7419">
      <w:pPr>
        <w:ind w:right="18"/>
        <w:rPr>
          <w:rFonts w:ascii="Arial" w:hAnsi="Arial" w:cs="Arial"/>
          <w:sz w:val="22"/>
          <w:szCs w:val="22"/>
        </w:rPr>
      </w:pPr>
    </w:p>
    <w:p w14:paraId="4E288478" w14:textId="77777777" w:rsidR="00FE7419" w:rsidRPr="00FE7419" w:rsidRDefault="00FE7419" w:rsidP="00FE7419">
      <w:pPr>
        <w:ind w:right="18"/>
      </w:pPr>
      <w:r w:rsidRPr="00FE7419">
        <w:rPr>
          <w:rFonts w:ascii="Arial" w:hAnsi="Arial" w:cs="Arial"/>
          <w:color w:val="000000"/>
          <w:sz w:val="20"/>
          <w:szCs w:val="20"/>
        </w:rPr>
        <w:t>National indicators of digital readiness help explain the growth of digital payments. Data from the Philippine Statistics Authority (PSA) and the National Information and Communications Technology Household Survey (NICTHS) show that household internet access and individual internet use have improved in recent years, showing wider digital connectivity across the country (Philippine Statistics Authority &amp; Department of Information and Communications Technology, 2025).</w:t>
      </w:r>
    </w:p>
    <w:p w14:paraId="036ED92C" w14:textId="77777777" w:rsidR="00FE7419" w:rsidRPr="00FE7419" w:rsidRDefault="00FE7419" w:rsidP="00FE7419">
      <w:pPr>
        <w:ind w:right="18"/>
      </w:pPr>
      <w:r w:rsidRPr="00FE7419">
        <w:rPr>
          <w:rFonts w:ascii="Arial" w:hAnsi="Arial" w:cs="Arial"/>
          <w:color w:val="000000"/>
          <w:sz w:val="20"/>
          <w:szCs w:val="20"/>
        </w:rPr>
        <w:t>While this study did not analyze digital readiness indicators as outcome variables, better access to digital infrastructure helps people use digital financial services. This creates the right conditions for more people to adopt electronic payment systems.</w:t>
      </w:r>
    </w:p>
    <w:p w14:paraId="4E8E1DD6" w14:textId="77777777" w:rsidR="00FE7419" w:rsidRPr="00FE7419" w:rsidRDefault="00FE7419" w:rsidP="00FE7419">
      <w:pPr>
        <w:ind w:right="18"/>
        <w:rPr>
          <w:rFonts w:ascii="Arial" w:hAnsi="Arial" w:cs="Arial"/>
          <w:sz w:val="20"/>
          <w:szCs w:val="20"/>
        </w:rPr>
      </w:pPr>
    </w:p>
    <w:p w14:paraId="3D1B8511" w14:textId="77777777" w:rsidR="00FE7419" w:rsidRPr="00FE7419" w:rsidRDefault="00FE7419" w:rsidP="00FE7419">
      <w:pPr>
        <w:ind w:right="18"/>
        <w:outlineLvl w:val="1"/>
        <w:rPr>
          <w:b/>
          <w:bCs/>
          <w:sz w:val="36"/>
          <w:szCs w:val="36"/>
        </w:rPr>
      </w:pPr>
      <w:r w:rsidRPr="00FE7419">
        <w:rPr>
          <w:rFonts w:ascii="Arial" w:hAnsi="Arial" w:cs="Arial"/>
          <w:b/>
          <w:bCs/>
          <w:color w:val="000000"/>
          <w:sz w:val="22"/>
          <w:szCs w:val="22"/>
        </w:rPr>
        <w:t>3.4 Institutional Payment Practices: Local Northern Mindanao University</w:t>
      </w:r>
    </w:p>
    <w:p w14:paraId="63CCAD59" w14:textId="77777777" w:rsidR="00FE7419" w:rsidRPr="00FE7419" w:rsidRDefault="00FE7419" w:rsidP="00FE7419">
      <w:pPr>
        <w:ind w:right="18"/>
        <w:rPr>
          <w:sz w:val="20"/>
          <w:szCs w:val="20"/>
        </w:rPr>
      </w:pPr>
    </w:p>
    <w:p w14:paraId="3E2316CF" w14:textId="77777777" w:rsidR="00FE7419" w:rsidRDefault="00FE7419" w:rsidP="00FE7419">
      <w:pPr>
        <w:ind w:right="18"/>
        <w:rPr>
          <w:rFonts w:ascii="Arial" w:hAnsi="Arial" w:cs="Arial"/>
          <w:color w:val="000000"/>
          <w:sz w:val="20"/>
          <w:szCs w:val="20"/>
        </w:rPr>
      </w:pPr>
      <w:r w:rsidRPr="00FE7419">
        <w:rPr>
          <w:rFonts w:ascii="Arial" w:hAnsi="Arial" w:cs="Arial"/>
          <w:color w:val="000000"/>
          <w:sz w:val="20"/>
          <w:szCs w:val="20"/>
        </w:rPr>
        <w:t>Documents from the local university show that since 2020, they have used several digital payment options for tuition and administrative fees. These include bank-based electronic payments and other digital channels that follow national payment systems (Xavier University - Ateneo de Cagayan, n.d.). Although detailed financial data are not publicly available, these practices align with national digital payment trends and the BSP's policy direction.</w:t>
      </w:r>
    </w:p>
    <w:p w14:paraId="4C60BBF2" w14:textId="77777777" w:rsidR="00FE7419" w:rsidRDefault="00FE7419" w:rsidP="00FE7419">
      <w:pPr>
        <w:ind w:right="18"/>
        <w:rPr>
          <w:rFonts w:ascii="Arial" w:hAnsi="Arial" w:cs="Arial"/>
          <w:color w:val="000000"/>
          <w:sz w:val="20"/>
          <w:szCs w:val="20"/>
        </w:rPr>
      </w:pPr>
    </w:p>
    <w:p w14:paraId="03A1E041" w14:textId="77777777" w:rsidR="00FE7419" w:rsidRPr="00FE7419" w:rsidRDefault="00FE7419" w:rsidP="00FE7419">
      <w:pPr>
        <w:pStyle w:val="Heading2"/>
        <w:spacing w:before="0"/>
        <w:rPr>
          <w:b/>
          <w:bCs/>
          <w:sz w:val="36"/>
          <w:szCs w:val="36"/>
        </w:rPr>
      </w:pPr>
      <w:r w:rsidRPr="00FE7419">
        <w:rPr>
          <w:rFonts w:ascii="Arial" w:hAnsi="Arial" w:cs="Arial"/>
          <w:b/>
          <w:bCs/>
          <w:color w:val="000000"/>
          <w:sz w:val="22"/>
          <w:szCs w:val="22"/>
        </w:rPr>
        <w:t>4. DISCUSSION</w:t>
      </w:r>
    </w:p>
    <w:p w14:paraId="7424CEC3" w14:textId="77777777" w:rsidR="00FE7419" w:rsidRPr="00FE7419" w:rsidRDefault="00FE7419" w:rsidP="00FE7419">
      <w:pPr>
        <w:rPr>
          <w:b/>
          <w:bCs/>
        </w:rPr>
      </w:pPr>
    </w:p>
    <w:p w14:paraId="431D1509" w14:textId="77777777" w:rsidR="00FE7419" w:rsidRPr="00FE7419" w:rsidRDefault="00FE7419" w:rsidP="00FE7419">
      <w:pPr>
        <w:pStyle w:val="Heading3"/>
        <w:spacing w:before="0"/>
        <w:rPr>
          <w:b/>
          <w:bCs/>
        </w:rPr>
      </w:pPr>
      <w:r w:rsidRPr="00FE7419">
        <w:rPr>
          <w:rFonts w:ascii="Arial" w:hAnsi="Arial" w:cs="Arial"/>
          <w:b/>
          <w:bCs/>
          <w:color w:val="000000"/>
          <w:sz w:val="22"/>
          <w:szCs w:val="22"/>
        </w:rPr>
        <w:t>4.1 Interpreting Trends through Payment Choice Theory</w:t>
      </w:r>
    </w:p>
    <w:p w14:paraId="4DBCE065" w14:textId="77777777" w:rsidR="00FE7419" w:rsidRPr="00FE7419" w:rsidRDefault="00FE7419" w:rsidP="00FE7419">
      <w:pPr>
        <w:rPr>
          <w:b/>
          <w:bCs/>
        </w:rPr>
      </w:pPr>
    </w:p>
    <w:p w14:paraId="61F972A2" w14:textId="77777777" w:rsidR="00FE7419" w:rsidRDefault="00FE7419" w:rsidP="00FE7419">
      <w:pPr>
        <w:pStyle w:val="NormalWeb"/>
        <w:spacing w:before="0" w:beforeAutospacing="0" w:after="0" w:afterAutospacing="0"/>
      </w:pPr>
      <w:r>
        <w:rPr>
          <w:rFonts w:ascii="Arial" w:hAnsi="Arial" w:cs="Arial"/>
          <w:color w:val="000000"/>
          <w:sz w:val="20"/>
          <w:szCs w:val="20"/>
        </w:rPr>
        <w:t>The global and national trends described above support Payment Choice Theory, which suggests that people and institutions prefer payment methods that are more convenient, accessible, and cost less to use. The strong growth in digital payments, both worldwide and in the Philippines, shows that digital options are now seen as offering these benefits over cash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39AF98ED" w14:textId="77777777" w:rsidR="00FE7419" w:rsidRDefault="00FE7419" w:rsidP="00FE7419">
      <w:pPr>
        <w:pStyle w:val="NormalWeb"/>
        <w:spacing w:before="0" w:beforeAutospacing="0" w:after="0" w:afterAutospacing="0"/>
      </w:pPr>
      <w:r>
        <w:rPr>
          <w:rFonts w:ascii="Arial" w:hAnsi="Arial" w:cs="Arial"/>
          <w:color w:val="000000"/>
          <w:sz w:val="20"/>
          <w:szCs w:val="20"/>
        </w:rPr>
        <w:t>The rise in digital payments also matches global moves toward digital financial systems. As digital connectivity and payment infrastructure expand, more people can take part (International Monetary Fund, 2025; Noris &amp; Singer, 2025). Together, these changes on both the demand and supply sides make it easier for people to switch from cash to electronic payments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International Monetary Fund, 2025).</w:t>
      </w:r>
    </w:p>
    <w:p w14:paraId="208AA167" w14:textId="77777777" w:rsidR="00FE7419" w:rsidRPr="00FE7419" w:rsidRDefault="00FE7419" w:rsidP="00FE7419">
      <w:pPr>
        <w:ind w:right="18"/>
        <w:rPr>
          <w:rFonts w:ascii="Arial" w:hAnsi="Arial" w:cs="Arial"/>
          <w:sz w:val="20"/>
          <w:szCs w:val="20"/>
        </w:rPr>
      </w:pPr>
    </w:p>
    <w:p w14:paraId="015EB614" w14:textId="77777777" w:rsidR="00FE7419" w:rsidRPr="00FE7419" w:rsidRDefault="00FE7419" w:rsidP="00FE7419">
      <w:pPr>
        <w:pStyle w:val="Heading2"/>
        <w:spacing w:before="0"/>
        <w:ind w:right="18"/>
        <w:rPr>
          <w:b/>
          <w:bCs/>
        </w:rPr>
      </w:pPr>
      <w:r w:rsidRPr="00FE7419">
        <w:rPr>
          <w:rFonts w:ascii="Arial" w:hAnsi="Arial" w:cs="Arial"/>
          <w:b/>
          <w:bCs/>
          <w:color w:val="000000"/>
          <w:sz w:val="22"/>
          <w:szCs w:val="22"/>
        </w:rPr>
        <w:t>4.2 Financial and Managerial Implications for Higher Education Institutions</w:t>
      </w:r>
    </w:p>
    <w:p w14:paraId="297BBF96" w14:textId="77777777" w:rsidR="00FE7419" w:rsidRPr="00FE7419" w:rsidRDefault="00FE7419" w:rsidP="00FE7419">
      <w:pPr>
        <w:ind w:right="18"/>
        <w:rPr>
          <w:sz w:val="22"/>
          <w:szCs w:val="22"/>
        </w:rPr>
      </w:pPr>
    </w:p>
    <w:p w14:paraId="0B719851"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For local universities, moving to digital payments brings greater efficiency by reducing cash handling and speeding up reconciliation. It also makes payments more accessible for students by offering more options. National reports and policy discussions highlight these benefits, noting the rise in digital transactions and the policies that support their use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When institutions adopt digital payment channels, it shows they are keeping up with national payment infrastructure and responding to what stakeholders need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International Monetary Fund, 2025).</w:t>
      </w:r>
    </w:p>
    <w:p w14:paraId="1FED0A98" w14:textId="77777777" w:rsidR="00FE7419" w:rsidRDefault="00FE7419" w:rsidP="00FE7419">
      <w:pPr>
        <w:ind w:right="18"/>
      </w:pPr>
    </w:p>
    <w:p w14:paraId="63BC3D06" w14:textId="77777777" w:rsidR="00FE7419" w:rsidRPr="00FE7419" w:rsidRDefault="00FE7419" w:rsidP="00FE7419">
      <w:pPr>
        <w:pStyle w:val="Heading2"/>
        <w:spacing w:before="0"/>
        <w:ind w:right="18"/>
        <w:rPr>
          <w:rFonts w:ascii="Arial" w:hAnsi="Arial" w:cs="Arial"/>
          <w:b/>
          <w:bCs/>
          <w:color w:val="000000"/>
          <w:sz w:val="22"/>
          <w:szCs w:val="22"/>
        </w:rPr>
      </w:pPr>
      <w:r w:rsidRPr="00FE7419">
        <w:rPr>
          <w:rFonts w:ascii="Arial" w:hAnsi="Arial" w:cs="Arial"/>
          <w:b/>
          <w:bCs/>
          <w:color w:val="000000"/>
          <w:sz w:val="22"/>
          <w:szCs w:val="22"/>
        </w:rPr>
        <w:t>4.3 Digital Payment Adoption in the Local Northern Mindanao University</w:t>
      </w:r>
    </w:p>
    <w:p w14:paraId="35010ADA" w14:textId="77777777" w:rsidR="00FE7419" w:rsidRPr="00FE7419" w:rsidRDefault="00FE7419" w:rsidP="00FE7419">
      <w:pPr>
        <w:ind w:right="18"/>
        <w:rPr>
          <w:sz w:val="22"/>
          <w:szCs w:val="22"/>
        </w:rPr>
      </w:pPr>
    </w:p>
    <w:p w14:paraId="477E0288"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 xml:space="preserve">Locally, the findings show how a private university in Northern Mindanao puts national digital payment initiatives into practice within its own regional and institutional setting. Across the </w:t>
      </w:r>
      <w:r>
        <w:rPr>
          <w:rFonts w:ascii="Arial" w:hAnsi="Arial" w:cs="Arial"/>
          <w:color w:val="000000"/>
          <w:sz w:val="20"/>
          <w:szCs w:val="20"/>
        </w:rPr>
        <w:lastRenderedPageBreak/>
        <w:t>Philippines, digital payments are becoming more common. Central bank data shows that in 2024, digital payments made up 57.4% of all retail transactions and 59% of their value. This national trend creates a supportive environment for institutions to adopt digital channels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coingeek.com, 2025).</w:t>
      </w:r>
    </w:p>
    <w:p w14:paraId="4833FA7D"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In Northern Mindanao, digital readiness is improving. Household internet access grew from about 6.5% to nearly 55% by 2024, and over 60% of individuals now use the internet. This shows that digital connectivity in the region is getting better (</w:t>
      </w:r>
      <w:proofErr w:type="spellStart"/>
      <w:r>
        <w:rPr>
          <w:rFonts w:ascii="Arial" w:hAnsi="Arial" w:cs="Arial"/>
          <w:i/>
          <w:iCs/>
          <w:color w:val="000000"/>
          <w:sz w:val="20"/>
          <w:szCs w:val="20"/>
        </w:rPr>
        <w:t>OpenGov</w:t>
      </w:r>
      <w:proofErr w:type="spellEnd"/>
      <w:r>
        <w:rPr>
          <w:rFonts w:ascii="Arial" w:hAnsi="Arial" w:cs="Arial"/>
          <w:i/>
          <w:iCs/>
          <w:color w:val="000000"/>
          <w:sz w:val="20"/>
          <w:szCs w:val="20"/>
        </w:rPr>
        <w:t xml:space="preserve"> Asia</w:t>
      </w:r>
      <w:r>
        <w:rPr>
          <w:rFonts w:ascii="Arial" w:hAnsi="Arial" w:cs="Arial"/>
          <w:color w:val="000000"/>
          <w:sz w:val="20"/>
          <w:szCs w:val="20"/>
        </w:rPr>
        <w:t>, 2025). These improvements help explain how institutions outside big cities can use digital payment technologies, even if challenges like uneven digital literacy still exist.</w:t>
      </w:r>
    </w:p>
    <w:p w14:paraId="0D1D7A82"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The university uses web-based billing systems, bank transfers, and other digital payment channels. This shows that it has brought national payment technologies into its administrative processes. It also suggests that higher education institutions outside large cities can adopt digital payments, as long as there is national payment infrastructure and supportive policies in place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3EF192AF"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 xml:space="preserve">From a management perspective, adopting digital payment channels at a local university is a practical way to meet both efficiency and stakeholder needs. Digital payments help reduce cash transactions, make fee collection easier, and give students and families more flexible options that match national payment habits. These changes at the university reflect wider national trends and better regional connectivity, both of which support the move toward electronic payments (Philippine Statistics Authority &amp; Department of Information and Communications Technology, 2025;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54952C06"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In summary, this local example supports the study’s main point that national digital payment reforms are put into practice at institutions in ways that fit their specific context. The case from Northern Mindanao shows that universities outside big cities can join the national digital payment system while dealing with their own regional challenges and opportunities.</w:t>
      </w:r>
    </w:p>
    <w:p w14:paraId="79C6C3F5" w14:textId="77777777" w:rsidR="00FE7419" w:rsidRPr="00FE7419" w:rsidRDefault="00FE7419" w:rsidP="00FE7419">
      <w:pPr>
        <w:ind w:right="18"/>
        <w:rPr>
          <w:rFonts w:ascii="Arial" w:hAnsi="Arial" w:cs="Arial"/>
          <w:sz w:val="20"/>
          <w:szCs w:val="20"/>
        </w:rPr>
      </w:pPr>
    </w:p>
    <w:p w14:paraId="59588FC7" w14:textId="77777777" w:rsidR="00FE7419" w:rsidRPr="00FE7419" w:rsidRDefault="00FE7419" w:rsidP="00FE7419">
      <w:pPr>
        <w:pStyle w:val="Heading2"/>
        <w:spacing w:before="0"/>
        <w:ind w:right="18"/>
        <w:rPr>
          <w:b/>
          <w:bCs/>
        </w:rPr>
      </w:pPr>
      <w:r w:rsidRPr="00FE7419">
        <w:rPr>
          <w:rFonts w:ascii="Arial" w:hAnsi="Arial" w:cs="Arial"/>
          <w:b/>
          <w:bCs/>
          <w:color w:val="000000"/>
          <w:sz w:val="22"/>
          <w:szCs w:val="22"/>
        </w:rPr>
        <w:t>4.4 Digital Payments and Financial Inclusion</w:t>
      </w:r>
    </w:p>
    <w:p w14:paraId="3590B636" w14:textId="77777777" w:rsidR="00FE7419" w:rsidRPr="00FE7419" w:rsidRDefault="00FE7419" w:rsidP="00FE7419">
      <w:pPr>
        <w:ind w:right="18"/>
        <w:rPr>
          <w:rFonts w:ascii="Arial" w:hAnsi="Arial" w:cs="Arial"/>
          <w:sz w:val="22"/>
          <w:szCs w:val="22"/>
        </w:rPr>
      </w:pPr>
    </w:p>
    <w:p w14:paraId="0BAB0532"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The growth of digital payments in the Philippines shows progress in financial inclusion. Reports from the BSP highlight more digital retail transactions, and IMF FAS data points to more access points and services. These trends suggest better access to and use of formal financial services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International Monetary Fund, 2025). National efforts to standardize and expand QR payments (QR Ph) are also helping reduce cash use and encourage more people, especially small merchants and individuals, to join formal payment systems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2023).</w:t>
      </w:r>
    </w:p>
    <w:p w14:paraId="3AF2FEE5"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Better digital connectivity, as seen in early results from the 2024 National Information and Communications Technology Household Survey (NICTHS), helps make financial inclusion possible by giving households and individuals more ability to use digital financial services (Philippine Statistics Authority &amp; Department of Information and Communications Technology, 2025). Although this study does not directly measure outcomes like income, gender, or rural and urban differences, the evidence suggests that changes in payment systems are helping improve financial inclusion by making access and use easier.</w:t>
      </w:r>
    </w:p>
    <w:p w14:paraId="172965B8" w14:textId="663534F1" w:rsidR="00FE7419" w:rsidRPr="00FE7419" w:rsidRDefault="00FE7419" w:rsidP="00FE7419">
      <w:pPr>
        <w:ind w:right="18"/>
        <w:rPr>
          <w:sz w:val="20"/>
          <w:szCs w:val="20"/>
        </w:rPr>
      </w:pPr>
    </w:p>
    <w:p w14:paraId="2A30051C" w14:textId="77777777" w:rsidR="00FE7419" w:rsidRPr="00FE7419" w:rsidRDefault="00FE7419" w:rsidP="00FE7419">
      <w:pPr>
        <w:pStyle w:val="Heading2"/>
        <w:spacing w:before="0"/>
        <w:ind w:right="18"/>
        <w:rPr>
          <w:b/>
          <w:bCs/>
        </w:rPr>
      </w:pPr>
      <w:r w:rsidRPr="00FE7419">
        <w:rPr>
          <w:rFonts w:ascii="Arial" w:hAnsi="Arial" w:cs="Arial"/>
          <w:b/>
          <w:bCs/>
          <w:color w:val="000000"/>
          <w:sz w:val="22"/>
          <w:szCs w:val="22"/>
        </w:rPr>
        <w:t>4.5 Institutional Adaptation and Policy Alignment</w:t>
      </w:r>
    </w:p>
    <w:p w14:paraId="0F40BEAB" w14:textId="77777777" w:rsidR="00FE7419" w:rsidRPr="00FE7419" w:rsidRDefault="00FE7419" w:rsidP="00FE7419">
      <w:pPr>
        <w:ind w:right="18"/>
        <w:rPr>
          <w:rFonts w:ascii="Arial" w:hAnsi="Arial" w:cs="Arial"/>
          <w:sz w:val="22"/>
          <w:szCs w:val="22"/>
        </w:rPr>
      </w:pPr>
    </w:p>
    <w:p w14:paraId="41DF6224" w14:textId="77777777" w:rsidR="00FE7419" w:rsidRDefault="00FE7419" w:rsidP="00FE7419">
      <w:pPr>
        <w:pStyle w:val="NormalWeb"/>
        <w:spacing w:before="0" w:beforeAutospacing="0" w:after="0" w:afterAutospacing="0"/>
        <w:ind w:right="18"/>
        <w:rPr>
          <w:rFonts w:ascii="Arial" w:hAnsi="Arial" w:cs="Arial"/>
          <w:color w:val="000000"/>
          <w:sz w:val="20"/>
          <w:szCs w:val="20"/>
        </w:rPr>
      </w:pPr>
      <w:r>
        <w:rPr>
          <w:rFonts w:ascii="Arial" w:hAnsi="Arial" w:cs="Arial"/>
          <w:color w:val="000000"/>
          <w:sz w:val="20"/>
          <w:szCs w:val="20"/>
        </w:rPr>
        <w:t>According to Institutional Theory, universities like the local university in Northern Mindanao, Philippines, are expected to adjust their administrative and financial processes as the institutional field changes, including shifts in regulations, norms, and technology (DiMaggio &amp; Powell, 1983; Scott, 2020). The BSP’s policy roadmaps and public reports put pressure on higher education institutions and give them opportunities to use digital payment tools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2020; 2024). The local university’s use of web-based billing and several digital payment channels shows it is adapting to a policy environment that supports digitalization.</w:t>
      </w:r>
    </w:p>
    <w:p w14:paraId="0E9477FA" w14:textId="77777777" w:rsidR="00FE7419" w:rsidRDefault="00FE7419" w:rsidP="00FE7419">
      <w:pPr>
        <w:pStyle w:val="NormalWeb"/>
        <w:spacing w:before="0" w:beforeAutospacing="0" w:after="0" w:afterAutospacing="0"/>
        <w:ind w:right="18"/>
        <w:rPr>
          <w:rFonts w:ascii="Arial" w:hAnsi="Arial" w:cs="Arial"/>
          <w:color w:val="000000"/>
          <w:sz w:val="20"/>
          <w:szCs w:val="20"/>
        </w:rPr>
      </w:pPr>
    </w:p>
    <w:p w14:paraId="2F3ACB1F" w14:textId="77777777" w:rsidR="00FE7419" w:rsidRPr="00FE7419" w:rsidRDefault="00FE7419" w:rsidP="00FE7419">
      <w:pPr>
        <w:pStyle w:val="Heading2"/>
        <w:spacing w:before="0"/>
        <w:ind w:right="18"/>
        <w:rPr>
          <w:b/>
          <w:bCs/>
          <w:sz w:val="36"/>
          <w:szCs w:val="36"/>
        </w:rPr>
      </w:pPr>
      <w:r w:rsidRPr="00FE7419">
        <w:rPr>
          <w:rFonts w:ascii="Arial" w:hAnsi="Arial" w:cs="Arial"/>
          <w:b/>
          <w:bCs/>
          <w:color w:val="000000"/>
          <w:sz w:val="22"/>
          <w:szCs w:val="22"/>
        </w:rPr>
        <w:t>5. CONCLUSION</w:t>
      </w:r>
    </w:p>
    <w:p w14:paraId="7D8F3AF3" w14:textId="77777777" w:rsidR="00FE7419" w:rsidRDefault="00FE7419" w:rsidP="00FE7419">
      <w:pPr>
        <w:ind w:right="18"/>
      </w:pPr>
    </w:p>
    <w:p w14:paraId="7AD5828C"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This study used a descriptive, document-based method to look at how major changes in digital payments from 2020 to 2024 affected financial practices in Philippine higher education. Data from international sources show that digital payments became much more common after 2020, and national data confirm that by 2024, most retail transactions in the Philippines were digital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International Monetary Fund, 2025;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Other technology indicators also show that more households and individuals are getting connected, which helps support wider use of digital payments (Philippine Statistics Authority &amp; Department of Information and Communications Technology, 2025).</w:t>
      </w:r>
    </w:p>
    <w:p w14:paraId="6BFE21E1"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According to Payment Choice Theory, the move toward electronic payments matches the idea that people choose payment methods that are more convenient, cost-effective, and accessible (Humphrey et al., 2001). From a financial inclusion angle, more digital payment options mean better access to formal financial services, though this study does not measure how evenly these benefits are shared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 Looking at institutions, higher education organizations seem to update their payment processes in line with national policies, regulations, and changing financial system norms (DiMaggio &amp; Powell, 1983; Scott, 2020).</w:t>
      </w:r>
    </w:p>
    <w:p w14:paraId="0F6699AC"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For those managing finances in institutions or making policy, these findings suggest that using national digital payment systems can make operations more efficient, improve payment tracking, and better meet stakeholder needs without major changes to existing financial systems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2020; International Monetary Fund, 2025). For researchers, this study offers a model for using public data to study how payment system reforms affect institutions.</w:t>
      </w:r>
    </w:p>
    <w:p w14:paraId="6E22025F"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In summary, the findings show a clear link between national digital payment reforms and changes in how institutions handle finances. This connection highlights the importance of digital payment systems for both the economy and management, showing that changes in payment systems can shape how organizations act in ways that are visible, relevant to policy, and supported by public evidence.</w:t>
      </w:r>
    </w:p>
    <w:p w14:paraId="29C1DAC4" w14:textId="77777777" w:rsidR="00FE7419" w:rsidRDefault="00FE7419" w:rsidP="00FE7419">
      <w:pPr>
        <w:ind w:right="18"/>
      </w:pPr>
    </w:p>
    <w:p w14:paraId="74ACB4B6" w14:textId="262586B8" w:rsidR="00FE7419" w:rsidRPr="00FE7419" w:rsidRDefault="00FE7419" w:rsidP="00FE7419">
      <w:pPr>
        <w:pStyle w:val="Heading2"/>
        <w:spacing w:before="0"/>
        <w:ind w:right="18"/>
        <w:rPr>
          <w:b/>
          <w:bCs/>
          <w:sz w:val="36"/>
          <w:szCs w:val="36"/>
        </w:rPr>
      </w:pPr>
      <w:r w:rsidRPr="00FE7419">
        <w:rPr>
          <w:rFonts w:ascii="Arial" w:hAnsi="Arial" w:cs="Arial"/>
          <w:b/>
          <w:bCs/>
          <w:color w:val="000000"/>
          <w:sz w:val="22"/>
          <w:szCs w:val="22"/>
        </w:rPr>
        <w:t xml:space="preserve">5. </w:t>
      </w:r>
      <w:r>
        <w:rPr>
          <w:rFonts w:ascii="Arial" w:hAnsi="Arial" w:cs="Arial"/>
          <w:b/>
          <w:bCs/>
          <w:color w:val="000000"/>
          <w:sz w:val="22"/>
          <w:szCs w:val="22"/>
        </w:rPr>
        <w:t>POLICY IMPLICATIONS</w:t>
      </w:r>
    </w:p>
    <w:p w14:paraId="6D2A95AF" w14:textId="77777777" w:rsidR="00FE7419" w:rsidRPr="00FE7419" w:rsidRDefault="00FE7419" w:rsidP="00FE7419">
      <w:pPr>
        <w:pStyle w:val="NormalWeb"/>
        <w:spacing w:before="0" w:beforeAutospacing="0" w:after="0" w:afterAutospacing="0"/>
        <w:ind w:right="18"/>
        <w:rPr>
          <w:rFonts w:ascii="Arial" w:hAnsi="Arial" w:cs="Arial"/>
          <w:color w:val="000000"/>
          <w:sz w:val="22"/>
          <w:szCs w:val="22"/>
        </w:rPr>
      </w:pPr>
    </w:p>
    <w:p w14:paraId="4B351457" w14:textId="4A0CEE9B" w:rsidR="00FE7419" w:rsidRDefault="00FE7419" w:rsidP="00FE7419">
      <w:pPr>
        <w:pStyle w:val="NormalWeb"/>
        <w:spacing w:before="0" w:beforeAutospacing="0" w:after="0" w:afterAutospacing="0"/>
        <w:ind w:right="18"/>
      </w:pPr>
      <w:r>
        <w:rPr>
          <w:rFonts w:ascii="Arial" w:hAnsi="Arial" w:cs="Arial"/>
          <w:color w:val="000000"/>
          <w:sz w:val="20"/>
          <w:szCs w:val="20"/>
        </w:rPr>
        <w:t>This study’s findings offer several recommendations for policymakers and financial managers working in digital payment environments.</w:t>
      </w:r>
    </w:p>
    <w:p w14:paraId="4E5A298B" w14:textId="77777777" w:rsidR="00FE7419" w:rsidRDefault="00FE7419" w:rsidP="00DD71CE">
      <w:pPr>
        <w:pStyle w:val="NormalWeb"/>
        <w:numPr>
          <w:ilvl w:val="0"/>
          <w:numId w:val="41"/>
        </w:numPr>
        <w:tabs>
          <w:tab w:val="clear" w:pos="720"/>
          <w:tab w:val="num" w:pos="36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It is important to strengthen national digital payment infrastructure.</w:t>
      </w:r>
      <w:r>
        <w:rPr>
          <w:rFonts w:ascii="Arial" w:hAnsi="Arial" w:cs="Arial"/>
          <w:color w:val="000000"/>
          <w:sz w:val="20"/>
          <w:szCs w:val="20"/>
        </w:rPr>
        <w:br/>
        <w:t>Ongoing investment in interoperable payment systems and support from monetary authorities can help make digital transactions more common and reduce the use of cash. National data shows that steady policy support is linked to higher digital payment use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2024).</w:t>
      </w:r>
    </w:p>
    <w:p w14:paraId="73F88E76" w14:textId="77777777" w:rsidR="00FE7419" w:rsidRDefault="00FE7419" w:rsidP="00DD71CE">
      <w:pPr>
        <w:pStyle w:val="NormalWeb"/>
        <w:numPr>
          <w:ilvl w:val="0"/>
          <w:numId w:val="41"/>
        </w:numPr>
        <w:tabs>
          <w:tab w:val="clear" w:pos="720"/>
          <w:tab w:val="num" w:pos="36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It is helpful to encourage alignment between national payment policies and how institutions operate.</w:t>
      </w:r>
      <w:r>
        <w:rPr>
          <w:rFonts w:ascii="Arial" w:hAnsi="Arial" w:cs="Arial"/>
          <w:color w:val="000000"/>
          <w:sz w:val="20"/>
          <w:szCs w:val="20"/>
        </w:rPr>
        <w:br/>
        <w:t>Higher education institutions benefit when their payment systems match national digital payment platforms. This approach reduces transaction problems and improves efficiency without needing major changes to internal systems (</w:t>
      </w:r>
      <w:proofErr w:type="spellStart"/>
      <w:r>
        <w:rPr>
          <w:rFonts w:ascii="Arial" w:hAnsi="Arial" w:cs="Arial"/>
          <w:color w:val="000000"/>
          <w:sz w:val="20"/>
          <w:szCs w:val="20"/>
        </w:rPr>
        <w:t>Bangko</w:t>
      </w:r>
      <w:proofErr w:type="spellEnd"/>
      <w:r>
        <w:rPr>
          <w:rFonts w:ascii="Arial" w:hAnsi="Arial" w:cs="Arial"/>
          <w:color w:val="000000"/>
          <w:sz w:val="20"/>
          <w:szCs w:val="20"/>
        </w:rPr>
        <w:t xml:space="preserve"> </w:t>
      </w:r>
      <w:proofErr w:type="spellStart"/>
      <w:r>
        <w:rPr>
          <w:rFonts w:ascii="Arial" w:hAnsi="Arial" w:cs="Arial"/>
          <w:color w:val="000000"/>
          <w:sz w:val="20"/>
          <w:szCs w:val="20"/>
        </w:rPr>
        <w:t>Sentral</w:t>
      </w:r>
      <w:proofErr w:type="spellEnd"/>
      <w:r>
        <w:rPr>
          <w:rFonts w:ascii="Arial" w:hAnsi="Arial" w:cs="Arial"/>
          <w:color w:val="000000"/>
          <w:sz w:val="20"/>
          <w:szCs w:val="20"/>
        </w:rPr>
        <w:t xml:space="preserve"> ng </w:t>
      </w:r>
      <w:proofErr w:type="spellStart"/>
      <w:r>
        <w:rPr>
          <w:rFonts w:ascii="Arial" w:hAnsi="Arial" w:cs="Arial"/>
          <w:color w:val="000000"/>
          <w:sz w:val="20"/>
          <w:szCs w:val="20"/>
        </w:rPr>
        <w:t>Pilipinas</w:t>
      </w:r>
      <w:proofErr w:type="spellEnd"/>
      <w:r>
        <w:rPr>
          <w:rFonts w:ascii="Arial" w:hAnsi="Arial" w:cs="Arial"/>
          <w:color w:val="000000"/>
          <w:sz w:val="20"/>
          <w:szCs w:val="20"/>
        </w:rPr>
        <w:t>, 2020; International Monetary Fund, 2025).</w:t>
      </w:r>
    </w:p>
    <w:p w14:paraId="217E4453" w14:textId="77777777" w:rsidR="00FE7419" w:rsidRDefault="00FE7419" w:rsidP="00DD71CE">
      <w:pPr>
        <w:pStyle w:val="NormalWeb"/>
        <w:numPr>
          <w:ilvl w:val="0"/>
          <w:numId w:val="41"/>
        </w:numPr>
        <w:tabs>
          <w:tab w:val="clear" w:pos="720"/>
          <w:tab w:val="num" w:pos="36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t>Adopting digital payments can help achieve financial inclusion goals.</w:t>
      </w:r>
      <w:r>
        <w:rPr>
          <w:rFonts w:ascii="Arial" w:hAnsi="Arial" w:cs="Arial"/>
          <w:color w:val="000000"/>
          <w:sz w:val="20"/>
          <w:szCs w:val="20"/>
        </w:rPr>
        <w:br/>
        <w:t>Making electronic payment channels more available in institutions helps more people use formal financial services, especially when more households have digital access (</w:t>
      </w:r>
      <w:proofErr w:type="spellStart"/>
      <w:r>
        <w:rPr>
          <w:rFonts w:ascii="Arial" w:hAnsi="Arial" w:cs="Arial"/>
          <w:color w:val="000000"/>
          <w:sz w:val="20"/>
          <w:szCs w:val="20"/>
        </w:rPr>
        <w:t>Demirgüç-Kunt</w:t>
      </w:r>
      <w:proofErr w:type="spellEnd"/>
      <w:r>
        <w:rPr>
          <w:rFonts w:ascii="Arial" w:hAnsi="Arial" w:cs="Arial"/>
          <w:color w:val="000000"/>
          <w:sz w:val="20"/>
          <w:szCs w:val="20"/>
        </w:rPr>
        <w:t xml:space="preserve"> et al., 2022; Philippine Statistics Authority &amp; Department of Information and Communications Technology, 2025).</w:t>
      </w:r>
    </w:p>
    <w:p w14:paraId="040FD695" w14:textId="77777777" w:rsidR="00FE7419" w:rsidRDefault="00FE7419" w:rsidP="00DD71CE">
      <w:pPr>
        <w:pStyle w:val="NormalWeb"/>
        <w:numPr>
          <w:ilvl w:val="0"/>
          <w:numId w:val="41"/>
        </w:numPr>
        <w:tabs>
          <w:tab w:val="clear" w:pos="720"/>
          <w:tab w:val="num" w:pos="360"/>
        </w:tabs>
        <w:spacing w:before="0" w:beforeAutospacing="0" w:after="0" w:afterAutospacing="0"/>
        <w:ind w:left="360" w:right="18"/>
        <w:textAlignment w:val="baseline"/>
        <w:rPr>
          <w:rFonts w:ascii="Arial" w:hAnsi="Arial" w:cs="Arial"/>
          <w:color w:val="000000"/>
          <w:sz w:val="20"/>
          <w:szCs w:val="20"/>
        </w:rPr>
      </w:pPr>
      <w:r>
        <w:rPr>
          <w:rFonts w:ascii="Arial" w:hAnsi="Arial" w:cs="Arial"/>
          <w:color w:val="000000"/>
          <w:sz w:val="20"/>
          <w:szCs w:val="20"/>
        </w:rPr>
        <w:lastRenderedPageBreak/>
        <w:t>Institutions should also build their capacity as they move toward digitalization.</w:t>
      </w:r>
      <w:r>
        <w:rPr>
          <w:rFonts w:ascii="Arial" w:hAnsi="Arial" w:cs="Arial"/>
          <w:color w:val="000000"/>
          <w:sz w:val="20"/>
          <w:szCs w:val="20"/>
        </w:rPr>
        <w:br/>
        <w:t>Even with national infrastructure in place, institutions need strong administration, internal controls, and financial reporting to get the full benefits of digital payments (International Monetary Fund, 2025).</w:t>
      </w:r>
    </w:p>
    <w:p w14:paraId="6EA7CEF8" w14:textId="77777777" w:rsidR="00FE7419" w:rsidRDefault="00FE7419" w:rsidP="00FE7419">
      <w:pPr>
        <w:pStyle w:val="NormalWeb"/>
        <w:spacing w:before="0" w:beforeAutospacing="0" w:after="0" w:afterAutospacing="0"/>
        <w:ind w:right="18"/>
      </w:pPr>
      <w:r>
        <w:rPr>
          <w:rFonts w:ascii="Arial" w:hAnsi="Arial" w:cs="Arial"/>
          <w:color w:val="000000"/>
          <w:sz w:val="20"/>
          <w:szCs w:val="20"/>
        </w:rPr>
        <w:t>In summary, digital payment reforms work best when national policies and institutional practices develop together.</w:t>
      </w:r>
    </w:p>
    <w:p w14:paraId="01A36F26" w14:textId="77777777" w:rsidR="00450ABB" w:rsidRPr="00450ABB" w:rsidRDefault="00450ABB" w:rsidP="00CC30CF">
      <w:pPr>
        <w:ind w:right="18"/>
        <w:rPr>
          <w:rFonts w:ascii="Arial" w:hAnsi="Arial" w:cs="Arial"/>
          <w:sz w:val="20"/>
          <w:szCs w:val="20"/>
        </w:rPr>
      </w:pPr>
    </w:p>
    <w:p w14:paraId="03EF9F88" w14:textId="77777777" w:rsidR="00C44A33" w:rsidRPr="00C44A33" w:rsidRDefault="00C44A33" w:rsidP="00CC30CF">
      <w:pPr>
        <w:pStyle w:val="Heading2"/>
        <w:spacing w:before="0"/>
        <w:ind w:right="18"/>
        <w:rPr>
          <w:rFonts w:ascii="Times New Roman" w:hAnsi="Times New Roman"/>
          <w:b/>
          <w:bCs/>
        </w:rPr>
      </w:pPr>
      <w:r w:rsidRPr="00C44A33">
        <w:rPr>
          <w:rFonts w:ascii="Arial" w:hAnsi="Arial" w:cs="Arial"/>
          <w:b/>
          <w:bCs/>
          <w:color w:val="000000"/>
          <w:sz w:val="22"/>
          <w:szCs w:val="22"/>
        </w:rPr>
        <w:t>DISCLAIMER (ARTIFICIAL INTELLIGENCE)</w:t>
      </w:r>
    </w:p>
    <w:p w14:paraId="1AC7E8D2"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 </w:t>
      </w:r>
    </w:p>
    <w:p w14:paraId="023B6D8D" w14:textId="77777777" w:rsidR="00C44A33" w:rsidRDefault="00C44A33" w:rsidP="00C44A33">
      <w:pPr>
        <w:pStyle w:val="NormalWeb"/>
        <w:spacing w:before="0" w:beforeAutospacing="0" w:after="0" w:afterAutospacing="0"/>
        <w:jc w:val="both"/>
      </w:pPr>
      <w:r>
        <w:rPr>
          <w:rFonts w:ascii="Arial" w:hAnsi="Arial" w:cs="Arial"/>
          <w:color w:val="000000"/>
          <w:sz w:val="20"/>
          <w:szCs w:val="20"/>
        </w:rPr>
        <w:t>The author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E6629C" w14:textId="77777777" w:rsidR="00C44A33" w:rsidRDefault="00C44A33" w:rsidP="00C44A33"/>
    <w:p w14:paraId="6D61D0D7" w14:textId="77777777" w:rsidR="00C44A33" w:rsidRDefault="00C44A33" w:rsidP="00C44A33">
      <w:pPr>
        <w:pStyle w:val="NormalWeb"/>
        <w:spacing w:before="0" w:beforeAutospacing="0" w:after="0" w:afterAutospacing="0"/>
        <w:jc w:val="both"/>
      </w:pPr>
      <w:r>
        <w:rPr>
          <w:rFonts w:ascii="Arial" w:hAnsi="Arial" w:cs="Arial"/>
          <w:b/>
          <w:bCs/>
          <w:color w:val="000000"/>
          <w:sz w:val="20"/>
          <w:szCs w:val="20"/>
        </w:rPr>
        <w:t>Details of AI usage are given below:</w:t>
      </w:r>
    </w:p>
    <w:p w14:paraId="5C95B49A" w14:textId="77777777" w:rsidR="00C44A33" w:rsidRPr="001B1FD9" w:rsidRDefault="00C44A33" w:rsidP="001B1FD9">
      <w:pPr>
        <w:pStyle w:val="NormalWeb"/>
        <w:spacing w:before="0" w:beforeAutospacing="0" w:after="0" w:afterAutospacing="0"/>
        <w:jc w:val="both"/>
        <w:rPr>
          <w:rFonts w:ascii="Arial" w:hAnsi="Arial" w:cs="Arial"/>
          <w:sz w:val="20"/>
          <w:szCs w:val="20"/>
        </w:rPr>
      </w:pPr>
      <w:r>
        <w:rPr>
          <w:rFonts w:ascii="Arial" w:hAnsi="Arial" w:cs="Arial"/>
          <w:color w:val="000000"/>
          <w:sz w:val="20"/>
          <w:szCs w:val="20"/>
        </w:rPr>
        <w:t> </w:t>
      </w:r>
    </w:p>
    <w:p w14:paraId="1300FC57" w14:textId="74A60DF6" w:rsidR="001B1FD9" w:rsidRPr="001B1FD9" w:rsidRDefault="001B1FD9" w:rsidP="001B1FD9">
      <w:pPr>
        <w:pStyle w:val="ds-markdown-paragraph"/>
        <w:numPr>
          <w:ilvl w:val="0"/>
          <w:numId w:val="42"/>
        </w:numPr>
        <w:shd w:val="clear" w:color="auto" w:fill="FFFFFF"/>
        <w:spacing w:before="0" w:beforeAutospacing="0" w:after="0" w:afterAutospacing="0"/>
        <w:rPr>
          <w:rFonts w:ascii="Arial" w:hAnsi="Arial" w:cs="Arial"/>
          <w:color w:val="0F1115"/>
          <w:sz w:val="20"/>
          <w:szCs w:val="20"/>
        </w:rPr>
      </w:pPr>
      <w:r w:rsidRPr="001B1FD9">
        <w:rPr>
          <w:rStyle w:val="Strong"/>
          <w:rFonts w:ascii="Arial" w:hAnsi="Arial" w:cs="Arial"/>
          <w:color w:val="0F1115"/>
          <w:sz w:val="20"/>
          <w:szCs w:val="20"/>
        </w:rPr>
        <w:t>Grammarly</w:t>
      </w:r>
      <w:r w:rsidRPr="001B1FD9">
        <w:rPr>
          <w:rFonts w:ascii="Arial" w:hAnsi="Arial" w:cs="Arial"/>
          <w:color w:val="0F1115"/>
          <w:sz w:val="20"/>
          <w:szCs w:val="20"/>
        </w:rPr>
        <w:t> was used only for language support, such as checking grammar and spelling and offering suggestions to improve clarity. The author reviewed and approved all changes.</w:t>
      </w:r>
    </w:p>
    <w:p w14:paraId="27DD4DCE" w14:textId="77777777" w:rsidR="001B1FD9" w:rsidRPr="001B1FD9" w:rsidRDefault="001B1FD9" w:rsidP="001B1FD9">
      <w:pPr>
        <w:pStyle w:val="ds-markdown-paragraph"/>
        <w:numPr>
          <w:ilvl w:val="0"/>
          <w:numId w:val="42"/>
        </w:numPr>
        <w:shd w:val="clear" w:color="auto" w:fill="FFFFFF"/>
        <w:spacing w:before="0" w:beforeAutospacing="0" w:after="0" w:afterAutospacing="0"/>
        <w:rPr>
          <w:rFonts w:ascii="Arial" w:hAnsi="Arial" w:cs="Arial"/>
          <w:color w:val="0F1115"/>
          <w:sz w:val="20"/>
          <w:szCs w:val="20"/>
        </w:rPr>
      </w:pPr>
      <w:r w:rsidRPr="001B1FD9">
        <w:rPr>
          <w:rStyle w:val="Strong"/>
          <w:rFonts w:ascii="Arial" w:hAnsi="Arial" w:cs="Arial"/>
          <w:color w:val="0F1115"/>
          <w:sz w:val="20"/>
          <w:szCs w:val="20"/>
        </w:rPr>
        <w:t>ChatGPT (OpenAI, GPT-5.2)</w:t>
      </w:r>
      <w:r w:rsidRPr="001B1FD9">
        <w:rPr>
          <w:rFonts w:ascii="Arial" w:hAnsi="Arial" w:cs="Arial"/>
          <w:color w:val="0F1115"/>
          <w:sz w:val="20"/>
          <w:szCs w:val="20"/>
        </w:rPr>
        <w:t> was used to help develop concepts, brainstorm ideas, find potential references, and improve the manuscript's organization and flow.</w:t>
      </w:r>
    </w:p>
    <w:p w14:paraId="134E77D2" w14:textId="6FFE9427" w:rsidR="00C44A33" w:rsidRPr="001B1FD9" w:rsidRDefault="00C44A33" w:rsidP="001B1FD9">
      <w:pPr>
        <w:pStyle w:val="NormalWeb"/>
        <w:spacing w:before="0" w:beforeAutospacing="0" w:after="0" w:afterAutospacing="0"/>
        <w:ind w:left="720" w:hanging="360"/>
        <w:jc w:val="both"/>
        <w:rPr>
          <w:rFonts w:ascii="Arial" w:hAnsi="Arial" w:cs="Arial"/>
          <w:sz w:val="20"/>
          <w:szCs w:val="20"/>
        </w:rPr>
      </w:pPr>
      <w:r w:rsidRPr="001B1FD9">
        <w:rPr>
          <w:rFonts w:ascii="Arial" w:hAnsi="Arial" w:cs="Arial"/>
          <w:b/>
          <w:bCs/>
          <w:color w:val="000000"/>
          <w:sz w:val="20"/>
          <w:szCs w:val="20"/>
        </w:rPr>
        <w:t> </w:t>
      </w:r>
    </w:p>
    <w:p w14:paraId="44575E26" w14:textId="77777777" w:rsidR="00C44A33" w:rsidRDefault="00C44A33" w:rsidP="00C44A33">
      <w:pPr>
        <w:pStyle w:val="NormalWeb"/>
        <w:spacing w:before="0" w:beforeAutospacing="0" w:after="0" w:afterAutospacing="0"/>
        <w:jc w:val="both"/>
      </w:pPr>
      <w:r>
        <w:rPr>
          <w:rFonts w:ascii="Arial" w:hAnsi="Arial" w:cs="Arial"/>
          <w:b/>
          <w:bCs/>
          <w:color w:val="000000"/>
          <w:sz w:val="22"/>
          <w:szCs w:val="22"/>
        </w:rPr>
        <w:t>COMPETING INTERESTS</w:t>
      </w:r>
    </w:p>
    <w:p w14:paraId="66C3ADBF" w14:textId="77777777" w:rsidR="00C44A33" w:rsidRDefault="00C44A33" w:rsidP="00C44A33">
      <w:pPr>
        <w:pStyle w:val="NormalWeb"/>
        <w:spacing w:before="0" w:beforeAutospacing="0" w:after="0" w:afterAutospacing="0"/>
        <w:jc w:val="both"/>
      </w:pPr>
      <w:r>
        <w:rPr>
          <w:color w:val="000000"/>
        </w:rPr>
        <w:t> </w:t>
      </w:r>
    </w:p>
    <w:p w14:paraId="7BED5F56" w14:textId="0DD4E3C5" w:rsidR="00C44A33" w:rsidRDefault="00B43556" w:rsidP="00C44A33">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Author</w:t>
      </w:r>
      <w:r w:rsidR="00C44A33">
        <w:rPr>
          <w:rFonts w:ascii="Arial" w:hAnsi="Arial" w:cs="Arial"/>
          <w:color w:val="000000"/>
          <w:sz w:val="20"/>
          <w:szCs w:val="20"/>
        </w:rPr>
        <w:t xml:space="preserve"> has declared that no competing interests exist.</w:t>
      </w:r>
    </w:p>
    <w:p w14:paraId="0B0DE3B1" w14:textId="77777777" w:rsidR="005C751F" w:rsidRDefault="005C751F" w:rsidP="00C44A33">
      <w:pPr>
        <w:pStyle w:val="NormalWeb"/>
        <w:spacing w:before="0" w:beforeAutospacing="0" w:after="0" w:afterAutospacing="0"/>
        <w:jc w:val="both"/>
        <w:rPr>
          <w:rFonts w:ascii="Arial" w:hAnsi="Arial" w:cs="Arial"/>
          <w:color w:val="000000"/>
          <w:sz w:val="20"/>
          <w:szCs w:val="20"/>
        </w:rPr>
      </w:pPr>
    </w:p>
    <w:p w14:paraId="460DEF35" w14:textId="3FB7B389" w:rsidR="005C751F" w:rsidRDefault="005C751F" w:rsidP="005C751F">
      <w:pPr>
        <w:pStyle w:val="NormalWeb"/>
        <w:spacing w:before="0" w:beforeAutospacing="0" w:after="0" w:afterAutospacing="0"/>
        <w:jc w:val="both"/>
        <w:rPr>
          <w:rFonts w:ascii="Arial" w:hAnsi="Arial" w:cs="Arial"/>
          <w:b/>
          <w:bCs/>
          <w:color w:val="000000"/>
          <w:sz w:val="22"/>
          <w:szCs w:val="22"/>
        </w:rPr>
      </w:pPr>
      <w:r>
        <w:rPr>
          <w:rFonts w:ascii="Arial" w:hAnsi="Arial" w:cs="Arial"/>
          <w:b/>
          <w:bCs/>
          <w:color w:val="000000"/>
          <w:sz w:val="22"/>
          <w:szCs w:val="22"/>
        </w:rPr>
        <w:t>REFERENCES</w:t>
      </w:r>
    </w:p>
    <w:p w14:paraId="4F5DBB5D" w14:textId="77777777" w:rsidR="005C751F" w:rsidRDefault="005C751F" w:rsidP="005C751F">
      <w:pPr>
        <w:pStyle w:val="NormalWeb"/>
        <w:spacing w:before="0" w:beforeAutospacing="0" w:after="0" w:afterAutospacing="0"/>
        <w:jc w:val="both"/>
        <w:rPr>
          <w:rFonts w:ascii="Arial" w:hAnsi="Arial" w:cs="Arial"/>
          <w:b/>
          <w:bCs/>
          <w:color w:val="000000"/>
          <w:sz w:val="22"/>
          <w:szCs w:val="22"/>
        </w:rPr>
      </w:pPr>
    </w:p>
    <w:p w14:paraId="0D2AB86A" w14:textId="77777777" w:rsidR="001B1FD9" w:rsidRPr="001B1FD9" w:rsidRDefault="001B1FD9" w:rsidP="001B1FD9">
      <w:pPr>
        <w:ind w:left="450" w:right="18" w:hanging="450"/>
      </w:pP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(2020). </w:t>
      </w:r>
      <w:r w:rsidRPr="001B1FD9">
        <w:rPr>
          <w:rFonts w:ascii="Arial" w:hAnsi="Arial" w:cs="Arial"/>
          <w:i/>
          <w:iCs/>
          <w:color w:val="000000"/>
          <w:sz w:val="20"/>
          <w:szCs w:val="20"/>
        </w:rPr>
        <w:t>Digital payments transformation roadmap 2020–2023</w:t>
      </w:r>
      <w:r w:rsidRPr="001B1FD9">
        <w:rPr>
          <w:rFonts w:ascii="Arial" w:hAnsi="Arial" w:cs="Arial"/>
          <w:color w:val="000000"/>
          <w:sz w:val="20"/>
          <w:szCs w:val="20"/>
        </w:rPr>
        <w:t>.</w:t>
      </w:r>
      <w:hyperlink r:id="rId11" w:history="1">
        <w:r w:rsidRPr="001B1FD9">
          <w:rPr>
            <w:rFonts w:ascii="Arial" w:hAnsi="Arial" w:cs="Arial"/>
            <w:color w:val="000000"/>
            <w:sz w:val="20"/>
            <w:szCs w:val="20"/>
          </w:rPr>
          <w:t xml:space="preserve"> </w:t>
        </w:r>
      </w:hyperlink>
      <w:hyperlink r:id="rId12" w:history="1">
        <w:r w:rsidRPr="001B1FD9">
          <w:rPr>
            <w:rFonts w:ascii="Arial" w:hAnsi="Arial" w:cs="Arial"/>
            <w:color w:val="000000"/>
            <w:sz w:val="20"/>
            <w:szCs w:val="20"/>
          </w:rPr>
          <w:t>https://www.bsp.gov.ph/Media_And_Research/Primers%20Faqs/Digital%20Payments%20Transformation%20Roadmap%20Report.pdf</w:t>
        </w:r>
      </w:hyperlink>
    </w:p>
    <w:p w14:paraId="3AF16777" w14:textId="77777777" w:rsidR="001B1FD9" w:rsidRPr="001B1FD9" w:rsidRDefault="001B1FD9" w:rsidP="001B1FD9">
      <w:pPr>
        <w:ind w:left="450" w:right="18" w:hanging="450"/>
      </w:pP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(2023, March 9). </w:t>
      </w:r>
      <w:r w:rsidRPr="001B1FD9">
        <w:rPr>
          <w:rFonts w:ascii="Arial" w:hAnsi="Arial" w:cs="Arial"/>
          <w:i/>
          <w:iCs/>
          <w:color w:val="000000"/>
          <w:sz w:val="20"/>
          <w:szCs w:val="20"/>
        </w:rPr>
        <w:t>BSP mandates full adoption of QR Ph codes by 1 July 2023</w:t>
      </w:r>
      <w:r w:rsidRPr="001B1FD9">
        <w:rPr>
          <w:rFonts w:ascii="Arial" w:hAnsi="Arial" w:cs="Arial"/>
          <w:color w:val="000000"/>
          <w:sz w:val="20"/>
          <w:szCs w:val="20"/>
        </w:rPr>
        <w:t xml:space="preserve"> [Media release].</w:t>
      </w:r>
      <w:hyperlink r:id="rId13" w:history="1">
        <w:r w:rsidRPr="001B1FD9">
          <w:rPr>
            <w:rFonts w:ascii="Arial" w:hAnsi="Arial" w:cs="Arial"/>
            <w:color w:val="000000"/>
            <w:sz w:val="20"/>
            <w:szCs w:val="20"/>
          </w:rPr>
          <w:t xml:space="preserve"> </w:t>
        </w:r>
      </w:hyperlink>
      <w:hyperlink r:id="rId14" w:history="1">
        <w:r w:rsidRPr="001B1FD9">
          <w:rPr>
            <w:rFonts w:ascii="Arial" w:hAnsi="Arial" w:cs="Arial"/>
            <w:color w:val="000000"/>
            <w:sz w:val="20"/>
            <w:szCs w:val="20"/>
          </w:rPr>
          <w:t>https://www.bsp.gov.ph/SitePages/MediaAndResearch/MediaDisp.aspx?ItemId=6646</w:t>
        </w:r>
      </w:hyperlink>
    </w:p>
    <w:p w14:paraId="5A1B1978" w14:textId="77777777" w:rsidR="001B1FD9" w:rsidRPr="001B1FD9" w:rsidRDefault="001B1FD9" w:rsidP="001B1FD9">
      <w:pPr>
        <w:ind w:left="450" w:right="18" w:hanging="450"/>
      </w:pP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(2024). </w:t>
      </w:r>
      <w:r w:rsidRPr="001B1FD9">
        <w:rPr>
          <w:rFonts w:ascii="Arial" w:hAnsi="Arial" w:cs="Arial"/>
          <w:i/>
          <w:iCs/>
          <w:color w:val="000000"/>
          <w:sz w:val="20"/>
          <w:szCs w:val="20"/>
        </w:rPr>
        <w:t>Financial Inclusion in the Philippines Dashboard: First quarter 2023</w:t>
      </w:r>
      <w:r w:rsidRPr="001B1FD9">
        <w:rPr>
          <w:rFonts w:ascii="Arial" w:hAnsi="Arial" w:cs="Arial"/>
          <w:color w:val="000000"/>
          <w:sz w:val="20"/>
          <w:szCs w:val="20"/>
        </w:rPr>
        <w:t xml:space="preserve"> [PDF]. </w:t>
      </w: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w:t>
      </w:r>
      <w:hyperlink r:id="rId15" w:history="1">
        <w:r w:rsidRPr="001B1FD9">
          <w:rPr>
            <w:rFonts w:ascii="Arial" w:hAnsi="Arial" w:cs="Arial"/>
            <w:color w:val="000000"/>
            <w:sz w:val="20"/>
            <w:szCs w:val="20"/>
          </w:rPr>
          <w:t>https://www.bsp.gov.ph/Media_And_Research/Financial%20Inclusion%20Dashboard/2023/FIDashboard_1Q2023.pdf</w:t>
        </w:r>
      </w:hyperlink>
    </w:p>
    <w:p w14:paraId="5CACF73E" w14:textId="77777777" w:rsidR="001B1FD9" w:rsidRPr="001B1FD9" w:rsidRDefault="001B1FD9" w:rsidP="001B1FD9">
      <w:pPr>
        <w:ind w:left="450" w:right="18" w:hanging="450"/>
      </w:pPr>
      <w:proofErr w:type="spellStart"/>
      <w:r w:rsidRPr="001B1FD9">
        <w:rPr>
          <w:rFonts w:ascii="Arial" w:hAnsi="Arial" w:cs="Arial"/>
          <w:color w:val="000000"/>
          <w:sz w:val="20"/>
          <w:szCs w:val="20"/>
        </w:rPr>
        <w:t>Bangko</w:t>
      </w:r>
      <w:proofErr w:type="spellEnd"/>
      <w:r w:rsidRPr="001B1FD9">
        <w:rPr>
          <w:rFonts w:ascii="Arial" w:hAnsi="Arial" w:cs="Arial"/>
          <w:color w:val="000000"/>
          <w:sz w:val="20"/>
          <w:szCs w:val="20"/>
        </w:rPr>
        <w:t xml:space="preserve"> </w:t>
      </w:r>
      <w:proofErr w:type="spellStart"/>
      <w:r w:rsidRPr="001B1FD9">
        <w:rPr>
          <w:rFonts w:ascii="Arial" w:hAnsi="Arial" w:cs="Arial"/>
          <w:color w:val="000000"/>
          <w:sz w:val="20"/>
          <w:szCs w:val="20"/>
        </w:rPr>
        <w:t>Sentral</w:t>
      </w:r>
      <w:proofErr w:type="spellEnd"/>
      <w:r w:rsidRPr="001B1FD9">
        <w:rPr>
          <w:rFonts w:ascii="Arial" w:hAnsi="Arial" w:cs="Arial"/>
          <w:color w:val="000000"/>
          <w:sz w:val="20"/>
          <w:szCs w:val="20"/>
        </w:rPr>
        <w:t xml:space="preserve"> ng </w:t>
      </w:r>
      <w:proofErr w:type="spellStart"/>
      <w:r w:rsidRPr="001B1FD9">
        <w:rPr>
          <w:rFonts w:ascii="Arial" w:hAnsi="Arial" w:cs="Arial"/>
          <w:color w:val="000000"/>
          <w:sz w:val="20"/>
          <w:szCs w:val="20"/>
        </w:rPr>
        <w:t>Pilipinas</w:t>
      </w:r>
      <w:proofErr w:type="spellEnd"/>
      <w:r w:rsidRPr="001B1FD9">
        <w:rPr>
          <w:rFonts w:ascii="Arial" w:hAnsi="Arial" w:cs="Arial"/>
          <w:color w:val="000000"/>
          <w:sz w:val="20"/>
          <w:szCs w:val="20"/>
        </w:rPr>
        <w:t xml:space="preserve">. (2024). </w:t>
      </w:r>
      <w:r w:rsidRPr="001B1FD9">
        <w:rPr>
          <w:rFonts w:ascii="Arial" w:hAnsi="Arial" w:cs="Arial"/>
          <w:i/>
          <w:iCs/>
          <w:color w:val="000000"/>
          <w:sz w:val="20"/>
          <w:szCs w:val="20"/>
        </w:rPr>
        <w:t>Report on e-payments measurement 2024</w:t>
      </w:r>
      <w:r w:rsidRPr="001B1FD9">
        <w:rPr>
          <w:rFonts w:ascii="Arial" w:hAnsi="Arial" w:cs="Arial"/>
          <w:color w:val="000000"/>
          <w:sz w:val="20"/>
          <w:szCs w:val="20"/>
        </w:rPr>
        <w:t xml:space="preserve">. </w:t>
      </w:r>
      <w:hyperlink r:id="rId16" w:history="1">
        <w:r w:rsidRPr="001B1FD9">
          <w:rPr>
            <w:rFonts w:ascii="Arial" w:hAnsi="Arial" w:cs="Arial"/>
            <w:color w:val="000000"/>
            <w:sz w:val="20"/>
            <w:szCs w:val="20"/>
          </w:rPr>
          <w:t>https://www.bsp.gov.ph/PaymentAndSettlement/2024_Report_on_E-payments_Measurement.pdf</w:t>
        </w:r>
      </w:hyperlink>
    </w:p>
    <w:p w14:paraId="7295FFE1" w14:textId="77777777" w:rsidR="001B1FD9" w:rsidRPr="001B1FD9" w:rsidRDefault="001B1FD9" w:rsidP="001B1FD9">
      <w:pPr>
        <w:ind w:left="450" w:right="18" w:hanging="450"/>
      </w:pPr>
      <w:r w:rsidRPr="001B1FD9">
        <w:rPr>
          <w:rFonts w:ascii="Arial" w:hAnsi="Arial" w:cs="Arial"/>
          <w:color w:val="000000"/>
          <w:sz w:val="20"/>
          <w:szCs w:val="20"/>
        </w:rPr>
        <w:t xml:space="preserve">Bowen, G. A. (2009). Document analysis as a qualitative research method. </w:t>
      </w:r>
      <w:r w:rsidRPr="001B1FD9">
        <w:rPr>
          <w:rFonts w:ascii="Arial" w:hAnsi="Arial" w:cs="Arial"/>
          <w:i/>
          <w:iCs/>
          <w:color w:val="000000"/>
          <w:sz w:val="20"/>
          <w:szCs w:val="20"/>
        </w:rPr>
        <w:t>Qualitative Research Journal, 9</w:t>
      </w:r>
      <w:r w:rsidRPr="001B1FD9">
        <w:rPr>
          <w:rFonts w:ascii="Arial" w:hAnsi="Arial" w:cs="Arial"/>
          <w:color w:val="000000"/>
          <w:sz w:val="20"/>
          <w:szCs w:val="20"/>
        </w:rPr>
        <w:t>(2), 27–40.</w:t>
      </w:r>
      <w:hyperlink r:id="rId17" w:history="1">
        <w:r w:rsidRPr="001B1FD9">
          <w:rPr>
            <w:rFonts w:ascii="Arial" w:hAnsi="Arial" w:cs="Arial"/>
            <w:color w:val="000000"/>
            <w:sz w:val="20"/>
            <w:szCs w:val="20"/>
          </w:rPr>
          <w:t xml:space="preserve"> https://doi.org/10.3316/QRJ0902027</w:t>
        </w:r>
      </w:hyperlink>
    </w:p>
    <w:p w14:paraId="7F864C53" w14:textId="77777777" w:rsidR="001B1FD9" w:rsidRPr="001B1FD9" w:rsidRDefault="001B1FD9" w:rsidP="001B1FD9">
      <w:pPr>
        <w:ind w:left="450" w:right="18" w:hanging="450"/>
      </w:pPr>
      <w:proofErr w:type="spellStart"/>
      <w:r w:rsidRPr="001B1FD9">
        <w:rPr>
          <w:rFonts w:ascii="Arial" w:hAnsi="Arial" w:cs="Arial"/>
          <w:color w:val="000000"/>
          <w:sz w:val="20"/>
          <w:szCs w:val="20"/>
        </w:rPr>
        <w:t>Demirgüç-Kunt</w:t>
      </w:r>
      <w:proofErr w:type="spellEnd"/>
      <w:r w:rsidRPr="001B1FD9">
        <w:rPr>
          <w:rFonts w:ascii="Arial" w:hAnsi="Arial" w:cs="Arial"/>
          <w:color w:val="000000"/>
          <w:sz w:val="20"/>
          <w:szCs w:val="20"/>
        </w:rPr>
        <w:t xml:space="preserve">, A., Klapper, L., Singer, D., Ansar, S., &amp; Hess, J. (2022). </w:t>
      </w:r>
      <w:r w:rsidRPr="001B1FD9">
        <w:rPr>
          <w:rFonts w:ascii="Arial" w:hAnsi="Arial" w:cs="Arial"/>
          <w:i/>
          <w:iCs/>
          <w:color w:val="000000"/>
          <w:sz w:val="20"/>
          <w:szCs w:val="20"/>
        </w:rPr>
        <w:t>The Global Findex Database 2021: Financial inclusion, digital payments, and resilience in the age of COVID-19</w:t>
      </w:r>
      <w:r w:rsidRPr="001B1FD9">
        <w:rPr>
          <w:rFonts w:ascii="Arial" w:hAnsi="Arial" w:cs="Arial"/>
          <w:color w:val="000000"/>
          <w:sz w:val="20"/>
          <w:szCs w:val="20"/>
        </w:rPr>
        <w:t xml:space="preserve"> [PDF]. World Bank.</w:t>
      </w:r>
      <w:hyperlink r:id="rId18" w:history="1">
        <w:r w:rsidRPr="001B1FD9">
          <w:rPr>
            <w:rFonts w:ascii="Arial" w:hAnsi="Arial" w:cs="Arial"/>
            <w:color w:val="000000"/>
            <w:sz w:val="20"/>
            <w:szCs w:val="20"/>
          </w:rPr>
          <w:t xml:space="preserve"> </w:t>
        </w:r>
      </w:hyperlink>
      <w:hyperlink r:id="rId19" w:history="1">
        <w:r w:rsidRPr="001B1FD9">
          <w:rPr>
            <w:rFonts w:ascii="Arial" w:hAnsi="Arial" w:cs="Arial"/>
            <w:color w:val="000000"/>
            <w:sz w:val="20"/>
            <w:szCs w:val="20"/>
          </w:rPr>
          <w:t>https://documents1.worldbank.org/curated/en/099818107072234182/pdf/IDU06a834fe908933040670a6560f44e3f4d35b7.pdf</w:t>
        </w:r>
      </w:hyperlink>
    </w:p>
    <w:p w14:paraId="5E2B1A71" w14:textId="77777777" w:rsidR="001B1FD9" w:rsidRPr="001B1FD9" w:rsidRDefault="001B1FD9" w:rsidP="001B1FD9">
      <w:pPr>
        <w:ind w:left="450" w:right="18" w:hanging="450"/>
      </w:pPr>
      <w:r w:rsidRPr="001B1FD9">
        <w:rPr>
          <w:rFonts w:ascii="Arial" w:hAnsi="Arial" w:cs="Arial"/>
          <w:color w:val="000000"/>
          <w:sz w:val="20"/>
          <w:szCs w:val="20"/>
        </w:rPr>
        <w:t xml:space="preserve">DiMaggio, P. J., &amp; Powell, W. W. (1983). The iron cage revisited: Institutional isomorphism and collective rationality in organizational fields. </w:t>
      </w:r>
      <w:r w:rsidRPr="001B1FD9">
        <w:rPr>
          <w:rFonts w:ascii="Arial" w:hAnsi="Arial" w:cs="Arial"/>
          <w:i/>
          <w:iCs/>
          <w:color w:val="000000"/>
          <w:sz w:val="20"/>
          <w:szCs w:val="20"/>
        </w:rPr>
        <w:t>American Sociological Review, 48</w:t>
      </w:r>
      <w:r w:rsidRPr="001B1FD9">
        <w:rPr>
          <w:rFonts w:ascii="Arial" w:hAnsi="Arial" w:cs="Arial"/>
          <w:color w:val="000000"/>
          <w:sz w:val="20"/>
          <w:szCs w:val="20"/>
        </w:rPr>
        <w:t>(2), 147–160.</w:t>
      </w:r>
      <w:hyperlink r:id="rId20" w:history="1">
        <w:r w:rsidRPr="001B1FD9">
          <w:rPr>
            <w:rFonts w:ascii="Arial" w:hAnsi="Arial" w:cs="Arial"/>
            <w:color w:val="000000"/>
            <w:sz w:val="20"/>
            <w:szCs w:val="20"/>
          </w:rPr>
          <w:t xml:space="preserve"> https://doi.org/10.2307/2095101</w:t>
        </w:r>
      </w:hyperlink>
    </w:p>
    <w:p w14:paraId="36A2387E" w14:textId="77777777" w:rsidR="001B1FD9" w:rsidRPr="001B1FD9" w:rsidRDefault="001B1FD9" w:rsidP="001B1FD9">
      <w:pPr>
        <w:ind w:left="450" w:right="18" w:hanging="450"/>
      </w:pPr>
      <w:r w:rsidRPr="001B1FD9">
        <w:rPr>
          <w:rFonts w:ascii="Arial" w:hAnsi="Arial" w:cs="Arial"/>
          <w:color w:val="000000"/>
          <w:sz w:val="20"/>
          <w:szCs w:val="20"/>
        </w:rPr>
        <w:lastRenderedPageBreak/>
        <w:t xml:space="preserve">Humphrey, D. B., Kim, M., &amp; Vale, B. (2001). Realizing the gains from electronic payments: Costs, pricing, and payment choice. </w:t>
      </w:r>
      <w:r w:rsidRPr="001B1FD9">
        <w:rPr>
          <w:rFonts w:ascii="Arial" w:hAnsi="Arial" w:cs="Arial"/>
          <w:i/>
          <w:iCs/>
          <w:color w:val="000000"/>
          <w:sz w:val="20"/>
          <w:szCs w:val="20"/>
        </w:rPr>
        <w:t>Journal of Money, Credit and Banking, 33</w:t>
      </w:r>
      <w:r w:rsidRPr="001B1FD9">
        <w:rPr>
          <w:rFonts w:ascii="Arial" w:hAnsi="Arial" w:cs="Arial"/>
          <w:color w:val="000000"/>
          <w:sz w:val="20"/>
          <w:szCs w:val="20"/>
        </w:rPr>
        <w:t xml:space="preserve">(2), 216–234. </w:t>
      </w:r>
      <w:hyperlink r:id="rId21" w:history="1">
        <w:r w:rsidRPr="001B1FD9">
          <w:rPr>
            <w:rFonts w:ascii="Arial" w:hAnsi="Arial" w:cs="Arial"/>
            <w:color w:val="000000"/>
            <w:sz w:val="20"/>
            <w:szCs w:val="20"/>
          </w:rPr>
          <w:t>https://doi.org/10.2307/2673879</w:t>
        </w:r>
      </w:hyperlink>
    </w:p>
    <w:p w14:paraId="085E12A4" w14:textId="77777777" w:rsidR="001B1FD9" w:rsidRPr="001B1FD9" w:rsidRDefault="001B1FD9" w:rsidP="001B1FD9">
      <w:pPr>
        <w:ind w:left="450" w:right="18" w:hanging="450"/>
      </w:pPr>
      <w:r w:rsidRPr="001B1FD9">
        <w:rPr>
          <w:rFonts w:ascii="Arial" w:hAnsi="Arial" w:cs="Arial"/>
          <w:color w:val="000000"/>
          <w:sz w:val="20"/>
          <w:szCs w:val="20"/>
        </w:rPr>
        <w:t xml:space="preserve">International Monetary Fund. (2025). </w:t>
      </w:r>
      <w:r w:rsidRPr="001B1FD9">
        <w:rPr>
          <w:rFonts w:ascii="Arial" w:hAnsi="Arial" w:cs="Arial"/>
          <w:i/>
          <w:iCs/>
          <w:color w:val="000000"/>
          <w:sz w:val="20"/>
          <w:szCs w:val="20"/>
        </w:rPr>
        <w:t>Financial Access Survey (FAS) [Dataset]</w:t>
      </w:r>
      <w:r w:rsidRPr="001B1FD9">
        <w:rPr>
          <w:rFonts w:ascii="Arial" w:hAnsi="Arial" w:cs="Arial"/>
          <w:color w:val="000000"/>
          <w:sz w:val="20"/>
          <w:szCs w:val="20"/>
        </w:rPr>
        <w:t>. IMF Data.</w:t>
      </w:r>
      <w:hyperlink r:id="rId22" w:history="1">
        <w:r w:rsidRPr="001B1FD9">
          <w:rPr>
            <w:rFonts w:ascii="Arial" w:hAnsi="Arial" w:cs="Arial"/>
            <w:color w:val="000000"/>
            <w:sz w:val="20"/>
            <w:szCs w:val="20"/>
          </w:rPr>
          <w:t xml:space="preserve"> https://data.imf.org/en/datasets/IMF.STA:FAS</w:t>
        </w:r>
      </w:hyperlink>
    </w:p>
    <w:p w14:paraId="1BFDE164" w14:textId="77777777" w:rsidR="001B1FD9" w:rsidRPr="001B1FD9" w:rsidRDefault="001B1FD9" w:rsidP="001B1FD9">
      <w:pPr>
        <w:ind w:left="450" w:right="18" w:hanging="450"/>
      </w:pPr>
      <w:r w:rsidRPr="001B1FD9">
        <w:rPr>
          <w:rFonts w:ascii="Arial" w:hAnsi="Arial" w:cs="Arial"/>
          <w:color w:val="000000"/>
          <w:sz w:val="20"/>
          <w:szCs w:val="20"/>
        </w:rPr>
        <w:t xml:space="preserve">Jocson, L. M. J. C. (2024, July 24). </w:t>
      </w:r>
      <w:r w:rsidRPr="001B1FD9">
        <w:rPr>
          <w:rFonts w:ascii="Arial" w:hAnsi="Arial" w:cs="Arial"/>
          <w:i/>
          <w:iCs/>
          <w:color w:val="000000"/>
          <w:sz w:val="20"/>
          <w:szCs w:val="20"/>
        </w:rPr>
        <w:t>Digital payments account for half of retail transactions at end-2023</w:t>
      </w:r>
      <w:r w:rsidRPr="001B1FD9">
        <w:rPr>
          <w:rFonts w:ascii="Arial" w:hAnsi="Arial" w:cs="Arial"/>
          <w:color w:val="000000"/>
          <w:sz w:val="20"/>
          <w:szCs w:val="20"/>
        </w:rPr>
        <w:t xml:space="preserve">. </w:t>
      </w:r>
      <w:r w:rsidRPr="001B1FD9">
        <w:rPr>
          <w:rFonts w:ascii="Arial" w:hAnsi="Arial" w:cs="Arial"/>
          <w:i/>
          <w:iCs/>
          <w:color w:val="000000"/>
          <w:sz w:val="20"/>
          <w:szCs w:val="20"/>
        </w:rPr>
        <w:t>BusinessWorld Online</w:t>
      </w:r>
      <w:r w:rsidRPr="001B1FD9">
        <w:rPr>
          <w:rFonts w:ascii="Arial" w:hAnsi="Arial" w:cs="Arial"/>
          <w:color w:val="000000"/>
          <w:sz w:val="20"/>
          <w:szCs w:val="20"/>
        </w:rPr>
        <w:t>.</w:t>
      </w:r>
      <w:hyperlink r:id="rId23" w:history="1">
        <w:r w:rsidRPr="001B1FD9">
          <w:rPr>
            <w:rFonts w:ascii="Arial" w:hAnsi="Arial" w:cs="Arial"/>
            <w:color w:val="000000"/>
            <w:sz w:val="20"/>
            <w:szCs w:val="20"/>
          </w:rPr>
          <w:t xml:space="preserve"> </w:t>
        </w:r>
      </w:hyperlink>
      <w:hyperlink r:id="rId24" w:history="1">
        <w:r w:rsidRPr="001B1FD9">
          <w:rPr>
            <w:rFonts w:ascii="Arial" w:hAnsi="Arial" w:cs="Arial"/>
            <w:color w:val="000000"/>
            <w:sz w:val="20"/>
            <w:szCs w:val="20"/>
          </w:rPr>
          <w:t>https://www.bworldonline.com/top-stories/2024/07/24/609867/digital-payments-account-for-half-of-retail-transactions-at-end-2023/</w:t>
        </w:r>
      </w:hyperlink>
    </w:p>
    <w:p w14:paraId="75BC7B90" w14:textId="77777777" w:rsidR="001B1FD9" w:rsidRPr="001B1FD9" w:rsidRDefault="001B1FD9" w:rsidP="001B1FD9">
      <w:pPr>
        <w:ind w:left="450" w:right="18" w:hanging="450"/>
      </w:pPr>
      <w:r w:rsidRPr="001B1FD9">
        <w:rPr>
          <w:rFonts w:ascii="Arial" w:hAnsi="Arial" w:cs="Arial"/>
          <w:color w:val="000000"/>
          <w:sz w:val="20"/>
          <w:szCs w:val="20"/>
        </w:rPr>
        <w:t xml:space="preserve">Jocson, L. M. J. C. (2025, July 8). </w:t>
      </w:r>
      <w:r w:rsidRPr="001B1FD9">
        <w:rPr>
          <w:rFonts w:ascii="Arial" w:hAnsi="Arial" w:cs="Arial"/>
          <w:i/>
          <w:iCs/>
          <w:color w:val="000000"/>
          <w:sz w:val="20"/>
          <w:szCs w:val="20"/>
        </w:rPr>
        <w:t>Digital payments account for 57.4% of transaction volume in 2024</w:t>
      </w:r>
      <w:r w:rsidRPr="001B1FD9">
        <w:rPr>
          <w:rFonts w:ascii="Arial" w:hAnsi="Arial" w:cs="Arial"/>
          <w:color w:val="000000"/>
          <w:sz w:val="20"/>
          <w:szCs w:val="20"/>
        </w:rPr>
        <w:t xml:space="preserve"> [Infographic]. </w:t>
      </w:r>
      <w:r w:rsidRPr="001B1FD9">
        <w:rPr>
          <w:rFonts w:ascii="Arial" w:hAnsi="Arial" w:cs="Arial"/>
          <w:i/>
          <w:iCs/>
          <w:color w:val="000000"/>
          <w:sz w:val="20"/>
          <w:szCs w:val="20"/>
        </w:rPr>
        <w:t>BusinessWorld Online</w:t>
      </w:r>
      <w:r w:rsidRPr="001B1FD9">
        <w:rPr>
          <w:rFonts w:ascii="Arial" w:hAnsi="Arial" w:cs="Arial"/>
          <w:color w:val="000000"/>
          <w:sz w:val="20"/>
          <w:szCs w:val="20"/>
        </w:rPr>
        <w:t>.</w:t>
      </w:r>
      <w:hyperlink r:id="rId25" w:history="1">
        <w:r w:rsidRPr="001B1FD9">
          <w:rPr>
            <w:rFonts w:ascii="Arial" w:hAnsi="Arial" w:cs="Arial"/>
            <w:color w:val="000000"/>
            <w:sz w:val="20"/>
            <w:szCs w:val="20"/>
          </w:rPr>
          <w:t xml:space="preserve"> </w:t>
        </w:r>
      </w:hyperlink>
      <w:hyperlink r:id="rId26" w:history="1">
        <w:r w:rsidRPr="001B1FD9">
          <w:rPr>
            <w:rFonts w:ascii="Arial" w:hAnsi="Arial" w:cs="Arial"/>
            <w:color w:val="000000"/>
            <w:sz w:val="20"/>
            <w:szCs w:val="20"/>
          </w:rPr>
          <w:t>https://www.bworldonline.com/infographics/2025/07/08/683706/digital-payments-account-for-57-4-of-transaction-volume-in-2024/</w:t>
        </w:r>
      </w:hyperlink>
    </w:p>
    <w:p w14:paraId="5ADD3307" w14:textId="77777777" w:rsidR="001B1FD9" w:rsidRPr="001B1FD9" w:rsidRDefault="001B1FD9" w:rsidP="001B1FD9">
      <w:pPr>
        <w:ind w:left="450" w:right="18" w:hanging="450"/>
      </w:pPr>
      <w:r w:rsidRPr="001B1FD9">
        <w:rPr>
          <w:rFonts w:ascii="Arial" w:hAnsi="Arial" w:cs="Arial"/>
          <w:color w:val="000000"/>
          <w:sz w:val="20"/>
          <w:szCs w:val="20"/>
        </w:rPr>
        <w:t xml:space="preserve">Klee, E. (2008). How people pay: Evidence from grocery store data. </w:t>
      </w:r>
      <w:r w:rsidRPr="001B1FD9">
        <w:rPr>
          <w:rFonts w:ascii="Arial" w:hAnsi="Arial" w:cs="Arial"/>
          <w:i/>
          <w:iCs/>
          <w:color w:val="000000"/>
          <w:sz w:val="20"/>
          <w:szCs w:val="20"/>
        </w:rPr>
        <w:t>Journal of Monetary Economics, 55</w:t>
      </w:r>
      <w:r w:rsidRPr="001B1FD9">
        <w:rPr>
          <w:rFonts w:ascii="Arial" w:hAnsi="Arial" w:cs="Arial"/>
          <w:color w:val="000000"/>
          <w:sz w:val="20"/>
          <w:szCs w:val="20"/>
        </w:rPr>
        <w:t xml:space="preserve">(3), 526–541. </w:t>
      </w:r>
      <w:hyperlink r:id="rId27" w:history="1">
        <w:r w:rsidRPr="001B1FD9">
          <w:rPr>
            <w:rFonts w:ascii="Arial" w:hAnsi="Arial" w:cs="Arial"/>
            <w:color w:val="000000"/>
            <w:sz w:val="20"/>
            <w:szCs w:val="20"/>
          </w:rPr>
          <w:t>https://doi.org/10.1016/j.jmoneco.2008.01.009</w:t>
        </w:r>
      </w:hyperlink>
    </w:p>
    <w:p w14:paraId="72FB8D26" w14:textId="77777777" w:rsidR="001B1FD9" w:rsidRPr="001B1FD9" w:rsidRDefault="001B1FD9" w:rsidP="001B1FD9">
      <w:pPr>
        <w:ind w:left="450" w:right="18" w:hanging="450"/>
      </w:pPr>
      <w:r w:rsidRPr="001B1FD9">
        <w:rPr>
          <w:rFonts w:ascii="Arial" w:hAnsi="Arial" w:cs="Arial"/>
          <w:color w:val="000000"/>
          <w:sz w:val="20"/>
          <w:szCs w:val="20"/>
        </w:rPr>
        <w:t xml:space="preserve">Lim, W. M. (2025). What is qualitative research? An overview and guidelines. </w:t>
      </w:r>
      <w:r w:rsidRPr="001B1FD9">
        <w:rPr>
          <w:rFonts w:ascii="Arial" w:hAnsi="Arial" w:cs="Arial"/>
          <w:i/>
          <w:iCs/>
          <w:color w:val="000000"/>
          <w:sz w:val="20"/>
          <w:szCs w:val="20"/>
        </w:rPr>
        <w:t>Qualitative Research Journal</w:t>
      </w:r>
      <w:r w:rsidRPr="001B1FD9">
        <w:rPr>
          <w:rFonts w:ascii="Arial" w:hAnsi="Arial" w:cs="Arial"/>
          <w:color w:val="000000"/>
          <w:sz w:val="20"/>
          <w:szCs w:val="20"/>
        </w:rPr>
        <w:t>. Advance online publication.</w:t>
      </w:r>
      <w:hyperlink r:id="rId28" w:history="1">
        <w:r w:rsidRPr="001B1FD9">
          <w:rPr>
            <w:rFonts w:ascii="Arial" w:hAnsi="Arial" w:cs="Arial"/>
            <w:color w:val="000000"/>
            <w:sz w:val="20"/>
            <w:szCs w:val="20"/>
          </w:rPr>
          <w:t xml:space="preserve"> https://doi.org/10.1177/14413582241264619</w:t>
        </w:r>
      </w:hyperlink>
    </w:p>
    <w:p w14:paraId="3762E371" w14:textId="77777777" w:rsidR="001B1FD9" w:rsidRPr="001B1FD9" w:rsidRDefault="001B1FD9" w:rsidP="001B1FD9">
      <w:pPr>
        <w:ind w:left="450" w:right="18" w:hanging="450"/>
      </w:pPr>
      <w:r w:rsidRPr="001B1FD9">
        <w:rPr>
          <w:rFonts w:ascii="Arial" w:hAnsi="Arial" w:cs="Arial"/>
          <w:color w:val="000000"/>
          <w:sz w:val="20"/>
          <w:szCs w:val="20"/>
        </w:rPr>
        <w:t xml:space="preserve">Norris, A., &amp; Singer, D. (2025, July 17). </w:t>
      </w:r>
      <w:r w:rsidRPr="001B1FD9">
        <w:rPr>
          <w:rFonts w:ascii="Arial" w:hAnsi="Arial" w:cs="Arial"/>
          <w:i/>
          <w:iCs/>
          <w:color w:val="000000"/>
          <w:sz w:val="20"/>
          <w:szCs w:val="20"/>
        </w:rPr>
        <w:t>Digital technology is unlocking financial inclusion</w:t>
      </w:r>
      <w:r w:rsidRPr="001B1FD9">
        <w:rPr>
          <w:rFonts w:ascii="Arial" w:hAnsi="Arial" w:cs="Arial"/>
          <w:color w:val="000000"/>
          <w:sz w:val="20"/>
          <w:szCs w:val="20"/>
        </w:rPr>
        <w:t>. World Bank Blogs.</w:t>
      </w:r>
      <w:hyperlink r:id="rId29" w:history="1">
        <w:r w:rsidRPr="001B1FD9">
          <w:rPr>
            <w:rFonts w:ascii="Arial" w:hAnsi="Arial" w:cs="Arial"/>
            <w:color w:val="000000"/>
            <w:sz w:val="20"/>
            <w:szCs w:val="20"/>
          </w:rPr>
          <w:t xml:space="preserve"> </w:t>
        </w:r>
      </w:hyperlink>
      <w:hyperlink r:id="rId30" w:history="1">
        <w:r w:rsidRPr="001B1FD9">
          <w:rPr>
            <w:rFonts w:ascii="Arial" w:hAnsi="Arial" w:cs="Arial"/>
            <w:color w:val="000000"/>
            <w:sz w:val="20"/>
            <w:szCs w:val="20"/>
          </w:rPr>
          <w:t>https://blogs.worldbank.org/en/developmenttalk/digital-technology-is-unlocking-financial-inclusion</w:t>
        </w:r>
      </w:hyperlink>
    </w:p>
    <w:p w14:paraId="67BC2A75" w14:textId="77777777" w:rsidR="001B1FD9" w:rsidRPr="001B1FD9" w:rsidRDefault="001B1FD9" w:rsidP="001B1FD9">
      <w:pPr>
        <w:ind w:left="450" w:right="18" w:hanging="450"/>
      </w:pPr>
      <w:proofErr w:type="spellStart"/>
      <w:r w:rsidRPr="001B1FD9">
        <w:rPr>
          <w:rFonts w:ascii="Arial" w:hAnsi="Arial" w:cs="Arial"/>
          <w:color w:val="000000"/>
          <w:sz w:val="20"/>
          <w:szCs w:val="20"/>
        </w:rPr>
        <w:t>OpenGov</w:t>
      </w:r>
      <w:proofErr w:type="spellEnd"/>
      <w:r w:rsidRPr="001B1FD9">
        <w:rPr>
          <w:rFonts w:ascii="Arial" w:hAnsi="Arial" w:cs="Arial"/>
          <w:color w:val="000000"/>
          <w:sz w:val="20"/>
          <w:szCs w:val="20"/>
        </w:rPr>
        <w:t xml:space="preserve"> Asia. (2025, October 2). </w:t>
      </w:r>
      <w:r w:rsidRPr="001B1FD9">
        <w:rPr>
          <w:rFonts w:ascii="Arial" w:hAnsi="Arial" w:cs="Arial"/>
          <w:i/>
          <w:iCs/>
          <w:color w:val="000000"/>
          <w:sz w:val="20"/>
          <w:szCs w:val="20"/>
        </w:rPr>
        <w:t>The Philippines: Expanding digital access in Northern Mindanao</w:t>
      </w:r>
      <w:r w:rsidRPr="001B1FD9">
        <w:rPr>
          <w:rFonts w:ascii="Arial" w:hAnsi="Arial" w:cs="Arial"/>
          <w:color w:val="000000"/>
          <w:sz w:val="20"/>
          <w:szCs w:val="20"/>
        </w:rPr>
        <w:t>.</w:t>
      </w:r>
      <w:hyperlink r:id="rId31" w:history="1">
        <w:r w:rsidRPr="001B1FD9">
          <w:rPr>
            <w:rFonts w:ascii="Arial" w:hAnsi="Arial" w:cs="Arial"/>
            <w:color w:val="000000"/>
            <w:sz w:val="20"/>
            <w:szCs w:val="20"/>
          </w:rPr>
          <w:t xml:space="preserve"> https://opengovasia.com/the-philippines-expanding-digital-access-in-northern-mindanao/</w:t>
        </w:r>
      </w:hyperlink>
    </w:p>
    <w:p w14:paraId="38B5C47D" w14:textId="77777777" w:rsidR="001B1FD9" w:rsidRPr="001B1FD9" w:rsidRDefault="001B1FD9" w:rsidP="001B1FD9">
      <w:pPr>
        <w:ind w:left="450" w:right="18" w:hanging="450"/>
      </w:pPr>
      <w:r w:rsidRPr="001B1FD9">
        <w:rPr>
          <w:rFonts w:ascii="Arial" w:hAnsi="Arial" w:cs="Arial"/>
          <w:color w:val="000000"/>
          <w:sz w:val="20"/>
          <w:szCs w:val="20"/>
        </w:rPr>
        <w:t xml:space="preserve">Philippine Information Agency. (2025, October 1). </w:t>
      </w:r>
      <w:r w:rsidRPr="001B1FD9">
        <w:rPr>
          <w:rFonts w:ascii="Arial" w:hAnsi="Arial" w:cs="Arial"/>
          <w:i/>
          <w:iCs/>
          <w:color w:val="000000"/>
          <w:sz w:val="20"/>
          <w:szCs w:val="20"/>
        </w:rPr>
        <w:t>Digital access expands in Northern Mindanao, requires policy shift</w:t>
      </w:r>
      <w:r w:rsidRPr="001B1FD9">
        <w:rPr>
          <w:rFonts w:ascii="Arial" w:hAnsi="Arial" w:cs="Arial"/>
          <w:color w:val="000000"/>
          <w:sz w:val="20"/>
          <w:szCs w:val="20"/>
        </w:rPr>
        <w:t xml:space="preserve">. </w:t>
      </w:r>
      <w:hyperlink r:id="rId32" w:history="1">
        <w:r w:rsidRPr="001B1FD9">
          <w:rPr>
            <w:rFonts w:ascii="Arial" w:hAnsi="Arial" w:cs="Arial"/>
            <w:color w:val="000000"/>
            <w:sz w:val="20"/>
            <w:szCs w:val="20"/>
          </w:rPr>
          <w:t>https://pia.gov.ph/news/digital-access-expands-in-northern-mindanao-requires-policy-shift/</w:t>
        </w:r>
      </w:hyperlink>
    </w:p>
    <w:p w14:paraId="303FBE29" w14:textId="77777777" w:rsidR="001B1FD9" w:rsidRPr="001B1FD9" w:rsidRDefault="001B1FD9" w:rsidP="001B1FD9">
      <w:pPr>
        <w:ind w:left="450" w:right="18" w:hanging="450"/>
      </w:pPr>
      <w:r w:rsidRPr="001B1FD9">
        <w:rPr>
          <w:rFonts w:ascii="Arial" w:hAnsi="Arial" w:cs="Arial"/>
          <w:color w:val="000000"/>
          <w:sz w:val="20"/>
          <w:szCs w:val="20"/>
        </w:rPr>
        <w:t xml:space="preserve">Philippine Star. (2024, July 24). </w:t>
      </w:r>
      <w:r w:rsidRPr="001B1FD9">
        <w:rPr>
          <w:rFonts w:ascii="Arial" w:hAnsi="Arial" w:cs="Arial"/>
          <w:i/>
          <w:iCs/>
          <w:color w:val="000000"/>
          <w:sz w:val="20"/>
          <w:szCs w:val="20"/>
        </w:rPr>
        <w:t>Digital payments account for 53% of retail transactions in 2023</w:t>
      </w:r>
      <w:r w:rsidRPr="001B1FD9">
        <w:rPr>
          <w:rFonts w:ascii="Arial" w:hAnsi="Arial" w:cs="Arial"/>
          <w:color w:val="000000"/>
          <w:sz w:val="20"/>
          <w:szCs w:val="20"/>
        </w:rPr>
        <w:t xml:space="preserve">. </w:t>
      </w:r>
      <w:hyperlink r:id="rId33" w:history="1">
        <w:r w:rsidRPr="001B1FD9">
          <w:rPr>
            <w:rFonts w:ascii="Arial" w:hAnsi="Arial" w:cs="Arial"/>
            <w:color w:val="000000"/>
            <w:sz w:val="20"/>
            <w:szCs w:val="20"/>
          </w:rPr>
          <w:t>https://www.philstar.com/business/2024/07/24/2372401/digital-payments-account-53-retail-transactions-2023</w:t>
        </w:r>
      </w:hyperlink>
    </w:p>
    <w:p w14:paraId="186F0111" w14:textId="77777777" w:rsidR="001B1FD9" w:rsidRPr="001B1FD9" w:rsidRDefault="001B1FD9" w:rsidP="001B1FD9">
      <w:pPr>
        <w:ind w:left="450" w:right="18" w:hanging="450"/>
      </w:pPr>
      <w:r w:rsidRPr="001B1FD9">
        <w:rPr>
          <w:rFonts w:ascii="Arial" w:hAnsi="Arial" w:cs="Arial"/>
          <w:color w:val="000000"/>
          <w:sz w:val="20"/>
          <w:szCs w:val="20"/>
        </w:rPr>
        <w:t xml:space="preserve">Philippine Statistics Authority, &amp; Department of Information and Communications Technology. (2025). </w:t>
      </w:r>
      <w:r w:rsidRPr="001B1FD9">
        <w:rPr>
          <w:rFonts w:ascii="Arial" w:hAnsi="Arial" w:cs="Arial"/>
          <w:i/>
          <w:iCs/>
          <w:color w:val="000000"/>
          <w:sz w:val="20"/>
          <w:szCs w:val="20"/>
        </w:rPr>
        <w:t>2024 National Information and Communications Technology Household Survey (NICTHS): Preliminary results</w:t>
      </w:r>
      <w:r w:rsidRPr="001B1FD9">
        <w:rPr>
          <w:rFonts w:ascii="Arial" w:hAnsi="Arial" w:cs="Arial"/>
          <w:color w:val="000000"/>
          <w:sz w:val="20"/>
          <w:szCs w:val="20"/>
        </w:rPr>
        <w:t>.</w:t>
      </w:r>
      <w:hyperlink r:id="rId34" w:history="1">
        <w:r w:rsidRPr="001B1FD9">
          <w:rPr>
            <w:rFonts w:ascii="Arial" w:hAnsi="Arial" w:cs="Arial"/>
            <w:color w:val="000000"/>
            <w:sz w:val="20"/>
            <w:szCs w:val="20"/>
          </w:rPr>
          <w:t xml:space="preserve"> </w:t>
        </w:r>
      </w:hyperlink>
      <w:hyperlink r:id="rId35" w:history="1">
        <w:r w:rsidRPr="001B1FD9">
          <w:rPr>
            <w:rFonts w:ascii="Arial" w:hAnsi="Arial" w:cs="Arial"/>
            <w:color w:val="000000"/>
            <w:sz w:val="20"/>
            <w:szCs w:val="20"/>
          </w:rPr>
          <w:t>https://ictstatistics.dict.gov.ph/dict-and-psa-present-preliminary-results-of-2024-national-ict-household-survey/</w:t>
        </w:r>
      </w:hyperlink>
    </w:p>
    <w:p w14:paraId="7588984E" w14:textId="77777777" w:rsidR="001B1FD9" w:rsidRPr="001B1FD9" w:rsidRDefault="001B1FD9" w:rsidP="001B1FD9">
      <w:pPr>
        <w:ind w:left="450" w:right="18" w:hanging="450"/>
      </w:pPr>
      <w:r w:rsidRPr="001B1FD9">
        <w:rPr>
          <w:rFonts w:ascii="Arial" w:hAnsi="Arial" w:cs="Arial"/>
          <w:color w:val="000000"/>
          <w:sz w:val="20"/>
          <w:szCs w:val="20"/>
        </w:rPr>
        <w:t xml:space="preserve">Scott, W. R. (2020). </w:t>
      </w:r>
      <w:r w:rsidRPr="001B1FD9">
        <w:rPr>
          <w:rFonts w:ascii="Arial" w:hAnsi="Arial" w:cs="Arial"/>
          <w:i/>
          <w:iCs/>
          <w:color w:val="000000"/>
          <w:sz w:val="20"/>
          <w:szCs w:val="20"/>
        </w:rPr>
        <w:t>Institutions and organizations: Ideas, interests, and identities</w:t>
      </w:r>
      <w:r w:rsidRPr="001B1FD9">
        <w:rPr>
          <w:rFonts w:ascii="Arial" w:hAnsi="Arial" w:cs="Arial"/>
          <w:color w:val="000000"/>
          <w:sz w:val="20"/>
          <w:szCs w:val="20"/>
        </w:rPr>
        <w:t xml:space="preserve"> (5th ed.). Sage.</w:t>
      </w:r>
    </w:p>
    <w:p w14:paraId="1447CBD8" w14:textId="77777777" w:rsidR="001B1FD9" w:rsidRPr="001B1FD9" w:rsidRDefault="001B1FD9" w:rsidP="001B1FD9">
      <w:pPr>
        <w:ind w:left="450" w:right="18" w:hanging="450"/>
      </w:pPr>
      <w:r w:rsidRPr="001B1FD9">
        <w:rPr>
          <w:rFonts w:ascii="Arial" w:hAnsi="Arial" w:cs="Arial"/>
          <w:color w:val="000000"/>
          <w:sz w:val="20"/>
          <w:szCs w:val="20"/>
        </w:rPr>
        <w:t xml:space="preserve">World Bank. (2022). </w:t>
      </w:r>
      <w:r w:rsidRPr="001B1FD9">
        <w:rPr>
          <w:rFonts w:ascii="Arial" w:hAnsi="Arial" w:cs="Arial"/>
          <w:i/>
          <w:iCs/>
          <w:color w:val="000000"/>
          <w:sz w:val="20"/>
          <w:szCs w:val="20"/>
        </w:rPr>
        <w:t>The Global Findex Database 2021: Financial inclusion, digital payments, and resilience in the age of COVID-19</w:t>
      </w:r>
      <w:r w:rsidRPr="001B1FD9">
        <w:rPr>
          <w:rFonts w:ascii="Arial" w:hAnsi="Arial" w:cs="Arial"/>
          <w:color w:val="000000"/>
          <w:sz w:val="20"/>
          <w:szCs w:val="20"/>
        </w:rPr>
        <w:t>. World Bank.</w:t>
      </w:r>
      <w:hyperlink r:id="rId36" w:history="1">
        <w:r w:rsidRPr="001B1FD9">
          <w:rPr>
            <w:rFonts w:ascii="Arial" w:hAnsi="Arial" w:cs="Arial"/>
            <w:color w:val="000000"/>
            <w:sz w:val="20"/>
            <w:szCs w:val="20"/>
          </w:rPr>
          <w:t xml:space="preserve"> </w:t>
        </w:r>
      </w:hyperlink>
      <w:hyperlink r:id="rId37" w:history="1">
        <w:r w:rsidRPr="001B1FD9">
          <w:rPr>
            <w:rFonts w:ascii="Arial" w:hAnsi="Arial" w:cs="Arial"/>
            <w:color w:val="000000"/>
            <w:sz w:val="20"/>
            <w:szCs w:val="20"/>
          </w:rPr>
          <w:t>https://documents.worldbank.org/en/publication/documents-reports/documentdetail/099818107072234182</w:t>
        </w:r>
      </w:hyperlink>
    </w:p>
    <w:p w14:paraId="2163D957" w14:textId="77777777" w:rsidR="001B1FD9" w:rsidRPr="001B1FD9" w:rsidRDefault="001B1FD9" w:rsidP="001B1FD9">
      <w:pPr>
        <w:ind w:left="450" w:right="18" w:hanging="450"/>
      </w:pPr>
      <w:r w:rsidRPr="001B1FD9">
        <w:rPr>
          <w:rFonts w:ascii="Arial" w:hAnsi="Arial" w:cs="Arial"/>
          <w:color w:val="000000"/>
          <w:sz w:val="20"/>
          <w:szCs w:val="20"/>
        </w:rPr>
        <w:t xml:space="preserve">World Bank. (2025). </w:t>
      </w:r>
      <w:r w:rsidRPr="001B1FD9">
        <w:rPr>
          <w:rFonts w:ascii="Arial" w:hAnsi="Arial" w:cs="Arial"/>
          <w:i/>
          <w:iCs/>
          <w:color w:val="000000"/>
          <w:sz w:val="20"/>
          <w:szCs w:val="20"/>
        </w:rPr>
        <w:t>The Global Findex Database 2025: Connectivity and financial inclusion in the digital economy</w:t>
      </w:r>
      <w:r w:rsidRPr="001B1FD9">
        <w:rPr>
          <w:rFonts w:ascii="Arial" w:hAnsi="Arial" w:cs="Arial"/>
          <w:color w:val="000000"/>
          <w:sz w:val="20"/>
          <w:szCs w:val="20"/>
        </w:rPr>
        <w:t xml:space="preserve"> [Report]. World Bank.</w:t>
      </w:r>
      <w:hyperlink r:id="rId38" w:history="1">
        <w:r w:rsidRPr="001B1FD9">
          <w:rPr>
            <w:rFonts w:ascii="Arial" w:hAnsi="Arial" w:cs="Arial"/>
            <w:color w:val="000000"/>
            <w:sz w:val="20"/>
            <w:szCs w:val="20"/>
          </w:rPr>
          <w:t xml:space="preserve"> </w:t>
        </w:r>
      </w:hyperlink>
      <w:hyperlink r:id="rId39" w:history="1">
        <w:r w:rsidRPr="001B1FD9">
          <w:rPr>
            <w:rFonts w:ascii="Arial" w:hAnsi="Arial" w:cs="Arial"/>
            <w:color w:val="000000"/>
            <w:sz w:val="20"/>
            <w:szCs w:val="20"/>
          </w:rPr>
          <w:t>https://www.worldbank.org/en/publication/globalfindex</w:t>
        </w:r>
      </w:hyperlink>
    </w:p>
    <w:p w14:paraId="0E95971B" w14:textId="77777777" w:rsidR="001B1FD9" w:rsidRPr="001B1FD9" w:rsidRDefault="001B1FD9" w:rsidP="001B1FD9">
      <w:pPr>
        <w:ind w:left="450" w:right="18" w:hanging="450"/>
      </w:pPr>
      <w:r w:rsidRPr="001B1FD9">
        <w:rPr>
          <w:rFonts w:ascii="Arial" w:hAnsi="Arial" w:cs="Arial"/>
          <w:color w:val="000000"/>
          <w:sz w:val="20"/>
          <w:szCs w:val="20"/>
        </w:rPr>
        <w:t xml:space="preserve">World Bank. (n.d.). </w:t>
      </w:r>
      <w:r w:rsidRPr="001B1FD9">
        <w:rPr>
          <w:rFonts w:ascii="Arial" w:hAnsi="Arial" w:cs="Arial"/>
          <w:i/>
          <w:iCs/>
          <w:color w:val="000000"/>
          <w:sz w:val="20"/>
          <w:szCs w:val="20"/>
        </w:rPr>
        <w:t>Financial inclusion</w:t>
      </w:r>
      <w:r w:rsidRPr="001B1FD9">
        <w:rPr>
          <w:rFonts w:ascii="Arial" w:hAnsi="Arial" w:cs="Arial"/>
          <w:color w:val="000000"/>
          <w:sz w:val="20"/>
          <w:szCs w:val="20"/>
        </w:rPr>
        <w:t>. World Bank.</w:t>
      </w:r>
      <w:hyperlink r:id="rId40" w:history="1">
        <w:r w:rsidRPr="001B1FD9">
          <w:rPr>
            <w:rFonts w:ascii="Arial" w:hAnsi="Arial" w:cs="Arial"/>
            <w:color w:val="000000"/>
            <w:sz w:val="20"/>
            <w:szCs w:val="20"/>
          </w:rPr>
          <w:t xml:space="preserve"> </w:t>
        </w:r>
      </w:hyperlink>
      <w:hyperlink r:id="rId41" w:history="1">
        <w:r w:rsidRPr="001B1FD9">
          <w:rPr>
            <w:rFonts w:ascii="Arial" w:hAnsi="Arial" w:cs="Arial"/>
            <w:color w:val="000000"/>
            <w:sz w:val="20"/>
            <w:szCs w:val="20"/>
          </w:rPr>
          <w:t>https://www.worldbank.org/en/topic/financialinclusion</w:t>
        </w:r>
      </w:hyperlink>
    </w:p>
    <w:p w14:paraId="1BD298A3" w14:textId="77777777" w:rsidR="001B1FD9" w:rsidRPr="001B1FD9" w:rsidRDefault="001B1FD9" w:rsidP="001B1FD9">
      <w:pPr>
        <w:ind w:left="450" w:right="18" w:hanging="450"/>
      </w:pPr>
      <w:r w:rsidRPr="001B1FD9">
        <w:rPr>
          <w:rFonts w:ascii="Arial" w:hAnsi="Arial" w:cs="Arial"/>
          <w:color w:val="000000"/>
          <w:sz w:val="20"/>
          <w:szCs w:val="20"/>
        </w:rPr>
        <w:t xml:space="preserve">Xavier University – Ateneo de Cagayan. (2024). </w:t>
      </w:r>
      <w:r w:rsidRPr="001B1FD9">
        <w:rPr>
          <w:rFonts w:ascii="Arial" w:hAnsi="Arial" w:cs="Arial"/>
          <w:i/>
          <w:iCs/>
          <w:color w:val="000000"/>
          <w:sz w:val="20"/>
          <w:szCs w:val="20"/>
        </w:rPr>
        <w:t>Learning as mission: Sustainability report for SDG 4</w:t>
      </w:r>
      <w:r w:rsidRPr="001B1FD9">
        <w:rPr>
          <w:rFonts w:ascii="Arial" w:hAnsi="Arial" w:cs="Arial"/>
          <w:color w:val="000000"/>
          <w:sz w:val="20"/>
          <w:szCs w:val="20"/>
        </w:rPr>
        <w:t>.</w:t>
      </w:r>
      <w:r w:rsidRPr="001B1FD9">
        <w:rPr>
          <w:rFonts w:ascii="Arial" w:hAnsi="Arial" w:cs="Arial"/>
          <w:color w:val="000000"/>
          <w:sz w:val="20"/>
          <w:szCs w:val="20"/>
        </w:rPr>
        <w:br/>
      </w:r>
      <w:hyperlink r:id="rId42" w:history="1">
        <w:r w:rsidRPr="001B1FD9">
          <w:rPr>
            <w:rFonts w:ascii="Arial" w:hAnsi="Arial" w:cs="Arial"/>
            <w:color w:val="000000"/>
            <w:sz w:val="20"/>
            <w:szCs w:val="20"/>
          </w:rPr>
          <w:t>https://www.xu.edu.ph/sustainability-news-and-updates/7725-learning-as-mission-the-2024-xu-sustainability-report-for-sdg-4-quality-education</w:t>
        </w:r>
      </w:hyperlink>
    </w:p>
    <w:p w14:paraId="0C86C646" w14:textId="79367709" w:rsidR="001B1FD9" w:rsidRPr="00BC612C" w:rsidRDefault="001B1FD9" w:rsidP="001B1FD9">
      <w:pPr>
        <w:pStyle w:val="NormalWeb"/>
        <w:spacing w:before="0" w:beforeAutospacing="0" w:after="0" w:afterAutospacing="0"/>
        <w:ind w:left="450" w:right="18" w:hanging="540"/>
      </w:pPr>
      <w:r w:rsidRPr="001B1FD9">
        <w:rPr>
          <w:rFonts w:ascii="Arial" w:hAnsi="Arial" w:cs="Arial"/>
          <w:color w:val="000000"/>
          <w:sz w:val="20"/>
          <w:szCs w:val="20"/>
        </w:rPr>
        <w:t xml:space="preserve">Xavier University – Ateneo de Cagayan. (n.d.). </w:t>
      </w:r>
      <w:r w:rsidRPr="001B1FD9">
        <w:rPr>
          <w:rFonts w:ascii="Arial" w:hAnsi="Arial" w:cs="Arial"/>
          <w:i/>
          <w:iCs/>
          <w:color w:val="000000"/>
          <w:sz w:val="20"/>
          <w:szCs w:val="20"/>
        </w:rPr>
        <w:t>Payment guidelines</w:t>
      </w:r>
      <w:r w:rsidRPr="001B1FD9">
        <w:rPr>
          <w:rFonts w:ascii="Arial" w:hAnsi="Arial" w:cs="Arial"/>
          <w:color w:val="000000"/>
          <w:sz w:val="20"/>
          <w:szCs w:val="20"/>
        </w:rPr>
        <w:t>.</w:t>
      </w:r>
      <w:hyperlink r:id="rId43" w:history="1">
        <w:r w:rsidRPr="001B1FD9">
          <w:rPr>
            <w:rFonts w:ascii="Arial" w:hAnsi="Arial" w:cs="Arial"/>
            <w:color w:val="000000"/>
            <w:sz w:val="20"/>
            <w:szCs w:val="20"/>
          </w:rPr>
          <w:t xml:space="preserve"> </w:t>
        </w:r>
      </w:hyperlink>
      <w:hyperlink r:id="rId44" w:history="1">
        <w:r w:rsidRPr="001B1FD9">
          <w:rPr>
            <w:rFonts w:ascii="Arial" w:hAnsi="Arial" w:cs="Arial"/>
            <w:color w:val="000000"/>
            <w:sz w:val="20"/>
            <w:szCs w:val="20"/>
          </w:rPr>
          <w:t>https://www.xu.edu.ph/payment-guidelines</w:t>
        </w:r>
      </w:hyperlink>
    </w:p>
    <w:sectPr w:rsidR="001B1FD9" w:rsidRPr="00BC612C" w:rsidSect="00557BA1">
      <w:footerReference w:type="default" r:id="rId45"/>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72484" w14:textId="77777777" w:rsidR="002250E2" w:rsidRDefault="002250E2" w:rsidP="00C37E61">
      <w:r>
        <w:separator/>
      </w:r>
    </w:p>
  </w:endnote>
  <w:endnote w:type="continuationSeparator" w:id="0">
    <w:p w14:paraId="21CE058D" w14:textId="77777777" w:rsidR="002250E2" w:rsidRDefault="002250E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F252" w14:textId="15944DA7" w:rsidR="00754C9A" w:rsidRPr="00557BA1" w:rsidRDefault="00754C9A" w:rsidP="00557BA1">
    <w:pPr>
      <w:pStyle w:val="Footer"/>
    </w:pPr>
    <w:bookmarkStart w:id="0" w:name="_GoBack"/>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1A62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BAEF7" w14:textId="77777777" w:rsidR="002250E2" w:rsidRDefault="002250E2" w:rsidP="00C37E61">
      <w:r>
        <w:separator/>
      </w:r>
    </w:p>
  </w:footnote>
  <w:footnote w:type="continuationSeparator" w:id="0">
    <w:p w14:paraId="5B3E099E" w14:textId="77777777" w:rsidR="002250E2" w:rsidRDefault="002250E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2272" w14:textId="77777777" w:rsidR="00296529" w:rsidRPr="00296529" w:rsidRDefault="00296529" w:rsidP="00296529">
    <w:pPr>
      <w:ind w:left="2160"/>
      <w:jc w:val="center"/>
      <w:rPr>
        <w:rFonts w:eastAsia="Calibri"/>
        <w:i/>
        <w:sz w:val="18"/>
        <w:szCs w:val="22"/>
      </w:rPr>
    </w:pPr>
  </w:p>
  <w:p w14:paraId="26912930"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29E5CBA3" w14:textId="77777777" w:rsidR="00296529" w:rsidRPr="00296529" w:rsidRDefault="00754C9A" w:rsidP="00296529">
    <w:pPr>
      <w:jc w:val="center"/>
      <w:rPr>
        <w:rFonts w:eastAsia="Calibri"/>
        <w:i/>
        <w:sz w:val="18"/>
        <w:szCs w:val="22"/>
      </w:rPr>
    </w:pPr>
    <w:r>
      <w:rPr>
        <w:rFonts w:eastAsia="Calibri"/>
        <w:i/>
        <w:sz w:val="18"/>
        <w:szCs w:val="22"/>
      </w:rPr>
      <w:t>.</w:t>
    </w:r>
  </w:p>
  <w:p w14:paraId="6FC204B4"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013B5B17"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5D2231D5"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03DEA63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0E63B9"/>
    <w:multiLevelType w:val="hybridMultilevel"/>
    <w:tmpl w:val="04AC9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2C5C8F"/>
    <w:multiLevelType w:val="multilevel"/>
    <w:tmpl w:val="324E3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B7F94"/>
    <w:multiLevelType w:val="multilevel"/>
    <w:tmpl w:val="4AAE6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F25AF"/>
    <w:multiLevelType w:val="multilevel"/>
    <w:tmpl w:val="3850ACF0"/>
    <w:lvl w:ilvl="0">
      <w:start w:val="1"/>
      <w:numFmt w:val="decimal"/>
      <w:lvlText w:val="%1."/>
      <w:lvlJc w:val="left"/>
      <w:pPr>
        <w:tabs>
          <w:tab w:val="num" w:pos="720"/>
        </w:tabs>
        <w:ind w:left="720" w:hanging="360"/>
      </w:pPr>
      <w:rPr>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C806BC"/>
    <w:multiLevelType w:val="multilevel"/>
    <w:tmpl w:val="324E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F3071D"/>
    <w:multiLevelType w:val="multilevel"/>
    <w:tmpl w:val="14A0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281493C"/>
    <w:multiLevelType w:val="multilevel"/>
    <w:tmpl w:val="AEA0A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5F6729"/>
    <w:multiLevelType w:val="multilevel"/>
    <w:tmpl w:val="B3229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193B5F"/>
    <w:multiLevelType w:val="multilevel"/>
    <w:tmpl w:val="B7B89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C621FF"/>
    <w:multiLevelType w:val="hybridMultilevel"/>
    <w:tmpl w:val="4E7A11E0"/>
    <w:lvl w:ilvl="0" w:tplc="044410C6">
      <w:start w:val="3"/>
      <w:numFmt w:val="decimal"/>
      <w:lvlText w:val="%1."/>
      <w:lvlJc w:val="left"/>
      <w:pPr>
        <w:ind w:left="720" w:hanging="360"/>
      </w:pPr>
      <w:rPr>
        <w:rFonts w:ascii="Arial" w:hAnsi="Arial" w:cs="Arial"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6191987"/>
    <w:multiLevelType w:val="multilevel"/>
    <w:tmpl w:val="F612B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6A18611F"/>
    <w:multiLevelType w:val="multilevel"/>
    <w:tmpl w:val="6C34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7"/>
  </w:num>
  <w:num w:numId="7">
    <w:abstractNumId w:val="1"/>
  </w:num>
  <w:num w:numId="8">
    <w:abstractNumId w:val="17"/>
  </w:num>
  <w:num w:numId="9">
    <w:abstractNumId w:val="37"/>
  </w:num>
  <w:num w:numId="10">
    <w:abstractNumId w:val="2"/>
  </w:num>
  <w:num w:numId="11">
    <w:abstractNumId w:val="29"/>
  </w:num>
  <w:num w:numId="12">
    <w:abstractNumId w:val="3"/>
  </w:num>
  <w:num w:numId="13">
    <w:abstractNumId w:val="27"/>
  </w:num>
  <w:num w:numId="14">
    <w:abstractNumId w:val="11"/>
  </w:num>
  <w:num w:numId="15">
    <w:abstractNumId w:val="33"/>
  </w:num>
  <w:num w:numId="16">
    <w:abstractNumId w:val="5"/>
  </w:num>
  <w:num w:numId="17">
    <w:abstractNumId w:val="34"/>
  </w:num>
  <w:num w:numId="18">
    <w:abstractNumId w:val="20"/>
  </w:num>
  <w:num w:numId="19">
    <w:abstractNumId w:val="40"/>
  </w:num>
  <w:num w:numId="20">
    <w:abstractNumId w:val="16"/>
  </w:num>
  <w:num w:numId="21">
    <w:abstractNumId w:val="12"/>
  </w:num>
  <w:num w:numId="22">
    <w:abstractNumId w:val="19"/>
  </w:num>
  <w:num w:numId="23">
    <w:abstractNumId w:val="31"/>
  </w:num>
  <w:num w:numId="24">
    <w:abstractNumId w:val="38"/>
  </w:num>
  <w:num w:numId="25">
    <w:abstractNumId w:val="4"/>
  </w:num>
  <w:num w:numId="26">
    <w:abstractNumId w:val="25"/>
  </w:num>
  <w:num w:numId="27">
    <w:abstractNumId w:val="32"/>
  </w:num>
  <w:num w:numId="28">
    <w:abstractNumId w:val="39"/>
  </w:num>
  <w:num w:numId="29">
    <w:abstractNumId w:val="36"/>
  </w:num>
  <w:num w:numId="30">
    <w:abstractNumId w:val="13"/>
  </w:num>
  <w:num w:numId="31">
    <w:abstractNumId w:val="15"/>
  </w:num>
  <w:num w:numId="32">
    <w:abstractNumId w:val="6"/>
  </w:num>
  <w:num w:numId="33">
    <w:abstractNumId w:val="9"/>
  </w:num>
  <w:num w:numId="34">
    <w:abstractNumId w:val="26"/>
  </w:num>
  <w:num w:numId="35">
    <w:abstractNumId w:val="18"/>
  </w:num>
  <w:num w:numId="36">
    <w:abstractNumId w:val="21"/>
    <w:lvlOverride w:ilvl="0">
      <w:lvl w:ilvl="0">
        <w:numFmt w:val="decimal"/>
        <w:lvlText w:val="%1."/>
        <w:lvlJc w:val="left"/>
      </w:lvl>
    </w:lvlOverride>
  </w:num>
  <w:num w:numId="37">
    <w:abstractNumId w:val="28"/>
  </w:num>
  <w:num w:numId="38">
    <w:abstractNumId w:val="23"/>
  </w:num>
  <w:num w:numId="39">
    <w:abstractNumId w:val="8"/>
  </w:num>
  <w:num w:numId="40">
    <w:abstractNumId w:val="22"/>
  </w:num>
  <w:num w:numId="41">
    <w:abstractNumId w:val="3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06B9"/>
    <w:rsid w:val="00095000"/>
    <w:rsid w:val="000A47FA"/>
    <w:rsid w:val="000A5E81"/>
    <w:rsid w:val="000A65D3"/>
    <w:rsid w:val="000B1E33"/>
    <w:rsid w:val="000D689F"/>
    <w:rsid w:val="000D7F9D"/>
    <w:rsid w:val="000E1F3F"/>
    <w:rsid w:val="000E395C"/>
    <w:rsid w:val="000E6557"/>
    <w:rsid w:val="000E7B7B"/>
    <w:rsid w:val="000E7D62"/>
    <w:rsid w:val="00103357"/>
    <w:rsid w:val="001165F5"/>
    <w:rsid w:val="00123C9F"/>
    <w:rsid w:val="00126190"/>
    <w:rsid w:val="00130F17"/>
    <w:rsid w:val="001320BF"/>
    <w:rsid w:val="00145F20"/>
    <w:rsid w:val="00151F25"/>
    <w:rsid w:val="00163BC4"/>
    <w:rsid w:val="00191062"/>
    <w:rsid w:val="00192B72"/>
    <w:rsid w:val="001957AA"/>
    <w:rsid w:val="001A29D8"/>
    <w:rsid w:val="001A5CAA"/>
    <w:rsid w:val="001B0427"/>
    <w:rsid w:val="001B1FD9"/>
    <w:rsid w:val="001C6080"/>
    <w:rsid w:val="001D3A51"/>
    <w:rsid w:val="001E10D2"/>
    <w:rsid w:val="001E25B4"/>
    <w:rsid w:val="001E44FE"/>
    <w:rsid w:val="001F1F8A"/>
    <w:rsid w:val="00200595"/>
    <w:rsid w:val="00204835"/>
    <w:rsid w:val="002250E2"/>
    <w:rsid w:val="00231920"/>
    <w:rsid w:val="0023195C"/>
    <w:rsid w:val="0024282C"/>
    <w:rsid w:val="002460DC"/>
    <w:rsid w:val="00247A52"/>
    <w:rsid w:val="00250985"/>
    <w:rsid w:val="002556F6"/>
    <w:rsid w:val="00283105"/>
    <w:rsid w:val="00284C4C"/>
    <w:rsid w:val="00287E68"/>
    <w:rsid w:val="00296529"/>
    <w:rsid w:val="002B27FB"/>
    <w:rsid w:val="002B685A"/>
    <w:rsid w:val="002B6ED2"/>
    <w:rsid w:val="002C57D2"/>
    <w:rsid w:val="002E0D56"/>
    <w:rsid w:val="002F252E"/>
    <w:rsid w:val="002F5A9D"/>
    <w:rsid w:val="00315186"/>
    <w:rsid w:val="003222F9"/>
    <w:rsid w:val="0033343E"/>
    <w:rsid w:val="003512C2"/>
    <w:rsid w:val="00371FB6"/>
    <w:rsid w:val="003763C1"/>
    <w:rsid w:val="00376BBE"/>
    <w:rsid w:val="0039224F"/>
    <w:rsid w:val="003A1D65"/>
    <w:rsid w:val="003A43A4"/>
    <w:rsid w:val="003A7E18"/>
    <w:rsid w:val="003B2560"/>
    <w:rsid w:val="003C4C86"/>
    <w:rsid w:val="003C6258"/>
    <w:rsid w:val="003E052C"/>
    <w:rsid w:val="003E2904"/>
    <w:rsid w:val="00401927"/>
    <w:rsid w:val="0041027F"/>
    <w:rsid w:val="00412475"/>
    <w:rsid w:val="00412978"/>
    <w:rsid w:val="00413E65"/>
    <w:rsid w:val="00423789"/>
    <w:rsid w:val="00440F43"/>
    <w:rsid w:val="00441B6F"/>
    <w:rsid w:val="00446221"/>
    <w:rsid w:val="00450ABB"/>
    <w:rsid w:val="00450E62"/>
    <w:rsid w:val="004539DB"/>
    <w:rsid w:val="0046623F"/>
    <w:rsid w:val="00467639"/>
    <w:rsid w:val="00471A80"/>
    <w:rsid w:val="004A3BFA"/>
    <w:rsid w:val="004D305E"/>
    <w:rsid w:val="004D4277"/>
    <w:rsid w:val="004F080F"/>
    <w:rsid w:val="00500E0E"/>
    <w:rsid w:val="00502516"/>
    <w:rsid w:val="00505F06"/>
    <w:rsid w:val="00506828"/>
    <w:rsid w:val="0053056E"/>
    <w:rsid w:val="00554FDA"/>
    <w:rsid w:val="00557BA1"/>
    <w:rsid w:val="00571825"/>
    <w:rsid w:val="0057596F"/>
    <w:rsid w:val="005C751F"/>
    <w:rsid w:val="005C7630"/>
    <w:rsid w:val="005C784C"/>
    <w:rsid w:val="005D17F6"/>
    <w:rsid w:val="005E50F8"/>
    <w:rsid w:val="005E5539"/>
    <w:rsid w:val="005F2A27"/>
    <w:rsid w:val="00602BF5"/>
    <w:rsid w:val="00617FDD"/>
    <w:rsid w:val="00633614"/>
    <w:rsid w:val="00633F68"/>
    <w:rsid w:val="00636EB2"/>
    <w:rsid w:val="006375B8"/>
    <w:rsid w:val="0066510A"/>
    <w:rsid w:val="00673F9F"/>
    <w:rsid w:val="00674F58"/>
    <w:rsid w:val="00683D46"/>
    <w:rsid w:val="00686953"/>
    <w:rsid w:val="00687DEA"/>
    <w:rsid w:val="00687E67"/>
    <w:rsid w:val="006967F7"/>
    <w:rsid w:val="006A250C"/>
    <w:rsid w:val="006A5937"/>
    <w:rsid w:val="006B21D3"/>
    <w:rsid w:val="006B57D0"/>
    <w:rsid w:val="006C39C8"/>
    <w:rsid w:val="006D30FF"/>
    <w:rsid w:val="006D5A7C"/>
    <w:rsid w:val="006D6940"/>
    <w:rsid w:val="006F11EC"/>
    <w:rsid w:val="006F39E3"/>
    <w:rsid w:val="0070082C"/>
    <w:rsid w:val="00714619"/>
    <w:rsid w:val="00714A5B"/>
    <w:rsid w:val="007369E6"/>
    <w:rsid w:val="00746E59"/>
    <w:rsid w:val="00754C9A"/>
    <w:rsid w:val="0075599A"/>
    <w:rsid w:val="00761D52"/>
    <w:rsid w:val="0077749E"/>
    <w:rsid w:val="00790ADA"/>
    <w:rsid w:val="007C4A5E"/>
    <w:rsid w:val="007D2288"/>
    <w:rsid w:val="007E088F"/>
    <w:rsid w:val="007F7B32"/>
    <w:rsid w:val="00800083"/>
    <w:rsid w:val="00804BC2"/>
    <w:rsid w:val="0081431A"/>
    <w:rsid w:val="0083216F"/>
    <w:rsid w:val="00860000"/>
    <w:rsid w:val="00863BD3"/>
    <w:rsid w:val="008641ED"/>
    <w:rsid w:val="00866582"/>
    <w:rsid w:val="00866D66"/>
    <w:rsid w:val="008671C6"/>
    <w:rsid w:val="00875803"/>
    <w:rsid w:val="00896597"/>
    <w:rsid w:val="008A44A2"/>
    <w:rsid w:val="008B459E"/>
    <w:rsid w:val="008E13AE"/>
    <w:rsid w:val="008E1506"/>
    <w:rsid w:val="008E710C"/>
    <w:rsid w:val="008F69D6"/>
    <w:rsid w:val="00902823"/>
    <w:rsid w:val="00915CA6"/>
    <w:rsid w:val="00927834"/>
    <w:rsid w:val="00946627"/>
    <w:rsid w:val="009500A6"/>
    <w:rsid w:val="00957C18"/>
    <w:rsid w:val="009659BA"/>
    <w:rsid w:val="0097054B"/>
    <w:rsid w:val="00977494"/>
    <w:rsid w:val="00983040"/>
    <w:rsid w:val="009A255A"/>
    <w:rsid w:val="009A331A"/>
    <w:rsid w:val="009B3FB9"/>
    <w:rsid w:val="009C2465"/>
    <w:rsid w:val="009C6F7C"/>
    <w:rsid w:val="009D35A0"/>
    <w:rsid w:val="009D7EB7"/>
    <w:rsid w:val="009E048A"/>
    <w:rsid w:val="009E08E9"/>
    <w:rsid w:val="009E3DB9"/>
    <w:rsid w:val="009E6E35"/>
    <w:rsid w:val="009F0EDA"/>
    <w:rsid w:val="00A03B96"/>
    <w:rsid w:val="00A05B19"/>
    <w:rsid w:val="00A1134E"/>
    <w:rsid w:val="00A24E7E"/>
    <w:rsid w:val="00A258C3"/>
    <w:rsid w:val="00A27744"/>
    <w:rsid w:val="00A347C0"/>
    <w:rsid w:val="00A4020B"/>
    <w:rsid w:val="00A51431"/>
    <w:rsid w:val="00A539AD"/>
    <w:rsid w:val="00A94063"/>
    <w:rsid w:val="00A95D1A"/>
    <w:rsid w:val="00AA13ED"/>
    <w:rsid w:val="00AA45F0"/>
    <w:rsid w:val="00AA6219"/>
    <w:rsid w:val="00AA74E0"/>
    <w:rsid w:val="00AB703F"/>
    <w:rsid w:val="00AC6BB8"/>
    <w:rsid w:val="00AD1E3F"/>
    <w:rsid w:val="00AE008F"/>
    <w:rsid w:val="00B01FCD"/>
    <w:rsid w:val="00B1776C"/>
    <w:rsid w:val="00B43556"/>
    <w:rsid w:val="00B4500D"/>
    <w:rsid w:val="00B52583"/>
    <w:rsid w:val="00B52896"/>
    <w:rsid w:val="00B84C4D"/>
    <w:rsid w:val="00B95236"/>
    <w:rsid w:val="00B95F86"/>
    <w:rsid w:val="00B96BD9"/>
    <w:rsid w:val="00BA1B01"/>
    <w:rsid w:val="00BA2641"/>
    <w:rsid w:val="00BB37AA"/>
    <w:rsid w:val="00BC53A0"/>
    <w:rsid w:val="00BC612C"/>
    <w:rsid w:val="00BE2238"/>
    <w:rsid w:val="00BE62AD"/>
    <w:rsid w:val="00BF121F"/>
    <w:rsid w:val="00BF1F80"/>
    <w:rsid w:val="00C06346"/>
    <w:rsid w:val="00C166EF"/>
    <w:rsid w:val="00C17EB0"/>
    <w:rsid w:val="00C27F5F"/>
    <w:rsid w:val="00C30A0F"/>
    <w:rsid w:val="00C37321"/>
    <w:rsid w:val="00C37E61"/>
    <w:rsid w:val="00C40137"/>
    <w:rsid w:val="00C412D2"/>
    <w:rsid w:val="00C44A33"/>
    <w:rsid w:val="00C57C62"/>
    <w:rsid w:val="00C61DCB"/>
    <w:rsid w:val="00C70F1B"/>
    <w:rsid w:val="00C71A47"/>
    <w:rsid w:val="00C7464C"/>
    <w:rsid w:val="00C83B34"/>
    <w:rsid w:val="00C85588"/>
    <w:rsid w:val="00C924F6"/>
    <w:rsid w:val="00CC30CF"/>
    <w:rsid w:val="00CD6755"/>
    <w:rsid w:val="00CD6856"/>
    <w:rsid w:val="00CE0089"/>
    <w:rsid w:val="00CE793C"/>
    <w:rsid w:val="00CF193C"/>
    <w:rsid w:val="00CF4E2F"/>
    <w:rsid w:val="00D060C4"/>
    <w:rsid w:val="00D173F1"/>
    <w:rsid w:val="00D20361"/>
    <w:rsid w:val="00D24709"/>
    <w:rsid w:val="00D5438A"/>
    <w:rsid w:val="00D65B2A"/>
    <w:rsid w:val="00D66C6A"/>
    <w:rsid w:val="00D74CB0"/>
    <w:rsid w:val="00D8295D"/>
    <w:rsid w:val="00DA0FC7"/>
    <w:rsid w:val="00DB2AD5"/>
    <w:rsid w:val="00DC2A65"/>
    <w:rsid w:val="00DC4F67"/>
    <w:rsid w:val="00DD71CE"/>
    <w:rsid w:val="00DE15F0"/>
    <w:rsid w:val="00DE5663"/>
    <w:rsid w:val="00DE78AA"/>
    <w:rsid w:val="00E053D0"/>
    <w:rsid w:val="00E15994"/>
    <w:rsid w:val="00E30244"/>
    <w:rsid w:val="00E3114E"/>
    <w:rsid w:val="00E31A70"/>
    <w:rsid w:val="00E33360"/>
    <w:rsid w:val="00E35B02"/>
    <w:rsid w:val="00E66496"/>
    <w:rsid w:val="00E66B35"/>
    <w:rsid w:val="00E66E10"/>
    <w:rsid w:val="00E769F6"/>
    <w:rsid w:val="00E8407C"/>
    <w:rsid w:val="00E84F3C"/>
    <w:rsid w:val="00EA012C"/>
    <w:rsid w:val="00EB4BAE"/>
    <w:rsid w:val="00EC6A55"/>
    <w:rsid w:val="00ED0288"/>
    <w:rsid w:val="00ED709E"/>
    <w:rsid w:val="00EE52CB"/>
    <w:rsid w:val="00EF4FE8"/>
    <w:rsid w:val="00EF581D"/>
    <w:rsid w:val="00EF7FD8"/>
    <w:rsid w:val="00F06F59"/>
    <w:rsid w:val="00F17988"/>
    <w:rsid w:val="00F469F0"/>
    <w:rsid w:val="00F53273"/>
    <w:rsid w:val="00F755E4"/>
    <w:rsid w:val="00F77D02"/>
    <w:rsid w:val="00FA0043"/>
    <w:rsid w:val="00FB3A86"/>
    <w:rsid w:val="00FC2F4F"/>
    <w:rsid w:val="00FD36C8"/>
    <w:rsid w:val="00FE7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436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E7419"/>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C44A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41297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33360"/>
    <w:pPr>
      <w:spacing w:before="100" w:beforeAutospacing="1" w:after="100" w:afterAutospacing="1"/>
    </w:pPr>
  </w:style>
  <w:style w:type="paragraph" w:styleId="ListParagraph">
    <w:name w:val="List Paragraph"/>
    <w:basedOn w:val="Normal"/>
    <w:uiPriority w:val="34"/>
    <w:qFormat/>
    <w:rsid w:val="00D060C4"/>
    <w:pPr>
      <w:ind w:left="720"/>
      <w:contextualSpacing/>
    </w:pPr>
  </w:style>
  <w:style w:type="character" w:customStyle="1" w:styleId="Heading3Char">
    <w:name w:val="Heading 3 Char"/>
    <w:basedOn w:val="DefaultParagraphFont"/>
    <w:link w:val="Heading3"/>
    <w:semiHidden/>
    <w:rsid w:val="00412978"/>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C44A33"/>
    <w:rPr>
      <w:rFonts w:asciiTheme="majorHAnsi" w:eastAsiaTheme="majorEastAsia" w:hAnsiTheme="majorHAnsi" w:cstheme="majorBidi"/>
      <w:color w:val="365F91" w:themeColor="accent1" w:themeShade="BF"/>
      <w:sz w:val="26"/>
      <w:szCs w:val="26"/>
    </w:rPr>
  </w:style>
  <w:style w:type="character" w:customStyle="1" w:styleId="apple-tab-span">
    <w:name w:val="apple-tab-span"/>
    <w:basedOn w:val="DefaultParagraphFont"/>
    <w:rsid w:val="00C44A33"/>
  </w:style>
  <w:style w:type="character" w:styleId="Strong">
    <w:name w:val="Strong"/>
    <w:basedOn w:val="DefaultParagraphFont"/>
    <w:uiPriority w:val="22"/>
    <w:qFormat/>
    <w:rsid w:val="00467639"/>
    <w:rPr>
      <w:b/>
      <w:bCs/>
    </w:rPr>
  </w:style>
  <w:style w:type="paragraph" w:customStyle="1" w:styleId="ds-markdown-paragraph">
    <w:name w:val="ds-markdown-paragraph"/>
    <w:basedOn w:val="Normal"/>
    <w:rsid w:val="001B1FD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sp.gov.ph/SitePages/MediaAndResearch/MediaDisp.aspx?ItemId=6646&amp;utm_source=chatgpt.com" TargetMode="External"/><Relationship Id="rId18" Type="http://schemas.openxmlformats.org/officeDocument/2006/relationships/hyperlink" Target="https://documents1.worldbank.org/curated/en/099818107072234182/pdf/IDU06a834fe908933040670a6560f44e3f4d35b7.pdf?utm_source=chatgpt.com" TargetMode="External"/><Relationship Id="rId26" Type="http://schemas.openxmlformats.org/officeDocument/2006/relationships/hyperlink" Target="https://www.bworldonline.com/infographics/2025/07/08/683706/digital-payments-account-for-57-4-of-transaction-volume-in-2024/" TargetMode="External"/><Relationship Id="rId39" Type="http://schemas.openxmlformats.org/officeDocument/2006/relationships/hyperlink" Target="https://www.worldbank.org/en/publication/globalfindex" TargetMode="External"/><Relationship Id="rId21" Type="http://schemas.openxmlformats.org/officeDocument/2006/relationships/hyperlink" Target="https://doi.org/10.2307/2673879" TargetMode="External"/><Relationship Id="rId34" Type="http://schemas.openxmlformats.org/officeDocument/2006/relationships/hyperlink" Target="https://ictstatistics.dict.gov.ph/dict-and-psa-present-preliminary-results-of-2024-national-ict-household-survey/?utm_source=chatgpt.com" TargetMode="External"/><Relationship Id="rId42" Type="http://schemas.openxmlformats.org/officeDocument/2006/relationships/hyperlink" Target="https://www.xu.edu.ph/sustainability-news-and-updates/7725-learning-as-mission-the-2024-xu-sustainability-report-for-sdg-4-quality-education"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sp.gov.ph/PaymentAndSettlement/2024_Report_on_E-payments_Measurement.pdf?utm_source=chatgpt.com" TargetMode="External"/><Relationship Id="rId29" Type="http://schemas.openxmlformats.org/officeDocument/2006/relationships/hyperlink" Target="https://blogs.worldbank.org/en/developmenttalk/digital-technology-is-unlocking-financial-inclusion?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sp.gov.ph/Media_And_Research/Primers%20Faqs/Digital%20Payments%20Transformation%20Roadmap%20Report.pdf?utm_source=chatgpt.com" TargetMode="External"/><Relationship Id="rId24" Type="http://schemas.openxmlformats.org/officeDocument/2006/relationships/hyperlink" Target="https://www.bworldonline.com/top-stories/2024/07/24/609867/digital-payments-account-for-half-of-retail-transactions-at-end-2023/" TargetMode="External"/><Relationship Id="rId32" Type="http://schemas.openxmlformats.org/officeDocument/2006/relationships/hyperlink" Target="https://pia.gov.ph/news/digital-access-expands-in-northern-mindanao-requires-policy-shift/?utm_source=chatgpt.com" TargetMode="External"/><Relationship Id="rId37" Type="http://schemas.openxmlformats.org/officeDocument/2006/relationships/hyperlink" Target="https://documents.worldbank.org/en/publication/documents-reports/documentdetail/099818107072234182" TargetMode="External"/><Relationship Id="rId40" Type="http://schemas.openxmlformats.org/officeDocument/2006/relationships/hyperlink" Target="https://www.worldbank.org/en/topic/financialinclusion?utm_source=chatgpt.com"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sp.gov.ph/Media_And_Research/Financial%20Inclusion%20Dashboard/2023/FIDashboard_1Q2023.pdf?utm_source=chatgpt.com" TargetMode="External"/><Relationship Id="rId23" Type="http://schemas.openxmlformats.org/officeDocument/2006/relationships/hyperlink" Target="https://www.bworldonline.com/top-stories/2024/07/24/609867/digital-payments-account-for-half-of-retail-transactions-at-end-2023/?utm_source=chatgpt.com" TargetMode="External"/><Relationship Id="rId28" Type="http://schemas.openxmlformats.org/officeDocument/2006/relationships/hyperlink" Target="https://doi.org/10.1177/14413582241264619" TargetMode="External"/><Relationship Id="rId36" Type="http://schemas.openxmlformats.org/officeDocument/2006/relationships/hyperlink" Target="https://documents.worldbank.org/en/publication/documents-reports/documentdetail/099818107072234182?utm_source=chatgpt.com" TargetMode="External"/><Relationship Id="rId10" Type="http://schemas.openxmlformats.org/officeDocument/2006/relationships/image" Target="media/image1.png"/><Relationship Id="rId19" Type="http://schemas.openxmlformats.org/officeDocument/2006/relationships/hyperlink" Target="https://documents1.worldbank.org/curated/en/099818107072234182/pdf/IDU06a834fe908933040670a6560f44e3f4d35b7.pdf" TargetMode="External"/><Relationship Id="rId31" Type="http://schemas.openxmlformats.org/officeDocument/2006/relationships/hyperlink" Target="https://opengovasia.com/the-philippines-expanding-digital-access-in-northern-mindanao/?utm_source=chatgpt.com" TargetMode="External"/><Relationship Id="rId44" Type="http://schemas.openxmlformats.org/officeDocument/2006/relationships/hyperlink" Target="https://www.xu.edu.ph/payment-guidelin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sp.gov.ph/SitePages/MediaAndResearch/MediaDisp.aspx?ItemId=6646" TargetMode="External"/><Relationship Id="rId22" Type="http://schemas.openxmlformats.org/officeDocument/2006/relationships/hyperlink" Target="https://data.imf.org/en/datasets/IMF.STA:FAS" TargetMode="External"/><Relationship Id="rId27" Type="http://schemas.openxmlformats.org/officeDocument/2006/relationships/hyperlink" Target="https://doi.org/10.1016/j.jmoneco.2008.01.009" TargetMode="External"/><Relationship Id="rId30" Type="http://schemas.openxmlformats.org/officeDocument/2006/relationships/hyperlink" Target="https://blogs.worldbank.org/en/developmenttalk/digital-technology-is-unlocking-financial-inclusion" TargetMode="External"/><Relationship Id="rId35" Type="http://schemas.openxmlformats.org/officeDocument/2006/relationships/hyperlink" Target="https://ictstatistics.dict.gov.ph/dict-and-psa-present-preliminary-results-of-2024-national-ict-household-survey/" TargetMode="External"/><Relationship Id="rId43" Type="http://schemas.openxmlformats.org/officeDocument/2006/relationships/hyperlink" Target="https://www.xu.edu.ph/payment-guidelines?utm_source=chatgpt.com"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bsp.gov.ph/Media_And_Research/Primers%20Faqs/Digital%20Payments%20Transformation%20Roadmap%20Report.pdf" TargetMode="External"/><Relationship Id="rId17" Type="http://schemas.openxmlformats.org/officeDocument/2006/relationships/hyperlink" Target="https://doi.org/10.3316/QRJ0902027" TargetMode="External"/><Relationship Id="rId25" Type="http://schemas.openxmlformats.org/officeDocument/2006/relationships/hyperlink" Target="https://www.bworldonline.com/infographics/2025/07/08/683706/digital-payments-account-for-57-4-of-transaction-volume-in-2024/?utm_source=chatgpt.com" TargetMode="External"/><Relationship Id="rId33" Type="http://schemas.openxmlformats.org/officeDocument/2006/relationships/hyperlink" Target="https://www.philstar.com/business/2024/07/24/2372401/digital-payments-account-53-retail-transactions-2023?utm_source=chatgpt.com" TargetMode="External"/><Relationship Id="rId38" Type="http://schemas.openxmlformats.org/officeDocument/2006/relationships/hyperlink" Target="https://www.worldbank.org/en/publication/globalfindex?utm_source=chatgpt.com" TargetMode="External"/><Relationship Id="rId46" Type="http://schemas.openxmlformats.org/officeDocument/2006/relationships/fontTable" Target="fontTable.xml"/><Relationship Id="rId20" Type="http://schemas.openxmlformats.org/officeDocument/2006/relationships/hyperlink" Target="https://doi.org/10.2307/2095101" TargetMode="External"/><Relationship Id="rId41" Type="http://schemas.openxmlformats.org/officeDocument/2006/relationships/hyperlink" Target="https://www.worldbank.org/en/topic/financialinclu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814AA-4FC4-467C-A829-E7F8419AE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12</Pages>
  <Words>6060</Words>
  <Characters>34547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40526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2026-01-26T17:54:00Z</dcterms:created>
  <dcterms:modified xsi:type="dcterms:W3CDTF">2026-01-27T10:32:00Z</dcterms:modified>
</cp:coreProperties>
</file>