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350AA" w14:textId="77777777" w:rsidR="009C10F7" w:rsidRPr="009C10F7" w:rsidRDefault="009C10F7" w:rsidP="009C10F7">
      <w:pPr>
        <w:spacing w:line="360" w:lineRule="auto"/>
        <w:ind w:left="-284" w:right="-188"/>
        <w:jc w:val="both"/>
        <w:rPr>
          <w:rFonts w:ascii="Times New Roman" w:hAnsi="Times New Roman" w:cs="Times New Roman"/>
          <w:b/>
          <w:bCs/>
          <w:i/>
          <w:iCs/>
          <w:sz w:val="32"/>
          <w:szCs w:val="32"/>
          <w:u w:val="single"/>
          <w:lang w:val="en-US"/>
        </w:rPr>
      </w:pPr>
      <w:r w:rsidRPr="009C10F7">
        <w:rPr>
          <w:rFonts w:ascii="Times New Roman" w:hAnsi="Times New Roman" w:cs="Times New Roman"/>
          <w:b/>
          <w:bCs/>
          <w:i/>
          <w:iCs/>
          <w:sz w:val="32"/>
          <w:szCs w:val="32"/>
          <w:u w:val="single"/>
          <w:lang w:val="en-US"/>
        </w:rPr>
        <w:t xml:space="preserve">Case report </w:t>
      </w:r>
    </w:p>
    <w:p w14:paraId="62750EAF" w14:textId="3FC14224" w:rsidR="00C16804" w:rsidRPr="005913B4" w:rsidRDefault="00C16804" w:rsidP="005913B4">
      <w:pPr>
        <w:spacing w:line="360" w:lineRule="auto"/>
        <w:ind w:left="-284" w:right="-188"/>
        <w:jc w:val="both"/>
        <w:rPr>
          <w:rFonts w:ascii="Times New Roman" w:hAnsi="Times New Roman" w:cs="Times New Roman"/>
          <w:b/>
          <w:bCs/>
          <w:sz w:val="32"/>
          <w:szCs w:val="32"/>
          <w:lang w:val="en-US"/>
        </w:rPr>
      </w:pPr>
      <w:r w:rsidRPr="005913B4">
        <w:rPr>
          <w:rFonts w:ascii="Times New Roman" w:hAnsi="Times New Roman" w:cs="Times New Roman"/>
          <w:b/>
          <w:bCs/>
          <w:sz w:val="32"/>
          <w:szCs w:val="32"/>
          <w:lang w:val="en-US"/>
        </w:rPr>
        <w:t>Comprehensive Dual-Arch Prosthetic Rehabilitation with a Convertible Mandibular Cast Partial Denture and Maxillary Overdenture: A Case Report</w:t>
      </w:r>
    </w:p>
    <w:p w14:paraId="1B4D576C" w14:textId="77777777" w:rsidR="005913B4" w:rsidRPr="005913B4" w:rsidRDefault="005913B4" w:rsidP="005913B4">
      <w:pPr>
        <w:pStyle w:val="ListParagraph"/>
        <w:spacing w:line="480" w:lineRule="auto"/>
        <w:ind w:left="-284" w:right="-188"/>
        <w:jc w:val="both"/>
        <w:rPr>
          <w:rFonts w:ascii="Times New Roman" w:hAnsi="Times New Roman" w:cs="Times New Roman"/>
          <w:b/>
          <w:bCs/>
          <w:sz w:val="32"/>
          <w:szCs w:val="32"/>
          <w:lang w:val="en-US"/>
        </w:rPr>
      </w:pPr>
    </w:p>
    <w:p w14:paraId="488A7AA6" w14:textId="78E98F0D" w:rsidR="001F7E64" w:rsidRPr="005913B4" w:rsidRDefault="001F7E64" w:rsidP="005913B4">
      <w:pPr>
        <w:pStyle w:val="ListParagraph"/>
        <w:spacing w:line="480" w:lineRule="auto"/>
        <w:ind w:left="-284" w:right="-188"/>
        <w:jc w:val="both"/>
        <w:rPr>
          <w:rFonts w:ascii="Times New Roman" w:hAnsi="Times New Roman" w:cs="Times New Roman"/>
          <w:b/>
          <w:bCs/>
          <w:sz w:val="28"/>
          <w:szCs w:val="28"/>
        </w:rPr>
      </w:pPr>
      <w:r w:rsidRPr="005913B4">
        <w:rPr>
          <w:rFonts w:ascii="Times New Roman" w:hAnsi="Times New Roman" w:cs="Times New Roman"/>
          <w:b/>
          <w:bCs/>
          <w:sz w:val="28"/>
          <w:szCs w:val="28"/>
        </w:rPr>
        <w:t>Abstract</w:t>
      </w:r>
      <w:r w:rsidR="00223CDC" w:rsidRPr="005913B4">
        <w:rPr>
          <w:rFonts w:ascii="Times New Roman" w:hAnsi="Times New Roman" w:cs="Times New Roman"/>
          <w:b/>
          <w:bCs/>
          <w:sz w:val="28"/>
          <w:szCs w:val="28"/>
        </w:rPr>
        <w:t>:</w:t>
      </w:r>
    </w:p>
    <w:p w14:paraId="03900900" w14:textId="77777777" w:rsidR="001F7E64" w:rsidRPr="005913B4" w:rsidRDefault="001F7E64"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                     Preservation of the residual alveolar ridge is a primary goal in prosthodontic rehabilitation. Overdentures represent a proven treatment modality that aids in alveolar bone preservation while maintaining proprioceptive feedback through retained natural teeth. Hemisectioned molars can serve as effective abutments for overdenture support.</w:t>
      </w:r>
    </w:p>
    <w:p w14:paraId="47B5FE8B" w14:textId="77777777" w:rsidR="001F7E64" w:rsidRPr="005913B4" w:rsidRDefault="001F7E64"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                      This case report describes rehabilitation using a maxillary tooth-supported overdenture and a convertible mandibular cast partial overdenture, using a hemisectioned molar as an abutment. A 62-year-old male patient reported with multiple missing teeth and difficulty in mastication. As the patient denied for extractions, a preventive prosthodontic approach involving tooth-supported overdentures was planned.</w:t>
      </w:r>
    </w:p>
    <w:p w14:paraId="2BF30785" w14:textId="77777777" w:rsidR="001F7E64" w:rsidRPr="005913B4" w:rsidRDefault="001F7E64"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                     The present report highlights use of hemisectioned molar as an overdenture abutment. A convertible cast partial overdenture was designed to allow future modification in situation of abutment loss. This approach improves </w:t>
      </w:r>
      <w:proofErr w:type="spellStart"/>
      <w:r w:rsidRPr="005913B4">
        <w:rPr>
          <w:rFonts w:ascii="Times New Roman" w:hAnsi="Times New Roman" w:cs="Times New Roman"/>
          <w:sz w:val="28"/>
          <w:szCs w:val="28"/>
        </w:rPr>
        <w:t>esthetics</w:t>
      </w:r>
      <w:proofErr w:type="spellEnd"/>
      <w:r w:rsidRPr="005913B4">
        <w:rPr>
          <w:rFonts w:ascii="Times New Roman" w:hAnsi="Times New Roman" w:cs="Times New Roman"/>
          <w:sz w:val="28"/>
          <w:szCs w:val="28"/>
        </w:rPr>
        <w:t>, mastication and overall patient satisfaction.</w:t>
      </w:r>
    </w:p>
    <w:p w14:paraId="257437CF" w14:textId="77777777" w:rsidR="001F7E64" w:rsidRPr="005913B4" w:rsidRDefault="001F7E64"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b/>
          <w:bCs/>
          <w:sz w:val="28"/>
          <w:szCs w:val="28"/>
        </w:rPr>
        <w:lastRenderedPageBreak/>
        <w:t>Keywords:</w:t>
      </w:r>
      <w:r w:rsidRPr="005913B4">
        <w:rPr>
          <w:rFonts w:ascii="Times New Roman" w:hAnsi="Times New Roman" w:cs="Times New Roman"/>
          <w:sz w:val="28"/>
          <w:szCs w:val="28"/>
        </w:rPr>
        <w:br/>
        <w:t xml:space="preserve">Alveolar ridge preservation, Cast partial denture, Convertible denture, Dual-arch rehabilitation, Hemisectioned teeth, Preventive prosthodontics, Tooth-supported overdenture. </w:t>
      </w:r>
    </w:p>
    <w:p w14:paraId="3F476A00" w14:textId="77777777" w:rsidR="00A87B35" w:rsidRPr="005913B4" w:rsidRDefault="00A87B35" w:rsidP="005913B4">
      <w:pPr>
        <w:spacing w:line="480" w:lineRule="auto"/>
        <w:ind w:left="-284"/>
        <w:jc w:val="both"/>
        <w:rPr>
          <w:rFonts w:ascii="Times New Roman" w:hAnsi="Times New Roman" w:cs="Times New Roman"/>
          <w:b/>
          <w:bCs/>
          <w:sz w:val="28"/>
          <w:szCs w:val="28"/>
        </w:rPr>
      </w:pPr>
      <w:r w:rsidRPr="005913B4">
        <w:rPr>
          <w:rFonts w:ascii="Times New Roman" w:hAnsi="Times New Roman" w:cs="Times New Roman"/>
          <w:b/>
          <w:bCs/>
          <w:sz w:val="28"/>
          <w:szCs w:val="28"/>
        </w:rPr>
        <w:t>Introduction:</w:t>
      </w:r>
    </w:p>
    <w:p w14:paraId="31BA5625" w14:textId="77777777" w:rsidR="00A87B35" w:rsidRPr="005913B4" w:rsidRDefault="00A87B35"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                  </w:t>
      </w:r>
      <w:proofErr w:type="spellStart"/>
      <w:r w:rsidRPr="005913B4">
        <w:rPr>
          <w:rFonts w:ascii="Times New Roman" w:hAnsi="Times New Roman" w:cs="Times New Roman"/>
          <w:sz w:val="28"/>
          <w:szCs w:val="28"/>
        </w:rPr>
        <w:t>DeVan’s</w:t>
      </w:r>
      <w:proofErr w:type="spellEnd"/>
      <w:r w:rsidRPr="005913B4">
        <w:rPr>
          <w:rFonts w:ascii="Times New Roman" w:hAnsi="Times New Roman" w:cs="Times New Roman"/>
          <w:sz w:val="28"/>
          <w:szCs w:val="28"/>
        </w:rPr>
        <w:t xml:space="preserve"> classic principle, “Perpetual preservation of what remains is more important than the meticulous replacement of what is missing” continues to guide modern prosthodontic practice. ¹ Preventive prosthodontics is based on this philosophy, focusing on conservation of remaining oral structures while formulating treatment plans aimed at improving patient comfort and function. Among the available preventive treatment modalities, overdentures serve as a practical and reliable option and often provide superior outcomes when compared to conventional complete dentures, which are associated with several limitations.</w:t>
      </w:r>
    </w:p>
    <w:p w14:paraId="5487A29B" w14:textId="66A62D65" w:rsidR="00A87B35" w:rsidRPr="005913B4" w:rsidRDefault="00A87B35"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                       According to the Glossary of Prosthodontic Terms (GPT-10), an overdenture is defined as a removable partial or complete denture that covers and is supported by one or more remaining natural teeth, tooth roots, and/or dental implants. Such prostheses are also referred to as overlay dentures, overlay prostheses, or superimposed prostheses. ² </w:t>
      </w:r>
      <w:proofErr w:type="gramStart"/>
      <w:r w:rsidRPr="005913B4">
        <w:rPr>
          <w:rFonts w:ascii="Times New Roman" w:hAnsi="Times New Roman" w:cs="Times New Roman"/>
          <w:sz w:val="28"/>
          <w:szCs w:val="28"/>
        </w:rPr>
        <w:t>The</w:t>
      </w:r>
      <w:proofErr w:type="gramEnd"/>
      <w:r w:rsidRPr="005913B4">
        <w:rPr>
          <w:rFonts w:ascii="Times New Roman" w:hAnsi="Times New Roman" w:cs="Times New Roman"/>
          <w:sz w:val="28"/>
          <w:szCs w:val="28"/>
        </w:rPr>
        <w:t xml:space="preserve"> concept of overdentures dates back to the nineteenth century, with landmark publications by Morrow et al. and Lord and Teel in 1969 describing simplified approaches to overdenture therapy. ³ Subsequent prosthodontic literature further elaborated on the principles, indications, and clinical </w:t>
      </w:r>
      <w:r w:rsidRPr="005913B4">
        <w:rPr>
          <w:rFonts w:ascii="Times New Roman" w:hAnsi="Times New Roman" w:cs="Times New Roman"/>
          <w:sz w:val="28"/>
          <w:szCs w:val="28"/>
        </w:rPr>
        <w:lastRenderedPageBreak/>
        <w:t>protocols associated with overdenture treatment. ³ Appropriate treatment planning, including careful abutment selection and elective endodontic therapy, plays a decisive role in long-term success. ³ Miller conducted a six-year longitudinal study involving 46 overdenture patients and reported significantly reduced alveolar bone resorption when compared to complete denture wearers.⁴ Chen et al., in an observational study, demonstrated improved masticatory efficiency in tooth-supported overdenture patients compared with conventional denture wearers, with no statistically significant difference between tooth-supported and implant-supported overdentures.⁵ Crown and Rooney (1975) further confirmed that retention of mandibular canines for overdenture support resulted in effective preservation of alveolar bone.⁵</w:t>
      </w:r>
      <w:r w:rsidR="005C7105">
        <w:rPr>
          <w:rFonts w:ascii="Times New Roman" w:hAnsi="Times New Roman" w:cs="Times New Roman"/>
          <w:sz w:val="28"/>
          <w:szCs w:val="28"/>
        </w:rPr>
        <w:t xml:space="preserve"> </w:t>
      </w:r>
      <w:r w:rsidRPr="005913B4">
        <w:rPr>
          <w:rFonts w:ascii="Times New Roman" w:hAnsi="Times New Roman" w:cs="Times New Roman"/>
          <w:sz w:val="28"/>
          <w:szCs w:val="28"/>
        </w:rPr>
        <w:t>Glen et al. reported that hemisectioned teeth can be successfully employed as overdenture abutments.⁶ Hemisection is indicated in situations involving severe vertical bone loss affecting one root while the remaining root demonstrates healthy periodontal support, interradicular bone loss where osteotomy is not feasible, or non-restorable caries involving the furcation area.⁶ The primary objective of hemisection is to preserve a root with a healthy periodontium, thereby enabling its use as a functional abutment, particularly in mandibular distal extension cases.⁶  The present case report integrates the advantages of both overdentures and cast partial dentures. A hemisectioned mandibular molar with a retained mesial root was modified and used as an overdenture abutment. The mandibular prosthesis was termed a convertible cast partial overdenture due to its adaptability for future modifications in the event of abutment loss.</w:t>
      </w:r>
    </w:p>
    <w:p w14:paraId="7275F3FD" w14:textId="165FD456" w:rsidR="00A87B35" w:rsidRPr="005913B4" w:rsidRDefault="00A87B35" w:rsidP="005913B4">
      <w:pPr>
        <w:spacing w:line="480" w:lineRule="auto"/>
        <w:ind w:left="-284"/>
        <w:jc w:val="both"/>
        <w:rPr>
          <w:rFonts w:ascii="Times New Roman" w:hAnsi="Times New Roman" w:cs="Times New Roman"/>
          <w:b/>
          <w:bCs/>
          <w:sz w:val="28"/>
          <w:szCs w:val="28"/>
        </w:rPr>
      </w:pPr>
      <w:r w:rsidRPr="005913B4">
        <w:rPr>
          <w:rFonts w:ascii="Times New Roman" w:hAnsi="Times New Roman" w:cs="Times New Roman"/>
          <w:b/>
          <w:bCs/>
          <w:sz w:val="28"/>
          <w:szCs w:val="28"/>
        </w:rPr>
        <w:lastRenderedPageBreak/>
        <w:t>Case Report:</w:t>
      </w:r>
    </w:p>
    <w:p w14:paraId="407D601C" w14:textId="36EAC704" w:rsidR="005C7105" w:rsidRDefault="001C04E1"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noProof/>
          <w:sz w:val="28"/>
          <w:szCs w:val="28"/>
        </w:rPr>
        <w:drawing>
          <wp:anchor distT="0" distB="0" distL="114300" distR="114300" simplePos="0" relativeHeight="251665408" behindDoc="0" locked="0" layoutInCell="1" allowOverlap="1" wp14:anchorId="47AA20ED" wp14:editId="2016B71E">
            <wp:simplePos x="0" y="0"/>
            <wp:positionH relativeFrom="margin">
              <wp:posOffset>1420446</wp:posOffset>
            </wp:positionH>
            <wp:positionV relativeFrom="paragraph">
              <wp:posOffset>2678723</wp:posOffset>
            </wp:positionV>
            <wp:extent cx="3234055" cy="2900680"/>
            <wp:effectExtent l="19050" t="19050" r="23495" b="13970"/>
            <wp:wrapTopAndBottom/>
            <wp:docPr id="1336230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230307" name=""/>
                    <pic:cNvPicPr/>
                  </pic:nvPicPr>
                  <pic:blipFill rotWithShape="1">
                    <a:blip r:embed="rId7" cstate="print">
                      <a:extLst>
                        <a:ext uri="{28A0092B-C50C-407E-A947-70E740481C1C}">
                          <a14:useLocalDpi xmlns:a14="http://schemas.microsoft.com/office/drawing/2010/main" val="0"/>
                        </a:ext>
                      </a:extLst>
                    </a:blip>
                    <a:srcRect l="5627" r="1731" b="2809"/>
                    <a:stretch>
                      <a:fillRect/>
                    </a:stretch>
                  </pic:blipFill>
                  <pic:spPr bwMode="auto">
                    <a:xfrm>
                      <a:off x="0" y="0"/>
                      <a:ext cx="3234055" cy="2900680"/>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7B35" w:rsidRPr="005913B4">
        <w:rPr>
          <w:rFonts w:ascii="Times New Roman" w:hAnsi="Times New Roman" w:cs="Times New Roman"/>
          <w:sz w:val="28"/>
          <w:szCs w:val="28"/>
        </w:rPr>
        <w:t xml:space="preserve">                       A 62-year-old male patient reported with the chief complaint of difficulty in mastication due to multiple missing teeth in both the maxillary and mandibular arches. Detailed medical and dental histories were recorded, followed by a comprehensive extraoral (Figure 1</w:t>
      </w:r>
      <w:r w:rsidR="003703D5" w:rsidRPr="005913B4">
        <w:rPr>
          <w:rFonts w:ascii="Times New Roman" w:hAnsi="Times New Roman" w:cs="Times New Roman"/>
          <w:sz w:val="28"/>
          <w:szCs w:val="28"/>
        </w:rPr>
        <w:t>A</w:t>
      </w:r>
      <w:r w:rsidR="00A87B35" w:rsidRPr="005913B4">
        <w:rPr>
          <w:rFonts w:ascii="Times New Roman" w:hAnsi="Times New Roman" w:cs="Times New Roman"/>
          <w:sz w:val="28"/>
          <w:szCs w:val="28"/>
        </w:rPr>
        <w:t xml:space="preserve">) and intraoral examination (Figure </w:t>
      </w:r>
      <w:r w:rsidRPr="005913B4">
        <w:rPr>
          <w:rFonts w:ascii="Times New Roman" w:hAnsi="Times New Roman" w:cs="Times New Roman"/>
          <w:sz w:val="28"/>
          <w:szCs w:val="28"/>
        </w:rPr>
        <w:t>1B &amp; 1C</w:t>
      </w:r>
      <w:r w:rsidR="00A87B35" w:rsidRPr="005913B4">
        <w:rPr>
          <w:rFonts w:ascii="Times New Roman" w:hAnsi="Times New Roman" w:cs="Times New Roman"/>
          <w:sz w:val="28"/>
          <w:szCs w:val="28"/>
        </w:rPr>
        <w:t>). An orthopantomogram (OPG) was advised for further evaluation. Radiographic assessment revealed previously underwent root canal treatment with respect to teeth 11, 12, and 21.</w:t>
      </w:r>
    </w:p>
    <w:p w14:paraId="0611E532" w14:textId="67E1B4ED" w:rsidR="005C7105" w:rsidRDefault="005C7105"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6AD18EAE" wp14:editId="164FD3F6">
                <wp:simplePos x="0" y="0"/>
                <wp:positionH relativeFrom="margin">
                  <wp:posOffset>1146175</wp:posOffset>
                </wp:positionH>
                <wp:positionV relativeFrom="paragraph">
                  <wp:posOffset>2666463</wp:posOffset>
                </wp:positionV>
                <wp:extent cx="3601329" cy="309489"/>
                <wp:effectExtent l="0" t="0" r="18415" b="14605"/>
                <wp:wrapNone/>
                <wp:docPr id="896325290" name="Text Box 23"/>
                <wp:cNvGraphicFramePr/>
                <a:graphic xmlns:a="http://schemas.openxmlformats.org/drawingml/2006/main">
                  <a:graphicData uri="http://schemas.microsoft.com/office/word/2010/wordprocessingShape">
                    <wps:wsp>
                      <wps:cNvSpPr txBox="1"/>
                      <wps:spPr>
                        <a:xfrm>
                          <a:off x="0" y="0"/>
                          <a:ext cx="3601329" cy="309489"/>
                        </a:xfrm>
                        <a:prstGeom prst="rect">
                          <a:avLst/>
                        </a:prstGeom>
                        <a:solidFill>
                          <a:schemeClr val="lt1"/>
                        </a:solidFill>
                        <a:ln w="6350">
                          <a:solidFill>
                            <a:prstClr val="black"/>
                          </a:solidFill>
                        </a:ln>
                      </wps:spPr>
                      <wps:txbx>
                        <w:txbxContent>
                          <w:p w14:paraId="397345EC" w14:textId="77777777" w:rsidR="002A54D6" w:rsidRPr="005C7105" w:rsidRDefault="002A54D6" w:rsidP="002A54D6">
                            <w:pPr>
                              <w:jc w:val="center"/>
                              <w:rPr>
                                <w:rFonts w:ascii="Times New Roman" w:hAnsi="Times New Roman" w:cs="Times New Roman"/>
                                <w:sz w:val="24"/>
                                <w:szCs w:val="24"/>
                              </w:rPr>
                            </w:pPr>
                            <w:r w:rsidRPr="005C7105">
                              <w:rPr>
                                <w:rFonts w:ascii="Times New Roman" w:hAnsi="Times New Roman" w:cs="Times New Roman"/>
                                <w:b/>
                                <w:bCs/>
                                <w:sz w:val="24"/>
                                <w:szCs w:val="24"/>
                              </w:rPr>
                              <w:t xml:space="preserve">Figure 1: </w:t>
                            </w:r>
                            <w:r w:rsidRPr="005C7105">
                              <w:rPr>
                                <w:rFonts w:ascii="Times New Roman" w:hAnsi="Times New Roman" w:cs="Times New Roman"/>
                                <w:sz w:val="24"/>
                                <w:szCs w:val="24"/>
                              </w:rPr>
                              <w:t>Extraoral and Intraoral images</w:t>
                            </w:r>
                          </w:p>
                          <w:p w14:paraId="164E4DF9" w14:textId="77777777" w:rsidR="002A54D6" w:rsidRDefault="002A54D6" w:rsidP="002A54D6"/>
                          <w:p w14:paraId="5511F7C3" w14:textId="77777777" w:rsidR="002A54D6" w:rsidRDefault="002A54D6" w:rsidP="002A54D6"/>
                          <w:p w14:paraId="2D5AD76C" w14:textId="77777777" w:rsidR="002A54D6" w:rsidRDefault="002A54D6" w:rsidP="002A54D6"/>
                          <w:p w14:paraId="11070D13" w14:textId="77777777" w:rsidR="002A54D6" w:rsidRDefault="002A54D6" w:rsidP="002A54D6"/>
                          <w:p w14:paraId="568D4647" w14:textId="77777777" w:rsidR="002A54D6" w:rsidRDefault="002A54D6" w:rsidP="002A54D6"/>
                          <w:p w14:paraId="04CDEA5D" w14:textId="77777777" w:rsidR="002A54D6" w:rsidRDefault="002A54D6" w:rsidP="002A54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D18EAE" id="_x0000_t202" coordsize="21600,21600" o:spt="202" path="m,l,21600r21600,l21600,xe">
                <v:stroke joinstyle="miter"/>
                <v:path gradientshapeok="t" o:connecttype="rect"/>
              </v:shapetype>
              <v:shape id="Text Box 23" o:spid="_x0000_s1026" type="#_x0000_t202" style="position:absolute;left:0;text-align:left;margin-left:90.25pt;margin-top:209.95pt;width:283.55pt;height:24.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" fillcolor="white [3201]" strokeweight=".5pt">
                <v:textbox>
                  <w:txbxContent>
                    <w:p w14:paraId="397345EC" w14:textId="77777777" w:rsidR="002A54D6" w:rsidRPr="005C7105" w:rsidRDefault="002A54D6" w:rsidP="002A54D6">
                      <w:pPr>
                        <w:jc w:val="center"/>
                        <w:rPr>
                          <w:rFonts w:ascii="Times New Roman" w:hAnsi="Times New Roman" w:cs="Times New Roman"/>
                          <w:sz w:val="24"/>
                          <w:szCs w:val="24"/>
                        </w:rPr>
                      </w:pPr>
                      <w:r w:rsidRPr="005C7105">
                        <w:rPr>
                          <w:rFonts w:ascii="Times New Roman" w:hAnsi="Times New Roman" w:cs="Times New Roman"/>
                          <w:b/>
                          <w:bCs/>
                          <w:sz w:val="24"/>
                          <w:szCs w:val="24"/>
                        </w:rPr>
                        <w:t xml:space="preserve">Figure 1: </w:t>
                      </w:r>
                      <w:r w:rsidRPr="005C7105">
                        <w:rPr>
                          <w:rFonts w:ascii="Times New Roman" w:hAnsi="Times New Roman" w:cs="Times New Roman"/>
                          <w:sz w:val="24"/>
                          <w:szCs w:val="24"/>
                        </w:rPr>
                        <w:t>Extraoral and Intraoral images</w:t>
                      </w:r>
                    </w:p>
                    <w:p w14:paraId="164E4DF9" w14:textId="77777777" w:rsidR="002A54D6" w:rsidRDefault="002A54D6" w:rsidP="002A54D6"/>
                    <w:p w14:paraId="5511F7C3" w14:textId="77777777" w:rsidR="002A54D6" w:rsidRDefault="002A54D6" w:rsidP="002A54D6"/>
                    <w:p w14:paraId="2D5AD76C" w14:textId="77777777" w:rsidR="002A54D6" w:rsidRDefault="002A54D6" w:rsidP="002A54D6"/>
                    <w:p w14:paraId="11070D13" w14:textId="77777777" w:rsidR="002A54D6" w:rsidRDefault="002A54D6" w:rsidP="002A54D6"/>
                    <w:p w14:paraId="568D4647" w14:textId="77777777" w:rsidR="002A54D6" w:rsidRDefault="002A54D6" w:rsidP="002A54D6"/>
                    <w:p w14:paraId="04CDEA5D" w14:textId="77777777" w:rsidR="002A54D6" w:rsidRDefault="002A54D6" w:rsidP="002A54D6"/>
                  </w:txbxContent>
                </v:textbox>
                <w10:wrap anchorx="margin"/>
              </v:shape>
            </w:pict>
          </mc:Fallback>
        </mc:AlternateContent>
      </w:r>
      <w:r w:rsidR="00A87B35" w:rsidRPr="005913B4">
        <w:rPr>
          <w:rFonts w:ascii="Times New Roman" w:hAnsi="Times New Roman" w:cs="Times New Roman"/>
          <w:sz w:val="28"/>
          <w:szCs w:val="28"/>
        </w:rPr>
        <w:t xml:space="preserve"> </w:t>
      </w:r>
    </w:p>
    <w:p w14:paraId="438ED9E4" w14:textId="03B60481" w:rsidR="005C7105" w:rsidRDefault="005C7105" w:rsidP="005913B4">
      <w:pPr>
        <w:spacing w:line="480" w:lineRule="auto"/>
        <w:ind w:left="-284"/>
        <w:jc w:val="both"/>
        <w:rPr>
          <w:rFonts w:ascii="Times New Roman" w:hAnsi="Times New Roman" w:cs="Times New Roman"/>
          <w:sz w:val="28"/>
          <w:szCs w:val="28"/>
        </w:rPr>
      </w:pPr>
    </w:p>
    <w:p w14:paraId="60946948" w14:textId="1434FC71" w:rsidR="005C7105" w:rsidRDefault="00A87B35"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Furcation involvement and a periapical lesion was noted with respect to tooth 37. </w:t>
      </w:r>
    </w:p>
    <w:p w14:paraId="2FBA3642" w14:textId="660FB332" w:rsidR="00002A92" w:rsidRPr="005913B4" w:rsidRDefault="00A87B35"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As the patient was not willing to undergo extractions, a preventive prosthodontic approach involving tooth-supported overdentures was planned after evaluating the tentative jaw relations. Due to poor prognosis, extraction 21 was advised. </w:t>
      </w:r>
    </w:p>
    <w:p w14:paraId="28DB98EA" w14:textId="3DE5E34C" w:rsidR="00714AE3" w:rsidRPr="005913B4" w:rsidRDefault="00C617EC"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noProof/>
          <w:sz w:val="28"/>
          <w:szCs w:val="28"/>
        </w:rPr>
        <w:lastRenderedPageBreak/>
        <w:drawing>
          <wp:anchor distT="0" distB="0" distL="114300" distR="114300" simplePos="0" relativeHeight="251668480" behindDoc="0" locked="0" layoutInCell="1" allowOverlap="1" wp14:anchorId="19892140" wp14:editId="54B60EB9">
            <wp:simplePos x="0" y="0"/>
            <wp:positionH relativeFrom="margin">
              <wp:posOffset>998220</wp:posOffset>
            </wp:positionH>
            <wp:positionV relativeFrom="paragraph">
              <wp:posOffset>3148965</wp:posOffset>
            </wp:positionV>
            <wp:extent cx="3825875" cy="3581400"/>
            <wp:effectExtent l="19050" t="19050" r="22225" b="19050"/>
            <wp:wrapTopAndBottom/>
            <wp:docPr id="1099797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797254"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5875" cy="3581400"/>
                    </a:xfrm>
                    <a:prstGeom prst="rect">
                      <a:avLst/>
                    </a:prstGeom>
                    <a:ln w="19050">
                      <a:solidFill>
                        <a:schemeClr val="tx1"/>
                      </a:solidFill>
                    </a:ln>
                  </pic:spPr>
                </pic:pic>
              </a:graphicData>
            </a:graphic>
            <wp14:sizeRelH relativeFrom="margin">
              <wp14:pctWidth>0</wp14:pctWidth>
            </wp14:sizeRelH>
            <wp14:sizeRelV relativeFrom="margin">
              <wp14:pctHeight>0</wp14:pctHeight>
            </wp14:sizeRelV>
          </wp:anchor>
        </w:drawing>
      </w:r>
      <w:r w:rsidR="003703D5" w:rsidRPr="005913B4">
        <w:rPr>
          <w:rFonts w:ascii="Times New Roman" w:hAnsi="Times New Roman" w:cs="Times New Roman"/>
          <w:sz w:val="28"/>
          <w:szCs w:val="28"/>
        </w:rPr>
        <w:t xml:space="preserve">                         </w:t>
      </w:r>
      <w:r w:rsidR="00A87B35" w:rsidRPr="005913B4">
        <w:rPr>
          <w:rFonts w:ascii="Times New Roman" w:hAnsi="Times New Roman" w:cs="Times New Roman"/>
          <w:sz w:val="28"/>
          <w:szCs w:val="28"/>
        </w:rPr>
        <w:t>Diagnostic impression was made using irreversible hydrocolloid impression material (</w:t>
      </w:r>
      <w:proofErr w:type="spellStart"/>
      <w:r w:rsidR="00A87B35" w:rsidRPr="005913B4">
        <w:rPr>
          <w:rFonts w:ascii="Times New Roman" w:hAnsi="Times New Roman" w:cs="Times New Roman"/>
          <w:sz w:val="28"/>
          <w:szCs w:val="28"/>
        </w:rPr>
        <w:t>Zhermack</w:t>
      </w:r>
      <w:proofErr w:type="spellEnd"/>
      <w:r w:rsidR="00A87B35" w:rsidRPr="005913B4">
        <w:rPr>
          <w:rFonts w:ascii="Times New Roman" w:hAnsi="Times New Roman" w:cs="Times New Roman"/>
          <w:sz w:val="28"/>
          <w:szCs w:val="28"/>
        </w:rPr>
        <w:t xml:space="preserve"> </w:t>
      </w:r>
      <w:proofErr w:type="spellStart"/>
      <w:r w:rsidR="00A87B35" w:rsidRPr="005913B4">
        <w:rPr>
          <w:rFonts w:ascii="Times New Roman" w:hAnsi="Times New Roman" w:cs="Times New Roman"/>
          <w:sz w:val="28"/>
          <w:szCs w:val="28"/>
        </w:rPr>
        <w:t>SpA</w:t>
      </w:r>
      <w:proofErr w:type="spellEnd"/>
      <w:r w:rsidR="00A87B35" w:rsidRPr="005913B4">
        <w:rPr>
          <w:rFonts w:ascii="Times New Roman" w:hAnsi="Times New Roman" w:cs="Times New Roman"/>
          <w:sz w:val="28"/>
          <w:szCs w:val="28"/>
        </w:rPr>
        <w:t>, Italy</w:t>
      </w:r>
      <w:r w:rsidR="00A87B35" w:rsidRPr="005913B4">
        <w:rPr>
          <w:rFonts w:ascii="Times New Roman" w:hAnsi="Times New Roman" w:cs="Times New Roman"/>
          <w:b/>
          <w:bCs/>
          <w:sz w:val="28"/>
          <w:szCs w:val="28"/>
        </w:rPr>
        <w:t xml:space="preserve">). </w:t>
      </w:r>
      <w:r w:rsidR="00A87B35" w:rsidRPr="005913B4">
        <w:rPr>
          <w:rFonts w:ascii="Times New Roman" w:hAnsi="Times New Roman" w:cs="Times New Roman"/>
          <w:sz w:val="28"/>
          <w:szCs w:val="28"/>
        </w:rPr>
        <w:t xml:space="preserve">Endodontic evaluation was done with respect to 11, 21 followed by that root canal treatment was performed with respect to tooth 37. Intentional root canal treatment was planned for teeth 13, 14, and 43(Figure </w:t>
      </w:r>
      <w:r w:rsidR="00714AE3" w:rsidRPr="005913B4">
        <w:rPr>
          <w:rFonts w:ascii="Times New Roman" w:hAnsi="Times New Roman" w:cs="Times New Roman"/>
          <w:sz w:val="28"/>
          <w:szCs w:val="28"/>
        </w:rPr>
        <w:t>2A</w:t>
      </w:r>
      <w:r w:rsidR="00A87B35" w:rsidRPr="005913B4">
        <w:rPr>
          <w:rFonts w:ascii="Times New Roman" w:hAnsi="Times New Roman" w:cs="Times New Roman"/>
          <w:sz w:val="28"/>
          <w:szCs w:val="28"/>
        </w:rPr>
        <w:t xml:space="preserve">). Hemisection was carried out in relation to tooth 37 following endodontic therapy, retaining the healthy mesial root (Figure </w:t>
      </w:r>
      <w:r w:rsidR="009D3644">
        <w:rPr>
          <w:rFonts w:ascii="Times New Roman" w:hAnsi="Times New Roman" w:cs="Times New Roman"/>
          <w:sz w:val="28"/>
          <w:szCs w:val="28"/>
        </w:rPr>
        <w:t>2</w:t>
      </w:r>
      <w:r w:rsidR="00A87B35" w:rsidRPr="005913B4">
        <w:rPr>
          <w:rFonts w:ascii="Times New Roman" w:hAnsi="Times New Roman" w:cs="Times New Roman"/>
          <w:sz w:val="28"/>
          <w:szCs w:val="28"/>
        </w:rPr>
        <w:t xml:space="preserve">). Tooth 47 demonstrated favourable prognosis and was retained to receive a ring clasp for the mandibular cast partial denture. </w:t>
      </w:r>
    </w:p>
    <w:p w14:paraId="70909782" w14:textId="7A9F5DA2" w:rsidR="00714AE3" w:rsidRPr="005913B4" w:rsidRDefault="005C7105"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2E2DCF3D" wp14:editId="32EE21E1">
                <wp:simplePos x="0" y="0"/>
                <wp:positionH relativeFrom="margin">
                  <wp:posOffset>1715966</wp:posOffset>
                </wp:positionH>
                <wp:positionV relativeFrom="paragraph">
                  <wp:posOffset>3477407</wp:posOffset>
                </wp:positionV>
                <wp:extent cx="2736166" cy="330590"/>
                <wp:effectExtent l="0" t="0" r="26670" b="12700"/>
                <wp:wrapNone/>
                <wp:docPr id="264292618" name="Text Box 23"/>
                <wp:cNvGraphicFramePr/>
                <a:graphic xmlns:a="http://schemas.openxmlformats.org/drawingml/2006/main">
                  <a:graphicData uri="http://schemas.microsoft.com/office/word/2010/wordprocessingShape">
                    <wps:wsp>
                      <wps:cNvSpPr txBox="1"/>
                      <wps:spPr>
                        <a:xfrm>
                          <a:off x="0" y="0"/>
                          <a:ext cx="2736166" cy="330590"/>
                        </a:xfrm>
                        <a:prstGeom prst="rect">
                          <a:avLst/>
                        </a:prstGeom>
                        <a:solidFill>
                          <a:schemeClr val="lt1"/>
                        </a:solidFill>
                        <a:ln w="6350">
                          <a:solidFill>
                            <a:prstClr val="black"/>
                          </a:solidFill>
                        </a:ln>
                      </wps:spPr>
                      <wps:txbx>
                        <w:txbxContent>
                          <w:p w14:paraId="51EC8338" w14:textId="77777777" w:rsidR="004E7269" w:rsidRPr="005C7105" w:rsidRDefault="004E7269" w:rsidP="004E7269">
                            <w:pPr>
                              <w:jc w:val="center"/>
                              <w:rPr>
                                <w:rFonts w:ascii="Times New Roman" w:hAnsi="Times New Roman" w:cs="Times New Roman"/>
                                <w:sz w:val="24"/>
                                <w:szCs w:val="24"/>
                              </w:rPr>
                            </w:pPr>
                            <w:r w:rsidRPr="005C7105">
                              <w:rPr>
                                <w:rFonts w:ascii="Times New Roman" w:hAnsi="Times New Roman" w:cs="Times New Roman"/>
                                <w:b/>
                                <w:bCs/>
                                <w:sz w:val="24"/>
                                <w:szCs w:val="24"/>
                              </w:rPr>
                              <w:t xml:space="preserve">Figure 2: </w:t>
                            </w:r>
                            <w:r w:rsidRPr="005C7105">
                              <w:rPr>
                                <w:rFonts w:ascii="Times New Roman" w:hAnsi="Times New Roman" w:cs="Times New Roman"/>
                                <w:sz w:val="24"/>
                                <w:szCs w:val="24"/>
                              </w:rPr>
                              <w:t>Abutment tooth preparation</w:t>
                            </w:r>
                          </w:p>
                          <w:p w14:paraId="7972E0CB" w14:textId="77777777" w:rsidR="004E7269" w:rsidRDefault="004E7269" w:rsidP="004E7269"/>
                          <w:p w14:paraId="4726C9B3" w14:textId="77777777" w:rsidR="004E7269" w:rsidRDefault="004E7269" w:rsidP="004E7269"/>
                          <w:p w14:paraId="3614BEE8" w14:textId="77777777" w:rsidR="004E7269" w:rsidRDefault="004E7269" w:rsidP="004E7269"/>
                          <w:p w14:paraId="54EC8CD1" w14:textId="77777777" w:rsidR="004E7269" w:rsidRDefault="004E7269" w:rsidP="004E7269"/>
                          <w:p w14:paraId="11E31328" w14:textId="77777777" w:rsidR="004E7269" w:rsidRDefault="004E7269" w:rsidP="004E7269"/>
                          <w:p w14:paraId="4F62A838" w14:textId="77777777" w:rsidR="004E7269" w:rsidRDefault="004E7269" w:rsidP="004E72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DCF3D" id="_x0000_s1027" type="#_x0000_t202" style="position:absolute;left:0;text-align:left;margin-left:135.1pt;margin-top:273.8pt;width:215.45pt;height:26.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" fillcolor="white [3201]" strokeweight=".5pt">
                <v:textbox>
                  <w:txbxContent>
                    <w:p w14:paraId="51EC8338" w14:textId="77777777" w:rsidR="004E7269" w:rsidRPr="005C7105" w:rsidRDefault="004E7269" w:rsidP="004E7269">
                      <w:pPr>
                        <w:jc w:val="center"/>
                        <w:rPr>
                          <w:rFonts w:ascii="Times New Roman" w:hAnsi="Times New Roman" w:cs="Times New Roman"/>
                          <w:sz w:val="24"/>
                          <w:szCs w:val="24"/>
                        </w:rPr>
                      </w:pPr>
                      <w:r w:rsidRPr="005C7105">
                        <w:rPr>
                          <w:rFonts w:ascii="Times New Roman" w:hAnsi="Times New Roman" w:cs="Times New Roman"/>
                          <w:b/>
                          <w:bCs/>
                          <w:sz w:val="24"/>
                          <w:szCs w:val="24"/>
                        </w:rPr>
                        <w:t xml:space="preserve">Figure 2: </w:t>
                      </w:r>
                      <w:r w:rsidRPr="005C7105">
                        <w:rPr>
                          <w:rFonts w:ascii="Times New Roman" w:hAnsi="Times New Roman" w:cs="Times New Roman"/>
                          <w:sz w:val="24"/>
                          <w:szCs w:val="24"/>
                        </w:rPr>
                        <w:t>Abutment tooth preparation</w:t>
                      </w:r>
                    </w:p>
                    <w:p w14:paraId="7972E0CB" w14:textId="77777777" w:rsidR="004E7269" w:rsidRDefault="004E7269" w:rsidP="004E7269"/>
                    <w:p w14:paraId="4726C9B3" w14:textId="77777777" w:rsidR="004E7269" w:rsidRDefault="004E7269" w:rsidP="004E7269"/>
                    <w:p w14:paraId="3614BEE8" w14:textId="77777777" w:rsidR="004E7269" w:rsidRDefault="004E7269" w:rsidP="004E7269"/>
                    <w:p w14:paraId="54EC8CD1" w14:textId="77777777" w:rsidR="004E7269" w:rsidRDefault="004E7269" w:rsidP="004E7269"/>
                    <w:p w14:paraId="11E31328" w14:textId="77777777" w:rsidR="004E7269" w:rsidRDefault="004E7269" w:rsidP="004E7269"/>
                    <w:p w14:paraId="4F62A838" w14:textId="77777777" w:rsidR="004E7269" w:rsidRDefault="004E7269" w:rsidP="004E7269"/>
                  </w:txbxContent>
                </v:textbox>
                <w10:wrap anchorx="margin"/>
              </v:shape>
            </w:pict>
          </mc:Fallback>
        </mc:AlternateContent>
      </w:r>
    </w:p>
    <w:p w14:paraId="321E2F64" w14:textId="48CF72CC" w:rsidR="00A87B35" w:rsidRPr="005913B4" w:rsidRDefault="00714AE3"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                          </w:t>
      </w:r>
      <w:r w:rsidR="00A87B35" w:rsidRPr="005913B4">
        <w:rPr>
          <w:rFonts w:ascii="Times New Roman" w:hAnsi="Times New Roman" w:cs="Times New Roman"/>
          <w:sz w:val="28"/>
          <w:szCs w:val="28"/>
        </w:rPr>
        <w:t xml:space="preserve">Cervical abrasion was restored using composite resin. A healing period of three months was allowed following hemisection. Soft tissue coverage over the retained root was further subjected to crown lengthening. Carious lesions </w:t>
      </w:r>
      <w:r w:rsidR="00A87B35" w:rsidRPr="005913B4">
        <w:rPr>
          <w:rFonts w:ascii="Times New Roman" w:hAnsi="Times New Roman" w:cs="Times New Roman"/>
          <w:sz w:val="28"/>
          <w:szCs w:val="28"/>
        </w:rPr>
        <w:lastRenderedPageBreak/>
        <w:t xml:space="preserve">in teeth 11 and 21 were excavated, followed by crown lengthening to facilitate proper seating of metal copings.                              </w:t>
      </w:r>
    </w:p>
    <w:p w14:paraId="46E5BD83" w14:textId="1FD49BC0" w:rsidR="00AF1B91" w:rsidRPr="005913B4" w:rsidRDefault="00964BD8"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noProof/>
          <w:sz w:val="28"/>
          <w:szCs w:val="28"/>
        </w:rPr>
        <w:drawing>
          <wp:anchor distT="0" distB="0" distL="114300" distR="114300" simplePos="0" relativeHeight="251671552" behindDoc="0" locked="0" layoutInCell="1" allowOverlap="1" wp14:anchorId="27E26995" wp14:editId="418E83A9">
            <wp:simplePos x="0" y="0"/>
            <wp:positionH relativeFrom="margin">
              <wp:posOffset>876398</wp:posOffset>
            </wp:positionH>
            <wp:positionV relativeFrom="paragraph">
              <wp:posOffset>2528814</wp:posOffset>
            </wp:positionV>
            <wp:extent cx="4204335" cy="2800985"/>
            <wp:effectExtent l="19050" t="19050" r="24765" b="18415"/>
            <wp:wrapTopAndBottom/>
            <wp:docPr id="2431665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04335" cy="280098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r w:rsidR="00A87B35" w:rsidRPr="005913B4">
        <w:rPr>
          <w:rFonts w:ascii="Times New Roman" w:hAnsi="Times New Roman" w:cs="Times New Roman"/>
          <w:sz w:val="28"/>
          <w:szCs w:val="28"/>
        </w:rPr>
        <w:t xml:space="preserve">                        Post space preparation and abutment modification were completed to receive copings (Figure </w:t>
      </w:r>
      <w:r w:rsidR="009D3644">
        <w:rPr>
          <w:rFonts w:ascii="Times New Roman" w:hAnsi="Times New Roman" w:cs="Times New Roman"/>
          <w:sz w:val="28"/>
          <w:szCs w:val="28"/>
        </w:rPr>
        <w:t>3</w:t>
      </w:r>
      <w:r w:rsidR="00A87B35" w:rsidRPr="005913B4">
        <w:rPr>
          <w:rFonts w:ascii="Times New Roman" w:hAnsi="Times New Roman" w:cs="Times New Roman"/>
          <w:sz w:val="28"/>
          <w:szCs w:val="28"/>
        </w:rPr>
        <w:t xml:space="preserve">). Impressions were made using Putty and light-body elastomeric materials (DPI (Dental Products of India, The Bombay Burmah Trading Corporation Ltd, Mumbai, Maharashtra) and metal copings were fabricated and cemented using Glass ionomer cement (GC India Dental Pvt Ltd, Medak, India) (Figure </w:t>
      </w:r>
      <w:r w:rsidRPr="005913B4">
        <w:rPr>
          <w:rFonts w:ascii="Times New Roman" w:hAnsi="Times New Roman" w:cs="Times New Roman"/>
          <w:sz w:val="28"/>
          <w:szCs w:val="28"/>
        </w:rPr>
        <w:t>3</w:t>
      </w:r>
      <w:r w:rsidR="00622FB0" w:rsidRPr="005913B4">
        <w:rPr>
          <w:rFonts w:ascii="Times New Roman" w:hAnsi="Times New Roman" w:cs="Times New Roman"/>
          <w:sz w:val="28"/>
          <w:szCs w:val="28"/>
        </w:rPr>
        <w:t>A</w:t>
      </w:r>
      <w:r w:rsidR="00A87B35" w:rsidRPr="005913B4">
        <w:rPr>
          <w:rFonts w:ascii="Times New Roman" w:hAnsi="Times New Roman" w:cs="Times New Roman"/>
          <w:sz w:val="28"/>
          <w:szCs w:val="28"/>
        </w:rPr>
        <w:t xml:space="preserve">). </w:t>
      </w:r>
    </w:p>
    <w:p w14:paraId="165A6F56" w14:textId="2E3259C7" w:rsidR="00AF1B91" w:rsidRPr="005913B4" w:rsidRDefault="00945178"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7AB236A6" wp14:editId="34F1666B">
                <wp:simplePos x="0" y="0"/>
                <wp:positionH relativeFrom="margin">
                  <wp:align>center</wp:align>
                </wp:positionH>
                <wp:positionV relativeFrom="paragraph">
                  <wp:posOffset>2867416</wp:posOffset>
                </wp:positionV>
                <wp:extent cx="1259058" cy="386861"/>
                <wp:effectExtent l="0" t="0" r="17780" b="13335"/>
                <wp:wrapNone/>
                <wp:docPr id="1148006508" name="Text Box 23"/>
                <wp:cNvGraphicFramePr/>
                <a:graphic xmlns:a="http://schemas.openxmlformats.org/drawingml/2006/main">
                  <a:graphicData uri="http://schemas.microsoft.com/office/word/2010/wordprocessingShape">
                    <wps:wsp>
                      <wps:cNvSpPr txBox="1"/>
                      <wps:spPr>
                        <a:xfrm>
                          <a:off x="0" y="0"/>
                          <a:ext cx="1259058" cy="386861"/>
                        </a:xfrm>
                        <a:prstGeom prst="rect">
                          <a:avLst/>
                        </a:prstGeom>
                        <a:solidFill>
                          <a:schemeClr val="lt1"/>
                        </a:solidFill>
                        <a:ln w="6350">
                          <a:solidFill>
                            <a:prstClr val="black"/>
                          </a:solidFill>
                        </a:ln>
                      </wps:spPr>
                      <wps:txbx>
                        <w:txbxContent>
                          <w:p w14:paraId="5896861C" w14:textId="77777777" w:rsidR="00964BD8" w:rsidRPr="00E13A73" w:rsidRDefault="00964BD8" w:rsidP="00964BD8">
                            <w:pPr>
                              <w:rPr>
                                <w:rFonts w:ascii="Times New Roman" w:hAnsi="Times New Roman" w:cs="Times New Roman"/>
                                <w:sz w:val="24"/>
                                <w:szCs w:val="24"/>
                              </w:rPr>
                            </w:pPr>
                            <w:r w:rsidRPr="00E13A73">
                              <w:rPr>
                                <w:rFonts w:ascii="Times New Roman" w:hAnsi="Times New Roman" w:cs="Times New Roman"/>
                                <w:b/>
                                <w:bCs/>
                                <w:sz w:val="24"/>
                                <w:szCs w:val="24"/>
                              </w:rPr>
                              <w:t xml:space="preserve">Figure 3: </w:t>
                            </w:r>
                            <w:r w:rsidRPr="00E13A73">
                              <w:rPr>
                                <w:rFonts w:ascii="Times New Roman" w:hAnsi="Times New Roman" w:cs="Times New Roman"/>
                                <w:sz w:val="24"/>
                                <w:szCs w:val="24"/>
                              </w:rPr>
                              <w:t>Try in</w:t>
                            </w:r>
                          </w:p>
                          <w:p w14:paraId="21A3C5C7" w14:textId="77777777" w:rsidR="00964BD8" w:rsidRDefault="00964BD8" w:rsidP="00964BD8"/>
                          <w:p w14:paraId="22E72276" w14:textId="77777777" w:rsidR="00964BD8" w:rsidRDefault="00964BD8" w:rsidP="00964BD8"/>
                          <w:p w14:paraId="1821C111" w14:textId="77777777" w:rsidR="00964BD8" w:rsidRDefault="00964BD8" w:rsidP="00964BD8"/>
                          <w:p w14:paraId="61F8657E" w14:textId="77777777" w:rsidR="00964BD8" w:rsidRDefault="00964BD8" w:rsidP="00964BD8"/>
                          <w:p w14:paraId="115A7515" w14:textId="77777777" w:rsidR="00964BD8" w:rsidRDefault="00964BD8" w:rsidP="00964BD8"/>
                          <w:p w14:paraId="564A6618" w14:textId="77777777" w:rsidR="00964BD8" w:rsidRDefault="00964BD8" w:rsidP="00964B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236A6" id="_x0000_s1028" type="#_x0000_t202" style="position:absolute;left:0;text-align:left;margin-left:0;margin-top:225.8pt;width:99.15pt;height:30.4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" fillcolor="white [3201]" strokeweight=".5pt">
                <v:textbox>
                  <w:txbxContent>
                    <w:p w14:paraId="5896861C" w14:textId="77777777" w:rsidR="00964BD8" w:rsidRPr="00E13A73" w:rsidRDefault="00964BD8" w:rsidP="00964BD8">
                      <w:pPr>
                        <w:rPr>
                          <w:rFonts w:ascii="Times New Roman" w:hAnsi="Times New Roman" w:cs="Times New Roman"/>
                          <w:sz w:val="24"/>
                          <w:szCs w:val="24"/>
                        </w:rPr>
                      </w:pPr>
                      <w:r w:rsidRPr="00E13A73">
                        <w:rPr>
                          <w:rFonts w:ascii="Times New Roman" w:hAnsi="Times New Roman" w:cs="Times New Roman"/>
                          <w:b/>
                          <w:bCs/>
                          <w:sz w:val="24"/>
                          <w:szCs w:val="24"/>
                        </w:rPr>
                        <w:t xml:space="preserve">Figure 3: </w:t>
                      </w:r>
                      <w:r w:rsidRPr="00E13A73">
                        <w:rPr>
                          <w:rFonts w:ascii="Times New Roman" w:hAnsi="Times New Roman" w:cs="Times New Roman"/>
                          <w:sz w:val="24"/>
                          <w:szCs w:val="24"/>
                        </w:rPr>
                        <w:t>Try in</w:t>
                      </w:r>
                    </w:p>
                    <w:p w14:paraId="21A3C5C7" w14:textId="77777777" w:rsidR="00964BD8" w:rsidRDefault="00964BD8" w:rsidP="00964BD8"/>
                    <w:p w14:paraId="22E72276" w14:textId="77777777" w:rsidR="00964BD8" w:rsidRDefault="00964BD8" w:rsidP="00964BD8"/>
                    <w:p w14:paraId="1821C111" w14:textId="77777777" w:rsidR="00964BD8" w:rsidRDefault="00964BD8" w:rsidP="00964BD8"/>
                    <w:p w14:paraId="61F8657E" w14:textId="77777777" w:rsidR="00964BD8" w:rsidRDefault="00964BD8" w:rsidP="00964BD8"/>
                    <w:p w14:paraId="115A7515" w14:textId="77777777" w:rsidR="00964BD8" w:rsidRDefault="00964BD8" w:rsidP="00964BD8"/>
                    <w:p w14:paraId="564A6618" w14:textId="77777777" w:rsidR="00964BD8" w:rsidRDefault="00964BD8" w:rsidP="00964BD8"/>
                  </w:txbxContent>
                </v:textbox>
                <w10:wrap anchorx="margin"/>
              </v:shape>
            </w:pict>
          </mc:Fallback>
        </mc:AlternateContent>
      </w:r>
    </w:p>
    <w:p w14:paraId="6127CF76" w14:textId="6840D585" w:rsidR="00AF1B91" w:rsidRPr="005913B4" w:rsidRDefault="00AF1B91" w:rsidP="005913B4">
      <w:pPr>
        <w:spacing w:line="480" w:lineRule="auto"/>
        <w:ind w:left="-284"/>
        <w:jc w:val="both"/>
        <w:rPr>
          <w:rFonts w:ascii="Times New Roman" w:hAnsi="Times New Roman" w:cs="Times New Roman"/>
          <w:sz w:val="28"/>
          <w:szCs w:val="28"/>
        </w:rPr>
      </w:pPr>
    </w:p>
    <w:p w14:paraId="227E57CF" w14:textId="68642E51" w:rsidR="004E7269" w:rsidRPr="005913B4" w:rsidRDefault="00AF1B91"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                     </w:t>
      </w:r>
      <w:r w:rsidR="00A87B35" w:rsidRPr="005913B4">
        <w:rPr>
          <w:rFonts w:ascii="Times New Roman" w:hAnsi="Times New Roman" w:cs="Times New Roman"/>
          <w:sz w:val="28"/>
          <w:szCs w:val="28"/>
        </w:rPr>
        <w:t xml:space="preserve">A mandibular cast partial overdenture was planned with a ring clasp engaging mesial and distal rest of tooth 47. After rest seat preparation, impression for metal framework fabrication was made using Putty and light body elastomeric impression (DPI (Dental Products of India, The Bombay Burmah Trading </w:t>
      </w:r>
      <w:r w:rsidR="00A87B35" w:rsidRPr="005913B4">
        <w:rPr>
          <w:rFonts w:ascii="Times New Roman" w:hAnsi="Times New Roman" w:cs="Times New Roman"/>
          <w:sz w:val="28"/>
          <w:szCs w:val="28"/>
        </w:rPr>
        <w:lastRenderedPageBreak/>
        <w:t xml:space="preserve">Corporation Ltd, Mumbai, Maharashtra). The designing of cobalt-chromium framework was made using EXOCAD software followed by milling (Figure </w:t>
      </w:r>
      <w:r w:rsidR="00622FB0" w:rsidRPr="005913B4">
        <w:rPr>
          <w:rFonts w:ascii="Times New Roman" w:hAnsi="Times New Roman" w:cs="Times New Roman"/>
          <w:sz w:val="28"/>
          <w:szCs w:val="28"/>
        </w:rPr>
        <w:t>3B</w:t>
      </w:r>
      <w:r w:rsidR="00A87B35" w:rsidRPr="005913B4">
        <w:rPr>
          <w:rFonts w:ascii="Times New Roman" w:hAnsi="Times New Roman" w:cs="Times New Roman"/>
          <w:sz w:val="28"/>
          <w:szCs w:val="28"/>
        </w:rPr>
        <w:t xml:space="preserve">). </w:t>
      </w:r>
    </w:p>
    <w:p w14:paraId="4B0CDA2E" w14:textId="0E398F7F" w:rsidR="00A87B35" w:rsidRPr="005913B4" w:rsidRDefault="00FD7BA6"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                  </w:t>
      </w:r>
      <w:r w:rsidR="0058373B" w:rsidRPr="005913B4">
        <w:rPr>
          <w:rFonts w:ascii="Times New Roman" w:hAnsi="Times New Roman" w:cs="Times New Roman"/>
          <w:sz w:val="28"/>
          <w:szCs w:val="28"/>
        </w:rPr>
        <w:t xml:space="preserve">         </w:t>
      </w:r>
      <w:r w:rsidRPr="005913B4">
        <w:rPr>
          <w:rFonts w:ascii="Times New Roman" w:hAnsi="Times New Roman" w:cs="Times New Roman"/>
          <w:sz w:val="28"/>
          <w:szCs w:val="28"/>
        </w:rPr>
        <w:t xml:space="preserve">  </w:t>
      </w:r>
      <w:r w:rsidR="00A87B35" w:rsidRPr="005913B4">
        <w:rPr>
          <w:rFonts w:ascii="Times New Roman" w:hAnsi="Times New Roman" w:cs="Times New Roman"/>
          <w:sz w:val="28"/>
          <w:szCs w:val="28"/>
        </w:rPr>
        <w:t xml:space="preserve">The framework try-in confirmed satisfactory fit. Maxillary primary impression was made, followed by custom tray fabrication, border molding, and final impression procedures. A custom tray was fabricated over the mandibular metal framework and an Altered cast technique was employed to accurately record the functional edentulous areas (Figure </w:t>
      </w:r>
      <w:r w:rsidRPr="005913B4">
        <w:rPr>
          <w:rFonts w:ascii="Times New Roman" w:hAnsi="Times New Roman" w:cs="Times New Roman"/>
          <w:sz w:val="28"/>
          <w:szCs w:val="28"/>
        </w:rPr>
        <w:t>3C</w:t>
      </w:r>
      <w:r w:rsidR="00A87B35" w:rsidRPr="005913B4">
        <w:rPr>
          <w:rFonts w:ascii="Times New Roman" w:hAnsi="Times New Roman" w:cs="Times New Roman"/>
          <w:sz w:val="28"/>
          <w:szCs w:val="28"/>
        </w:rPr>
        <w:t xml:space="preserve">). Occlusion rims were fabricated, followed by jaw relation and facebow transfer using Hanau’s spring bow. The casts were mounted on a semi-adjustable articulator. Following trial placement and evaluation of </w:t>
      </w:r>
      <w:proofErr w:type="spellStart"/>
      <w:r w:rsidR="00A87B35" w:rsidRPr="005913B4">
        <w:rPr>
          <w:rFonts w:ascii="Times New Roman" w:hAnsi="Times New Roman" w:cs="Times New Roman"/>
          <w:sz w:val="28"/>
          <w:szCs w:val="28"/>
        </w:rPr>
        <w:t>esthetics</w:t>
      </w:r>
      <w:proofErr w:type="spellEnd"/>
      <w:r w:rsidR="00A87B35" w:rsidRPr="005913B4">
        <w:rPr>
          <w:rFonts w:ascii="Times New Roman" w:hAnsi="Times New Roman" w:cs="Times New Roman"/>
          <w:sz w:val="28"/>
          <w:szCs w:val="28"/>
        </w:rPr>
        <w:t xml:space="preserve"> and phonetics (Figure </w:t>
      </w:r>
      <w:r w:rsidRPr="005913B4">
        <w:rPr>
          <w:rFonts w:ascii="Times New Roman" w:hAnsi="Times New Roman" w:cs="Times New Roman"/>
          <w:sz w:val="28"/>
          <w:szCs w:val="28"/>
        </w:rPr>
        <w:t>3D</w:t>
      </w:r>
      <w:r w:rsidR="00A87B35" w:rsidRPr="005913B4">
        <w:rPr>
          <w:rFonts w:ascii="Times New Roman" w:hAnsi="Times New Roman" w:cs="Times New Roman"/>
          <w:sz w:val="28"/>
          <w:szCs w:val="28"/>
        </w:rPr>
        <w:t xml:space="preserve">), Acrylization was completed using heat-cured polymethyl methacrylate. The maxillary denture was reinforced with a titanium mesh (Figure </w:t>
      </w:r>
      <w:r w:rsidRPr="005913B4">
        <w:rPr>
          <w:rFonts w:ascii="Times New Roman" w:hAnsi="Times New Roman" w:cs="Times New Roman"/>
          <w:sz w:val="28"/>
          <w:szCs w:val="28"/>
        </w:rPr>
        <w:t>4</w:t>
      </w:r>
      <w:r w:rsidR="00A87B35" w:rsidRPr="005913B4">
        <w:rPr>
          <w:rFonts w:ascii="Times New Roman" w:hAnsi="Times New Roman" w:cs="Times New Roman"/>
          <w:sz w:val="28"/>
          <w:szCs w:val="28"/>
        </w:rPr>
        <w:t xml:space="preserve">). The completed prostheses were inserted, and occlusion, retention, stability, and </w:t>
      </w:r>
      <w:proofErr w:type="spellStart"/>
      <w:r w:rsidR="00A87B35" w:rsidRPr="005913B4">
        <w:rPr>
          <w:rFonts w:ascii="Times New Roman" w:hAnsi="Times New Roman" w:cs="Times New Roman"/>
          <w:sz w:val="28"/>
          <w:szCs w:val="28"/>
        </w:rPr>
        <w:t>esthetics</w:t>
      </w:r>
      <w:proofErr w:type="spellEnd"/>
      <w:r w:rsidR="00A87B35" w:rsidRPr="005913B4">
        <w:rPr>
          <w:rFonts w:ascii="Times New Roman" w:hAnsi="Times New Roman" w:cs="Times New Roman"/>
          <w:sz w:val="28"/>
          <w:szCs w:val="28"/>
        </w:rPr>
        <w:t xml:space="preserve"> were evaluated. Necessary adjustments were made, and post-insertion instructions were provided. Follow-up visits at one week, three months, and six months revealed healthy abutment teeth with no evidence of secondary caries or pathology. The patient expressed complete satisfaction with the treatment outcome.</w:t>
      </w:r>
      <w:r w:rsidR="0058373B" w:rsidRPr="005913B4">
        <w:rPr>
          <w:rFonts w:ascii="Times New Roman" w:hAnsi="Times New Roman" w:cs="Times New Roman"/>
          <w:noProof/>
          <w:sz w:val="28"/>
          <w:szCs w:val="28"/>
        </w:rPr>
        <w:t xml:space="preserve"> </w:t>
      </w:r>
    </w:p>
    <w:p w14:paraId="009B8FFA" w14:textId="1CA4E9A8" w:rsidR="0058373B" w:rsidRPr="005913B4" w:rsidRDefault="0058373B" w:rsidP="005913B4">
      <w:pPr>
        <w:spacing w:line="480" w:lineRule="auto"/>
        <w:ind w:left="-284"/>
        <w:jc w:val="both"/>
        <w:rPr>
          <w:rFonts w:ascii="Times New Roman" w:hAnsi="Times New Roman" w:cs="Times New Roman"/>
          <w:b/>
          <w:bCs/>
          <w:sz w:val="28"/>
          <w:szCs w:val="28"/>
        </w:rPr>
      </w:pPr>
    </w:p>
    <w:p w14:paraId="71B9C47D" w14:textId="77777777" w:rsidR="0058373B" w:rsidRPr="005913B4" w:rsidRDefault="0058373B" w:rsidP="005913B4">
      <w:pPr>
        <w:spacing w:line="480" w:lineRule="auto"/>
        <w:ind w:left="-284"/>
        <w:jc w:val="both"/>
        <w:rPr>
          <w:rFonts w:ascii="Times New Roman" w:hAnsi="Times New Roman" w:cs="Times New Roman"/>
          <w:b/>
          <w:bCs/>
          <w:sz w:val="28"/>
          <w:szCs w:val="28"/>
        </w:rPr>
      </w:pPr>
    </w:p>
    <w:p w14:paraId="54CBD082" w14:textId="77777777" w:rsidR="0058373B" w:rsidRPr="005913B4" w:rsidRDefault="0058373B" w:rsidP="005913B4">
      <w:pPr>
        <w:spacing w:line="480" w:lineRule="auto"/>
        <w:ind w:left="-284"/>
        <w:jc w:val="both"/>
        <w:rPr>
          <w:rFonts w:ascii="Times New Roman" w:hAnsi="Times New Roman" w:cs="Times New Roman"/>
          <w:b/>
          <w:bCs/>
          <w:sz w:val="28"/>
          <w:szCs w:val="28"/>
        </w:rPr>
      </w:pPr>
    </w:p>
    <w:p w14:paraId="02EAE1D9" w14:textId="58C4E1D9" w:rsidR="0058373B" w:rsidRDefault="0058373B" w:rsidP="005913B4">
      <w:pPr>
        <w:spacing w:line="480" w:lineRule="auto"/>
        <w:ind w:left="-284"/>
        <w:jc w:val="both"/>
        <w:rPr>
          <w:rFonts w:ascii="Times New Roman" w:hAnsi="Times New Roman" w:cs="Times New Roman"/>
          <w:b/>
          <w:bCs/>
          <w:sz w:val="28"/>
          <w:szCs w:val="28"/>
        </w:rPr>
      </w:pPr>
    </w:p>
    <w:p w14:paraId="0542F972" w14:textId="104D7EE0" w:rsidR="009D3644" w:rsidRDefault="009D3644" w:rsidP="005913B4">
      <w:pPr>
        <w:spacing w:line="480" w:lineRule="auto"/>
        <w:ind w:left="-284"/>
        <w:jc w:val="both"/>
        <w:rPr>
          <w:rFonts w:ascii="Times New Roman" w:hAnsi="Times New Roman" w:cs="Times New Roman"/>
          <w:b/>
          <w:bCs/>
          <w:sz w:val="28"/>
          <w:szCs w:val="28"/>
        </w:rPr>
      </w:pPr>
      <w:r w:rsidRPr="005913B4">
        <w:rPr>
          <w:rFonts w:ascii="Times New Roman" w:hAnsi="Times New Roman" w:cs="Times New Roman"/>
          <w:noProof/>
          <w:sz w:val="28"/>
          <w:szCs w:val="28"/>
        </w:rPr>
        <w:drawing>
          <wp:anchor distT="0" distB="0" distL="114300" distR="114300" simplePos="0" relativeHeight="251677696" behindDoc="0" locked="0" layoutInCell="1" allowOverlap="1" wp14:anchorId="790E8F8B" wp14:editId="2D1C951A">
            <wp:simplePos x="0" y="0"/>
            <wp:positionH relativeFrom="margin">
              <wp:posOffset>1555667</wp:posOffset>
            </wp:positionH>
            <wp:positionV relativeFrom="paragraph">
              <wp:posOffset>310400</wp:posOffset>
            </wp:positionV>
            <wp:extent cx="2838450" cy="2367280"/>
            <wp:effectExtent l="38100" t="38100" r="38100" b="33020"/>
            <wp:wrapSquare wrapText="bothSides"/>
            <wp:docPr id="500715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15493" name=""/>
                    <pic:cNvPicPr/>
                  </pic:nvPicPr>
                  <pic:blipFill rotWithShape="1">
                    <a:blip r:embed="rId10" cstate="print">
                      <a:extLst>
                        <a:ext uri="{28A0092B-C50C-407E-A947-70E740481C1C}">
                          <a14:useLocalDpi xmlns:a14="http://schemas.microsoft.com/office/drawing/2010/main" val="0"/>
                        </a:ext>
                      </a:extLst>
                    </a:blip>
                    <a:srcRect r="2199"/>
                    <a:stretch>
                      <a:fillRect/>
                    </a:stretch>
                  </pic:blipFill>
                  <pic:spPr bwMode="auto">
                    <a:xfrm>
                      <a:off x="0" y="0"/>
                      <a:ext cx="2838450" cy="2367280"/>
                    </a:xfrm>
                    <a:prstGeom prst="rect">
                      <a:avLst/>
                    </a:prstGeom>
                    <a:ln w="285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3C7A30" w14:textId="5A7331E2" w:rsidR="009D3644" w:rsidRDefault="009D3644" w:rsidP="005913B4">
      <w:pPr>
        <w:spacing w:line="480" w:lineRule="auto"/>
        <w:ind w:left="-284"/>
        <w:jc w:val="both"/>
        <w:rPr>
          <w:rFonts w:ascii="Times New Roman" w:hAnsi="Times New Roman" w:cs="Times New Roman"/>
          <w:b/>
          <w:bCs/>
          <w:sz w:val="28"/>
          <w:szCs w:val="28"/>
        </w:rPr>
      </w:pPr>
    </w:p>
    <w:p w14:paraId="538D0CA2" w14:textId="35585DC7" w:rsidR="009D3644" w:rsidRDefault="009D3644" w:rsidP="005913B4">
      <w:pPr>
        <w:spacing w:line="480" w:lineRule="auto"/>
        <w:ind w:left="-284"/>
        <w:jc w:val="both"/>
        <w:rPr>
          <w:rFonts w:ascii="Times New Roman" w:hAnsi="Times New Roman" w:cs="Times New Roman"/>
          <w:b/>
          <w:bCs/>
          <w:sz w:val="28"/>
          <w:szCs w:val="28"/>
        </w:rPr>
      </w:pPr>
    </w:p>
    <w:p w14:paraId="2BF28D79" w14:textId="77777777" w:rsidR="009D3644" w:rsidRDefault="009D3644" w:rsidP="005913B4">
      <w:pPr>
        <w:spacing w:line="480" w:lineRule="auto"/>
        <w:ind w:left="-284"/>
        <w:jc w:val="both"/>
        <w:rPr>
          <w:rFonts w:ascii="Times New Roman" w:hAnsi="Times New Roman" w:cs="Times New Roman"/>
          <w:b/>
          <w:bCs/>
          <w:sz w:val="28"/>
          <w:szCs w:val="28"/>
        </w:rPr>
      </w:pPr>
    </w:p>
    <w:p w14:paraId="512D7656" w14:textId="77777777" w:rsidR="009D3644" w:rsidRDefault="009D3644" w:rsidP="005913B4">
      <w:pPr>
        <w:spacing w:line="480" w:lineRule="auto"/>
        <w:ind w:left="-284"/>
        <w:jc w:val="both"/>
        <w:rPr>
          <w:rFonts w:ascii="Times New Roman" w:hAnsi="Times New Roman" w:cs="Times New Roman"/>
          <w:b/>
          <w:bCs/>
          <w:sz w:val="28"/>
          <w:szCs w:val="28"/>
        </w:rPr>
      </w:pPr>
    </w:p>
    <w:p w14:paraId="2012DA97" w14:textId="77777777" w:rsidR="009D3644" w:rsidRPr="005913B4" w:rsidRDefault="009D3644" w:rsidP="005913B4">
      <w:pPr>
        <w:spacing w:line="480" w:lineRule="auto"/>
        <w:ind w:left="-284"/>
        <w:jc w:val="both"/>
        <w:rPr>
          <w:rFonts w:ascii="Times New Roman" w:hAnsi="Times New Roman" w:cs="Times New Roman"/>
          <w:b/>
          <w:bCs/>
          <w:sz w:val="28"/>
          <w:szCs w:val="28"/>
        </w:rPr>
      </w:pPr>
    </w:p>
    <w:p w14:paraId="0F6E33DD" w14:textId="14192C89" w:rsidR="00E10824" w:rsidRDefault="00F65688" w:rsidP="005913B4">
      <w:pPr>
        <w:spacing w:line="480" w:lineRule="auto"/>
        <w:ind w:left="-284"/>
        <w:jc w:val="both"/>
        <w:rPr>
          <w:rFonts w:ascii="Times New Roman" w:hAnsi="Times New Roman" w:cs="Times New Roman"/>
          <w:b/>
          <w:bCs/>
          <w:sz w:val="28"/>
          <w:szCs w:val="28"/>
        </w:rPr>
      </w:pPr>
      <w:r w:rsidRPr="005913B4">
        <w:rPr>
          <w:rFonts w:ascii="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57EC69DC" wp14:editId="07470D08">
                <wp:simplePos x="0" y="0"/>
                <wp:positionH relativeFrom="margin">
                  <wp:posOffset>2178001</wp:posOffset>
                </wp:positionH>
                <wp:positionV relativeFrom="paragraph">
                  <wp:posOffset>351155</wp:posOffset>
                </wp:positionV>
                <wp:extent cx="1871003" cy="274320"/>
                <wp:effectExtent l="0" t="0" r="15240" b="11430"/>
                <wp:wrapNone/>
                <wp:docPr id="1286765553" name="Text Box 23"/>
                <wp:cNvGraphicFramePr/>
                <a:graphic xmlns:a="http://schemas.openxmlformats.org/drawingml/2006/main">
                  <a:graphicData uri="http://schemas.microsoft.com/office/word/2010/wordprocessingShape">
                    <wps:wsp>
                      <wps:cNvSpPr txBox="1"/>
                      <wps:spPr>
                        <a:xfrm>
                          <a:off x="0" y="0"/>
                          <a:ext cx="1871003" cy="274320"/>
                        </a:xfrm>
                        <a:prstGeom prst="rect">
                          <a:avLst/>
                        </a:prstGeom>
                        <a:solidFill>
                          <a:schemeClr val="lt1"/>
                        </a:solidFill>
                        <a:ln w="6350">
                          <a:solidFill>
                            <a:prstClr val="black"/>
                          </a:solidFill>
                        </a:ln>
                      </wps:spPr>
                      <wps:txbx>
                        <w:txbxContent>
                          <w:p w14:paraId="78457B86" w14:textId="77777777" w:rsidR="0058373B" w:rsidRPr="00F65688" w:rsidRDefault="0058373B" w:rsidP="0058373B">
                            <w:pPr>
                              <w:rPr>
                                <w:rFonts w:ascii="Times New Roman" w:hAnsi="Times New Roman" w:cs="Times New Roman"/>
                                <w:sz w:val="24"/>
                                <w:szCs w:val="24"/>
                              </w:rPr>
                            </w:pPr>
                            <w:r w:rsidRPr="00F65688">
                              <w:rPr>
                                <w:rFonts w:ascii="Times New Roman" w:hAnsi="Times New Roman" w:cs="Times New Roman"/>
                                <w:b/>
                                <w:bCs/>
                                <w:sz w:val="24"/>
                                <w:szCs w:val="24"/>
                              </w:rPr>
                              <w:t xml:space="preserve">Figure 4: </w:t>
                            </w:r>
                            <w:r w:rsidRPr="00F65688">
                              <w:rPr>
                                <w:rFonts w:ascii="Times New Roman" w:hAnsi="Times New Roman" w:cs="Times New Roman"/>
                                <w:sz w:val="24"/>
                                <w:szCs w:val="24"/>
                              </w:rPr>
                              <w:t>Final Insertion</w:t>
                            </w:r>
                          </w:p>
                          <w:p w14:paraId="1CA0C6F5" w14:textId="77777777" w:rsidR="0058373B" w:rsidRPr="00F65688" w:rsidRDefault="0058373B" w:rsidP="0058373B">
                            <w:pPr>
                              <w:rPr>
                                <w:sz w:val="24"/>
                                <w:szCs w:val="24"/>
                              </w:rPr>
                            </w:pPr>
                          </w:p>
                          <w:p w14:paraId="5EFD6178" w14:textId="77777777" w:rsidR="0058373B" w:rsidRPr="00F65688" w:rsidRDefault="0058373B" w:rsidP="0058373B">
                            <w:pPr>
                              <w:rPr>
                                <w:sz w:val="24"/>
                                <w:szCs w:val="24"/>
                              </w:rPr>
                            </w:pPr>
                          </w:p>
                          <w:p w14:paraId="399128D6" w14:textId="77777777" w:rsidR="0058373B" w:rsidRPr="00F65688" w:rsidRDefault="0058373B" w:rsidP="0058373B">
                            <w:pPr>
                              <w:rPr>
                                <w:sz w:val="24"/>
                                <w:szCs w:val="24"/>
                              </w:rPr>
                            </w:pPr>
                          </w:p>
                          <w:p w14:paraId="10D87755" w14:textId="77777777" w:rsidR="0058373B" w:rsidRPr="00F65688" w:rsidRDefault="0058373B" w:rsidP="0058373B">
                            <w:pPr>
                              <w:rPr>
                                <w:sz w:val="24"/>
                                <w:szCs w:val="24"/>
                              </w:rPr>
                            </w:pPr>
                          </w:p>
                          <w:p w14:paraId="5B66A655" w14:textId="77777777" w:rsidR="0058373B" w:rsidRPr="00F65688" w:rsidRDefault="0058373B" w:rsidP="0058373B">
                            <w:pPr>
                              <w:rPr>
                                <w:sz w:val="24"/>
                                <w:szCs w:val="24"/>
                              </w:rPr>
                            </w:pPr>
                          </w:p>
                          <w:p w14:paraId="0C07FC66" w14:textId="77777777" w:rsidR="0058373B" w:rsidRPr="00F65688" w:rsidRDefault="0058373B" w:rsidP="0058373B">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C69DC" id="_x0000_s1029" type="#_x0000_t202" style="position:absolute;left:0;text-align:left;margin-left:171.5pt;margin-top:27.65pt;width:147.3pt;height:21.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" fillcolor="white [3201]" strokeweight=".5pt">
                <v:textbox>
                  <w:txbxContent>
                    <w:p w14:paraId="78457B86" w14:textId="77777777" w:rsidR="0058373B" w:rsidRPr="00F65688" w:rsidRDefault="0058373B" w:rsidP="0058373B">
                      <w:pPr>
                        <w:rPr>
                          <w:rFonts w:ascii="Times New Roman" w:hAnsi="Times New Roman" w:cs="Times New Roman"/>
                          <w:sz w:val="24"/>
                          <w:szCs w:val="24"/>
                        </w:rPr>
                      </w:pPr>
                      <w:r w:rsidRPr="00F65688">
                        <w:rPr>
                          <w:rFonts w:ascii="Times New Roman" w:hAnsi="Times New Roman" w:cs="Times New Roman"/>
                          <w:b/>
                          <w:bCs/>
                          <w:sz w:val="24"/>
                          <w:szCs w:val="24"/>
                        </w:rPr>
                        <w:t xml:space="preserve">Figure 4: </w:t>
                      </w:r>
                      <w:r w:rsidRPr="00F65688">
                        <w:rPr>
                          <w:rFonts w:ascii="Times New Roman" w:hAnsi="Times New Roman" w:cs="Times New Roman"/>
                          <w:sz w:val="24"/>
                          <w:szCs w:val="24"/>
                        </w:rPr>
                        <w:t>Final Insertion</w:t>
                      </w:r>
                    </w:p>
                    <w:p w14:paraId="1CA0C6F5" w14:textId="77777777" w:rsidR="0058373B" w:rsidRPr="00F65688" w:rsidRDefault="0058373B" w:rsidP="0058373B">
                      <w:pPr>
                        <w:rPr>
                          <w:sz w:val="24"/>
                          <w:szCs w:val="24"/>
                        </w:rPr>
                      </w:pPr>
                    </w:p>
                    <w:p w14:paraId="5EFD6178" w14:textId="77777777" w:rsidR="0058373B" w:rsidRPr="00F65688" w:rsidRDefault="0058373B" w:rsidP="0058373B">
                      <w:pPr>
                        <w:rPr>
                          <w:sz w:val="24"/>
                          <w:szCs w:val="24"/>
                        </w:rPr>
                      </w:pPr>
                    </w:p>
                    <w:p w14:paraId="399128D6" w14:textId="77777777" w:rsidR="0058373B" w:rsidRPr="00F65688" w:rsidRDefault="0058373B" w:rsidP="0058373B">
                      <w:pPr>
                        <w:rPr>
                          <w:sz w:val="24"/>
                          <w:szCs w:val="24"/>
                        </w:rPr>
                      </w:pPr>
                    </w:p>
                    <w:p w14:paraId="10D87755" w14:textId="77777777" w:rsidR="0058373B" w:rsidRPr="00F65688" w:rsidRDefault="0058373B" w:rsidP="0058373B">
                      <w:pPr>
                        <w:rPr>
                          <w:sz w:val="24"/>
                          <w:szCs w:val="24"/>
                        </w:rPr>
                      </w:pPr>
                    </w:p>
                    <w:p w14:paraId="5B66A655" w14:textId="77777777" w:rsidR="0058373B" w:rsidRPr="00F65688" w:rsidRDefault="0058373B" w:rsidP="0058373B">
                      <w:pPr>
                        <w:rPr>
                          <w:sz w:val="24"/>
                          <w:szCs w:val="24"/>
                        </w:rPr>
                      </w:pPr>
                    </w:p>
                    <w:p w14:paraId="0C07FC66" w14:textId="77777777" w:rsidR="0058373B" w:rsidRPr="00F65688" w:rsidRDefault="0058373B" w:rsidP="0058373B">
                      <w:pPr>
                        <w:rPr>
                          <w:sz w:val="24"/>
                          <w:szCs w:val="24"/>
                        </w:rPr>
                      </w:pPr>
                    </w:p>
                  </w:txbxContent>
                </v:textbox>
                <w10:wrap anchorx="margin"/>
              </v:shape>
            </w:pict>
          </mc:Fallback>
        </mc:AlternateContent>
      </w:r>
    </w:p>
    <w:p w14:paraId="4E2A40B3" w14:textId="77777777" w:rsidR="00E10824" w:rsidRDefault="00E10824" w:rsidP="005913B4">
      <w:pPr>
        <w:spacing w:line="480" w:lineRule="auto"/>
        <w:ind w:left="-284"/>
        <w:jc w:val="both"/>
        <w:rPr>
          <w:rFonts w:ascii="Times New Roman" w:hAnsi="Times New Roman" w:cs="Times New Roman"/>
          <w:b/>
          <w:bCs/>
          <w:sz w:val="28"/>
          <w:szCs w:val="28"/>
        </w:rPr>
      </w:pPr>
    </w:p>
    <w:p w14:paraId="471B0228" w14:textId="11C859D0" w:rsidR="00A87B35" w:rsidRPr="005913B4" w:rsidRDefault="00A87B35" w:rsidP="005913B4">
      <w:pPr>
        <w:spacing w:line="480" w:lineRule="auto"/>
        <w:ind w:left="-284"/>
        <w:jc w:val="both"/>
        <w:rPr>
          <w:rFonts w:ascii="Times New Roman" w:hAnsi="Times New Roman" w:cs="Times New Roman"/>
          <w:b/>
          <w:bCs/>
          <w:sz w:val="28"/>
          <w:szCs w:val="28"/>
        </w:rPr>
      </w:pPr>
      <w:r w:rsidRPr="005913B4">
        <w:rPr>
          <w:rFonts w:ascii="Times New Roman" w:hAnsi="Times New Roman" w:cs="Times New Roman"/>
          <w:b/>
          <w:bCs/>
          <w:sz w:val="28"/>
          <w:szCs w:val="28"/>
        </w:rPr>
        <w:t>Discussion</w:t>
      </w:r>
    </w:p>
    <w:p w14:paraId="722EA480" w14:textId="77777777" w:rsidR="00A87B35" w:rsidRPr="005913B4" w:rsidRDefault="00A87B35"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                        Preservation of natural teeth offers several advantages, including maintenance of alveolar bone, preservation of proprioception, enhanced retention and support, and reduced psychological impact associated with tooth loss.</w:t>
      </w:r>
      <w:r w:rsidRPr="005913B4">
        <w:rPr>
          <w:rFonts w:ascii="Times New Roman" w:hAnsi="Times New Roman" w:cs="Times New Roman"/>
          <w:sz w:val="28"/>
          <w:szCs w:val="28"/>
          <w:vertAlign w:val="superscript"/>
        </w:rPr>
        <w:t>8,10</w:t>
      </w:r>
      <w:r w:rsidRPr="005913B4">
        <w:rPr>
          <w:rFonts w:ascii="Times New Roman" w:hAnsi="Times New Roman" w:cs="Times New Roman"/>
          <w:sz w:val="28"/>
          <w:szCs w:val="28"/>
        </w:rPr>
        <w:t xml:space="preserve"> In the present case, the patient strongly preferred retaining of natural teeth, reinforcing the decision for a preventive prosthodontic approach. Tooth-tissue supported overdentures derive significant support from remaining natural teeth and their distribution and strategic positioning are critical for successful treatment planning. ⁹ Although overdentures are associated with an increased risk of abutment caries and technical complications, meticulous oral hygiene practices and regular use of topical </w:t>
      </w:r>
      <w:r w:rsidRPr="005913B4">
        <w:rPr>
          <w:rFonts w:ascii="Times New Roman" w:hAnsi="Times New Roman" w:cs="Times New Roman"/>
          <w:sz w:val="28"/>
          <w:szCs w:val="28"/>
        </w:rPr>
        <w:lastRenderedPageBreak/>
        <w:t xml:space="preserve">fluorides significantly reduce these risks.⁹ Retention of natural teeth provides psychological reassurance to patients and contributes to reduced alveolar bone resorption, thereby improving prosthesis stability and support.⁹  Louis et al. demonstrated superior masticatory efficiency in overdenture wearers compared to complete denture patients, justifying the additional clinical effort and cost involved.⁹ Although prefabricated </w:t>
      </w:r>
      <w:proofErr w:type="spellStart"/>
      <w:r w:rsidRPr="005913B4">
        <w:rPr>
          <w:rFonts w:ascii="Times New Roman" w:hAnsi="Times New Roman" w:cs="Times New Roman"/>
          <w:sz w:val="28"/>
          <w:szCs w:val="28"/>
        </w:rPr>
        <w:t>intraradicular</w:t>
      </w:r>
      <w:proofErr w:type="spellEnd"/>
      <w:r w:rsidRPr="005913B4">
        <w:rPr>
          <w:rFonts w:ascii="Times New Roman" w:hAnsi="Times New Roman" w:cs="Times New Roman"/>
          <w:sz w:val="28"/>
          <w:szCs w:val="28"/>
        </w:rPr>
        <w:t xml:space="preserve"> attachments offer enhanced prosthetic flexibility, clasp-retained abutments, as used in the present case, also provide adequate retention.⁹ Glen et al. emphasized the successful use of hemisectioned teeth as overdenture abutments; a concept effectively applied in this case. The term convertible denture was used for the mandibular cast partial overdenture due to its adaptability following potential distal abutment loss.</w:t>
      </w:r>
    </w:p>
    <w:p w14:paraId="0269B8E4" w14:textId="62D2E10D" w:rsidR="00A87B35" w:rsidRPr="005913B4" w:rsidRDefault="006D0549" w:rsidP="005913B4">
      <w:pPr>
        <w:spacing w:line="480" w:lineRule="auto"/>
        <w:ind w:left="-284"/>
        <w:jc w:val="both"/>
        <w:rPr>
          <w:rFonts w:ascii="Times New Roman" w:hAnsi="Times New Roman" w:cs="Times New Roman"/>
          <w:b/>
          <w:bCs/>
          <w:sz w:val="28"/>
          <w:szCs w:val="28"/>
        </w:rPr>
      </w:pPr>
      <w:proofErr w:type="gramStart"/>
      <w:r>
        <w:rPr>
          <w:rFonts w:ascii="Times New Roman" w:hAnsi="Times New Roman" w:cs="Times New Roman"/>
          <w:b/>
          <w:bCs/>
          <w:sz w:val="28"/>
          <w:szCs w:val="28"/>
        </w:rPr>
        <w:t xml:space="preserve">Conclusion </w:t>
      </w:r>
      <w:r w:rsidR="00A87B35" w:rsidRPr="005913B4">
        <w:rPr>
          <w:rFonts w:ascii="Times New Roman" w:hAnsi="Times New Roman" w:cs="Times New Roman"/>
          <w:b/>
          <w:bCs/>
          <w:sz w:val="28"/>
          <w:szCs w:val="28"/>
        </w:rPr>
        <w:t>:</w:t>
      </w:r>
      <w:proofErr w:type="gramEnd"/>
    </w:p>
    <w:p w14:paraId="2CE6B601" w14:textId="77777777" w:rsidR="00A87B35" w:rsidRDefault="00A87B35" w:rsidP="005913B4">
      <w:pPr>
        <w:spacing w:line="48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 xml:space="preserve">Tooth-supported overdentures represent the final conservative option before complete edentulism. They provide functional benefits, help preserve the residual alveolar ridge, and maintain proprioception through retained natural teeth. Critical considerations during treatment planning include strategic abutment selection, assessment of undercuts, evaluation of interocclusal space and reinforcement of the denture base. Patient-specific factors, such as oral hygiene, periodontal health, and bone support must be considered during the planning phase. Long-term success depends on careful case selection, precise execution of clinical steps, and regular follow-up visits to monitor abutment health. This article has described about a </w:t>
      </w:r>
      <w:r w:rsidRPr="005913B4">
        <w:rPr>
          <w:rFonts w:ascii="Times New Roman" w:hAnsi="Times New Roman" w:cs="Times New Roman"/>
          <w:sz w:val="28"/>
          <w:szCs w:val="28"/>
        </w:rPr>
        <w:lastRenderedPageBreak/>
        <w:t>convertible cast partial denture which has added advantage to overdenture treatment where in the needed for new prosthesis fabrication is eliminated after the loss of abutment teeth.</w:t>
      </w:r>
    </w:p>
    <w:p w14:paraId="4A741439" w14:textId="77777777" w:rsidR="006D0549" w:rsidRPr="005913B4" w:rsidRDefault="006D0549" w:rsidP="005913B4">
      <w:pPr>
        <w:spacing w:line="480" w:lineRule="auto"/>
        <w:ind w:left="-284"/>
        <w:jc w:val="both"/>
        <w:rPr>
          <w:rFonts w:ascii="Times New Roman" w:hAnsi="Times New Roman" w:cs="Times New Roman"/>
          <w:sz w:val="28"/>
          <w:szCs w:val="28"/>
        </w:rPr>
      </w:pPr>
      <w:bookmarkStart w:id="0" w:name="_GoBack"/>
      <w:bookmarkEnd w:id="0"/>
    </w:p>
    <w:p w14:paraId="29E12087" w14:textId="77777777" w:rsidR="00A87B35" w:rsidRPr="005913B4" w:rsidRDefault="00A87B35" w:rsidP="005913B4">
      <w:pPr>
        <w:ind w:left="-284"/>
        <w:jc w:val="both"/>
        <w:rPr>
          <w:rFonts w:ascii="Times New Roman" w:hAnsi="Times New Roman" w:cs="Times New Roman"/>
          <w:b/>
          <w:bCs/>
          <w:sz w:val="28"/>
          <w:szCs w:val="28"/>
        </w:rPr>
      </w:pPr>
      <w:r w:rsidRPr="005913B4">
        <w:rPr>
          <w:rFonts w:ascii="Times New Roman" w:hAnsi="Times New Roman" w:cs="Times New Roman"/>
          <w:b/>
          <w:bCs/>
          <w:sz w:val="28"/>
          <w:szCs w:val="28"/>
        </w:rPr>
        <w:t>References:</w:t>
      </w:r>
    </w:p>
    <w:p w14:paraId="3CA9B58F" w14:textId="77777777" w:rsidR="00A87B35" w:rsidRPr="005913B4" w:rsidRDefault="00A87B35" w:rsidP="005913B4">
      <w:pPr>
        <w:pStyle w:val="ListParagraph"/>
        <w:numPr>
          <w:ilvl w:val="0"/>
          <w:numId w:val="2"/>
        </w:numPr>
        <w:spacing w:line="36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Samra RK, Bhide SV, Goyal C, Kaur T. Tooth supported overdenture: a concept overshadowed but not yet forgotten! Journal of Oral Research and Review. 2015 Jan 1;7(1):16-21.</w:t>
      </w:r>
    </w:p>
    <w:p w14:paraId="55A6F29C" w14:textId="77777777" w:rsidR="00A87B35" w:rsidRPr="005913B4" w:rsidRDefault="00A87B35" w:rsidP="005913B4">
      <w:pPr>
        <w:pStyle w:val="ListParagraph"/>
        <w:numPr>
          <w:ilvl w:val="0"/>
          <w:numId w:val="2"/>
        </w:numPr>
        <w:spacing w:line="360" w:lineRule="auto"/>
        <w:ind w:left="-284"/>
        <w:jc w:val="both"/>
        <w:rPr>
          <w:rFonts w:ascii="Times New Roman" w:hAnsi="Times New Roman" w:cs="Times New Roman"/>
          <w:sz w:val="28"/>
          <w:szCs w:val="28"/>
        </w:rPr>
      </w:pPr>
      <w:r w:rsidRPr="005913B4">
        <w:rPr>
          <w:rFonts w:ascii="Times New Roman" w:hAnsi="Times New Roman" w:cs="Times New Roman"/>
          <w:sz w:val="28"/>
          <w:szCs w:val="28"/>
        </w:rPr>
        <w:t>“The Glossary of Prosthodontic Terms 2023: Tenth Edition.” </w:t>
      </w:r>
      <w:r w:rsidRPr="005913B4">
        <w:rPr>
          <w:rFonts w:ascii="Times New Roman" w:hAnsi="Times New Roman" w:cs="Times New Roman"/>
          <w:i/>
          <w:iCs/>
          <w:sz w:val="28"/>
          <w:szCs w:val="28"/>
        </w:rPr>
        <w:t>The Journal of prosthetic dentistry</w:t>
      </w:r>
      <w:r w:rsidRPr="005913B4">
        <w:rPr>
          <w:rFonts w:ascii="Times New Roman" w:hAnsi="Times New Roman" w:cs="Times New Roman"/>
          <w:sz w:val="28"/>
          <w:szCs w:val="28"/>
        </w:rPr>
        <w:t xml:space="preserve"> vol. 130,4 </w:t>
      </w:r>
      <w:proofErr w:type="spellStart"/>
      <w:r w:rsidRPr="005913B4">
        <w:rPr>
          <w:rFonts w:ascii="Times New Roman" w:hAnsi="Times New Roman" w:cs="Times New Roman"/>
          <w:sz w:val="28"/>
          <w:szCs w:val="28"/>
        </w:rPr>
        <w:t>Suppl</w:t>
      </w:r>
      <w:proofErr w:type="spellEnd"/>
      <w:r w:rsidRPr="005913B4">
        <w:rPr>
          <w:rFonts w:ascii="Times New Roman" w:hAnsi="Times New Roman" w:cs="Times New Roman"/>
          <w:sz w:val="28"/>
          <w:szCs w:val="28"/>
        </w:rPr>
        <w:t xml:space="preserve"> 1 (2023): e1-e3. </w:t>
      </w:r>
      <w:proofErr w:type="spellStart"/>
      <w:r w:rsidRPr="005913B4">
        <w:rPr>
          <w:rFonts w:ascii="Times New Roman" w:hAnsi="Times New Roman" w:cs="Times New Roman"/>
          <w:sz w:val="28"/>
          <w:szCs w:val="28"/>
        </w:rPr>
        <w:t>doi</w:t>
      </w:r>
      <w:proofErr w:type="spellEnd"/>
      <w:r w:rsidRPr="005913B4">
        <w:rPr>
          <w:rFonts w:ascii="Times New Roman" w:hAnsi="Times New Roman" w:cs="Times New Roman"/>
          <w:sz w:val="28"/>
          <w:szCs w:val="28"/>
        </w:rPr>
        <w:t>: 10.1016/j.prosdent.2023.03.003</w:t>
      </w:r>
    </w:p>
    <w:p w14:paraId="00B62557" w14:textId="77777777" w:rsidR="00A87B35" w:rsidRPr="005913B4" w:rsidRDefault="00A87B35" w:rsidP="005913B4">
      <w:pPr>
        <w:pStyle w:val="ListParagraph"/>
        <w:numPr>
          <w:ilvl w:val="0"/>
          <w:numId w:val="2"/>
        </w:numPr>
        <w:spacing w:line="360" w:lineRule="auto"/>
        <w:ind w:left="-284" w:right="-188"/>
        <w:jc w:val="both"/>
        <w:rPr>
          <w:rFonts w:ascii="Times New Roman" w:hAnsi="Times New Roman" w:cs="Times New Roman"/>
          <w:sz w:val="28"/>
          <w:szCs w:val="28"/>
        </w:rPr>
      </w:pPr>
      <w:r w:rsidRPr="005913B4">
        <w:rPr>
          <w:rFonts w:ascii="Times New Roman" w:hAnsi="Times New Roman" w:cs="Times New Roman"/>
          <w:sz w:val="28"/>
          <w:szCs w:val="28"/>
        </w:rPr>
        <w:t>Fenton, A H. “The decade of overdentures: 1970-1980.” </w:t>
      </w:r>
      <w:r w:rsidRPr="005913B4">
        <w:rPr>
          <w:rFonts w:ascii="Times New Roman" w:hAnsi="Times New Roman" w:cs="Times New Roman"/>
          <w:i/>
          <w:iCs/>
          <w:sz w:val="28"/>
          <w:szCs w:val="28"/>
        </w:rPr>
        <w:t>The Journal of prosthetic dentistry</w:t>
      </w:r>
      <w:r w:rsidRPr="005913B4">
        <w:rPr>
          <w:rFonts w:ascii="Times New Roman" w:hAnsi="Times New Roman" w:cs="Times New Roman"/>
          <w:sz w:val="28"/>
          <w:szCs w:val="28"/>
        </w:rPr>
        <w:t> vol. 79,1 (1998): 31-6. doi:10.1016/s0022-3913(98)70190-8</w:t>
      </w:r>
    </w:p>
    <w:p w14:paraId="66C325D6" w14:textId="77777777" w:rsidR="00A87B35" w:rsidRPr="005913B4" w:rsidRDefault="00A87B35" w:rsidP="005913B4">
      <w:pPr>
        <w:pStyle w:val="ListParagraph"/>
        <w:numPr>
          <w:ilvl w:val="0"/>
          <w:numId w:val="2"/>
        </w:numPr>
        <w:spacing w:line="360" w:lineRule="auto"/>
        <w:ind w:left="-284" w:right="-188"/>
        <w:jc w:val="both"/>
        <w:rPr>
          <w:rFonts w:ascii="Times New Roman" w:hAnsi="Times New Roman" w:cs="Times New Roman"/>
          <w:sz w:val="28"/>
          <w:szCs w:val="28"/>
        </w:rPr>
      </w:pPr>
      <w:r w:rsidRPr="005913B4">
        <w:rPr>
          <w:rFonts w:ascii="Times New Roman" w:hAnsi="Times New Roman" w:cs="Times New Roman"/>
          <w:sz w:val="28"/>
          <w:szCs w:val="28"/>
        </w:rPr>
        <w:t>Crum RJ, Rooney Jr GE. Alveolar bone loss in overdentures: a 5-year study. The Journal of prosthetic dentistry. 1978 Dec 1;40(6):610-3.</w:t>
      </w:r>
    </w:p>
    <w:p w14:paraId="678F7B87" w14:textId="77777777" w:rsidR="00A87B35" w:rsidRPr="005913B4" w:rsidRDefault="00A87B35" w:rsidP="005913B4">
      <w:pPr>
        <w:pStyle w:val="ListParagraph"/>
        <w:numPr>
          <w:ilvl w:val="0"/>
          <w:numId w:val="2"/>
        </w:numPr>
        <w:spacing w:line="360" w:lineRule="auto"/>
        <w:ind w:left="-284" w:right="-188"/>
        <w:jc w:val="both"/>
        <w:rPr>
          <w:rFonts w:ascii="Times New Roman" w:hAnsi="Times New Roman" w:cs="Times New Roman"/>
          <w:sz w:val="28"/>
          <w:szCs w:val="28"/>
        </w:rPr>
      </w:pPr>
      <w:proofErr w:type="spellStart"/>
      <w:r w:rsidRPr="005913B4">
        <w:rPr>
          <w:rFonts w:ascii="Times New Roman" w:hAnsi="Times New Roman" w:cs="Times New Roman"/>
          <w:sz w:val="28"/>
          <w:szCs w:val="28"/>
        </w:rPr>
        <w:t>Samantaray</w:t>
      </w:r>
      <w:proofErr w:type="spellEnd"/>
      <w:r w:rsidRPr="005913B4">
        <w:rPr>
          <w:rFonts w:ascii="Times New Roman" w:hAnsi="Times New Roman" w:cs="Times New Roman"/>
          <w:sz w:val="28"/>
          <w:szCs w:val="28"/>
        </w:rPr>
        <w:t xml:space="preserve"> RK, Nanda K, Sahoo D. Over-dentures and attachments: a review of literature. Indian Journal of Forensic Medicine &amp; Toxicology. 2020 Oct 29;14(4):8660-6.</w:t>
      </w:r>
    </w:p>
    <w:p w14:paraId="0682C7DB" w14:textId="77777777" w:rsidR="00A87B35" w:rsidRPr="005913B4" w:rsidRDefault="00A87B35" w:rsidP="005913B4">
      <w:pPr>
        <w:pStyle w:val="ListParagraph"/>
        <w:numPr>
          <w:ilvl w:val="0"/>
          <w:numId w:val="2"/>
        </w:numPr>
        <w:spacing w:line="360" w:lineRule="auto"/>
        <w:ind w:left="-284" w:right="95"/>
        <w:jc w:val="both"/>
        <w:rPr>
          <w:rFonts w:ascii="Times New Roman" w:hAnsi="Times New Roman" w:cs="Times New Roman"/>
          <w:sz w:val="28"/>
          <w:szCs w:val="28"/>
        </w:rPr>
      </w:pPr>
      <w:r w:rsidRPr="005913B4">
        <w:rPr>
          <w:rFonts w:ascii="Times New Roman" w:hAnsi="Times New Roman" w:cs="Times New Roman"/>
          <w:sz w:val="28"/>
          <w:szCs w:val="28"/>
        </w:rPr>
        <w:t>Richard GE, Sarka RJ, Arnold RM, Knowles KI. Hemisected molars for additional overdenture support. The Journal of Prosthetic Dentistry. 1977 Jul 1;38(1):16-21</w:t>
      </w:r>
    </w:p>
    <w:p w14:paraId="6239DFEB" w14:textId="77777777" w:rsidR="00A87B35" w:rsidRPr="005913B4" w:rsidRDefault="00A87B35" w:rsidP="005913B4">
      <w:pPr>
        <w:pStyle w:val="ListParagraph"/>
        <w:numPr>
          <w:ilvl w:val="0"/>
          <w:numId w:val="2"/>
        </w:numPr>
        <w:spacing w:line="360" w:lineRule="auto"/>
        <w:ind w:left="-284" w:right="-188"/>
        <w:jc w:val="both"/>
        <w:rPr>
          <w:rFonts w:ascii="Times New Roman" w:hAnsi="Times New Roman" w:cs="Times New Roman"/>
          <w:sz w:val="28"/>
          <w:szCs w:val="28"/>
        </w:rPr>
      </w:pPr>
      <w:r w:rsidRPr="005913B4">
        <w:rPr>
          <w:rFonts w:ascii="Times New Roman" w:hAnsi="Times New Roman" w:cs="Times New Roman"/>
          <w:sz w:val="28"/>
          <w:szCs w:val="28"/>
        </w:rPr>
        <w:t>Prakash VS, Shivaprakash G, Hegde S. Four and two tooth supported-Conventional over denture: Two case reports. International Journal of Oral Health Sciences. 2013 Jan 1;3(1):61-4.</w:t>
      </w:r>
    </w:p>
    <w:p w14:paraId="61501F86" w14:textId="77777777" w:rsidR="00A87B35" w:rsidRPr="005913B4" w:rsidRDefault="00A87B35" w:rsidP="005913B4">
      <w:pPr>
        <w:pStyle w:val="ListParagraph"/>
        <w:numPr>
          <w:ilvl w:val="0"/>
          <w:numId w:val="2"/>
        </w:numPr>
        <w:spacing w:line="360" w:lineRule="auto"/>
        <w:ind w:left="-284" w:right="95"/>
        <w:jc w:val="both"/>
        <w:rPr>
          <w:rFonts w:ascii="Times New Roman" w:hAnsi="Times New Roman" w:cs="Times New Roman"/>
          <w:sz w:val="28"/>
          <w:szCs w:val="28"/>
        </w:rPr>
      </w:pPr>
      <w:proofErr w:type="spellStart"/>
      <w:r w:rsidRPr="005913B4">
        <w:rPr>
          <w:rFonts w:ascii="Times New Roman" w:hAnsi="Times New Roman" w:cs="Times New Roman"/>
          <w:sz w:val="28"/>
          <w:szCs w:val="28"/>
        </w:rPr>
        <w:t>Preiskel</w:t>
      </w:r>
      <w:proofErr w:type="spellEnd"/>
      <w:r w:rsidRPr="005913B4">
        <w:rPr>
          <w:rFonts w:ascii="Times New Roman" w:hAnsi="Times New Roman" w:cs="Times New Roman"/>
          <w:sz w:val="28"/>
          <w:szCs w:val="28"/>
        </w:rPr>
        <w:t xml:space="preserve"> HW. Overdentures Made Easy: A Guide to Implant and Root Supported Prostheses. London: Quintessence Publishing Co Ltd; 1996.</w:t>
      </w:r>
    </w:p>
    <w:p w14:paraId="59D639C2" w14:textId="77777777" w:rsidR="00A87B35" w:rsidRPr="005913B4" w:rsidRDefault="00A87B35" w:rsidP="005913B4">
      <w:pPr>
        <w:pStyle w:val="ListParagraph"/>
        <w:numPr>
          <w:ilvl w:val="0"/>
          <w:numId w:val="2"/>
        </w:numPr>
        <w:spacing w:line="360" w:lineRule="auto"/>
        <w:ind w:left="-284" w:right="-188"/>
        <w:jc w:val="both"/>
        <w:rPr>
          <w:rFonts w:ascii="Times New Roman" w:hAnsi="Times New Roman" w:cs="Times New Roman"/>
          <w:sz w:val="28"/>
          <w:szCs w:val="28"/>
        </w:rPr>
      </w:pPr>
      <w:r w:rsidRPr="005913B4">
        <w:rPr>
          <w:rFonts w:ascii="Times New Roman" w:hAnsi="Times New Roman" w:cs="Times New Roman"/>
          <w:sz w:val="28"/>
          <w:szCs w:val="28"/>
        </w:rPr>
        <w:lastRenderedPageBreak/>
        <w:t>Ahmed T, Mirza AJ. Oral Rehabilitation with Mandibular Cast Partial Overdenture Opposing Maxillary Cast Complete Denture-A Case Report. Annals of Abbasi Shaheed Hospital &amp; Karachi Medical &amp; Dental College. 2014 Jul 1;19(2).</w:t>
      </w:r>
    </w:p>
    <w:p w14:paraId="0A72BEC4" w14:textId="77777777" w:rsidR="00A87B35" w:rsidRPr="005913B4" w:rsidRDefault="00A87B35" w:rsidP="005913B4">
      <w:pPr>
        <w:pStyle w:val="ListParagraph"/>
        <w:numPr>
          <w:ilvl w:val="0"/>
          <w:numId w:val="2"/>
        </w:numPr>
        <w:spacing w:line="360" w:lineRule="auto"/>
        <w:ind w:left="-284" w:right="-188"/>
        <w:jc w:val="both"/>
        <w:rPr>
          <w:rFonts w:ascii="Times New Roman" w:hAnsi="Times New Roman" w:cs="Times New Roman"/>
          <w:sz w:val="28"/>
          <w:szCs w:val="28"/>
        </w:rPr>
      </w:pPr>
      <w:r w:rsidRPr="005913B4">
        <w:rPr>
          <w:rFonts w:ascii="Times New Roman" w:hAnsi="Times New Roman" w:cs="Times New Roman"/>
          <w:sz w:val="28"/>
          <w:szCs w:val="28"/>
        </w:rPr>
        <w:t xml:space="preserve">Mohd NR, Ahmad SF, </w:t>
      </w:r>
      <w:proofErr w:type="spellStart"/>
      <w:r w:rsidRPr="005913B4">
        <w:rPr>
          <w:rFonts w:ascii="Times New Roman" w:hAnsi="Times New Roman" w:cs="Times New Roman"/>
          <w:sz w:val="28"/>
          <w:szCs w:val="28"/>
        </w:rPr>
        <w:t>Etajuri</w:t>
      </w:r>
      <w:proofErr w:type="spellEnd"/>
      <w:r w:rsidRPr="005913B4">
        <w:rPr>
          <w:rFonts w:ascii="Times New Roman" w:hAnsi="Times New Roman" w:cs="Times New Roman"/>
          <w:sz w:val="28"/>
          <w:szCs w:val="28"/>
        </w:rPr>
        <w:t xml:space="preserve"> EA. An alternative technique for fabrication of a tooth-supported removable partial overdenture: A case report. Journal of International Oral Health. 2021 Sep 1;13(5):514-8.</w:t>
      </w:r>
    </w:p>
    <w:p w14:paraId="6F0D1F45" w14:textId="77777777" w:rsidR="00A87B35" w:rsidRPr="005913B4" w:rsidRDefault="00A87B35" w:rsidP="005913B4">
      <w:pPr>
        <w:ind w:left="-284" w:right="-188"/>
        <w:jc w:val="both"/>
        <w:rPr>
          <w:rFonts w:ascii="Times New Roman" w:hAnsi="Times New Roman" w:cs="Times New Roman"/>
          <w:b/>
          <w:bCs/>
          <w:sz w:val="28"/>
          <w:szCs w:val="28"/>
        </w:rPr>
      </w:pPr>
    </w:p>
    <w:p w14:paraId="65759180" w14:textId="77777777" w:rsidR="00A87B35" w:rsidRPr="005913B4" w:rsidRDefault="00A87B35" w:rsidP="005913B4">
      <w:pPr>
        <w:ind w:left="-284" w:right="-188"/>
        <w:jc w:val="both"/>
        <w:rPr>
          <w:rFonts w:ascii="Times New Roman" w:hAnsi="Times New Roman" w:cs="Times New Roman"/>
          <w:b/>
          <w:bCs/>
          <w:sz w:val="28"/>
          <w:szCs w:val="28"/>
        </w:rPr>
      </w:pPr>
    </w:p>
    <w:p w14:paraId="39E49EC5" w14:textId="77777777" w:rsidR="00D04798" w:rsidRPr="005913B4" w:rsidRDefault="00D04798" w:rsidP="005913B4">
      <w:pPr>
        <w:ind w:left="-284"/>
        <w:jc w:val="both"/>
        <w:rPr>
          <w:rFonts w:ascii="Times New Roman" w:hAnsi="Times New Roman" w:cs="Times New Roman"/>
          <w:sz w:val="28"/>
          <w:szCs w:val="28"/>
        </w:rPr>
      </w:pPr>
    </w:p>
    <w:sectPr w:rsidR="00D04798" w:rsidRPr="005913B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52190" w14:textId="77777777" w:rsidR="00AC3631" w:rsidRDefault="00AC3631" w:rsidP="00DE378B">
      <w:pPr>
        <w:spacing w:after="0" w:line="240" w:lineRule="auto"/>
      </w:pPr>
      <w:r>
        <w:separator/>
      </w:r>
    </w:p>
  </w:endnote>
  <w:endnote w:type="continuationSeparator" w:id="0">
    <w:p w14:paraId="38631194" w14:textId="77777777" w:rsidR="00AC3631" w:rsidRDefault="00AC3631" w:rsidP="00DE3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C1C02" w14:textId="77777777" w:rsidR="00DE378B" w:rsidRDefault="00DE3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DA28" w14:textId="77777777" w:rsidR="00DE378B" w:rsidRDefault="00DE3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E8304" w14:textId="77777777" w:rsidR="00DE378B" w:rsidRDefault="00DE3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571B0" w14:textId="77777777" w:rsidR="00AC3631" w:rsidRDefault="00AC3631" w:rsidP="00DE378B">
      <w:pPr>
        <w:spacing w:after="0" w:line="240" w:lineRule="auto"/>
      </w:pPr>
      <w:r>
        <w:separator/>
      </w:r>
    </w:p>
  </w:footnote>
  <w:footnote w:type="continuationSeparator" w:id="0">
    <w:p w14:paraId="20501D4B" w14:textId="77777777" w:rsidR="00AC3631" w:rsidRDefault="00AC3631" w:rsidP="00DE3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B02DA" w14:textId="2499CCB1" w:rsidR="00DE378B" w:rsidRDefault="00DE378B">
    <w:pPr>
      <w:pStyle w:val="Header"/>
    </w:pPr>
    <w:r>
      <w:rPr>
        <w:noProof/>
      </w:rPr>
      <w:pict w14:anchorId="1B72F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826E2" w14:textId="2568C3EB" w:rsidR="00DE378B" w:rsidRDefault="00DE378B">
    <w:pPr>
      <w:pStyle w:val="Header"/>
    </w:pPr>
    <w:r>
      <w:rPr>
        <w:noProof/>
      </w:rPr>
      <w:pict w14:anchorId="15778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A88D1" w14:textId="3ADACB2B" w:rsidR="00DE378B" w:rsidRDefault="00DE378B">
    <w:pPr>
      <w:pStyle w:val="Header"/>
    </w:pPr>
    <w:r>
      <w:rPr>
        <w:noProof/>
      </w:rPr>
      <w:pict w14:anchorId="11E28A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309F4"/>
    <w:multiLevelType w:val="hybridMultilevel"/>
    <w:tmpl w:val="6278FD30"/>
    <w:lvl w:ilvl="0" w:tplc="935E09BA">
      <w:start w:val="1"/>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abstractNum w:abstractNumId="1" w15:restartNumberingAfterBreak="0">
    <w:nsid w:val="342362BF"/>
    <w:multiLevelType w:val="hybridMultilevel"/>
    <w:tmpl w:val="205E0770"/>
    <w:lvl w:ilvl="0" w:tplc="5AC498F2">
      <w:numFmt w:val="bullet"/>
      <w:lvlText w:val="-"/>
      <w:lvlJc w:val="left"/>
      <w:pPr>
        <w:ind w:left="218" w:hanging="360"/>
      </w:pPr>
      <w:rPr>
        <w:rFonts w:ascii="Times New Roman" w:eastAsiaTheme="minorHAnsi" w:hAnsi="Times New Roman" w:cs="Times New Roman" w:hint="default"/>
        <w:u w:val="single"/>
      </w:rPr>
    </w:lvl>
    <w:lvl w:ilvl="1" w:tplc="40090003" w:tentative="1">
      <w:start w:val="1"/>
      <w:numFmt w:val="bullet"/>
      <w:lvlText w:val="o"/>
      <w:lvlJc w:val="left"/>
      <w:pPr>
        <w:ind w:left="938" w:hanging="360"/>
      </w:pPr>
      <w:rPr>
        <w:rFonts w:ascii="Courier New" w:hAnsi="Courier New" w:cs="Courier New" w:hint="default"/>
      </w:rPr>
    </w:lvl>
    <w:lvl w:ilvl="2" w:tplc="40090005" w:tentative="1">
      <w:start w:val="1"/>
      <w:numFmt w:val="bullet"/>
      <w:lvlText w:val=""/>
      <w:lvlJc w:val="left"/>
      <w:pPr>
        <w:ind w:left="1658" w:hanging="360"/>
      </w:pPr>
      <w:rPr>
        <w:rFonts w:ascii="Wingdings" w:hAnsi="Wingdings" w:hint="default"/>
      </w:rPr>
    </w:lvl>
    <w:lvl w:ilvl="3" w:tplc="40090001" w:tentative="1">
      <w:start w:val="1"/>
      <w:numFmt w:val="bullet"/>
      <w:lvlText w:val=""/>
      <w:lvlJc w:val="left"/>
      <w:pPr>
        <w:ind w:left="2378" w:hanging="360"/>
      </w:pPr>
      <w:rPr>
        <w:rFonts w:ascii="Symbol" w:hAnsi="Symbol" w:hint="default"/>
      </w:rPr>
    </w:lvl>
    <w:lvl w:ilvl="4" w:tplc="40090003" w:tentative="1">
      <w:start w:val="1"/>
      <w:numFmt w:val="bullet"/>
      <w:lvlText w:val="o"/>
      <w:lvlJc w:val="left"/>
      <w:pPr>
        <w:ind w:left="3098" w:hanging="360"/>
      </w:pPr>
      <w:rPr>
        <w:rFonts w:ascii="Courier New" w:hAnsi="Courier New" w:cs="Courier New" w:hint="default"/>
      </w:rPr>
    </w:lvl>
    <w:lvl w:ilvl="5" w:tplc="40090005" w:tentative="1">
      <w:start w:val="1"/>
      <w:numFmt w:val="bullet"/>
      <w:lvlText w:val=""/>
      <w:lvlJc w:val="left"/>
      <w:pPr>
        <w:ind w:left="3818" w:hanging="360"/>
      </w:pPr>
      <w:rPr>
        <w:rFonts w:ascii="Wingdings" w:hAnsi="Wingdings" w:hint="default"/>
      </w:rPr>
    </w:lvl>
    <w:lvl w:ilvl="6" w:tplc="40090001" w:tentative="1">
      <w:start w:val="1"/>
      <w:numFmt w:val="bullet"/>
      <w:lvlText w:val=""/>
      <w:lvlJc w:val="left"/>
      <w:pPr>
        <w:ind w:left="4538" w:hanging="360"/>
      </w:pPr>
      <w:rPr>
        <w:rFonts w:ascii="Symbol" w:hAnsi="Symbol" w:hint="default"/>
      </w:rPr>
    </w:lvl>
    <w:lvl w:ilvl="7" w:tplc="40090003" w:tentative="1">
      <w:start w:val="1"/>
      <w:numFmt w:val="bullet"/>
      <w:lvlText w:val="o"/>
      <w:lvlJc w:val="left"/>
      <w:pPr>
        <w:ind w:left="5258" w:hanging="360"/>
      </w:pPr>
      <w:rPr>
        <w:rFonts w:ascii="Courier New" w:hAnsi="Courier New" w:cs="Courier New" w:hint="default"/>
      </w:rPr>
    </w:lvl>
    <w:lvl w:ilvl="8" w:tplc="40090005" w:tentative="1">
      <w:start w:val="1"/>
      <w:numFmt w:val="bullet"/>
      <w:lvlText w:val=""/>
      <w:lvlJc w:val="left"/>
      <w:pPr>
        <w:ind w:left="5978" w:hanging="360"/>
      </w:pPr>
      <w:rPr>
        <w:rFonts w:ascii="Wingdings" w:hAnsi="Wingdings" w:hint="default"/>
      </w:rPr>
    </w:lvl>
  </w:abstractNum>
  <w:abstractNum w:abstractNumId="2" w15:restartNumberingAfterBreak="0">
    <w:nsid w:val="50C30242"/>
    <w:multiLevelType w:val="hybridMultilevel"/>
    <w:tmpl w:val="31760B5E"/>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3" w15:restartNumberingAfterBreak="0">
    <w:nsid w:val="589A4652"/>
    <w:multiLevelType w:val="hybridMultilevel"/>
    <w:tmpl w:val="4006A61E"/>
    <w:lvl w:ilvl="0" w:tplc="93B40E3E">
      <w:start w:val="1"/>
      <w:numFmt w:val="decimal"/>
      <w:lvlText w:val="%1."/>
      <w:lvlJc w:val="left"/>
      <w:pPr>
        <w:ind w:left="218" w:hanging="360"/>
      </w:pPr>
      <w:rPr>
        <w:rFonts w:hint="default"/>
      </w:rPr>
    </w:lvl>
    <w:lvl w:ilvl="1" w:tplc="40090019" w:tentative="1">
      <w:start w:val="1"/>
      <w:numFmt w:val="lowerLetter"/>
      <w:lvlText w:val="%2."/>
      <w:lvlJc w:val="left"/>
      <w:pPr>
        <w:ind w:left="938" w:hanging="360"/>
      </w:pPr>
    </w:lvl>
    <w:lvl w:ilvl="2" w:tplc="4009001B" w:tentative="1">
      <w:start w:val="1"/>
      <w:numFmt w:val="lowerRoman"/>
      <w:lvlText w:val="%3."/>
      <w:lvlJc w:val="right"/>
      <w:pPr>
        <w:ind w:left="1658" w:hanging="180"/>
      </w:pPr>
    </w:lvl>
    <w:lvl w:ilvl="3" w:tplc="4009000F" w:tentative="1">
      <w:start w:val="1"/>
      <w:numFmt w:val="decimal"/>
      <w:lvlText w:val="%4."/>
      <w:lvlJc w:val="left"/>
      <w:pPr>
        <w:ind w:left="2378" w:hanging="360"/>
      </w:pPr>
    </w:lvl>
    <w:lvl w:ilvl="4" w:tplc="40090019" w:tentative="1">
      <w:start w:val="1"/>
      <w:numFmt w:val="lowerLetter"/>
      <w:lvlText w:val="%5."/>
      <w:lvlJc w:val="left"/>
      <w:pPr>
        <w:ind w:left="3098" w:hanging="360"/>
      </w:pPr>
    </w:lvl>
    <w:lvl w:ilvl="5" w:tplc="4009001B" w:tentative="1">
      <w:start w:val="1"/>
      <w:numFmt w:val="lowerRoman"/>
      <w:lvlText w:val="%6."/>
      <w:lvlJc w:val="right"/>
      <w:pPr>
        <w:ind w:left="3818" w:hanging="180"/>
      </w:pPr>
    </w:lvl>
    <w:lvl w:ilvl="6" w:tplc="4009000F" w:tentative="1">
      <w:start w:val="1"/>
      <w:numFmt w:val="decimal"/>
      <w:lvlText w:val="%7."/>
      <w:lvlJc w:val="left"/>
      <w:pPr>
        <w:ind w:left="4538" w:hanging="360"/>
      </w:pPr>
    </w:lvl>
    <w:lvl w:ilvl="7" w:tplc="40090019" w:tentative="1">
      <w:start w:val="1"/>
      <w:numFmt w:val="lowerLetter"/>
      <w:lvlText w:val="%8."/>
      <w:lvlJc w:val="left"/>
      <w:pPr>
        <w:ind w:left="5258" w:hanging="360"/>
      </w:pPr>
    </w:lvl>
    <w:lvl w:ilvl="8" w:tplc="4009001B" w:tentative="1">
      <w:start w:val="1"/>
      <w:numFmt w:val="lowerRoman"/>
      <w:lvlText w:val="%9."/>
      <w:lvlJc w:val="right"/>
      <w:pPr>
        <w:ind w:left="597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1F"/>
    <w:rsid w:val="00002A92"/>
    <w:rsid w:val="00081532"/>
    <w:rsid w:val="000A1CF7"/>
    <w:rsid w:val="000B716D"/>
    <w:rsid w:val="000F2CB2"/>
    <w:rsid w:val="00100056"/>
    <w:rsid w:val="0010356D"/>
    <w:rsid w:val="00166D77"/>
    <w:rsid w:val="00196D17"/>
    <w:rsid w:val="001C04E1"/>
    <w:rsid w:val="001F7E64"/>
    <w:rsid w:val="00223CDC"/>
    <w:rsid w:val="00236B9A"/>
    <w:rsid w:val="00261C3F"/>
    <w:rsid w:val="002A54D6"/>
    <w:rsid w:val="002C6E99"/>
    <w:rsid w:val="003703D5"/>
    <w:rsid w:val="003D788F"/>
    <w:rsid w:val="004A3F04"/>
    <w:rsid w:val="004E7269"/>
    <w:rsid w:val="0058373B"/>
    <w:rsid w:val="005913B4"/>
    <w:rsid w:val="005C7105"/>
    <w:rsid w:val="005E7FD7"/>
    <w:rsid w:val="00622FB0"/>
    <w:rsid w:val="00651209"/>
    <w:rsid w:val="006D0549"/>
    <w:rsid w:val="00710076"/>
    <w:rsid w:val="00714AE3"/>
    <w:rsid w:val="00760227"/>
    <w:rsid w:val="007769D9"/>
    <w:rsid w:val="007A764C"/>
    <w:rsid w:val="00815440"/>
    <w:rsid w:val="008C1F63"/>
    <w:rsid w:val="008E424A"/>
    <w:rsid w:val="009005D5"/>
    <w:rsid w:val="00945178"/>
    <w:rsid w:val="00964BD8"/>
    <w:rsid w:val="009C10F7"/>
    <w:rsid w:val="009D3644"/>
    <w:rsid w:val="00A74DA5"/>
    <w:rsid w:val="00A87B35"/>
    <w:rsid w:val="00AB611F"/>
    <w:rsid w:val="00AC0AF5"/>
    <w:rsid w:val="00AC3631"/>
    <w:rsid w:val="00AF1B91"/>
    <w:rsid w:val="00B63267"/>
    <w:rsid w:val="00BD5F01"/>
    <w:rsid w:val="00BE6E7B"/>
    <w:rsid w:val="00C16804"/>
    <w:rsid w:val="00C617EC"/>
    <w:rsid w:val="00C66A17"/>
    <w:rsid w:val="00CB4CF9"/>
    <w:rsid w:val="00CF02A7"/>
    <w:rsid w:val="00D04798"/>
    <w:rsid w:val="00D23593"/>
    <w:rsid w:val="00D53542"/>
    <w:rsid w:val="00D55C25"/>
    <w:rsid w:val="00DE378B"/>
    <w:rsid w:val="00E10824"/>
    <w:rsid w:val="00E13A73"/>
    <w:rsid w:val="00EC511B"/>
    <w:rsid w:val="00F50F77"/>
    <w:rsid w:val="00F65688"/>
    <w:rsid w:val="00FD7BA6"/>
    <w:rsid w:val="00FE05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E35419"/>
  <w15:chartTrackingRefBased/>
  <w15:docId w15:val="{C402F141-E969-4909-B9D4-CC6D5ACB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E64"/>
  </w:style>
  <w:style w:type="paragraph" w:styleId="Heading1">
    <w:name w:val="heading 1"/>
    <w:basedOn w:val="Normal"/>
    <w:next w:val="Normal"/>
    <w:link w:val="Heading1Char"/>
    <w:uiPriority w:val="9"/>
    <w:qFormat/>
    <w:rsid w:val="00AB61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61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61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61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61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61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1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1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1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1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61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61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61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61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61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1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1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11F"/>
    <w:rPr>
      <w:rFonts w:eastAsiaTheme="majorEastAsia" w:cstheme="majorBidi"/>
      <w:color w:val="272727" w:themeColor="text1" w:themeTint="D8"/>
    </w:rPr>
  </w:style>
  <w:style w:type="paragraph" w:styleId="Title">
    <w:name w:val="Title"/>
    <w:basedOn w:val="Normal"/>
    <w:next w:val="Normal"/>
    <w:link w:val="TitleChar"/>
    <w:uiPriority w:val="10"/>
    <w:qFormat/>
    <w:rsid w:val="00AB61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1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1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1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11F"/>
    <w:pPr>
      <w:spacing w:before="160"/>
      <w:jc w:val="center"/>
    </w:pPr>
    <w:rPr>
      <w:i/>
      <w:iCs/>
      <w:color w:val="404040" w:themeColor="text1" w:themeTint="BF"/>
    </w:rPr>
  </w:style>
  <w:style w:type="character" w:customStyle="1" w:styleId="QuoteChar">
    <w:name w:val="Quote Char"/>
    <w:basedOn w:val="DefaultParagraphFont"/>
    <w:link w:val="Quote"/>
    <w:uiPriority w:val="29"/>
    <w:rsid w:val="00AB611F"/>
    <w:rPr>
      <w:i/>
      <w:iCs/>
      <w:color w:val="404040" w:themeColor="text1" w:themeTint="BF"/>
    </w:rPr>
  </w:style>
  <w:style w:type="paragraph" w:styleId="ListParagraph">
    <w:name w:val="List Paragraph"/>
    <w:basedOn w:val="Normal"/>
    <w:uiPriority w:val="1"/>
    <w:qFormat/>
    <w:rsid w:val="00AB611F"/>
    <w:pPr>
      <w:ind w:left="720"/>
      <w:contextualSpacing/>
    </w:pPr>
  </w:style>
  <w:style w:type="character" w:styleId="IntenseEmphasis">
    <w:name w:val="Intense Emphasis"/>
    <w:basedOn w:val="DefaultParagraphFont"/>
    <w:uiPriority w:val="21"/>
    <w:qFormat/>
    <w:rsid w:val="00AB611F"/>
    <w:rPr>
      <w:i/>
      <w:iCs/>
      <w:color w:val="2F5496" w:themeColor="accent1" w:themeShade="BF"/>
    </w:rPr>
  </w:style>
  <w:style w:type="paragraph" w:styleId="IntenseQuote">
    <w:name w:val="Intense Quote"/>
    <w:basedOn w:val="Normal"/>
    <w:next w:val="Normal"/>
    <w:link w:val="IntenseQuoteChar"/>
    <w:uiPriority w:val="30"/>
    <w:qFormat/>
    <w:rsid w:val="00AB61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611F"/>
    <w:rPr>
      <w:i/>
      <w:iCs/>
      <w:color w:val="2F5496" w:themeColor="accent1" w:themeShade="BF"/>
    </w:rPr>
  </w:style>
  <w:style w:type="character" w:styleId="IntenseReference">
    <w:name w:val="Intense Reference"/>
    <w:basedOn w:val="DefaultParagraphFont"/>
    <w:uiPriority w:val="32"/>
    <w:qFormat/>
    <w:rsid w:val="00AB611F"/>
    <w:rPr>
      <w:b/>
      <w:bCs/>
      <w:smallCaps/>
      <w:color w:val="2F5496" w:themeColor="accent1" w:themeShade="BF"/>
      <w:spacing w:val="5"/>
    </w:rPr>
  </w:style>
  <w:style w:type="character" w:styleId="Hyperlink">
    <w:name w:val="Hyperlink"/>
    <w:basedOn w:val="DefaultParagraphFont"/>
    <w:uiPriority w:val="99"/>
    <w:unhideWhenUsed/>
    <w:rsid w:val="001F7E64"/>
    <w:rPr>
      <w:color w:val="0563C1" w:themeColor="hyperlink"/>
      <w:u w:val="single"/>
    </w:rPr>
  </w:style>
  <w:style w:type="character" w:styleId="UnresolvedMention">
    <w:name w:val="Unresolved Mention"/>
    <w:basedOn w:val="DefaultParagraphFont"/>
    <w:uiPriority w:val="99"/>
    <w:semiHidden/>
    <w:unhideWhenUsed/>
    <w:rsid w:val="00F50F77"/>
    <w:rPr>
      <w:color w:val="605E5C"/>
      <w:shd w:val="clear" w:color="auto" w:fill="E1DFDD"/>
    </w:rPr>
  </w:style>
  <w:style w:type="paragraph" w:styleId="Header">
    <w:name w:val="header"/>
    <w:basedOn w:val="Normal"/>
    <w:link w:val="HeaderChar"/>
    <w:uiPriority w:val="99"/>
    <w:unhideWhenUsed/>
    <w:rsid w:val="00DE3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78B"/>
  </w:style>
  <w:style w:type="paragraph" w:styleId="Footer">
    <w:name w:val="footer"/>
    <w:basedOn w:val="Normal"/>
    <w:link w:val="FooterChar"/>
    <w:uiPriority w:val="99"/>
    <w:unhideWhenUsed/>
    <w:rsid w:val="00DE3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11</Pages>
  <Words>1891</Words>
  <Characters>10783</Characters>
  <Application>Microsoft Office Word</Application>
  <DocSecurity>0</DocSecurity>
  <Lines>89</Lines>
  <Paragraphs>25</Paragraphs>
  <ScaleCrop>false</ScaleCrop>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Surabhi S</dc:creator>
  <cp:keywords/>
  <dc:description/>
  <cp:lastModifiedBy>SDI 1084</cp:lastModifiedBy>
  <cp:revision>60</cp:revision>
  <dcterms:created xsi:type="dcterms:W3CDTF">2026-02-08T13:27:00Z</dcterms:created>
  <dcterms:modified xsi:type="dcterms:W3CDTF">2026-02-10T09:31:00Z</dcterms:modified>
</cp:coreProperties>
</file>