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67296" w14:textId="77777777" w:rsidR="004C08B6" w:rsidRPr="004C08B6" w:rsidRDefault="004C08B6" w:rsidP="004C08B6">
      <w:pPr>
        <w:jc w:val="both"/>
        <w:rPr>
          <w:b/>
          <w:bCs/>
          <w:i/>
          <w:iCs/>
          <w:sz w:val="36"/>
          <w:szCs w:val="36"/>
          <w:u w:val="single"/>
        </w:rPr>
      </w:pPr>
      <w:r w:rsidRPr="004C08B6">
        <w:rPr>
          <w:b/>
          <w:bCs/>
          <w:i/>
          <w:iCs/>
          <w:sz w:val="36"/>
          <w:szCs w:val="36"/>
          <w:u w:val="single"/>
        </w:rPr>
        <w:t>Original Research Article</w:t>
      </w:r>
    </w:p>
    <w:p w14:paraId="2420FBC5" w14:textId="0952DBFC" w:rsidR="001C3883" w:rsidRPr="0066424F" w:rsidRDefault="0066424F" w:rsidP="00FB4EEB">
      <w:pPr>
        <w:jc w:val="both"/>
        <w:rPr>
          <w:sz w:val="36"/>
          <w:szCs w:val="36"/>
        </w:rPr>
      </w:pPr>
      <w:r w:rsidRPr="0066424F">
        <w:rPr>
          <w:b/>
          <w:sz w:val="36"/>
          <w:szCs w:val="36"/>
        </w:rPr>
        <w:t xml:space="preserve">Remote dielectric sensing versus lung ultrasound for detecting pulmonary congestion in heart failure: </w:t>
      </w:r>
      <w:r>
        <w:rPr>
          <w:b/>
          <w:sz w:val="36"/>
          <w:szCs w:val="36"/>
        </w:rPr>
        <w:t>A</w:t>
      </w:r>
      <w:r w:rsidRPr="0066424F">
        <w:rPr>
          <w:b/>
          <w:sz w:val="36"/>
          <w:szCs w:val="36"/>
        </w:rPr>
        <w:t xml:space="preserve"> prospective pragmatic diagnostic accuracy study</w:t>
      </w:r>
    </w:p>
    <w:p w14:paraId="5D9BFB14" w14:textId="77777777" w:rsidR="003F66E0" w:rsidRPr="0066424F" w:rsidRDefault="003F66E0" w:rsidP="00E96762">
      <w:pPr>
        <w:pBdr>
          <w:bottom w:val="single" w:sz="12" w:space="1" w:color="auto"/>
        </w:pBdr>
        <w:rPr>
          <w:i/>
          <w:iCs/>
        </w:rPr>
      </w:pPr>
    </w:p>
    <w:p w14:paraId="044B7196" w14:textId="5B289B94" w:rsidR="001C3883" w:rsidRPr="00E96762" w:rsidRDefault="003B2B8F" w:rsidP="00E96762">
      <w:pPr>
        <w:rPr>
          <w:b/>
          <w:bCs/>
        </w:rPr>
      </w:pPr>
      <w:r w:rsidRPr="00E96762">
        <w:rPr>
          <w:b/>
          <w:bCs/>
          <w:sz w:val="22"/>
        </w:rPr>
        <w:t>ABSTRACT</w:t>
      </w:r>
    </w:p>
    <w:p w14:paraId="01AEF7B9" w14:textId="33D23D44" w:rsidR="00BD48AB" w:rsidRDefault="00BD48AB" w:rsidP="00AA54DF">
      <w:pPr>
        <w:pBdr>
          <w:top w:val="single" w:sz="4" w:space="1" w:color="auto"/>
          <w:left w:val="single" w:sz="4" w:space="4" w:color="auto"/>
          <w:bottom w:val="single" w:sz="4" w:space="1" w:color="auto"/>
          <w:right w:val="single" w:sz="4" w:space="4" w:color="auto"/>
        </w:pBdr>
        <w:shd w:val="clear" w:color="auto" w:fill="D9D9D9" w:themeFill="background1" w:themeFillShade="D9"/>
        <w:rPr>
          <w:sz w:val="22"/>
        </w:rPr>
      </w:pPr>
      <w:r w:rsidRPr="00BD48AB">
        <w:rPr>
          <w:b/>
          <w:bCs/>
          <w:sz w:val="22"/>
        </w:rPr>
        <w:t>Aims</w:t>
      </w:r>
      <w:r>
        <w:rPr>
          <w:b/>
          <w:bCs/>
          <w:sz w:val="22"/>
        </w:rPr>
        <w:t xml:space="preserve">: </w:t>
      </w:r>
      <w:r w:rsidRPr="00BD48AB">
        <w:rPr>
          <w:sz w:val="22"/>
        </w:rPr>
        <w:t>To compare the diagnostic accuracy of remote dielectric sensing (</w:t>
      </w:r>
      <w:proofErr w:type="spellStart"/>
      <w:r w:rsidRPr="00BD48AB">
        <w:rPr>
          <w:sz w:val="22"/>
        </w:rPr>
        <w:t>ReDS</w:t>
      </w:r>
      <w:proofErr w:type="spellEnd"/>
      <w:r w:rsidRPr="00BD48AB">
        <w:rPr>
          <w:sz w:val="22"/>
        </w:rPr>
        <w:t>) and lung ultrasound (LUS) for detecting pulmonary congestion in stable ambulatory patients with chronic heart failure, using a blinded composite clinical reference standard.</w:t>
      </w:r>
      <w:r>
        <w:rPr>
          <w:sz w:val="22"/>
        </w:rPr>
        <w:br/>
      </w:r>
      <w:r w:rsidRPr="00BD48AB">
        <w:rPr>
          <w:b/>
          <w:bCs/>
          <w:sz w:val="22"/>
        </w:rPr>
        <w:t>Study Design</w:t>
      </w:r>
      <w:r>
        <w:rPr>
          <w:b/>
          <w:bCs/>
          <w:sz w:val="22"/>
        </w:rPr>
        <w:t xml:space="preserve">: </w:t>
      </w:r>
      <w:r w:rsidRPr="00BD48AB">
        <w:rPr>
          <w:sz w:val="22"/>
        </w:rPr>
        <w:t>Prospective single-center diagnostic accuracy study.</w:t>
      </w:r>
      <w:r>
        <w:rPr>
          <w:sz w:val="22"/>
        </w:rPr>
        <w:br/>
      </w:r>
      <w:r w:rsidRPr="00BD48AB">
        <w:rPr>
          <w:b/>
          <w:bCs/>
          <w:sz w:val="22"/>
        </w:rPr>
        <w:t>Place and Duration of Study</w:t>
      </w:r>
      <w:r>
        <w:rPr>
          <w:b/>
          <w:bCs/>
          <w:sz w:val="22"/>
        </w:rPr>
        <w:t xml:space="preserve">: </w:t>
      </w:r>
      <w:r w:rsidRPr="00BD48AB">
        <w:rPr>
          <w:sz w:val="22"/>
        </w:rPr>
        <w:t>Single center, conducted between March and November 2024.</w:t>
      </w:r>
      <w:r>
        <w:rPr>
          <w:sz w:val="22"/>
        </w:rPr>
        <w:br/>
      </w:r>
      <w:r w:rsidRPr="00BD48AB">
        <w:rPr>
          <w:b/>
          <w:bCs/>
          <w:sz w:val="22"/>
        </w:rPr>
        <w:t>Methodology</w:t>
      </w:r>
      <w:r>
        <w:rPr>
          <w:b/>
          <w:bCs/>
          <w:sz w:val="22"/>
        </w:rPr>
        <w:t xml:space="preserve">: </w:t>
      </w:r>
      <w:r w:rsidRPr="00BD48AB">
        <w:rPr>
          <w:sz w:val="22"/>
        </w:rPr>
        <w:t xml:space="preserve">We enrolled 112 stable outpatients with chronic heart failure. All participants underwent sequential </w:t>
      </w:r>
      <w:proofErr w:type="spellStart"/>
      <w:r w:rsidRPr="00BD48AB">
        <w:rPr>
          <w:sz w:val="22"/>
        </w:rPr>
        <w:t>ReDS</w:t>
      </w:r>
      <w:proofErr w:type="spellEnd"/>
      <w:r w:rsidRPr="00BD48AB">
        <w:rPr>
          <w:sz w:val="22"/>
        </w:rPr>
        <w:t xml:space="preserve"> measurement and standardized eight-zone LUS during the same clinical visit. A blinded adjudicator classified congestion status using a composite clinical score combined with NT-</w:t>
      </w:r>
      <w:proofErr w:type="spellStart"/>
      <w:r w:rsidRPr="00BD48AB">
        <w:rPr>
          <w:sz w:val="22"/>
        </w:rPr>
        <w:t>proBNP</w:t>
      </w:r>
      <w:proofErr w:type="spellEnd"/>
      <w:r w:rsidRPr="00BD48AB">
        <w:rPr>
          <w:sz w:val="22"/>
        </w:rPr>
        <w:t xml:space="preserve"> levels ≥1500 ng/L as the reference standard. The primary outcome measure was area under the receiver operating characteristic curve (AUC). Secondary outcomes included sensitivity, specificity, positive and negative likelihood ratios, inter-method agreement, and correlation between continuous measurements.</w:t>
      </w:r>
      <w:r>
        <w:rPr>
          <w:sz w:val="22"/>
        </w:rPr>
        <w:br/>
      </w:r>
      <w:r w:rsidRPr="00BD48AB">
        <w:rPr>
          <w:b/>
          <w:bCs/>
          <w:sz w:val="22"/>
        </w:rPr>
        <w:t>Results</w:t>
      </w:r>
      <w:r>
        <w:rPr>
          <w:b/>
          <w:bCs/>
          <w:sz w:val="22"/>
        </w:rPr>
        <w:t xml:space="preserve">: </w:t>
      </w:r>
      <w:r w:rsidRPr="00BD48AB">
        <w:rPr>
          <w:sz w:val="22"/>
        </w:rPr>
        <w:t xml:space="preserve">Fifty-nine patients (52.7%) met the reference standard criteria for pulmonary congestion. </w:t>
      </w:r>
      <w:proofErr w:type="spellStart"/>
      <w:r w:rsidRPr="00BD48AB">
        <w:rPr>
          <w:sz w:val="22"/>
        </w:rPr>
        <w:t>ReDS</w:t>
      </w:r>
      <w:proofErr w:type="spellEnd"/>
      <w:r w:rsidRPr="00BD48AB">
        <w:rPr>
          <w:sz w:val="22"/>
        </w:rPr>
        <w:t xml:space="preserve"> demonstrated an AUC of 0.831 (95% CI 0.748–0.899), while LUS showed an AUC of 0.845 (95% CI 0.764–0.909), with no significant difference between methods (</w:t>
      </w:r>
      <w:r w:rsidR="00356EEB" w:rsidRPr="00356EEB">
        <w:rPr>
          <w:i/>
          <w:iCs/>
          <w:sz w:val="22"/>
        </w:rPr>
        <w:t>P</w:t>
      </w:r>
      <w:r w:rsidR="000E02F0">
        <w:rPr>
          <w:i/>
          <w:iCs/>
          <w:sz w:val="22"/>
        </w:rPr>
        <w:t xml:space="preserve"> </w:t>
      </w:r>
      <w:r w:rsidRPr="00BD48AB">
        <w:rPr>
          <w:sz w:val="22"/>
        </w:rPr>
        <w:t>=</w:t>
      </w:r>
      <w:r w:rsidR="000E02F0">
        <w:rPr>
          <w:sz w:val="22"/>
        </w:rPr>
        <w:t xml:space="preserve"> </w:t>
      </w:r>
      <w:r w:rsidRPr="00BD48AB">
        <w:rPr>
          <w:sz w:val="22"/>
        </w:rPr>
        <w:t xml:space="preserve">.80). At the prespecified </w:t>
      </w:r>
      <w:proofErr w:type="spellStart"/>
      <w:r w:rsidRPr="00BD48AB">
        <w:rPr>
          <w:sz w:val="22"/>
        </w:rPr>
        <w:t>ReDS</w:t>
      </w:r>
      <w:proofErr w:type="spellEnd"/>
      <w:r w:rsidRPr="00BD48AB">
        <w:rPr>
          <w:sz w:val="22"/>
        </w:rPr>
        <w:t xml:space="preserve"> threshold of &gt;35%, sensitivity was 71.2% and specificity was 81.1%. Using an exploratory Youden-optimized LUS threshold of ≥24 B-lines, sensitivity was 69.5% and specificity was 83.0%. Inter-method concordance was 83.0% (κ=0.65), indicating substantial agreement. Pearson correlation between continuous measures was modest at r=0.36 (</w:t>
      </w:r>
      <w:r w:rsidR="00356EEB" w:rsidRPr="00356EEB">
        <w:rPr>
          <w:i/>
          <w:iCs/>
          <w:sz w:val="22"/>
        </w:rPr>
        <w:t>P</w:t>
      </w:r>
      <w:r w:rsidR="000E02F0">
        <w:rPr>
          <w:i/>
          <w:iCs/>
          <w:sz w:val="22"/>
        </w:rPr>
        <w:t xml:space="preserve"> </w:t>
      </w:r>
      <w:r w:rsidRPr="00BD48AB">
        <w:rPr>
          <w:sz w:val="22"/>
        </w:rPr>
        <w:t>&lt;</w:t>
      </w:r>
      <w:r w:rsidR="000E02F0">
        <w:rPr>
          <w:sz w:val="22"/>
        </w:rPr>
        <w:t xml:space="preserve"> </w:t>
      </w:r>
      <w:r w:rsidRPr="00BD48AB">
        <w:rPr>
          <w:sz w:val="22"/>
        </w:rPr>
        <w:t xml:space="preserve">.001). Inter-observer agreement for </w:t>
      </w:r>
      <w:proofErr w:type="spellStart"/>
      <w:r w:rsidRPr="00BD48AB">
        <w:rPr>
          <w:sz w:val="22"/>
        </w:rPr>
        <w:t>thresholded</w:t>
      </w:r>
      <w:proofErr w:type="spellEnd"/>
      <w:r w:rsidRPr="00BD48AB">
        <w:rPr>
          <w:sz w:val="22"/>
        </w:rPr>
        <w:t xml:space="preserve"> LUS classification was substantial (κ=0.75).</w:t>
      </w:r>
      <w:r>
        <w:rPr>
          <w:sz w:val="22"/>
        </w:rPr>
        <w:br/>
      </w:r>
      <w:r w:rsidRPr="00BD48AB">
        <w:rPr>
          <w:b/>
          <w:bCs/>
          <w:sz w:val="22"/>
        </w:rPr>
        <w:t>Conclusion</w:t>
      </w:r>
      <w:r>
        <w:rPr>
          <w:b/>
          <w:bCs/>
          <w:sz w:val="22"/>
        </w:rPr>
        <w:t xml:space="preserve">: </w:t>
      </w:r>
      <w:proofErr w:type="spellStart"/>
      <w:r w:rsidRPr="00BD48AB">
        <w:rPr>
          <w:sz w:val="22"/>
        </w:rPr>
        <w:t>ReDS</w:t>
      </w:r>
      <w:proofErr w:type="spellEnd"/>
      <w:r w:rsidRPr="00BD48AB">
        <w:rPr>
          <w:sz w:val="22"/>
        </w:rPr>
        <w:t xml:space="preserve"> and LUS demonstrated similar discriminatory ability for detecting pulmonary congestion in stable heart failure outpatients. However, the modest correlation and clinically relevant discordance between methods suggest they may have complementary roles in congestion assessment. The absence of an independent hemodynamic reference standard represents a limitation. Further evaluation in integrated ambulatory care pathways is warranted.</w:t>
      </w:r>
    </w:p>
    <w:p w14:paraId="108A0E54" w14:textId="69DA2B62" w:rsidR="001C3883" w:rsidRPr="00151CFE" w:rsidRDefault="00E96762" w:rsidP="00AA54DF">
      <w:pPr>
        <w:rPr>
          <w:sz w:val="22"/>
        </w:rPr>
      </w:pPr>
      <w:r>
        <w:rPr>
          <w:sz w:val="22"/>
        </w:rPr>
        <w:lastRenderedPageBreak/>
        <w:br/>
      </w:r>
      <w:r w:rsidRPr="00E96762">
        <w:rPr>
          <w:b/>
          <w:bCs/>
          <w:sz w:val="22"/>
        </w:rPr>
        <w:t>Keywords:</w:t>
      </w:r>
      <w:r w:rsidRPr="00151CFE">
        <w:rPr>
          <w:sz w:val="22"/>
        </w:rPr>
        <w:t xml:space="preserve"> Heart failure; pulmonary congestion; remote dielectric sensing; lung ultrasound; diagnostic accuracy</w:t>
      </w:r>
    </w:p>
    <w:p w14:paraId="1B546ED4" w14:textId="77777777" w:rsidR="001C3883" w:rsidRDefault="003B2B8F">
      <w:pPr>
        <w:pStyle w:val="Heading1"/>
      </w:pPr>
      <w:r>
        <w:rPr>
          <w:rFonts w:ascii="Arial" w:hAnsi="Arial"/>
          <w:sz w:val="22"/>
        </w:rPr>
        <w:t>1. INTRODUCTION</w:t>
      </w:r>
    </w:p>
    <w:p w14:paraId="7A2888B5" w14:textId="77777777" w:rsidR="00133BCA" w:rsidRDefault="00133BCA" w:rsidP="00FC7306">
      <w:pPr>
        <w:spacing w:after="160" w:line="278" w:lineRule="auto"/>
        <w:jc w:val="both"/>
      </w:pPr>
      <w:r w:rsidRPr="00133BCA">
        <w:t>Heart failure affects more than 64 million people worldwide and remains a major cause of hospitalization and healthcare spending (Savarese et al., 2023). Pulmonary congestion drives most symptoms, clinical worsening, and admission risk (</w:t>
      </w:r>
      <w:proofErr w:type="spellStart"/>
      <w:r w:rsidRPr="00133BCA">
        <w:t>Gheorghiade</w:t>
      </w:r>
      <w:proofErr w:type="spellEnd"/>
      <w:r w:rsidRPr="00133BCA">
        <w:t xml:space="preserve"> et al., 2010; McDonagh et al., 2021). Clinicians managing patients in the outpatient setting need reliable ways to detect congestion early. Timely assessment guides treatment decisions and helps prevent avoidable deterioration. Physical examination alone performs poorly in this role. Signs such as crackles or elevated jugular venous pressure show low sensitivity and vary widely between observers (Thibodeau and </w:t>
      </w:r>
      <w:proofErr w:type="spellStart"/>
      <w:r w:rsidRPr="00133BCA">
        <w:t>Drazner</w:t>
      </w:r>
      <w:proofErr w:type="spellEnd"/>
      <w:r w:rsidRPr="00133BCA">
        <w:t xml:space="preserve">, 2018; Wang et al., 2005). As a result, clinicians increasingly rely on objective tools to support bedside judgment and improve diagnostic consistency. </w:t>
      </w:r>
    </w:p>
    <w:p w14:paraId="1FE3CBBD" w14:textId="77777777" w:rsidR="00133BCA" w:rsidRPr="00133BCA" w:rsidRDefault="00133BCA" w:rsidP="00133BCA">
      <w:pPr>
        <w:spacing w:after="160" w:line="278" w:lineRule="auto"/>
        <w:jc w:val="both"/>
      </w:pPr>
      <w:r w:rsidRPr="00133BCA">
        <w:t>Lung ultrasound detects B-lines, vertical reverberation artifacts produced by thickened interlobular septa that reflect alveolar-interstitial edema. Meta-analyses report pooled sensitivities and specificities above 80% in heart failure populations (Platz et al., 2017). In ambulatory cohorts, higher B-line burden predicts hospitalization and mortality (Platz et al., 2016; Domingo et al., 2021; Rastogi et al., 2024). These findings support its clinical value. At the same time, accuracy depends on operator training, standardized acquisition, and consistent interpretation (Ceriani et al., 2021). Without these safeguards, performance declines.</w:t>
      </w:r>
    </w:p>
    <w:p w14:paraId="012EEA39" w14:textId="77777777" w:rsidR="00133BCA" w:rsidRDefault="00133BCA" w:rsidP="00FC7306">
      <w:pPr>
        <w:spacing w:after="160" w:line="278" w:lineRule="auto"/>
        <w:jc w:val="both"/>
      </w:pPr>
      <w:r w:rsidRPr="00133BCA">
        <w:t xml:space="preserve">Remote dielectric sensing estimates lung fluid percentage by measuring thoracic dielectric permittivity with low-power electromagnetic signals. Validation studies show correlation with pulmonary capillary wedge pressure and quantitative computed tomography measures of lung water (Amir et al., 2013; </w:t>
      </w:r>
      <w:proofErr w:type="spellStart"/>
      <w:r w:rsidRPr="00133BCA">
        <w:t>Bensimhon</w:t>
      </w:r>
      <w:proofErr w:type="spellEnd"/>
      <w:r w:rsidRPr="00133BCA">
        <w:t xml:space="preserve"> et al., 2016; Amir et al., 2016). Higher </w:t>
      </w:r>
      <w:proofErr w:type="spellStart"/>
      <w:r w:rsidRPr="00133BCA">
        <w:t>ReDS</w:t>
      </w:r>
      <w:proofErr w:type="spellEnd"/>
      <w:r w:rsidRPr="00133BCA">
        <w:t xml:space="preserve"> values associate with adverse outcomes and increased rehospitalization risk (Imamura et al., 2017; Abraham et al., 2017; Olesen et al., 2022; Lala et al., 2021). The automated output reduces observer dependence and shortens acquisition time, which may support use in busy outpatient clinics. Several studies have compared </w:t>
      </w:r>
      <w:proofErr w:type="spellStart"/>
      <w:r w:rsidRPr="00133BCA">
        <w:t>ReDS</w:t>
      </w:r>
      <w:proofErr w:type="spellEnd"/>
      <w:r w:rsidRPr="00133BCA">
        <w:t xml:space="preserve"> and lung ultrasound (Kato et al., 2023; </w:t>
      </w:r>
      <w:proofErr w:type="spellStart"/>
      <w:r w:rsidRPr="00133BCA">
        <w:t>Kobalava</w:t>
      </w:r>
      <w:proofErr w:type="spellEnd"/>
      <w:r w:rsidRPr="00133BCA">
        <w:t xml:space="preserve"> et al., 2023; </w:t>
      </w:r>
      <w:proofErr w:type="spellStart"/>
      <w:r w:rsidRPr="00133BCA">
        <w:t>Kobalava</w:t>
      </w:r>
      <w:proofErr w:type="spellEnd"/>
      <w:r w:rsidRPr="00133BCA">
        <w:t xml:space="preserve"> et al., 2024; Huang et al., 2026). Many, however, relied on unblinded clinical diagnosis or heterogeneous reference standards. Others focused mainly on hospitalized populations. Few investigations have applied blinded adjudication and standardized protocols in stable outpatient settings. This limits interpretation and generalizability. </w:t>
      </w:r>
    </w:p>
    <w:p w14:paraId="6C37AEDD" w14:textId="129BE1B7" w:rsidR="00FC7306" w:rsidRPr="00863B47" w:rsidRDefault="00FC7306" w:rsidP="00FC7306">
      <w:pPr>
        <w:spacing w:after="160" w:line="278" w:lineRule="auto"/>
        <w:jc w:val="both"/>
      </w:pPr>
      <w:r w:rsidRPr="00863B47">
        <w:t xml:space="preserve">We aimed to compare the diagnostic accuracy of </w:t>
      </w:r>
      <w:proofErr w:type="spellStart"/>
      <w:r w:rsidRPr="00863B47">
        <w:t>ReDS</w:t>
      </w:r>
      <w:proofErr w:type="spellEnd"/>
      <w:r w:rsidRPr="00863B47">
        <w:t xml:space="preserve"> and lung ultrasound for detecting pulmonary congestion in ambulatory heart failure patients using a blinded composite clinical–biomarker reference standard. Our goal was to clarify how these tools perform in routine outpatient practice and how you might integrate them into everyday care.</w:t>
      </w:r>
    </w:p>
    <w:p w14:paraId="74EA57A7" w14:textId="77777777" w:rsidR="001C3883" w:rsidRDefault="003B2B8F">
      <w:pPr>
        <w:pStyle w:val="Heading1"/>
      </w:pPr>
      <w:r>
        <w:rPr>
          <w:rFonts w:ascii="Arial" w:hAnsi="Arial"/>
          <w:sz w:val="22"/>
        </w:rPr>
        <w:t>2. MATERIAL AND METHODS</w:t>
      </w:r>
    </w:p>
    <w:p w14:paraId="603BB510" w14:textId="0EB89C8F" w:rsidR="00FC7306" w:rsidRPr="006719D8" w:rsidRDefault="00592F6F" w:rsidP="00FC7306">
      <w:pPr>
        <w:spacing w:after="160" w:line="278" w:lineRule="auto"/>
        <w:jc w:val="both"/>
        <w:rPr>
          <w:b/>
          <w:bCs/>
          <w:sz w:val="22"/>
        </w:rPr>
      </w:pPr>
      <w:r w:rsidRPr="005B3F7A">
        <w:rPr>
          <w:b/>
          <w:bCs/>
          <w:sz w:val="22"/>
        </w:rPr>
        <w:t xml:space="preserve">2.1. </w:t>
      </w:r>
      <w:r w:rsidR="00FC7306" w:rsidRPr="006719D8">
        <w:rPr>
          <w:b/>
          <w:bCs/>
          <w:sz w:val="22"/>
        </w:rPr>
        <w:t>Study Design</w:t>
      </w:r>
    </w:p>
    <w:p w14:paraId="401CC694" w14:textId="43149EC5" w:rsidR="00592F6F" w:rsidRDefault="00133BCA">
      <w:pPr>
        <w:rPr>
          <w:b/>
          <w:bCs/>
        </w:rPr>
      </w:pPr>
      <w:r w:rsidRPr="00133BCA">
        <w:t>Prospective diagnostic accuracy study conducted at Apollo Hospital, Chennai (March-November 2024). Ethics approval: AMH – DNB-078/08-23. Written consent was obtained from all participants. STARD 2015 guidelines were followed (Bossuyt et al., 2015).</w:t>
      </w:r>
      <w:r w:rsidRPr="00133BCA">
        <w:rPr>
          <w:b/>
          <w:bCs/>
        </w:rPr>
        <w:t xml:space="preserve"> </w:t>
      </w:r>
      <w:r w:rsidR="00592F6F">
        <w:rPr>
          <w:b/>
          <w:bCs/>
        </w:rPr>
        <w:br w:type="page"/>
      </w:r>
    </w:p>
    <w:p w14:paraId="01888BCB" w14:textId="1EEB3353" w:rsidR="00FC7306" w:rsidRPr="006719D8" w:rsidRDefault="00592F6F" w:rsidP="00FC7306">
      <w:pPr>
        <w:spacing w:after="160" w:line="278" w:lineRule="auto"/>
        <w:jc w:val="both"/>
        <w:rPr>
          <w:b/>
          <w:bCs/>
          <w:sz w:val="22"/>
        </w:rPr>
      </w:pPr>
      <w:r w:rsidRPr="005B3F7A">
        <w:rPr>
          <w:b/>
          <w:bCs/>
          <w:sz w:val="22"/>
        </w:rPr>
        <w:lastRenderedPageBreak/>
        <w:t xml:space="preserve">2.2. </w:t>
      </w:r>
      <w:r w:rsidR="00FC7306" w:rsidRPr="006719D8">
        <w:rPr>
          <w:b/>
          <w:bCs/>
          <w:sz w:val="22"/>
        </w:rPr>
        <w:t>Participants</w:t>
      </w:r>
    </w:p>
    <w:p w14:paraId="5CAFCFD3" w14:textId="1694F6B7" w:rsidR="00561CC5" w:rsidRDefault="00561CC5" w:rsidP="00FC7306">
      <w:pPr>
        <w:spacing w:after="160" w:line="278" w:lineRule="auto"/>
        <w:jc w:val="both"/>
        <w:rPr>
          <w:b/>
          <w:bCs/>
        </w:rPr>
      </w:pPr>
      <w:r w:rsidRPr="00561CC5">
        <w:t xml:space="preserve">We included adults aged 18 years or older with established chronic heart failure (McDonagh et al., 2021) who attended the outpatient clinic during the study period. We excluded patients with cardiac implantable electronic devices, recent thoracic surgery, significant chest wall deformity, or active lung disease that could interfere with </w:t>
      </w:r>
      <w:proofErr w:type="spellStart"/>
      <w:r w:rsidRPr="00561CC5">
        <w:t>ReDS</w:t>
      </w:r>
      <w:proofErr w:type="spellEnd"/>
      <w:r w:rsidRPr="00561CC5">
        <w:t xml:space="preserve"> or LUS measurements. Of 125 patients screened for eligibility, 112 met inclusion criteria and were included in the final analysis</w:t>
      </w:r>
      <w:r>
        <w:rPr>
          <w:b/>
          <w:bCs/>
        </w:rPr>
        <w:t>.</w:t>
      </w:r>
    </w:p>
    <w:p w14:paraId="5AF36265" w14:textId="563F7D1E" w:rsidR="00FC7306" w:rsidRPr="006719D8" w:rsidRDefault="00592F6F" w:rsidP="00FC7306">
      <w:pPr>
        <w:spacing w:after="160" w:line="278" w:lineRule="auto"/>
        <w:jc w:val="both"/>
        <w:rPr>
          <w:b/>
          <w:bCs/>
          <w:sz w:val="22"/>
        </w:rPr>
      </w:pPr>
      <w:r w:rsidRPr="005B3F7A">
        <w:rPr>
          <w:b/>
          <w:bCs/>
          <w:sz w:val="22"/>
        </w:rPr>
        <w:t xml:space="preserve">2.3. </w:t>
      </w:r>
      <w:proofErr w:type="spellStart"/>
      <w:r w:rsidR="00FC7306" w:rsidRPr="006719D8">
        <w:rPr>
          <w:b/>
          <w:bCs/>
          <w:sz w:val="22"/>
        </w:rPr>
        <w:t>ReDS</w:t>
      </w:r>
      <w:proofErr w:type="spellEnd"/>
    </w:p>
    <w:p w14:paraId="49078C01" w14:textId="77777777" w:rsidR="00561CC5" w:rsidRDefault="00561CC5" w:rsidP="00FC7306">
      <w:pPr>
        <w:spacing w:after="160" w:line="278" w:lineRule="auto"/>
        <w:jc w:val="both"/>
        <w:rPr>
          <w:b/>
          <w:bCs/>
        </w:rPr>
      </w:pPr>
      <w:r w:rsidRPr="00561CC5">
        <w:t xml:space="preserve">We performed remote dielectric sensing using a single-pad sensor system (Sensible Medical) applied to the right lateral thoracic wall, according to the manufacturer’s instructions. Patients remained seated during acquisition, and operators ensured correct positioning and contact. Each measurement required approximately 90 seconds. We applied a prespecified threshold of greater than 35 percent (Amir et al., 2013; </w:t>
      </w:r>
      <w:proofErr w:type="spellStart"/>
      <w:r w:rsidRPr="00561CC5">
        <w:t>Bensimhon</w:t>
      </w:r>
      <w:proofErr w:type="spellEnd"/>
      <w:r w:rsidRPr="00561CC5">
        <w:t xml:space="preserve"> et al., 2016; Abraham et al., 2017). Operators were blinded.</w:t>
      </w:r>
      <w:r w:rsidRPr="00561CC5">
        <w:rPr>
          <w:b/>
          <w:bCs/>
        </w:rPr>
        <w:t xml:space="preserve"> </w:t>
      </w:r>
    </w:p>
    <w:p w14:paraId="06FE50CC" w14:textId="015F8896" w:rsidR="00FC7306" w:rsidRPr="006719D8" w:rsidRDefault="00592F6F" w:rsidP="00FC7306">
      <w:pPr>
        <w:spacing w:after="160" w:line="278" w:lineRule="auto"/>
        <w:jc w:val="both"/>
        <w:rPr>
          <w:b/>
          <w:bCs/>
          <w:sz w:val="22"/>
        </w:rPr>
      </w:pPr>
      <w:r w:rsidRPr="005B3F7A">
        <w:rPr>
          <w:b/>
          <w:bCs/>
          <w:sz w:val="22"/>
        </w:rPr>
        <w:t xml:space="preserve">2.4. </w:t>
      </w:r>
      <w:r w:rsidR="00FC7306" w:rsidRPr="006719D8">
        <w:rPr>
          <w:b/>
          <w:bCs/>
          <w:sz w:val="22"/>
        </w:rPr>
        <w:t>LUS</w:t>
      </w:r>
    </w:p>
    <w:p w14:paraId="7C9CCE91" w14:textId="76193706" w:rsidR="00FC7306" w:rsidRPr="006719D8" w:rsidRDefault="00FC7306" w:rsidP="00FC7306">
      <w:pPr>
        <w:spacing w:after="160" w:line="278" w:lineRule="auto"/>
        <w:jc w:val="both"/>
      </w:pPr>
      <w:r w:rsidRPr="006719D8">
        <w:t>Eight-zone protocol using phased-array probe. Semi-recumbent position. Six-second cine clips per zone. Coalescent artifacts counted as single lines, capped at 10 per zone. Total B-lines summed.</w:t>
      </w:r>
      <w:r w:rsidR="00736EAC">
        <w:t xml:space="preserve"> </w:t>
      </w:r>
      <w:r w:rsidRPr="006719D8">
        <w:t>Two experienced cardiologists performed scans. Twenty-three studies (21%) were double-read.</w:t>
      </w:r>
      <w:r w:rsidR="00736EAC">
        <w:t xml:space="preserve"> </w:t>
      </w:r>
      <w:r w:rsidRPr="006719D8">
        <w:t>Exploratory cutoff ≥24 B-lines derived using Youden index.</w:t>
      </w:r>
    </w:p>
    <w:p w14:paraId="6B9858F3" w14:textId="6BC96D15" w:rsidR="000D499B" w:rsidRPr="000D499B" w:rsidRDefault="00592F6F" w:rsidP="000D499B">
      <w:pPr>
        <w:spacing w:after="160" w:line="278" w:lineRule="auto"/>
        <w:jc w:val="both"/>
      </w:pPr>
      <w:r>
        <w:rPr>
          <w:b/>
          <w:bCs/>
        </w:rPr>
        <w:t xml:space="preserve">2.5. </w:t>
      </w:r>
      <w:r w:rsidR="00FC7306" w:rsidRPr="006719D8">
        <w:rPr>
          <w:b/>
          <w:bCs/>
        </w:rPr>
        <w:t>Reference Standard</w:t>
      </w:r>
      <w:r w:rsidR="00736EAC">
        <w:rPr>
          <w:b/>
          <w:bCs/>
        </w:rPr>
        <w:t xml:space="preserve">: </w:t>
      </w:r>
      <w:r w:rsidR="000D499B" w:rsidRPr="000D499B">
        <w:t>A blinded senior cardiologist adjudicated congestion status using predefined criteria.</w:t>
      </w:r>
    </w:p>
    <w:p w14:paraId="4E9951D8" w14:textId="16761E07" w:rsidR="000D499B" w:rsidRPr="000D499B" w:rsidRDefault="000D499B" w:rsidP="000D499B">
      <w:pPr>
        <w:spacing w:after="160" w:line="278" w:lineRule="auto"/>
        <w:jc w:val="both"/>
      </w:pPr>
      <w:r w:rsidRPr="000D499B">
        <w:rPr>
          <w:b/>
          <w:bCs/>
        </w:rPr>
        <w:t>Clinical Score (1–12)</w:t>
      </w:r>
      <w:r w:rsidR="00527ED7">
        <w:rPr>
          <w:b/>
          <w:bCs/>
        </w:rPr>
        <w:t xml:space="preserve">: </w:t>
      </w:r>
      <w:r w:rsidRPr="000D499B">
        <w:t>The composite score integrated objective bedside findings and symptom burden: jugular venous pressure (0–3), peripheral edema (0–4), lung crackles (0–1), and NYHA functional class (1–4). Higher scores reflected greater clinical evidence of volume overload.</w:t>
      </w:r>
    </w:p>
    <w:p w14:paraId="6AE5B723" w14:textId="701A36DC" w:rsidR="000D499B" w:rsidRPr="000D499B" w:rsidRDefault="000D499B" w:rsidP="000D499B">
      <w:pPr>
        <w:spacing w:after="160" w:line="278" w:lineRule="auto"/>
        <w:jc w:val="both"/>
      </w:pPr>
      <w:r w:rsidRPr="000D499B">
        <w:rPr>
          <w:b/>
          <w:bCs/>
        </w:rPr>
        <w:t>Biomarker</w:t>
      </w:r>
      <w:r w:rsidR="00527ED7" w:rsidRPr="00527ED7">
        <w:rPr>
          <w:b/>
          <w:bCs/>
        </w:rPr>
        <w:t>:</w:t>
      </w:r>
      <w:r w:rsidR="00527ED7">
        <w:t xml:space="preserve"> </w:t>
      </w:r>
      <w:r w:rsidRPr="000D499B">
        <w:t>NT-</w:t>
      </w:r>
      <w:proofErr w:type="spellStart"/>
      <w:r w:rsidRPr="000D499B">
        <w:t>proBNP</w:t>
      </w:r>
      <w:proofErr w:type="spellEnd"/>
      <w:r w:rsidRPr="000D499B">
        <w:t xml:space="preserve"> ≥1500 ng/L </w:t>
      </w:r>
      <w:r w:rsidR="00561CC5" w:rsidRPr="00561CC5">
        <w:t>(</w:t>
      </w:r>
      <w:proofErr w:type="spellStart"/>
      <w:r w:rsidR="00561CC5" w:rsidRPr="00561CC5">
        <w:t>Januzzi</w:t>
      </w:r>
      <w:proofErr w:type="spellEnd"/>
      <w:r w:rsidR="00561CC5" w:rsidRPr="00561CC5">
        <w:t xml:space="preserve"> et al., 2018)</w:t>
      </w:r>
      <w:r w:rsidRPr="000D499B">
        <w:t xml:space="preserve"> was used to support classification in patients with intermediate clinical scores, providing biochemical confirmation of hemodynamic stress and reducing diagnostic uncertainty.</w:t>
      </w:r>
    </w:p>
    <w:p w14:paraId="6FA726F8" w14:textId="418EF08A" w:rsidR="000D499B" w:rsidRPr="000D499B" w:rsidRDefault="00FC7306" w:rsidP="000D499B">
      <w:pPr>
        <w:spacing w:after="160" w:line="278" w:lineRule="auto"/>
        <w:jc w:val="both"/>
      </w:pPr>
      <w:r w:rsidRPr="006719D8">
        <w:rPr>
          <w:b/>
          <w:bCs/>
        </w:rPr>
        <w:t>Criteria</w:t>
      </w:r>
      <w:r w:rsidR="00527ED7">
        <w:rPr>
          <w:b/>
          <w:bCs/>
        </w:rPr>
        <w:t xml:space="preserve">: </w:t>
      </w:r>
      <w:r w:rsidR="000D499B" w:rsidRPr="000D499B">
        <w:t>We classified congestion using a structured two-step rule. Patients were considered congested if the clinical congestion score was ≥5, reflecting clear bedside evidence of volume overload. Patients with intermediate scores of 3–4 required NT-</w:t>
      </w:r>
      <w:proofErr w:type="spellStart"/>
      <w:r w:rsidR="000D499B" w:rsidRPr="000D499B">
        <w:t>proBNP</w:t>
      </w:r>
      <w:proofErr w:type="spellEnd"/>
      <w:r w:rsidR="000D499B" w:rsidRPr="000D499B">
        <w:t xml:space="preserve"> ≥1500 ng/L to confirm congestion. This approach reduced misclassification by combining clinical findings with objective biomarker support in borderline cases.</w:t>
      </w:r>
    </w:p>
    <w:p w14:paraId="20FE99C7" w14:textId="59287DD2" w:rsidR="0032301E" w:rsidRDefault="000D499B" w:rsidP="005B3F7A">
      <w:pPr>
        <w:spacing w:after="160" w:line="278" w:lineRule="auto"/>
        <w:jc w:val="both"/>
        <w:rPr>
          <w:b/>
          <w:bCs/>
        </w:rPr>
      </w:pPr>
      <w:r w:rsidRPr="000D499B">
        <w:t xml:space="preserve">NYHA class and physical signs, including jugular venous pressure, peripheral edema, and crackles, were assessed by clinicians who did not perform or interpret </w:t>
      </w:r>
      <w:proofErr w:type="spellStart"/>
      <w:r w:rsidRPr="000D499B">
        <w:t>ReDS</w:t>
      </w:r>
      <w:proofErr w:type="spellEnd"/>
      <w:r w:rsidRPr="000D499B">
        <w:t xml:space="preserve"> or LUS. This separation minimized incorporation bias and strengthened the independence of the reference standard.</w:t>
      </w:r>
    </w:p>
    <w:p w14:paraId="2C4A0928" w14:textId="15027474" w:rsidR="00FC7306" w:rsidRPr="006719D8" w:rsidRDefault="00592F6F" w:rsidP="00FC7306">
      <w:pPr>
        <w:spacing w:after="160" w:line="278" w:lineRule="auto"/>
        <w:jc w:val="both"/>
      </w:pPr>
      <w:r w:rsidRPr="005B3F7A">
        <w:rPr>
          <w:b/>
          <w:bCs/>
          <w:sz w:val="22"/>
        </w:rPr>
        <w:t xml:space="preserve">2.6. </w:t>
      </w:r>
      <w:r w:rsidR="00FC7306" w:rsidRPr="006719D8">
        <w:rPr>
          <w:b/>
          <w:bCs/>
          <w:sz w:val="22"/>
        </w:rPr>
        <w:t>Statistical Analysis</w:t>
      </w:r>
      <w:r w:rsidRPr="005B3F7A">
        <w:rPr>
          <w:b/>
          <w:bCs/>
          <w:sz w:val="22"/>
        </w:rPr>
        <w:t>:</w:t>
      </w:r>
      <w:r>
        <w:rPr>
          <w:b/>
          <w:bCs/>
        </w:rPr>
        <w:t xml:space="preserve"> </w:t>
      </w:r>
      <w:r w:rsidR="00736EAC" w:rsidRPr="00736EAC">
        <w:t>Continuous variables are presented as mean ± SD when normally distributed and as median with interquartile range when skewed. Categorical variables are summarized as counts and percentages.</w:t>
      </w:r>
      <w:r w:rsidR="00736EAC">
        <w:t xml:space="preserve"> </w:t>
      </w:r>
      <w:r w:rsidR="00736EAC" w:rsidRPr="00736EAC">
        <w:t>We compared continuous variables using the independent t test or Mann–Whitney U test, based on distribution. Categorical variables were compared using the chi-square test or Fisher exact test as appropriate.</w:t>
      </w:r>
      <w:r w:rsidR="00736EAC">
        <w:t xml:space="preserve"> </w:t>
      </w:r>
      <w:r w:rsidR="00736EAC" w:rsidRPr="00736EAC">
        <w:t xml:space="preserve">We generated ROC curves and compared AUCs using the paired DeLong test. Agreement was assessed using Cohen κ and the McNemar test. Correlation between continuous measures was evaluated using Pearson or </w:t>
      </w:r>
      <w:r w:rsidR="00736EAC" w:rsidRPr="00736EAC">
        <w:lastRenderedPageBreak/>
        <w:t xml:space="preserve">Spearman coefficients. Separate multivariable logistic regression models assessed </w:t>
      </w:r>
      <w:proofErr w:type="spellStart"/>
      <w:r w:rsidR="00736EAC" w:rsidRPr="00736EAC">
        <w:t>ReDS</w:t>
      </w:r>
      <w:proofErr w:type="spellEnd"/>
      <w:r w:rsidR="00736EAC" w:rsidRPr="00736EAC">
        <w:t xml:space="preserve"> and LUS, each adjusted for age and BMI.</w:t>
      </w:r>
      <w:r w:rsidR="00736EAC">
        <w:t xml:space="preserve"> </w:t>
      </w:r>
      <w:r w:rsidR="00FC7306" w:rsidRPr="003548B8">
        <w:t xml:space="preserve">Python 3.11 </w:t>
      </w:r>
      <w:r w:rsidR="00736EAC">
        <w:t xml:space="preserve">software </w:t>
      </w:r>
      <w:r w:rsidR="00FC7306" w:rsidRPr="003548B8">
        <w:t xml:space="preserve">with standard scientific libraries, including pandas for data management, NumPy for numerical operations, SciPy for statistical testing, scikit-learn for receiver operating characteristic analysis, and </w:t>
      </w:r>
      <w:proofErr w:type="spellStart"/>
      <w:r w:rsidR="00FC7306" w:rsidRPr="003548B8">
        <w:t>statsmodels</w:t>
      </w:r>
      <w:proofErr w:type="spellEnd"/>
      <w:r w:rsidR="00FC7306" w:rsidRPr="003548B8">
        <w:t xml:space="preserve"> for regression modeling and confidence interval estimation.</w:t>
      </w:r>
    </w:p>
    <w:p w14:paraId="51FC7246" w14:textId="068DA93F" w:rsidR="001C3883" w:rsidRDefault="003B2B8F">
      <w:pPr>
        <w:pStyle w:val="Heading1"/>
        <w:rPr>
          <w:rFonts w:ascii="Arial" w:hAnsi="Arial"/>
          <w:sz w:val="22"/>
        </w:rPr>
      </w:pPr>
      <w:r>
        <w:rPr>
          <w:rFonts w:ascii="Arial" w:hAnsi="Arial"/>
          <w:sz w:val="22"/>
        </w:rPr>
        <w:t>3. RESULTS</w:t>
      </w:r>
    </w:p>
    <w:p w14:paraId="31E2FA98" w14:textId="45D51A75" w:rsidR="001218E1" w:rsidRDefault="007A513A" w:rsidP="00645918">
      <w:pPr>
        <w:spacing w:after="160" w:line="278" w:lineRule="auto"/>
        <w:jc w:val="both"/>
        <w:rPr>
          <w:szCs w:val="20"/>
        </w:rPr>
      </w:pPr>
      <w:r>
        <w:rPr>
          <w:b/>
          <w:bCs/>
          <w:sz w:val="22"/>
        </w:rPr>
        <w:t xml:space="preserve">3.1. </w:t>
      </w:r>
      <w:r w:rsidR="001218E1" w:rsidRPr="006719D8">
        <w:rPr>
          <w:b/>
          <w:bCs/>
          <w:sz w:val="22"/>
        </w:rPr>
        <w:t>Study Population</w:t>
      </w:r>
      <w:r>
        <w:rPr>
          <w:b/>
          <w:bCs/>
          <w:sz w:val="22"/>
        </w:rPr>
        <w:t xml:space="preserve">: </w:t>
      </w:r>
      <w:r w:rsidRPr="007A513A">
        <w:rPr>
          <w:szCs w:val="20"/>
        </w:rPr>
        <w:t>A total of 125 patients were assessed for eligibility during the study period. Thirteen were excluded, eight due to the presence of cardiac implantable electronic devices and five due to recent thoracic surgery. The remaining 112 patients met inclusion criteria and were enrolled. All enrolled participants underwent both index tests, remote dielectric sensing and lung ultrasound, along with reference standard assessment using the composite clinical congestion score and NT-</w:t>
      </w:r>
      <w:proofErr w:type="spellStart"/>
      <w:r w:rsidRPr="007A513A">
        <w:rPr>
          <w:szCs w:val="20"/>
        </w:rPr>
        <w:t>proBNP</w:t>
      </w:r>
      <w:proofErr w:type="spellEnd"/>
      <w:r w:rsidRPr="007A513A">
        <w:rPr>
          <w:szCs w:val="20"/>
        </w:rPr>
        <w:t xml:space="preserve"> measurement. No patients were lost after enrollment, and all 112 were included in the final analysis. Based on blinded adjudication, 59 patients were classified as having pulmonary congestion, while 53 were classified as non-congested.</w:t>
      </w:r>
      <w:r>
        <w:rPr>
          <w:szCs w:val="20"/>
        </w:rPr>
        <w:t xml:space="preserve"> Study flow is shown in Figure 1.</w:t>
      </w:r>
    </w:p>
    <w:p w14:paraId="15CB3D41" w14:textId="7BBCC9CE" w:rsidR="007A513A" w:rsidRDefault="007A513A" w:rsidP="007A513A">
      <w:pPr>
        <w:tabs>
          <w:tab w:val="left" w:pos="1994"/>
        </w:tabs>
        <w:rPr>
          <w:noProof/>
        </w:rPr>
      </w:pPr>
      <w:r>
        <w:rPr>
          <w:szCs w:val="20"/>
        </w:rPr>
        <w:tab/>
      </w:r>
      <w:r>
        <w:rPr>
          <w:noProof/>
        </w:rPr>
        <w:drawing>
          <wp:inline distT="0" distB="0" distL="0" distR="0" wp14:anchorId="1496E76A" wp14:editId="574BB938">
            <wp:extent cx="5486400" cy="3657600"/>
            <wp:effectExtent l="0" t="0" r="0" b="0"/>
            <wp:docPr id="32670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06790" name="Picture 3267067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32A77460" w14:textId="69C045F0" w:rsidR="001218E1" w:rsidRDefault="00E13706" w:rsidP="001218E1">
      <w:pPr>
        <w:rPr>
          <w:b/>
          <w:bCs/>
        </w:rPr>
      </w:pPr>
      <w:r w:rsidRPr="006719D8">
        <w:rPr>
          <w:b/>
          <w:bCs/>
        </w:rPr>
        <w:t xml:space="preserve">Figure 1. </w:t>
      </w:r>
      <w:r>
        <w:rPr>
          <w:b/>
          <w:bCs/>
        </w:rPr>
        <w:t>Study flow</w:t>
      </w:r>
      <w:r w:rsidRPr="006719D8">
        <w:rPr>
          <w:b/>
          <w:bCs/>
        </w:rPr>
        <w:t xml:space="preserve"> </w:t>
      </w:r>
      <w:r>
        <w:rPr>
          <w:b/>
          <w:bCs/>
        </w:rPr>
        <w:t>d</w:t>
      </w:r>
      <w:r w:rsidRPr="006719D8">
        <w:rPr>
          <w:b/>
          <w:bCs/>
        </w:rPr>
        <w:t>iagram</w:t>
      </w:r>
    </w:p>
    <w:p w14:paraId="34321020" w14:textId="6D5AA72E" w:rsidR="00E13706" w:rsidRDefault="00B918FB" w:rsidP="00645918">
      <w:pPr>
        <w:jc w:val="both"/>
      </w:pPr>
      <w:r w:rsidRPr="00B918FB">
        <w:rPr>
          <w:b/>
          <w:bCs/>
          <w:sz w:val="22"/>
        </w:rPr>
        <w:t xml:space="preserve">3.2 Baseline </w:t>
      </w:r>
      <w:r w:rsidR="00B452FE" w:rsidRPr="006719D8">
        <w:rPr>
          <w:b/>
          <w:bCs/>
        </w:rPr>
        <w:t>Characteristics</w:t>
      </w:r>
      <w:r w:rsidRPr="00B918FB">
        <w:rPr>
          <w:b/>
          <w:bCs/>
          <w:sz w:val="22"/>
        </w:rPr>
        <w:t>:</w:t>
      </w:r>
      <w:r>
        <w:t xml:space="preserve"> </w:t>
      </w:r>
      <w:r w:rsidRPr="00B918FB">
        <w:t>The cohort had a mean age of 68.7 years, and 46% were women. Left ventricular ejection fraction averaged 46%, with HFpEF accounting for 67% of cases. Baseline age, sex distribution, BMI, LVEF, and HF phenotype did not differ significantly between congested and non-congested groups. In contrast, markers of congestion showed clear separation. Patients classified as congested had higher NYHA class, markedly elevated NT-</w:t>
      </w:r>
      <w:proofErr w:type="spellStart"/>
      <w:r w:rsidRPr="00B918FB">
        <w:t>proBNP</w:t>
      </w:r>
      <w:proofErr w:type="spellEnd"/>
      <w:r w:rsidRPr="00B918FB">
        <w:t xml:space="preserve"> levels, and </w:t>
      </w:r>
      <w:r w:rsidRPr="00B918FB">
        <w:lastRenderedPageBreak/>
        <w:t xml:space="preserve">substantially higher </w:t>
      </w:r>
      <w:proofErr w:type="spellStart"/>
      <w:r w:rsidRPr="00B918FB">
        <w:t>ReDS</w:t>
      </w:r>
      <w:proofErr w:type="spellEnd"/>
      <w:r w:rsidRPr="00B918FB">
        <w:t xml:space="preserve"> values and total B-line counts, all with </w:t>
      </w:r>
      <w:r w:rsidR="00356EEB" w:rsidRPr="00356EEB">
        <w:rPr>
          <w:i/>
          <w:iCs/>
        </w:rPr>
        <w:t>P</w:t>
      </w:r>
      <w:r w:rsidRPr="00B918FB">
        <w:t xml:space="preserve"> values below .001. These findings</w:t>
      </w:r>
      <w:r>
        <w:t xml:space="preserve"> (as shown in Table 1)</w:t>
      </w:r>
      <w:r w:rsidRPr="00B918FB">
        <w:t xml:space="preserve"> confirm that objective congestion measures aligned with clinical adjudication, while demographic and structural characteristics remained comparable across groups.</w:t>
      </w:r>
      <w:r>
        <w:t xml:space="preserve"> </w:t>
      </w:r>
    </w:p>
    <w:p w14:paraId="2DFE0E95" w14:textId="77777777" w:rsidR="00AD7DBF" w:rsidRPr="006719D8" w:rsidRDefault="00AD7DBF" w:rsidP="00AD7DBF">
      <w:r w:rsidRPr="006719D8">
        <w:rPr>
          <w:b/>
          <w:bCs/>
        </w:rPr>
        <w:t>Table 1. Baseline Characteristics</w:t>
      </w:r>
      <w:r w:rsidRPr="006719D8">
        <w:br/>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9"/>
        <w:gridCol w:w="1320"/>
        <w:gridCol w:w="1764"/>
        <w:gridCol w:w="2219"/>
        <w:gridCol w:w="807"/>
      </w:tblGrid>
      <w:tr w:rsidR="00AD7DBF" w:rsidRPr="00F403F1" w14:paraId="421B7653" w14:textId="77777777" w:rsidTr="00DD639C">
        <w:trPr>
          <w:tblHeader/>
          <w:tblCellSpacing w:w="15" w:type="dxa"/>
          <w:jc w:val="center"/>
        </w:trPr>
        <w:tc>
          <w:tcPr>
            <w:tcW w:w="0" w:type="auto"/>
            <w:vAlign w:val="center"/>
            <w:hideMark/>
          </w:tcPr>
          <w:p w14:paraId="068239C8" w14:textId="77777777" w:rsidR="00AD7DBF" w:rsidRPr="00F403F1" w:rsidRDefault="00AD7DBF" w:rsidP="001C38E1">
            <w:pPr>
              <w:spacing w:after="160" w:line="278" w:lineRule="auto"/>
              <w:rPr>
                <w:b/>
                <w:bCs/>
              </w:rPr>
            </w:pPr>
            <w:r w:rsidRPr="00F403F1">
              <w:rPr>
                <w:b/>
                <w:bCs/>
              </w:rPr>
              <w:t>Variable</w:t>
            </w:r>
          </w:p>
        </w:tc>
        <w:tc>
          <w:tcPr>
            <w:tcW w:w="0" w:type="auto"/>
            <w:vAlign w:val="center"/>
            <w:hideMark/>
          </w:tcPr>
          <w:p w14:paraId="4CEF645A" w14:textId="77777777" w:rsidR="00AD7DBF" w:rsidRPr="00F403F1" w:rsidRDefault="00AD7DBF" w:rsidP="001C38E1">
            <w:pPr>
              <w:spacing w:after="160" w:line="278" w:lineRule="auto"/>
              <w:rPr>
                <w:b/>
                <w:bCs/>
              </w:rPr>
            </w:pPr>
            <w:r w:rsidRPr="00F403F1">
              <w:rPr>
                <w:b/>
                <w:bCs/>
              </w:rPr>
              <w:t>Total (n=112)</w:t>
            </w:r>
          </w:p>
        </w:tc>
        <w:tc>
          <w:tcPr>
            <w:tcW w:w="0" w:type="auto"/>
            <w:vAlign w:val="center"/>
            <w:hideMark/>
          </w:tcPr>
          <w:p w14:paraId="16E9C177" w14:textId="77777777" w:rsidR="00AD7DBF" w:rsidRPr="00F403F1" w:rsidRDefault="00AD7DBF" w:rsidP="001C38E1">
            <w:pPr>
              <w:spacing w:after="160" w:line="278" w:lineRule="auto"/>
              <w:rPr>
                <w:b/>
                <w:bCs/>
              </w:rPr>
            </w:pPr>
            <w:r w:rsidRPr="00F403F1">
              <w:rPr>
                <w:b/>
                <w:bCs/>
              </w:rPr>
              <w:t>Congested (n=59)</w:t>
            </w:r>
          </w:p>
        </w:tc>
        <w:tc>
          <w:tcPr>
            <w:tcW w:w="0" w:type="auto"/>
            <w:vAlign w:val="center"/>
            <w:hideMark/>
          </w:tcPr>
          <w:p w14:paraId="20AFB3DF" w14:textId="77777777" w:rsidR="00AD7DBF" w:rsidRPr="00F403F1" w:rsidRDefault="00AD7DBF" w:rsidP="001C38E1">
            <w:pPr>
              <w:spacing w:after="160" w:line="278" w:lineRule="auto"/>
              <w:rPr>
                <w:b/>
                <w:bCs/>
              </w:rPr>
            </w:pPr>
            <w:r w:rsidRPr="00F403F1">
              <w:rPr>
                <w:b/>
                <w:bCs/>
              </w:rPr>
              <w:t>Non-Congested (n=53)</w:t>
            </w:r>
          </w:p>
        </w:tc>
        <w:tc>
          <w:tcPr>
            <w:tcW w:w="0" w:type="auto"/>
            <w:vAlign w:val="center"/>
            <w:hideMark/>
          </w:tcPr>
          <w:p w14:paraId="0F9429FD" w14:textId="44475D62" w:rsidR="00AD7DBF" w:rsidRPr="00F403F1" w:rsidRDefault="00356EEB" w:rsidP="001C38E1">
            <w:pPr>
              <w:spacing w:after="160" w:line="278" w:lineRule="auto"/>
              <w:rPr>
                <w:b/>
                <w:bCs/>
              </w:rPr>
            </w:pPr>
            <w:r w:rsidRPr="00356EEB">
              <w:rPr>
                <w:b/>
                <w:bCs/>
                <w:i/>
                <w:iCs/>
              </w:rPr>
              <w:t>P</w:t>
            </w:r>
            <w:r w:rsidR="00AD7DBF" w:rsidRPr="00F403F1">
              <w:rPr>
                <w:b/>
                <w:bCs/>
              </w:rPr>
              <w:t>-value</w:t>
            </w:r>
          </w:p>
        </w:tc>
      </w:tr>
      <w:tr w:rsidR="00AD7DBF" w:rsidRPr="00F403F1" w14:paraId="33D55B0C" w14:textId="77777777" w:rsidTr="00DD639C">
        <w:trPr>
          <w:tblCellSpacing w:w="15" w:type="dxa"/>
          <w:jc w:val="center"/>
        </w:trPr>
        <w:tc>
          <w:tcPr>
            <w:tcW w:w="0" w:type="auto"/>
            <w:vAlign w:val="center"/>
            <w:hideMark/>
          </w:tcPr>
          <w:p w14:paraId="32971676" w14:textId="77777777" w:rsidR="00AD7DBF" w:rsidRPr="00F403F1" w:rsidRDefault="00AD7DBF" w:rsidP="001C38E1">
            <w:pPr>
              <w:spacing w:after="160" w:line="278" w:lineRule="auto"/>
            </w:pPr>
            <w:r w:rsidRPr="00F403F1">
              <w:t>Age, years</w:t>
            </w:r>
          </w:p>
        </w:tc>
        <w:tc>
          <w:tcPr>
            <w:tcW w:w="0" w:type="auto"/>
            <w:vAlign w:val="center"/>
            <w:hideMark/>
          </w:tcPr>
          <w:p w14:paraId="69456B35" w14:textId="77777777" w:rsidR="00AD7DBF" w:rsidRPr="00F403F1" w:rsidRDefault="00AD7DBF" w:rsidP="001C38E1">
            <w:pPr>
              <w:spacing w:after="160" w:line="278" w:lineRule="auto"/>
            </w:pPr>
            <w:r w:rsidRPr="00F403F1">
              <w:t>68.7 ± 12.3</w:t>
            </w:r>
          </w:p>
        </w:tc>
        <w:tc>
          <w:tcPr>
            <w:tcW w:w="0" w:type="auto"/>
            <w:vAlign w:val="center"/>
            <w:hideMark/>
          </w:tcPr>
          <w:p w14:paraId="272EAEE4" w14:textId="77777777" w:rsidR="00AD7DBF" w:rsidRPr="00F403F1" w:rsidRDefault="00AD7DBF" w:rsidP="001C38E1">
            <w:pPr>
              <w:spacing w:after="160" w:line="278" w:lineRule="auto"/>
            </w:pPr>
            <w:r w:rsidRPr="00F403F1">
              <w:t>67.3 ± 11.8</w:t>
            </w:r>
          </w:p>
        </w:tc>
        <w:tc>
          <w:tcPr>
            <w:tcW w:w="0" w:type="auto"/>
            <w:vAlign w:val="center"/>
            <w:hideMark/>
          </w:tcPr>
          <w:p w14:paraId="44F8241D" w14:textId="77777777" w:rsidR="00AD7DBF" w:rsidRPr="00F403F1" w:rsidRDefault="00AD7DBF" w:rsidP="001C38E1">
            <w:pPr>
              <w:spacing w:after="160" w:line="278" w:lineRule="auto"/>
            </w:pPr>
            <w:r w:rsidRPr="00F403F1">
              <w:t>70.2 ± 12.7</w:t>
            </w:r>
          </w:p>
        </w:tc>
        <w:tc>
          <w:tcPr>
            <w:tcW w:w="0" w:type="auto"/>
            <w:vAlign w:val="center"/>
            <w:hideMark/>
          </w:tcPr>
          <w:p w14:paraId="7E8E4AB7" w14:textId="00D6512C" w:rsidR="00AD7DBF" w:rsidRPr="00F403F1" w:rsidRDefault="00AD7DBF" w:rsidP="001C38E1">
            <w:pPr>
              <w:spacing w:after="160" w:line="278" w:lineRule="auto"/>
            </w:pPr>
            <w:r w:rsidRPr="00F403F1">
              <w:t>.21</w:t>
            </w:r>
          </w:p>
        </w:tc>
      </w:tr>
      <w:tr w:rsidR="00AD7DBF" w:rsidRPr="00F403F1" w14:paraId="34E0C0D2" w14:textId="77777777" w:rsidTr="00DD639C">
        <w:trPr>
          <w:tblCellSpacing w:w="15" w:type="dxa"/>
          <w:jc w:val="center"/>
        </w:trPr>
        <w:tc>
          <w:tcPr>
            <w:tcW w:w="0" w:type="auto"/>
            <w:vAlign w:val="center"/>
            <w:hideMark/>
          </w:tcPr>
          <w:p w14:paraId="1B12ABE9" w14:textId="77777777" w:rsidR="00AD7DBF" w:rsidRPr="00F403F1" w:rsidRDefault="00AD7DBF" w:rsidP="001C38E1">
            <w:pPr>
              <w:spacing w:after="160" w:line="278" w:lineRule="auto"/>
            </w:pPr>
            <w:r w:rsidRPr="00F403F1">
              <w:t>Female, n (%)</w:t>
            </w:r>
          </w:p>
        </w:tc>
        <w:tc>
          <w:tcPr>
            <w:tcW w:w="0" w:type="auto"/>
            <w:vAlign w:val="center"/>
            <w:hideMark/>
          </w:tcPr>
          <w:p w14:paraId="3659C73D" w14:textId="77777777" w:rsidR="00AD7DBF" w:rsidRPr="00F403F1" w:rsidRDefault="00AD7DBF" w:rsidP="001C38E1">
            <w:pPr>
              <w:spacing w:after="160" w:line="278" w:lineRule="auto"/>
            </w:pPr>
            <w:r w:rsidRPr="00F403F1">
              <w:t>52 (46.4)</w:t>
            </w:r>
          </w:p>
        </w:tc>
        <w:tc>
          <w:tcPr>
            <w:tcW w:w="0" w:type="auto"/>
            <w:vAlign w:val="center"/>
            <w:hideMark/>
          </w:tcPr>
          <w:p w14:paraId="2D3D2E7A" w14:textId="77777777" w:rsidR="00AD7DBF" w:rsidRPr="00F403F1" w:rsidRDefault="00AD7DBF" w:rsidP="001C38E1">
            <w:pPr>
              <w:spacing w:after="160" w:line="278" w:lineRule="auto"/>
            </w:pPr>
            <w:r w:rsidRPr="00F403F1">
              <w:t>28 (47.5)</w:t>
            </w:r>
          </w:p>
        </w:tc>
        <w:tc>
          <w:tcPr>
            <w:tcW w:w="0" w:type="auto"/>
            <w:vAlign w:val="center"/>
            <w:hideMark/>
          </w:tcPr>
          <w:p w14:paraId="1F2CC475" w14:textId="77777777" w:rsidR="00AD7DBF" w:rsidRPr="00F403F1" w:rsidRDefault="00AD7DBF" w:rsidP="001C38E1">
            <w:pPr>
              <w:spacing w:after="160" w:line="278" w:lineRule="auto"/>
            </w:pPr>
            <w:r w:rsidRPr="00F403F1">
              <w:t>24 (45.3)</w:t>
            </w:r>
          </w:p>
        </w:tc>
        <w:tc>
          <w:tcPr>
            <w:tcW w:w="0" w:type="auto"/>
            <w:vAlign w:val="center"/>
            <w:hideMark/>
          </w:tcPr>
          <w:p w14:paraId="13797095" w14:textId="38F4ACEC" w:rsidR="00AD7DBF" w:rsidRPr="00F403F1" w:rsidRDefault="00AD7DBF" w:rsidP="001C38E1">
            <w:pPr>
              <w:spacing w:after="160" w:line="278" w:lineRule="auto"/>
            </w:pPr>
            <w:r w:rsidRPr="00F403F1">
              <w:t>.81</w:t>
            </w:r>
          </w:p>
        </w:tc>
      </w:tr>
      <w:tr w:rsidR="00AD7DBF" w:rsidRPr="00F403F1" w14:paraId="75723961" w14:textId="77777777" w:rsidTr="00DD639C">
        <w:trPr>
          <w:tblCellSpacing w:w="15" w:type="dxa"/>
          <w:jc w:val="center"/>
        </w:trPr>
        <w:tc>
          <w:tcPr>
            <w:tcW w:w="0" w:type="auto"/>
            <w:vAlign w:val="center"/>
            <w:hideMark/>
          </w:tcPr>
          <w:p w14:paraId="2D521713" w14:textId="77777777" w:rsidR="00AD7DBF" w:rsidRPr="00F403F1" w:rsidRDefault="00AD7DBF" w:rsidP="001C38E1">
            <w:pPr>
              <w:spacing w:after="160" w:line="278" w:lineRule="auto"/>
            </w:pPr>
            <w:r w:rsidRPr="00F403F1">
              <w:t>BMI, kg/m²</w:t>
            </w:r>
          </w:p>
        </w:tc>
        <w:tc>
          <w:tcPr>
            <w:tcW w:w="0" w:type="auto"/>
            <w:vAlign w:val="center"/>
            <w:hideMark/>
          </w:tcPr>
          <w:p w14:paraId="414C0520" w14:textId="77777777" w:rsidR="00AD7DBF" w:rsidRPr="00F403F1" w:rsidRDefault="00AD7DBF" w:rsidP="001C38E1">
            <w:pPr>
              <w:spacing w:after="160" w:line="278" w:lineRule="auto"/>
            </w:pPr>
            <w:r w:rsidRPr="00F403F1">
              <w:t>27.2 ± 4.7</w:t>
            </w:r>
          </w:p>
        </w:tc>
        <w:tc>
          <w:tcPr>
            <w:tcW w:w="0" w:type="auto"/>
            <w:vAlign w:val="center"/>
            <w:hideMark/>
          </w:tcPr>
          <w:p w14:paraId="1C6D7292" w14:textId="77777777" w:rsidR="00AD7DBF" w:rsidRPr="00F403F1" w:rsidRDefault="00AD7DBF" w:rsidP="001C38E1">
            <w:pPr>
              <w:spacing w:after="160" w:line="278" w:lineRule="auto"/>
            </w:pPr>
            <w:r w:rsidRPr="00F403F1">
              <w:t>27.2 ± 5.3</w:t>
            </w:r>
          </w:p>
        </w:tc>
        <w:tc>
          <w:tcPr>
            <w:tcW w:w="0" w:type="auto"/>
            <w:vAlign w:val="center"/>
            <w:hideMark/>
          </w:tcPr>
          <w:p w14:paraId="2DD10BA1" w14:textId="77777777" w:rsidR="00AD7DBF" w:rsidRPr="00F403F1" w:rsidRDefault="00AD7DBF" w:rsidP="001C38E1">
            <w:pPr>
              <w:spacing w:after="160" w:line="278" w:lineRule="auto"/>
            </w:pPr>
            <w:r w:rsidRPr="00F403F1">
              <w:t>27.2 ± 3.9</w:t>
            </w:r>
          </w:p>
        </w:tc>
        <w:tc>
          <w:tcPr>
            <w:tcW w:w="0" w:type="auto"/>
            <w:vAlign w:val="center"/>
            <w:hideMark/>
          </w:tcPr>
          <w:p w14:paraId="47B7E8FE" w14:textId="1D9AAC75" w:rsidR="00AD7DBF" w:rsidRPr="00F403F1" w:rsidRDefault="00AD7DBF" w:rsidP="001C38E1">
            <w:pPr>
              <w:spacing w:after="160" w:line="278" w:lineRule="auto"/>
            </w:pPr>
            <w:r w:rsidRPr="00F403F1">
              <w:t>.99</w:t>
            </w:r>
          </w:p>
        </w:tc>
      </w:tr>
      <w:tr w:rsidR="00AD7DBF" w:rsidRPr="00F403F1" w14:paraId="3B40236E" w14:textId="77777777" w:rsidTr="00DD639C">
        <w:trPr>
          <w:tblCellSpacing w:w="15" w:type="dxa"/>
          <w:jc w:val="center"/>
        </w:trPr>
        <w:tc>
          <w:tcPr>
            <w:tcW w:w="0" w:type="auto"/>
            <w:vAlign w:val="center"/>
            <w:hideMark/>
          </w:tcPr>
          <w:p w14:paraId="3A1027AA" w14:textId="77777777" w:rsidR="00AD7DBF" w:rsidRPr="00F403F1" w:rsidRDefault="00AD7DBF" w:rsidP="001C38E1">
            <w:pPr>
              <w:spacing w:after="160" w:line="278" w:lineRule="auto"/>
            </w:pPr>
            <w:r w:rsidRPr="00F403F1">
              <w:t>LVEF, %</w:t>
            </w:r>
          </w:p>
        </w:tc>
        <w:tc>
          <w:tcPr>
            <w:tcW w:w="0" w:type="auto"/>
            <w:vAlign w:val="center"/>
            <w:hideMark/>
          </w:tcPr>
          <w:p w14:paraId="18CE6E1E" w14:textId="77777777" w:rsidR="00AD7DBF" w:rsidRPr="00F403F1" w:rsidRDefault="00AD7DBF" w:rsidP="001C38E1">
            <w:pPr>
              <w:spacing w:after="160" w:line="278" w:lineRule="auto"/>
            </w:pPr>
            <w:r w:rsidRPr="00F403F1">
              <w:t>46.1 ± 11.2</w:t>
            </w:r>
          </w:p>
        </w:tc>
        <w:tc>
          <w:tcPr>
            <w:tcW w:w="0" w:type="auto"/>
            <w:vAlign w:val="center"/>
            <w:hideMark/>
          </w:tcPr>
          <w:p w14:paraId="426321B5" w14:textId="77777777" w:rsidR="00AD7DBF" w:rsidRPr="00F403F1" w:rsidRDefault="00AD7DBF" w:rsidP="001C38E1">
            <w:pPr>
              <w:spacing w:after="160" w:line="278" w:lineRule="auto"/>
            </w:pPr>
            <w:r w:rsidRPr="00F403F1">
              <w:t>45.3 ± 11.5</w:t>
            </w:r>
          </w:p>
        </w:tc>
        <w:tc>
          <w:tcPr>
            <w:tcW w:w="0" w:type="auto"/>
            <w:vAlign w:val="center"/>
            <w:hideMark/>
          </w:tcPr>
          <w:p w14:paraId="7010E80E" w14:textId="77777777" w:rsidR="00AD7DBF" w:rsidRPr="00F403F1" w:rsidRDefault="00AD7DBF" w:rsidP="001C38E1">
            <w:pPr>
              <w:spacing w:after="160" w:line="278" w:lineRule="auto"/>
            </w:pPr>
            <w:r w:rsidRPr="00F403F1">
              <w:t>47.0 ± 10.8</w:t>
            </w:r>
          </w:p>
        </w:tc>
        <w:tc>
          <w:tcPr>
            <w:tcW w:w="0" w:type="auto"/>
            <w:vAlign w:val="center"/>
            <w:hideMark/>
          </w:tcPr>
          <w:p w14:paraId="53A34FFB" w14:textId="51D6D7D3" w:rsidR="00AD7DBF" w:rsidRPr="00F403F1" w:rsidRDefault="00AD7DBF" w:rsidP="001C38E1">
            <w:pPr>
              <w:spacing w:after="160" w:line="278" w:lineRule="auto"/>
            </w:pPr>
            <w:r w:rsidRPr="00F403F1">
              <w:t>.43</w:t>
            </w:r>
          </w:p>
        </w:tc>
      </w:tr>
      <w:tr w:rsidR="00AD7DBF" w:rsidRPr="00F403F1" w14:paraId="6537F53D" w14:textId="77777777" w:rsidTr="00DD639C">
        <w:trPr>
          <w:tblCellSpacing w:w="15" w:type="dxa"/>
          <w:jc w:val="center"/>
        </w:trPr>
        <w:tc>
          <w:tcPr>
            <w:tcW w:w="0" w:type="auto"/>
            <w:vAlign w:val="center"/>
            <w:hideMark/>
          </w:tcPr>
          <w:p w14:paraId="269C053C" w14:textId="77777777" w:rsidR="00AD7DBF" w:rsidRPr="00F403F1" w:rsidRDefault="00AD7DBF" w:rsidP="001C38E1">
            <w:pPr>
              <w:spacing w:after="160" w:line="278" w:lineRule="auto"/>
            </w:pPr>
            <w:proofErr w:type="spellStart"/>
            <w:r w:rsidRPr="00F403F1">
              <w:t>HFrEF</w:t>
            </w:r>
            <w:proofErr w:type="spellEnd"/>
            <w:r w:rsidRPr="00F403F1">
              <w:t>, n (%)</w:t>
            </w:r>
          </w:p>
        </w:tc>
        <w:tc>
          <w:tcPr>
            <w:tcW w:w="0" w:type="auto"/>
            <w:vAlign w:val="center"/>
            <w:hideMark/>
          </w:tcPr>
          <w:p w14:paraId="4A819335" w14:textId="77777777" w:rsidR="00AD7DBF" w:rsidRPr="00F403F1" w:rsidRDefault="00AD7DBF" w:rsidP="001C38E1">
            <w:pPr>
              <w:spacing w:after="160" w:line="278" w:lineRule="auto"/>
            </w:pPr>
            <w:r w:rsidRPr="00F403F1">
              <w:t>37 (33.0)</w:t>
            </w:r>
          </w:p>
        </w:tc>
        <w:tc>
          <w:tcPr>
            <w:tcW w:w="0" w:type="auto"/>
            <w:vAlign w:val="center"/>
            <w:hideMark/>
          </w:tcPr>
          <w:p w14:paraId="67F92BDF" w14:textId="77777777" w:rsidR="00AD7DBF" w:rsidRPr="00F403F1" w:rsidRDefault="00AD7DBF" w:rsidP="001C38E1">
            <w:pPr>
              <w:spacing w:after="160" w:line="278" w:lineRule="auto"/>
            </w:pPr>
            <w:r w:rsidRPr="00F403F1">
              <w:t>22 (37.3)</w:t>
            </w:r>
          </w:p>
        </w:tc>
        <w:tc>
          <w:tcPr>
            <w:tcW w:w="0" w:type="auto"/>
            <w:vAlign w:val="center"/>
            <w:hideMark/>
          </w:tcPr>
          <w:p w14:paraId="5D14FF20" w14:textId="77777777" w:rsidR="00AD7DBF" w:rsidRPr="00F403F1" w:rsidRDefault="00AD7DBF" w:rsidP="001C38E1">
            <w:pPr>
              <w:spacing w:after="160" w:line="278" w:lineRule="auto"/>
            </w:pPr>
            <w:r w:rsidRPr="00F403F1">
              <w:t>15 (28.3)</w:t>
            </w:r>
          </w:p>
        </w:tc>
        <w:tc>
          <w:tcPr>
            <w:tcW w:w="0" w:type="auto"/>
            <w:vAlign w:val="center"/>
            <w:hideMark/>
          </w:tcPr>
          <w:p w14:paraId="098C44CC" w14:textId="3A2292E5" w:rsidR="00AD7DBF" w:rsidRPr="00F403F1" w:rsidRDefault="00AD7DBF" w:rsidP="001C38E1">
            <w:pPr>
              <w:spacing w:after="160" w:line="278" w:lineRule="auto"/>
            </w:pPr>
            <w:r w:rsidRPr="00F403F1">
              <w:t>.31</w:t>
            </w:r>
          </w:p>
        </w:tc>
      </w:tr>
      <w:tr w:rsidR="00AD7DBF" w:rsidRPr="00F403F1" w14:paraId="594EBEEF" w14:textId="77777777" w:rsidTr="00DD639C">
        <w:trPr>
          <w:tblCellSpacing w:w="15" w:type="dxa"/>
          <w:jc w:val="center"/>
        </w:trPr>
        <w:tc>
          <w:tcPr>
            <w:tcW w:w="0" w:type="auto"/>
            <w:vAlign w:val="center"/>
            <w:hideMark/>
          </w:tcPr>
          <w:p w14:paraId="2EC808AB" w14:textId="77777777" w:rsidR="00AD7DBF" w:rsidRPr="00F403F1" w:rsidRDefault="00AD7DBF" w:rsidP="001C38E1">
            <w:pPr>
              <w:spacing w:after="160" w:line="278" w:lineRule="auto"/>
            </w:pPr>
            <w:r w:rsidRPr="00F403F1">
              <w:t>HFpEF, n (%)</w:t>
            </w:r>
          </w:p>
        </w:tc>
        <w:tc>
          <w:tcPr>
            <w:tcW w:w="0" w:type="auto"/>
            <w:vAlign w:val="center"/>
            <w:hideMark/>
          </w:tcPr>
          <w:p w14:paraId="4B0143FD" w14:textId="77777777" w:rsidR="00AD7DBF" w:rsidRPr="00F403F1" w:rsidRDefault="00AD7DBF" w:rsidP="001C38E1">
            <w:pPr>
              <w:spacing w:after="160" w:line="278" w:lineRule="auto"/>
            </w:pPr>
            <w:r w:rsidRPr="00F403F1">
              <w:t>75 (67.0)</w:t>
            </w:r>
          </w:p>
        </w:tc>
        <w:tc>
          <w:tcPr>
            <w:tcW w:w="0" w:type="auto"/>
            <w:vAlign w:val="center"/>
            <w:hideMark/>
          </w:tcPr>
          <w:p w14:paraId="0A9A1FC6" w14:textId="77777777" w:rsidR="00AD7DBF" w:rsidRPr="00F403F1" w:rsidRDefault="00AD7DBF" w:rsidP="001C38E1">
            <w:pPr>
              <w:spacing w:after="160" w:line="278" w:lineRule="auto"/>
            </w:pPr>
            <w:r w:rsidRPr="00F403F1">
              <w:t>37 (62.7)</w:t>
            </w:r>
          </w:p>
        </w:tc>
        <w:tc>
          <w:tcPr>
            <w:tcW w:w="0" w:type="auto"/>
            <w:vAlign w:val="center"/>
            <w:hideMark/>
          </w:tcPr>
          <w:p w14:paraId="55C1A0C2" w14:textId="77777777" w:rsidR="00AD7DBF" w:rsidRPr="00F403F1" w:rsidRDefault="00AD7DBF" w:rsidP="001C38E1">
            <w:pPr>
              <w:spacing w:after="160" w:line="278" w:lineRule="auto"/>
            </w:pPr>
            <w:r w:rsidRPr="00F403F1">
              <w:t>38 (71.7)</w:t>
            </w:r>
          </w:p>
        </w:tc>
        <w:tc>
          <w:tcPr>
            <w:tcW w:w="0" w:type="auto"/>
            <w:vAlign w:val="center"/>
            <w:hideMark/>
          </w:tcPr>
          <w:p w14:paraId="0041044D" w14:textId="5B6A1B7B" w:rsidR="00AD7DBF" w:rsidRPr="00F403F1" w:rsidRDefault="00AD7DBF" w:rsidP="001C38E1">
            <w:pPr>
              <w:spacing w:after="160" w:line="278" w:lineRule="auto"/>
            </w:pPr>
            <w:r w:rsidRPr="00F403F1">
              <w:t>.31</w:t>
            </w:r>
          </w:p>
        </w:tc>
      </w:tr>
      <w:tr w:rsidR="00AD7DBF" w:rsidRPr="00F403F1" w14:paraId="2CA76F21" w14:textId="77777777" w:rsidTr="00DD639C">
        <w:trPr>
          <w:tblCellSpacing w:w="15" w:type="dxa"/>
          <w:jc w:val="center"/>
        </w:trPr>
        <w:tc>
          <w:tcPr>
            <w:tcW w:w="0" w:type="auto"/>
            <w:vAlign w:val="center"/>
            <w:hideMark/>
          </w:tcPr>
          <w:p w14:paraId="3CFFC32C" w14:textId="77777777" w:rsidR="00AD7DBF" w:rsidRPr="00F403F1" w:rsidRDefault="00AD7DBF" w:rsidP="001C38E1">
            <w:pPr>
              <w:spacing w:after="160" w:line="278" w:lineRule="auto"/>
            </w:pPr>
            <w:r w:rsidRPr="00F403F1">
              <w:t>NYHA class, median</w:t>
            </w:r>
          </w:p>
        </w:tc>
        <w:tc>
          <w:tcPr>
            <w:tcW w:w="0" w:type="auto"/>
            <w:vAlign w:val="center"/>
            <w:hideMark/>
          </w:tcPr>
          <w:p w14:paraId="3AEF49DF" w14:textId="77777777" w:rsidR="00AD7DBF" w:rsidRPr="00F403F1" w:rsidRDefault="00AD7DBF" w:rsidP="001C38E1">
            <w:pPr>
              <w:spacing w:after="160" w:line="278" w:lineRule="auto"/>
            </w:pPr>
            <w:r w:rsidRPr="00F403F1">
              <w:t>3</w:t>
            </w:r>
          </w:p>
        </w:tc>
        <w:tc>
          <w:tcPr>
            <w:tcW w:w="0" w:type="auto"/>
            <w:vAlign w:val="center"/>
            <w:hideMark/>
          </w:tcPr>
          <w:p w14:paraId="08F1D684" w14:textId="77777777" w:rsidR="00AD7DBF" w:rsidRPr="00F403F1" w:rsidRDefault="00AD7DBF" w:rsidP="001C38E1">
            <w:pPr>
              <w:spacing w:after="160" w:line="278" w:lineRule="auto"/>
            </w:pPr>
            <w:r w:rsidRPr="00F403F1">
              <w:t>3</w:t>
            </w:r>
          </w:p>
        </w:tc>
        <w:tc>
          <w:tcPr>
            <w:tcW w:w="0" w:type="auto"/>
            <w:vAlign w:val="center"/>
            <w:hideMark/>
          </w:tcPr>
          <w:p w14:paraId="40BF4C03" w14:textId="77777777" w:rsidR="00AD7DBF" w:rsidRPr="00F403F1" w:rsidRDefault="00AD7DBF" w:rsidP="001C38E1">
            <w:pPr>
              <w:spacing w:after="160" w:line="278" w:lineRule="auto"/>
            </w:pPr>
            <w:r w:rsidRPr="00F403F1">
              <w:t>2</w:t>
            </w:r>
          </w:p>
        </w:tc>
        <w:tc>
          <w:tcPr>
            <w:tcW w:w="0" w:type="auto"/>
            <w:vAlign w:val="center"/>
            <w:hideMark/>
          </w:tcPr>
          <w:p w14:paraId="05D3E290" w14:textId="682FE617" w:rsidR="00AD7DBF" w:rsidRPr="00F403F1" w:rsidRDefault="00AD7DBF" w:rsidP="001C38E1">
            <w:pPr>
              <w:spacing w:after="160" w:line="278" w:lineRule="auto"/>
            </w:pPr>
            <w:r w:rsidRPr="00F403F1">
              <w:t>&lt;.001</w:t>
            </w:r>
          </w:p>
        </w:tc>
      </w:tr>
      <w:tr w:rsidR="00AD7DBF" w:rsidRPr="00F403F1" w14:paraId="61FF5077" w14:textId="77777777" w:rsidTr="00DD639C">
        <w:trPr>
          <w:tblCellSpacing w:w="15" w:type="dxa"/>
          <w:jc w:val="center"/>
        </w:trPr>
        <w:tc>
          <w:tcPr>
            <w:tcW w:w="0" w:type="auto"/>
            <w:vAlign w:val="center"/>
            <w:hideMark/>
          </w:tcPr>
          <w:p w14:paraId="2E5EFD09" w14:textId="77777777" w:rsidR="00AD7DBF" w:rsidRPr="00F403F1" w:rsidRDefault="00AD7DBF" w:rsidP="001C38E1">
            <w:pPr>
              <w:spacing w:after="160" w:line="278" w:lineRule="auto"/>
            </w:pPr>
            <w:r w:rsidRPr="00F403F1">
              <w:t>NT-</w:t>
            </w:r>
            <w:proofErr w:type="spellStart"/>
            <w:r w:rsidRPr="00F403F1">
              <w:t>proBNP</w:t>
            </w:r>
            <w:proofErr w:type="spellEnd"/>
            <w:r w:rsidRPr="00F403F1">
              <w:t>, ng/L</w:t>
            </w:r>
          </w:p>
        </w:tc>
        <w:tc>
          <w:tcPr>
            <w:tcW w:w="0" w:type="auto"/>
            <w:vAlign w:val="center"/>
            <w:hideMark/>
          </w:tcPr>
          <w:p w14:paraId="0D1E1704" w14:textId="77777777" w:rsidR="00AD7DBF" w:rsidRPr="00F403F1" w:rsidRDefault="00AD7DBF" w:rsidP="001C38E1">
            <w:pPr>
              <w:spacing w:after="160" w:line="278" w:lineRule="auto"/>
            </w:pPr>
            <w:r w:rsidRPr="00F403F1">
              <w:t>1136</w:t>
            </w:r>
          </w:p>
        </w:tc>
        <w:tc>
          <w:tcPr>
            <w:tcW w:w="0" w:type="auto"/>
            <w:vAlign w:val="center"/>
            <w:hideMark/>
          </w:tcPr>
          <w:p w14:paraId="5665B8A3" w14:textId="77777777" w:rsidR="00AD7DBF" w:rsidRPr="00F403F1" w:rsidRDefault="00AD7DBF" w:rsidP="001C38E1">
            <w:pPr>
              <w:spacing w:after="160" w:line="278" w:lineRule="auto"/>
            </w:pPr>
            <w:r w:rsidRPr="00F403F1">
              <w:t>2139</w:t>
            </w:r>
          </w:p>
        </w:tc>
        <w:tc>
          <w:tcPr>
            <w:tcW w:w="0" w:type="auto"/>
            <w:vAlign w:val="center"/>
            <w:hideMark/>
          </w:tcPr>
          <w:p w14:paraId="17692A4C" w14:textId="77777777" w:rsidR="00AD7DBF" w:rsidRPr="00F403F1" w:rsidRDefault="00AD7DBF" w:rsidP="001C38E1">
            <w:pPr>
              <w:spacing w:after="160" w:line="278" w:lineRule="auto"/>
            </w:pPr>
            <w:r w:rsidRPr="00F403F1">
              <w:t>537</w:t>
            </w:r>
          </w:p>
        </w:tc>
        <w:tc>
          <w:tcPr>
            <w:tcW w:w="0" w:type="auto"/>
            <w:vAlign w:val="center"/>
            <w:hideMark/>
          </w:tcPr>
          <w:p w14:paraId="38885A5C" w14:textId="109AEA89" w:rsidR="00AD7DBF" w:rsidRPr="00F403F1" w:rsidRDefault="00AD7DBF" w:rsidP="001C38E1">
            <w:pPr>
              <w:spacing w:after="160" w:line="278" w:lineRule="auto"/>
            </w:pPr>
            <w:r w:rsidRPr="00F403F1">
              <w:t>&lt;.001</w:t>
            </w:r>
          </w:p>
        </w:tc>
      </w:tr>
      <w:tr w:rsidR="00AD7DBF" w:rsidRPr="00F403F1" w14:paraId="1DA7C1E8" w14:textId="77777777" w:rsidTr="00DD639C">
        <w:trPr>
          <w:tblCellSpacing w:w="15" w:type="dxa"/>
          <w:jc w:val="center"/>
        </w:trPr>
        <w:tc>
          <w:tcPr>
            <w:tcW w:w="0" w:type="auto"/>
            <w:vAlign w:val="center"/>
            <w:hideMark/>
          </w:tcPr>
          <w:p w14:paraId="1ABEC54B" w14:textId="77777777" w:rsidR="00AD7DBF" w:rsidRPr="00F403F1" w:rsidRDefault="00AD7DBF" w:rsidP="001C38E1">
            <w:pPr>
              <w:spacing w:after="160" w:line="278" w:lineRule="auto"/>
            </w:pPr>
            <w:proofErr w:type="spellStart"/>
            <w:r w:rsidRPr="00F403F1">
              <w:t>ReDS</w:t>
            </w:r>
            <w:proofErr w:type="spellEnd"/>
            <w:r w:rsidRPr="00F403F1">
              <w:t>, %</w:t>
            </w:r>
          </w:p>
        </w:tc>
        <w:tc>
          <w:tcPr>
            <w:tcW w:w="0" w:type="auto"/>
            <w:vAlign w:val="center"/>
            <w:hideMark/>
          </w:tcPr>
          <w:p w14:paraId="23A37C7B" w14:textId="77777777" w:rsidR="00AD7DBF" w:rsidRPr="00F403F1" w:rsidRDefault="00AD7DBF" w:rsidP="001C38E1">
            <w:pPr>
              <w:spacing w:after="160" w:line="278" w:lineRule="auto"/>
            </w:pPr>
            <w:r w:rsidRPr="00F403F1">
              <w:t>33.1 ± 8.8</w:t>
            </w:r>
          </w:p>
        </w:tc>
        <w:tc>
          <w:tcPr>
            <w:tcW w:w="0" w:type="auto"/>
            <w:vAlign w:val="center"/>
            <w:hideMark/>
          </w:tcPr>
          <w:p w14:paraId="51EB30EE" w14:textId="77777777" w:rsidR="00AD7DBF" w:rsidRPr="00F403F1" w:rsidRDefault="00AD7DBF" w:rsidP="001C38E1">
            <w:pPr>
              <w:spacing w:after="160" w:line="278" w:lineRule="auto"/>
            </w:pPr>
            <w:r w:rsidRPr="00F403F1">
              <w:t>37.9 ± 7.4</w:t>
            </w:r>
          </w:p>
        </w:tc>
        <w:tc>
          <w:tcPr>
            <w:tcW w:w="0" w:type="auto"/>
            <w:vAlign w:val="center"/>
            <w:hideMark/>
          </w:tcPr>
          <w:p w14:paraId="46C107C8" w14:textId="77777777" w:rsidR="00AD7DBF" w:rsidRPr="00F403F1" w:rsidRDefault="00AD7DBF" w:rsidP="001C38E1">
            <w:pPr>
              <w:spacing w:after="160" w:line="278" w:lineRule="auto"/>
            </w:pPr>
            <w:r w:rsidRPr="00F403F1">
              <w:t>27.8 ± 7.1</w:t>
            </w:r>
          </w:p>
        </w:tc>
        <w:tc>
          <w:tcPr>
            <w:tcW w:w="0" w:type="auto"/>
            <w:vAlign w:val="center"/>
            <w:hideMark/>
          </w:tcPr>
          <w:p w14:paraId="76545E04" w14:textId="22243CA6" w:rsidR="00AD7DBF" w:rsidRPr="00F403F1" w:rsidRDefault="00AD7DBF" w:rsidP="001C38E1">
            <w:pPr>
              <w:spacing w:after="160" w:line="278" w:lineRule="auto"/>
            </w:pPr>
            <w:r w:rsidRPr="00F403F1">
              <w:t>&lt;.001</w:t>
            </w:r>
          </w:p>
        </w:tc>
      </w:tr>
      <w:tr w:rsidR="00AD7DBF" w:rsidRPr="00F403F1" w14:paraId="040A0732" w14:textId="77777777" w:rsidTr="00DD639C">
        <w:trPr>
          <w:tblCellSpacing w:w="15" w:type="dxa"/>
          <w:jc w:val="center"/>
        </w:trPr>
        <w:tc>
          <w:tcPr>
            <w:tcW w:w="0" w:type="auto"/>
            <w:vAlign w:val="center"/>
            <w:hideMark/>
          </w:tcPr>
          <w:p w14:paraId="47C69DE6" w14:textId="77777777" w:rsidR="00AD7DBF" w:rsidRPr="00F403F1" w:rsidRDefault="00AD7DBF" w:rsidP="001C38E1">
            <w:pPr>
              <w:spacing w:after="160" w:line="278" w:lineRule="auto"/>
            </w:pPr>
            <w:r w:rsidRPr="00F403F1">
              <w:t>LUS B-lines</w:t>
            </w:r>
          </w:p>
        </w:tc>
        <w:tc>
          <w:tcPr>
            <w:tcW w:w="0" w:type="auto"/>
            <w:vAlign w:val="center"/>
            <w:hideMark/>
          </w:tcPr>
          <w:p w14:paraId="29A4585F" w14:textId="77777777" w:rsidR="00AD7DBF" w:rsidRPr="00F403F1" w:rsidRDefault="00AD7DBF" w:rsidP="001C38E1">
            <w:pPr>
              <w:spacing w:after="160" w:line="278" w:lineRule="auto"/>
            </w:pPr>
            <w:r w:rsidRPr="00F403F1">
              <w:t>22.3 ± 11.4</w:t>
            </w:r>
          </w:p>
        </w:tc>
        <w:tc>
          <w:tcPr>
            <w:tcW w:w="0" w:type="auto"/>
            <w:vAlign w:val="center"/>
            <w:hideMark/>
          </w:tcPr>
          <w:p w14:paraId="20DF09DB" w14:textId="77777777" w:rsidR="00AD7DBF" w:rsidRPr="00F403F1" w:rsidRDefault="00AD7DBF" w:rsidP="001C38E1">
            <w:pPr>
              <w:spacing w:after="160" w:line="278" w:lineRule="auto"/>
            </w:pPr>
            <w:r w:rsidRPr="00F403F1">
              <w:t>28.6 ± 10.1</w:t>
            </w:r>
          </w:p>
        </w:tc>
        <w:tc>
          <w:tcPr>
            <w:tcW w:w="0" w:type="auto"/>
            <w:vAlign w:val="center"/>
            <w:hideMark/>
          </w:tcPr>
          <w:p w14:paraId="2789EC21" w14:textId="77777777" w:rsidR="00AD7DBF" w:rsidRPr="00F403F1" w:rsidRDefault="00AD7DBF" w:rsidP="001C38E1">
            <w:pPr>
              <w:spacing w:after="160" w:line="278" w:lineRule="auto"/>
            </w:pPr>
            <w:r w:rsidRPr="00F403F1">
              <w:t>15.4 ± 8.3</w:t>
            </w:r>
          </w:p>
        </w:tc>
        <w:tc>
          <w:tcPr>
            <w:tcW w:w="0" w:type="auto"/>
            <w:vAlign w:val="center"/>
            <w:hideMark/>
          </w:tcPr>
          <w:p w14:paraId="71347218" w14:textId="63376C97" w:rsidR="00AD7DBF" w:rsidRPr="00F403F1" w:rsidRDefault="00AD7DBF" w:rsidP="001C38E1">
            <w:pPr>
              <w:spacing w:after="160" w:line="278" w:lineRule="auto"/>
            </w:pPr>
            <w:r w:rsidRPr="00F403F1">
              <w:t>&lt;.001</w:t>
            </w:r>
          </w:p>
        </w:tc>
      </w:tr>
    </w:tbl>
    <w:p w14:paraId="0FC2C20A" w14:textId="77777777" w:rsidR="00AD7DBF" w:rsidRPr="006719D8" w:rsidRDefault="00AD7DBF" w:rsidP="00AD7DBF">
      <w:pPr>
        <w:spacing w:after="160" w:line="278" w:lineRule="auto"/>
      </w:pPr>
    </w:p>
    <w:p w14:paraId="67D8CB85" w14:textId="3C231B2C" w:rsidR="00645918" w:rsidRPr="006719D8" w:rsidRDefault="00645918" w:rsidP="00645918">
      <w:pPr>
        <w:spacing w:after="160" w:line="278" w:lineRule="auto"/>
        <w:rPr>
          <w:b/>
          <w:bCs/>
          <w:sz w:val="22"/>
          <w:szCs w:val="24"/>
        </w:rPr>
      </w:pPr>
      <w:r>
        <w:rPr>
          <w:b/>
          <w:bCs/>
          <w:sz w:val="22"/>
          <w:szCs w:val="24"/>
        </w:rPr>
        <w:t xml:space="preserve">3.3. </w:t>
      </w:r>
      <w:r w:rsidRPr="006719D8">
        <w:rPr>
          <w:b/>
          <w:bCs/>
          <w:sz w:val="22"/>
          <w:szCs w:val="24"/>
        </w:rPr>
        <w:t>Diagnostic Accuracy</w:t>
      </w:r>
    </w:p>
    <w:p w14:paraId="09A2C7E4" w14:textId="4D1672F1" w:rsidR="00B918FB" w:rsidRDefault="00645918" w:rsidP="00645918">
      <w:pPr>
        <w:jc w:val="both"/>
      </w:pPr>
      <w:r w:rsidRPr="00645918">
        <w:t>Both modalities demonstrated similar discriminative performance for detecting pulmonary congestion. The area under the ROC curve</w:t>
      </w:r>
      <w:r>
        <w:t xml:space="preserve"> (Figure 2)</w:t>
      </w:r>
      <w:r w:rsidRPr="00645918">
        <w:t xml:space="preserve"> was 0.831 for </w:t>
      </w:r>
      <w:proofErr w:type="spellStart"/>
      <w:r w:rsidRPr="00645918">
        <w:t>ReDS</w:t>
      </w:r>
      <w:proofErr w:type="spellEnd"/>
      <w:r w:rsidRPr="00645918">
        <w:t xml:space="preserve"> and 0.845 for LUS, with no significant difference between them, </w:t>
      </w:r>
      <w:r w:rsidR="000E02F0" w:rsidRPr="000E02F0">
        <w:rPr>
          <w:i/>
          <w:iCs/>
        </w:rPr>
        <w:t>P</w:t>
      </w:r>
      <w:r w:rsidR="000E02F0">
        <w:t xml:space="preserve"> </w:t>
      </w:r>
      <w:r w:rsidRPr="00645918">
        <w:t>=</w:t>
      </w:r>
      <w:r w:rsidR="000E02F0">
        <w:t xml:space="preserve"> </w:t>
      </w:r>
      <w:r w:rsidRPr="00645918">
        <w:t xml:space="preserve">.80. The ROC curves closely overlapped across most threshold ranges, indicating comparable sensitivity–specificity trade-offs. These findings support that </w:t>
      </w:r>
      <w:proofErr w:type="spellStart"/>
      <w:r w:rsidRPr="00645918">
        <w:t>ReDS</w:t>
      </w:r>
      <w:proofErr w:type="spellEnd"/>
      <w:r w:rsidRPr="00645918">
        <w:t xml:space="preserve"> and LUS provide similar overall diagnostic accuracy in this outpatient cohort, without clear superiority of one modality over the other.</w:t>
      </w:r>
    </w:p>
    <w:p w14:paraId="4279A1D7" w14:textId="00602C2C" w:rsidR="00645918" w:rsidRDefault="00645918" w:rsidP="001218E1">
      <w:r>
        <w:rPr>
          <w:noProof/>
        </w:rPr>
        <w:lastRenderedPageBreak/>
        <w:drawing>
          <wp:inline distT="0" distB="0" distL="0" distR="0" wp14:anchorId="048B4EA8" wp14:editId="773A6DF0">
            <wp:extent cx="5486400" cy="5486400"/>
            <wp:effectExtent l="0" t="0" r="0" b="0"/>
            <wp:docPr id="169111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19549" name="Picture 16911195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inline>
        </w:drawing>
      </w:r>
    </w:p>
    <w:p w14:paraId="52DF7E63" w14:textId="05A6F41F" w:rsidR="00645918" w:rsidRDefault="00645918" w:rsidP="001218E1">
      <w:pPr>
        <w:rPr>
          <w:b/>
          <w:bCs/>
        </w:rPr>
      </w:pPr>
      <w:r w:rsidRPr="006719D8">
        <w:rPr>
          <w:b/>
          <w:bCs/>
        </w:rPr>
        <w:t>Figure 2. ROC Curves</w:t>
      </w:r>
    </w:p>
    <w:p w14:paraId="5745A49F" w14:textId="659B89E7" w:rsidR="00645918" w:rsidRPr="00FF08E3" w:rsidRDefault="00FF08E3" w:rsidP="001218E1">
      <w:pPr>
        <w:rPr>
          <w:b/>
          <w:bCs/>
          <w:sz w:val="22"/>
          <w:szCs w:val="24"/>
        </w:rPr>
      </w:pPr>
      <w:r w:rsidRPr="00FF08E3">
        <w:rPr>
          <w:b/>
          <w:bCs/>
          <w:sz w:val="22"/>
          <w:szCs w:val="24"/>
        </w:rPr>
        <w:t>3.4. Threshold performance</w:t>
      </w:r>
    </w:p>
    <w:p w14:paraId="13156981" w14:textId="7B8D2EAF" w:rsidR="00FF08E3" w:rsidRPr="00FF08E3" w:rsidRDefault="00FF08E3" w:rsidP="0099200A">
      <w:pPr>
        <w:jc w:val="both"/>
      </w:pPr>
      <w:r w:rsidRPr="00FF08E3">
        <w:t xml:space="preserve">At the prespecified </w:t>
      </w:r>
      <w:proofErr w:type="spellStart"/>
      <w:r w:rsidRPr="00FF08E3">
        <w:t>ReDS</w:t>
      </w:r>
      <w:proofErr w:type="spellEnd"/>
      <w:r w:rsidRPr="00FF08E3">
        <w:t xml:space="preserve"> threshold of greater than 35 percent, sensitivity was 71 percent and specificity 81 percent. At the exploratory LUS cutoff of 24 B-lines or more, sensitivity was 70 percent and specificity 83 percent. Positive and negative predictive values were similar for both methods, and overall accuracy was identical at 75.9 percent.</w:t>
      </w:r>
      <w:r>
        <w:t xml:space="preserve"> This is detailed in Table 2.</w:t>
      </w:r>
    </w:p>
    <w:p w14:paraId="377D3642" w14:textId="77777777" w:rsidR="00FF08E3" w:rsidRPr="00FF08E3" w:rsidRDefault="00FF08E3" w:rsidP="0099200A">
      <w:pPr>
        <w:jc w:val="both"/>
      </w:pPr>
      <w:r w:rsidRPr="00FF08E3">
        <w:t>Likelihood ratios and diagnostic odds ratios were also comparable, with slightly higher rule-in performance for LUS. These findings indicate that, at clinically relevant thresholds, both tools perform similarly, with good specificity and moderate sensitivity in this outpatient population.</w:t>
      </w:r>
    </w:p>
    <w:p w14:paraId="7243CAEB" w14:textId="77777777" w:rsidR="00B452FE" w:rsidRDefault="00B452FE">
      <w:pPr>
        <w:rPr>
          <w:b/>
          <w:bCs/>
        </w:rPr>
      </w:pPr>
      <w:r>
        <w:rPr>
          <w:b/>
          <w:bCs/>
        </w:rPr>
        <w:br w:type="page"/>
      </w:r>
    </w:p>
    <w:p w14:paraId="54FE6512" w14:textId="5CF30641" w:rsidR="00FF08E3" w:rsidRPr="006719D8" w:rsidRDefault="00FF08E3" w:rsidP="00FF08E3">
      <w:r w:rsidRPr="006719D8">
        <w:rPr>
          <w:b/>
          <w:bCs/>
        </w:rPr>
        <w:lastRenderedPageBreak/>
        <w:t>Table 2. Diagnostic Performance</w:t>
      </w:r>
      <w:r w:rsidRPr="006719D8">
        <w:br/>
      </w:r>
    </w:p>
    <w:tbl>
      <w:tblPr>
        <w:tblpPr w:leftFromText="180" w:rightFromText="180" w:vertAnchor="text" w:tblpXSpec="center"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6"/>
        <w:gridCol w:w="2031"/>
        <w:gridCol w:w="2450"/>
      </w:tblGrid>
      <w:tr w:rsidR="00FF08E3" w:rsidRPr="00947666" w14:paraId="24194ECB" w14:textId="77777777" w:rsidTr="00DD639C">
        <w:trPr>
          <w:tblHeader/>
          <w:tblCellSpacing w:w="15" w:type="dxa"/>
        </w:trPr>
        <w:tc>
          <w:tcPr>
            <w:tcW w:w="0" w:type="auto"/>
            <w:vAlign w:val="center"/>
            <w:hideMark/>
          </w:tcPr>
          <w:p w14:paraId="3E783A88" w14:textId="77777777" w:rsidR="00FF08E3" w:rsidRPr="00947666" w:rsidRDefault="00FF08E3" w:rsidP="00FF08E3">
            <w:pPr>
              <w:spacing w:after="160" w:line="278" w:lineRule="auto"/>
              <w:rPr>
                <w:b/>
                <w:bCs/>
              </w:rPr>
            </w:pPr>
            <w:r w:rsidRPr="00947666">
              <w:rPr>
                <w:b/>
                <w:bCs/>
              </w:rPr>
              <w:t>Metric</w:t>
            </w:r>
          </w:p>
        </w:tc>
        <w:tc>
          <w:tcPr>
            <w:tcW w:w="0" w:type="auto"/>
            <w:vAlign w:val="center"/>
            <w:hideMark/>
          </w:tcPr>
          <w:p w14:paraId="256A48D4" w14:textId="77777777" w:rsidR="00FF08E3" w:rsidRPr="00947666" w:rsidRDefault="00FF08E3" w:rsidP="00FF08E3">
            <w:pPr>
              <w:spacing w:after="160" w:line="278" w:lineRule="auto"/>
              <w:rPr>
                <w:b/>
                <w:bCs/>
              </w:rPr>
            </w:pPr>
            <w:proofErr w:type="spellStart"/>
            <w:r w:rsidRPr="00947666">
              <w:rPr>
                <w:b/>
                <w:bCs/>
              </w:rPr>
              <w:t>ReDS</w:t>
            </w:r>
            <w:proofErr w:type="spellEnd"/>
            <w:r w:rsidRPr="00947666">
              <w:rPr>
                <w:b/>
                <w:bCs/>
              </w:rPr>
              <w:t xml:space="preserve"> &gt;35% (95% CI)</w:t>
            </w:r>
          </w:p>
        </w:tc>
        <w:tc>
          <w:tcPr>
            <w:tcW w:w="0" w:type="auto"/>
            <w:vAlign w:val="center"/>
            <w:hideMark/>
          </w:tcPr>
          <w:p w14:paraId="7978A330" w14:textId="77777777" w:rsidR="00FF08E3" w:rsidRPr="00947666" w:rsidRDefault="00FF08E3" w:rsidP="00FF08E3">
            <w:pPr>
              <w:spacing w:after="160" w:line="278" w:lineRule="auto"/>
              <w:rPr>
                <w:b/>
                <w:bCs/>
              </w:rPr>
            </w:pPr>
            <w:r w:rsidRPr="00947666">
              <w:rPr>
                <w:b/>
                <w:bCs/>
              </w:rPr>
              <w:t>LUS ≥24 B-lines (95% CI)</w:t>
            </w:r>
          </w:p>
        </w:tc>
      </w:tr>
      <w:tr w:rsidR="00FF08E3" w:rsidRPr="00947666" w14:paraId="3088DA6F" w14:textId="77777777" w:rsidTr="00DD639C">
        <w:trPr>
          <w:tblCellSpacing w:w="15" w:type="dxa"/>
        </w:trPr>
        <w:tc>
          <w:tcPr>
            <w:tcW w:w="0" w:type="auto"/>
            <w:vAlign w:val="center"/>
            <w:hideMark/>
          </w:tcPr>
          <w:p w14:paraId="79F07A04" w14:textId="77777777" w:rsidR="00FF08E3" w:rsidRPr="00947666" w:rsidRDefault="00FF08E3" w:rsidP="00FF08E3">
            <w:pPr>
              <w:spacing w:after="160" w:line="278" w:lineRule="auto"/>
            </w:pPr>
            <w:r w:rsidRPr="00947666">
              <w:t>Sensitivity</w:t>
            </w:r>
          </w:p>
        </w:tc>
        <w:tc>
          <w:tcPr>
            <w:tcW w:w="0" w:type="auto"/>
            <w:vAlign w:val="center"/>
            <w:hideMark/>
          </w:tcPr>
          <w:p w14:paraId="1985D51B" w14:textId="77777777" w:rsidR="00FF08E3" w:rsidRPr="00947666" w:rsidRDefault="00FF08E3" w:rsidP="00FF08E3">
            <w:pPr>
              <w:spacing w:after="160" w:line="278" w:lineRule="auto"/>
            </w:pPr>
            <w:r w:rsidRPr="00947666">
              <w:t>71.2% (58.1–81.8)</w:t>
            </w:r>
          </w:p>
        </w:tc>
        <w:tc>
          <w:tcPr>
            <w:tcW w:w="0" w:type="auto"/>
            <w:vAlign w:val="center"/>
            <w:hideMark/>
          </w:tcPr>
          <w:p w14:paraId="3E4D24C8" w14:textId="77777777" w:rsidR="00FF08E3" w:rsidRPr="00947666" w:rsidRDefault="00FF08E3" w:rsidP="00FF08E3">
            <w:pPr>
              <w:spacing w:after="160" w:line="278" w:lineRule="auto"/>
            </w:pPr>
            <w:r w:rsidRPr="00947666">
              <w:t>69.5% (56.0–80.8)</w:t>
            </w:r>
          </w:p>
        </w:tc>
      </w:tr>
      <w:tr w:rsidR="00FF08E3" w:rsidRPr="00947666" w14:paraId="210E22FA" w14:textId="77777777" w:rsidTr="00DD639C">
        <w:trPr>
          <w:tblCellSpacing w:w="15" w:type="dxa"/>
        </w:trPr>
        <w:tc>
          <w:tcPr>
            <w:tcW w:w="0" w:type="auto"/>
            <w:vAlign w:val="center"/>
            <w:hideMark/>
          </w:tcPr>
          <w:p w14:paraId="0D309CA2" w14:textId="77777777" w:rsidR="00FF08E3" w:rsidRPr="00947666" w:rsidRDefault="00FF08E3" w:rsidP="00FF08E3">
            <w:pPr>
              <w:spacing w:after="160" w:line="278" w:lineRule="auto"/>
            </w:pPr>
            <w:r w:rsidRPr="00947666">
              <w:t>Specificity</w:t>
            </w:r>
          </w:p>
        </w:tc>
        <w:tc>
          <w:tcPr>
            <w:tcW w:w="0" w:type="auto"/>
            <w:vAlign w:val="center"/>
            <w:hideMark/>
          </w:tcPr>
          <w:p w14:paraId="1CF5B132" w14:textId="77777777" w:rsidR="00FF08E3" w:rsidRPr="00947666" w:rsidRDefault="00FF08E3" w:rsidP="00FF08E3">
            <w:pPr>
              <w:spacing w:after="160" w:line="278" w:lineRule="auto"/>
            </w:pPr>
            <w:r w:rsidRPr="00947666">
              <w:t>81.1% (68.0–90.0)</w:t>
            </w:r>
          </w:p>
        </w:tc>
        <w:tc>
          <w:tcPr>
            <w:tcW w:w="0" w:type="auto"/>
            <w:vAlign w:val="center"/>
            <w:hideMark/>
          </w:tcPr>
          <w:p w14:paraId="189B8370" w14:textId="77777777" w:rsidR="00FF08E3" w:rsidRPr="00947666" w:rsidRDefault="00FF08E3" w:rsidP="00FF08E3">
            <w:pPr>
              <w:spacing w:after="160" w:line="278" w:lineRule="auto"/>
            </w:pPr>
            <w:r w:rsidRPr="00947666">
              <w:t>83.0% (70.2–92.0)</w:t>
            </w:r>
          </w:p>
        </w:tc>
      </w:tr>
      <w:tr w:rsidR="00FF08E3" w:rsidRPr="00947666" w14:paraId="27595CD9" w14:textId="77777777" w:rsidTr="00DD639C">
        <w:trPr>
          <w:tblCellSpacing w:w="15" w:type="dxa"/>
        </w:trPr>
        <w:tc>
          <w:tcPr>
            <w:tcW w:w="0" w:type="auto"/>
            <w:vAlign w:val="center"/>
            <w:hideMark/>
          </w:tcPr>
          <w:p w14:paraId="366088A5" w14:textId="77777777" w:rsidR="00FF08E3" w:rsidRPr="00947666" w:rsidRDefault="00FF08E3" w:rsidP="00FF08E3">
            <w:pPr>
              <w:spacing w:after="160" w:line="278" w:lineRule="auto"/>
            </w:pPr>
            <w:r w:rsidRPr="00947666">
              <w:t>PPV</w:t>
            </w:r>
          </w:p>
        </w:tc>
        <w:tc>
          <w:tcPr>
            <w:tcW w:w="0" w:type="auto"/>
            <w:vAlign w:val="center"/>
            <w:hideMark/>
          </w:tcPr>
          <w:p w14:paraId="3066E1C8" w14:textId="77777777" w:rsidR="00FF08E3" w:rsidRPr="00947666" w:rsidRDefault="00FF08E3" w:rsidP="00FF08E3">
            <w:pPr>
              <w:spacing w:after="160" w:line="278" w:lineRule="auto"/>
            </w:pPr>
            <w:r w:rsidRPr="00947666">
              <w:t>80.8% (67.5–90.4)</w:t>
            </w:r>
          </w:p>
        </w:tc>
        <w:tc>
          <w:tcPr>
            <w:tcW w:w="0" w:type="auto"/>
            <w:vAlign w:val="center"/>
            <w:hideMark/>
          </w:tcPr>
          <w:p w14:paraId="75F08634" w14:textId="77777777" w:rsidR="00FF08E3" w:rsidRPr="00947666" w:rsidRDefault="00FF08E3" w:rsidP="00FF08E3">
            <w:pPr>
              <w:spacing w:after="160" w:line="278" w:lineRule="auto"/>
            </w:pPr>
            <w:r w:rsidRPr="00947666">
              <w:t>82.0% (68.6–91.4)</w:t>
            </w:r>
          </w:p>
        </w:tc>
      </w:tr>
      <w:tr w:rsidR="00FF08E3" w:rsidRPr="00947666" w14:paraId="72D44995" w14:textId="77777777" w:rsidTr="00DD639C">
        <w:trPr>
          <w:tblCellSpacing w:w="15" w:type="dxa"/>
        </w:trPr>
        <w:tc>
          <w:tcPr>
            <w:tcW w:w="0" w:type="auto"/>
            <w:vAlign w:val="center"/>
            <w:hideMark/>
          </w:tcPr>
          <w:p w14:paraId="2A4BB04C" w14:textId="77777777" w:rsidR="00FF08E3" w:rsidRPr="00947666" w:rsidRDefault="00FF08E3" w:rsidP="00FF08E3">
            <w:pPr>
              <w:spacing w:after="160" w:line="278" w:lineRule="auto"/>
            </w:pPr>
            <w:r w:rsidRPr="00947666">
              <w:t>NPV</w:t>
            </w:r>
          </w:p>
        </w:tc>
        <w:tc>
          <w:tcPr>
            <w:tcW w:w="0" w:type="auto"/>
            <w:vAlign w:val="center"/>
            <w:hideMark/>
          </w:tcPr>
          <w:p w14:paraId="34B727AE" w14:textId="77777777" w:rsidR="00FF08E3" w:rsidRPr="00947666" w:rsidRDefault="00FF08E3" w:rsidP="00FF08E3">
            <w:pPr>
              <w:spacing w:after="160" w:line="278" w:lineRule="auto"/>
            </w:pPr>
            <w:r w:rsidRPr="00947666">
              <w:t>71.7% (58.6–82.5)</w:t>
            </w:r>
          </w:p>
        </w:tc>
        <w:tc>
          <w:tcPr>
            <w:tcW w:w="0" w:type="auto"/>
            <w:vAlign w:val="center"/>
            <w:hideMark/>
          </w:tcPr>
          <w:p w14:paraId="717A1068" w14:textId="77777777" w:rsidR="00FF08E3" w:rsidRPr="00947666" w:rsidRDefault="00FF08E3" w:rsidP="00FF08E3">
            <w:pPr>
              <w:spacing w:after="160" w:line="278" w:lineRule="auto"/>
            </w:pPr>
            <w:r w:rsidRPr="00947666">
              <w:t>71.0% (57.9–82.2)</w:t>
            </w:r>
          </w:p>
        </w:tc>
      </w:tr>
      <w:tr w:rsidR="00FF08E3" w:rsidRPr="00947666" w14:paraId="506B8679" w14:textId="77777777" w:rsidTr="00DD639C">
        <w:trPr>
          <w:tblCellSpacing w:w="15" w:type="dxa"/>
        </w:trPr>
        <w:tc>
          <w:tcPr>
            <w:tcW w:w="0" w:type="auto"/>
            <w:vAlign w:val="center"/>
            <w:hideMark/>
          </w:tcPr>
          <w:p w14:paraId="5517D73B" w14:textId="77777777" w:rsidR="00FF08E3" w:rsidRPr="00947666" w:rsidRDefault="00FF08E3" w:rsidP="00FF08E3">
            <w:pPr>
              <w:spacing w:after="160" w:line="278" w:lineRule="auto"/>
            </w:pPr>
            <w:r w:rsidRPr="00947666">
              <w:t>Accuracy</w:t>
            </w:r>
          </w:p>
        </w:tc>
        <w:tc>
          <w:tcPr>
            <w:tcW w:w="0" w:type="auto"/>
            <w:vAlign w:val="center"/>
            <w:hideMark/>
          </w:tcPr>
          <w:p w14:paraId="0EA8E740" w14:textId="77777777" w:rsidR="00FF08E3" w:rsidRPr="00947666" w:rsidRDefault="00FF08E3" w:rsidP="00FF08E3">
            <w:pPr>
              <w:spacing w:after="160" w:line="278" w:lineRule="auto"/>
            </w:pPr>
            <w:r w:rsidRPr="00947666">
              <w:t>75.9%</w:t>
            </w:r>
          </w:p>
        </w:tc>
        <w:tc>
          <w:tcPr>
            <w:tcW w:w="0" w:type="auto"/>
            <w:vAlign w:val="center"/>
            <w:hideMark/>
          </w:tcPr>
          <w:p w14:paraId="00BC3C8C" w14:textId="77777777" w:rsidR="00FF08E3" w:rsidRPr="00947666" w:rsidRDefault="00FF08E3" w:rsidP="00FF08E3">
            <w:pPr>
              <w:spacing w:after="160" w:line="278" w:lineRule="auto"/>
            </w:pPr>
            <w:r w:rsidRPr="00947666">
              <w:t>75.9%</w:t>
            </w:r>
          </w:p>
        </w:tc>
      </w:tr>
      <w:tr w:rsidR="00FF08E3" w:rsidRPr="00947666" w14:paraId="25E95BF6" w14:textId="77777777" w:rsidTr="00DD639C">
        <w:trPr>
          <w:tblCellSpacing w:w="15" w:type="dxa"/>
        </w:trPr>
        <w:tc>
          <w:tcPr>
            <w:tcW w:w="0" w:type="auto"/>
            <w:vAlign w:val="center"/>
            <w:hideMark/>
          </w:tcPr>
          <w:p w14:paraId="4812B1F7" w14:textId="77777777" w:rsidR="00FF08E3" w:rsidRPr="00947666" w:rsidRDefault="00FF08E3" w:rsidP="00FF08E3">
            <w:pPr>
              <w:spacing w:after="160" w:line="278" w:lineRule="auto"/>
            </w:pPr>
            <w:r w:rsidRPr="00947666">
              <w:t>LR+</w:t>
            </w:r>
          </w:p>
        </w:tc>
        <w:tc>
          <w:tcPr>
            <w:tcW w:w="0" w:type="auto"/>
            <w:vAlign w:val="center"/>
            <w:hideMark/>
          </w:tcPr>
          <w:p w14:paraId="10422627" w14:textId="77777777" w:rsidR="00FF08E3" w:rsidRPr="00947666" w:rsidRDefault="00FF08E3" w:rsidP="00FF08E3">
            <w:pPr>
              <w:spacing w:after="160" w:line="278" w:lineRule="auto"/>
            </w:pPr>
            <w:r w:rsidRPr="00947666">
              <w:t>3.77</w:t>
            </w:r>
          </w:p>
        </w:tc>
        <w:tc>
          <w:tcPr>
            <w:tcW w:w="0" w:type="auto"/>
            <w:vAlign w:val="center"/>
            <w:hideMark/>
          </w:tcPr>
          <w:p w14:paraId="54BE5C57" w14:textId="77777777" w:rsidR="00FF08E3" w:rsidRPr="00947666" w:rsidRDefault="00FF08E3" w:rsidP="00FF08E3">
            <w:pPr>
              <w:spacing w:after="160" w:line="278" w:lineRule="auto"/>
            </w:pPr>
            <w:r w:rsidRPr="00947666">
              <w:t>4.08</w:t>
            </w:r>
          </w:p>
        </w:tc>
      </w:tr>
      <w:tr w:rsidR="00FF08E3" w:rsidRPr="00947666" w14:paraId="1CF18765" w14:textId="77777777" w:rsidTr="00DD639C">
        <w:trPr>
          <w:tblCellSpacing w:w="15" w:type="dxa"/>
        </w:trPr>
        <w:tc>
          <w:tcPr>
            <w:tcW w:w="0" w:type="auto"/>
            <w:vAlign w:val="center"/>
            <w:hideMark/>
          </w:tcPr>
          <w:p w14:paraId="0479A47E" w14:textId="77777777" w:rsidR="00FF08E3" w:rsidRPr="00947666" w:rsidRDefault="00FF08E3" w:rsidP="00FF08E3">
            <w:pPr>
              <w:spacing w:after="160" w:line="278" w:lineRule="auto"/>
            </w:pPr>
            <w:r w:rsidRPr="00947666">
              <w:t>LR−</w:t>
            </w:r>
          </w:p>
        </w:tc>
        <w:tc>
          <w:tcPr>
            <w:tcW w:w="0" w:type="auto"/>
            <w:vAlign w:val="center"/>
            <w:hideMark/>
          </w:tcPr>
          <w:p w14:paraId="49A82B1F" w14:textId="77777777" w:rsidR="00FF08E3" w:rsidRPr="00947666" w:rsidRDefault="00FF08E3" w:rsidP="00FF08E3">
            <w:pPr>
              <w:spacing w:after="160" w:line="278" w:lineRule="auto"/>
            </w:pPr>
            <w:r w:rsidRPr="00947666">
              <w:t>0.36</w:t>
            </w:r>
          </w:p>
        </w:tc>
        <w:tc>
          <w:tcPr>
            <w:tcW w:w="0" w:type="auto"/>
            <w:vAlign w:val="center"/>
            <w:hideMark/>
          </w:tcPr>
          <w:p w14:paraId="538B2AB0" w14:textId="77777777" w:rsidR="00FF08E3" w:rsidRPr="00947666" w:rsidRDefault="00FF08E3" w:rsidP="00FF08E3">
            <w:pPr>
              <w:spacing w:after="160" w:line="278" w:lineRule="auto"/>
            </w:pPr>
            <w:r w:rsidRPr="00947666">
              <w:t>0.37</w:t>
            </w:r>
          </w:p>
        </w:tc>
      </w:tr>
      <w:tr w:rsidR="00FF08E3" w:rsidRPr="00947666" w14:paraId="7209D35B" w14:textId="77777777" w:rsidTr="00DD639C">
        <w:trPr>
          <w:tblCellSpacing w:w="15" w:type="dxa"/>
        </w:trPr>
        <w:tc>
          <w:tcPr>
            <w:tcW w:w="0" w:type="auto"/>
            <w:vAlign w:val="center"/>
            <w:hideMark/>
          </w:tcPr>
          <w:p w14:paraId="78E3DEEB" w14:textId="77777777" w:rsidR="00FF08E3" w:rsidRPr="00947666" w:rsidRDefault="00FF08E3" w:rsidP="00FF08E3">
            <w:pPr>
              <w:spacing w:after="160" w:line="278" w:lineRule="auto"/>
            </w:pPr>
            <w:r w:rsidRPr="00947666">
              <w:t>DOR</w:t>
            </w:r>
          </w:p>
        </w:tc>
        <w:tc>
          <w:tcPr>
            <w:tcW w:w="0" w:type="auto"/>
            <w:vAlign w:val="center"/>
            <w:hideMark/>
          </w:tcPr>
          <w:p w14:paraId="58EBC42C" w14:textId="77777777" w:rsidR="00FF08E3" w:rsidRPr="00947666" w:rsidRDefault="00FF08E3" w:rsidP="00FF08E3">
            <w:pPr>
              <w:spacing w:after="160" w:line="278" w:lineRule="auto"/>
            </w:pPr>
            <w:r w:rsidRPr="00947666">
              <w:t>10.6</w:t>
            </w:r>
          </w:p>
        </w:tc>
        <w:tc>
          <w:tcPr>
            <w:tcW w:w="0" w:type="auto"/>
            <w:vAlign w:val="center"/>
            <w:hideMark/>
          </w:tcPr>
          <w:p w14:paraId="67D1ADEA" w14:textId="77777777" w:rsidR="00FF08E3" w:rsidRPr="00947666" w:rsidRDefault="00FF08E3" w:rsidP="00FF08E3">
            <w:pPr>
              <w:spacing w:after="160" w:line="278" w:lineRule="auto"/>
            </w:pPr>
            <w:r w:rsidRPr="00947666">
              <w:t>11.1</w:t>
            </w:r>
          </w:p>
        </w:tc>
      </w:tr>
    </w:tbl>
    <w:p w14:paraId="5DD37C6B" w14:textId="1EE437AF" w:rsidR="00FF08E3" w:rsidRDefault="00FF08E3" w:rsidP="001218E1">
      <w:r>
        <w:br w:type="textWrapping" w:clear="all"/>
      </w:r>
    </w:p>
    <w:p w14:paraId="3CDE0682" w14:textId="190EA80F" w:rsidR="00FF08E3" w:rsidRPr="00DD639C" w:rsidRDefault="00DD639C" w:rsidP="001218E1">
      <w:pPr>
        <w:rPr>
          <w:b/>
          <w:bCs/>
          <w:sz w:val="22"/>
          <w:szCs w:val="24"/>
        </w:rPr>
      </w:pPr>
      <w:r w:rsidRPr="00DD639C">
        <w:rPr>
          <w:b/>
          <w:bCs/>
          <w:sz w:val="22"/>
          <w:szCs w:val="24"/>
        </w:rPr>
        <w:t>3.5. Concordance</w:t>
      </w:r>
    </w:p>
    <w:p w14:paraId="7D969CA8" w14:textId="77777777" w:rsidR="00DD639C" w:rsidRPr="00DD639C" w:rsidRDefault="00DD639C" w:rsidP="0099200A">
      <w:pPr>
        <w:jc w:val="both"/>
      </w:pPr>
      <w:proofErr w:type="spellStart"/>
      <w:r w:rsidRPr="00DD639C">
        <w:t>ReDS</w:t>
      </w:r>
      <w:proofErr w:type="spellEnd"/>
      <w:r w:rsidRPr="00DD639C">
        <w:t xml:space="preserve"> and LUS agreed in 93 of 112 patients, yielding an overall concordance of 83.0 percent. Both tests were positive in 36 patients and negative in 57 patients. Discordant results occurred in 19 cases, with 6 patients classified as </w:t>
      </w:r>
      <w:proofErr w:type="spellStart"/>
      <w:r w:rsidRPr="00DD639C">
        <w:t>ReDS</w:t>
      </w:r>
      <w:proofErr w:type="spellEnd"/>
      <w:r w:rsidRPr="00DD639C">
        <w:t xml:space="preserve"> positive but LUS negative, and 13 classified as </w:t>
      </w:r>
      <w:proofErr w:type="spellStart"/>
      <w:r w:rsidRPr="00DD639C">
        <w:t>ReDS</w:t>
      </w:r>
      <w:proofErr w:type="spellEnd"/>
      <w:r w:rsidRPr="00DD639C">
        <w:t xml:space="preserve"> negative but LUS positive.</w:t>
      </w:r>
    </w:p>
    <w:p w14:paraId="1604DEEE" w14:textId="05BD878B" w:rsidR="00DD639C" w:rsidRPr="00DD639C" w:rsidRDefault="00DD639C" w:rsidP="0099200A">
      <w:pPr>
        <w:jc w:val="both"/>
      </w:pPr>
      <w:r w:rsidRPr="00DD639C">
        <w:t xml:space="preserve">Inter-method agreement was substantial, with a Cohen kappa of 0.65. McNemar testing showed no significant asymmetry between discordant pairs, </w:t>
      </w:r>
      <w:r w:rsidR="000E02F0" w:rsidRPr="000E02F0">
        <w:rPr>
          <w:i/>
          <w:iCs/>
        </w:rPr>
        <w:t>P</w:t>
      </w:r>
      <w:r w:rsidR="000E02F0">
        <w:t xml:space="preserve"> </w:t>
      </w:r>
      <w:r w:rsidRPr="00DD639C">
        <w:t>=</w:t>
      </w:r>
      <w:r w:rsidR="000E02F0">
        <w:t xml:space="preserve"> </w:t>
      </w:r>
      <w:r w:rsidRPr="00DD639C">
        <w:t>.16</w:t>
      </w:r>
      <w:r>
        <w:t xml:space="preserve"> (Table 3)</w:t>
      </w:r>
      <w:r w:rsidRPr="00DD639C">
        <w:t>. These findings indicate consistent classification across modalities, with a moderate proportion of clinically meaningful discordance.</w:t>
      </w:r>
    </w:p>
    <w:p w14:paraId="21180FCD" w14:textId="77777777" w:rsidR="00DD639C" w:rsidRPr="006719D8" w:rsidRDefault="00DD639C" w:rsidP="00DD639C">
      <w:r w:rsidRPr="006719D8">
        <w:rPr>
          <w:b/>
          <w:bCs/>
        </w:rPr>
        <w:t>Table 3. Agreement Matrix</w:t>
      </w:r>
      <w:r w:rsidRPr="006719D8">
        <w:br/>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8"/>
        <w:gridCol w:w="1303"/>
        <w:gridCol w:w="1370"/>
        <w:gridCol w:w="573"/>
      </w:tblGrid>
      <w:tr w:rsidR="00DD639C" w:rsidRPr="00462A5D" w14:paraId="1DC36D96" w14:textId="77777777" w:rsidTr="00DD639C">
        <w:trPr>
          <w:tblHeader/>
          <w:tblCellSpacing w:w="15" w:type="dxa"/>
          <w:jc w:val="center"/>
        </w:trPr>
        <w:tc>
          <w:tcPr>
            <w:tcW w:w="0" w:type="auto"/>
            <w:vAlign w:val="center"/>
            <w:hideMark/>
          </w:tcPr>
          <w:p w14:paraId="3322E219" w14:textId="77777777" w:rsidR="00DD639C" w:rsidRPr="00462A5D" w:rsidRDefault="00DD639C" w:rsidP="001C38E1">
            <w:pPr>
              <w:spacing w:after="160" w:line="278" w:lineRule="auto"/>
            </w:pPr>
          </w:p>
        </w:tc>
        <w:tc>
          <w:tcPr>
            <w:tcW w:w="0" w:type="auto"/>
            <w:vAlign w:val="center"/>
            <w:hideMark/>
          </w:tcPr>
          <w:p w14:paraId="5C489C84" w14:textId="77777777" w:rsidR="00DD639C" w:rsidRPr="00462A5D" w:rsidRDefault="00DD639C" w:rsidP="001C38E1">
            <w:pPr>
              <w:spacing w:after="160" w:line="278" w:lineRule="auto"/>
              <w:rPr>
                <w:b/>
                <w:bCs/>
              </w:rPr>
            </w:pPr>
            <w:r w:rsidRPr="00462A5D">
              <w:rPr>
                <w:b/>
                <w:bCs/>
              </w:rPr>
              <w:t>LUS Positive</w:t>
            </w:r>
          </w:p>
        </w:tc>
        <w:tc>
          <w:tcPr>
            <w:tcW w:w="0" w:type="auto"/>
            <w:vAlign w:val="center"/>
            <w:hideMark/>
          </w:tcPr>
          <w:p w14:paraId="68A96013" w14:textId="77777777" w:rsidR="00DD639C" w:rsidRPr="00462A5D" w:rsidRDefault="00DD639C" w:rsidP="001C38E1">
            <w:pPr>
              <w:spacing w:after="160" w:line="278" w:lineRule="auto"/>
              <w:rPr>
                <w:b/>
                <w:bCs/>
              </w:rPr>
            </w:pPr>
            <w:r w:rsidRPr="00462A5D">
              <w:rPr>
                <w:b/>
                <w:bCs/>
              </w:rPr>
              <w:t>LUS Negative</w:t>
            </w:r>
          </w:p>
        </w:tc>
        <w:tc>
          <w:tcPr>
            <w:tcW w:w="0" w:type="auto"/>
            <w:vAlign w:val="center"/>
            <w:hideMark/>
          </w:tcPr>
          <w:p w14:paraId="44D796DD" w14:textId="77777777" w:rsidR="00DD639C" w:rsidRPr="00462A5D" w:rsidRDefault="00DD639C" w:rsidP="001C38E1">
            <w:pPr>
              <w:spacing w:after="160" w:line="278" w:lineRule="auto"/>
              <w:rPr>
                <w:b/>
                <w:bCs/>
              </w:rPr>
            </w:pPr>
            <w:r w:rsidRPr="00462A5D">
              <w:rPr>
                <w:b/>
                <w:bCs/>
              </w:rPr>
              <w:t>Total</w:t>
            </w:r>
          </w:p>
        </w:tc>
      </w:tr>
      <w:tr w:rsidR="00DD639C" w:rsidRPr="00462A5D" w14:paraId="108C6F30" w14:textId="77777777" w:rsidTr="00DD639C">
        <w:trPr>
          <w:tblCellSpacing w:w="15" w:type="dxa"/>
          <w:jc w:val="center"/>
        </w:trPr>
        <w:tc>
          <w:tcPr>
            <w:tcW w:w="0" w:type="auto"/>
            <w:vAlign w:val="center"/>
            <w:hideMark/>
          </w:tcPr>
          <w:p w14:paraId="6D4FCA0A" w14:textId="77777777" w:rsidR="00DD639C" w:rsidRPr="00462A5D" w:rsidRDefault="00DD639C" w:rsidP="001C38E1">
            <w:pPr>
              <w:spacing w:after="160" w:line="278" w:lineRule="auto"/>
            </w:pPr>
            <w:proofErr w:type="spellStart"/>
            <w:r w:rsidRPr="00462A5D">
              <w:rPr>
                <w:b/>
                <w:bCs/>
              </w:rPr>
              <w:t>ReDS</w:t>
            </w:r>
            <w:proofErr w:type="spellEnd"/>
            <w:r w:rsidRPr="00462A5D">
              <w:rPr>
                <w:b/>
                <w:bCs/>
              </w:rPr>
              <w:t xml:space="preserve"> Positive</w:t>
            </w:r>
          </w:p>
        </w:tc>
        <w:tc>
          <w:tcPr>
            <w:tcW w:w="0" w:type="auto"/>
            <w:vAlign w:val="center"/>
            <w:hideMark/>
          </w:tcPr>
          <w:p w14:paraId="2906C477" w14:textId="77777777" w:rsidR="00DD639C" w:rsidRPr="00462A5D" w:rsidRDefault="00DD639C" w:rsidP="001C38E1">
            <w:pPr>
              <w:spacing w:after="160" w:line="278" w:lineRule="auto"/>
            </w:pPr>
            <w:r w:rsidRPr="00462A5D">
              <w:t>36</w:t>
            </w:r>
          </w:p>
        </w:tc>
        <w:tc>
          <w:tcPr>
            <w:tcW w:w="0" w:type="auto"/>
            <w:vAlign w:val="center"/>
            <w:hideMark/>
          </w:tcPr>
          <w:p w14:paraId="03ABD330" w14:textId="77777777" w:rsidR="00DD639C" w:rsidRPr="00462A5D" w:rsidRDefault="00DD639C" w:rsidP="001C38E1">
            <w:pPr>
              <w:spacing w:after="160" w:line="278" w:lineRule="auto"/>
            </w:pPr>
            <w:r w:rsidRPr="00462A5D">
              <w:t>6</w:t>
            </w:r>
          </w:p>
        </w:tc>
        <w:tc>
          <w:tcPr>
            <w:tcW w:w="0" w:type="auto"/>
            <w:vAlign w:val="center"/>
            <w:hideMark/>
          </w:tcPr>
          <w:p w14:paraId="71D196A0" w14:textId="77777777" w:rsidR="00DD639C" w:rsidRPr="00462A5D" w:rsidRDefault="00DD639C" w:rsidP="001C38E1">
            <w:pPr>
              <w:spacing w:after="160" w:line="278" w:lineRule="auto"/>
            </w:pPr>
            <w:r w:rsidRPr="00462A5D">
              <w:t>42</w:t>
            </w:r>
          </w:p>
        </w:tc>
      </w:tr>
      <w:tr w:rsidR="00DD639C" w:rsidRPr="00462A5D" w14:paraId="7AC1FF8D" w14:textId="77777777" w:rsidTr="00DD639C">
        <w:trPr>
          <w:tblCellSpacing w:w="15" w:type="dxa"/>
          <w:jc w:val="center"/>
        </w:trPr>
        <w:tc>
          <w:tcPr>
            <w:tcW w:w="0" w:type="auto"/>
            <w:vAlign w:val="center"/>
            <w:hideMark/>
          </w:tcPr>
          <w:p w14:paraId="7692500A" w14:textId="77777777" w:rsidR="00DD639C" w:rsidRPr="00462A5D" w:rsidRDefault="00DD639C" w:rsidP="001C38E1">
            <w:pPr>
              <w:spacing w:after="160" w:line="278" w:lineRule="auto"/>
            </w:pPr>
            <w:proofErr w:type="spellStart"/>
            <w:r w:rsidRPr="00462A5D">
              <w:rPr>
                <w:b/>
                <w:bCs/>
              </w:rPr>
              <w:t>ReDS</w:t>
            </w:r>
            <w:proofErr w:type="spellEnd"/>
            <w:r w:rsidRPr="00462A5D">
              <w:rPr>
                <w:b/>
                <w:bCs/>
              </w:rPr>
              <w:t xml:space="preserve"> Negative</w:t>
            </w:r>
          </w:p>
        </w:tc>
        <w:tc>
          <w:tcPr>
            <w:tcW w:w="0" w:type="auto"/>
            <w:vAlign w:val="center"/>
            <w:hideMark/>
          </w:tcPr>
          <w:p w14:paraId="66157409" w14:textId="77777777" w:rsidR="00DD639C" w:rsidRPr="00462A5D" w:rsidRDefault="00DD639C" w:rsidP="001C38E1">
            <w:pPr>
              <w:spacing w:after="160" w:line="278" w:lineRule="auto"/>
            </w:pPr>
            <w:r w:rsidRPr="00462A5D">
              <w:t>13</w:t>
            </w:r>
          </w:p>
        </w:tc>
        <w:tc>
          <w:tcPr>
            <w:tcW w:w="0" w:type="auto"/>
            <w:vAlign w:val="center"/>
            <w:hideMark/>
          </w:tcPr>
          <w:p w14:paraId="60116664" w14:textId="77777777" w:rsidR="00DD639C" w:rsidRPr="00462A5D" w:rsidRDefault="00DD639C" w:rsidP="001C38E1">
            <w:pPr>
              <w:spacing w:after="160" w:line="278" w:lineRule="auto"/>
            </w:pPr>
            <w:r w:rsidRPr="00462A5D">
              <w:t>57</w:t>
            </w:r>
          </w:p>
        </w:tc>
        <w:tc>
          <w:tcPr>
            <w:tcW w:w="0" w:type="auto"/>
            <w:vAlign w:val="center"/>
            <w:hideMark/>
          </w:tcPr>
          <w:p w14:paraId="16920477" w14:textId="77777777" w:rsidR="00DD639C" w:rsidRPr="00462A5D" w:rsidRDefault="00DD639C" w:rsidP="001C38E1">
            <w:pPr>
              <w:spacing w:after="160" w:line="278" w:lineRule="auto"/>
            </w:pPr>
            <w:r w:rsidRPr="00462A5D">
              <w:t>70</w:t>
            </w:r>
          </w:p>
        </w:tc>
      </w:tr>
      <w:tr w:rsidR="00DD639C" w:rsidRPr="00462A5D" w14:paraId="5E022CE8" w14:textId="77777777" w:rsidTr="00DD639C">
        <w:trPr>
          <w:tblCellSpacing w:w="15" w:type="dxa"/>
          <w:jc w:val="center"/>
        </w:trPr>
        <w:tc>
          <w:tcPr>
            <w:tcW w:w="0" w:type="auto"/>
            <w:vAlign w:val="center"/>
            <w:hideMark/>
          </w:tcPr>
          <w:p w14:paraId="7F75B882" w14:textId="77777777" w:rsidR="00DD639C" w:rsidRPr="00462A5D" w:rsidRDefault="00DD639C" w:rsidP="001C38E1">
            <w:pPr>
              <w:spacing w:after="160" w:line="278" w:lineRule="auto"/>
            </w:pPr>
            <w:r w:rsidRPr="00462A5D">
              <w:rPr>
                <w:b/>
                <w:bCs/>
              </w:rPr>
              <w:t>Total</w:t>
            </w:r>
          </w:p>
        </w:tc>
        <w:tc>
          <w:tcPr>
            <w:tcW w:w="0" w:type="auto"/>
            <w:vAlign w:val="center"/>
            <w:hideMark/>
          </w:tcPr>
          <w:p w14:paraId="62344FD5" w14:textId="77777777" w:rsidR="00DD639C" w:rsidRPr="00462A5D" w:rsidRDefault="00DD639C" w:rsidP="001C38E1">
            <w:pPr>
              <w:spacing w:after="160" w:line="278" w:lineRule="auto"/>
            </w:pPr>
            <w:r w:rsidRPr="00462A5D">
              <w:t>49</w:t>
            </w:r>
          </w:p>
        </w:tc>
        <w:tc>
          <w:tcPr>
            <w:tcW w:w="0" w:type="auto"/>
            <w:vAlign w:val="center"/>
            <w:hideMark/>
          </w:tcPr>
          <w:p w14:paraId="0BE77AEB" w14:textId="77777777" w:rsidR="00DD639C" w:rsidRPr="00462A5D" w:rsidRDefault="00DD639C" w:rsidP="001C38E1">
            <w:pPr>
              <w:spacing w:after="160" w:line="278" w:lineRule="auto"/>
            </w:pPr>
            <w:r w:rsidRPr="00462A5D">
              <w:t>63</w:t>
            </w:r>
          </w:p>
        </w:tc>
        <w:tc>
          <w:tcPr>
            <w:tcW w:w="0" w:type="auto"/>
            <w:vAlign w:val="center"/>
            <w:hideMark/>
          </w:tcPr>
          <w:p w14:paraId="4A63495C" w14:textId="77777777" w:rsidR="00DD639C" w:rsidRPr="00462A5D" w:rsidRDefault="00DD639C" w:rsidP="001C38E1">
            <w:pPr>
              <w:spacing w:after="160" w:line="278" w:lineRule="auto"/>
            </w:pPr>
            <w:r w:rsidRPr="00462A5D">
              <w:t>112</w:t>
            </w:r>
          </w:p>
        </w:tc>
      </w:tr>
    </w:tbl>
    <w:p w14:paraId="01EE1B6A" w14:textId="77777777" w:rsidR="00DD639C" w:rsidRDefault="00DD639C" w:rsidP="001218E1"/>
    <w:p w14:paraId="1D716B0C" w14:textId="77777777" w:rsidR="00B452FE" w:rsidRDefault="00B452FE">
      <w:pPr>
        <w:rPr>
          <w:b/>
          <w:bCs/>
          <w:sz w:val="22"/>
          <w:szCs w:val="24"/>
        </w:rPr>
      </w:pPr>
      <w:r>
        <w:rPr>
          <w:b/>
          <w:bCs/>
          <w:sz w:val="22"/>
          <w:szCs w:val="24"/>
        </w:rPr>
        <w:br w:type="page"/>
      </w:r>
    </w:p>
    <w:p w14:paraId="2D43932D" w14:textId="2DCC9B60" w:rsidR="00C74F1A" w:rsidRPr="00C74F1A" w:rsidRDefault="00C74F1A" w:rsidP="001218E1">
      <w:pPr>
        <w:rPr>
          <w:b/>
          <w:bCs/>
          <w:sz w:val="22"/>
          <w:szCs w:val="24"/>
        </w:rPr>
      </w:pPr>
      <w:r w:rsidRPr="00C74F1A">
        <w:rPr>
          <w:b/>
          <w:bCs/>
          <w:sz w:val="22"/>
          <w:szCs w:val="24"/>
        </w:rPr>
        <w:lastRenderedPageBreak/>
        <w:t>3.6. Correlation</w:t>
      </w:r>
    </w:p>
    <w:p w14:paraId="7BE41D64" w14:textId="2A3D1E3B" w:rsidR="00C74F1A" w:rsidRDefault="00C74F1A" w:rsidP="0099200A">
      <w:pPr>
        <w:jc w:val="both"/>
      </w:pPr>
      <w:r w:rsidRPr="00C74F1A">
        <w:t xml:space="preserve">Continuous </w:t>
      </w:r>
      <w:proofErr w:type="spellStart"/>
      <w:r w:rsidRPr="00C74F1A">
        <w:t>ReDS</w:t>
      </w:r>
      <w:proofErr w:type="spellEnd"/>
      <w:r w:rsidRPr="00C74F1A">
        <w:t xml:space="preserve"> percentages showed a modest positive correlation with total B-line counts</w:t>
      </w:r>
      <w:r>
        <w:t xml:space="preserve"> (Figure 3)</w:t>
      </w:r>
      <w:r w:rsidRPr="00C74F1A">
        <w:t xml:space="preserve">. Pearson correlation was r=0.36 with </w:t>
      </w:r>
      <w:r w:rsidR="000E02F0" w:rsidRPr="000E02F0">
        <w:rPr>
          <w:i/>
          <w:iCs/>
        </w:rPr>
        <w:t>P</w:t>
      </w:r>
      <w:r w:rsidR="000E02F0">
        <w:t xml:space="preserve"> </w:t>
      </w:r>
      <w:r w:rsidRPr="00C74F1A">
        <w:t>&lt;</w:t>
      </w:r>
      <w:r w:rsidR="000E02F0">
        <w:t xml:space="preserve"> </w:t>
      </w:r>
      <w:r w:rsidRPr="00C74F1A">
        <w:t xml:space="preserve">.001, indicating a statistically significant but moderate linear association. As </w:t>
      </w:r>
      <w:proofErr w:type="spellStart"/>
      <w:r w:rsidRPr="00C74F1A">
        <w:t>ReDS</w:t>
      </w:r>
      <w:proofErr w:type="spellEnd"/>
      <w:r w:rsidRPr="00C74F1A">
        <w:t xml:space="preserve"> values increased, B-line burden generally increased, although substantial scatter was present across the range of measurements.</w:t>
      </w:r>
    </w:p>
    <w:p w14:paraId="056FE406" w14:textId="308B5EE5" w:rsidR="00C74F1A" w:rsidRDefault="00C74F1A" w:rsidP="001218E1">
      <w:r>
        <w:rPr>
          <w:noProof/>
        </w:rPr>
        <w:drawing>
          <wp:inline distT="0" distB="0" distL="0" distR="0" wp14:anchorId="6DC4512E" wp14:editId="76A913B9">
            <wp:extent cx="5486400" cy="4702712"/>
            <wp:effectExtent l="0" t="0" r="0" b="3175"/>
            <wp:docPr id="67029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9805" name="Picture 670298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4702712"/>
                    </a:xfrm>
                    <a:prstGeom prst="rect">
                      <a:avLst/>
                    </a:prstGeom>
                  </pic:spPr>
                </pic:pic>
              </a:graphicData>
            </a:graphic>
          </wp:inline>
        </w:drawing>
      </w:r>
    </w:p>
    <w:p w14:paraId="2B929705" w14:textId="0569C4E3" w:rsidR="00C74F1A" w:rsidRDefault="00C74F1A" w:rsidP="001218E1">
      <w:pPr>
        <w:rPr>
          <w:b/>
          <w:bCs/>
        </w:rPr>
      </w:pPr>
      <w:r w:rsidRPr="006719D8">
        <w:rPr>
          <w:b/>
          <w:bCs/>
        </w:rPr>
        <w:t>Figure 3. Scatter Plot</w:t>
      </w:r>
      <w:r>
        <w:rPr>
          <w:b/>
          <w:bCs/>
        </w:rPr>
        <w:t xml:space="preserve"> showing correlation between </w:t>
      </w:r>
      <w:proofErr w:type="spellStart"/>
      <w:r>
        <w:rPr>
          <w:b/>
          <w:bCs/>
        </w:rPr>
        <w:t>ReDS</w:t>
      </w:r>
      <w:proofErr w:type="spellEnd"/>
      <w:r>
        <w:rPr>
          <w:b/>
          <w:bCs/>
        </w:rPr>
        <w:t xml:space="preserve"> % and number of B-lines on LUS</w:t>
      </w:r>
    </w:p>
    <w:p w14:paraId="7A3AE36E" w14:textId="538A12FC" w:rsidR="00C74F1A" w:rsidRPr="00EF3229" w:rsidRDefault="00EF3229" w:rsidP="001218E1">
      <w:pPr>
        <w:rPr>
          <w:b/>
          <w:bCs/>
          <w:sz w:val="22"/>
          <w:szCs w:val="24"/>
        </w:rPr>
      </w:pPr>
      <w:r w:rsidRPr="00EF3229">
        <w:rPr>
          <w:b/>
          <w:bCs/>
          <w:sz w:val="22"/>
          <w:szCs w:val="24"/>
        </w:rPr>
        <w:t>3.7</w:t>
      </w:r>
      <w:r w:rsidR="00261A07">
        <w:rPr>
          <w:b/>
          <w:bCs/>
          <w:sz w:val="22"/>
          <w:szCs w:val="24"/>
        </w:rPr>
        <w:t>.</w:t>
      </w:r>
      <w:r w:rsidRPr="00EF3229">
        <w:rPr>
          <w:b/>
          <w:bCs/>
          <w:sz w:val="22"/>
          <w:szCs w:val="24"/>
        </w:rPr>
        <w:t xml:space="preserve"> Subgroup analysis</w:t>
      </w:r>
    </w:p>
    <w:p w14:paraId="6A056C31" w14:textId="576E473B" w:rsidR="00EF3229" w:rsidRPr="00EF3229" w:rsidRDefault="00EF3229" w:rsidP="0099200A">
      <w:pPr>
        <w:jc w:val="both"/>
      </w:pPr>
      <w:r w:rsidRPr="00EF3229">
        <w:t>Diagnostic performance remained broadly consistent across phenotypic subgroups.</w:t>
      </w:r>
      <w:r>
        <w:t xml:space="preserve"> As seen in Table 4,</w:t>
      </w:r>
      <w:r w:rsidRPr="00EF3229">
        <w:t xml:space="preserve"> </w:t>
      </w:r>
      <w:r>
        <w:t>i</w:t>
      </w:r>
      <w:r w:rsidRPr="00EF3229">
        <w:t xml:space="preserve">n </w:t>
      </w:r>
      <w:proofErr w:type="spellStart"/>
      <w:r w:rsidRPr="00EF3229">
        <w:t>HFrEF</w:t>
      </w:r>
      <w:proofErr w:type="spellEnd"/>
      <w:r w:rsidRPr="00EF3229">
        <w:t xml:space="preserve"> patients, both modalities showed high discrimination, with AUCs of 0.862 for </w:t>
      </w:r>
      <w:proofErr w:type="spellStart"/>
      <w:r w:rsidRPr="00EF3229">
        <w:t>ReDS</w:t>
      </w:r>
      <w:proofErr w:type="spellEnd"/>
      <w:r w:rsidRPr="00EF3229">
        <w:t xml:space="preserve"> and 0.879 for LUS. In HFpEF, performance was slightly lower but remained acceptable, with AUCs of 0.812 and 0.828 respectively.</w:t>
      </w:r>
    </w:p>
    <w:p w14:paraId="6D147BF3" w14:textId="77777777" w:rsidR="00EF3229" w:rsidRPr="00EF3229" w:rsidRDefault="00EF3229" w:rsidP="0099200A">
      <w:pPr>
        <w:jc w:val="both"/>
      </w:pPr>
      <w:r w:rsidRPr="00EF3229">
        <w:t xml:space="preserve">Body mass index influenced performance more noticeably. Among patients with BMI &lt;30 kg/m², AUCs were strong for both </w:t>
      </w:r>
      <w:proofErr w:type="spellStart"/>
      <w:r w:rsidRPr="00EF3229">
        <w:t>ReDS</w:t>
      </w:r>
      <w:proofErr w:type="spellEnd"/>
      <w:r w:rsidRPr="00EF3229">
        <w:t xml:space="preserve"> and LUS at 0.871 and 0.865. In those with BMI ≥30 kg/m², discrimination declined, particularly for </w:t>
      </w:r>
      <w:proofErr w:type="spellStart"/>
      <w:r w:rsidRPr="00EF3229">
        <w:t>ReDS</w:t>
      </w:r>
      <w:proofErr w:type="spellEnd"/>
      <w:r w:rsidRPr="00EF3229">
        <w:t xml:space="preserve"> at 0.728, while LUS remained relatively preserved at 0.803. Confidence intervals were wider in higher BMI groups due to smaller sample size, so these findings should be interpreted as exploratory.</w:t>
      </w:r>
    </w:p>
    <w:p w14:paraId="74B5E155" w14:textId="77777777" w:rsidR="00EF3229" w:rsidRPr="006719D8" w:rsidRDefault="00EF3229" w:rsidP="00EF3229">
      <w:r w:rsidRPr="006719D8">
        <w:rPr>
          <w:b/>
          <w:bCs/>
        </w:rPr>
        <w:lastRenderedPageBreak/>
        <w:t>Table 4. Subgroup AUCs</w:t>
      </w:r>
      <w:r w:rsidRPr="006719D8">
        <w:br/>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1947"/>
        <w:gridCol w:w="1829"/>
      </w:tblGrid>
      <w:tr w:rsidR="00EF3229" w:rsidRPr="00947666" w14:paraId="798ED31D" w14:textId="77777777" w:rsidTr="00CA5603">
        <w:trPr>
          <w:tblHeader/>
          <w:tblCellSpacing w:w="15" w:type="dxa"/>
          <w:jc w:val="center"/>
        </w:trPr>
        <w:tc>
          <w:tcPr>
            <w:tcW w:w="0" w:type="auto"/>
            <w:vAlign w:val="center"/>
            <w:hideMark/>
          </w:tcPr>
          <w:p w14:paraId="009274C4" w14:textId="77777777" w:rsidR="00EF3229" w:rsidRPr="00947666" w:rsidRDefault="00EF3229" w:rsidP="001C38E1">
            <w:pPr>
              <w:spacing w:after="160" w:line="278" w:lineRule="auto"/>
              <w:rPr>
                <w:b/>
                <w:bCs/>
              </w:rPr>
            </w:pPr>
            <w:r w:rsidRPr="00947666">
              <w:rPr>
                <w:b/>
                <w:bCs/>
              </w:rPr>
              <w:t>Subgroup</w:t>
            </w:r>
          </w:p>
        </w:tc>
        <w:tc>
          <w:tcPr>
            <w:tcW w:w="0" w:type="auto"/>
            <w:vAlign w:val="center"/>
            <w:hideMark/>
          </w:tcPr>
          <w:p w14:paraId="0D96327C" w14:textId="77777777" w:rsidR="00EF3229" w:rsidRPr="00947666" w:rsidRDefault="00EF3229" w:rsidP="001C38E1">
            <w:pPr>
              <w:spacing w:after="160" w:line="278" w:lineRule="auto"/>
              <w:rPr>
                <w:b/>
                <w:bCs/>
              </w:rPr>
            </w:pPr>
            <w:proofErr w:type="spellStart"/>
            <w:r w:rsidRPr="00947666">
              <w:rPr>
                <w:b/>
                <w:bCs/>
              </w:rPr>
              <w:t>ReDS</w:t>
            </w:r>
            <w:proofErr w:type="spellEnd"/>
            <w:r w:rsidRPr="00947666">
              <w:rPr>
                <w:b/>
                <w:bCs/>
              </w:rPr>
              <w:t xml:space="preserve"> AUC (95% CI)</w:t>
            </w:r>
          </w:p>
        </w:tc>
        <w:tc>
          <w:tcPr>
            <w:tcW w:w="0" w:type="auto"/>
            <w:vAlign w:val="center"/>
            <w:hideMark/>
          </w:tcPr>
          <w:p w14:paraId="561B8A20" w14:textId="77777777" w:rsidR="00EF3229" w:rsidRPr="00947666" w:rsidRDefault="00EF3229" w:rsidP="001C38E1">
            <w:pPr>
              <w:spacing w:after="160" w:line="278" w:lineRule="auto"/>
              <w:rPr>
                <w:b/>
                <w:bCs/>
              </w:rPr>
            </w:pPr>
            <w:r w:rsidRPr="00947666">
              <w:rPr>
                <w:b/>
                <w:bCs/>
              </w:rPr>
              <w:t>LUS AUC (95% CI)</w:t>
            </w:r>
          </w:p>
        </w:tc>
      </w:tr>
      <w:tr w:rsidR="00EF3229" w:rsidRPr="00947666" w14:paraId="6AE1E1B3" w14:textId="77777777" w:rsidTr="00CA5603">
        <w:trPr>
          <w:tblCellSpacing w:w="15" w:type="dxa"/>
          <w:jc w:val="center"/>
        </w:trPr>
        <w:tc>
          <w:tcPr>
            <w:tcW w:w="0" w:type="auto"/>
            <w:vAlign w:val="center"/>
            <w:hideMark/>
          </w:tcPr>
          <w:p w14:paraId="7745EDD4" w14:textId="77777777" w:rsidR="00EF3229" w:rsidRPr="00947666" w:rsidRDefault="00EF3229" w:rsidP="001C38E1">
            <w:pPr>
              <w:spacing w:after="160" w:line="278" w:lineRule="auto"/>
            </w:pPr>
            <w:proofErr w:type="spellStart"/>
            <w:r w:rsidRPr="00947666">
              <w:t>HFrEF</w:t>
            </w:r>
            <w:proofErr w:type="spellEnd"/>
            <w:r w:rsidRPr="00947666">
              <w:t xml:space="preserve"> (n=37)</w:t>
            </w:r>
          </w:p>
        </w:tc>
        <w:tc>
          <w:tcPr>
            <w:tcW w:w="0" w:type="auto"/>
            <w:vAlign w:val="center"/>
            <w:hideMark/>
          </w:tcPr>
          <w:p w14:paraId="50C1C63D" w14:textId="77777777" w:rsidR="00EF3229" w:rsidRPr="00947666" w:rsidRDefault="00EF3229" w:rsidP="001C38E1">
            <w:pPr>
              <w:spacing w:after="160" w:line="278" w:lineRule="auto"/>
            </w:pPr>
            <w:r w:rsidRPr="00947666">
              <w:t>0.862 (0.71–0.96)</w:t>
            </w:r>
          </w:p>
        </w:tc>
        <w:tc>
          <w:tcPr>
            <w:tcW w:w="0" w:type="auto"/>
            <w:vAlign w:val="center"/>
            <w:hideMark/>
          </w:tcPr>
          <w:p w14:paraId="34DF057A" w14:textId="77777777" w:rsidR="00EF3229" w:rsidRPr="00947666" w:rsidRDefault="00EF3229" w:rsidP="001C38E1">
            <w:pPr>
              <w:spacing w:after="160" w:line="278" w:lineRule="auto"/>
            </w:pPr>
            <w:r w:rsidRPr="00947666">
              <w:t>0.879 (0.73–0.97)</w:t>
            </w:r>
          </w:p>
        </w:tc>
      </w:tr>
      <w:tr w:rsidR="00EF3229" w:rsidRPr="00947666" w14:paraId="03269709" w14:textId="77777777" w:rsidTr="00CA5603">
        <w:trPr>
          <w:tblCellSpacing w:w="15" w:type="dxa"/>
          <w:jc w:val="center"/>
        </w:trPr>
        <w:tc>
          <w:tcPr>
            <w:tcW w:w="0" w:type="auto"/>
            <w:vAlign w:val="center"/>
            <w:hideMark/>
          </w:tcPr>
          <w:p w14:paraId="769C7BB2" w14:textId="77777777" w:rsidR="00EF3229" w:rsidRPr="00947666" w:rsidRDefault="00EF3229" w:rsidP="001C38E1">
            <w:pPr>
              <w:spacing w:after="160" w:line="278" w:lineRule="auto"/>
            </w:pPr>
            <w:r w:rsidRPr="00947666">
              <w:t>HFpEF (n=75)</w:t>
            </w:r>
          </w:p>
        </w:tc>
        <w:tc>
          <w:tcPr>
            <w:tcW w:w="0" w:type="auto"/>
            <w:vAlign w:val="center"/>
            <w:hideMark/>
          </w:tcPr>
          <w:p w14:paraId="6C425C9D" w14:textId="77777777" w:rsidR="00EF3229" w:rsidRPr="00947666" w:rsidRDefault="00EF3229" w:rsidP="001C38E1">
            <w:pPr>
              <w:spacing w:after="160" w:line="278" w:lineRule="auto"/>
            </w:pPr>
            <w:r w:rsidRPr="00947666">
              <w:t>0.812 (0.69–0.90)</w:t>
            </w:r>
          </w:p>
        </w:tc>
        <w:tc>
          <w:tcPr>
            <w:tcW w:w="0" w:type="auto"/>
            <w:vAlign w:val="center"/>
            <w:hideMark/>
          </w:tcPr>
          <w:p w14:paraId="48E7E41A" w14:textId="77777777" w:rsidR="00EF3229" w:rsidRPr="00947666" w:rsidRDefault="00EF3229" w:rsidP="001C38E1">
            <w:pPr>
              <w:spacing w:after="160" w:line="278" w:lineRule="auto"/>
            </w:pPr>
            <w:r w:rsidRPr="00947666">
              <w:t>0.828 (0.71–0.91)</w:t>
            </w:r>
          </w:p>
        </w:tc>
      </w:tr>
      <w:tr w:rsidR="00EF3229" w:rsidRPr="00947666" w14:paraId="6C91750A" w14:textId="77777777" w:rsidTr="00CA5603">
        <w:trPr>
          <w:tblCellSpacing w:w="15" w:type="dxa"/>
          <w:jc w:val="center"/>
        </w:trPr>
        <w:tc>
          <w:tcPr>
            <w:tcW w:w="0" w:type="auto"/>
            <w:vAlign w:val="center"/>
            <w:hideMark/>
          </w:tcPr>
          <w:p w14:paraId="7A7CE2B9" w14:textId="77777777" w:rsidR="00EF3229" w:rsidRPr="00947666" w:rsidRDefault="00EF3229" w:rsidP="001C38E1">
            <w:pPr>
              <w:spacing w:after="160" w:line="278" w:lineRule="auto"/>
            </w:pPr>
            <w:r w:rsidRPr="00947666">
              <w:t>BMI &lt;30 (n=78)</w:t>
            </w:r>
          </w:p>
        </w:tc>
        <w:tc>
          <w:tcPr>
            <w:tcW w:w="0" w:type="auto"/>
            <w:vAlign w:val="center"/>
            <w:hideMark/>
          </w:tcPr>
          <w:p w14:paraId="2412C4BA" w14:textId="77777777" w:rsidR="00EF3229" w:rsidRPr="00947666" w:rsidRDefault="00EF3229" w:rsidP="001C38E1">
            <w:pPr>
              <w:spacing w:after="160" w:line="278" w:lineRule="auto"/>
            </w:pPr>
            <w:r w:rsidRPr="00947666">
              <w:t>0.871 (0.77–0.94)</w:t>
            </w:r>
          </w:p>
        </w:tc>
        <w:tc>
          <w:tcPr>
            <w:tcW w:w="0" w:type="auto"/>
            <w:vAlign w:val="center"/>
            <w:hideMark/>
          </w:tcPr>
          <w:p w14:paraId="7F11E52A" w14:textId="77777777" w:rsidR="00EF3229" w:rsidRPr="00947666" w:rsidRDefault="00EF3229" w:rsidP="001C38E1">
            <w:pPr>
              <w:spacing w:after="160" w:line="278" w:lineRule="auto"/>
            </w:pPr>
            <w:r w:rsidRPr="00947666">
              <w:t>0.865 (0.76–0.93)</w:t>
            </w:r>
          </w:p>
        </w:tc>
      </w:tr>
      <w:tr w:rsidR="00EF3229" w:rsidRPr="00947666" w14:paraId="04018566" w14:textId="77777777" w:rsidTr="00CA5603">
        <w:trPr>
          <w:tblCellSpacing w:w="15" w:type="dxa"/>
          <w:jc w:val="center"/>
        </w:trPr>
        <w:tc>
          <w:tcPr>
            <w:tcW w:w="0" w:type="auto"/>
            <w:vAlign w:val="center"/>
            <w:hideMark/>
          </w:tcPr>
          <w:p w14:paraId="2343F958" w14:textId="77777777" w:rsidR="00EF3229" w:rsidRPr="00947666" w:rsidRDefault="00EF3229" w:rsidP="001C38E1">
            <w:pPr>
              <w:spacing w:after="160" w:line="278" w:lineRule="auto"/>
            </w:pPr>
            <w:r w:rsidRPr="00947666">
              <w:t>BMI ≥30 (n=34)</w:t>
            </w:r>
          </w:p>
        </w:tc>
        <w:tc>
          <w:tcPr>
            <w:tcW w:w="0" w:type="auto"/>
            <w:vAlign w:val="center"/>
            <w:hideMark/>
          </w:tcPr>
          <w:p w14:paraId="01C1706D" w14:textId="77777777" w:rsidR="00EF3229" w:rsidRPr="00947666" w:rsidRDefault="00EF3229" w:rsidP="001C38E1">
            <w:pPr>
              <w:spacing w:after="160" w:line="278" w:lineRule="auto"/>
            </w:pPr>
            <w:r w:rsidRPr="00947666">
              <w:t>0.728 (0.55–0.87)</w:t>
            </w:r>
          </w:p>
        </w:tc>
        <w:tc>
          <w:tcPr>
            <w:tcW w:w="0" w:type="auto"/>
            <w:vAlign w:val="center"/>
            <w:hideMark/>
          </w:tcPr>
          <w:p w14:paraId="7502B5B3" w14:textId="77777777" w:rsidR="00EF3229" w:rsidRPr="00947666" w:rsidRDefault="00EF3229" w:rsidP="001C38E1">
            <w:pPr>
              <w:spacing w:after="160" w:line="278" w:lineRule="auto"/>
            </w:pPr>
            <w:r w:rsidRPr="00947666">
              <w:t>0.803 (0.63–0.92)</w:t>
            </w:r>
          </w:p>
        </w:tc>
      </w:tr>
    </w:tbl>
    <w:p w14:paraId="6B10500F" w14:textId="77777777" w:rsidR="00EF3229" w:rsidRDefault="00EF3229" w:rsidP="001218E1"/>
    <w:p w14:paraId="7584FB4C" w14:textId="6EF30CFC" w:rsidR="00EF3229" w:rsidRPr="00261A07" w:rsidRDefault="00261A07" w:rsidP="001218E1">
      <w:pPr>
        <w:rPr>
          <w:b/>
          <w:bCs/>
          <w:sz w:val="22"/>
          <w:szCs w:val="24"/>
        </w:rPr>
      </w:pPr>
      <w:r w:rsidRPr="00261A07">
        <w:rPr>
          <w:b/>
          <w:bCs/>
          <w:sz w:val="22"/>
          <w:szCs w:val="24"/>
        </w:rPr>
        <w:t>3.8. Multivariable analysis</w:t>
      </w:r>
    </w:p>
    <w:p w14:paraId="0B88DD5A" w14:textId="1DA25A0A" w:rsidR="00261A07" w:rsidRPr="00261A07" w:rsidRDefault="00261A07" w:rsidP="0099200A">
      <w:pPr>
        <w:jc w:val="both"/>
      </w:pPr>
      <w:r w:rsidRPr="00261A07">
        <w:t xml:space="preserve">In multivariable models adjusted for age and BMI, both </w:t>
      </w:r>
      <w:proofErr w:type="spellStart"/>
      <w:r w:rsidRPr="00261A07">
        <w:t>ReDS</w:t>
      </w:r>
      <w:proofErr w:type="spellEnd"/>
      <w:r w:rsidRPr="00261A07">
        <w:t xml:space="preserve"> and LUS remained independently associated with adjudicated congestion.</w:t>
      </w:r>
      <w:r>
        <w:t xml:space="preserve"> </w:t>
      </w:r>
      <w:r w:rsidRPr="00261A07">
        <w:t xml:space="preserve">In the </w:t>
      </w:r>
      <w:proofErr w:type="spellStart"/>
      <w:r w:rsidRPr="00261A07">
        <w:t>ReDS</w:t>
      </w:r>
      <w:proofErr w:type="spellEnd"/>
      <w:r w:rsidRPr="00261A07">
        <w:t>-based model</w:t>
      </w:r>
      <w:r>
        <w:t xml:space="preserve"> (Table 5)</w:t>
      </w:r>
      <w:r w:rsidRPr="00261A07">
        <w:t xml:space="preserve">, each 1 percent increase in </w:t>
      </w:r>
      <w:proofErr w:type="spellStart"/>
      <w:r w:rsidRPr="00261A07">
        <w:t>ReDS</w:t>
      </w:r>
      <w:proofErr w:type="spellEnd"/>
      <w:r w:rsidRPr="00261A07">
        <w:t xml:space="preserve"> was associated with a 20 percent higher odds of congestion, adjusted OR 1.20, 95% CI 1.12 to 1.29, </w:t>
      </w:r>
      <w:r w:rsidR="00506D97" w:rsidRPr="00506D97">
        <w:rPr>
          <w:i/>
          <w:iCs/>
        </w:rPr>
        <w:t>P</w:t>
      </w:r>
      <w:r w:rsidR="00506D97">
        <w:t xml:space="preserve"> </w:t>
      </w:r>
      <w:r w:rsidRPr="00261A07">
        <w:t>&lt;</w:t>
      </w:r>
      <w:r w:rsidR="00506D97">
        <w:t xml:space="preserve"> </w:t>
      </w:r>
      <w:r w:rsidRPr="00261A07">
        <w:t>.001. Age and BMI were not independently associated with congestion in this model.</w:t>
      </w:r>
      <w:r>
        <w:t xml:space="preserve"> </w:t>
      </w:r>
      <w:r w:rsidRPr="00261A07">
        <w:t>In the LUS-based model</w:t>
      </w:r>
      <w:r>
        <w:t xml:space="preserve"> (Table 6)</w:t>
      </w:r>
      <w:r w:rsidRPr="00261A07">
        <w:t xml:space="preserve">, each 5-line increase in total B-lines was associated with a 48 percent higher odds of congestion, adjusted OR 1.48, 95% CI 1.22 to 1.79, </w:t>
      </w:r>
      <w:r w:rsidR="00506D97" w:rsidRPr="00506D97">
        <w:rPr>
          <w:i/>
          <w:iCs/>
        </w:rPr>
        <w:t>P</w:t>
      </w:r>
      <w:r w:rsidR="00506D97">
        <w:t xml:space="preserve"> </w:t>
      </w:r>
      <w:r w:rsidRPr="00261A07">
        <w:t>&lt;</w:t>
      </w:r>
      <w:r w:rsidR="00506D97">
        <w:t xml:space="preserve"> </w:t>
      </w:r>
      <w:r w:rsidRPr="00261A07">
        <w:t>.001. Again, age and BMI did not show significant independent associations.</w:t>
      </w:r>
    </w:p>
    <w:p w14:paraId="1D1C5CD4" w14:textId="5C62B4BA" w:rsidR="00261A07" w:rsidRPr="00DF7705" w:rsidRDefault="00261A07" w:rsidP="00261A07">
      <w:pPr>
        <w:rPr>
          <w:b/>
          <w:bCs/>
        </w:rPr>
      </w:pPr>
      <w:r w:rsidRPr="006719D8">
        <w:rPr>
          <w:b/>
          <w:bCs/>
        </w:rPr>
        <w:t>Table 5</w:t>
      </w:r>
      <w:r>
        <w:rPr>
          <w:b/>
          <w:bCs/>
        </w:rPr>
        <w:t xml:space="preserve">: </w:t>
      </w:r>
      <w:proofErr w:type="spellStart"/>
      <w:r w:rsidRPr="00DF7705">
        <w:rPr>
          <w:b/>
          <w:bCs/>
        </w:rPr>
        <w:t>ReDS</w:t>
      </w:r>
      <w:proofErr w:type="spellEnd"/>
      <w:r w:rsidRPr="00DF7705">
        <w:rPr>
          <w:b/>
          <w:bCs/>
        </w:rPr>
        <w:t>-Based Model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6"/>
        <w:gridCol w:w="1292"/>
        <w:gridCol w:w="2392"/>
        <w:gridCol w:w="918"/>
      </w:tblGrid>
      <w:tr w:rsidR="00261A07" w:rsidRPr="00DF7705" w14:paraId="1A9CFFCD" w14:textId="77777777" w:rsidTr="00CA5603">
        <w:trPr>
          <w:tblHeader/>
          <w:tblCellSpacing w:w="15" w:type="dxa"/>
          <w:jc w:val="center"/>
        </w:trPr>
        <w:tc>
          <w:tcPr>
            <w:tcW w:w="0" w:type="auto"/>
            <w:vAlign w:val="center"/>
            <w:hideMark/>
          </w:tcPr>
          <w:p w14:paraId="6421E012" w14:textId="77777777" w:rsidR="00261A07" w:rsidRPr="00DF7705" w:rsidRDefault="00261A07" w:rsidP="001C38E1">
            <w:pPr>
              <w:rPr>
                <w:b/>
                <w:bCs/>
              </w:rPr>
            </w:pPr>
            <w:r w:rsidRPr="00DF7705">
              <w:rPr>
                <w:b/>
                <w:bCs/>
              </w:rPr>
              <w:t>Variable</w:t>
            </w:r>
          </w:p>
        </w:tc>
        <w:tc>
          <w:tcPr>
            <w:tcW w:w="0" w:type="auto"/>
            <w:vAlign w:val="center"/>
            <w:hideMark/>
          </w:tcPr>
          <w:p w14:paraId="029DEF14" w14:textId="77777777" w:rsidR="00261A07" w:rsidRPr="00DF7705" w:rsidRDefault="00261A07" w:rsidP="001C38E1">
            <w:pPr>
              <w:rPr>
                <w:b/>
                <w:bCs/>
              </w:rPr>
            </w:pPr>
            <w:r w:rsidRPr="00DF7705">
              <w:rPr>
                <w:b/>
                <w:bCs/>
              </w:rPr>
              <w:t>Adjusted OR</w:t>
            </w:r>
          </w:p>
        </w:tc>
        <w:tc>
          <w:tcPr>
            <w:tcW w:w="0" w:type="auto"/>
            <w:vAlign w:val="center"/>
            <w:hideMark/>
          </w:tcPr>
          <w:p w14:paraId="7FE99240" w14:textId="77777777" w:rsidR="00261A07" w:rsidRPr="00DF7705" w:rsidRDefault="00261A07" w:rsidP="001C38E1">
            <w:pPr>
              <w:rPr>
                <w:b/>
                <w:bCs/>
              </w:rPr>
            </w:pPr>
            <w:r w:rsidRPr="00DF7705">
              <w:rPr>
                <w:b/>
                <w:bCs/>
              </w:rPr>
              <w:t>95% Confidence Interval</w:t>
            </w:r>
          </w:p>
        </w:tc>
        <w:tc>
          <w:tcPr>
            <w:tcW w:w="0" w:type="auto"/>
            <w:vAlign w:val="center"/>
            <w:hideMark/>
          </w:tcPr>
          <w:p w14:paraId="3E9CA61A" w14:textId="15942061" w:rsidR="00261A07" w:rsidRPr="00DF7705" w:rsidRDefault="00506D97" w:rsidP="001C38E1">
            <w:pPr>
              <w:rPr>
                <w:b/>
                <w:bCs/>
              </w:rPr>
            </w:pPr>
            <w:r w:rsidRPr="00506D97">
              <w:rPr>
                <w:b/>
                <w:bCs/>
                <w:i/>
                <w:iCs/>
              </w:rPr>
              <w:t>P</w:t>
            </w:r>
            <w:r>
              <w:rPr>
                <w:b/>
                <w:bCs/>
              </w:rPr>
              <w:t xml:space="preserve"> </w:t>
            </w:r>
            <w:r w:rsidR="00261A07" w:rsidRPr="00DF7705">
              <w:rPr>
                <w:b/>
                <w:bCs/>
              </w:rPr>
              <w:t>-</w:t>
            </w:r>
            <w:r>
              <w:rPr>
                <w:b/>
                <w:bCs/>
              </w:rPr>
              <w:t xml:space="preserve"> </w:t>
            </w:r>
            <w:r w:rsidR="00261A07" w:rsidRPr="00DF7705">
              <w:rPr>
                <w:b/>
                <w:bCs/>
              </w:rPr>
              <w:t>value</w:t>
            </w:r>
          </w:p>
        </w:tc>
      </w:tr>
      <w:tr w:rsidR="00261A07" w:rsidRPr="00DF7705" w14:paraId="7F39D26C" w14:textId="77777777" w:rsidTr="00CA5603">
        <w:trPr>
          <w:tblCellSpacing w:w="15" w:type="dxa"/>
          <w:jc w:val="center"/>
        </w:trPr>
        <w:tc>
          <w:tcPr>
            <w:tcW w:w="0" w:type="auto"/>
            <w:vAlign w:val="center"/>
            <w:hideMark/>
          </w:tcPr>
          <w:p w14:paraId="140E1279" w14:textId="77777777" w:rsidR="00261A07" w:rsidRPr="00DF7705" w:rsidRDefault="00261A07" w:rsidP="001C38E1">
            <w:proofErr w:type="spellStart"/>
            <w:r w:rsidRPr="00DF7705">
              <w:t>ReDS</w:t>
            </w:r>
            <w:proofErr w:type="spellEnd"/>
            <w:r w:rsidRPr="00DF7705">
              <w:t xml:space="preserve"> (% per 1% increase)</w:t>
            </w:r>
          </w:p>
        </w:tc>
        <w:tc>
          <w:tcPr>
            <w:tcW w:w="0" w:type="auto"/>
            <w:vAlign w:val="center"/>
            <w:hideMark/>
          </w:tcPr>
          <w:p w14:paraId="7AE76BDE" w14:textId="77777777" w:rsidR="00261A07" w:rsidRPr="00DF7705" w:rsidRDefault="00261A07" w:rsidP="001C38E1">
            <w:r w:rsidRPr="00DF7705">
              <w:t>1.20</w:t>
            </w:r>
          </w:p>
        </w:tc>
        <w:tc>
          <w:tcPr>
            <w:tcW w:w="0" w:type="auto"/>
            <w:vAlign w:val="center"/>
            <w:hideMark/>
          </w:tcPr>
          <w:p w14:paraId="1B222188" w14:textId="77777777" w:rsidR="00261A07" w:rsidRPr="00DF7705" w:rsidRDefault="00261A07" w:rsidP="001C38E1">
            <w:r w:rsidRPr="00DF7705">
              <w:t>1.12 – 1.29</w:t>
            </w:r>
          </w:p>
        </w:tc>
        <w:tc>
          <w:tcPr>
            <w:tcW w:w="0" w:type="auto"/>
            <w:vAlign w:val="center"/>
            <w:hideMark/>
          </w:tcPr>
          <w:p w14:paraId="076D17E1" w14:textId="6EAAD572" w:rsidR="00261A07" w:rsidRPr="00DF7705" w:rsidRDefault="00261A07" w:rsidP="001C38E1">
            <w:r w:rsidRPr="00DF7705">
              <w:t>&lt;.001</w:t>
            </w:r>
          </w:p>
        </w:tc>
      </w:tr>
      <w:tr w:rsidR="00261A07" w:rsidRPr="00DF7705" w14:paraId="6033C3E0" w14:textId="77777777" w:rsidTr="00CA5603">
        <w:trPr>
          <w:tblCellSpacing w:w="15" w:type="dxa"/>
          <w:jc w:val="center"/>
        </w:trPr>
        <w:tc>
          <w:tcPr>
            <w:tcW w:w="0" w:type="auto"/>
            <w:vAlign w:val="center"/>
            <w:hideMark/>
          </w:tcPr>
          <w:p w14:paraId="684A8892" w14:textId="77777777" w:rsidR="00261A07" w:rsidRPr="00DF7705" w:rsidRDefault="00261A07" w:rsidP="001C38E1">
            <w:r w:rsidRPr="00DF7705">
              <w:t>Age (per year)</w:t>
            </w:r>
          </w:p>
        </w:tc>
        <w:tc>
          <w:tcPr>
            <w:tcW w:w="0" w:type="auto"/>
            <w:vAlign w:val="center"/>
            <w:hideMark/>
          </w:tcPr>
          <w:p w14:paraId="0E663550" w14:textId="77777777" w:rsidR="00261A07" w:rsidRPr="00DF7705" w:rsidRDefault="00261A07" w:rsidP="001C38E1">
            <w:r w:rsidRPr="00DF7705">
              <w:t>0.98</w:t>
            </w:r>
          </w:p>
        </w:tc>
        <w:tc>
          <w:tcPr>
            <w:tcW w:w="0" w:type="auto"/>
            <w:vAlign w:val="center"/>
            <w:hideMark/>
          </w:tcPr>
          <w:p w14:paraId="0218039A" w14:textId="77777777" w:rsidR="00261A07" w:rsidRPr="00DF7705" w:rsidRDefault="00261A07" w:rsidP="001C38E1">
            <w:r w:rsidRPr="00DF7705">
              <w:t>0.94 – 1.02</w:t>
            </w:r>
          </w:p>
        </w:tc>
        <w:tc>
          <w:tcPr>
            <w:tcW w:w="0" w:type="auto"/>
            <w:vAlign w:val="center"/>
            <w:hideMark/>
          </w:tcPr>
          <w:p w14:paraId="6E4ECDA2" w14:textId="2ACB56B3" w:rsidR="00261A07" w:rsidRPr="00DF7705" w:rsidRDefault="00261A07" w:rsidP="001C38E1">
            <w:r w:rsidRPr="00DF7705">
              <w:t>.31</w:t>
            </w:r>
          </w:p>
        </w:tc>
      </w:tr>
      <w:tr w:rsidR="00261A07" w:rsidRPr="00DF7705" w14:paraId="6BB57BFE" w14:textId="77777777" w:rsidTr="00CA5603">
        <w:trPr>
          <w:tblCellSpacing w:w="15" w:type="dxa"/>
          <w:jc w:val="center"/>
        </w:trPr>
        <w:tc>
          <w:tcPr>
            <w:tcW w:w="0" w:type="auto"/>
            <w:vAlign w:val="center"/>
            <w:hideMark/>
          </w:tcPr>
          <w:p w14:paraId="3CEE5B3E" w14:textId="77777777" w:rsidR="00261A07" w:rsidRPr="00DF7705" w:rsidRDefault="00261A07" w:rsidP="001C38E1">
            <w:r w:rsidRPr="00DF7705">
              <w:t>BMI (per kg/m²)</w:t>
            </w:r>
          </w:p>
        </w:tc>
        <w:tc>
          <w:tcPr>
            <w:tcW w:w="0" w:type="auto"/>
            <w:vAlign w:val="center"/>
            <w:hideMark/>
          </w:tcPr>
          <w:p w14:paraId="1F2F1E76" w14:textId="77777777" w:rsidR="00261A07" w:rsidRPr="00DF7705" w:rsidRDefault="00261A07" w:rsidP="001C38E1">
            <w:r w:rsidRPr="00DF7705">
              <w:t>1.01</w:t>
            </w:r>
          </w:p>
        </w:tc>
        <w:tc>
          <w:tcPr>
            <w:tcW w:w="0" w:type="auto"/>
            <w:vAlign w:val="center"/>
            <w:hideMark/>
          </w:tcPr>
          <w:p w14:paraId="6DB04C89" w14:textId="77777777" w:rsidR="00261A07" w:rsidRPr="00DF7705" w:rsidRDefault="00261A07" w:rsidP="001C38E1">
            <w:r w:rsidRPr="00DF7705">
              <w:t>0.92 – 1.11</w:t>
            </w:r>
          </w:p>
        </w:tc>
        <w:tc>
          <w:tcPr>
            <w:tcW w:w="0" w:type="auto"/>
            <w:vAlign w:val="center"/>
            <w:hideMark/>
          </w:tcPr>
          <w:p w14:paraId="1F752267" w14:textId="55C9D43D" w:rsidR="00261A07" w:rsidRPr="00DF7705" w:rsidRDefault="00261A07" w:rsidP="001C38E1">
            <w:r w:rsidRPr="00DF7705">
              <w:t>.84</w:t>
            </w:r>
          </w:p>
        </w:tc>
      </w:tr>
    </w:tbl>
    <w:p w14:paraId="2C62B06B" w14:textId="772872D7" w:rsidR="00261A07" w:rsidRPr="00DF7705" w:rsidRDefault="00261A07" w:rsidP="00261A07"/>
    <w:p w14:paraId="6116B723" w14:textId="01E6D489" w:rsidR="00261A07" w:rsidRPr="00DF7705" w:rsidRDefault="00261A07" w:rsidP="00261A07">
      <w:pPr>
        <w:rPr>
          <w:b/>
          <w:bCs/>
        </w:rPr>
      </w:pPr>
      <w:r>
        <w:rPr>
          <w:b/>
          <w:bCs/>
        </w:rPr>
        <w:t>Table 6:</w:t>
      </w:r>
      <w:r w:rsidRPr="00DF7705">
        <w:rPr>
          <w:b/>
          <w:bCs/>
        </w:rPr>
        <w:t xml:space="preserve"> Lung Ultrasound–Based Model (Comparator)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6"/>
        <w:gridCol w:w="1292"/>
        <w:gridCol w:w="2392"/>
        <w:gridCol w:w="862"/>
      </w:tblGrid>
      <w:tr w:rsidR="00261A07" w:rsidRPr="00DF7705" w14:paraId="5CEE81ED" w14:textId="77777777" w:rsidTr="00CA5603">
        <w:trPr>
          <w:tblHeader/>
          <w:tblCellSpacing w:w="15" w:type="dxa"/>
          <w:jc w:val="center"/>
        </w:trPr>
        <w:tc>
          <w:tcPr>
            <w:tcW w:w="0" w:type="auto"/>
            <w:vAlign w:val="center"/>
            <w:hideMark/>
          </w:tcPr>
          <w:p w14:paraId="3F7C9162" w14:textId="77777777" w:rsidR="00261A07" w:rsidRPr="00DF7705" w:rsidRDefault="00261A07" w:rsidP="001C38E1">
            <w:pPr>
              <w:rPr>
                <w:b/>
                <w:bCs/>
              </w:rPr>
            </w:pPr>
            <w:r w:rsidRPr="00DF7705">
              <w:rPr>
                <w:b/>
                <w:bCs/>
              </w:rPr>
              <w:t>Variable</w:t>
            </w:r>
          </w:p>
        </w:tc>
        <w:tc>
          <w:tcPr>
            <w:tcW w:w="0" w:type="auto"/>
            <w:vAlign w:val="center"/>
            <w:hideMark/>
          </w:tcPr>
          <w:p w14:paraId="28E22403" w14:textId="77777777" w:rsidR="00261A07" w:rsidRPr="00DF7705" w:rsidRDefault="00261A07" w:rsidP="001C38E1">
            <w:pPr>
              <w:rPr>
                <w:b/>
                <w:bCs/>
              </w:rPr>
            </w:pPr>
            <w:r w:rsidRPr="00DF7705">
              <w:rPr>
                <w:b/>
                <w:bCs/>
              </w:rPr>
              <w:t>Adjusted OR</w:t>
            </w:r>
          </w:p>
        </w:tc>
        <w:tc>
          <w:tcPr>
            <w:tcW w:w="0" w:type="auto"/>
            <w:vAlign w:val="center"/>
            <w:hideMark/>
          </w:tcPr>
          <w:p w14:paraId="068C3E8A" w14:textId="77777777" w:rsidR="00261A07" w:rsidRPr="00DF7705" w:rsidRDefault="00261A07" w:rsidP="001C38E1">
            <w:pPr>
              <w:rPr>
                <w:b/>
                <w:bCs/>
              </w:rPr>
            </w:pPr>
            <w:r w:rsidRPr="00DF7705">
              <w:rPr>
                <w:b/>
                <w:bCs/>
              </w:rPr>
              <w:t>95% Confidence Interval</w:t>
            </w:r>
          </w:p>
        </w:tc>
        <w:tc>
          <w:tcPr>
            <w:tcW w:w="0" w:type="auto"/>
            <w:vAlign w:val="center"/>
            <w:hideMark/>
          </w:tcPr>
          <w:p w14:paraId="4D47F77E" w14:textId="14BE279D" w:rsidR="00261A07" w:rsidRPr="00DF7705" w:rsidRDefault="00E7746A" w:rsidP="001C38E1">
            <w:pPr>
              <w:rPr>
                <w:b/>
                <w:bCs/>
              </w:rPr>
            </w:pPr>
            <w:r w:rsidRPr="00E7746A">
              <w:rPr>
                <w:b/>
                <w:bCs/>
                <w:i/>
                <w:iCs/>
              </w:rPr>
              <w:t>P</w:t>
            </w:r>
            <w:r>
              <w:rPr>
                <w:b/>
                <w:bCs/>
              </w:rPr>
              <w:t xml:space="preserve"> </w:t>
            </w:r>
            <w:r w:rsidR="00261A07" w:rsidRPr="00DF7705">
              <w:rPr>
                <w:b/>
                <w:bCs/>
              </w:rPr>
              <w:t>-value</w:t>
            </w:r>
          </w:p>
        </w:tc>
      </w:tr>
      <w:tr w:rsidR="00261A07" w:rsidRPr="00DF7705" w14:paraId="35456719" w14:textId="77777777" w:rsidTr="00CA5603">
        <w:trPr>
          <w:tblCellSpacing w:w="15" w:type="dxa"/>
          <w:jc w:val="center"/>
        </w:trPr>
        <w:tc>
          <w:tcPr>
            <w:tcW w:w="0" w:type="auto"/>
            <w:vAlign w:val="center"/>
            <w:hideMark/>
          </w:tcPr>
          <w:p w14:paraId="44FB432E" w14:textId="77777777" w:rsidR="00261A07" w:rsidRPr="00DF7705" w:rsidRDefault="00261A07" w:rsidP="001C38E1">
            <w:r w:rsidRPr="00DF7705">
              <w:t>LUS B-lines (per 5-line increase)</w:t>
            </w:r>
          </w:p>
        </w:tc>
        <w:tc>
          <w:tcPr>
            <w:tcW w:w="0" w:type="auto"/>
            <w:vAlign w:val="center"/>
            <w:hideMark/>
          </w:tcPr>
          <w:p w14:paraId="764D0CA1" w14:textId="77777777" w:rsidR="00261A07" w:rsidRPr="00DF7705" w:rsidRDefault="00261A07" w:rsidP="001C38E1">
            <w:r w:rsidRPr="00DF7705">
              <w:t>1.48</w:t>
            </w:r>
          </w:p>
        </w:tc>
        <w:tc>
          <w:tcPr>
            <w:tcW w:w="0" w:type="auto"/>
            <w:vAlign w:val="center"/>
            <w:hideMark/>
          </w:tcPr>
          <w:p w14:paraId="04EA834A" w14:textId="77777777" w:rsidR="00261A07" w:rsidRPr="00DF7705" w:rsidRDefault="00261A07" w:rsidP="001C38E1">
            <w:r w:rsidRPr="00DF7705">
              <w:t>1.22 – 1.79</w:t>
            </w:r>
          </w:p>
        </w:tc>
        <w:tc>
          <w:tcPr>
            <w:tcW w:w="0" w:type="auto"/>
            <w:vAlign w:val="center"/>
            <w:hideMark/>
          </w:tcPr>
          <w:p w14:paraId="33BB58AB" w14:textId="5E027086" w:rsidR="00261A07" w:rsidRPr="00DF7705" w:rsidRDefault="00261A07" w:rsidP="001C38E1">
            <w:r w:rsidRPr="00DF7705">
              <w:t>&lt;.001</w:t>
            </w:r>
          </w:p>
        </w:tc>
      </w:tr>
      <w:tr w:rsidR="00261A07" w:rsidRPr="00DF7705" w14:paraId="179F3851" w14:textId="77777777" w:rsidTr="00CA5603">
        <w:trPr>
          <w:tblCellSpacing w:w="15" w:type="dxa"/>
          <w:jc w:val="center"/>
        </w:trPr>
        <w:tc>
          <w:tcPr>
            <w:tcW w:w="0" w:type="auto"/>
            <w:vAlign w:val="center"/>
            <w:hideMark/>
          </w:tcPr>
          <w:p w14:paraId="4290EECB" w14:textId="77777777" w:rsidR="00261A07" w:rsidRPr="00DF7705" w:rsidRDefault="00261A07" w:rsidP="001C38E1">
            <w:r w:rsidRPr="00DF7705">
              <w:t>Age (per year)</w:t>
            </w:r>
          </w:p>
        </w:tc>
        <w:tc>
          <w:tcPr>
            <w:tcW w:w="0" w:type="auto"/>
            <w:vAlign w:val="center"/>
            <w:hideMark/>
          </w:tcPr>
          <w:p w14:paraId="4D25AAE0" w14:textId="77777777" w:rsidR="00261A07" w:rsidRPr="00DF7705" w:rsidRDefault="00261A07" w:rsidP="001C38E1">
            <w:r w:rsidRPr="00DF7705">
              <w:t>0.97</w:t>
            </w:r>
          </w:p>
        </w:tc>
        <w:tc>
          <w:tcPr>
            <w:tcW w:w="0" w:type="auto"/>
            <w:vAlign w:val="center"/>
            <w:hideMark/>
          </w:tcPr>
          <w:p w14:paraId="39193801" w14:textId="77777777" w:rsidR="00261A07" w:rsidRPr="00DF7705" w:rsidRDefault="00261A07" w:rsidP="001C38E1">
            <w:r w:rsidRPr="00DF7705">
              <w:t>0.93 – 1.01</w:t>
            </w:r>
          </w:p>
        </w:tc>
        <w:tc>
          <w:tcPr>
            <w:tcW w:w="0" w:type="auto"/>
            <w:vAlign w:val="center"/>
            <w:hideMark/>
          </w:tcPr>
          <w:p w14:paraId="17865608" w14:textId="1EA3B141" w:rsidR="00261A07" w:rsidRPr="00DF7705" w:rsidRDefault="00261A07" w:rsidP="001C38E1">
            <w:r w:rsidRPr="00DF7705">
              <w:t>.17</w:t>
            </w:r>
          </w:p>
        </w:tc>
      </w:tr>
      <w:tr w:rsidR="00261A07" w:rsidRPr="00DF7705" w14:paraId="714620D7" w14:textId="77777777" w:rsidTr="00CA5603">
        <w:trPr>
          <w:tblCellSpacing w:w="15" w:type="dxa"/>
          <w:jc w:val="center"/>
        </w:trPr>
        <w:tc>
          <w:tcPr>
            <w:tcW w:w="0" w:type="auto"/>
            <w:vAlign w:val="center"/>
            <w:hideMark/>
          </w:tcPr>
          <w:p w14:paraId="524032DF" w14:textId="77777777" w:rsidR="00261A07" w:rsidRPr="00DF7705" w:rsidRDefault="00261A07" w:rsidP="001C38E1">
            <w:r w:rsidRPr="00DF7705">
              <w:t>BMI (per kg/m²)</w:t>
            </w:r>
          </w:p>
        </w:tc>
        <w:tc>
          <w:tcPr>
            <w:tcW w:w="0" w:type="auto"/>
            <w:vAlign w:val="center"/>
            <w:hideMark/>
          </w:tcPr>
          <w:p w14:paraId="03EC7EBD" w14:textId="77777777" w:rsidR="00261A07" w:rsidRPr="00DF7705" w:rsidRDefault="00261A07" w:rsidP="001C38E1">
            <w:r w:rsidRPr="00DF7705">
              <w:t>0.99</w:t>
            </w:r>
          </w:p>
        </w:tc>
        <w:tc>
          <w:tcPr>
            <w:tcW w:w="0" w:type="auto"/>
            <w:vAlign w:val="center"/>
            <w:hideMark/>
          </w:tcPr>
          <w:p w14:paraId="22C6D774" w14:textId="77777777" w:rsidR="00261A07" w:rsidRPr="00DF7705" w:rsidRDefault="00261A07" w:rsidP="001C38E1">
            <w:r w:rsidRPr="00DF7705">
              <w:t>0.90 – 1.09</w:t>
            </w:r>
          </w:p>
        </w:tc>
        <w:tc>
          <w:tcPr>
            <w:tcW w:w="0" w:type="auto"/>
            <w:vAlign w:val="center"/>
            <w:hideMark/>
          </w:tcPr>
          <w:p w14:paraId="414438DC" w14:textId="08D3C5A9" w:rsidR="00261A07" w:rsidRPr="00DF7705" w:rsidRDefault="00261A07" w:rsidP="001C38E1">
            <w:r w:rsidRPr="00DF7705">
              <w:t>.82</w:t>
            </w:r>
          </w:p>
        </w:tc>
      </w:tr>
    </w:tbl>
    <w:p w14:paraId="02B0835E" w14:textId="77777777" w:rsidR="00261A07" w:rsidRDefault="00261A07" w:rsidP="001218E1"/>
    <w:p w14:paraId="744B71E4" w14:textId="0DB506B4" w:rsidR="00CA5603" w:rsidRPr="00CA5603" w:rsidRDefault="00CA5603" w:rsidP="0099200A">
      <w:pPr>
        <w:jc w:val="both"/>
      </w:pPr>
      <w:r w:rsidRPr="00CA5603">
        <w:rPr>
          <w:b/>
          <w:bCs/>
          <w:sz w:val="22"/>
          <w:szCs w:val="24"/>
        </w:rPr>
        <w:lastRenderedPageBreak/>
        <w:t>3.9. Inter-observer reliability:</w:t>
      </w:r>
      <w:r>
        <w:t xml:space="preserve"> </w:t>
      </w:r>
      <w:r w:rsidRPr="00CA5603">
        <w:t>Inter-observer reliability was evaluated in 23 randomly selected LUS examinations that were independently re-interpreted. Agreement for the predefined threshold of ≥24 B-lines was substantial, with Cohen’s κ of 0.75. This indicates consistent classification of congestion status between observers at the clinically relevant cutoff.</w:t>
      </w:r>
      <w:r>
        <w:t xml:space="preserve"> </w:t>
      </w:r>
      <w:r w:rsidRPr="00CA5603">
        <w:t>Agreement analysis focused on threshold-based categorization. Continuous duplicate measurements were not systematically recorded; therefore, intraclass correlation for total B-line counts could not be calculated.</w:t>
      </w:r>
      <w:r>
        <w:t xml:space="preserve"> </w:t>
      </w:r>
      <w:proofErr w:type="spellStart"/>
      <w:r w:rsidRPr="00CA5603">
        <w:t>ReDS</w:t>
      </w:r>
      <w:proofErr w:type="spellEnd"/>
      <w:r w:rsidRPr="00CA5603">
        <w:t xml:space="preserve"> provides an automated output and is less operator-dependent. Formal test–retest reproducibility was not assessed in this study.</w:t>
      </w:r>
    </w:p>
    <w:p w14:paraId="086BC8E8" w14:textId="1E86FDAF" w:rsidR="00FA1CA2" w:rsidRPr="00FA1CA2" w:rsidRDefault="00FA1CA2" w:rsidP="0099200A">
      <w:pPr>
        <w:jc w:val="both"/>
      </w:pPr>
      <w:r w:rsidRPr="00FA1CA2">
        <w:rPr>
          <w:b/>
          <w:bCs/>
          <w:sz w:val="22"/>
          <w:szCs w:val="24"/>
        </w:rPr>
        <w:t>3.10. Sensitivity analysis:</w:t>
      </w:r>
      <w:r>
        <w:t xml:space="preserve"> </w:t>
      </w:r>
      <w:r w:rsidRPr="00FA1CA2">
        <w:t>Sensitivity analysis restricted to a clinical score ≥5 produced similar AUC estimates for both modalities.</w:t>
      </w:r>
    </w:p>
    <w:p w14:paraId="26A82624" w14:textId="6E054D60" w:rsidR="00CA5603" w:rsidRPr="0099200A" w:rsidRDefault="0099200A" w:rsidP="001218E1">
      <w:pPr>
        <w:rPr>
          <w:rFonts w:eastAsiaTheme="majorEastAsia" w:cstheme="majorBidi"/>
          <w:b/>
          <w:bCs/>
          <w:color w:val="365F91" w:themeColor="accent1" w:themeShade="BF"/>
          <w:sz w:val="22"/>
          <w:szCs w:val="28"/>
        </w:rPr>
      </w:pPr>
      <w:r w:rsidRPr="0099200A">
        <w:rPr>
          <w:rFonts w:eastAsiaTheme="majorEastAsia" w:cstheme="majorBidi"/>
          <w:b/>
          <w:bCs/>
          <w:color w:val="365F91" w:themeColor="accent1" w:themeShade="BF"/>
          <w:sz w:val="22"/>
          <w:szCs w:val="28"/>
        </w:rPr>
        <w:t>4. DISCUSSION</w:t>
      </w:r>
    </w:p>
    <w:p w14:paraId="4737A70B" w14:textId="77777777" w:rsidR="0099200A" w:rsidRDefault="0099200A" w:rsidP="0099200A">
      <w:pPr>
        <w:jc w:val="both"/>
        <w:rPr>
          <w:b/>
          <w:bCs/>
        </w:rPr>
      </w:pPr>
      <w:r w:rsidRPr="006A06B4">
        <w:rPr>
          <w:b/>
          <w:bCs/>
        </w:rPr>
        <w:t>Principal Findings</w:t>
      </w:r>
    </w:p>
    <w:p w14:paraId="28754B5A" w14:textId="77777777" w:rsidR="0020631C" w:rsidRPr="0020631C" w:rsidRDefault="0020631C" w:rsidP="0020631C">
      <w:pPr>
        <w:spacing w:after="160" w:line="278" w:lineRule="auto"/>
        <w:jc w:val="both"/>
      </w:pPr>
      <w:r w:rsidRPr="0020631C">
        <w:t xml:space="preserve">In this prospective outpatient cohort, </w:t>
      </w:r>
      <w:proofErr w:type="spellStart"/>
      <w:r w:rsidRPr="0020631C">
        <w:t>ReDS</w:t>
      </w:r>
      <w:proofErr w:type="spellEnd"/>
      <w:r w:rsidRPr="0020631C">
        <w:t xml:space="preserve"> and LUS showed similar discrimination for detecting pulmonary congestion in patients with chronic HF. Both methods achieved good specificity and moderate sensitivity, with substantial inter-method agreement. In most patients, you can rely on either tool to classify congestion status. At the same time, correlation between continuous </w:t>
      </w:r>
      <w:proofErr w:type="spellStart"/>
      <w:r w:rsidRPr="0020631C">
        <w:t>ReDS</w:t>
      </w:r>
      <w:proofErr w:type="spellEnd"/>
      <w:r w:rsidRPr="0020631C">
        <w:t xml:space="preserve"> values and total B-line counts remained modest. This finding indicates that each modality reflects related but distinct physiological processes. These results align with prior validation and prognostic studies showing that both </w:t>
      </w:r>
      <w:proofErr w:type="spellStart"/>
      <w:r w:rsidRPr="0020631C">
        <w:t>ReDS</w:t>
      </w:r>
      <w:proofErr w:type="spellEnd"/>
      <w:r w:rsidRPr="0020631C">
        <w:t xml:space="preserve"> and LUS provide clinically meaningful measures of pulmonary congestion in ambulatory and hospitalized populations (Platz et al., 2017; Platz et al., 2016; Amir et al., 2013; </w:t>
      </w:r>
      <w:proofErr w:type="spellStart"/>
      <w:r w:rsidRPr="0020631C">
        <w:t>Bensimhon</w:t>
      </w:r>
      <w:proofErr w:type="spellEnd"/>
      <w:r w:rsidRPr="0020631C">
        <w:t xml:space="preserve"> et al., 2016; Amir et al., 2016; Imamura et al., 2017). In daily practice, you should not view one modality as a substitute for the other. Each adds unique information. When interpreted together, they strengthen clinical assessment and reduce diagnostic uncertainty.</w:t>
      </w:r>
    </w:p>
    <w:p w14:paraId="46DA2719" w14:textId="77777777" w:rsidR="0020631C" w:rsidRDefault="0099200A" w:rsidP="0020631C">
      <w:pPr>
        <w:spacing w:after="160" w:line="278" w:lineRule="auto"/>
        <w:jc w:val="both"/>
        <w:rPr>
          <w:b/>
          <w:bCs/>
        </w:rPr>
      </w:pPr>
      <w:r w:rsidRPr="006A06B4">
        <w:rPr>
          <w:b/>
          <w:bCs/>
        </w:rPr>
        <w:t>Interpretation</w:t>
      </w:r>
      <w:r w:rsidRPr="006A06B4">
        <w:br/>
      </w:r>
      <w:proofErr w:type="spellStart"/>
      <w:r w:rsidR="0020631C" w:rsidRPr="0020631C">
        <w:t>ReDS</w:t>
      </w:r>
      <w:proofErr w:type="spellEnd"/>
      <w:r w:rsidR="0020631C" w:rsidRPr="0020631C">
        <w:t xml:space="preserve"> estimates lung fluid percentage by measuring thoracic dielectric properties and reflects global thoracic fluid content, including intravascular and extravascular components (Amir et al., 2013; </w:t>
      </w:r>
      <w:proofErr w:type="spellStart"/>
      <w:r w:rsidR="0020631C" w:rsidRPr="0020631C">
        <w:t>Bensimhon</w:t>
      </w:r>
      <w:proofErr w:type="spellEnd"/>
      <w:r w:rsidR="0020631C" w:rsidRPr="0020631C">
        <w:t xml:space="preserve"> et al., 2016; Amir et al., 2016). LUS detects B-lines generated by thickened interlobular septa and primarily reflects alveolar-interstitial edema (Platz et al., 2017; Platz et al., 2016). These physiological differences explain the modest correlation observed in this study. When </w:t>
      </w:r>
      <w:proofErr w:type="spellStart"/>
      <w:r w:rsidR="0020631C" w:rsidRPr="0020631C">
        <w:t>ReDS</w:t>
      </w:r>
      <w:proofErr w:type="spellEnd"/>
      <w:r w:rsidR="0020631C" w:rsidRPr="0020631C">
        <w:t xml:space="preserve"> values were elevated and LUS findings were negative, patients often showed features of early or predominantly systemic congestion. This pattern matches reports linking </w:t>
      </w:r>
      <w:proofErr w:type="spellStart"/>
      <w:r w:rsidR="0020631C" w:rsidRPr="0020631C">
        <w:t>ReDS</w:t>
      </w:r>
      <w:proofErr w:type="spellEnd"/>
      <w:r w:rsidR="0020631C" w:rsidRPr="0020631C">
        <w:t xml:space="preserve"> to invasive filling pressures and total lung water burden (</w:t>
      </w:r>
      <w:proofErr w:type="spellStart"/>
      <w:r w:rsidR="0020631C" w:rsidRPr="0020631C">
        <w:t>Bensimhon</w:t>
      </w:r>
      <w:proofErr w:type="spellEnd"/>
      <w:r w:rsidR="0020631C" w:rsidRPr="0020631C">
        <w:t xml:space="preserve"> et al., 2016; Amir et al., 2016). In contrast, patients with positive LUS findings and lower </w:t>
      </w:r>
      <w:proofErr w:type="spellStart"/>
      <w:r w:rsidR="0020631C" w:rsidRPr="0020631C">
        <w:t>ReDS</w:t>
      </w:r>
      <w:proofErr w:type="spellEnd"/>
      <w:r w:rsidR="0020631C" w:rsidRPr="0020631C">
        <w:t xml:space="preserve"> values often showed localized pulmonary changes, particularly among HFpEF phenotypes, as described in comparative studies (Kato et al., 2023; </w:t>
      </w:r>
      <w:proofErr w:type="spellStart"/>
      <w:r w:rsidR="0020631C" w:rsidRPr="0020631C">
        <w:t>Kobalava</w:t>
      </w:r>
      <w:proofErr w:type="spellEnd"/>
      <w:r w:rsidR="0020631C" w:rsidRPr="0020631C">
        <w:t xml:space="preserve"> et al., 2023; </w:t>
      </w:r>
      <w:proofErr w:type="spellStart"/>
      <w:r w:rsidR="0020631C" w:rsidRPr="0020631C">
        <w:t>Kobalava</w:t>
      </w:r>
      <w:proofErr w:type="spellEnd"/>
      <w:r w:rsidR="0020631C" w:rsidRPr="0020631C">
        <w:t xml:space="preserve"> et al., 2024; Huang et al., 2026). Together, these discordant patterns show that congestion is not uniform. It changes over time and varies in distribution. </w:t>
      </w:r>
      <w:proofErr w:type="spellStart"/>
      <w:r w:rsidR="0020631C" w:rsidRPr="0020631C">
        <w:t>ReDS</w:t>
      </w:r>
      <w:proofErr w:type="spellEnd"/>
      <w:r w:rsidR="0020631C" w:rsidRPr="0020631C">
        <w:t xml:space="preserve"> appears more sensitive to early volume accumulation. LUS detects structural changes within the lung </w:t>
      </w:r>
      <w:proofErr w:type="spellStart"/>
      <w:r w:rsidR="0020631C" w:rsidRPr="0020631C">
        <w:t>interstitium</w:t>
      </w:r>
      <w:proofErr w:type="spellEnd"/>
      <w:r w:rsidR="0020631C" w:rsidRPr="0020631C">
        <w:t>. When you interpret both results together, you gain a clearer view of cardiopulmonary fluid status and disease trajectory.</w:t>
      </w:r>
      <w:r w:rsidR="0020631C" w:rsidRPr="0020631C">
        <w:rPr>
          <w:b/>
          <w:bCs/>
        </w:rPr>
        <w:t xml:space="preserve"> </w:t>
      </w:r>
    </w:p>
    <w:p w14:paraId="50E53E9C" w14:textId="1CF38FA3" w:rsidR="0099200A" w:rsidRDefault="0099200A" w:rsidP="0020631C">
      <w:pPr>
        <w:spacing w:after="160" w:line="278" w:lineRule="auto"/>
        <w:jc w:val="both"/>
        <w:rPr>
          <w:b/>
          <w:bCs/>
        </w:rPr>
      </w:pPr>
      <w:r w:rsidRPr="006A06B4">
        <w:rPr>
          <w:b/>
          <w:bCs/>
        </w:rPr>
        <w:t>Clinical Implications</w:t>
      </w:r>
    </w:p>
    <w:p w14:paraId="36D3740B" w14:textId="33CE8689" w:rsidR="0099200A" w:rsidRPr="006A06B4" w:rsidRDefault="00312FB5" w:rsidP="0099200A">
      <w:pPr>
        <w:spacing w:after="160" w:line="278" w:lineRule="auto"/>
        <w:jc w:val="both"/>
      </w:pPr>
      <w:r w:rsidRPr="00312FB5">
        <w:t xml:space="preserve">In routine outpatient care, </w:t>
      </w:r>
      <w:proofErr w:type="spellStart"/>
      <w:r w:rsidRPr="00312FB5">
        <w:t>ReDS</w:t>
      </w:r>
      <w:proofErr w:type="spellEnd"/>
      <w:r w:rsidRPr="00312FB5">
        <w:t xml:space="preserve"> provides a rapid and standardized screening tool. A single automated measurement requires limited training and fits easily into high-volume clinics. When </w:t>
      </w:r>
      <w:proofErr w:type="spellStart"/>
      <w:r w:rsidRPr="00312FB5">
        <w:t>ReDS</w:t>
      </w:r>
      <w:proofErr w:type="spellEnd"/>
      <w:r w:rsidRPr="00312FB5">
        <w:t xml:space="preserve"> values exceed the prespecified threshold, you can identify patients at higher risk of </w:t>
      </w:r>
      <w:r w:rsidRPr="00312FB5">
        <w:lastRenderedPageBreak/>
        <w:t xml:space="preserve">decompensation, consistent with prior outcome studies (Imamura et al., 2017; Abraham et al., 2017; Olesen et al., 2022; Lala et al., 2021). LUS adds value by defining the anatomical pattern and extent of pulmonary congestion. It helps you distinguish diffuse edema from focal or patchy changes and assess treatment response in real time (Platz et al., 2017; Platz et al., 2016; Domingo et al., 2021; Rastogi et al., 2024). A sequential strategy is practical. Firstly, </w:t>
      </w:r>
      <w:proofErr w:type="spellStart"/>
      <w:r w:rsidRPr="00312FB5">
        <w:t>ReDS</w:t>
      </w:r>
      <w:proofErr w:type="spellEnd"/>
      <w:r w:rsidRPr="00312FB5">
        <w:t xml:space="preserve"> may be used to screen for subclinical congestion, LUS can then be used to guide targeted diuretic adjustment and follow-up if </w:t>
      </w:r>
      <w:proofErr w:type="spellStart"/>
      <w:r w:rsidRPr="00312FB5">
        <w:t>ReDS</w:t>
      </w:r>
      <w:proofErr w:type="spellEnd"/>
      <w:r w:rsidRPr="00312FB5">
        <w:t xml:space="preserve"> results are positive or uncertainty persists. This approach reflects emerging models of integrated congestion monitoring that combine objective measurements with bedside assessment (Kato et al., 2023; </w:t>
      </w:r>
      <w:proofErr w:type="spellStart"/>
      <w:r w:rsidRPr="00312FB5">
        <w:t>Kobalava</w:t>
      </w:r>
      <w:proofErr w:type="spellEnd"/>
      <w:r w:rsidRPr="00312FB5">
        <w:t xml:space="preserve"> et al., 2023; </w:t>
      </w:r>
      <w:proofErr w:type="spellStart"/>
      <w:r w:rsidRPr="00312FB5">
        <w:t>Kobalava</w:t>
      </w:r>
      <w:proofErr w:type="spellEnd"/>
      <w:r w:rsidRPr="00312FB5">
        <w:t xml:space="preserve"> et al., 2024; Huang et al., 2026). It also supports personalized volume management, which remains central to reducing hospitalization and symptom burden in HF (Savarese et al., 2023; </w:t>
      </w:r>
      <w:proofErr w:type="spellStart"/>
      <w:r w:rsidRPr="00312FB5">
        <w:t>Gheorghiade</w:t>
      </w:r>
      <w:proofErr w:type="spellEnd"/>
      <w:r w:rsidRPr="00312FB5">
        <w:t xml:space="preserve"> et al., 2010; McDonagh et al., 2021).</w:t>
      </w:r>
    </w:p>
    <w:p w14:paraId="691793B9" w14:textId="77777777" w:rsidR="0099200A" w:rsidRPr="006A06B4" w:rsidRDefault="0099200A" w:rsidP="0099200A">
      <w:pPr>
        <w:spacing w:after="160" w:line="278" w:lineRule="auto"/>
        <w:jc w:val="both"/>
      </w:pPr>
      <w:r w:rsidRPr="006A06B4">
        <w:rPr>
          <w:b/>
          <w:bCs/>
        </w:rPr>
        <w:t>Strengths</w:t>
      </w:r>
      <w:r w:rsidRPr="006A06B4">
        <w:br/>
        <w:t>This study has several methodological strengths. We used a prospective design with predefined protocols for both index tests. Blinded adjudication reduced assessment bias. Standardized acquisition and interpretation procedures improved reproducibility. Complete datasets limited selective reporting. These features strengthen internal validity and support confidence in the findings.</w:t>
      </w:r>
    </w:p>
    <w:p w14:paraId="369A3B32" w14:textId="0A67AF9F" w:rsidR="001C3883" w:rsidRPr="00312FB5" w:rsidRDefault="0099200A" w:rsidP="00312FB5">
      <w:pPr>
        <w:spacing w:after="160" w:line="278" w:lineRule="auto"/>
        <w:jc w:val="both"/>
        <w:rPr>
          <w:rFonts w:eastAsiaTheme="majorEastAsia" w:cstheme="majorBidi"/>
          <w:b/>
          <w:bCs/>
          <w:color w:val="365F91" w:themeColor="accent1" w:themeShade="BF"/>
          <w:sz w:val="22"/>
          <w:szCs w:val="28"/>
        </w:rPr>
      </w:pPr>
      <w:r w:rsidRPr="00312FB5">
        <w:rPr>
          <w:rFonts w:eastAsiaTheme="majorEastAsia" w:cstheme="majorBidi"/>
          <w:b/>
          <w:bCs/>
          <w:color w:val="365F91" w:themeColor="accent1" w:themeShade="BF"/>
          <w:sz w:val="22"/>
          <w:szCs w:val="28"/>
        </w:rPr>
        <w:t>5. CONCLUSION</w:t>
      </w:r>
    </w:p>
    <w:p w14:paraId="55DDBFA9" w14:textId="4B2C6D82" w:rsidR="001C3883" w:rsidRDefault="0099200A" w:rsidP="0099200A">
      <w:pPr>
        <w:jc w:val="both"/>
      </w:pPr>
      <w:proofErr w:type="spellStart"/>
      <w:r w:rsidRPr="006A06B4">
        <w:t>ReDS</w:t>
      </w:r>
      <w:proofErr w:type="spellEnd"/>
      <w:r w:rsidRPr="006A06B4">
        <w:t xml:space="preserve"> and LUS demonstrated comparable diagnostic accuracy for identifying pulmonary congestion in ambulatory HF patients. Their modest correlation and substantial agreement support complementary clinical roles. Combined use promotes structured and objective congestion assessment in outpatient care. Future studies should include independent reference standards, broader operator populations, and outcome-based validation to refine implementation strategies.</w:t>
      </w:r>
    </w:p>
    <w:p w14:paraId="78BE9114" w14:textId="77777777" w:rsidR="009215FB" w:rsidRPr="00312FB5" w:rsidRDefault="009215FB" w:rsidP="009215FB">
      <w:pPr>
        <w:spacing w:after="160" w:line="278" w:lineRule="auto"/>
        <w:jc w:val="both"/>
      </w:pPr>
      <w:r w:rsidRPr="006A06B4">
        <w:rPr>
          <w:b/>
          <w:bCs/>
        </w:rPr>
        <w:t>Limitations</w:t>
      </w:r>
      <w:r w:rsidRPr="006A06B4">
        <w:br/>
      </w:r>
      <w:r w:rsidRPr="00312FB5">
        <w:t>Several limitations require attention. The composite reference standard lacks external validation and may misclassify some patients, particularly in stable outpatient settings (</w:t>
      </w:r>
      <w:proofErr w:type="spellStart"/>
      <w:r w:rsidRPr="00312FB5">
        <w:t>Gheorghiade</w:t>
      </w:r>
      <w:proofErr w:type="spellEnd"/>
      <w:r w:rsidRPr="00312FB5">
        <w:t xml:space="preserve"> et al., 2010; Januzzi et al., 2018). The absence of invasive hemodynamic confirmation limits mechanistic interpretation. The single-center design restricts generalizability. The moderate sample size limits power for subgroup analyses. LUS examinations were performed by experienced operators, which may overestimate performance in less specialized settings (Ceriani et al., 2021). </w:t>
      </w:r>
      <w:proofErr w:type="spellStart"/>
      <w:r w:rsidRPr="00312FB5">
        <w:t>ReDS</w:t>
      </w:r>
      <w:proofErr w:type="spellEnd"/>
      <w:r w:rsidRPr="00312FB5">
        <w:t xml:space="preserve"> reproducibility was not independently evaluated, and device positioning may influence measurements. Longitudinal outcomes, including hospitalization and mortality, were not assessed. Future multicenter studies should address these gaps.</w:t>
      </w:r>
    </w:p>
    <w:p w14:paraId="4A27E818" w14:textId="77777777" w:rsidR="000D1012" w:rsidRPr="000D1012" w:rsidRDefault="000D1012" w:rsidP="000D1012">
      <w:pPr>
        <w:pStyle w:val="ReferHead"/>
        <w:spacing w:after="0"/>
        <w:jc w:val="both"/>
        <w:rPr>
          <w:rFonts w:ascii="Arial" w:hAnsi="Arial" w:cs="Arial"/>
          <w:bCs/>
        </w:rPr>
      </w:pPr>
      <w:bookmarkStart w:id="0" w:name="_GoBack"/>
      <w:bookmarkEnd w:id="0"/>
    </w:p>
    <w:p w14:paraId="7407F0EA" w14:textId="496D0F07" w:rsidR="00CC3D1A" w:rsidRDefault="00CC3D1A" w:rsidP="00CC3D1A">
      <w:r w:rsidRPr="00CC3D1A">
        <w:rPr>
          <w:rFonts w:eastAsiaTheme="majorEastAsia" w:cstheme="majorBidi"/>
          <w:b/>
          <w:bCs/>
          <w:color w:val="365F91" w:themeColor="accent1" w:themeShade="BF"/>
          <w:sz w:val="22"/>
          <w:szCs w:val="28"/>
        </w:rPr>
        <w:t>INFORMED CONSENT</w:t>
      </w:r>
      <w:r>
        <w:br/>
      </w:r>
      <w:r w:rsidR="000D1012" w:rsidRPr="000D1012">
        <w:rPr>
          <w:rFonts w:cs="Arial"/>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2FD754A2" w14:textId="3E30A30C" w:rsidR="000B6FFA" w:rsidRDefault="00CC3D1A" w:rsidP="00CC3D1A">
      <w:r w:rsidRPr="00CC3D1A">
        <w:rPr>
          <w:rFonts w:eastAsiaTheme="majorEastAsia" w:cstheme="majorBidi"/>
          <w:b/>
          <w:bCs/>
          <w:color w:val="365F91" w:themeColor="accent1" w:themeShade="BF"/>
          <w:sz w:val="22"/>
          <w:szCs w:val="28"/>
        </w:rPr>
        <w:t>ETHICAL APPROVA</w:t>
      </w:r>
      <w:r>
        <w:rPr>
          <w:rFonts w:eastAsiaTheme="majorEastAsia" w:cstheme="majorBidi"/>
          <w:b/>
          <w:bCs/>
          <w:color w:val="365F91" w:themeColor="accent1" w:themeShade="BF"/>
          <w:sz w:val="22"/>
          <w:szCs w:val="28"/>
        </w:rPr>
        <w:t>L</w:t>
      </w:r>
      <w:r>
        <w:rPr>
          <w:rFonts w:eastAsiaTheme="majorEastAsia" w:cstheme="majorBidi"/>
          <w:b/>
          <w:bCs/>
          <w:color w:val="365F91" w:themeColor="accent1" w:themeShade="BF"/>
          <w:sz w:val="22"/>
          <w:szCs w:val="28"/>
        </w:rPr>
        <w:br/>
      </w:r>
      <w:r w:rsidR="000B6FFA">
        <w:rPr>
          <w:rFonts w:cs="Arial"/>
          <w:bCs/>
        </w:rPr>
        <w:t>Ethical committee approval was obtained prior to initiating study</w:t>
      </w:r>
      <w:r>
        <w:rPr>
          <w:rFonts w:cs="Arial"/>
          <w:bCs/>
        </w:rPr>
        <w:t xml:space="preserve"> </w:t>
      </w:r>
      <w:r w:rsidR="000B6FFA">
        <w:rPr>
          <w:rFonts w:cs="Arial"/>
          <w:bCs/>
        </w:rPr>
        <w:t xml:space="preserve">(Ethics Committee approval number- </w:t>
      </w:r>
      <w:r w:rsidR="000B6FFA">
        <w:t>AMH – DNB-078/08-23</w:t>
      </w:r>
      <w:r w:rsidR="000B6FFA">
        <w:rPr>
          <w:rFonts w:cs="Arial"/>
          <w:bCs/>
        </w:rPr>
        <w:t xml:space="preserve">). </w:t>
      </w:r>
      <w:r>
        <w:rPr>
          <w:rFonts w:cs="Arial"/>
          <w:bCs/>
        </w:rPr>
        <w:t>All study related protocols, consent and documents were submitted and approved by the committee.</w:t>
      </w:r>
    </w:p>
    <w:p w14:paraId="11A990C0" w14:textId="77777777" w:rsidR="009215FB" w:rsidRDefault="009215FB" w:rsidP="009215FB">
      <w:pPr>
        <w:spacing w:after="160" w:line="278" w:lineRule="auto"/>
      </w:pPr>
      <w:r w:rsidRPr="00B452FE">
        <w:rPr>
          <w:rFonts w:eastAsiaTheme="majorEastAsia" w:cstheme="majorBidi"/>
          <w:b/>
          <w:bCs/>
          <w:color w:val="365F91" w:themeColor="accent1" w:themeShade="BF"/>
          <w:sz w:val="22"/>
          <w:szCs w:val="28"/>
        </w:rPr>
        <w:lastRenderedPageBreak/>
        <w:t>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8"/>
        <w:gridCol w:w="5078"/>
      </w:tblGrid>
      <w:tr w:rsidR="009215FB" w:rsidRPr="00B452FE" w14:paraId="52BD3A74" w14:textId="77777777" w:rsidTr="00A0661F">
        <w:trPr>
          <w:tblHeader/>
          <w:tblCellSpacing w:w="15" w:type="dxa"/>
        </w:trPr>
        <w:tc>
          <w:tcPr>
            <w:tcW w:w="0" w:type="auto"/>
            <w:vAlign w:val="center"/>
            <w:hideMark/>
          </w:tcPr>
          <w:p w14:paraId="3122D8F6" w14:textId="77777777" w:rsidR="009215FB" w:rsidRPr="00B452FE" w:rsidRDefault="009215FB" w:rsidP="00A0661F">
            <w:pPr>
              <w:spacing w:after="160" w:line="278" w:lineRule="auto"/>
              <w:rPr>
                <w:b/>
                <w:bCs/>
              </w:rPr>
            </w:pPr>
            <w:r w:rsidRPr="00B452FE">
              <w:rPr>
                <w:b/>
                <w:bCs/>
              </w:rPr>
              <w:t>Abbreviation</w:t>
            </w:r>
          </w:p>
        </w:tc>
        <w:tc>
          <w:tcPr>
            <w:tcW w:w="0" w:type="auto"/>
            <w:vAlign w:val="center"/>
            <w:hideMark/>
          </w:tcPr>
          <w:p w14:paraId="20EA2C96" w14:textId="77777777" w:rsidR="009215FB" w:rsidRPr="00B452FE" w:rsidRDefault="009215FB" w:rsidP="00A0661F">
            <w:pPr>
              <w:spacing w:after="160" w:line="278" w:lineRule="auto"/>
              <w:rPr>
                <w:b/>
                <w:bCs/>
              </w:rPr>
            </w:pPr>
            <w:r w:rsidRPr="00B452FE">
              <w:rPr>
                <w:b/>
                <w:bCs/>
              </w:rPr>
              <w:t>Full Term</w:t>
            </w:r>
          </w:p>
        </w:tc>
      </w:tr>
      <w:tr w:rsidR="009215FB" w:rsidRPr="00B452FE" w14:paraId="49A5BA0D" w14:textId="77777777" w:rsidTr="00A0661F">
        <w:trPr>
          <w:tblCellSpacing w:w="15" w:type="dxa"/>
        </w:trPr>
        <w:tc>
          <w:tcPr>
            <w:tcW w:w="0" w:type="auto"/>
            <w:vAlign w:val="center"/>
            <w:hideMark/>
          </w:tcPr>
          <w:p w14:paraId="40784450" w14:textId="77777777" w:rsidR="009215FB" w:rsidRPr="00B452FE" w:rsidRDefault="009215FB" w:rsidP="00A0661F">
            <w:pPr>
              <w:spacing w:after="160" w:line="278" w:lineRule="auto"/>
            </w:pPr>
            <w:r w:rsidRPr="00B452FE">
              <w:t>AUC</w:t>
            </w:r>
          </w:p>
        </w:tc>
        <w:tc>
          <w:tcPr>
            <w:tcW w:w="0" w:type="auto"/>
            <w:vAlign w:val="center"/>
            <w:hideMark/>
          </w:tcPr>
          <w:p w14:paraId="60E19889" w14:textId="77777777" w:rsidR="009215FB" w:rsidRPr="00B452FE" w:rsidRDefault="009215FB" w:rsidP="00A0661F">
            <w:pPr>
              <w:spacing w:after="160" w:line="278" w:lineRule="auto"/>
            </w:pPr>
            <w:r w:rsidRPr="00B452FE">
              <w:t>Area Under the Receiver Operating Characteristic Curve</w:t>
            </w:r>
          </w:p>
        </w:tc>
      </w:tr>
      <w:tr w:rsidR="009215FB" w:rsidRPr="00B452FE" w14:paraId="2612C399" w14:textId="77777777" w:rsidTr="00A0661F">
        <w:trPr>
          <w:tblCellSpacing w:w="15" w:type="dxa"/>
        </w:trPr>
        <w:tc>
          <w:tcPr>
            <w:tcW w:w="0" w:type="auto"/>
            <w:vAlign w:val="center"/>
            <w:hideMark/>
          </w:tcPr>
          <w:p w14:paraId="75DF6F58" w14:textId="77777777" w:rsidR="009215FB" w:rsidRPr="00B452FE" w:rsidRDefault="009215FB" w:rsidP="00A0661F">
            <w:pPr>
              <w:spacing w:after="160" w:line="278" w:lineRule="auto"/>
            </w:pPr>
            <w:r w:rsidRPr="00B452FE">
              <w:t>BMI</w:t>
            </w:r>
          </w:p>
        </w:tc>
        <w:tc>
          <w:tcPr>
            <w:tcW w:w="0" w:type="auto"/>
            <w:vAlign w:val="center"/>
            <w:hideMark/>
          </w:tcPr>
          <w:p w14:paraId="17BF6F05" w14:textId="77777777" w:rsidR="009215FB" w:rsidRPr="00B452FE" w:rsidRDefault="009215FB" w:rsidP="00A0661F">
            <w:pPr>
              <w:spacing w:after="160" w:line="278" w:lineRule="auto"/>
            </w:pPr>
            <w:r w:rsidRPr="00B452FE">
              <w:t>Body Mass Index</w:t>
            </w:r>
          </w:p>
        </w:tc>
      </w:tr>
      <w:tr w:rsidR="009215FB" w:rsidRPr="00B452FE" w14:paraId="3C8B6BC4" w14:textId="77777777" w:rsidTr="00A0661F">
        <w:trPr>
          <w:tblCellSpacing w:w="15" w:type="dxa"/>
        </w:trPr>
        <w:tc>
          <w:tcPr>
            <w:tcW w:w="0" w:type="auto"/>
            <w:vAlign w:val="center"/>
            <w:hideMark/>
          </w:tcPr>
          <w:p w14:paraId="38E68193" w14:textId="77777777" w:rsidR="009215FB" w:rsidRPr="00B452FE" w:rsidRDefault="009215FB" w:rsidP="00A0661F">
            <w:pPr>
              <w:spacing w:after="160" w:line="278" w:lineRule="auto"/>
            </w:pPr>
            <w:r w:rsidRPr="00B452FE">
              <w:t>CI</w:t>
            </w:r>
          </w:p>
        </w:tc>
        <w:tc>
          <w:tcPr>
            <w:tcW w:w="0" w:type="auto"/>
            <w:vAlign w:val="center"/>
            <w:hideMark/>
          </w:tcPr>
          <w:p w14:paraId="7E05B8B1" w14:textId="77777777" w:rsidR="009215FB" w:rsidRPr="00B452FE" w:rsidRDefault="009215FB" w:rsidP="00A0661F">
            <w:pPr>
              <w:spacing w:after="160" w:line="278" w:lineRule="auto"/>
            </w:pPr>
            <w:r w:rsidRPr="00B452FE">
              <w:t>Confidence Interval</w:t>
            </w:r>
          </w:p>
        </w:tc>
      </w:tr>
      <w:tr w:rsidR="009215FB" w:rsidRPr="00B452FE" w14:paraId="1ED15003" w14:textId="77777777" w:rsidTr="00A0661F">
        <w:trPr>
          <w:tblCellSpacing w:w="15" w:type="dxa"/>
        </w:trPr>
        <w:tc>
          <w:tcPr>
            <w:tcW w:w="0" w:type="auto"/>
            <w:vAlign w:val="center"/>
            <w:hideMark/>
          </w:tcPr>
          <w:p w14:paraId="4BB215A5" w14:textId="77777777" w:rsidR="009215FB" w:rsidRPr="00B452FE" w:rsidRDefault="009215FB" w:rsidP="00A0661F">
            <w:pPr>
              <w:spacing w:after="160" w:line="278" w:lineRule="auto"/>
            </w:pPr>
            <w:r w:rsidRPr="00B452FE">
              <w:t>DOR</w:t>
            </w:r>
          </w:p>
        </w:tc>
        <w:tc>
          <w:tcPr>
            <w:tcW w:w="0" w:type="auto"/>
            <w:vAlign w:val="center"/>
            <w:hideMark/>
          </w:tcPr>
          <w:p w14:paraId="09F533CF" w14:textId="77777777" w:rsidR="009215FB" w:rsidRPr="00B452FE" w:rsidRDefault="009215FB" w:rsidP="00A0661F">
            <w:pPr>
              <w:spacing w:after="160" w:line="278" w:lineRule="auto"/>
            </w:pPr>
            <w:r w:rsidRPr="00B452FE">
              <w:t>Diagnostic Odds Ratio</w:t>
            </w:r>
          </w:p>
        </w:tc>
      </w:tr>
      <w:tr w:rsidR="009215FB" w:rsidRPr="00B452FE" w14:paraId="5095EE2E" w14:textId="77777777" w:rsidTr="00A0661F">
        <w:trPr>
          <w:tblCellSpacing w:w="15" w:type="dxa"/>
        </w:trPr>
        <w:tc>
          <w:tcPr>
            <w:tcW w:w="0" w:type="auto"/>
            <w:vAlign w:val="center"/>
            <w:hideMark/>
          </w:tcPr>
          <w:p w14:paraId="5EF74553" w14:textId="77777777" w:rsidR="009215FB" w:rsidRPr="00B452FE" w:rsidRDefault="009215FB" w:rsidP="00A0661F">
            <w:pPr>
              <w:spacing w:after="160" w:line="278" w:lineRule="auto"/>
            </w:pPr>
            <w:r w:rsidRPr="00B452FE">
              <w:t>HF</w:t>
            </w:r>
          </w:p>
        </w:tc>
        <w:tc>
          <w:tcPr>
            <w:tcW w:w="0" w:type="auto"/>
            <w:vAlign w:val="center"/>
            <w:hideMark/>
          </w:tcPr>
          <w:p w14:paraId="4F2B70DF" w14:textId="77777777" w:rsidR="009215FB" w:rsidRPr="00B452FE" w:rsidRDefault="009215FB" w:rsidP="00A0661F">
            <w:pPr>
              <w:spacing w:after="160" w:line="278" w:lineRule="auto"/>
            </w:pPr>
            <w:r w:rsidRPr="00B452FE">
              <w:t>Heart Failure</w:t>
            </w:r>
          </w:p>
        </w:tc>
      </w:tr>
      <w:tr w:rsidR="009215FB" w:rsidRPr="00B452FE" w14:paraId="728B71CF" w14:textId="77777777" w:rsidTr="00A0661F">
        <w:trPr>
          <w:tblCellSpacing w:w="15" w:type="dxa"/>
        </w:trPr>
        <w:tc>
          <w:tcPr>
            <w:tcW w:w="0" w:type="auto"/>
            <w:vAlign w:val="center"/>
            <w:hideMark/>
          </w:tcPr>
          <w:p w14:paraId="22DF4C61" w14:textId="77777777" w:rsidR="009215FB" w:rsidRPr="00B452FE" w:rsidRDefault="009215FB" w:rsidP="00A0661F">
            <w:pPr>
              <w:spacing w:after="160" w:line="278" w:lineRule="auto"/>
            </w:pPr>
            <w:r w:rsidRPr="00B452FE">
              <w:t>HFpEF</w:t>
            </w:r>
          </w:p>
        </w:tc>
        <w:tc>
          <w:tcPr>
            <w:tcW w:w="0" w:type="auto"/>
            <w:vAlign w:val="center"/>
            <w:hideMark/>
          </w:tcPr>
          <w:p w14:paraId="6B81EDC4" w14:textId="77777777" w:rsidR="009215FB" w:rsidRPr="00B452FE" w:rsidRDefault="009215FB" w:rsidP="00A0661F">
            <w:pPr>
              <w:spacing w:after="160" w:line="278" w:lineRule="auto"/>
            </w:pPr>
            <w:r w:rsidRPr="00B452FE">
              <w:t>Heart Failure with Preserved Ejection Fraction</w:t>
            </w:r>
          </w:p>
        </w:tc>
      </w:tr>
      <w:tr w:rsidR="009215FB" w:rsidRPr="00B452FE" w14:paraId="72BD8D8C" w14:textId="77777777" w:rsidTr="00A0661F">
        <w:trPr>
          <w:tblCellSpacing w:w="15" w:type="dxa"/>
        </w:trPr>
        <w:tc>
          <w:tcPr>
            <w:tcW w:w="0" w:type="auto"/>
            <w:vAlign w:val="center"/>
            <w:hideMark/>
          </w:tcPr>
          <w:p w14:paraId="6A9A0AE8" w14:textId="77777777" w:rsidR="009215FB" w:rsidRPr="00B452FE" w:rsidRDefault="009215FB" w:rsidP="00A0661F">
            <w:pPr>
              <w:spacing w:after="160" w:line="278" w:lineRule="auto"/>
            </w:pPr>
            <w:proofErr w:type="spellStart"/>
            <w:r w:rsidRPr="00B452FE">
              <w:t>HFrEF</w:t>
            </w:r>
            <w:proofErr w:type="spellEnd"/>
          </w:p>
        </w:tc>
        <w:tc>
          <w:tcPr>
            <w:tcW w:w="0" w:type="auto"/>
            <w:vAlign w:val="center"/>
            <w:hideMark/>
          </w:tcPr>
          <w:p w14:paraId="32A15819" w14:textId="77777777" w:rsidR="009215FB" w:rsidRPr="00B452FE" w:rsidRDefault="009215FB" w:rsidP="00A0661F">
            <w:pPr>
              <w:spacing w:after="160" w:line="278" w:lineRule="auto"/>
            </w:pPr>
            <w:r w:rsidRPr="00B452FE">
              <w:t>Heart Failure with Reduced Ejection Fraction</w:t>
            </w:r>
          </w:p>
        </w:tc>
      </w:tr>
      <w:tr w:rsidR="009215FB" w:rsidRPr="00B452FE" w14:paraId="1B363708" w14:textId="77777777" w:rsidTr="00A0661F">
        <w:trPr>
          <w:tblCellSpacing w:w="15" w:type="dxa"/>
        </w:trPr>
        <w:tc>
          <w:tcPr>
            <w:tcW w:w="0" w:type="auto"/>
            <w:vAlign w:val="center"/>
            <w:hideMark/>
          </w:tcPr>
          <w:p w14:paraId="6CEC2539" w14:textId="77777777" w:rsidR="009215FB" w:rsidRPr="00B452FE" w:rsidRDefault="009215FB" w:rsidP="00A0661F">
            <w:pPr>
              <w:spacing w:after="160" w:line="278" w:lineRule="auto"/>
            </w:pPr>
            <w:r w:rsidRPr="00B452FE">
              <w:t>LUS</w:t>
            </w:r>
          </w:p>
        </w:tc>
        <w:tc>
          <w:tcPr>
            <w:tcW w:w="0" w:type="auto"/>
            <w:vAlign w:val="center"/>
            <w:hideMark/>
          </w:tcPr>
          <w:p w14:paraId="3A5CF52B" w14:textId="77777777" w:rsidR="009215FB" w:rsidRPr="00B452FE" w:rsidRDefault="009215FB" w:rsidP="00A0661F">
            <w:pPr>
              <w:spacing w:after="160" w:line="278" w:lineRule="auto"/>
            </w:pPr>
            <w:r w:rsidRPr="00B452FE">
              <w:t>Lung Ultrasound</w:t>
            </w:r>
          </w:p>
        </w:tc>
      </w:tr>
      <w:tr w:rsidR="009215FB" w:rsidRPr="00B452FE" w14:paraId="27F94FEA" w14:textId="77777777" w:rsidTr="00A0661F">
        <w:trPr>
          <w:tblCellSpacing w:w="15" w:type="dxa"/>
        </w:trPr>
        <w:tc>
          <w:tcPr>
            <w:tcW w:w="0" w:type="auto"/>
            <w:vAlign w:val="center"/>
            <w:hideMark/>
          </w:tcPr>
          <w:p w14:paraId="09EA0188" w14:textId="77777777" w:rsidR="009215FB" w:rsidRPr="00B452FE" w:rsidRDefault="009215FB" w:rsidP="00A0661F">
            <w:pPr>
              <w:spacing w:after="160" w:line="278" w:lineRule="auto"/>
            </w:pPr>
            <w:r w:rsidRPr="00B452FE">
              <w:t>LR+</w:t>
            </w:r>
          </w:p>
        </w:tc>
        <w:tc>
          <w:tcPr>
            <w:tcW w:w="0" w:type="auto"/>
            <w:vAlign w:val="center"/>
            <w:hideMark/>
          </w:tcPr>
          <w:p w14:paraId="714966CA" w14:textId="77777777" w:rsidR="009215FB" w:rsidRPr="00B452FE" w:rsidRDefault="009215FB" w:rsidP="00A0661F">
            <w:pPr>
              <w:spacing w:after="160" w:line="278" w:lineRule="auto"/>
            </w:pPr>
            <w:r w:rsidRPr="00B452FE">
              <w:t>Positive Likelihood Ratio</w:t>
            </w:r>
          </w:p>
        </w:tc>
      </w:tr>
      <w:tr w:rsidR="009215FB" w:rsidRPr="00B452FE" w14:paraId="0EEC8761" w14:textId="77777777" w:rsidTr="00A0661F">
        <w:trPr>
          <w:tblCellSpacing w:w="15" w:type="dxa"/>
        </w:trPr>
        <w:tc>
          <w:tcPr>
            <w:tcW w:w="0" w:type="auto"/>
            <w:vAlign w:val="center"/>
            <w:hideMark/>
          </w:tcPr>
          <w:p w14:paraId="227B99A7" w14:textId="77777777" w:rsidR="009215FB" w:rsidRPr="00B452FE" w:rsidRDefault="009215FB" w:rsidP="00A0661F">
            <w:pPr>
              <w:spacing w:after="160" w:line="278" w:lineRule="auto"/>
            </w:pPr>
            <w:r w:rsidRPr="00B452FE">
              <w:t>LR−</w:t>
            </w:r>
          </w:p>
        </w:tc>
        <w:tc>
          <w:tcPr>
            <w:tcW w:w="0" w:type="auto"/>
            <w:vAlign w:val="center"/>
            <w:hideMark/>
          </w:tcPr>
          <w:p w14:paraId="7AC266BE" w14:textId="77777777" w:rsidR="009215FB" w:rsidRPr="00B452FE" w:rsidRDefault="009215FB" w:rsidP="00A0661F">
            <w:pPr>
              <w:spacing w:after="160" w:line="278" w:lineRule="auto"/>
            </w:pPr>
            <w:r w:rsidRPr="00B452FE">
              <w:t>Negative Likelihood Ratio</w:t>
            </w:r>
          </w:p>
        </w:tc>
      </w:tr>
      <w:tr w:rsidR="009215FB" w:rsidRPr="00B452FE" w14:paraId="0C1E3A08" w14:textId="77777777" w:rsidTr="00A0661F">
        <w:trPr>
          <w:tblCellSpacing w:w="15" w:type="dxa"/>
        </w:trPr>
        <w:tc>
          <w:tcPr>
            <w:tcW w:w="0" w:type="auto"/>
            <w:vAlign w:val="center"/>
            <w:hideMark/>
          </w:tcPr>
          <w:p w14:paraId="23124D8F" w14:textId="77777777" w:rsidR="009215FB" w:rsidRPr="00B452FE" w:rsidRDefault="009215FB" w:rsidP="00A0661F">
            <w:pPr>
              <w:spacing w:after="160" w:line="278" w:lineRule="auto"/>
            </w:pPr>
            <w:r w:rsidRPr="00B452FE">
              <w:t>LVEF</w:t>
            </w:r>
          </w:p>
        </w:tc>
        <w:tc>
          <w:tcPr>
            <w:tcW w:w="0" w:type="auto"/>
            <w:vAlign w:val="center"/>
            <w:hideMark/>
          </w:tcPr>
          <w:p w14:paraId="10363F11" w14:textId="77777777" w:rsidR="009215FB" w:rsidRPr="00B452FE" w:rsidRDefault="009215FB" w:rsidP="00A0661F">
            <w:pPr>
              <w:spacing w:after="160" w:line="278" w:lineRule="auto"/>
            </w:pPr>
            <w:r w:rsidRPr="00B452FE">
              <w:t>Left Ventricular Ejection Fraction</w:t>
            </w:r>
          </w:p>
        </w:tc>
      </w:tr>
      <w:tr w:rsidR="009215FB" w:rsidRPr="00B452FE" w14:paraId="067D2034" w14:textId="77777777" w:rsidTr="00A0661F">
        <w:trPr>
          <w:tblCellSpacing w:w="15" w:type="dxa"/>
        </w:trPr>
        <w:tc>
          <w:tcPr>
            <w:tcW w:w="0" w:type="auto"/>
            <w:vAlign w:val="center"/>
            <w:hideMark/>
          </w:tcPr>
          <w:p w14:paraId="7EA509FD" w14:textId="77777777" w:rsidR="009215FB" w:rsidRPr="00B452FE" w:rsidRDefault="009215FB" w:rsidP="00A0661F">
            <w:pPr>
              <w:spacing w:after="160" w:line="278" w:lineRule="auto"/>
            </w:pPr>
            <w:r w:rsidRPr="00B452FE">
              <w:t>NT-</w:t>
            </w:r>
            <w:proofErr w:type="spellStart"/>
            <w:r w:rsidRPr="00B452FE">
              <w:t>proBNP</w:t>
            </w:r>
            <w:proofErr w:type="spellEnd"/>
          </w:p>
        </w:tc>
        <w:tc>
          <w:tcPr>
            <w:tcW w:w="0" w:type="auto"/>
            <w:vAlign w:val="center"/>
            <w:hideMark/>
          </w:tcPr>
          <w:p w14:paraId="1C7D1AE2" w14:textId="77777777" w:rsidR="009215FB" w:rsidRPr="00B452FE" w:rsidRDefault="009215FB" w:rsidP="00A0661F">
            <w:pPr>
              <w:spacing w:after="160" w:line="278" w:lineRule="auto"/>
            </w:pPr>
            <w:r w:rsidRPr="00B452FE">
              <w:t>N-terminal pro–B-type Natriuretic Peptide</w:t>
            </w:r>
          </w:p>
        </w:tc>
      </w:tr>
      <w:tr w:rsidR="009215FB" w:rsidRPr="00B452FE" w14:paraId="70459AF2" w14:textId="77777777" w:rsidTr="00A0661F">
        <w:trPr>
          <w:tblCellSpacing w:w="15" w:type="dxa"/>
        </w:trPr>
        <w:tc>
          <w:tcPr>
            <w:tcW w:w="0" w:type="auto"/>
            <w:vAlign w:val="center"/>
            <w:hideMark/>
          </w:tcPr>
          <w:p w14:paraId="0949250A" w14:textId="77777777" w:rsidR="009215FB" w:rsidRPr="00B452FE" w:rsidRDefault="009215FB" w:rsidP="00A0661F">
            <w:pPr>
              <w:spacing w:after="160" w:line="278" w:lineRule="auto"/>
            </w:pPr>
            <w:r w:rsidRPr="00B452FE">
              <w:t>NPV</w:t>
            </w:r>
          </w:p>
        </w:tc>
        <w:tc>
          <w:tcPr>
            <w:tcW w:w="0" w:type="auto"/>
            <w:vAlign w:val="center"/>
            <w:hideMark/>
          </w:tcPr>
          <w:p w14:paraId="561EA24F" w14:textId="77777777" w:rsidR="009215FB" w:rsidRPr="00B452FE" w:rsidRDefault="009215FB" w:rsidP="00A0661F">
            <w:pPr>
              <w:spacing w:after="160" w:line="278" w:lineRule="auto"/>
            </w:pPr>
            <w:r w:rsidRPr="00B452FE">
              <w:t>Negative Predictive Value</w:t>
            </w:r>
          </w:p>
        </w:tc>
      </w:tr>
      <w:tr w:rsidR="009215FB" w:rsidRPr="00B452FE" w14:paraId="55CE3C92" w14:textId="77777777" w:rsidTr="00A0661F">
        <w:trPr>
          <w:tblCellSpacing w:w="15" w:type="dxa"/>
        </w:trPr>
        <w:tc>
          <w:tcPr>
            <w:tcW w:w="0" w:type="auto"/>
            <w:vAlign w:val="center"/>
            <w:hideMark/>
          </w:tcPr>
          <w:p w14:paraId="3956257C" w14:textId="77777777" w:rsidR="009215FB" w:rsidRPr="00B452FE" w:rsidRDefault="009215FB" w:rsidP="00A0661F">
            <w:pPr>
              <w:spacing w:after="160" w:line="278" w:lineRule="auto"/>
            </w:pPr>
            <w:r w:rsidRPr="00B452FE">
              <w:t>NYHA</w:t>
            </w:r>
          </w:p>
        </w:tc>
        <w:tc>
          <w:tcPr>
            <w:tcW w:w="0" w:type="auto"/>
            <w:vAlign w:val="center"/>
            <w:hideMark/>
          </w:tcPr>
          <w:p w14:paraId="38E8CB5B" w14:textId="77777777" w:rsidR="009215FB" w:rsidRPr="00B452FE" w:rsidRDefault="009215FB" w:rsidP="00A0661F">
            <w:pPr>
              <w:spacing w:after="160" w:line="278" w:lineRule="auto"/>
            </w:pPr>
            <w:r w:rsidRPr="00B452FE">
              <w:t>New York Heart Association</w:t>
            </w:r>
          </w:p>
        </w:tc>
      </w:tr>
      <w:tr w:rsidR="009215FB" w:rsidRPr="00B452FE" w14:paraId="6640E8EA" w14:textId="77777777" w:rsidTr="00A0661F">
        <w:trPr>
          <w:tblCellSpacing w:w="15" w:type="dxa"/>
        </w:trPr>
        <w:tc>
          <w:tcPr>
            <w:tcW w:w="0" w:type="auto"/>
            <w:vAlign w:val="center"/>
            <w:hideMark/>
          </w:tcPr>
          <w:p w14:paraId="63F69710" w14:textId="77777777" w:rsidR="009215FB" w:rsidRPr="00B452FE" w:rsidRDefault="009215FB" w:rsidP="00A0661F">
            <w:pPr>
              <w:spacing w:after="160" w:line="278" w:lineRule="auto"/>
            </w:pPr>
            <w:r w:rsidRPr="00B452FE">
              <w:t>OR</w:t>
            </w:r>
          </w:p>
        </w:tc>
        <w:tc>
          <w:tcPr>
            <w:tcW w:w="0" w:type="auto"/>
            <w:vAlign w:val="center"/>
            <w:hideMark/>
          </w:tcPr>
          <w:p w14:paraId="060E1B7B" w14:textId="77777777" w:rsidR="009215FB" w:rsidRPr="00B452FE" w:rsidRDefault="009215FB" w:rsidP="00A0661F">
            <w:pPr>
              <w:spacing w:after="160" w:line="278" w:lineRule="auto"/>
            </w:pPr>
            <w:r w:rsidRPr="00B452FE">
              <w:t>Odds Ratio</w:t>
            </w:r>
          </w:p>
        </w:tc>
      </w:tr>
      <w:tr w:rsidR="009215FB" w:rsidRPr="00B452FE" w14:paraId="57DA8318" w14:textId="77777777" w:rsidTr="00A0661F">
        <w:trPr>
          <w:tblCellSpacing w:w="15" w:type="dxa"/>
        </w:trPr>
        <w:tc>
          <w:tcPr>
            <w:tcW w:w="0" w:type="auto"/>
            <w:vAlign w:val="center"/>
            <w:hideMark/>
          </w:tcPr>
          <w:p w14:paraId="633451CA" w14:textId="77777777" w:rsidR="009215FB" w:rsidRPr="00B452FE" w:rsidRDefault="009215FB" w:rsidP="00A0661F">
            <w:pPr>
              <w:spacing w:after="160" w:line="278" w:lineRule="auto"/>
            </w:pPr>
            <w:r w:rsidRPr="00B452FE">
              <w:t>PPV</w:t>
            </w:r>
          </w:p>
        </w:tc>
        <w:tc>
          <w:tcPr>
            <w:tcW w:w="0" w:type="auto"/>
            <w:vAlign w:val="center"/>
            <w:hideMark/>
          </w:tcPr>
          <w:p w14:paraId="6932AB17" w14:textId="77777777" w:rsidR="009215FB" w:rsidRPr="00B452FE" w:rsidRDefault="009215FB" w:rsidP="00A0661F">
            <w:pPr>
              <w:spacing w:after="160" w:line="278" w:lineRule="auto"/>
            </w:pPr>
            <w:r w:rsidRPr="00B452FE">
              <w:t>Positive Predictive Value</w:t>
            </w:r>
          </w:p>
        </w:tc>
      </w:tr>
      <w:tr w:rsidR="009215FB" w:rsidRPr="00B452FE" w14:paraId="7F7E5441" w14:textId="77777777" w:rsidTr="00A0661F">
        <w:trPr>
          <w:tblCellSpacing w:w="15" w:type="dxa"/>
        </w:trPr>
        <w:tc>
          <w:tcPr>
            <w:tcW w:w="0" w:type="auto"/>
            <w:vAlign w:val="center"/>
            <w:hideMark/>
          </w:tcPr>
          <w:p w14:paraId="74E42594" w14:textId="77777777" w:rsidR="009215FB" w:rsidRPr="00B452FE" w:rsidRDefault="009215FB" w:rsidP="00A0661F">
            <w:pPr>
              <w:spacing w:after="160" w:line="278" w:lineRule="auto"/>
            </w:pPr>
            <w:proofErr w:type="spellStart"/>
            <w:r w:rsidRPr="00B452FE">
              <w:t>ReDS</w:t>
            </w:r>
            <w:proofErr w:type="spellEnd"/>
          </w:p>
        </w:tc>
        <w:tc>
          <w:tcPr>
            <w:tcW w:w="0" w:type="auto"/>
            <w:vAlign w:val="center"/>
            <w:hideMark/>
          </w:tcPr>
          <w:p w14:paraId="6F829440" w14:textId="77777777" w:rsidR="009215FB" w:rsidRPr="00B452FE" w:rsidRDefault="009215FB" w:rsidP="00A0661F">
            <w:pPr>
              <w:spacing w:after="160" w:line="278" w:lineRule="auto"/>
            </w:pPr>
            <w:r w:rsidRPr="00B452FE">
              <w:t>Remote Dielectric Sensing</w:t>
            </w:r>
          </w:p>
        </w:tc>
      </w:tr>
      <w:tr w:rsidR="009215FB" w:rsidRPr="00B452FE" w14:paraId="0D5EDB2A" w14:textId="77777777" w:rsidTr="00A0661F">
        <w:trPr>
          <w:tblCellSpacing w:w="15" w:type="dxa"/>
        </w:trPr>
        <w:tc>
          <w:tcPr>
            <w:tcW w:w="0" w:type="auto"/>
            <w:vAlign w:val="center"/>
            <w:hideMark/>
          </w:tcPr>
          <w:p w14:paraId="2C734F4E" w14:textId="77777777" w:rsidR="009215FB" w:rsidRPr="00B452FE" w:rsidRDefault="009215FB" w:rsidP="00A0661F">
            <w:pPr>
              <w:spacing w:after="160" w:line="278" w:lineRule="auto"/>
            </w:pPr>
            <w:r w:rsidRPr="00B452FE">
              <w:t>ROC</w:t>
            </w:r>
          </w:p>
        </w:tc>
        <w:tc>
          <w:tcPr>
            <w:tcW w:w="0" w:type="auto"/>
            <w:vAlign w:val="center"/>
            <w:hideMark/>
          </w:tcPr>
          <w:p w14:paraId="5EB62964" w14:textId="77777777" w:rsidR="009215FB" w:rsidRPr="00B452FE" w:rsidRDefault="009215FB" w:rsidP="00A0661F">
            <w:pPr>
              <w:spacing w:after="160" w:line="278" w:lineRule="auto"/>
            </w:pPr>
            <w:r w:rsidRPr="00B452FE">
              <w:t>Receiver Operating Characteristic</w:t>
            </w:r>
          </w:p>
        </w:tc>
      </w:tr>
      <w:tr w:rsidR="009215FB" w:rsidRPr="00B452FE" w14:paraId="63FB4205" w14:textId="77777777" w:rsidTr="00A0661F">
        <w:trPr>
          <w:tblCellSpacing w:w="15" w:type="dxa"/>
        </w:trPr>
        <w:tc>
          <w:tcPr>
            <w:tcW w:w="0" w:type="auto"/>
            <w:vAlign w:val="center"/>
            <w:hideMark/>
          </w:tcPr>
          <w:p w14:paraId="0B0A9B13" w14:textId="77777777" w:rsidR="009215FB" w:rsidRPr="00B452FE" w:rsidRDefault="009215FB" w:rsidP="00A0661F">
            <w:pPr>
              <w:spacing w:after="160" w:line="278" w:lineRule="auto"/>
            </w:pPr>
            <w:r w:rsidRPr="00B452FE">
              <w:t>SD</w:t>
            </w:r>
          </w:p>
        </w:tc>
        <w:tc>
          <w:tcPr>
            <w:tcW w:w="0" w:type="auto"/>
            <w:vAlign w:val="center"/>
            <w:hideMark/>
          </w:tcPr>
          <w:p w14:paraId="30EBDFF3" w14:textId="77777777" w:rsidR="009215FB" w:rsidRPr="00B452FE" w:rsidRDefault="009215FB" w:rsidP="00A0661F">
            <w:pPr>
              <w:spacing w:after="160" w:line="278" w:lineRule="auto"/>
            </w:pPr>
            <w:r w:rsidRPr="00B452FE">
              <w:t>Standard Deviation</w:t>
            </w:r>
          </w:p>
        </w:tc>
      </w:tr>
      <w:tr w:rsidR="009215FB" w:rsidRPr="00B452FE" w14:paraId="3F19C166" w14:textId="77777777" w:rsidTr="00A0661F">
        <w:trPr>
          <w:tblCellSpacing w:w="15" w:type="dxa"/>
        </w:trPr>
        <w:tc>
          <w:tcPr>
            <w:tcW w:w="0" w:type="auto"/>
            <w:vAlign w:val="center"/>
            <w:hideMark/>
          </w:tcPr>
          <w:p w14:paraId="3920A45D" w14:textId="77777777" w:rsidR="009215FB" w:rsidRPr="00B452FE" w:rsidRDefault="009215FB" w:rsidP="00A0661F">
            <w:pPr>
              <w:spacing w:after="160" w:line="278" w:lineRule="auto"/>
            </w:pPr>
            <w:r w:rsidRPr="00B452FE">
              <w:t>STARD</w:t>
            </w:r>
          </w:p>
        </w:tc>
        <w:tc>
          <w:tcPr>
            <w:tcW w:w="0" w:type="auto"/>
            <w:vAlign w:val="center"/>
            <w:hideMark/>
          </w:tcPr>
          <w:p w14:paraId="344E68DD" w14:textId="77777777" w:rsidR="009215FB" w:rsidRPr="00B452FE" w:rsidRDefault="009215FB" w:rsidP="00A0661F">
            <w:pPr>
              <w:spacing w:after="160" w:line="278" w:lineRule="auto"/>
            </w:pPr>
            <w:r w:rsidRPr="00B452FE">
              <w:t>Standards for Reporting of Diagnostic Accuracy Studies</w:t>
            </w:r>
          </w:p>
        </w:tc>
      </w:tr>
    </w:tbl>
    <w:p w14:paraId="5A1D3B19" w14:textId="77777777" w:rsidR="009215FB" w:rsidRPr="00BD0F9A" w:rsidRDefault="009215FB" w:rsidP="009215FB">
      <w:pPr>
        <w:spacing w:after="160" w:line="278" w:lineRule="auto"/>
      </w:pPr>
    </w:p>
    <w:p w14:paraId="501A6273" w14:textId="77777777" w:rsidR="00861080" w:rsidRPr="003A29C6" w:rsidRDefault="00861080" w:rsidP="00861080">
      <w:pPr>
        <w:jc w:val="both"/>
        <w:outlineLvl w:val="0"/>
        <w:rPr>
          <w:rFonts w:cs="Arial"/>
        </w:rPr>
      </w:pPr>
      <w:r w:rsidRPr="003A29C6">
        <w:rPr>
          <w:rFonts w:cs="Arial"/>
          <w:b/>
          <w:bCs/>
        </w:rPr>
        <w:t>COMPETING INTERESTS DISCLAIMER:</w:t>
      </w:r>
    </w:p>
    <w:p w14:paraId="1F3FA44E" w14:textId="77777777" w:rsidR="00861080" w:rsidRDefault="00861080" w:rsidP="00861080">
      <w:r w:rsidRPr="00A10EDE">
        <w:t>Authors have declared that they have no known competing financial interests OR non-financial interests OR personal relationships that could have appeared to influence the work reported in this paper.</w:t>
      </w:r>
    </w:p>
    <w:p w14:paraId="2E710E24" w14:textId="77777777" w:rsidR="009215FB" w:rsidRDefault="009215FB" w:rsidP="009215FB"/>
    <w:p w14:paraId="75E29CE2" w14:textId="77777777" w:rsidR="009215FB" w:rsidRDefault="009215FB"/>
    <w:p w14:paraId="1ECDA055" w14:textId="5088D72B" w:rsidR="00CD78AF" w:rsidRPr="00F403F1" w:rsidRDefault="00CD78AF" w:rsidP="00CD78AF">
      <w:pPr>
        <w:spacing w:after="160" w:line="278" w:lineRule="auto"/>
        <w:rPr>
          <w:b/>
          <w:bCs/>
        </w:rPr>
      </w:pPr>
      <w:r w:rsidRPr="00F403F1">
        <w:rPr>
          <w:rFonts w:eastAsiaTheme="majorEastAsia" w:cstheme="majorBidi"/>
          <w:b/>
          <w:bCs/>
          <w:color w:val="365F91" w:themeColor="accent1" w:themeShade="BF"/>
          <w:sz w:val="22"/>
          <w:szCs w:val="28"/>
        </w:rPr>
        <w:t>REFERENCES</w:t>
      </w:r>
    </w:p>
    <w:p w14:paraId="518C91DA" w14:textId="77777777" w:rsidR="00CD78AF" w:rsidRPr="00BD0F9A" w:rsidRDefault="00CD78AF" w:rsidP="00CD78AF">
      <w:pPr>
        <w:pStyle w:val="ListParagraph"/>
        <w:numPr>
          <w:ilvl w:val="0"/>
          <w:numId w:val="10"/>
        </w:numPr>
        <w:spacing w:after="160" w:line="278" w:lineRule="auto"/>
      </w:pPr>
      <w:r w:rsidRPr="00BD0F9A">
        <w:t xml:space="preserve">Savarese G, Becher PM, Lund LH, Seferovic P, Rosano GMC, Coats AJS. Global burden of heart failure: a comprehensive and updated review of epidemiology. </w:t>
      </w:r>
      <w:r w:rsidRPr="00BD0F9A">
        <w:rPr>
          <w:i/>
          <w:iCs/>
        </w:rPr>
        <w:t>Cardiovasc Res.</w:t>
      </w:r>
      <w:r w:rsidRPr="00BD0F9A">
        <w:t xml:space="preserve"> </w:t>
      </w:r>
      <w:proofErr w:type="gramStart"/>
      <w:r w:rsidRPr="00BD0F9A">
        <w:t>2023;118:3272</w:t>
      </w:r>
      <w:proofErr w:type="gramEnd"/>
      <w:r w:rsidRPr="00BD0F9A">
        <w:t>–3287.</w:t>
      </w:r>
    </w:p>
    <w:p w14:paraId="18C44226" w14:textId="77777777" w:rsidR="00CD78AF" w:rsidRPr="00BD0F9A" w:rsidRDefault="00CD78AF" w:rsidP="00CD78AF">
      <w:pPr>
        <w:pStyle w:val="ListParagraph"/>
        <w:numPr>
          <w:ilvl w:val="0"/>
          <w:numId w:val="10"/>
        </w:numPr>
        <w:spacing w:after="160" w:line="278" w:lineRule="auto"/>
      </w:pPr>
      <w:proofErr w:type="spellStart"/>
      <w:r w:rsidRPr="00BD0F9A">
        <w:t>Gheorghiade</w:t>
      </w:r>
      <w:proofErr w:type="spellEnd"/>
      <w:r w:rsidRPr="00BD0F9A">
        <w:t xml:space="preserve"> M, </w:t>
      </w:r>
      <w:proofErr w:type="spellStart"/>
      <w:r w:rsidRPr="00BD0F9A">
        <w:t>Follath</w:t>
      </w:r>
      <w:proofErr w:type="spellEnd"/>
      <w:r w:rsidRPr="00BD0F9A">
        <w:t xml:space="preserve"> F, </w:t>
      </w:r>
      <w:proofErr w:type="spellStart"/>
      <w:r w:rsidRPr="00BD0F9A">
        <w:t>Ponikowski</w:t>
      </w:r>
      <w:proofErr w:type="spellEnd"/>
      <w:r w:rsidRPr="00BD0F9A">
        <w:t xml:space="preserve"> P, et al. Assessing and grading congestion in acute heart failure: a scientific statement from the Heart Failure Association of the European Society of Cardiology. </w:t>
      </w:r>
      <w:r w:rsidRPr="00BD0F9A">
        <w:rPr>
          <w:i/>
          <w:iCs/>
        </w:rPr>
        <w:t>Eur J Heart Fail.</w:t>
      </w:r>
      <w:r w:rsidRPr="00BD0F9A">
        <w:t xml:space="preserve"> </w:t>
      </w:r>
      <w:proofErr w:type="gramStart"/>
      <w:r w:rsidRPr="00BD0F9A">
        <w:t>2010;12:423</w:t>
      </w:r>
      <w:proofErr w:type="gramEnd"/>
      <w:r w:rsidRPr="00BD0F9A">
        <w:t>–433.</w:t>
      </w:r>
    </w:p>
    <w:p w14:paraId="3C2A5923" w14:textId="77777777" w:rsidR="00CD78AF" w:rsidRPr="00BD0F9A" w:rsidRDefault="00CD78AF" w:rsidP="00CD78AF">
      <w:pPr>
        <w:pStyle w:val="ListParagraph"/>
        <w:numPr>
          <w:ilvl w:val="0"/>
          <w:numId w:val="10"/>
        </w:numPr>
        <w:spacing w:after="160" w:line="278" w:lineRule="auto"/>
      </w:pPr>
      <w:r w:rsidRPr="00BD0F9A">
        <w:t xml:space="preserve">McDonagh TA, Metra M, Adamo M, et al. 2021 ESC Guidelines for the diagnosis and treatment of acute and chronic heart failure. </w:t>
      </w:r>
      <w:r w:rsidRPr="00BD0F9A">
        <w:rPr>
          <w:i/>
          <w:iCs/>
        </w:rPr>
        <w:t>Eur Heart J.</w:t>
      </w:r>
      <w:r w:rsidRPr="00BD0F9A">
        <w:t xml:space="preserve"> </w:t>
      </w:r>
      <w:proofErr w:type="gramStart"/>
      <w:r w:rsidRPr="00BD0F9A">
        <w:t>2021;42:3599</w:t>
      </w:r>
      <w:proofErr w:type="gramEnd"/>
      <w:r w:rsidRPr="00BD0F9A">
        <w:t>–3726.</w:t>
      </w:r>
    </w:p>
    <w:p w14:paraId="3FAA696F" w14:textId="77777777" w:rsidR="00CD78AF" w:rsidRPr="00BD0F9A" w:rsidRDefault="00CD78AF" w:rsidP="00CD78AF">
      <w:pPr>
        <w:pStyle w:val="ListParagraph"/>
        <w:numPr>
          <w:ilvl w:val="0"/>
          <w:numId w:val="10"/>
        </w:numPr>
        <w:spacing w:after="160" w:line="278" w:lineRule="auto"/>
      </w:pPr>
      <w:r w:rsidRPr="00BD0F9A">
        <w:t xml:space="preserve">Thibodeau JT, </w:t>
      </w:r>
      <w:proofErr w:type="spellStart"/>
      <w:r w:rsidRPr="00BD0F9A">
        <w:t>Drazner</w:t>
      </w:r>
      <w:proofErr w:type="spellEnd"/>
      <w:r w:rsidRPr="00BD0F9A">
        <w:t xml:space="preserve"> MH. The role of the clinical examination in patients with heart failure. </w:t>
      </w:r>
      <w:r w:rsidRPr="00BD0F9A">
        <w:rPr>
          <w:i/>
          <w:iCs/>
        </w:rPr>
        <w:t>JACC Heart Fail.</w:t>
      </w:r>
      <w:r w:rsidRPr="00BD0F9A">
        <w:t xml:space="preserve"> </w:t>
      </w:r>
      <w:proofErr w:type="gramStart"/>
      <w:r w:rsidRPr="00BD0F9A">
        <w:t>2018;6:543</w:t>
      </w:r>
      <w:proofErr w:type="gramEnd"/>
      <w:r w:rsidRPr="00BD0F9A">
        <w:t>–551.</w:t>
      </w:r>
    </w:p>
    <w:p w14:paraId="079B9960" w14:textId="77777777" w:rsidR="00CD78AF" w:rsidRPr="00BD0F9A" w:rsidRDefault="00CD78AF" w:rsidP="00CD78AF">
      <w:pPr>
        <w:pStyle w:val="ListParagraph"/>
        <w:numPr>
          <w:ilvl w:val="0"/>
          <w:numId w:val="10"/>
        </w:numPr>
        <w:spacing w:after="160" w:line="278" w:lineRule="auto"/>
      </w:pPr>
      <w:r w:rsidRPr="00BD0F9A">
        <w:t xml:space="preserve">Wang CS, FitzGerald JM, Schulzer M, Mak E, Ayas NT. Does this dyspneic patient in the emergency department have congestive heart failure? </w:t>
      </w:r>
      <w:r w:rsidRPr="00BD0F9A">
        <w:rPr>
          <w:i/>
          <w:iCs/>
        </w:rPr>
        <w:t>JAMA.</w:t>
      </w:r>
      <w:r w:rsidRPr="00BD0F9A">
        <w:t xml:space="preserve"> </w:t>
      </w:r>
      <w:proofErr w:type="gramStart"/>
      <w:r w:rsidRPr="00BD0F9A">
        <w:t>2005;294:1944</w:t>
      </w:r>
      <w:proofErr w:type="gramEnd"/>
      <w:r w:rsidRPr="00BD0F9A">
        <w:t>–1956.</w:t>
      </w:r>
    </w:p>
    <w:p w14:paraId="7757A760" w14:textId="77777777" w:rsidR="00CD78AF" w:rsidRPr="00BD0F9A" w:rsidRDefault="00CD78AF" w:rsidP="00CD78AF">
      <w:pPr>
        <w:pStyle w:val="ListParagraph"/>
        <w:numPr>
          <w:ilvl w:val="0"/>
          <w:numId w:val="10"/>
        </w:numPr>
        <w:spacing w:after="160" w:line="278" w:lineRule="auto"/>
      </w:pPr>
      <w:r w:rsidRPr="00BD0F9A">
        <w:t xml:space="preserve">Platz E, Merz AA, </w:t>
      </w:r>
      <w:proofErr w:type="spellStart"/>
      <w:r w:rsidRPr="00BD0F9A">
        <w:t>Jhund</w:t>
      </w:r>
      <w:proofErr w:type="spellEnd"/>
      <w:r w:rsidRPr="00BD0F9A">
        <w:t xml:space="preserve"> PS, </w:t>
      </w:r>
      <w:proofErr w:type="spellStart"/>
      <w:r w:rsidRPr="00BD0F9A">
        <w:t>Vazir</w:t>
      </w:r>
      <w:proofErr w:type="spellEnd"/>
      <w:r w:rsidRPr="00BD0F9A">
        <w:t xml:space="preserve"> A, Campbell R, McMurray JJV. Dynamic changes and prognostic value of pulmonary congestion by lung ultrasound in acute and chronic heart failure. </w:t>
      </w:r>
      <w:r w:rsidRPr="00BD0F9A">
        <w:rPr>
          <w:i/>
          <w:iCs/>
        </w:rPr>
        <w:t>Eur J Heart Fail.</w:t>
      </w:r>
      <w:r w:rsidRPr="00BD0F9A">
        <w:t xml:space="preserve"> </w:t>
      </w:r>
      <w:proofErr w:type="gramStart"/>
      <w:r w:rsidRPr="00BD0F9A">
        <w:t>2017;19:1154</w:t>
      </w:r>
      <w:proofErr w:type="gramEnd"/>
      <w:r w:rsidRPr="00BD0F9A">
        <w:t>–1163.</w:t>
      </w:r>
    </w:p>
    <w:p w14:paraId="78BD1438" w14:textId="77777777" w:rsidR="00CD78AF" w:rsidRPr="00BD0F9A" w:rsidRDefault="00CD78AF" w:rsidP="00CD78AF">
      <w:pPr>
        <w:pStyle w:val="ListParagraph"/>
        <w:numPr>
          <w:ilvl w:val="0"/>
          <w:numId w:val="10"/>
        </w:numPr>
        <w:spacing w:after="160" w:line="278" w:lineRule="auto"/>
      </w:pPr>
      <w:r w:rsidRPr="00BD0F9A">
        <w:t xml:space="preserve">Platz E, Merz AA, </w:t>
      </w:r>
      <w:proofErr w:type="spellStart"/>
      <w:r w:rsidRPr="00BD0F9A">
        <w:t>Jhund</w:t>
      </w:r>
      <w:proofErr w:type="spellEnd"/>
      <w:r w:rsidRPr="00BD0F9A">
        <w:t xml:space="preserve"> PS, </w:t>
      </w:r>
      <w:proofErr w:type="spellStart"/>
      <w:r w:rsidRPr="00BD0F9A">
        <w:t>Vazir</w:t>
      </w:r>
      <w:proofErr w:type="spellEnd"/>
      <w:r w:rsidRPr="00BD0F9A">
        <w:t xml:space="preserve"> A, Campbell R, McMurray JJV. Detection and prognostic value of pulmonary congestion by lung ultrasound in ambulatory heart failure patients. </w:t>
      </w:r>
      <w:r w:rsidRPr="00BD0F9A">
        <w:rPr>
          <w:i/>
          <w:iCs/>
        </w:rPr>
        <w:t>Eur Heart J.</w:t>
      </w:r>
      <w:r w:rsidRPr="00BD0F9A">
        <w:t xml:space="preserve"> </w:t>
      </w:r>
      <w:proofErr w:type="gramStart"/>
      <w:r w:rsidRPr="00BD0F9A">
        <w:t>2016;37:1244</w:t>
      </w:r>
      <w:proofErr w:type="gramEnd"/>
      <w:r w:rsidRPr="00BD0F9A">
        <w:t>–1251.</w:t>
      </w:r>
    </w:p>
    <w:p w14:paraId="08BD9C69" w14:textId="77777777" w:rsidR="00CD78AF" w:rsidRPr="00BD0F9A" w:rsidRDefault="00CD78AF" w:rsidP="00CD78AF">
      <w:pPr>
        <w:pStyle w:val="ListParagraph"/>
        <w:numPr>
          <w:ilvl w:val="0"/>
          <w:numId w:val="10"/>
        </w:numPr>
        <w:spacing w:after="160" w:line="278" w:lineRule="auto"/>
      </w:pPr>
      <w:r w:rsidRPr="00BD0F9A">
        <w:t xml:space="preserve">Domingo M, </w:t>
      </w:r>
      <w:proofErr w:type="spellStart"/>
      <w:r w:rsidRPr="00BD0F9A">
        <w:t>Conangla</w:t>
      </w:r>
      <w:proofErr w:type="spellEnd"/>
      <w:r w:rsidRPr="00BD0F9A">
        <w:t xml:space="preserve"> L, </w:t>
      </w:r>
      <w:proofErr w:type="spellStart"/>
      <w:r w:rsidRPr="00BD0F9A">
        <w:t>Lupón</w:t>
      </w:r>
      <w:proofErr w:type="spellEnd"/>
      <w:r w:rsidRPr="00BD0F9A">
        <w:t xml:space="preserve"> J, et al. Prognostic value of lung ultrasound in chronic stable ambulatory heart failure patients. </w:t>
      </w:r>
      <w:r w:rsidRPr="00BD0F9A">
        <w:rPr>
          <w:i/>
          <w:iCs/>
        </w:rPr>
        <w:t xml:space="preserve">Rev </w:t>
      </w:r>
      <w:proofErr w:type="spellStart"/>
      <w:r w:rsidRPr="00BD0F9A">
        <w:rPr>
          <w:i/>
          <w:iCs/>
        </w:rPr>
        <w:t>Esp</w:t>
      </w:r>
      <w:proofErr w:type="spellEnd"/>
      <w:r w:rsidRPr="00BD0F9A">
        <w:rPr>
          <w:i/>
          <w:iCs/>
        </w:rPr>
        <w:t xml:space="preserve"> </w:t>
      </w:r>
      <w:proofErr w:type="spellStart"/>
      <w:r w:rsidRPr="00BD0F9A">
        <w:rPr>
          <w:i/>
          <w:iCs/>
        </w:rPr>
        <w:t>Cardiol</w:t>
      </w:r>
      <w:proofErr w:type="spellEnd"/>
      <w:r w:rsidRPr="00BD0F9A">
        <w:rPr>
          <w:i/>
          <w:iCs/>
        </w:rPr>
        <w:t xml:space="preserve"> (</w:t>
      </w:r>
      <w:proofErr w:type="spellStart"/>
      <w:r w:rsidRPr="00BD0F9A">
        <w:rPr>
          <w:i/>
          <w:iCs/>
        </w:rPr>
        <w:t>Engl</w:t>
      </w:r>
      <w:proofErr w:type="spellEnd"/>
      <w:r w:rsidRPr="00BD0F9A">
        <w:rPr>
          <w:i/>
          <w:iCs/>
        </w:rPr>
        <w:t xml:space="preserve"> Ed).</w:t>
      </w:r>
      <w:r w:rsidRPr="00BD0F9A">
        <w:t xml:space="preserve"> </w:t>
      </w:r>
      <w:proofErr w:type="gramStart"/>
      <w:r w:rsidRPr="00BD0F9A">
        <w:t>2021;74:862</w:t>
      </w:r>
      <w:proofErr w:type="gramEnd"/>
      <w:r w:rsidRPr="00BD0F9A">
        <w:t>–869.</w:t>
      </w:r>
    </w:p>
    <w:p w14:paraId="6D26298E" w14:textId="77777777" w:rsidR="00CD78AF" w:rsidRPr="00BD0F9A" w:rsidRDefault="00CD78AF" w:rsidP="00CD78AF">
      <w:pPr>
        <w:pStyle w:val="ListParagraph"/>
        <w:numPr>
          <w:ilvl w:val="0"/>
          <w:numId w:val="10"/>
        </w:numPr>
        <w:spacing w:after="160" w:line="278" w:lineRule="auto"/>
      </w:pPr>
      <w:r w:rsidRPr="00BD0F9A">
        <w:t xml:space="preserve">Rastogi T, </w:t>
      </w:r>
      <w:proofErr w:type="spellStart"/>
      <w:r w:rsidRPr="00BD0F9A">
        <w:t>Gargani</w:t>
      </w:r>
      <w:proofErr w:type="spellEnd"/>
      <w:r w:rsidRPr="00BD0F9A">
        <w:t xml:space="preserve"> L, </w:t>
      </w:r>
      <w:proofErr w:type="spellStart"/>
      <w:r w:rsidRPr="00BD0F9A">
        <w:t>Pellicori</w:t>
      </w:r>
      <w:proofErr w:type="spellEnd"/>
      <w:r w:rsidRPr="00BD0F9A">
        <w:t xml:space="preserve"> P, et al. Prognostic implication of lung ultrasound in heart failure: a pooled analysis of international cohorts. </w:t>
      </w:r>
      <w:r w:rsidRPr="00BD0F9A">
        <w:rPr>
          <w:i/>
          <w:iCs/>
        </w:rPr>
        <w:t>Eur Heart J Cardiovasc Imaging.</w:t>
      </w:r>
      <w:r w:rsidRPr="00BD0F9A">
        <w:t xml:space="preserve"> </w:t>
      </w:r>
      <w:proofErr w:type="gramStart"/>
      <w:r w:rsidRPr="00BD0F9A">
        <w:t>2024;25:1216</w:t>
      </w:r>
      <w:proofErr w:type="gramEnd"/>
      <w:r w:rsidRPr="00BD0F9A">
        <w:t>–1225.</w:t>
      </w:r>
    </w:p>
    <w:p w14:paraId="6C151C60" w14:textId="77777777" w:rsidR="00CD78AF" w:rsidRPr="00BD0F9A" w:rsidRDefault="00CD78AF" w:rsidP="00CD78AF">
      <w:pPr>
        <w:pStyle w:val="ListParagraph"/>
        <w:numPr>
          <w:ilvl w:val="0"/>
          <w:numId w:val="10"/>
        </w:numPr>
        <w:spacing w:after="160" w:line="278" w:lineRule="auto"/>
      </w:pPr>
      <w:r w:rsidRPr="00BD0F9A">
        <w:t xml:space="preserve">Ceriani E, Knol MJ, van der </w:t>
      </w:r>
      <w:proofErr w:type="spellStart"/>
      <w:r w:rsidRPr="00BD0F9A">
        <w:t>Worp</w:t>
      </w:r>
      <w:proofErr w:type="spellEnd"/>
      <w:r w:rsidRPr="00BD0F9A">
        <w:t xml:space="preserve"> HB, et al. Methodological quality of diagnostic accuracy studies on lung ultrasound in patients with suspected heart failure. </w:t>
      </w:r>
      <w:r w:rsidRPr="00BD0F9A">
        <w:rPr>
          <w:i/>
          <w:iCs/>
        </w:rPr>
        <w:t>J Ultrasound Med.</w:t>
      </w:r>
      <w:r w:rsidRPr="00BD0F9A">
        <w:t xml:space="preserve"> </w:t>
      </w:r>
      <w:proofErr w:type="gramStart"/>
      <w:r w:rsidRPr="00BD0F9A">
        <w:t>2021;40:2553</w:t>
      </w:r>
      <w:proofErr w:type="gramEnd"/>
      <w:r w:rsidRPr="00BD0F9A">
        <w:t>–2565.</w:t>
      </w:r>
    </w:p>
    <w:p w14:paraId="00EE8F62" w14:textId="77777777" w:rsidR="00CD78AF" w:rsidRPr="00BD0F9A" w:rsidRDefault="00CD78AF" w:rsidP="00CD78AF">
      <w:pPr>
        <w:pStyle w:val="ListParagraph"/>
        <w:numPr>
          <w:ilvl w:val="0"/>
          <w:numId w:val="10"/>
        </w:numPr>
        <w:spacing w:after="160" w:line="278" w:lineRule="auto"/>
      </w:pPr>
      <w:r w:rsidRPr="00BD0F9A">
        <w:t xml:space="preserve">Amir O, Rappaport D, Zafrir B, Abraham WT. A novel approach to monitoring pulmonary congestion in heart failure. </w:t>
      </w:r>
      <w:r w:rsidRPr="00BD0F9A">
        <w:rPr>
          <w:i/>
          <w:iCs/>
        </w:rPr>
        <w:t>Congest Heart Fail.</w:t>
      </w:r>
      <w:r w:rsidRPr="00BD0F9A">
        <w:t xml:space="preserve"> </w:t>
      </w:r>
      <w:proofErr w:type="gramStart"/>
      <w:r w:rsidRPr="00BD0F9A">
        <w:t>2013;19:149</w:t>
      </w:r>
      <w:proofErr w:type="gramEnd"/>
      <w:r w:rsidRPr="00BD0F9A">
        <w:t>–155.</w:t>
      </w:r>
    </w:p>
    <w:p w14:paraId="5AFF437E" w14:textId="77777777" w:rsidR="00CD78AF" w:rsidRPr="00BD0F9A" w:rsidRDefault="00CD78AF" w:rsidP="00CD78AF">
      <w:pPr>
        <w:pStyle w:val="ListParagraph"/>
        <w:numPr>
          <w:ilvl w:val="0"/>
          <w:numId w:val="10"/>
        </w:numPr>
        <w:spacing w:after="160" w:line="278" w:lineRule="auto"/>
      </w:pPr>
      <w:proofErr w:type="spellStart"/>
      <w:r w:rsidRPr="00BD0F9A">
        <w:t>Bensimhon</w:t>
      </w:r>
      <w:proofErr w:type="spellEnd"/>
      <w:r w:rsidRPr="00BD0F9A">
        <w:t xml:space="preserve"> D, Burton J, Wang H, et al. Remote dielectric sensing for detecting pulmonary congestion. </w:t>
      </w:r>
      <w:r w:rsidRPr="00BD0F9A">
        <w:rPr>
          <w:i/>
          <w:iCs/>
        </w:rPr>
        <w:t>JACC Heart Fail.</w:t>
      </w:r>
      <w:r w:rsidRPr="00BD0F9A">
        <w:t xml:space="preserve"> </w:t>
      </w:r>
      <w:proofErr w:type="gramStart"/>
      <w:r w:rsidRPr="00BD0F9A">
        <w:t>2016;4:729</w:t>
      </w:r>
      <w:proofErr w:type="gramEnd"/>
      <w:r w:rsidRPr="00BD0F9A">
        <w:t>–730.</w:t>
      </w:r>
    </w:p>
    <w:p w14:paraId="0DCD2F04" w14:textId="77777777" w:rsidR="00CD78AF" w:rsidRPr="00BD0F9A" w:rsidRDefault="00CD78AF" w:rsidP="00CD78AF">
      <w:pPr>
        <w:pStyle w:val="ListParagraph"/>
        <w:numPr>
          <w:ilvl w:val="0"/>
          <w:numId w:val="10"/>
        </w:numPr>
        <w:spacing w:after="160" w:line="278" w:lineRule="auto"/>
      </w:pPr>
      <w:r w:rsidRPr="00BD0F9A">
        <w:t xml:space="preserve">Amir O, Azzam ZS, Abraham WT, et al. Validation of remote dielectric sensing technology. </w:t>
      </w:r>
      <w:r w:rsidRPr="00BD0F9A">
        <w:rPr>
          <w:i/>
          <w:iCs/>
        </w:rPr>
        <w:t xml:space="preserve">Int J </w:t>
      </w:r>
      <w:proofErr w:type="spellStart"/>
      <w:r w:rsidRPr="00BD0F9A">
        <w:rPr>
          <w:i/>
          <w:iCs/>
        </w:rPr>
        <w:t>Cardiol</w:t>
      </w:r>
      <w:proofErr w:type="spellEnd"/>
      <w:r w:rsidRPr="00BD0F9A">
        <w:rPr>
          <w:i/>
          <w:iCs/>
        </w:rPr>
        <w:t>.</w:t>
      </w:r>
      <w:r w:rsidRPr="00BD0F9A">
        <w:t xml:space="preserve"> </w:t>
      </w:r>
      <w:proofErr w:type="gramStart"/>
      <w:r w:rsidRPr="00BD0F9A">
        <w:t>2016;221:841</w:t>
      </w:r>
      <w:proofErr w:type="gramEnd"/>
      <w:r w:rsidRPr="00BD0F9A">
        <w:t>–846.</w:t>
      </w:r>
    </w:p>
    <w:p w14:paraId="13915D29" w14:textId="77777777" w:rsidR="00CD78AF" w:rsidRPr="00BD0F9A" w:rsidRDefault="00CD78AF" w:rsidP="00CD78AF">
      <w:pPr>
        <w:pStyle w:val="ListParagraph"/>
        <w:numPr>
          <w:ilvl w:val="0"/>
          <w:numId w:val="10"/>
        </w:numPr>
        <w:spacing w:after="160" w:line="278" w:lineRule="auto"/>
      </w:pPr>
      <w:r w:rsidRPr="00BD0F9A">
        <w:t xml:space="preserve">Imamura T, Narang N, Kim G, et al. Remote dielectric sensing and clinical outcomes. </w:t>
      </w:r>
      <w:r w:rsidRPr="00BD0F9A">
        <w:rPr>
          <w:i/>
          <w:iCs/>
        </w:rPr>
        <w:t>J Card Fail.</w:t>
      </w:r>
      <w:r w:rsidRPr="00BD0F9A">
        <w:t xml:space="preserve"> </w:t>
      </w:r>
      <w:proofErr w:type="gramStart"/>
      <w:r w:rsidRPr="00BD0F9A">
        <w:t>2017;23:577</w:t>
      </w:r>
      <w:proofErr w:type="gramEnd"/>
      <w:r w:rsidRPr="00BD0F9A">
        <w:t>–579.</w:t>
      </w:r>
    </w:p>
    <w:p w14:paraId="4AAFA3EB" w14:textId="77777777" w:rsidR="00CD78AF" w:rsidRPr="00BD0F9A" w:rsidRDefault="00CD78AF" w:rsidP="00CD78AF">
      <w:pPr>
        <w:pStyle w:val="ListParagraph"/>
        <w:numPr>
          <w:ilvl w:val="0"/>
          <w:numId w:val="10"/>
        </w:numPr>
        <w:spacing w:after="160" w:line="278" w:lineRule="auto"/>
      </w:pPr>
      <w:r w:rsidRPr="00BD0F9A">
        <w:t xml:space="preserve">Kato M, Stevenson LW, Goda A, et al. Remote dielectric sensing and lung ultrasound. </w:t>
      </w:r>
      <w:r w:rsidRPr="00BD0F9A">
        <w:rPr>
          <w:i/>
          <w:iCs/>
        </w:rPr>
        <w:t>Heart Vessels.</w:t>
      </w:r>
      <w:r w:rsidRPr="00BD0F9A">
        <w:t xml:space="preserve"> </w:t>
      </w:r>
      <w:proofErr w:type="gramStart"/>
      <w:r w:rsidRPr="00BD0F9A">
        <w:t>2023;38:672</w:t>
      </w:r>
      <w:proofErr w:type="gramEnd"/>
      <w:r w:rsidRPr="00BD0F9A">
        <w:t>–681.</w:t>
      </w:r>
    </w:p>
    <w:p w14:paraId="4F3046C9" w14:textId="77777777" w:rsidR="00CD78AF" w:rsidRPr="00BD0F9A" w:rsidRDefault="00CD78AF" w:rsidP="00CD78AF">
      <w:pPr>
        <w:pStyle w:val="ListParagraph"/>
        <w:numPr>
          <w:ilvl w:val="0"/>
          <w:numId w:val="10"/>
        </w:numPr>
        <w:spacing w:after="160" w:line="278" w:lineRule="auto"/>
      </w:pPr>
      <w:proofErr w:type="spellStart"/>
      <w:r w:rsidRPr="00BD0F9A">
        <w:t>Kobalava</w:t>
      </w:r>
      <w:proofErr w:type="spellEnd"/>
      <w:r w:rsidRPr="00BD0F9A">
        <w:t xml:space="preserve"> Z, Safarova AF, </w:t>
      </w:r>
      <w:proofErr w:type="spellStart"/>
      <w:r w:rsidRPr="00BD0F9A">
        <w:t>Tolkacheva</w:t>
      </w:r>
      <w:proofErr w:type="spellEnd"/>
      <w:r w:rsidRPr="00BD0F9A">
        <w:t xml:space="preserve"> V, et al. Pulmonary congestion in </w:t>
      </w:r>
      <w:proofErr w:type="spellStart"/>
      <w:r w:rsidRPr="00BD0F9A">
        <w:t>HFrEF</w:t>
      </w:r>
      <w:proofErr w:type="spellEnd"/>
      <w:r w:rsidRPr="00BD0F9A">
        <w:t xml:space="preserve">. </w:t>
      </w:r>
      <w:proofErr w:type="spellStart"/>
      <w:r w:rsidRPr="00BD0F9A">
        <w:rPr>
          <w:i/>
          <w:iCs/>
        </w:rPr>
        <w:t>Arq</w:t>
      </w:r>
      <w:proofErr w:type="spellEnd"/>
      <w:r w:rsidRPr="00BD0F9A">
        <w:rPr>
          <w:i/>
          <w:iCs/>
        </w:rPr>
        <w:t xml:space="preserve"> Bras </w:t>
      </w:r>
      <w:proofErr w:type="spellStart"/>
      <w:r w:rsidRPr="00BD0F9A">
        <w:rPr>
          <w:i/>
          <w:iCs/>
        </w:rPr>
        <w:t>Cardiol</w:t>
      </w:r>
      <w:proofErr w:type="spellEnd"/>
      <w:r w:rsidRPr="00BD0F9A">
        <w:rPr>
          <w:i/>
          <w:iCs/>
        </w:rPr>
        <w:t xml:space="preserve"> </w:t>
      </w:r>
      <w:proofErr w:type="spellStart"/>
      <w:r w:rsidRPr="00BD0F9A">
        <w:rPr>
          <w:i/>
          <w:iCs/>
        </w:rPr>
        <w:t>Imagem</w:t>
      </w:r>
      <w:proofErr w:type="spellEnd"/>
      <w:r w:rsidRPr="00BD0F9A">
        <w:rPr>
          <w:i/>
          <w:iCs/>
        </w:rPr>
        <w:t xml:space="preserve"> Cardiovasc.</w:t>
      </w:r>
      <w:r w:rsidRPr="00BD0F9A">
        <w:t xml:space="preserve"> 2023;</w:t>
      </w:r>
      <w:proofErr w:type="gramStart"/>
      <w:r w:rsidRPr="00BD0F9A">
        <w:t>36:e</w:t>
      </w:r>
      <w:proofErr w:type="gramEnd"/>
      <w:r w:rsidRPr="00BD0F9A">
        <w:t>20230027.</w:t>
      </w:r>
    </w:p>
    <w:p w14:paraId="0A1873C0" w14:textId="77777777" w:rsidR="00CD78AF" w:rsidRPr="00BD0F9A" w:rsidRDefault="00CD78AF" w:rsidP="00CD78AF">
      <w:pPr>
        <w:pStyle w:val="ListParagraph"/>
        <w:numPr>
          <w:ilvl w:val="0"/>
          <w:numId w:val="10"/>
        </w:numPr>
        <w:spacing w:after="160" w:line="278" w:lineRule="auto"/>
      </w:pPr>
      <w:proofErr w:type="spellStart"/>
      <w:r w:rsidRPr="00BD0F9A">
        <w:t>Kobalava</w:t>
      </w:r>
      <w:proofErr w:type="spellEnd"/>
      <w:r w:rsidRPr="00BD0F9A">
        <w:t xml:space="preserve"> Z, Safarova AF, </w:t>
      </w:r>
      <w:proofErr w:type="spellStart"/>
      <w:r w:rsidRPr="00BD0F9A">
        <w:t>Tolkacheva</w:t>
      </w:r>
      <w:proofErr w:type="spellEnd"/>
      <w:r w:rsidRPr="00BD0F9A">
        <w:t xml:space="preserve"> V, et al. Assessment in hospitalized HF. </w:t>
      </w:r>
      <w:proofErr w:type="spellStart"/>
      <w:r w:rsidRPr="00BD0F9A">
        <w:rPr>
          <w:i/>
          <w:iCs/>
        </w:rPr>
        <w:t>Arq</w:t>
      </w:r>
      <w:proofErr w:type="spellEnd"/>
      <w:r w:rsidRPr="00BD0F9A">
        <w:rPr>
          <w:i/>
          <w:iCs/>
        </w:rPr>
        <w:t xml:space="preserve"> Bras </w:t>
      </w:r>
      <w:proofErr w:type="spellStart"/>
      <w:r w:rsidRPr="00BD0F9A">
        <w:rPr>
          <w:i/>
          <w:iCs/>
        </w:rPr>
        <w:t>Cardiol</w:t>
      </w:r>
      <w:proofErr w:type="spellEnd"/>
      <w:r w:rsidRPr="00BD0F9A">
        <w:rPr>
          <w:i/>
          <w:iCs/>
        </w:rPr>
        <w:t>.</w:t>
      </w:r>
      <w:r w:rsidRPr="00BD0F9A">
        <w:t xml:space="preserve"> 2024;</w:t>
      </w:r>
      <w:proofErr w:type="gramStart"/>
      <w:r w:rsidRPr="00BD0F9A">
        <w:t>121:e</w:t>
      </w:r>
      <w:proofErr w:type="gramEnd"/>
      <w:r w:rsidRPr="00BD0F9A">
        <w:t>20240128.</w:t>
      </w:r>
    </w:p>
    <w:p w14:paraId="671D4159" w14:textId="77777777" w:rsidR="00CD78AF" w:rsidRPr="00BD0F9A" w:rsidRDefault="00CD78AF" w:rsidP="00CD78AF">
      <w:pPr>
        <w:pStyle w:val="ListParagraph"/>
        <w:numPr>
          <w:ilvl w:val="0"/>
          <w:numId w:val="10"/>
        </w:numPr>
        <w:spacing w:after="160" w:line="278" w:lineRule="auto"/>
      </w:pPr>
      <w:r w:rsidRPr="00BD0F9A">
        <w:t xml:space="preserve">Huang S, Sun G, Wu Y, et al. Association between </w:t>
      </w:r>
      <w:proofErr w:type="spellStart"/>
      <w:r w:rsidRPr="00BD0F9A">
        <w:t>ReDS</w:t>
      </w:r>
      <w:proofErr w:type="spellEnd"/>
      <w:r w:rsidRPr="00BD0F9A">
        <w:t xml:space="preserve"> and LUS. </w:t>
      </w:r>
      <w:r w:rsidRPr="00BD0F9A">
        <w:rPr>
          <w:i/>
          <w:iCs/>
        </w:rPr>
        <w:t>Front Cardiovasc Med.</w:t>
      </w:r>
      <w:r w:rsidRPr="00BD0F9A">
        <w:t xml:space="preserve"> </w:t>
      </w:r>
      <w:proofErr w:type="gramStart"/>
      <w:r w:rsidRPr="00BD0F9A">
        <w:t>2026;13:1723377</w:t>
      </w:r>
      <w:proofErr w:type="gramEnd"/>
      <w:r w:rsidRPr="00BD0F9A">
        <w:t>.</w:t>
      </w:r>
    </w:p>
    <w:p w14:paraId="6860E0CD" w14:textId="77777777" w:rsidR="00CD78AF" w:rsidRPr="00BD0F9A" w:rsidRDefault="00CD78AF" w:rsidP="00CD78AF">
      <w:pPr>
        <w:pStyle w:val="ListParagraph"/>
        <w:numPr>
          <w:ilvl w:val="0"/>
          <w:numId w:val="10"/>
        </w:numPr>
        <w:spacing w:after="160" w:line="278" w:lineRule="auto"/>
      </w:pPr>
      <w:r w:rsidRPr="00BD0F9A">
        <w:t xml:space="preserve">Bossuyt PM, Reitsma JB, Bruns DE, et al. STARD 2015. </w:t>
      </w:r>
      <w:r w:rsidRPr="00BD0F9A">
        <w:rPr>
          <w:i/>
          <w:iCs/>
        </w:rPr>
        <w:t>BMJ.</w:t>
      </w:r>
      <w:r w:rsidRPr="00BD0F9A">
        <w:t xml:space="preserve"> 2015;351:h5527.</w:t>
      </w:r>
    </w:p>
    <w:p w14:paraId="679D00C5" w14:textId="77777777" w:rsidR="00CD78AF" w:rsidRPr="00BD0F9A" w:rsidRDefault="00CD78AF" w:rsidP="00CD78AF">
      <w:pPr>
        <w:pStyle w:val="ListParagraph"/>
        <w:numPr>
          <w:ilvl w:val="0"/>
          <w:numId w:val="10"/>
        </w:numPr>
        <w:spacing w:after="160" w:line="278" w:lineRule="auto"/>
      </w:pPr>
      <w:r w:rsidRPr="00BD0F9A">
        <w:t xml:space="preserve">Januzzi JL Jr, Chen-Tournoux AA, Christenson RH, et al. ICON-RELOADED. </w:t>
      </w:r>
      <w:r w:rsidRPr="00BD0F9A">
        <w:rPr>
          <w:i/>
          <w:iCs/>
        </w:rPr>
        <w:t xml:space="preserve">J Am Coll </w:t>
      </w:r>
      <w:proofErr w:type="spellStart"/>
      <w:r w:rsidRPr="00BD0F9A">
        <w:rPr>
          <w:i/>
          <w:iCs/>
        </w:rPr>
        <w:t>Cardiol</w:t>
      </w:r>
      <w:proofErr w:type="spellEnd"/>
      <w:r w:rsidRPr="00BD0F9A">
        <w:rPr>
          <w:i/>
          <w:iCs/>
        </w:rPr>
        <w:t>.</w:t>
      </w:r>
      <w:r w:rsidRPr="00BD0F9A">
        <w:t xml:space="preserve"> </w:t>
      </w:r>
      <w:proofErr w:type="gramStart"/>
      <w:r w:rsidRPr="00BD0F9A">
        <w:t>2018;71:1191</w:t>
      </w:r>
      <w:proofErr w:type="gramEnd"/>
      <w:r w:rsidRPr="00BD0F9A">
        <w:t>–1200.</w:t>
      </w:r>
    </w:p>
    <w:p w14:paraId="0D337FC7" w14:textId="77777777" w:rsidR="00CD78AF" w:rsidRPr="00BD0F9A" w:rsidRDefault="00CD78AF" w:rsidP="00CD78AF">
      <w:pPr>
        <w:pStyle w:val="ListParagraph"/>
        <w:numPr>
          <w:ilvl w:val="0"/>
          <w:numId w:val="10"/>
        </w:numPr>
        <w:spacing w:after="160" w:line="278" w:lineRule="auto"/>
      </w:pPr>
      <w:r w:rsidRPr="00BD0F9A">
        <w:lastRenderedPageBreak/>
        <w:t>Alvarez-Garcia J, Lala A, Rivas-</w:t>
      </w:r>
      <w:proofErr w:type="spellStart"/>
      <w:r w:rsidRPr="00BD0F9A">
        <w:t>Lasarte</w:t>
      </w:r>
      <w:proofErr w:type="spellEnd"/>
      <w:r w:rsidRPr="00BD0F9A">
        <w:t xml:space="preserve"> M, et al. </w:t>
      </w:r>
      <w:proofErr w:type="spellStart"/>
      <w:r w:rsidRPr="00BD0F9A">
        <w:t>ReDS</w:t>
      </w:r>
      <w:proofErr w:type="spellEnd"/>
      <w:r w:rsidRPr="00BD0F9A">
        <w:t xml:space="preserve">-SAFE HF. </w:t>
      </w:r>
      <w:r w:rsidRPr="00BD0F9A">
        <w:rPr>
          <w:i/>
          <w:iCs/>
        </w:rPr>
        <w:t>JACC Heart Fail.</w:t>
      </w:r>
      <w:r w:rsidRPr="00BD0F9A">
        <w:t xml:space="preserve"> </w:t>
      </w:r>
      <w:proofErr w:type="gramStart"/>
      <w:r w:rsidRPr="00BD0F9A">
        <w:t>2024;12:695</w:t>
      </w:r>
      <w:proofErr w:type="gramEnd"/>
      <w:r w:rsidRPr="00BD0F9A">
        <w:t>–706.</w:t>
      </w:r>
    </w:p>
    <w:p w14:paraId="0BB9B296" w14:textId="77777777" w:rsidR="00CD78AF" w:rsidRPr="00BD0F9A" w:rsidRDefault="00CD78AF" w:rsidP="00CD78AF">
      <w:pPr>
        <w:pStyle w:val="ListParagraph"/>
        <w:numPr>
          <w:ilvl w:val="0"/>
          <w:numId w:val="10"/>
        </w:numPr>
        <w:spacing w:after="160" w:line="278" w:lineRule="auto"/>
      </w:pPr>
      <w:r w:rsidRPr="00BD0F9A">
        <w:t xml:space="preserve">Lala A, </w:t>
      </w:r>
      <w:proofErr w:type="spellStart"/>
      <w:r w:rsidRPr="00BD0F9A">
        <w:t>Barghash</w:t>
      </w:r>
      <w:proofErr w:type="spellEnd"/>
      <w:r w:rsidRPr="00BD0F9A">
        <w:t xml:space="preserve"> MH, </w:t>
      </w:r>
      <w:proofErr w:type="spellStart"/>
      <w:r w:rsidRPr="00BD0F9A">
        <w:t>Lanfear</w:t>
      </w:r>
      <w:proofErr w:type="spellEnd"/>
      <w:r w:rsidRPr="00BD0F9A">
        <w:t xml:space="preserve"> DE, et al. Early </w:t>
      </w:r>
      <w:proofErr w:type="spellStart"/>
      <w:r w:rsidRPr="00BD0F9A">
        <w:t>ReDS</w:t>
      </w:r>
      <w:proofErr w:type="spellEnd"/>
      <w:r w:rsidRPr="00BD0F9A">
        <w:t xml:space="preserve"> use. </w:t>
      </w:r>
      <w:r w:rsidRPr="00BD0F9A">
        <w:rPr>
          <w:i/>
          <w:iCs/>
        </w:rPr>
        <w:t>ESC Heart Fail.</w:t>
      </w:r>
      <w:r w:rsidRPr="00BD0F9A">
        <w:t xml:space="preserve"> </w:t>
      </w:r>
      <w:proofErr w:type="gramStart"/>
      <w:r w:rsidRPr="00BD0F9A">
        <w:t>2021;8:1047</w:t>
      </w:r>
      <w:proofErr w:type="gramEnd"/>
      <w:r w:rsidRPr="00BD0F9A">
        <w:t>–1054.</w:t>
      </w:r>
    </w:p>
    <w:p w14:paraId="6E04EE4B" w14:textId="77777777" w:rsidR="00CD78AF" w:rsidRPr="00BD0F9A" w:rsidRDefault="00CD78AF" w:rsidP="00CD78AF">
      <w:pPr>
        <w:pStyle w:val="ListParagraph"/>
        <w:numPr>
          <w:ilvl w:val="0"/>
          <w:numId w:val="10"/>
        </w:numPr>
        <w:spacing w:after="160" w:line="278" w:lineRule="auto"/>
      </w:pPr>
      <w:r w:rsidRPr="00BD0F9A">
        <w:t xml:space="preserve">Abraham WT, </w:t>
      </w:r>
      <w:proofErr w:type="spellStart"/>
      <w:r w:rsidRPr="00BD0F9A">
        <w:t>Bensimhon</w:t>
      </w:r>
      <w:proofErr w:type="spellEnd"/>
      <w:r w:rsidRPr="00BD0F9A">
        <w:t xml:space="preserve"> DR, </w:t>
      </w:r>
      <w:proofErr w:type="spellStart"/>
      <w:r w:rsidRPr="00BD0F9A">
        <w:t>Pinney</w:t>
      </w:r>
      <w:proofErr w:type="spellEnd"/>
      <w:r w:rsidRPr="00BD0F9A">
        <w:t xml:space="preserve"> SP, et al. </w:t>
      </w:r>
      <w:proofErr w:type="spellStart"/>
      <w:r w:rsidRPr="00BD0F9A">
        <w:t>ReDS</w:t>
      </w:r>
      <w:proofErr w:type="spellEnd"/>
      <w:r w:rsidRPr="00BD0F9A">
        <w:t xml:space="preserve">-guided therapy. </w:t>
      </w:r>
      <w:r w:rsidRPr="00BD0F9A">
        <w:rPr>
          <w:i/>
          <w:iCs/>
        </w:rPr>
        <w:t xml:space="preserve">Int J </w:t>
      </w:r>
      <w:proofErr w:type="spellStart"/>
      <w:r w:rsidRPr="00BD0F9A">
        <w:rPr>
          <w:i/>
          <w:iCs/>
        </w:rPr>
        <w:t>Cardiol</w:t>
      </w:r>
      <w:proofErr w:type="spellEnd"/>
      <w:r w:rsidRPr="00BD0F9A">
        <w:rPr>
          <w:i/>
          <w:iCs/>
        </w:rPr>
        <w:t>.</w:t>
      </w:r>
      <w:r w:rsidRPr="00BD0F9A">
        <w:t xml:space="preserve"> </w:t>
      </w:r>
      <w:proofErr w:type="gramStart"/>
      <w:r w:rsidRPr="00BD0F9A">
        <w:t>2017;240:279</w:t>
      </w:r>
      <w:proofErr w:type="gramEnd"/>
      <w:r w:rsidRPr="00BD0F9A">
        <w:t>–284.</w:t>
      </w:r>
    </w:p>
    <w:p w14:paraId="4E36B03A" w14:textId="77777777" w:rsidR="00CD78AF" w:rsidRDefault="00CD78AF" w:rsidP="00CD78AF">
      <w:pPr>
        <w:pStyle w:val="ListParagraph"/>
        <w:numPr>
          <w:ilvl w:val="0"/>
          <w:numId w:val="10"/>
        </w:numPr>
        <w:spacing w:after="160" w:line="278" w:lineRule="auto"/>
      </w:pPr>
      <w:r w:rsidRPr="00BD0F9A">
        <w:t xml:space="preserve">Olesen ASO, </w:t>
      </w:r>
      <w:proofErr w:type="spellStart"/>
      <w:r w:rsidRPr="00BD0F9A">
        <w:t>Miger</w:t>
      </w:r>
      <w:proofErr w:type="spellEnd"/>
      <w:r w:rsidRPr="00BD0F9A">
        <w:t xml:space="preserve"> K, </w:t>
      </w:r>
      <w:proofErr w:type="spellStart"/>
      <w:r w:rsidRPr="00BD0F9A">
        <w:t>Fabricius-Bjerre</w:t>
      </w:r>
      <w:proofErr w:type="spellEnd"/>
      <w:r w:rsidRPr="00BD0F9A">
        <w:t xml:space="preserve"> A, et al. </w:t>
      </w:r>
      <w:proofErr w:type="spellStart"/>
      <w:r w:rsidRPr="00BD0F9A">
        <w:t>ReDS</w:t>
      </w:r>
      <w:proofErr w:type="spellEnd"/>
      <w:r w:rsidRPr="00BD0F9A">
        <w:t xml:space="preserve"> in ED dyspnea. </w:t>
      </w:r>
      <w:r w:rsidRPr="00BD0F9A">
        <w:rPr>
          <w:i/>
          <w:iCs/>
        </w:rPr>
        <w:t>Eur Heart J Open.</w:t>
      </w:r>
      <w:r w:rsidRPr="00BD0F9A">
        <w:t xml:space="preserve"> 2022;</w:t>
      </w:r>
      <w:proofErr w:type="gramStart"/>
      <w:r w:rsidRPr="00BD0F9A">
        <w:t>2:oeac</w:t>
      </w:r>
      <w:proofErr w:type="gramEnd"/>
      <w:r w:rsidRPr="00BD0F9A">
        <w:t>073.</w:t>
      </w:r>
    </w:p>
    <w:p w14:paraId="5F2E3F95" w14:textId="77777777" w:rsidR="00B452FE" w:rsidRDefault="00B452FE" w:rsidP="00B452FE">
      <w:pPr>
        <w:spacing w:after="160" w:line="278" w:lineRule="auto"/>
      </w:pPr>
    </w:p>
    <w:sectPr w:rsidR="00B452FE" w:rsidSect="00E96762">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62B89" w14:textId="77777777" w:rsidR="003B2B8F" w:rsidRDefault="003B2B8F" w:rsidP="00E96762">
      <w:pPr>
        <w:spacing w:after="0" w:line="240" w:lineRule="auto"/>
      </w:pPr>
      <w:r>
        <w:separator/>
      </w:r>
    </w:p>
  </w:endnote>
  <w:endnote w:type="continuationSeparator" w:id="0">
    <w:p w14:paraId="23564A33" w14:textId="77777777" w:rsidR="003B2B8F" w:rsidRDefault="003B2B8F" w:rsidP="00E9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C55D" w14:textId="77777777" w:rsidR="003564D4" w:rsidRDefault="00356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5B8A" w14:textId="77777777" w:rsidR="003564D4" w:rsidRDefault="00356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3EA6" w14:textId="77777777" w:rsidR="003564D4" w:rsidRDefault="00356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A964A" w14:textId="77777777" w:rsidR="003B2B8F" w:rsidRDefault="003B2B8F" w:rsidP="00E96762">
      <w:pPr>
        <w:spacing w:after="0" w:line="240" w:lineRule="auto"/>
      </w:pPr>
      <w:r>
        <w:separator/>
      </w:r>
    </w:p>
  </w:footnote>
  <w:footnote w:type="continuationSeparator" w:id="0">
    <w:p w14:paraId="73084090" w14:textId="77777777" w:rsidR="003B2B8F" w:rsidRDefault="003B2B8F" w:rsidP="00E96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B5E7" w14:textId="748C8EBB" w:rsidR="003564D4" w:rsidRDefault="003564D4">
    <w:pPr>
      <w:pStyle w:val="Header"/>
    </w:pPr>
    <w:r>
      <w:rPr>
        <w:noProof/>
      </w:rPr>
      <w:pict w14:anchorId="78411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7D71" w14:textId="23EAFE90" w:rsidR="003564D4" w:rsidRDefault="003564D4">
    <w:pPr>
      <w:pStyle w:val="Header"/>
    </w:pPr>
    <w:r>
      <w:rPr>
        <w:noProof/>
      </w:rPr>
      <w:pict w14:anchorId="1D7B7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F218" w14:textId="56FA1A1F" w:rsidR="003564D4" w:rsidRDefault="003564D4">
    <w:pPr>
      <w:pStyle w:val="Header"/>
    </w:pPr>
    <w:r>
      <w:rPr>
        <w:noProof/>
      </w:rPr>
      <w:pict w14:anchorId="5CF25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4135B2"/>
    <w:multiLevelType w:val="hybridMultilevel"/>
    <w:tmpl w:val="483C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FFA"/>
    <w:rsid w:val="000D1012"/>
    <w:rsid w:val="000D499B"/>
    <w:rsid w:val="000E02F0"/>
    <w:rsid w:val="0010323B"/>
    <w:rsid w:val="001218E1"/>
    <w:rsid w:val="00133BCA"/>
    <w:rsid w:val="0015074B"/>
    <w:rsid w:val="00151CFE"/>
    <w:rsid w:val="001C3883"/>
    <w:rsid w:val="0020631C"/>
    <w:rsid w:val="00261A07"/>
    <w:rsid w:val="0029639D"/>
    <w:rsid w:val="002C652E"/>
    <w:rsid w:val="002E4977"/>
    <w:rsid w:val="00312FB5"/>
    <w:rsid w:val="0032301E"/>
    <w:rsid w:val="00326F90"/>
    <w:rsid w:val="003564D4"/>
    <w:rsid w:val="00356EEB"/>
    <w:rsid w:val="003B2B8F"/>
    <w:rsid w:val="003F66E0"/>
    <w:rsid w:val="004C08B6"/>
    <w:rsid w:val="004D4CDF"/>
    <w:rsid w:val="00506D97"/>
    <w:rsid w:val="00527ED7"/>
    <w:rsid w:val="00561CC5"/>
    <w:rsid w:val="00580813"/>
    <w:rsid w:val="00592F6F"/>
    <w:rsid w:val="005B3F7A"/>
    <w:rsid w:val="005C7A50"/>
    <w:rsid w:val="00645918"/>
    <w:rsid w:val="0066424F"/>
    <w:rsid w:val="00736EAC"/>
    <w:rsid w:val="007A513A"/>
    <w:rsid w:val="008310B0"/>
    <w:rsid w:val="00840F19"/>
    <w:rsid w:val="00861080"/>
    <w:rsid w:val="009215FB"/>
    <w:rsid w:val="0099200A"/>
    <w:rsid w:val="00AA1D8D"/>
    <w:rsid w:val="00AA54DF"/>
    <w:rsid w:val="00AD7DBF"/>
    <w:rsid w:val="00B452FE"/>
    <w:rsid w:val="00B47730"/>
    <w:rsid w:val="00B918FB"/>
    <w:rsid w:val="00BD48AB"/>
    <w:rsid w:val="00C74F1A"/>
    <w:rsid w:val="00CA5603"/>
    <w:rsid w:val="00CB0664"/>
    <w:rsid w:val="00CC3D1A"/>
    <w:rsid w:val="00CD78AF"/>
    <w:rsid w:val="00DD639C"/>
    <w:rsid w:val="00E13706"/>
    <w:rsid w:val="00E7746A"/>
    <w:rsid w:val="00E96762"/>
    <w:rsid w:val="00EE4AE3"/>
    <w:rsid w:val="00EF3229"/>
    <w:rsid w:val="00F50529"/>
    <w:rsid w:val="00FA1CA2"/>
    <w:rsid w:val="00FB4EEB"/>
    <w:rsid w:val="00FC693F"/>
    <w:rsid w:val="00FC7306"/>
    <w:rsid w:val="00FF08E3"/>
    <w:rsid w:val="00FF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71E63F"/>
  <w14:defaultImageDpi w14:val="300"/>
  <w15:docId w15:val="{EC593100-9E9C-4C6A-8923-8F8BE9FA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A1CA2"/>
    <w:rPr>
      <w:rFonts w:ascii="Times New Roman" w:hAnsi="Times New Roman" w:cs="Times New Roman"/>
      <w:sz w:val="24"/>
      <w:szCs w:val="24"/>
    </w:rPr>
  </w:style>
  <w:style w:type="paragraph" w:customStyle="1" w:styleId="ReferHead">
    <w:name w:val="Refer Head"/>
    <w:basedOn w:val="Normal"/>
    <w:rsid w:val="000D1012"/>
    <w:pPr>
      <w:keepNext/>
      <w:spacing w:after="240" w:line="240" w:lineRule="auto"/>
    </w:pPr>
    <w:rPr>
      <w:rFonts w:ascii="Helvetica" w:eastAsia="Times New Roman" w:hAnsi="Helvetica" w:cs="Times New Roman"/>
      <w:b/>
      <w:caps/>
      <w:sz w:val="22"/>
      <w:szCs w:val="20"/>
    </w:rPr>
  </w:style>
  <w:style w:type="character" w:styleId="Hyperlink">
    <w:name w:val="Hyperlink"/>
    <w:basedOn w:val="DefaultParagraphFont"/>
    <w:uiPriority w:val="99"/>
    <w:unhideWhenUsed/>
    <w:rsid w:val="003F66E0"/>
    <w:rPr>
      <w:color w:val="0000FF" w:themeColor="hyperlink"/>
      <w:u w:val="single"/>
    </w:rPr>
  </w:style>
  <w:style w:type="character" w:styleId="UnresolvedMention">
    <w:name w:val="Unresolved Mention"/>
    <w:basedOn w:val="DefaultParagraphFont"/>
    <w:uiPriority w:val="99"/>
    <w:semiHidden/>
    <w:unhideWhenUsed/>
    <w:rsid w:val="003F6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13AE-0F2D-4B84-A356-7809B99D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9</cp:revision>
  <cp:lastPrinted>2026-02-15T05:35:00Z</cp:lastPrinted>
  <dcterms:created xsi:type="dcterms:W3CDTF">2026-02-15T05:35:00Z</dcterms:created>
  <dcterms:modified xsi:type="dcterms:W3CDTF">2026-02-16T10:11:00Z</dcterms:modified>
  <cp:category/>
</cp:coreProperties>
</file>