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BCA75" w14:textId="77777777" w:rsidR="00EA3A2F" w:rsidRPr="00EA3A2F" w:rsidRDefault="00EA3A2F" w:rsidP="00EA3A2F">
      <w:pPr>
        <w:rPr>
          <w:rFonts w:asciiTheme="majorBidi" w:hAnsiTheme="majorBidi" w:cstheme="majorBidi"/>
          <w:b/>
          <w:bCs/>
          <w:i/>
          <w:iCs/>
          <w:sz w:val="24"/>
          <w:szCs w:val="24"/>
          <w:u w:val="single"/>
          <w:lang w:val="en-US"/>
        </w:rPr>
      </w:pPr>
      <w:r w:rsidRPr="00EA3A2F">
        <w:rPr>
          <w:rFonts w:asciiTheme="majorBidi" w:hAnsiTheme="majorBidi" w:cstheme="majorBidi"/>
          <w:b/>
          <w:bCs/>
          <w:i/>
          <w:iCs/>
          <w:sz w:val="24"/>
          <w:szCs w:val="24"/>
          <w:u w:val="single"/>
          <w:lang w:val="en-US"/>
        </w:rPr>
        <w:t xml:space="preserve">Case report </w:t>
      </w:r>
    </w:p>
    <w:p w14:paraId="2B9A5F45" w14:textId="77777777" w:rsidR="009A684A"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 xml:space="preserve">Prosthetic Aortic Valve Infective Endocarditis Caused by Methicillin-Susceptible </w:t>
      </w:r>
      <w:r w:rsidRPr="003774AB">
        <w:rPr>
          <w:rFonts w:asciiTheme="majorBidi" w:hAnsiTheme="majorBidi" w:cstheme="majorBidi"/>
          <w:b/>
          <w:bCs/>
          <w:i/>
          <w:iCs/>
          <w:sz w:val="24"/>
          <w:szCs w:val="24"/>
        </w:rPr>
        <w:t>Staphylococcus aureus</w:t>
      </w:r>
      <w:r w:rsidRPr="003774AB">
        <w:rPr>
          <w:rFonts w:asciiTheme="majorBidi" w:hAnsiTheme="majorBidi" w:cstheme="majorBidi"/>
          <w:b/>
          <w:bCs/>
          <w:sz w:val="24"/>
          <w:szCs w:val="24"/>
        </w:rPr>
        <w:t xml:space="preserve"> with Multisystem Embolic Complications: A Case Report</w:t>
      </w:r>
    </w:p>
    <w:p w14:paraId="152BDB8E" w14:textId="77777777" w:rsidR="005948BF" w:rsidRDefault="005948BF" w:rsidP="009A684A">
      <w:pPr>
        <w:rPr>
          <w:rFonts w:asciiTheme="majorBidi" w:hAnsiTheme="majorBidi" w:cstheme="majorBidi"/>
          <w:b/>
          <w:bCs/>
          <w:sz w:val="24"/>
          <w:szCs w:val="24"/>
        </w:rPr>
      </w:pPr>
    </w:p>
    <w:p w14:paraId="67AD4F23" w14:textId="27BD17EE" w:rsidR="005948BF" w:rsidRPr="003774AB" w:rsidRDefault="003F62E8" w:rsidP="003F62E8">
      <w:pPr>
        <w:rPr>
          <w:rFonts w:asciiTheme="majorBidi" w:hAnsiTheme="majorBidi" w:cstheme="majorBidi"/>
          <w:b/>
          <w:bCs/>
          <w:sz w:val="24"/>
          <w:szCs w:val="24"/>
        </w:rPr>
      </w:pPr>
      <w:bookmarkStart w:id="0" w:name="_GoBack"/>
      <w:bookmarkEnd w:id="0"/>
      <w:r w:rsidRPr="003F62E8">
        <w:rPr>
          <w:rFonts w:asciiTheme="majorBidi" w:hAnsiTheme="majorBidi" w:cstheme="majorBidi"/>
          <w:b/>
          <w:bCs/>
          <w:sz w:val="24"/>
          <w:szCs w:val="24"/>
          <w:lang w:val="en-US"/>
        </w:rPr>
        <w:tab/>
      </w:r>
    </w:p>
    <w:p w14:paraId="5C45B1A8" w14:textId="77777777" w:rsidR="009A684A" w:rsidRPr="003774AB" w:rsidRDefault="007E2DFD" w:rsidP="009A684A">
      <w:pPr>
        <w:rPr>
          <w:rFonts w:asciiTheme="majorBidi" w:hAnsiTheme="majorBidi" w:cstheme="majorBidi"/>
          <w:b/>
          <w:bCs/>
          <w:sz w:val="24"/>
          <w:szCs w:val="24"/>
        </w:rPr>
      </w:pPr>
      <w:r>
        <w:rPr>
          <w:rFonts w:asciiTheme="majorBidi" w:hAnsiTheme="majorBidi" w:cstheme="majorBidi"/>
          <w:b/>
          <w:bCs/>
          <w:sz w:val="24"/>
          <w:szCs w:val="24"/>
        </w:rPr>
        <w:pict w14:anchorId="1864C41A">
          <v:rect id="_x0000_i1025" style="width:0;height:1.5pt" o:hralign="center" o:hrstd="t" o:hr="t" fillcolor="#a0a0a0" stroked="f"/>
        </w:pict>
      </w:r>
    </w:p>
    <w:p w14:paraId="78BD60D4"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Abstract</w:t>
      </w:r>
    </w:p>
    <w:p w14:paraId="1438AD50"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 xml:space="preserve">Background: Prosthetic valve infective endocarditis (PVE) caused by </w:t>
      </w:r>
      <w:r w:rsidRPr="003774AB">
        <w:rPr>
          <w:rFonts w:asciiTheme="majorBidi" w:hAnsiTheme="majorBidi" w:cstheme="majorBidi"/>
          <w:b/>
          <w:bCs/>
          <w:i/>
          <w:iCs/>
          <w:sz w:val="24"/>
          <w:szCs w:val="24"/>
        </w:rPr>
        <w:t>Staphylococcus aureus</w:t>
      </w:r>
      <w:r w:rsidRPr="003774AB">
        <w:rPr>
          <w:rFonts w:asciiTheme="majorBidi" w:hAnsiTheme="majorBidi" w:cstheme="majorBidi"/>
          <w:b/>
          <w:bCs/>
          <w:sz w:val="24"/>
          <w:szCs w:val="24"/>
        </w:rPr>
        <w:t xml:space="preserve"> is associated with high morbidity and mortality, particularly when complicated by peri-annular abscesses and systemic embolization.</w:t>
      </w:r>
    </w:p>
    <w:p w14:paraId="5D5D991F"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 xml:space="preserve">Case Summary: We report a 70-year-old male with a history of ischemic heart disease, coronary artery bypass grafting, and aortic valve replacement with a bioprosthesis. The patient presented with syncope, fever, and bilateral knee trauma. Blood cultures grew methicillin-susceptible </w:t>
      </w:r>
      <w:r w:rsidRPr="003774AB">
        <w:rPr>
          <w:rFonts w:asciiTheme="majorBidi" w:hAnsiTheme="majorBidi" w:cstheme="majorBidi"/>
          <w:b/>
          <w:bCs/>
          <w:i/>
          <w:iCs/>
          <w:sz w:val="24"/>
          <w:szCs w:val="24"/>
        </w:rPr>
        <w:t>Staphylococcus aureus</w:t>
      </w:r>
      <w:r w:rsidRPr="003774AB">
        <w:rPr>
          <w:rFonts w:asciiTheme="majorBidi" w:hAnsiTheme="majorBidi" w:cstheme="majorBidi"/>
          <w:b/>
          <w:bCs/>
          <w:sz w:val="24"/>
          <w:szCs w:val="24"/>
        </w:rPr>
        <w:t>, and a diabetic foot ulcer was identified as the likely portal of entry. Echocardiography revealed prosthetic valve thickening, an 8-mm mobile filamentous structure (vegetation), and peri-annular abscess. PET/CT confirmed prosthetic valve infection and involvement of both knee prostheses. MRI showed multiple cerebral embolic lesions and probable cervical spondylodiscitis. The patient received prolonged intravenous cefazolin and rifampicin. Multidisciplinary evaluation indicated early surgical intervention.</w:t>
      </w:r>
    </w:p>
    <w:p w14:paraId="6AC829E7"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Discussion: This case illustrates the aggressive nature of MSSA PVE, highlights the value of repeated and multimodal imaging including PET/CT, and emphasizes the importance of early multidisciplinary decision-making for surgical intervention.</w:t>
      </w:r>
    </w:p>
    <w:p w14:paraId="1BFC757C"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 xml:space="preserve">Keywords: Prosthetic valve, infective endocarditis, </w:t>
      </w:r>
      <w:r w:rsidRPr="003774AB">
        <w:rPr>
          <w:rFonts w:asciiTheme="majorBidi" w:hAnsiTheme="majorBidi" w:cstheme="majorBidi"/>
          <w:b/>
          <w:bCs/>
          <w:i/>
          <w:iCs/>
          <w:sz w:val="24"/>
          <w:szCs w:val="24"/>
        </w:rPr>
        <w:t>Staphylococcus aureus</w:t>
      </w:r>
      <w:r w:rsidRPr="003774AB">
        <w:rPr>
          <w:rFonts w:asciiTheme="majorBidi" w:hAnsiTheme="majorBidi" w:cstheme="majorBidi"/>
          <w:b/>
          <w:bCs/>
          <w:sz w:val="24"/>
          <w:szCs w:val="24"/>
        </w:rPr>
        <w:t>, embolic complications, surgery, PET/CT.</w:t>
      </w:r>
    </w:p>
    <w:p w14:paraId="3F33E58C" w14:textId="77777777" w:rsidR="009A684A" w:rsidRPr="005365C0" w:rsidRDefault="009A684A" w:rsidP="009A684A">
      <w:pPr>
        <w:rPr>
          <w:rFonts w:asciiTheme="majorBidi" w:hAnsiTheme="majorBidi" w:cstheme="majorBidi"/>
          <w:b/>
          <w:bCs/>
          <w:sz w:val="24"/>
          <w:szCs w:val="24"/>
        </w:rPr>
      </w:pPr>
    </w:p>
    <w:p w14:paraId="44F9FAFC" w14:textId="77777777" w:rsidR="009A684A" w:rsidRPr="005365C0" w:rsidRDefault="009A684A" w:rsidP="009A684A">
      <w:pPr>
        <w:rPr>
          <w:rFonts w:asciiTheme="majorBidi" w:hAnsiTheme="majorBidi" w:cstheme="majorBidi"/>
          <w:b/>
          <w:bCs/>
          <w:sz w:val="24"/>
          <w:szCs w:val="24"/>
        </w:rPr>
      </w:pPr>
    </w:p>
    <w:p w14:paraId="426B631A" w14:textId="77777777" w:rsidR="009A684A" w:rsidRPr="003774AB" w:rsidRDefault="007E2DFD" w:rsidP="009A684A">
      <w:pPr>
        <w:rPr>
          <w:rFonts w:asciiTheme="majorBidi" w:hAnsiTheme="majorBidi" w:cstheme="majorBidi"/>
          <w:sz w:val="24"/>
          <w:szCs w:val="24"/>
        </w:rPr>
      </w:pPr>
      <w:r>
        <w:rPr>
          <w:rFonts w:asciiTheme="majorBidi" w:hAnsiTheme="majorBidi" w:cstheme="majorBidi"/>
          <w:sz w:val="24"/>
          <w:szCs w:val="24"/>
        </w:rPr>
        <w:pict w14:anchorId="6CC3E5CB">
          <v:rect id="_x0000_i1026" style="width:0;height:1.5pt" o:hralign="center" o:hrstd="t" o:hr="t" fillcolor="#a0a0a0" stroked="f"/>
        </w:pict>
      </w:r>
    </w:p>
    <w:p w14:paraId="2CC5AD12"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Introduction</w:t>
      </w:r>
    </w:p>
    <w:p w14:paraId="368D5019"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Prosthetic valve infective endocarditis (PVE) represents a severe form of cardiovascular infection associated with high morbidity and mortality, particularly when caused by </w:t>
      </w:r>
      <w:r w:rsidRPr="003774AB">
        <w:rPr>
          <w:rFonts w:asciiTheme="majorBidi" w:hAnsiTheme="majorBidi" w:cstheme="majorBidi"/>
          <w:i/>
          <w:iCs/>
          <w:sz w:val="24"/>
          <w:szCs w:val="24"/>
        </w:rPr>
        <w:t>Staphylococcus aureus</w:t>
      </w:r>
      <w:r w:rsidRPr="003774AB">
        <w:rPr>
          <w:rFonts w:asciiTheme="majorBidi" w:hAnsiTheme="majorBidi" w:cstheme="majorBidi"/>
          <w:sz w:val="24"/>
          <w:szCs w:val="24"/>
        </w:rPr>
        <w:t xml:space="preserve">. The disease is frequently complicated by peri-annular extension, systemic embolization, and often requires early surgical management. We report the case of methicillin-susceptible </w:t>
      </w:r>
      <w:r w:rsidRPr="003774AB">
        <w:rPr>
          <w:rFonts w:asciiTheme="majorBidi" w:hAnsiTheme="majorBidi" w:cstheme="majorBidi"/>
          <w:i/>
          <w:iCs/>
          <w:sz w:val="24"/>
          <w:szCs w:val="24"/>
        </w:rPr>
        <w:t>Staphylococcus aureus</w:t>
      </w:r>
      <w:r w:rsidRPr="003774AB">
        <w:rPr>
          <w:rFonts w:asciiTheme="majorBidi" w:hAnsiTheme="majorBidi" w:cstheme="majorBidi"/>
          <w:sz w:val="24"/>
          <w:szCs w:val="24"/>
        </w:rPr>
        <w:t xml:space="preserve"> (MSSA) infective endocarditis involving a bioprosthetic aortic valve, complicated by multiple embolic and metastatic infectious manifestations, requiring a multidisciplinary medico-surgical approach.</w:t>
      </w:r>
    </w:p>
    <w:p w14:paraId="6646B0A3" w14:textId="77777777" w:rsidR="009A684A" w:rsidRPr="003774AB" w:rsidRDefault="007E2DFD" w:rsidP="009A684A">
      <w:pPr>
        <w:rPr>
          <w:rFonts w:asciiTheme="majorBidi" w:hAnsiTheme="majorBidi" w:cstheme="majorBidi"/>
          <w:sz w:val="24"/>
          <w:szCs w:val="24"/>
        </w:rPr>
      </w:pPr>
      <w:r>
        <w:rPr>
          <w:rFonts w:asciiTheme="majorBidi" w:hAnsiTheme="majorBidi" w:cstheme="majorBidi"/>
          <w:sz w:val="24"/>
          <w:szCs w:val="24"/>
        </w:rPr>
        <w:pict w14:anchorId="3253A079">
          <v:rect id="_x0000_i1027" style="width:0;height:1.5pt" o:hralign="center" o:hrstd="t" o:hr="t" fillcolor="#a0a0a0" stroked="f"/>
        </w:pict>
      </w:r>
    </w:p>
    <w:p w14:paraId="40F34A16" w14:textId="77777777" w:rsidR="009A684A" w:rsidRPr="005365C0" w:rsidRDefault="009A684A" w:rsidP="009A684A">
      <w:pPr>
        <w:rPr>
          <w:rFonts w:asciiTheme="majorBidi" w:hAnsiTheme="majorBidi" w:cstheme="majorBidi"/>
          <w:b/>
          <w:bCs/>
          <w:sz w:val="24"/>
          <w:szCs w:val="24"/>
        </w:rPr>
      </w:pPr>
    </w:p>
    <w:p w14:paraId="506E04E9"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lastRenderedPageBreak/>
        <w:t>Case Presentation</w:t>
      </w:r>
    </w:p>
    <w:p w14:paraId="27BF2D19"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A 70-year-old man, living independently at home, was admitted following a syncopal episode associated with fever (39.5 °C) and bilateral knee trauma. His medical history included ischemic heart disease with previous coronary artery bypass grafting and aortic valve replacement with a bioprosthesis in 2017, paroxysmal atrial fibrillation on anticoagulation, type 2 diabetes mellitus, and chronic diabetic foot ulcers.</w:t>
      </w:r>
    </w:p>
    <w:p w14:paraId="6C31D260"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Blood cultures obtained on admission grew methicillin-susceptible </w:t>
      </w:r>
      <w:r w:rsidRPr="003774AB">
        <w:rPr>
          <w:rFonts w:asciiTheme="majorBidi" w:hAnsiTheme="majorBidi" w:cstheme="majorBidi"/>
          <w:i/>
          <w:iCs/>
          <w:sz w:val="24"/>
          <w:szCs w:val="24"/>
        </w:rPr>
        <w:t>Staphylococcus aureus</w:t>
      </w:r>
      <w:r w:rsidRPr="003774AB">
        <w:rPr>
          <w:rFonts w:asciiTheme="majorBidi" w:hAnsiTheme="majorBidi" w:cstheme="majorBidi"/>
          <w:sz w:val="24"/>
          <w:szCs w:val="24"/>
        </w:rPr>
        <w:t>. The presumed portal of entry was a cutaneous diabetic ulcer located on the left hallux. Targeted intravenous antibiotic therapy with cefazolin was initiated.</w:t>
      </w:r>
    </w:p>
    <w:p w14:paraId="4E6092DA"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Initial transthoracic echocardiography showed no definite signs of infective endocarditis. Repeat echocardiography performed during hospitalization revealed thickening of the aortic bioprosthesis with an 8-mm mobile filamentous structure attached to the right cusp or annulus, consistent with vegetation. Associated thickening of the mitro-aortic trigone raised suspicion of peri-annular abscess formation. A significant increase in the mean transaortic gradient (44 mmHg) was observed.</w:t>
      </w:r>
    </w:p>
    <w:p w14:paraId="69EE9746" w14:textId="175127EE"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Transesophageal echocardiography confirmed prosthetic valve involvement with mobile vegetation and reinforced suspicion of early peri-annular extension. 18F-FDG PET/CT demonstrated increased uptake consistent with active aortic prosthetic valve infection, as well as uptake around both knee prostheses.</w:t>
      </w:r>
    </w:p>
    <w:p w14:paraId="012E4FB8"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Systemic extension assessment identified multiple embolic and metastatic complications, including multiple cerebral ischemic lesions of embolic origin on brain MRI, splenic infarction on abdominal imaging, and probable cervical spondylodiscitis on spinal MRI. Despite these findings, the patient remained hemodynamically stable and exhibited no persistent focal neurological deficits.</w:t>
      </w:r>
    </w:p>
    <w:p w14:paraId="68B4FFE9"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After multidisciplinary discussion by the endocarditis heart team, surgical management was indicated. Prolonged antibiotic therapy combining cefazolin and rifampicin was continued, with sterilization of blood cultures achieved by day 8 of treatment.</w:t>
      </w:r>
    </w:p>
    <w:p w14:paraId="02CA8516" w14:textId="77777777" w:rsidR="009A684A" w:rsidRPr="005365C0" w:rsidRDefault="009A684A" w:rsidP="009A684A">
      <w:pPr>
        <w:rPr>
          <w:rFonts w:asciiTheme="majorBidi" w:hAnsiTheme="majorBidi" w:cstheme="majorBidi"/>
          <w:sz w:val="24"/>
          <w:szCs w:val="24"/>
        </w:rPr>
      </w:pPr>
    </w:p>
    <w:p w14:paraId="2E604A1A" w14:textId="77777777" w:rsidR="009A684A" w:rsidRPr="005365C0" w:rsidRDefault="009A684A" w:rsidP="009A684A">
      <w:pPr>
        <w:rPr>
          <w:rFonts w:asciiTheme="majorBidi" w:hAnsiTheme="majorBidi" w:cstheme="majorBidi"/>
          <w:sz w:val="24"/>
          <w:szCs w:val="24"/>
        </w:rPr>
      </w:pPr>
    </w:p>
    <w:p w14:paraId="3F078843" w14:textId="77777777" w:rsidR="009A684A" w:rsidRDefault="009A684A" w:rsidP="009A684A">
      <w:pPr>
        <w:rPr>
          <w:rFonts w:asciiTheme="majorBidi" w:hAnsiTheme="majorBidi" w:cstheme="majorBidi"/>
          <w:sz w:val="24"/>
          <w:szCs w:val="24"/>
        </w:rPr>
      </w:pPr>
    </w:p>
    <w:p w14:paraId="5C1C467B" w14:textId="77777777" w:rsidR="005365C0" w:rsidRDefault="005365C0" w:rsidP="009A684A">
      <w:pPr>
        <w:rPr>
          <w:rFonts w:asciiTheme="majorBidi" w:hAnsiTheme="majorBidi" w:cstheme="majorBidi"/>
          <w:sz w:val="24"/>
          <w:szCs w:val="24"/>
        </w:rPr>
      </w:pPr>
    </w:p>
    <w:p w14:paraId="065F80BC" w14:textId="77777777" w:rsidR="005365C0" w:rsidRDefault="005365C0" w:rsidP="009A684A">
      <w:pPr>
        <w:rPr>
          <w:rFonts w:asciiTheme="majorBidi" w:hAnsiTheme="majorBidi" w:cstheme="majorBidi"/>
          <w:sz w:val="24"/>
          <w:szCs w:val="24"/>
        </w:rPr>
      </w:pPr>
    </w:p>
    <w:p w14:paraId="0C7C41E6" w14:textId="77777777" w:rsidR="005365C0" w:rsidRDefault="005365C0" w:rsidP="009A684A">
      <w:pPr>
        <w:rPr>
          <w:rFonts w:asciiTheme="majorBidi" w:hAnsiTheme="majorBidi" w:cstheme="majorBidi"/>
          <w:sz w:val="24"/>
          <w:szCs w:val="24"/>
        </w:rPr>
      </w:pPr>
    </w:p>
    <w:p w14:paraId="047AA872" w14:textId="77777777" w:rsidR="005365C0" w:rsidRDefault="005365C0" w:rsidP="009A684A">
      <w:pPr>
        <w:rPr>
          <w:rFonts w:asciiTheme="majorBidi" w:hAnsiTheme="majorBidi" w:cstheme="majorBidi"/>
          <w:sz w:val="24"/>
          <w:szCs w:val="24"/>
        </w:rPr>
      </w:pPr>
    </w:p>
    <w:p w14:paraId="48716A3F" w14:textId="77777777" w:rsidR="005365C0" w:rsidRDefault="005365C0" w:rsidP="009A684A">
      <w:pPr>
        <w:rPr>
          <w:rFonts w:asciiTheme="majorBidi" w:hAnsiTheme="majorBidi" w:cstheme="majorBidi"/>
          <w:sz w:val="24"/>
          <w:szCs w:val="24"/>
        </w:rPr>
      </w:pPr>
    </w:p>
    <w:p w14:paraId="71CB616A" w14:textId="77777777" w:rsidR="005365C0" w:rsidRPr="005365C0" w:rsidRDefault="005365C0" w:rsidP="009A684A">
      <w:pPr>
        <w:rPr>
          <w:rFonts w:asciiTheme="majorBidi" w:hAnsiTheme="majorBidi" w:cstheme="majorBidi"/>
          <w:sz w:val="24"/>
          <w:szCs w:val="24"/>
        </w:rPr>
      </w:pPr>
    </w:p>
    <w:p w14:paraId="1F034164" w14:textId="77777777" w:rsidR="009A684A" w:rsidRPr="005365C0" w:rsidRDefault="009A684A" w:rsidP="009A684A">
      <w:pPr>
        <w:rPr>
          <w:rFonts w:asciiTheme="majorBidi" w:hAnsiTheme="majorBidi" w:cstheme="majorBidi"/>
          <w:sz w:val="24"/>
          <w:szCs w:val="24"/>
        </w:rPr>
      </w:pPr>
    </w:p>
    <w:p w14:paraId="5AF06501" w14:textId="77777777" w:rsidR="009A684A"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lastRenderedPageBreak/>
        <w:t>Figures</w:t>
      </w:r>
    </w:p>
    <w:p w14:paraId="1548DE3C" w14:textId="77777777" w:rsidR="004A3D41" w:rsidRDefault="004A3D41" w:rsidP="009A684A">
      <w:pPr>
        <w:rPr>
          <w:rFonts w:asciiTheme="majorBidi" w:hAnsiTheme="majorBidi" w:cstheme="majorBidi"/>
          <w:b/>
          <w:bCs/>
          <w:sz w:val="24"/>
          <w:szCs w:val="24"/>
        </w:rPr>
      </w:pPr>
    </w:p>
    <w:p w14:paraId="79F92A00" w14:textId="66CD4173" w:rsidR="004A3D41" w:rsidRPr="003774AB" w:rsidRDefault="004A3D41" w:rsidP="009A684A">
      <w:pPr>
        <w:rPr>
          <w:rFonts w:asciiTheme="majorBidi" w:hAnsiTheme="majorBidi" w:cstheme="majorBidi"/>
          <w:b/>
          <w:bCs/>
          <w:sz w:val="24"/>
          <w:szCs w:val="24"/>
        </w:rPr>
      </w:pPr>
      <w:r w:rsidRPr="00D05DC2">
        <w:rPr>
          <w:noProof/>
          <w:lang w:eastAsia="fr-FR"/>
        </w:rPr>
        <w:drawing>
          <wp:inline distT="0" distB="0" distL="0" distR="0" wp14:anchorId="6B54D7EE" wp14:editId="30ECA8AB">
            <wp:extent cx="5760607" cy="3276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4783" cy="3290351"/>
                    </a:xfrm>
                    <a:prstGeom prst="rect">
                      <a:avLst/>
                    </a:prstGeom>
                    <a:noFill/>
                    <a:ln>
                      <a:noFill/>
                    </a:ln>
                  </pic:spPr>
                </pic:pic>
              </a:graphicData>
            </a:graphic>
          </wp:inline>
        </w:drawing>
      </w:r>
    </w:p>
    <w:p w14:paraId="535FC2BC" w14:textId="77777777" w:rsidR="009A684A" w:rsidRDefault="009A684A" w:rsidP="009A684A">
      <w:pPr>
        <w:rPr>
          <w:rFonts w:asciiTheme="majorBidi" w:hAnsiTheme="majorBidi" w:cstheme="majorBidi"/>
          <w:sz w:val="24"/>
          <w:szCs w:val="24"/>
        </w:rPr>
      </w:pPr>
      <w:r w:rsidRPr="003774AB">
        <w:rPr>
          <w:rFonts w:asciiTheme="majorBidi" w:hAnsiTheme="majorBidi" w:cstheme="majorBidi"/>
          <w:b/>
          <w:bCs/>
          <w:sz w:val="24"/>
          <w:szCs w:val="24"/>
        </w:rPr>
        <w:t>Figure 1.</w:t>
      </w:r>
      <w:r w:rsidRPr="003774AB">
        <w:rPr>
          <w:rFonts w:asciiTheme="majorBidi" w:hAnsiTheme="majorBidi" w:cstheme="majorBidi"/>
          <w:sz w:val="24"/>
          <w:szCs w:val="24"/>
        </w:rPr>
        <w:t xml:space="preserve"> Transthoracic echocardiography (parasternal long-axis view) showing thickening of the aortic bioprosthesis and an 8-mm mobile filamentous vegetation attached to the right cusp/annulus (arrow).</w:t>
      </w:r>
    </w:p>
    <w:p w14:paraId="10635BAF" w14:textId="77777777" w:rsidR="005365C0" w:rsidRDefault="005365C0" w:rsidP="009A684A">
      <w:pPr>
        <w:rPr>
          <w:rFonts w:asciiTheme="majorBidi" w:hAnsiTheme="majorBidi" w:cstheme="majorBidi"/>
          <w:sz w:val="24"/>
          <w:szCs w:val="24"/>
        </w:rPr>
      </w:pPr>
    </w:p>
    <w:p w14:paraId="5C1C75B2" w14:textId="766C6570" w:rsidR="005365C0" w:rsidRDefault="005365C0" w:rsidP="009A684A">
      <w:r>
        <w:rPr>
          <w:noProof/>
        </w:rPr>
        <mc:AlternateContent>
          <mc:Choice Requires="wps">
            <w:drawing>
              <wp:inline distT="0" distB="0" distL="0" distR="0" wp14:anchorId="1D51134C" wp14:editId="377C77DE">
                <wp:extent cx="304800" cy="304800"/>
                <wp:effectExtent l="0" t="0" r="0" b="0"/>
                <wp:docPr id="1144740782" name="Rectangle 1"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B978D0" id="Rectangle 1" o:spid="_x0000_s1026" alt="Upload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365C0">
        <w:t xml:space="preserve"> </w:t>
      </w:r>
      <w:r>
        <w:rPr>
          <w:noProof/>
        </w:rPr>
        <mc:AlternateContent>
          <mc:Choice Requires="wps">
            <w:drawing>
              <wp:inline distT="0" distB="0" distL="0" distR="0" wp14:anchorId="2250D60C" wp14:editId="4580B315">
                <wp:extent cx="304800" cy="304800"/>
                <wp:effectExtent l="0" t="0" r="0" b="0"/>
                <wp:docPr id="105019167" name="Rectangle 2"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378BA3" id="Rectangle 2" o:spid="_x0000_s1026" alt="Upload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C1C4C2F" w14:textId="77777777" w:rsidR="004A3D41" w:rsidRDefault="004A3D41" w:rsidP="009A684A"/>
    <w:p w14:paraId="7DFBC01D" w14:textId="3E060362" w:rsidR="004A3D41" w:rsidRPr="003774AB" w:rsidRDefault="004A3D41" w:rsidP="009A684A">
      <w:pPr>
        <w:rPr>
          <w:rFonts w:asciiTheme="majorBidi" w:hAnsiTheme="majorBidi" w:cstheme="majorBidi"/>
          <w:sz w:val="24"/>
          <w:szCs w:val="24"/>
        </w:rPr>
      </w:pPr>
      <w:r w:rsidRPr="00D05DC2">
        <w:rPr>
          <w:noProof/>
          <w:lang w:eastAsia="fr-FR"/>
        </w:rPr>
        <w:lastRenderedPageBreak/>
        <w:drawing>
          <wp:inline distT="0" distB="0" distL="0" distR="0" wp14:anchorId="07BCA158" wp14:editId="6A865F2B">
            <wp:extent cx="5349240" cy="3358040"/>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077" cy="3364215"/>
                    </a:xfrm>
                    <a:prstGeom prst="rect">
                      <a:avLst/>
                    </a:prstGeom>
                    <a:noFill/>
                    <a:ln>
                      <a:noFill/>
                    </a:ln>
                  </pic:spPr>
                </pic:pic>
              </a:graphicData>
            </a:graphic>
          </wp:inline>
        </w:drawing>
      </w:r>
    </w:p>
    <w:p w14:paraId="1BBE8B4E" w14:textId="77777777" w:rsidR="009A684A" w:rsidRDefault="009A684A" w:rsidP="009A684A">
      <w:pPr>
        <w:rPr>
          <w:rFonts w:asciiTheme="majorBidi" w:hAnsiTheme="majorBidi" w:cstheme="majorBidi"/>
          <w:sz w:val="24"/>
          <w:szCs w:val="24"/>
        </w:rPr>
      </w:pPr>
      <w:r w:rsidRPr="003774AB">
        <w:rPr>
          <w:rFonts w:asciiTheme="majorBidi" w:hAnsiTheme="majorBidi" w:cstheme="majorBidi"/>
          <w:b/>
          <w:bCs/>
          <w:sz w:val="24"/>
          <w:szCs w:val="24"/>
        </w:rPr>
        <w:t>Figure 2.</w:t>
      </w:r>
      <w:r w:rsidRPr="003774AB">
        <w:rPr>
          <w:rFonts w:asciiTheme="majorBidi" w:hAnsiTheme="majorBidi" w:cstheme="majorBidi"/>
          <w:sz w:val="24"/>
          <w:szCs w:val="24"/>
        </w:rPr>
        <w:t xml:space="preserve"> Transesophageal echocardiography (mid-esophageal long-axis view) demonstrating thickened mitro-aortic trigone suggestive of peri-annular abscess (arrow).</w:t>
      </w:r>
    </w:p>
    <w:p w14:paraId="0D9E8AB7" w14:textId="77777777" w:rsidR="005365C0" w:rsidRDefault="005365C0" w:rsidP="009A684A">
      <w:pPr>
        <w:rPr>
          <w:rFonts w:asciiTheme="majorBidi" w:hAnsiTheme="majorBidi" w:cstheme="majorBidi"/>
          <w:sz w:val="24"/>
          <w:szCs w:val="24"/>
        </w:rPr>
      </w:pPr>
    </w:p>
    <w:p w14:paraId="6144C2A5" w14:textId="77777777" w:rsidR="009A684A" w:rsidRPr="005365C0" w:rsidRDefault="009A684A" w:rsidP="009A684A">
      <w:pPr>
        <w:rPr>
          <w:rFonts w:asciiTheme="majorBidi" w:hAnsiTheme="majorBidi" w:cstheme="majorBidi"/>
          <w:sz w:val="24"/>
          <w:szCs w:val="24"/>
        </w:rPr>
      </w:pPr>
    </w:p>
    <w:p w14:paraId="25EC19FF"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Discussion</w:t>
      </w:r>
    </w:p>
    <w:p w14:paraId="6DAE0E3F"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Prosthetic valve endocarditis (PVE) represents one of the most severe forms of infective endocarditis, characterized by diagnostic complexity, aggressive clinical course, and poor prognosis. Compared with native valve endocarditis, PVE is associated with higher rates of peri-annular extension, systemic embolization, and mortality, which may exceed 30% despite optimal management [1,2]. This case illustrates several critical aspects of PVE due to methicillin-sensitive </w:t>
      </w:r>
      <w:r w:rsidRPr="003774AB">
        <w:rPr>
          <w:rFonts w:asciiTheme="majorBidi" w:hAnsiTheme="majorBidi" w:cstheme="majorBidi"/>
          <w:i/>
          <w:iCs/>
          <w:sz w:val="24"/>
          <w:szCs w:val="24"/>
        </w:rPr>
        <w:t>Staphylococcus aureus</w:t>
      </w:r>
      <w:r w:rsidRPr="003774AB">
        <w:rPr>
          <w:rFonts w:asciiTheme="majorBidi" w:hAnsiTheme="majorBidi" w:cstheme="majorBidi"/>
          <w:sz w:val="24"/>
          <w:szCs w:val="24"/>
        </w:rPr>
        <w:t xml:space="preserve"> (MSSA), including diagnostic challenges, multisystemic involvement, and the importance of early multidisciplinary decision-making.</w:t>
      </w:r>
    </w:p>
    <w:p w14:paraId="49657315"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 xml:space="preserve">1. Virulence of </w:t>
      </w:r>
      <w:r w:rsidRPr="003774AB">
        <w:rPr>
          <w:rFonts w:asciiTheme="majorBidi" w:hAnsiTheme="majorBidi" w:cstheme="majorBidi"/>
          <w:b/>
          <w:bCs/>
          <w:i/>
          <w:iCs/>
          <w:sz w:val="24"/>
          <w:szCs w:val="24"/>
        </w:rPr>
        <w:t>Staphylococcus aureus</w:t>
      </w:r>
      <w:r w:rsidRPr="003774AB">
        <w:rPr>
          <w:rFonts w:asciiTheme="majorBidi" w:hAnsiTheme="majorBidi" w:cstheme="majorBidi"/>
          <w:b/>
          <w:bCs/>
          <w:sz w:val="24"/>
          <w:szCs w:val="24"/>
        </w:rPr>
        <w:t xml:space="preserve"> in Prosthetic Valve Endocarditis</w:t>
      </w:r>
    </w:p>
    <w:p w14:paraId="53FCD18E"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i/>
          <w:iCs/>
          <w:sz w:val="24"/>
          <w:szCs w:val="24"/>
        </w:rPr>
        <w:t>S. aureus</w:t>
      </w:r>
      <w:r w:rsidRPr="003774AB">
        <w:rPr>
          <w:rFonts w:asciiTheme="majorBidi" w:hAnsiTheme="majorBidi" w:cstheme="majorBidi"/>
          <w:sz w:val="24"/>
          <w:szCs w:val="24"/>
        </w:rPr>
        <w:t xml:space="preserve"> is among the most virulent pathogens causing infective endocarditis, particularly in the setting of intracardiac prosthetic material. Its ability to adhere to prosthetic surfaces, form biofilms, and induce rapid tissue destruction explains the fulminant course frequently observed in MSSA-related PVE [3,4]. Even when the strain is methicillin-sensitive, outcomes remain poor compared with streptococcal PVE, with higher rates of embolic events, abscess formation, and heart failure [4].</w:t>
      </w:r>
    </w:p>
    <w:p w14:paraId="25002821"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In the present case, the diabetic foot ulcer represented the most likely portal of entry. Cutaneous and soft tissue infections are well-known sources of </w:t>
      </w:r>
      <w:r w:rsidRPr="003774AB">
        <w:rPr>
          <w:rFonts w:asciiTheme="majorBidi" w:hAnsiTheme="majorBidi" w:cstheme="majorBidi"/>
          <w:i/>
          <w:iCs/>
          <w:sz w:val="24"/>
          <w:szCs w:val="24"/>
        </w:rPr>
        <w:t>S. aureus</w:t>
      </w:r>
      <w:r w:rsidRPr="003774AB">
        <w:rPr>
          <w:rFonts w:asciiTheme="majorBidi" w:hAnsiTheme="majorBidi" w:cstheme="majorBidi"/>
          <w:sz w:val="24"/>
          <w:szCs w:val="24"/>
        </w:rPr>
        <w:t xml:space="preserve"> bacteremia, and the presence of prosthetic cardiac material significantly increases the probability of secondary endocardial seeding [6]. This highlights the importance of systematic echocardiographic </w:t>
      </w:r>
      <w:r w:rsidRPr="003774AB">
        <w:rPr>
          <w:rFonts w:asciiTheme="majorBidi" w:hAnsiTheme="majorBidi" w:cstheme="majorBidi"/>
          <w:sz w:val="24"/>
          <w:szCs w:val="24"/>
        </w:rPr>
        <w:lastRenderedPageBreak/>
        <w:t xml:space="preserve">evaluation in all patients with </w:t>
      </w:r>
      <w:r w:rsidRPr="003774AB">
        <w:rPr>
          <w:rFonts w:asciiTheme="majorBidi" w:hAnsiTheme="majorBidi" w:cstheme="majorBidi"/>
          <w:i/>
          <w:iCs/>
          <w:sz w:val="24"/>
          <w:szCs w:val="24"/>
        </w:rPr>
        <w:t>S. aureus</w:t>
      </w:r>
      <w:r w:rsidRPr="003774AB">
        <w:rPr>
          <w:rFonts w:asciiTheme="majorBidi" w:hAnsiTheme="majorBidi" w:cstheme="majorBidi"/>
          <w:sz w:val="24"/>
          <w:szCs w:val="24"/>
        </w:rPr>
        <w:t xml:space="preserve"> bacteremia, especially those with intracardiac prostheses.</w:t>
      </w:r>
    </w:p>
    <w:p w14:paraId="121030EA"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2. Diagnostic Challenges and Role of Multimodal Imaging</w:t>
      </w:r>
    </w:p>
    <w:p w14:paraId="123139F5"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Diagnosis of PVE remains challenging due to the limited sensitivity of transthoracic echocardiography (TTE) in detecting vegetations and peri-annular complications in prosthetic valves. Acoustic shadowing and reverberation artifacts frequently obscure relevant findings [2]. Current guidelines strongly recommend transesophageal echocardiography (TEE) as the imaging modality of choice in suspected PVE, with repeat examinations when clinical suspicion persists despite initial negative findings [2,7].</w:t>
      </w:r>
    </w:p>
    <w:p w14:paraId="05892148"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In this patient, TTE performed early during hospitalization was non-diagnostic, whereas subsequent TEE revealed a mobile vegetation and thickening of the mitro-aortic trigone suggestive of early abscess formation. These findings underscore the incremental diagnostic value of TEE, particularly for peri-annular extension, which is a hallmark of </w:t>
      </w:r>
      <w:r w:rsidRPr="003774AB">
        <w:rPr>
          <w:rFonts w:asciiTheme="majorBidi" w:hAnsiTheme="majorBidi" w:cstheme="majorBidi"/>
          <w:i/>
          <w:iCs/>
          <w:sz w:val="24"/>
          <w:szCs w:val="24"/>
        </w:rPr>
        <w:t>S. aureus</w:t>
      </w:r>
      <w:r w:rsidRPr="003774AB">
        <w:rPr>
          <w:rFonts w:asciiTheme="majorBidi" w:hAnsiTheme="majorBidi" w:cstheme="majorBidi"/>
          <w:sz w:val="24"/>
          <w:szCs w:val="24"/>
        </w:rPr>
        <w:t xml:space="preserve"> PVE.</w:t>
      </w:r>
    </w:p>
    <w:p w14:paraId="78CE8040"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Beyond echocardiography, ^18F-FDG PET/CT has emerged as a major diagnostic tool for PVE, especially in prosthetic valves, where metabolic imaging can detect inflammatory activity not yet associated with anatomical changes [9]. In our case, PET/CT not only confirmed aortic bioprosthetic infection but also identified probable infection of both knee prostheses, illustrating its value in the assessment of extracardiac septic emboli and metastatic infections. PET/CT findings are now incorporated as major criteria in the ESC diagnostic algorithm for PVE [2].</w:t>
      </w:r>
    </w:p>
    <w:p w14:paraId="251B00D3"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3. Systemic Embolic and Metastatic Complications</w:t>
      </w:r>
    </w:p>
    <w:p w14:paraId="17FB75F2"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Systemic embolization is a frequent and severe complication of IE, occurring in approximately one-third of cases and more commonly in </w:t>
      </w:r>
      <w:r w:rsidRPr="003774AB">
        <w:rPr>
          <w:rFonts w:asciiTheme="majorBidi" w:hAnsiTheme="majorBidi" w:cstheme="majorBidi"/>
          <w:i/>
          <w:iCs/>
          <w:sz w:val="24"/>
          <w:szCs w:val="24"/>
        </w:rPr>
        <w:t>S. aureus</w:t>
      </w:r>
      <w:r w:rsidRPr="003774AB">
        <w:rPr>
          <w:rFonts w:asciiTheme="majorBidi" w:hAnsiTheme="majorBidi" w:cstheme="majorBidi"/>
          <w:sz w:val="24"/>
          <w:szCs w:val="24"/>
        </w:rPr>
        <w:t xml:space="preserve"> infections [4,8]. Neurological emboli represent the most feared complication due to their impact on prognosis and therapeutic strategy. In this case, brain MRI demonstrated multiple punctiform ischemic lesions, consistent with embolic dissemination, with subsequent recurrence despite appropriate antimicrobial therapy.</w:t>
      </w:r>
    </w:p>
    <w:p w14:paraId="24E88FD8"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MRI also identified spinal and osteoarticular involvement, consistent with the recognized association between IE and vertebral osteomyelitis or spondylodiscitis, particularly in </w:t>
      </w:r>
      <w:r w:rsidRPr="003774AB">
        <w:rPr>
          <w:rFonts w:asciiTheme="majorBidi" w:hAnsiTheme="majorBidi" w:cstheme="majorBidi"/>
          <w:i/>
          <w:iCs/>
          <w:sz w:val="24"/>
          <w:szCs w:val="24"/>
        </w:rPr>
        <w:t>S. aureus</w:t>
      </w:r>
      <w:r w:rsidRPr="003774AB">
        <w:rPr>
          <w:rFonts w:asciiTheme="majorBidi" w:hAnsiTheme="majorBidi" w:cstheme="majorBidi"/>
          <w:sz w:val="24"/>
          <w:szCs w:val="24"/>
        </w:rPr>
        <w:t xml:space="preserve"> bacteremia [10]. The coexistence of cardiac, neurological, and musculoskeletal involvement emphasizes the systemic nature of IE and reinforces the need for comprehensive imaging in patients with persistent inflammatory syndrome or focal symptoms.</w:t>
      </w:r>
    </w:p>
    <w:p w14:paraId="08E31D86"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4. Antimicrobial Therapy in MSSA Prosthetic Valve Endocarditis</w:t>
      </w:r>
    </w:p>
    <w:p w14:paraId="0BF05F2C"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Optimal antimicrobial therapy in MSSA PVE requires prolonged intravenous administration of a β-lactam antibiotic, such as cefazolin or nafcillin, often combined with rifampicin to enhance biofilm penetration on prosthetic material [3,11]. Although aminoglycosides have historically been used as adjunctive therapy, their benefit remains controversial, and they are currently recommended only for short durations in selected cases due to nephrotoxicity risk [2].</w:t>
      </w:r>
    </w:p>
    <w:p w14:paraId="1F7FC505"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lastRenderedPageBreak/>
        <w:t>In this patient, targeted antibiotic therapy achieved microbiological clearance, as evidenced by negative blood cultures. However, microbiological control alone does not preclude disease progression, especially when peri-annular extension or embolic events persist.</w:t>
      </w:r>
    </w:p>
    <w:p w14:paraId="03B626D7"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5. Indications and Timing of Surgery</w:t>
      </w:r>
    </w:p>
    <w:p w14:paraId="7DFCA74C"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Surgical management plays a central role in the treatment of complicated PVE. Current ESC and ACC/AHA guidelines identify several Class I indications for surgery, including peri-annular complications (abscess or pseudoaneurysm), recurrent embolization, persistent infection, and prosthetic valve dysfunction [2,5,7].</w:t>
      </w:r>
    </w:p>
    <w:p w14:paraId="60AAFA5B"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The present case met multiple surgical criteria: suspected peri-annular abscess, recurrent cerebral embolization, and increasing transprosthetic gradients. Importantly, neurological complications do not necessarily contraindicate early surgery, particularly in the absence of intracranial hemorrhage or severe neurological deficit [8]. Delayed surgical intervention in such cases has been associated with worse outcomes and increased mortality [1,5].</w:t>
      </w:r>
    </w:p>
    <w:p w14:paraId="1A5356B1"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6. Multidisciplinary “Endocarditis Team” Approach</w:t>
      </w:r>
    </w:p>
    <w:p w14:paraId="0A3191C8"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This case also illustrates the importance of a multidisciplinary Endocarditis Team, as recommended by international guidelines [2]. The complexity of decision-making in PVE, particularly in elderly patients with multiple comorbidities and extracardiac complications, necessitates collaboration between cardiology, cardiac surgery, infectious diseases, neurology, radiology, and anesthesiology. Multidisciplinary management has been shown to improve diagnostic accuracy, reduce time to surgery, and improve survival.</w:t>
      </w:r>
    </w:p>
    <w:p w14:paraId="2AB25217" w14:textId="77777777" w:rsidR="009A684A" w:rsidRPr="003774AB" w:rsidRDefault="007E2DFD" w:rsidP="009A684A">
      <w:pPr>
        <w:rPr>
          <w:rFonts w:asciiTheme="majorBidi" w:hAnsiTheme="majorBidi" w:cstheme="majorBidi"/>
          <w:sz w:val="24"/>
          <w:szCs w:val="24"/>
        </w:rPr>
      </w:pPr>
      <w:r>
        <w:rPr>
          <w:rFonts w:asciiTheme="majorBidi" w:hAnsiTheme="majorBidi" w:cstheme="majorBidi"/>
          <w:sz w:val="24"/>
          <w:szCs w:val="24"/>
        </w:rPr>
        <w:pict w14:anchorId="4D400205">
          <v:rect id="_x0000_i1028" style="width:0;height:1.5pt" o:hralign="center" o:hrstd="t" o:hr="t" fillcolor="#a0a0a0" stroked="f"/>
        </w:pict>
      </w:r>
    </w:p>
    <w:p w14:paraId="16040B2F" w14:textId="77777777" w:rsidR="009A684A" w:rsidRPr="005365C0" w:rsidRDefault="009A684A" w:rsidP="009A684A">
      <w:pPr>
        <w:rPr>
          <w:rFonts w:asciiTheme="majorBidi" w:hAnsiTheme="majorBidi" w:cstheme="majorBidi"/>
          <w:b/>
          <w:bCs/>
          <w:sz w:val="24"/>
          <w:szCs w:val="24"/>
        </w:rPr>
      </w:pPr>
    </w:p>
    <w:p w14:paraId="342DC0D9"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Key Learning Points</w:t>
      </w:r>
    </w:p>
    <w:p w14:paraId="5A4C1634" w14:textId="77777777" w:rsidR="009A684A" w:rsidRPr="003774AB" w:rsidRDefault="009A684A" w:rsidP="009A684A">
      <w:pPr>
        <w:numPr>
          <w:ilvl w:val="0"/>
          <w:numId w:val="1"/>
        </w:numPr>
        <w:rPr>
          <w:rFonts w:asciiTheme="majorBidi" w:hAnsiTheme="majorBidi" w:cstheme="majorBidi"/>
          <w:sz w:val="24"/>
          <w:szCs w:val="24"/>
        </w:rPr>
      </w:pPr>
      <w:r w:rsidRPr="003774AB">
        <w:rPr>
          <w:rFonts w:asciiTheme="majorBidi" w:hAnsiTheme="majorBidi" w:cstheme="majorBidi"/>
          <w:i/>
          <w:iCs/>
          <w:sz w:val="24"/>
          <w:szCs w:val="24"/>
        </w:rPr>
        <w:t>Staphylococcus aureus</w:t>
      </w:r>
      <w:r w:rsidRPr="003774AB">
        <w:rPr>
          <w:rFonts w:asciiTheme="majorBidi" w:hAnsiTheme="majorBidi" w:cstheme="majorBidi"/>
          <w:sz w:val="24"/>
          <w:szCs w:val="24"/>
        </w:rPr>
        <w:t xml:space="preserve"> prosthetic valve endocarditis is a highly aggressive condition with a high risk of peri-annular extension and systemic embolization.</w:t>
      </w:r>
    </w:p>
    <w:p w14:paraId="33FCACC5" w14:textId="77777777" w:rsidR="009A684A" w:rsidRPr="003774AB" w:rsidRDefault="009A684A" w:rsidP="009A684A">
      <w:pPr>
        <w:numPr>
          <w:ilvl w:val="0"/>
          <w:numId w:val="1"/>
        </w:numPr>
        <w:rPr>
          <w:rFonts w:asciiTheme="majorBidi" w:hAnsiTheme="majorBidi" w:cstheme="majorBidi"/>
          <w:sz w:val="24"/>
          <w:szCs w:val="24"/>
        </w:rPr>
      </w:pPr>
      <w:r w:rsidRPr="003774AB">
        <w:rPr>
          <w:rFonts w:asciiTheme="majorBidi" w:hAnsiTheme="majorBidi" w:cstheme="majorBidi"/>
          <w:sz w:val="24"/>
          <w:szCs w:val="24"/>
        </w:rPr>
        <w:t>Transesophageal echocardiography and multimodality imaging, including PET/CT, are essential for accurate diagnosis and assessment of disease extent.</w:t>
      </w:r>
    </w:p>
    <w:p w14:paraId="7F7CE046" w14:textId="77777777" w:rsidR="009A684A" w:rsidRPr="003774AB" w:rsidRDefault="009A684A" w:rsidP="009A684A">
      <w:pPr>
        <w:numPr>
          <w:ilvl w:val="0"/>
          <w:numId w:val="1"/>
        </w:numPr>
        <w:rPr>
          <w:rFonts w:asciiTheme="majorBidi" w:hAnsiTheme="majorBidi" w:cstheme="majorBidi"/>
          <w:sz w:val="24"/>
          <w:szCs w:val="24"/>
        </w:rPr>
      </w:pPr>
      <w:r w:rsidRPr="003774AB">
        <w:rPr>
          <w:rFonts w:asciiTheme="majorBidi" w:hAnsiTheme="majorBidi" w:cstheme="majorBidi"/>
          <w:sz w:val="24"/>
          <w:szCs w:val="24"/>
        </w:rPr>
        <w:t>Microbiological clearance does not exclude ongoing structural or embolic complications.</w:t>
      </w:r>
    </w:p>
    <w:p w14:paraId="74B4CE0B" w14:textId="77777777" w:rsidR="009A684A" w:rsidRPr="003774AB" w:rsidRDefault="009A684A" w:rsidP="009A684A">
      <w:pPr>
        <w:numPr>
          <w:ilvl w:val="0"/>
          <w:numId w:val="1"/>
        </w:numPr>
        <w:rPr>
          <w:rFonts w:asciiTheme="majorBidi" w:hAnsiTheme="majorBidi" w:cstheme="majorBidi"/>
          <w:sz w:val="24"/>
          <w:szCs w:val="24"/>
        </w:rPr>
      </w:pPr>
      <w:r w:rsidRPr="003774AB">
        <w:rPr>
          <w:rFonts w:asciiTheme="majorBidi" w:hAnsiTheme="majorBidi" w:cstheme="majorBidi"/>
          <w:sz w:val="24"/>
          <w:szCs w:val="24"/>
        </w:rPr>
        <w:t>Early surgical evaluation is mandatory in the presence of peri-annular abscess or recurrent embolization.</w:t>
      </w:r>
    </w:p>
    <w:p w14:paraId="57517C7F" w14:textId="77777777" w:rsidR="009A684A" w:rsidRPr="003774AB" w:rsidRDefault="009A684A" w:rsidP="009A684A">
      <w:pPr>
        <w:numPr>
          <w:ilvl w:val="0"/>
          <w:numId w:val="1"/>
        </w:numPr>
        <w:rPr>
          <w:rFonts w:asciiTheme="majorBidi" w:hAnsiTheme="majorBidi" w:cstheme="majorBidi"/>
          <w:sz w:val="24"/>
          <w:szCs w:val="24"/>
        </w:rPr>
      </w:pPr>
      <w:r w:rsidRPr="003774AB">
        <w:rPr>
          <w:rFonts w:asciiTheme="majorBidi" w:hAnsiTheme="majorBidi" w:cstheme="majorBidi"/>
          <w:sz w:val="24"/>
          <w:szCs w:val="24"/>
        </w:rPr>
        <w:t>A multidisciplinary Endocarditis Team approach is crucial to optimize patient outcomes.</w:t>
      </w:r>
    </w:p>
    <w:p w14:paraId="6C2201C1" w14:textId="77777777" w:rsidR="009A684A" w:rsidRPr="005365C0" w:rsidRDefault="009A684A" w:rsidP="009A684A">
      <w:pPr>
        <w:rPr>
          <w:rFonts w:asciiTheme="majorBidi" w:hAnsiTheme="majorBidi" w:cstheme="majorBidi"/>
          <w:sz w:val="24"/>
          <w:szCs w:val="24"/>
        </w:rPr>
      </w:pPr>
    </w:p>
    <w:p w14:paraId="6FAA3F59" w14:textId="77777777" w:rsidR="009A684A" w:rsidRPr="007C56EC" w:rsidRDefault="009A684A" w:rsidP="009A684A">
      <w:pPr>
        <w:rPr>
          <w:rFonts w:asciiTheme="majorBidi" w:hAnsiTheme="majorBidi" w:cstheme="majorBidi"/>
          <w:b/>
          <w:bCs/>
          <w:sz w:val="24"/>
          <w:szCs w:val="24"/>
        </w:rPr>
      </w:pPr>
      <w:r w:rsidRPr="007C56EC">
        <w:rPr>
          <w:rFonts w:asciiTheme="majorBidi" w:hAnsiTheme="majorBidi" w:cstheme="majorBidi"/>
          <w:b/>
          <w:bCs/>
          <w:sz w:val="24"/>
          <w:szCs w:val="24"/>
        </w:rPr>
        <w:t>References</w:t>
      </w:r>
    </w:p>
    <w:p w14:paraId="714D2B72"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Wang A, Athan E, Pappas PA, et al. Contemporary clinical profile and outcome of prosthetic valve endocarditis. </w:t>
      </w:r>
      <w:r w:rsidRPr="007C56EC">
        <w:rPr>
          <w:rFonts w:asciiTheme="majorBidi" w:hAnsiTheme="majorBidi" w:cstheme="majorBidi"/>
          <w:b/>
          <w:bCs/>
          <w:sz w:val="24"/>
          <w:szCs w:val="24"/>
        </w:rPr>
        <w:t>JAMA</w:t>
      </w:r>
      <w:r w:rsidRPr="007C56EC">
        <w:rPr>
          <w:rFonts w:asciiTheme="majorBidi" w:hAnsiTheme="majorBidi" w:cstheme="majorBidi"/>
          <w:sz w:val="24"/>
          <w:szCs w:val="24"/>
        </w:rPr>
        <w:t>. 2007;297(12):1354–1361.</w:t>
      </w:r>
    </w:p>
    <w:p w14:paraId="3888A6D5"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lastRenderedPageBreak/>
        <w:t xml:space="preserve">Habib G, Lancellotti P, Antunes MJ, et al. 2015 ESC Guidelines for the management of infective endocarditis. </w:t>
      </w:r>
      <w:r w:rsidRPr="007C56EC">
        <w:rPr>
          <w:rFonts w:asciiTheme="majorBidi" w:hAnsiTheme="majorBidi" w:cstheme="majorBidi"/>
          <w:b/>
          <w:bCs/>
          <w:sz w:val="24"/>
          <w:szCs w:val="24"/>
        </w:rPr>
        <w:t>Eur Heart J</w:t>
      </w:r>
      <w:r w:rsidRPr="007C56EC">
        <w:rPr>
          <w:rFonts w:asciiTheme="majorBidi" w:hAnsiTheme="majorBidi" w:cstheme="majorBidi"/>
          <w:sz w:val="24"/>
          <w:szCs w:val="24"/>
        </w:rPr>
        <w:t>. 2015;36(44):3075–3128.</w:t>
      </w:r>
    </w:p>
    <w:p w14:paraId="6D74FAF0"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Baddour LM, Wilson WR, Bayer AS, et al. Infective endocarditis in adults: diagnosis, antimicrobial therapy, and management of complications. </w:t>
      </w:r>
      <w:r w:rsidRPr="007C56EC">
        <w:rPr>
          <w:rFonts w:asciiTheme="majorBidi" w:hAnsiTheme="majorBidi" w:cstheme="majorBidi"/>
          <w:b/>
          <w:bCs/>
          <w:sz w:val="24"/>
          <w:szCs w:val="24"/>
        </w:rPr>
        <w:t>Circulation</w:t>
      </w:r>
      <w:r w:rsidRPr="007C56EC">
        <w:rPr>
          <w:rFonts w:asciiTheme="majorBidi" w:hAnsiTheme="majorBidi" w:cstheme="majorBidi"/>
          <w:sz w:val="24"/>
          <w:szCs w:val="24"/>
        </w:rPr>
        <w:t>. 2015;132(15):1435–1486.</w:t>
      </w:r>
    </w:p>
    <w:p w14:paraId="3BCBC6EB"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Fowler VG Jr, Miro JM, Hoen B, et al. </w:t>
      </w:r>
      <w:r w:rsidRPr="007C56EC">
        <w:rPr>
          <w:rFonts w:asciiTheme="majorBidi" w:hAnsiTheme="majorBidi" w:cstheme="majorBidi"/>
          <w:i/>
          <w:iCs/>
          <w:sz w:val="24"/>
          <w:szCs w:val="24"/>
        </w:rPr>
        <w:t>Staphylococcus aureus</w:t>
      </w:r>
      <w:r w:rsidRPr="007C56EC">
        <w:rPr>
          <w:rFonts w:asciiTheme="majorBidi" w:hAnsiTheme="majorBidi" w:cstheme="majorBidi"/>
          <w:sz w:val="24"/>
          <w:szCs w:val="24"/>
        </w:rPr>
        <w:t xml:space="preserve"> endocarditis: a consequence of medical progress. </w:t>
      </w:r>
      <w:r w:rsidRPr="007C56EC">
        <w:rPr>
          <w:rFonts w:asciiTheme="majorBidi" w:hAnsiTheme="majorBidi" w:cstheme="majorBidi"/>
          <w:b/>
          <w:bCs/>
          <w:sz w:val="24"/>
          <w:szCs w:val="24"/>
        </w:rPr>
        <w:t>JAMA</w:t>
      </w:r>
      <w:r w:rsidRPr="007C56EC">
        <w:rPr>
          <w:rFonts w:asciiTheme="majorBidi" w:hAnsiTheme="majorBidi" w:cstheme="majorBidi"/>
          <w:sz w:val="24"/>
          <w:szCs w:val="24"/>
        </w:rPr>
        <w:t>. 2005;293(24):3012–3021.</w:t>
      </w:r>
    </w:p>
    <w:p w14:paraId="139AF76C"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AATS Surgical Treatment of Infective Endocarditis Consensus Guidelines Writing Committee. Surgical treatment of infective endocarditis. </w:t>
      </w:r>
      <w:r w:rsidRPr="007C56EC">
        <w:rPr>
          <w:rFonts w:asciiTheme="majorBidi" w:hAnsiTheme="majorBidi" w:cstheme="majorBidi"/>
          <w:b/>
          <w:bCs/>
          <w:sz w:val="24"/>
          <w:szCs w:val="24"/>
        </w:rPr>
        <w:t>J Thorac Cardiovasc Surg</w:t>
      </w:r>
      <w:r w:rsidRPr="007C56EC">
        <w:rPr>
          <w:rFonts w:asciiTheme="majorBidi" w:hAnsiTheme="majorBidi" w:cstheme="majorBidi"/>
          <w:sz w:val="24"/>
          <w:szCs w:val="24"/>
        </w:rPr>
        <w:t>. 2017;153(6):1241–1258.</w:t>
      </w:r>
    </w:p>
    <w:p w14:paraId="3B1299BD"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Holland TL, Arnold C, Fowler VG Jr. Clinical management of </w:t>
      </w:r>
      <w:r w:rsidRPr="007C56EC">
        <w:rPr>
          <w:rFonts w:asciiTheme="majorBidi" w:hAnsiTheme="majorBidi" w:cstheme="majorBidi"/>
          <w:i/>
          <w:iCs/>
          <w:sz w:val="24"/>
          <w:szCs w:val="24"/>
        </w:rPr>
        <w:t>Staphylococcus aureus</w:t>
      </w:r>
      <w:r w:rsidRPr="007C56EC">
        <w:rPr>
          <w:rFonts w:asciiTheme="majorBidi" w:hAnsiTheme="majorBidi" w:cstheme="majorBidi"/>
          <w:sz w:val="24"/>
          <w:szCs w:val="24"/>
        </w:rPr>
        <w:t xml:space="preserve"> bacteremia. </w:t>
      </w:r>
      <w:r w:rsidRPr="007C56EC">
        <w:rPr>
          <w:rFonts w:asciiTheme="majorBidi" w:hAnsiTheme="majorBidi" w:cstheme="majorBidi"/>
          <w:b/>
          <w:bCs/>
          <w:sz w:val="24"/>
          <w:szCs w:val="24"/>
        </w:rPr>
        <w:t>JAMA</w:t>
      </w:r>
      <w:r w:rsidRPr="007C56EC">
        <w:rPr>
          <w:rFonts w:asciiTheme="majorBidi" w:hAnsiTheme="majorBidi" w:cstheme="majorBidi"/>
          <w:sz w:val="24"/>
          <w:szCs w:val="24"/>
        </w:rPr>
        <w:t>. 2014;312(13):1330–1341.</w:t>
      </w:r>
    </w:p>
    <w:p w14:paraId="53A0C7A4"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Otto CM, Nishimura RA, Bonow RO, et al. 2020 ACC/AHA guideline for the management of patients with valvular heart disease. </w:t>
      </w:r>
      <w:r w:rsidRPr="007C56EC">
        <w:rPr>
          <w:rFonts w:asciiTheme="majorBidi" w:hAnsiTheme="majorBidi" w:cstheme="majorBidi"/>
          <w:b/>
          <w:bCs/>
          <w:sz w:val="24"/>
          <w:szCs w:val="24"/>
        </w:rPr>
        <w:t>Circulation</w:t>
      </w:r>
      <w:r w:rsidRPr="007C56EC">
        <w:rPr>
          <w:rFonts w:asciiTheme="majorBidi" w:hAnsiTheme="majorBidi" w:cstheme="majorBidi"/>
          <w:sz w:val="24"/>
          <w:szCs w:val="24"/>
        </w:rPr>
        <w:t>. 2021;143:e72–e227.</w:t>
      </w:r>
    </w:p>
    <w:p w14:paraId="5A17D291"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Thuny F, Avierinos JF, Tribouilloy C, et al. Impact of cerebrovascular complications on mortality and neurologic outcome during infective endocarditis. </w:t>
      </w:r>
      <w:r w:rsidRPr="007C56EC">
        <w:rPr>
          <w:rFonts w:asciiTheme="majorBidi" w:hAnsiTheme="majorBidi" w:cstheme="majorBidi"/>
          <w:b/>
          <w:bCs/>
          <w:sz w:val="24"/>
          <w:szCs w:val="24"/>
        </w:rPr>
        <w:t>Circulation</w:t>
      </w:r>
      <w:r w:rsidRPr="007C56EC">
        <w:rPr>
          <w:rFonts w:asciiTheme="majorBidi" w:hAnsiTheme="majorBidi" w:cstheme="majorBidi"/>
          <w:sz w:val="24"/>
          <w:szCs w:val="24"/>
        </w:rPr>
        <w:t>. 2007;115(24):2904–2912.</w:t>
      </w:r>
    </w:p>
    <w:p w14:paraId="5EF5E568"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Pizzi MN, Roque A, Fernandez-Hidalgo N, et al. Improving the diagnosis of infective endocarditis in prosthetic valves and intracardiac devices with ^18F-FDG PET/CT. </w:t>
      </w:r>
      <w:r w:rsidRPr="007C56EC">
        <w:rPr>
          <w:rFonts w:asciiTheme="majorBidi" w:hAnsiTheme="majorBidi" w:cstheme="majorBidi"/>
          <w:b/>
          <w:bCs/>
          <w:sz w:val="24"/>
          <w:szCs w:val="24"/>
        </w:rPr>
        <w:t>J Am Coll Cardiol</w:t>
      </w:r>
      <w:r w:rsidRPr="007C56EC">
        <w:rPr>
          <w:rFonts w:asciiTheme="majorBidi" w:hAnsiTheme="majorBidi" w:cstheme="majorBidi"/>
          <w:sz w:val="24"/>
          <w:szCs w:val="24"/>
        </w:rPr>
        <w:t>. 2015;65(24):2515–2527.</w:t>
      </w:r>
    </w:p>
    <w:p w14:paraId="1A6EB3BB"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Mylona E, Samarkos M, Kakalou E, et al. Pyogenic vertebral osteomyelitis: a systematic review. </w:t>
      </w:r>
      <w:r w:rsidRPr="007C56EC">
        <w:rPr>
          <w:rFonts w:asciiTheme="majorBidi" w:hAnsiTheme="majorBidi" w:cstheme="majorBidi"/>
          <w:b/>
          <w:bCs/>
          <w:sz w:val="24"/>
          <w:szCs w:val="24"/>
        </w:rPr>
        <w:t>Clin Microbiol Infect</w:t>
      </w:r>
      <w:r w:rsidRPr="007C56EC">
        <w:rPr>
          <w:rFonts w:asciiTheme="majorBidi" w:hAnsiTheme="majorBidi" w:cstheme="majorBidi"/>
          <w:sz w:val="24"/>
          <w:szCs w:val="24"/>
        </w:rPr>
        <w:t>. 2009;15(7):629–636.</w:t>
      </w:r>
    </w:p>
    <w:p w14:paraId="23F1C475"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Chambers HF, Bayer AS. Native-valve infective endocarditis. </w:t>
      </w:r>
      <w:r w:rsidRPr="007C56EC">
        <w:rPr>
          <w:rFonts w:asciiTheme="majorBidi" w:hAnsiTheme="majorBidi" w:cstheme="majorBidi"/>
          <w:b/>
          <w:bCs/>
          <w:sz w:val="24"/>
          <w:szCs w:val="24"/>
        </w:rPr>
        <w:t>N Engl J Med</w:t>
      </w:r>
      <w:r w:rsidRPr="007C56EC">
        <w:rPr>
          <w:rFonts w:asciiTheme="majorBidi" w:hAnsiTheme="majorBidi" w:cstheme="majorBidi"/>
          <w:sz w:val="24"/>
          <w:szCs w:val="24"/>
        </w:rPr>
        <w:t>. 2020;383(6):567–576.</w:t>
      </w:r>
    </w:p>
    <w:p w14:paraId="12317532" w14:textId="77777777" w:rsidR="00D75EF0" w:rsidRPr="005365C0" w:rsidRDefault="00D75EF0">
      <w:pPr>
        <w:rPr>
          <w:rFonts w:asciiTheme="majorBidi" w:hAnsiTheme="majorBidi" w:cstheme="majorBidi"/>
          <w:sz w:val="24"/>
          <w:szCs w:val="24"/>
        </w:rPr>
      </w:pPr>
    </w:p>
    <w:sectPr w:rsidR="00D75EF0" w:rsidRPr="005365C0" w:rsidSect="009C62E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08019" w14:textId="77777777" w:rsidR="007E2DFD" w:rsidRDefault="007E2DFD" w:rsidP="00D42385">
      <w:pPr>
        <w:spacing w:after="0" w:line="240" w:lineRule="auto"/>
      </w:pPr>
      <w:r>
        <w:separator/>
      </w:r>
    </w:p>
  </w:endnote>
  <w:endnote w:type="continuationSeparator" w:id="0">
    <w:p w14:paraId="6C4CC0F4" w14:textId="77777777" w:rsidR="007E2DFD" w:rsidRDefault="007E2DFD" w:rsidP="00D42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47274" w14:textId="77777777" w:rsidR="00D42385" w:rsidRDefault="00D423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47595" w14:textId="77777777" w:rsidR="00D42385" w:rsidRDefault="00D423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30A18" w14:textId="77777777" w:rsidR="00D42385" w:rsidRDefault="00D42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B1A5B" w14:textId="77777777" w:rsidR="007E2DFD" w:rsidRDefault="007E2DFD" w:rsidP="00D42385">
      <w:pPr>
        <w:spacing w:after="0" w:line="240" w:lineRule="auto"/>
      </w:pPr>
      <w:r>
        <w:separator/>
      </w:r>
    </w:p>
  </w:footnote>
  <w:footnote w:type="continuationSeparator" w:id="0">
    <w:p w14:paraId="4EA24200" w14:textId="77777777" w:rsidR="007E2DFD" w:rsidRDefault="007E2DFD" w:rsidP="00D42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28523" w14:textId="1D9D8C10" w:rsidR="00D42385" w:rsidRDefault="00D42385">
    <w:pPr>
      <w:pStyle w:val="Header"/>
    </w:pPr>
    <w:r>
      <w:rPr>
        <w:noProof/>
      </w:rPr>
      <w:pict w14:anchorId="0FB13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650251"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1C3F3" w14:textId="3D74EAA3" w:rsidR="00D42385" w:rsidRDefault="00D42385">
    <w:pPr>
      <w:pStyle w:val="Header"/>
    </w:pPr>
    <w:r>
      <w:rPr>
        <w:noProof/>
      </w:rPr>
      <w:pict w14:anchorId="7E311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650252"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BEF70" w14:textId="0F7749C0" w:rsidR="00D42385" w:rsidRDefault="00D42385">
    <w:pPr>
      <w:pStyle w:val="Header"/>
    </w:pPr>
    <w:r>
      <w:rPr>
        <w:noProof/>
      </w:rPr>
      <w:pict w14:anchorId="0C4D6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650250"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0EB4"/>
    <w:multiLevelType w:val="multilevel"/>
    <w:tmpl w:val="915E4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EF79AB"/>
    <w:multiLevelType w:val="multilevel"/>
    <w:tmpl w:val="B626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4A"/>
    <w:rsid w:val="00151292"/>
    <w:rsid w:val="001B168E"/>
    <w:rsid w:val="003F62E8"/>
    <w:rsid w:val="004A3D41"/>
    <w:rsid w:val="005365C0"/>
    <w:rsid w:val="005948BF"/>
    <w:rsid w:val="007E2DFD"/>
    <w:rsid w:val="008F37E5"/>
    <w:rsid w:val="009A684A"/>
    <w:rsid w:val="009C62EC"/>
    <w:rsid w:val="00B22000"/>
    <w:rsid w:val="00CF3020"/>
    <w:rsid w:val="00D42385"/>
    <w:rsid w:val="00D75EF0"/>
    <w:rsid w:val="00EA3A2F"/>
    <w:rsid w:val="00F30FD7"/>
    <w:rsid w:val="00FB2E8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0EF800"/>
  <w15:chartTrackingRefBased/>
  <w15:docId w15:val="{77DF3BFF-5EBA-4D24-97A0-158E7D54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684A"/>
  </w:style>
  <w:style w:type="paragraph" w:styleId="Heading1">
    <w:name w:val="heading 1"/>
    <w:basedOn w:val="Normal"/>
    <w:next w:val="Normal"/>
    <w:link w:val="Heading1Char"/>
    <w:uiPriority w:val="9"/>
    <w:qFormat/>
    <w:rsid w:val="009A68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68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68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68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68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68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8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8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8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8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68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68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68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68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68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8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8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84A"/>
    <w:rPr>
      <w:rFonts w:eastAsiaTheme="majorEastAsia" w:cstheme="majorBidi"/>
      <w:color w:val="272727" w:themeColor="text1" w:themeTint="D8"/>
    </w:rPr>
  </w:style>
  <w:style w:type="paragraph" w:styleId="Title">
    <w:name w:val="Title"/>
    <w:basedOn w:val="Normal"/>
    <w:next w:val="Normal"/>
    <w:link w:val="TitleChar"/>
    <w:uiPriority w:val="10"/>
    <w:qFormat/>
    <w:rsid w:val="009A68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8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8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68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84A"/>
    <w:pPr>
      <w:spacing w:before="160"/>
      <w:jc w:val="center"/>
    </w:pPr>
    <w:rPr>
      <w:i/>
      <w:iCs/>
      <w:color w:val="404040" w:themeColor="text1" w:themeTint="BF"/>
    </w:rPr>
  </w:style>
  <w:style w:type="character" w:customStyle="1" w:styleId="QuoteChar">
    <w:name w:val="Quote Char"/>
    <w:basedOn w:val="DefaultParagraphFont"/>
    <w:link w:val="Quote"/>
    <w:uiPriority w:val="29"/>
    <w:rsid w:val="009A684A"/>
    <w:rPr>
      <w:i/>
      <w:iCs/>
      <w:color w:val="404040" w:themeColor="text1" w:themeTint="BF"/>
    </w:rPr>
  </w:style>
  <w:style w:type="paragraph" w:styleId="ListParagraph">
    <w:name w:val="List Paragraph"/>
    <w:basedOn w:val="Normal"/>
    <w:uiPriority w:val="34"/>
    <w:qFormat/>
    <w:rsid w:val="009A684A"/>
    <w:pPr>
      <w:ind w:left="720"/>
      <w:contextualSpacing/>
    </w:pPr>
  </w:style>
  <w:style w:type="character" w:styleId="IntenseEmphasis">
    <w:name w:val="Intense Emphasis"/>
    <w:basedOn w:val="DefaultParagraphFont"/>
    <w:uiPriority w:val="21"/>
    <w:qFormat/>
    <w:rsid w:val="009A684A"/>
    <w:rPr>
      <w:i/>
      <w:iCs/>
      <w:color w:val="0F4761" w:themeColor="accent1" w:themeShade="BF"/>
    </w:rPr>
  </w:style>
  <w:style w:type="paragraph" w:styleId="IntenseQuote">
    <w:name w:val="Intense Quote"/>
    <w:basedOn w:val="Normal"/>
    <w:next w:val="Normal"/>
    <w:link w:val="IntenseQuoteChar"/>
    <w:uiPriority w:val="30"/>
    <w:qFormat/>
    <w:rsid w:val="009A68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684A"/>
    <w:rPr>
      <w:i/>
      <w:iCs/>
      <w:color w:val="0F4761" w:themeColor="accent1" w:themeShade="BF"/>
    </w:rPr>
  </w:style>
  <w:style w:type="character" w:styleId="IntenseReference">
    <w:name w:val="Intense Reference"/>
    <w:basedOn w:val="DefaultParagraphFont"/>
    <w:uiPriority w:val="32"/>
    <w:qFormat/>
    <w:rsid w:val="009A684A"/>
    <w:rPr>
      <w:b/>
      <w:bCs/>
      <w:smallCaps/>
      <w:color w:val="0F4761" w:themeColor="accent1" w:themeShade="BF"/>
      <w:spacing w:val="5"/>
    </w:rPr>
  </w:style>
  <w:style w:type="table" w:styleId="TableGrid">
    <w:name w:val="Table Grid"/>
    <w:basedOn w:val="TableNormal"/>
    <w:uiPriority w:val="39"/>
    <w:rsid w:val="00CF3020"/>
    <w:pPr>
      <w:spacing w:after="0" w:line="240" w:lineRule="auto"/>
    </w:pPr>
    <w:rPr>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62E8"/>
    <w:rPr>
      <w:color w:val="467886" w:themeColor="hyperlink"/>
      <w:u w:val="single"/>
    </w:rPr>
  </w:style>
  <w:style w:type="character" w:styleId="UnresolvedMention">
    <w:name w:val="Unresolved Mention"/>
    <w:basedOn w:val="DefaultParagraphFont"/>
    <w:uiPriority w:val="99"/>
    <w:semiHidden/>
    <w:unhideWhenUsed/>
    <w:rsid w:val="003F62E8"/>
    <w:rPr>
      <w:color w:val="605E5C"/>
      <w:shd w:val="clear" w:color="auto" w:fill="E1DFDD"/>
    </w:rPr>
  </w:style>
  <w:style w:type="paragraph" w:styleId="Header">
    <w:name w:val="header"/>
    <w:basedOn w:val="Normal"/>
    <w:link w:val="HeaderChar"/>
    <w:uiPriority w:val="99"/>
    <w:unhideWhenUsed/>
    <w:rsid w:val="00D42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385"/>
  </w:style>
  <w:style w:type="paragraph" w:styleId="Footer">
    <w:name w:val="footer"/>
    <w:basedOn w:val="Normal"/>
    <w:link w:val="FooterChar"/>
    <w:uiPriority w:val="99"/>
    <w:unhideWhenUsed/>
    <w:rsid w:val="00D42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1981</Words>
  <Characters>11298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Moına Wıssoıl MOHAMED ABDOULBAKI</dc:creator>
  <cp:keywords/>
  <dc:description/>
  <cp:lastModifiedBy>SDI PC 1170</cp:lastModifiedBy>
  <cp:revision>9</cp:revision>
  <dcterms:created xsi:type="dcterms:W3CDTF">2026-01-20T11:56:00Z</dcterms:created>
  <dcterms:modified xsi:type="dcterms:W3CDTF">2026-01-21T09:08:00Z</dcterms:modified>
</cp:coreProperties>
</file>