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295EA" w14:textId="77777777" w:rsidR="000050E8" w:rsidRPr="000050E8" w:rsidRDefault="000050E8" w:rsidP="000050E8">
      <w:pPr>
        <w:jc w:val="center"/>
        <w:rPr>
          <w:rFonts w:ascii="Arial" w:eastAsia="SimSun" w:hAnsi="Arial" w:cs="Arial"/>
          <w:b/>
          <w:bCs/>
          <w:i/>
          <w:iCs/>
          <w:sz w:val="28"/>
          <w:szCs w:val="28"/>
          <w:u w:val="single"/>
        </w:rPr>
      </w:pPr>
      <w:r w:rsidRPr="000050E8">
        <w:rPr>
          <w:rFonts w:ascii="Arial" w:eastAsia="SimSun" w:hAnsi="Arial" w:cs="Arial"/>
          <w:b/>
          <w:bCs/>
          <w:i/>
          <w:iCs/>
          <w:sz w:val="28"/>
          <w:szCs w:val="28"/>
          <w:u w:val="single"/>
        </w:rPr>
        <w:t xml:space="preserve">Case report </w:t>
      </w:r>
    </w:p>
    <w:p w14:paraId="2AFBB044" w14:textId="77777777" w:rsidR="00AF0398" w:rsidRDefault="00C436C5">
      <w:pPr>
        <w:jc w:val="center"/>
        <w:rPr>
          <w:rFonts w:ascii="Arial" w:eastAsia="SimSun" w:hAnsi="Arial" w:cs="Arial"/>
          <w:b/>
          <w:bCs/>
          <w:sz w:val="28"/>
          <w:szCs w:val="28"/>
          <w:u w:val="single"/>
        </w:rPr>
      </w:pPr>
      <w:bookmarkStart w:id="0" w:name="_Hlk218871092"/>
      <w:proofErr w:type="spellStart"/>
      <w:r>
        <w:rPr>
          <w:rFonts w:ascii="Arial" w:eastAsia="SimSun" w:hAnsi="Arial" w:cs="Arial"/>
          <w:b/>
          <w:bCs/>
          <w:sz w:val="28"/>
          <w:szCs w:val="28"/>
          <w:u w:val="single"/>
        </w:rPr>
        <w:t>Infero</w:t>
      </w:r>
      <w:proofErr w:type="spellEnd"/>
      <w:r>
        <w:rPr>
          <w:rFonts w:ascii="Arial" w:eastAsia="SimSun" w:hAnsi="Arial" w:cs="Arial"/>
          <w:b/>
          <w:bCs/>
          <w:sz w:val="28"/>
          <w:szCs w:val="28"/>
          <w:u w:val="single"/>
        </w:rPr>
        <w:t>-Basal STEMI with Dual Coronary Occlusions: Diagnostic Challenges in Identifying the Culprit Lesion — Two Clinical Cases and Literature Review</w:t>
      </w:r>
    </w:p>
    <w:p w14:paraId="14A5D9E0" w14:textId="7650F5A5" w:rsidR="00AF0398" w:rsidRDefault="00AF0398">
      <w:pPr>
        <w:jc w:val="center"/>
        <w:rPr>
          <w:rFonts w:ascii="Arial" w:eastAsia="SimSun" w:hAnsi="Arial" w:cs="Arial"/>
          <w:b/>
          <w:bCs/>
          <w:sz w:val="28"/>
          <w:szCs w:val="28"/>
          <w:u w:val="single"/>
        </w:rPr>
      </w:pPr>
      <w:bookmarkStart w:id="1" w:name="_GoBack"/>
      <w:bookmarkEnd w:id="0"/>
      <w:bookmarkEnd w:id="1"/>
    </w:p>
    <w:p w14:paraId="1AECA7AA" w14:textId="77777777" w:rsidR="00AF025D" w:rsidRDefault="00AF025D">
      <w:pPr>
        <w:jc w:val="center"/>
        <w:rPr>
          <w:rFonts w:ascii="Arial" w:eastAsia="SimSun" w:hAnsi="Arial" w:cs="Arial"/>
          <w:b/>
          <w:bCs/>
          <w:sz w:val="28"/>
          <w:szCs w:val="28"/>
          <w:u w:val="single"/>
        </w:rPr>
      </w:pPr>
    </w:p>
    <w:p w14:paraId="2653087B" w14:textId="77777777" w:rsidR="00AF0398" w:rsidRDefault="00C436C5">
      <w:pPr>
        <w:pStyle w:val="NormalWeb"/>
        <w:rPr>
          <w:rStyle w:val="Strong"/>
          <w:rFonts w:ascii="Arial" w:hAnsi="Arial" w:cs="Arial"/>
          <w:sz w:val="28"/>
          <w:szCs w:val="28"/>
          <w:u w:val="single"/>
        </w:rPr>
      </w:pPr>
      <w:r>
        <w:rPr>
          <w:rFonts w:ascii="Arial" w:hAnsi="Arial" w:cs="Arial"/>
          <w:b/>
          <w:bCs/>
          <w:sz w:val="28"/>
          <w:szCs w:val="28"/>
          <w:u w:val="single"/>
        </w:rPr>
        <w:t>Abstract</w:t>
      </w:r>
    </w:p>
    <w:p w14:paraId="5A792C7A" w14:textId="77777777" w:rsidR="00AF0398" w:rsidRDefault="00C436C5">
      <w:pPr>
        <w:pStyle w:val="NormalWeb"/>
        <w:rPr>
          <w:rFonts w:ascii="Arial" w:hAnsi="Arial" w:cs="Arial"/>
        </w:rPr>
      </w:pPr>
      <w:r>
        <w:rPr>
          <w:rFonts w:ascii="Arial" w:hAnsi="Arial" w:cs="Arial"/>
        </w:rPr>
        <w:t xml:space="preserve"> Determining the infarct-related artery (IRA) in inferior ST-elevation myocardial infarction (STEMI) is generally guided by electrocardiographic (ECG) and angiographic characteristics. Diagnostic uncertainty increases when both the right coronary artery (RCA) and left circumflex artery (</w:t>
      </w:r>
      <w:proofErr w:type="spellStart"/>
      <w:r>
        <w:rPr>
          <w:rFonts w:ascii="Arial" w:hAnsi="Arial" w:cs="Arial"/>
        </w:rPr>
        <w:t>LCx</w:t>
      </w:r>
      <w:proofErr w:type="spellEnd"/>
      <w:r>
        <w:rPr>
          <w:rFonts w:ascii="Arial" w:hAnsi="Arial" w:cs="Arial"/>
        </w:rPr>
        <w:t>) are diseased or occluded, particularly in the presence of chronic total occlusion or heavy calcification.</w:t>
      </w:r>
    </w:p>
    <w:p w14:paraId="75AC1D55" w14:textId="77777777" w:rsidR="00AF0398" w:rsidRDefault="00C436C5">
      <w:pPr>
        <w:pStyle w:val="NormalWeb"/>
        <w:rPr>
          <w:rFonts w:ascii="Arial" w:hAnsi="Arial" w:cs="Arial"/>
        </w:rPr>
      </w:pPr>
      <w:r>
        <w:rPr>
          <w:rFonts w:ascii="Arial" w:hAnsi="Arial" w:cs="Arial"/>
        </w:rPr>
        <w:t xml:space="preserve"> We describe two patients presenting with </w:t>
      </w:r>
      <w:proofErr w:type="spellStart"/>
      <w:r>
        <w:rPr>
          <w:rFonts w:ascii="Arial" w:hAnsi="Arial" w:cs="Arial"/>
        </w:rPr>
        <w:t>infero</w:t>
      </w:r>
      <w:proofErr w:type="spellEnd"/>
      <w:r>
        <w:rPr>
          <w:rFonts w:ascii="Arial" w:hAnsi="Arial" w:cs="Arial"/>
        </w:rPr>
        <w:t xml:space="preserve">-basal STEMI and severe multivessel coronary artery disease. In the first case, dual occlusion of the RCA and </w:t>
      </w:r>
      <w:proofErr w:type="spellStart"/>
      <w:r>
        <w:rPr>
          <w:rFonts w:ascii="Arial" w:hAnsi="Arial" w:cs="Arial"/>
        </w:rPr>
        <w:t>LCx</w:t>
      </w:r>
      <w:proofErr w:type="spellEnd"/>
      <w:r>
        <w:rPr>
          <w:rFonts w:ascii="Arial" w:hAnsi="Arial" w:cs="Arial"/>
        </w:rPr>
        <w:t xml:space="preserve"> occurred in a patient with prior in-stent </w:t>
      </w:r>
      <w:proofErr w:type="spellStart"/>
      <w:r>
        <w:rPr>
          <w:rFonts w:ascii="Arial" w:hAnsi="Arial" w:cs="Arial"/>
        </w:rPr>
        <w:t>LCx</w:t>
      </w:r>
      <w:proofErr w:type="spellEnd"/>
      <w:r>
        <w:rPr>
          <w:rFonts w:ascii="Arial" w:hAnsi="Arial" w:cs="Arial"/>
        </w:rPr>
        <w:t xml:space="preserve"> revascularization. ECG and echocardiography yielded discordant territorial patterns, whereas angiography revealed diffuse calcification. Selective guidewire probing demonstrated that the RCA lesion was chronic, whereas the in-stent </w:t>
      </w:r>
      <w:proofErr w:type="spellStart"/>
      <w:r>
        <w:rPr>
          <w:rFonts w:ascii="Arial" w:hAnsi="Arial" w:cs="Arial"/>
        </w:rPr>
        <w:t>LCx</w:t>
      </w:r>
      <w:proofErr w:type="spellEnd"/>
      <w:r>
        <w:rPr>
          <w:rFonts w:ascii="Arial" w:hAnsi="Arial" w:cs="Arial"/>
        </w:rPr>
        <w:t xml:space="preserve"> occlusion was acute and thrombotic, restoring TIMI 3 flow. In the second case, an apparently thrombotic RCA occlusion with full collateralization co-existed with a severe proximal </w:t>
      </w:r>
      <w:proofErr w:type="spellStart"/>
      <w:r>
        <w:rPr>
          <w:rFonts w:ascii="Arial" w:hAnsi="Arial" w:cs="Arial"/>
        </w:rPr>
        <w:t>LCx</w:t>
      </w:r>
      <w:proofErr w:type="spellEnd"/>
      <w:r>
        <w:rPr>
          <w:rFonts w:ascii="Arial" w:hAnsi="Arial" w:cs="Arial"/>
        </w:rPr>
        <w:t xml:space="preserve"> stenosis. Progressive wire escalation confirmed chronic RCA occlusion and acute </w:t>
      </w:r>
      <w:proofErr w:type="spellStart"/>
      <w:r>
        <w:rPr>
          <w:rFonts w:ascii="Arial" w:hAnsi="Arial" w:cs="Arial"/>
        </w:rPr>
        <w:t>LCx</w:t>
      </w:r>
      <w:proofErr w:type="spellEnd"/>
      <w:r>
        <w:rPr>
          <w:rFonts w:ascii="Arial" w:hAnsi="Arial" w:cs="Arial"/>
        </w:rPr>
        <w:t xml:space="preserve"> occlusion, both successfully revascularized.</w:t>
      </w:r>
    </w:p>
    <w:p w14:paraId="66EE3DFD" w14:textId="77777777" w:rsidR="00AF0398" w:rsidRDefault="00C436C5">
      <w:pPr>
        <w:pStyle w:val="NormalWeb"/>
        <w:rPr>
          <w:rFonts w:ascii="Arial" w:hAnsi="Arial" w:cs="Arial"/>
        </w:rPr>
      </w:pPr>
      <w:r>
        <w:rPr>
          <w:rFonts w:ascii="Arial" w:hAnsi="Arial" w:cs="Arial"/>
        </w:rPr>
        <w:t xml:space="preserve">These cases illustrate the limitations of isolated ECG or angiographic interpretation for culprit lesion identification in complex inferior STEMI. Contemporary evidence confirms that the RCA is the most frequent culprit artery, although </w:t>
      </w:r>
      <w:proofErr w:type="spellStart"/>
      <w:r>
        <w:rPr>
          <w:rFonts w:ascii="Arial" w:hAnsi="Arial" w:cs="Arial"/>
        </w:rPr>
        <w:t>LCx</w:t>
      </w:r>
      <w:proofErr w:type="spellEnd"/>
      <w:r>
        <w:rPr>
          <w:rFonts w:ascii="Arial" w:hAnsi="Arial" w:cs="Arial"/>
        </w:rPr>
        <w:t xml:space="preserve"> occlusion remains under-recognized. We integrate two complementary diagnostic strategies: an ECG-based algorithm derived from Fiol et al., and an angiography-guided algorithm incorporating selective wire probing when diagnostic ambiguity </w:t>
      </w:r>
      <w:proofErr w:type="spellStart"/>
      <w:proofErr w:type="gramStart"/>
      <w:r>
        <w:rPr>
          <w:rFonts w:ascii="Arial" w:hAnsi="Arial" w:cs="Arial"/>
        </w:rPr>
        <w:t>persists.Accurate</w:t>
      </w:r>
      <w:proofErr w:type="spellEnd"/>
      <w:proofErr w:type="gramEnd"/>
      <w:r>
        <w:rPr>
          <w:rFonts w:ascii="Arial" w:hAnsi="Arial" w:cs="Arial"/>
        </w:rPr>
        <w:t xml:space="preserve"> IRA identification in </w:t>
      </w:r>
      <w:proofErr w:type="spellStart"/>
      <w:r>
        <w:rPr>
          <w:rFonts w:ascii="Arial" w:hAnsi="Arial" w:cs="Arial"/>
        </w:rPr>
        <w:t>infero</w:t>
      </w:r>
      <w:proofErr w:type="spellEnd"/>
      <w:r>
        <w:rPr>
          <w:rFonts w:ascii="Arial" w:hAnsi="Arial" w:cs="Arial"/>
        </w:rPr>
        <w:t>-basal STEMI with dual occlusions requires a structured multimodal diagnostic approach.</w:t>
      </w:r>
    </w:p>
    <w:p w14:paraId="5CCCF357" w14:textId="77777777" w:rsidR="00AF0398" w:rsidRDefault="00C436C5">
      <w:pPr>
        <w:pStyle w:val="NormalWeb"/>
        <w:rPr>
          <w:rFonts w:ascii="Arial" w:hAnsi="Arial" w:cs="Arial"/>
        </w:rPr>
      </w:pPr>
      <w:r>
        <w:rPr>
          <w:rStyle w:val="Strong"/>
          <w:rFonts w:ascii="Arial" w:hAnsi="Arial" w:cs="Arial"/>
          <w:u w:val="single"/>
        </w:rPr>
        <w:lastRenderedPageBreak/>
        <w:t>Keywords:</w:t>
      </w:r>
      <w:r>
        <w:rPr>
          <w:rFonts w:ascii="Arial" w:hAnsi="Arial" w:cs="Arial"/>
          <w:u w:val="single"/>
        </w:rPr>
        <w:t xml:space="preserve"> </w:t>
      </w:r>
      <w:r>
        <w:rPr>
          <w:rFonts w:ascii="Arial" w:hAnsi="Arial" w:cs="Arial"/>
        </w:rPr>
        <w:t>Inferior STEMI, culprit artery, right coronary artery, left circumflex artery, electrocardiography, angiography, multivessel disease.</w:t>
      </w:r>
    </w:p>
    <w:p w14:paraId="3DA0480B" w14:textId="77777777" w:rsidR="00AF0398" w:rsidRDefault="00AF0398">
      <w:pPr>
        <w:widowControl/>
        <w:rPr>
          <w:rFonts w:ascii="Arial" w:hAnsi="Arial" w:cs="Arial"/>
          <w:sz w:val="24"/>
        </w:rPr>
      </w:pPr>
    </w:p>
    <w:p w14:paraId="039F6D33" w14:textId="77777777" w:rsidR="00AF0398" w:rsidRDefault="00C436C5">
      <w:pPr>
        <w:pStyle w:val="Heading1"/>
        <w:rPr>
          <w:rFonts w:ascii="Arial" w:hAnsi="Arial" w:cs="Arial" w:hint="default"/>
          <w:sz w:val="28"/>
          <w:szCs w:val="28"/>
          <w:u w:val="single"/>
        </w:rPr>
      </w:pPr>
      <w:r>
        <w:rPr>
          <w:rStyle w:val="Strong"/>
          <w:rFonts w:ascii="Arial" w:hAnsi="Arial" w:cs="Arial" w:hint="default"/>
          <w:b/>
          <w:bCs/>
          <w:sz w:val="28"/>
          <w:szCs w:val="28"/>
          <w:u w:val="single"/>
        </w:rPr>
        <w:t>Introduction</w:t>
      </w:r>
    </w:p>
    <w:p w14:paraId="162CDFEC" w14:textId="77777777" w:rsidR="00AF0398" w:rsidRDefault="00C436C5">
      <w:pPr>
        <w:pStyle w:val="NormalWeb"/>
        <w:rPr>
          <w:rFonts w:ascii="Arial" w:hAnsi="Arial" w:cs="Arial"/>
        </w:rPr>
      </w:pPr>
      <w:r>
        <w:rPr>
          <w:rFonts w:ascii="Arial" w:hAnsi="Arial" w:cs="Arial"/>
        </w:rPr>
        <w:t>Inferior ST-elevation myocardial infarction (STEMI) most commonly results from acute occlusion of the right coronary artery (RCA) and less frequently from the left circumflex artery (</w:t>
      </w:r>
      <w:proofErr w:type="spellStart"/>
      <w:r>
        <w:rPr>
          <w:rFonts w:ascii="Arial" w:hAnsi="Arial" w:cs="Arial"/>
        </w:rPr>
        <w:t>LCx</w:t>
      </w:r>
      <w:proofErr w:type="spellEnd"/>
      <w:r>
        <w:rPr>
          <w:rFonts w:ascii="Arial" w:hAnsi="Arial" w:cs="Arial"/>
        </w:rPr>
        <w:t xml:space="preserve">). Early and accurate identification of the infarct-related artery (IRA) is essential for procedural planning, prompt reperfusion, and prognostic assessment. Several electrocardiographic (ECG) criteria — including greater ST elevation in lead III than in lead II and reciprocal ST depression in </w:t>
      </w:r>
      <w:proofErr w:type="spellStart"/>
      <w:r>
        <w:rPr>
          <w:rFonts w:ascii="Arial" w:hAnsi="Arial" w:cs="Arial"/>
        </w:rPr>
        <w:t>aVL</w:t>
      </w:r>
      <w:proofErr w:type="spellEnd"/>
      <w:r>
        <w:rPr>
          <w:rFonts w:ascii="Arial" w:hAnsi="Arial" w:cs="Arial"/>
        </w:rPr>
        <w:t xml:space="preserve"> or lead I — have been proposed to differentiate RCA- from </w:t>
      </w:r>
      <w:proofErr w:type="spellStart"/>
      <w:r>
        <w:rPr>
          <w:rFonts w:ascii="Arial" w:hAnsi="Arial" w:cs="Arial"/>
        </w:rPr>
        <w:t>LCx</w:t>
      </w:r>
      <w:proofErr w:type="spellEnd"/>
      <w:r>
        <w:rPr>
          <w:rFonts w:ascii="Arial" w:hAnsi="Arial" w:cs="Arial"/>
        </w:rPr>
        <w:t>-related inferior STEMI; however, their diagnostic performance decreases in multivessel coronary artery disease or when chronic and acute lesions coexist {</w:t>
      </w:r>
      <w:r>
        <w:rPr>
          <w:rStyle w:val="Strong"/>
          <w:rFonts w:ascii="Arial" w:hAnsi="Arial" w:cs="Arial"/>
        </w:rPr>
        <w:t>1</w:t>
      </w:r>
      <w:r>
        <w:rPr>
          <w:rFonts w:ascii="Arial" w:hAnsi="Arial" w:cs="Arial"/>
        </w:rPr>
        <w:t>}{</w:t>
      </w:r>
      <w:r>
        <w:rPr>
          <w:rStyle w:val="Strong"/>
          <w:rFonts w:ascii="Arial" w:hAnsi="Arial" w:cs="Arial"/>
          <w:lang w:val="fr-FR"/>
        </w:rPr>
        <w:t>2</w:t>
      </w:r>
      <w:r>
        <w:rPr>
          <w:rFonts w:ascii="Arial" w:hAnsi="Arial" w:cs="Arial"/>
        </w:rPr>
        <w:t>}{</w:t>
      </w:r>
      <w:r>
        <w:rPr>
          <w:rStyle w:val="Strong"/>
          <w:rFonts w:ascii="Arial" w:hAnsi="Arial" w:cs="Arial"/>
          <w:lang w:val="fr-FR"/>
        </w:rPr>
        <w:t>3</w:t>
      </w:r>
      <w:r>
        <w:rPr>
          <w:rFonts w:ascii="Arial" w:hAnsi="Arial" w:cs="Arial"/>
        </w:rPr>
        <w:t>}.</w:t>
      </w:r>
    </w:p>
    <w:p w14:paraId="52972285" w14:textId="77777777" w:rsidR="00AF0398" w:rsidRDefault="00C436C5">
      <w:pPr>
        <w:pStyle w:val="NormalWeb"/>
        <w:rPr>
          <w:rFonts w:ascii="Arial" w:hAnsi="Arial" w:cs="Arial"/>
        </w:rPr>
      </w:pPr>
      <w:r>
        <w:rPr>
          <w:rFonts w:ascii="Arial" w:hAnsi="Arial" w:cs="Arial"/>
        </w:rPr>
        <w:t xml:space="preserve">Coronary angiography remains the reference modality, yet distinguishing acute thrombotic occlusion from chronic total occlusion (CTO) may be challenging. Features such as tapered caps, dense circumferential calcification, and mature collateral networks suggest chronicity, whereas a blunt cap and intraluminal thrombus </w:t>
      </w:r>
      <w:proofErr w:type="spellStart"/>
      <w:r>
        <w:rPr>
          <w:rFonts w:ascii="Arial" w:hAnsi="Arial" w:cs="Arial"/>
        </w:rPr>
        <w:t>favour</w:t>
      </w:r>
      <w:proofErr w:type="spellEnd"/>
      <w:r>
        <w:rPr>
          <w:rFonts w:ascii="Arial" w:hAnsi="Arial" w:cs="Arial"/>
        </w:rPr>
        <w:t xml:space="preserve"> acute occlusion. Nonetheless, calcification may mimic thrombus, and collateral circulation does not invariably exclude recent ischemia.</w:t>
      </w:r>
    </w:p>
    <w:p w14:paraId="0B143497" w14:textId="77777777" w:rsidR="00AF0398" w:rsidRDefault="00C436C5">
      <w:pPr>
        <w:pStyle w:val="NormalWeb"/>
        <w:rPr>
          <w:rFonts w:ascii="Arial" w:hAnsi="Arial" w:cs="Arial"/>
        </w:rPr>
      </w:pPr>
      <w:r>
        <w:rPr>
          <w:rFonts w:ascii="Arial" w:hAnsi="Arial" w:cs="Arial"/>
        </w:rPr>
        <w:t xml:space="preserve">We report two cases of </w:t>
      </w:r>
      <w:proofErr w:type="spellStart"/>
      <w:r>
        <w:rPr>
          <w:rFonts w:ascii="Arial" w:hAnsi="Arial" w:cs="Arial"/>
        </w:rPr>
        <w:t>infero</w:t>
      </w:r>
      <w:proofErr w:type="spellEnd"/>
      <w:r>
        <w:rPr>
          <w:rFonts w:ascii="Arial" w:hAnsi="Arial" w:cs="Arial"/>
        </w:rPr>
        <w:t xml:space="preserve">-basal STEMI with concomitant RCA and </w:t>
      </w:r>
      <w:proofErr w:type="spellStart"/>
      <w:r>
        <w:rPr>
          <w:rFonts w:ascii="Arial" w:hAnsi="Arial" w:cs="Arial"/>
        </w:rPr>
        <w:t>LCx</w:t>
      </w:r>
      <w:proofErr w:type="spellEnd"/>
      <w:r>
        <w:rPr>
          <w:rFonts w:ascii="Arial" w:hAnsi="Arial" w:cs="Arial"/>
        </w:rPr>
        <w:t xml:space="preserve"> occlusions in patients with diffuse atherosclerotic disease, illustrating the complexities of culprit lesion identification and highlighting the value of combining an </w:t>
      </w:r>
      <w:r>
        <w:rPr>
          <w:rStyle w:val="Strong"/>
          <w:rFonts w:ascii="Arial" w:hAnsi="Arial" w:cs="Arial"/>
        </w:rPr>
        <w:t>ECG-based diagnostic algorithm</w:t>
      </w:r>
      <w:r>
        <w:rPr>
          <w:rFonts w:ascii="Arial" w:hAnsi="Arial" w:cs="Arial"/>
        </w:rPr>
        <w:t xml:space="preserve"> with a complementary </w:t>
      </w:r>
      <w:r>
        <w:rPr>
          <w:rStyle w:val="Strong"/>
          <w:rFonts w:ascii="Arial" w:hAnsi="Arial" w:cs="Arial"/>
        </w:rPr>
        <w:t>angiography-guided algorithm</w:t>
      </w:r>
      <w:r>
        <w:rPr>
          <w:rFonts w:ascii="Arial" w:hAnsi="Arial" w:cs="Arial"/>
        </w:rPr>
        <w:t>.</w:t>
      </w:r>
    </w:p>
    <w:p w14:paraId="21324A64" w14:textId="77777777" w:rsidR="00AF0398" w:rsidRDefault="00AF0398">
      <w:pPr>
        <w:pStyle w:val="Heading1"/>
        <w:rPr>
          <w:rStyle w:val="Strong"/>
          <w:rFonts w:ascii="Arial" w:hAnsi="Arial" w:cs="Arial" w:hint="default"/>
          <w:b/>
          <w:bCs/>
          <w:sz w:val="28"/>
          <w:szCs w:val="28"/>
          <w:u w:val="single"/>
        </w:rPr>
      </w:pPr>
    </w:p>
    <w:p w14:paraId="215CA763" w14:textId="77777777" w:rsidR="00AF0398" w:rsidRDefault="00AF0398">
      <w:pPr>
        <w:rPr>
          <w:rStyle w:val="Strong"/>
          <w:rFonts w:ascii="Arial" w:hAnsi="Arial" w:cs="Arial"/>
          <w:sz w:val="28"/>
          <w:szCs w:val="28"/>
          <w:u w:val="single"/>
        </w:rPr>
      </w:pPr>
    </w:p>
    <w:p w14:paraId="7A8E3842" w14:textId="77777777" w:rsidR="00AF0398" w:rsidRDefault="00AF0398">
      <w:pPr>
        <w:rPr>
          <w:rStyle w:val="Strong"/>
          <w:rFonts w:ascii="Arial" w:hAnsi="Arial" w:cs="Arial"/>
          <w:sz w:val="28"/>
          <w:szCs w:val="28"/>
          <w:u w:val="single"/>
        </w:rPr>
      </w:pPr>
    </w:p>
    <w:p w14:paraId="3D113E21" w14:textId="77777777" w:rsidR="00AF0398" w:rsidRDefault="00AF0398">
      <w:pPr>
        <w:rPr>
          <w:rStyle w:val="Strong"/>
          <w:rFonts w:ascii="Arial" w:hAnsi="Arial" w:cs="Arial"/>
          <w:sz w:val="28"/>
          <w:szCs w:val="28"/>
          <w:u w:val="single"/>
        </w:rPr>
      </w:pPr>
    </w:p>
    <w:p w14:paraId="59893F18" w14:textId="77777777" w:rsidR="00AF0398" w:rsidRDefault="00AF0398">
      <w:pPr>
        <w:rPr>
          <w:rStyle w:val="Strong"/>
          <w:rFonts w:ascii="Arial" w:hAnsi="Arial" w:cs="Arial"/>
          <w:sz w:val="28"/>
          <w:szCs w:val="28"/>
          <w:u w:val="single"/>
        </w:rPr>
      </w:pPr>
    </w:p>
    <w:p w14:paraId="01466406" w14:textId="77777777" w:rsidR="00AF0398" w:rsidRDefault="00AF0398">
      <w:pPr>
        <w:rPr>
          <w:rStyle w:val="Strong"/>
          <w:rFonts w:ascii="Arial" w:hAnsi="Arial" w:cs="Arial"/>
          <w:sz w:val="28"/>
          <w:szCs w:val="28"/>
          <w:u w:val="single"/>
        </w:rPr>
      </w:pPr>
    </w:p>
    <w:p w14:paraId="0477E7AA" w14:textId="77777777" w:rsidR="00AF0398" w:rsidRDefault="00AF0398">
      <w:pPr>
        <w:pStyle w:val="Heading1"/>
        <w:rPr>
          <w:rStyle w:val="Strong"/>
          <w:rFonts w:ascii="Arial" w:hAnsi="Arial" w:cs="Arial" w:hint="default"/>
          <w:b/>
          <w:bCs/>
          <w:sz w:val="28"/>
          <w:szCs w:val="28"/>
          <w:u w:val="single"/>
        </w:rPr>
      </w:pPr>
    </w:p>
    <w:p w14:paraId="06FF220E" w14:textId="77777777" w:rsidR="00AF0398" w:rsidRDefault="00C436C5">
      <w:pPr>
        <w:pStyle w:val="Heading1"/>
        <w:rPr>
          <w:rFonts w:ascii="Arial" w:hAnsi="Arial" w:cs="Arial" w:hint="default"/>
          <w:sz w:val="28"/>
          <w:szCs w:val="28"/>
          <w:u w:val="single"/>
        </w:rPr>
      </w:pPr>
      <w:r>
        <w:rPr>
          <w:rStyle w:val="Strong"/>
          <w:rFonts w:ascii="Arial" w:hAnsi="Arial" w:cs="Arial" w:hint="default"/>
          <w:b/>
          <w:bCs/>
          <w:sz w:val="28"/>
          <w:szCs w:val="28"/>
          <w:u w:val="single"/>
        </w:rPr>
        <w:t>Case Presentations</w:t>
      </w:r>
    </w:p>
    <w:p w14:paraId="04CA2207" w14:textId="77777777" w:rsidR="00AF0398" w:rsidRDefault="00C436C5">
      <w:pPr>
        <w:pStyle w:val="NormalWeb"/>
        <w:rPr>
          <w:rFonts w:ascii="Arial" w:hAnsi="Arial" w:cs="Arial"/>
          <w:b/>
          <w:bCs/>
          <w:lang w:val="fr-FR"/>
        </w:rPr>
      </w:pPr>
      <w:r>
        <w:rPr>
          <w:rFonts w:ascii="Arial" w:hAnsi="Arial" w:cs="Arial"/>
          <w:b/>
          <w:bCs/>
          <w:lang w:val="fr-FR"/>
        </w:rPr>
        <w:t>Case 1 :</w:t>
      </w:r>
    </w:p>
    <w:p w14:paraId="59881DD2" w14:textId="77777777" w:rsidR="00AF0398" w:rsidRDefault="00C436C5">
      <w:pPr>
        <w:pStyle w:val="NormalWeb"/>
        <w:rPr>
          <w:rFonts w:ascii="Arial" w:hAnsi="Arial" w:cs="Arial"/>
        </w:rPr>
      </w:pPr>
      <w:r>
        <w:rPr>
          <w:rFonts w:ascii="Arial" w:hAnsi="Arial" w:cs="Arial"/>
        </w:rPr>
        <w:t xml:space="preserve">A 65-year-old man with a medical history of diabetes mellitus, hypertension, and long-standing coronary artery disease was admitted for persistent chest pain evolving for seven hours. Fifteen years earlier, he had experienced an uncomplicated </w:t>
      </w:r>
      <w:proofErr w:type="spellStart"/>
      <w:r>
        <w:rPr>
          <w:rFonts w:ascii="Arial" w:hAnsi="Arial" w:cs="Arial"/>
        </w:rPr>
        <w:t>infero</w:t>
      </w:r>
      <w:proofErr w:type="spellEnd"/>
      <w:r>
        <w:rPr>
          <w:rFonts w:ascii="Arial" w:hAnsi="Arial" w:cs="Arial"/>
        </w:rPr>
        <w:t>-basal ST-elevation myocardial infarction (STEMI) related to a distal left circumflex artery (</w:t>
      </w:r>
      <w:proofErr w:type="spellStart"/>
      <w:r>
        <w:rPr>
          <w:rFonts w:ascii="Arial" w:hAnsi="Arial" w:cs="Arial"/>
        </w:rPr>
        <w:t>LCx</w:t>
      </w:r>
      <w:proofErr w:type="spellEnd"/>
      <w:r>
        <w:rPr>
          <w:rFonts w:ascii="Arial" w:hAnsi="Arial" w:cs="Arial"/>
        </w:rPr>
        <w:t>) occlusion, which had been successfully treated with drug-eluting stent implantation.</w:t>
      </w:r>
    </w:p>
    <w:p w14:paraId="55ECE4ED" w14:textId="77777777" w:rsidR="00AF0398" w:rsidRDefault="00C436C5">
      <w:pPr>
        <w:pStyle w:val="NormalWeb"/>
        <w:rPr>
          <w:rFonts w:ascii="Arial" w:hAnsi="Arial" w:cs="Arial"/>
          <w:lang w:val="fr-FR"/>
        </w:rPr>
      </w:pPr>
      <w:r>
        <w:rPr>
          <w:rFonts w:ascii="Arial" w:hAnsi="Arial" w:cs="Arial"/>
        </w:rPr>
        <w:t xml:space="preserve">On admission, coronary angiography performed via a right radial approach revealed severe multivessel coronary artery disease. The left main coronary artery was free of significant disease. The left anterior descending artery showed diffuse atherosclerosis with heavy calcification and significant proximal-to-mid stenoses, while maintaining TIMI 3 flow. The </w:t>
      </w:r>
      <w:proofErr w:type="spellStart"/>
      <w:r>
        <w:rPr>
          <w:rFonts w:ascii="Arial" w:hAnsi="Arial" w:cs="Arial"/>
        </w:rPr>
        <w:t>LCx</w:t>
      </w:r>
      <w:proofErr w:type="spellEnd"/>
      <w:r>
        <w:rPr>
          <w:rFonts w:ascii="Arial" w:hAnsi="Arial" w:cs="Arial"/>
        </w:rPr>
        <w:t xml:space="preserve"> presented with an in-stent occlusion originating at the ostium, with no distal opacification. The right coronary artery (RCA) was severely calcified and exhibited a long mid-segment occlusion associated with poor distal vessel visualization. These findings were consistent with severe triple-vessel disease, with concomitant occlusion of both the RCA and </w:t>
      </w:r>
      <w:proofErr w:type="spellStart"/>
      <w:r>
        <w:rPr>
          <w:rFonts w:ascii="Arial" w:hAnsi="Arial" w:cs="Arial"/>
        </w:rPr>
        <w:t>LCx</w:t>
      </w:r>
      <w:proofErr w:type="spellEnd"/>
      <w:r>
        <w:rPr>
          <w:rFonts w:ascii="Arial" w:hAnsi="Arial" w:cs="Arial"/>
        </w:rPr>
        <w:t>.</w:t>
      </w:r>
      <w:r>
        <w:rPr>
          <w:rFonts w:ascii="Arial" w:hAnsi="Arial" w:cs="Arial"/>
          <w:lang w:val="fr-FR"/>
        </w:rPr>
        <w:t xml:space="preserve"> </w:t>
      </w:r>
      <w:r>
        <w:rPr>
          <w:rFonts w:ascii="Arial" w:hAnsi="Arial" w:cs="Arial"/>
          <w:b/>
          <w:bCs/>
          <w:lang w:val="fr-FR"/>
        </w:rPr>
        <w:t>(Figure 1)</w:t>
      </w:r>
    </w:p>
    <w:p w14:paraId="7C1729C4" w14:textId="77777777" w:rsidR="00AF0398" w:rsidRDefault="00C436C5">
      <w:pPr>
        <w:pStyle w:val="NormalWeb"/>
        <w:rPr>
          <w:rFonts w:ascii="Arial" w:hAnsi="Arial" w:cs="Arial"/>
        </w:rPr>
      </w:pPr>
      <w:r>
        <w:rPr>
          <w:rFonts w:ascii="Arial" w:hAnsi="Arial" w:cs="Arial"/>
        </w:rPr>
        <w:t xml:space="preserve">Culprit lesion identification was challenging due to discordant diagnostic data. The electrocardiogram demonstrated </w:t>
      </w:r>
      <w:proofErr w:type="spellStart"/>
      <w:r>
        <w:rPr>
          <w:rFonts w:ascii="Arial" w:hAnsi="Arial" w:cs="Arial"/>
        </w:rPr>
        <w:t>infero</w:t>
      </w:r>
      <w:proofErr w:type="spellEnd"/>
      <w:r>
        <w:rPr>
          <w:rFonts w:ascii="Arial" w:hAnsi="Arial" w:cs="Arial"/>
        </w:rPr>
        <w:t>-basal ST-segment elevation predominantly in lead III, with reciprocal ST depression in lead I</w:t>
      </w:r>
      <w:r>
        <w:rPr>
          <w:rFonts w:ascii="Arial" w:hAnsi="Arial" w:cs="Arial"/>
          <w:lang w:val="fr-FR"/>
        </w:rPr>
        <w:t xml:space="preserve"> </w:t>
      </w:r>
      <w:r>
        <w:rPr>
          <w:rFonts w:ascii="Arial" w:hAnsi="Arial" w:cs="Arial"/>
          <w:b/>
          <w:bCs/>
          <w:lang w:val="fr-FR"/>
        </w:rPr>
        <w:t>(Figure 2)</w:t>
      </w:r>
      <w:r>
        <w:rPr>
          <w:rFonts w:ascii="Arial" w:hAnsi="Arial" w:cs="Arial"/>
        </w:rPr>
        <w:t xml:space="preserve">, suggesting an RCA-related infarction. Conversely, transthoracic echocardiography revealed lateral wall hypokinesia, favoring </w:t>
      </w:r>
      <w:proofErr w:type="spellStart"/>
      <w:r>
        <w:rPr>
          <w:rFonts w:ascii="Arial" w:hAnsi="Arial" w:cs="Arial"/>
        </w:rPr>
        <w:t>LCx</w:t>
      </w:r>
      <w:proofErr w:type="spellEnd"/>
      <w:r>
        <w:rPr>
          <w:rFonts w:ascii="Arial" w:hAnsi="Arial" w:cs="Arial"/>
        </w:rPr>
        <w:t xml:space="preserve"> involvement. Angiographically, contrast staining was observed at the inferior bend of the RCA, raising suspicion of either acute thrombus or dense calcification, while the </w:t>
      </w:r>
      <w:proofErr w:type="spellStart"/>
      <w:r>
        <w:rPr>
          <w:rFonts w:ascii="Arial" w:hAnsi="Arial" w:cs="Arial"/>
        </w:rPr>
        <w:t>LCx</w:t>
      </w:r>
      <w:proofErr w:type="spellEnd"/>
      <w:r>
        <w:rPr>
          <w:rFonts w:ascii="Arial" w:hAnsi="Arial" w:cs="Arial"/>
        </w:rPr>
        <w:t xml:space="preserve"> occlusion appeared “cupped,” without clear features of acuity.</w:t>
      </w:r>
    </w:p>
    <w:p w14:paraId="1FAA43F5" w14:textId="77777777" w:rsidR="00AF0398" w:rsidRDefault="00C436C5">
      <w:pPr>
        <w:pStyle w:val="NormalWeb"/>
        <w:rPr>
          <w:rFonts w:ascii="Arial" w:hAnsi="Arial" w:cs="Arial"/>
        </w:rPr>
      </w:pPr>
      <w:r>
        <w:rPr>
          <w:rFonts w:ascii="Arial" w:hAnsi="Arial" w:cs="Arial"/>
        </w:rPr>
        <w:t xml:space="preserve">To resolve this ambiguity, an interventional assessment was performed using an </w:t>
      </w:r>
      <w:proofErr w:type="spellStart"/>
      <w:r>
        <w:rPr>
          <w:rFonts w:ascii="Arial" w:hAnsi="Arial" w:cs="Arial"/>
        </w:rPr>
        <w:t>Amplatz</w:t>
      </w:r>
      <w:proofErr w:type="spellEnd"/>
      <w:r>
        <w:rPr>
          <w:rFonts w:ascii="Arial" w:hAnsi="Arial" w:cs="Arial"/>
        </w:rPr>
        <w:t xml:space="preserve"> Left 2 guiding catheter to selectively probe both coronary systems. Multiple guidewire crossing attempts of the RCA lesion were unsuccessful, consistent with a chronic total occlusion. In contrast, the </w:t>
      </w:r>
      <w:proofErr w:type="spellStart"/>
      <w:r>
        <w:rPr>
          <w:rFonts w:ascii="Arial" w:hAnsi="Arial" w:cs="Arial"/>
        </w:rPr>
        <w:t>LCx</w:t>
      </w:r>
      <w:proofErr w:type="spellEnd"/>
      <w:r>
        <w:rPr>
          <w:rFonts w:ascii="Arial" w:hAnsi="Arial" w:cs="Arial"/>
        </w:rPr>
        <w:t xml:space="preserve"> occlusion was easily crossed, resulting in immediate restoration of TIMI 3 flow and visualization of two obtuse marginal branches</w:t>
      </w:r>
      <w:r>
        <w:rPr>
          <w:rFonts w:ascii="Arial" w:hAnsi="Arial" w:cs="Arial"/>
          <w:lang w:val="fr-FR"/>
        </w:rPr>
        <w:t xml:space="preserve"> </w:t>
      </w:r>
      <w:r>
        <w:rPr>
          <w:rFonts w:ascii="Arial" w:hAnsi="Arial" w:cs="Arial"/>
          <w:b/>
          <w:bCs/>
          <w:lang w:val="fr-FR"/>
        </w:rPr>
        <w:t>(Figure 3)</w:t>
      </w:r>
      <w:r>
        <w:rPr>
          <w:rFonts w:ascii="Arial" w:hAnsi="Arial" w:cs="Arial"/>
        </w:rPr>
        <w:t xml:space="preserve">. These findings </w:t>
      </w:r>
      <w:r>
        <w:rPr>
          <w:rFonts w:ascii="Arial" w:hAnsi="Arial" w:cs="Arial"/>
        </w:rPr>
        <w:lastRenderedPageBreak/>
        <w:t xml:space="preserve">confirmed the </w:t>
      </w:r>
      <w:proofErr w:type="spellStart"/>
      <w:r>
        <w:rPr>
          <w:rFonts w:ascii="Arial" w:hAnsi="Arial" w:cs="Arial"/>
        </w:rPr>
        <w:t>LCx</w:t>
      </w:r>
      <w:proofErr w:type="spellEnd"/>
      <w:r>
        <w:rPr>
          <w:rFonts w:ascii="Arial" w:hAnsi="Arial" w:cs="Arial"/>
        </w:rPr>
        <w:t xml:space="preserve"> in-stent occlusion as the acute culprit lesion, likely thrombotic in nature.</w:t>
      </w:r>
    </w:p>
    <w:p w14:paraId="61FDDC4D" w14:textId="77777777" w:rsidR="00AF0398" w:rsidRDefault="00C436C5">
      <w:pPr>
        <w:pStyle w:val="NormalWeb"/>
        <w:rPr>
          <w:rFonts w:ascii="Arial" w:hAnsi="Arial" w:cs="Arial"/>
        </w:rPr>
      </w:pPr>
      <w:r>
        <w:rPr>
          <w:rFonts w:ascii="Arial" w:hAnsi="Arial" w:cs="Arial"/>
        </w:rPr>
        <w:t>Given the complexity of the coronary anatomy and the presence of extensive calcification, glycoprotein IIb/IIIa inhibitor therapy was initiated, and the patient was referred for staged surgical revascularization.</w:t>
      </w:r>
    </w:p>
    <w:p w14:paraId="62F96F0E" w14:textId="77777777" w:rsidR="00AF0398" w:rsidRDefault="00AF0398">
      <w:pPr>
        <w:pStyle w:val="Heading3"/>
        <w:rPr>
          <w:rStyle w:val="Strong"/>
          <w:rFonts w:ascii="Arial" w:hAnsi="Arial" w:cs="Arial" w:hint="default"/>
          <w:b/>
          <w:bCs/>
          <w:sz w:val="24"/>
          <w:szCs w:val="24"/>
        </w:rPr>
      </w:pPr>
    </w:p>
    <w:p w14:paraId="16265A4F" w14:textId="77777777" w:rsidR="00AF0398" w:rsidRDefault="00C436C5">
      <w:pPr>
        <w:pStyle w:val="Heading3"/>
        <w:rPr>
          <w:rFonts w:ascii="Arial" w:hAnsi="Arial" w:cs="Arial" w:hint="default"/>
          <w:sz w:val="24"/>
          <w:szCs w:val="24"/>
          <w:lang w:val="fr-FR"/>
        </w:rPr>
      </w:pPr>
      <w:r>
        <w:rPr>
          <w:rStyle w:val="Strong"/>
          <w:rFonts w:ascii="Arial" w:hAnsi="Arial" w:cs="Arial" w:hint="default"/>
          <w:b/>
          <w:bCs/>
          <w:sz w:val="24"/>
          <w:szCs w:val="24"/>
        </w:rPr>
        <w:t>Case 2</w:t>
      </w:r>
      <w:r>
        <w:rPr>
          <w:rStyle w:val="Strong"/>
          <w:rFonts w:ascii="Arial" w:hAnsi="Arial" w:cs="Arial" w:hint="default"/>
          <w:b/>
          <w:bCs/>
          <w:sz w:val="24"/>
          <w:szCs w:val="24"/>
          <w:lang w:val="fr-FR"/>
        </w:rPr>
        <w:t>:</w:t>
      </w:r>
    </w:p>
    <w:p w14:paraId="58634397" w14:textId="77777777" w:rsidR="00AF0398" w:rsidRDefault="00C436C5">
      <w:pPr>
        <w:pStyle w:val="NormalWeb"/>
        <w:rPr>
          <w:rFonts w:ascii="Arial" w:hAnsi="Arial" w:cs="Arial"/>
        </w:rPr>
      </w:pPr>
      <w:r>
        <w:rPr>
          <w:rFonts w:ascii="Arial" w:hAnsi="Arial" w:cs="Arial"/>
        </w:rPr>
        <w:t xml:space="preserve">A 70-year-old diabetic former smoker with a prior history of anterior STEMI treated by overlapping stents in the left anterior descending artery (LAD) presented with </w:t>
      </w:r>
      <w:proofErr w:type="spellStart"/>
      <w:r>
        <w:rPr>
          <w:rFonts w:ascii="Arial" w:hAnsi="Arial" w:cs="Arial"/>
        </w:rPr>
        <w:t>infero</w:t>
      </w:r>
      <w:proofErr w:type="spellEnd"/>
      <w:r>
        <w:rPr>
          <w:rFonts w:ascii="Arial" w:hAnsi="Arial" w:cs="Arial"/>
        </w:rPr>
        <w:t xml:space="preserve">-basal STEMI six hours after symptom onset. Coronary angiography demonstrated a complete occlusion of the mid-RCA with well-developed collateral circulation, a severe proximal </w:t>
      </w:r>
      <w:proofErr w:type="spellStart"/>
      <w:r>
        <w:rPr>
          <w:rFonts w:ascii="Arial" w:hAnsi="Arial" w:cs="Arial"/>
        </w:rPr>
        <w:t>LCx</w:t>
      </w:r>
      <w:proofErr w:type="spellEnd"/>
      <w:r>
        <w:rPr>
          <w:rFonts w:ascii="Arial" w:hAnsi="Arial" w:cs="Arial"/>
        </w:rPr>
        <w:t xml:space="preserve"> stenosis, and patent LAD stents without </w:t>
      </w:r>
      <w:proofErr w:type="gramStart"/>
      <w:r>
        <w:rPr>
          <w:rFonts w:ascii="Arial" w:hAnsi="Arial" w:cs="Arial"/>
        </w:rPr>
        <w:t>restenosis.</w:t>
      </w:r>
      <w:r>
        <w:rPr>
          <w:rFonts w:ascii="Arial" w:hAnsi="Arial" w:cs="Arial"/>
          <w:b/>
          <w:bCs/>
          <w:lang w:val="fr-FR"/>
        </w:rPr>
        <w:t>(</w:t>
      </w:r>
      <w:proofErr w:type="gramEnd"/>
      <w:r>
        <w:rPr>
          <w:rFonts w:ascii="Arial" w:hAnsi="Arial" w:cs="Arial"/>
          <w:b/>
          <w:bCs/>
          <w:lang w:val="fr-FR"/>
        </w:rPr>
        <w:t>Figure 4)</w:t>
      </w:r>
    </w:p>
    <w:p w14:paraId="7324EF37" w14:textId="77777777" w:rsidR="00AF0398" w:rsidRDefault="00C436C5">
      <w:pPr>
        <w:pStyle w:val="NormalWeb"/>
        <w:rPr>
          <w:rFonts w:ascii="Arial" w:hAnsi="Arial" w:cs="Arial"/>
        </w:rPr>
      </w:pPr>
      <w:r>
        <w:rPr>
          <w:rFonts w:ascii="Arial" w:hAnsi="Arial" w:cs="Arial"/>
        </w:rPr>
        <w:t>Based on previous angiographic data showing only intermediate RCA disease and the absence of prior anginal symptoms, the RCA occlusion was initially suspected to be acute. However, guidewire escalation strategies were required to clarify lesion chronicity. An initial attempt using a standard workhorse guidewire failed to cross the RCA lesion. A second femoral access was obtained to allow retrograde injections, which revealed a poorly developed distal vessel bed. Subsequent use of a polymer-coated Fielder XT guidewire enabled difficult crossing of the RCA lesion, uncovering a long, heavily calcified chronic total occlusion.</w:t>
      </w:r>
    </w:p>
    <w:p w14:paraId="6AF9F861" w14:textId="77777777" w:rsidR="00AF0398" w:rsidRDefault="00C436C5">
      <w:pPr>
        <w:pStyle w:val="NormalWeb"/>
        <w:rPr>
          <w:rFonts w:ascii="Arial" w:hAnsi="Arial" w:cs="Arial"/>
        </w:rPr>
      </w:pPr>
      <w:r>
        <w:rPr>
          <w:rFonts w:ascii="Arial" w:hAnsi="Arial" w:cs="Arial"/>
        </w:rPr>
        <w:t xml:space="preserve">Attention was then directed to the </w:t>
      </w:r>
      <w:proofErr w:type="spellStart"/>
      <w:r>
        <w:rPr>
          <w:rFonts w:ascii="Arial" w:hAnsi="Arial" w:cs="Arial"/>
        </w:rPr>
        <w:t>LCx</w:t>
      </w:r>
      <w:proofErr w:type="spellEnd"/>
      <w:r>
        <w:rPr>
          <w:rFonts w:ascii="Arial" w:hAnsi="Arial" w:cs="Arial"/>
        </w:rPr>
        <w:t xml:space="preserve"> lesion, which was identified as the acute culprit. Percutaneous coronary intervention was performed with sequential non-compliant balloon </w:t>
      </w:r>
      <w:proofErr w:type="spellStart"/>
      <w:r>
        <w:rPr>
          <w:rFonts w:ascii="Arial" w:hAnsi="Arial" w:cs="Arial"/>
        </w:rPr>
        <w:t>predilatation</w:t>
      </w:r>
      <w:proofErr w:type="spellEnd"/>
      <w:r>
        <w:rPr>
          <w:rFonts w:ascii="Arial" w:hAnsi="Arial" w:cs="Arial"/>
        </w:rPr>
        <w:t xml:space="preserve"> and implantation of drug-eluting stents in both the RCA CTO and the </w:t>
      </w:r>
      <w:proofErr w:type="spellStart"/>
      <w:r>
        <w:rPr>
          <w:rFonts w:ascii="Arial" w:hAnsi="Arial" w:cs="Arial"/>
        </w:rPr>
        <w:t>LCx</w:t>
      </w:r>
      <w:proofErr w:type="spellEnd"/>
      <w:r>
        <w:rPr>
          <w:rFonts w:ascii="Arial" w:hAnsi="Arial" w:cs="Arial"/>
          <w:lang w:val="fr-FR"/>
        </w:rPr>
        <w:t xml:space="preserve"> </w:t>
      </w:r>
      <w:r>
        <w:rPr>
          <w:rFonts w:ascii="Arial" w:hAnsi="Arial" w:cs="Arial"/>
          <w:b/>
          <w:bCs/>
          <w:lang w:val="fr-FR"/>
        </w:rPr>
        <w:t>(Figure 5)</w:t>
      </w:r>
      <w:r>
        <w:rPr>
          <w:rFonts w:ascii="Arial" w:hAnsi="Arial" w:cs="Arial"/>
        </w:rPr>
        <w:t>. The final angiographic result was optimal, and the patient was discharged uneventfully on day three.</w:t>
      </w:r>
    </w:p>
    <w:p w14:paraId="12BA948E" w14:textId="77777777" w:rsidR="00AF0398" w:rsidRDefault="00C436C5">
      <w:pPr>
        <w:pStyle w:val="Heading1"/>
        <w:rPr>
          <w:rFonts w:ascii="Arial" w:hAnsi="Arial" w:cs="Arial" w:hint="default"/>
          <w:sz w:val="28"/>
          <w:szCs w:val="28"/>
          <w:u w:val="single"/>
        </w:rPr>
      </w:pPr>
      <w:r>
        <w:rPr>
          <w:rStyle w:val="Strong"/>
          <w:rFonts w:ascii="Arial" w:hAnsi="Arial" w:cs="Arial" w:hint="default"/>
          <w:b/>
          <w:bCs/>
          <w:sz w:val="28"/>
          <w:szCs w:val="28"/>
          <w:u w:val="single"/>
        </w:rPr>
        <w:t>Discussion</w:t>
      </w:r>
    </w:p>
    <w:p w14:paraId="1AE1D40B" w14:textId="77777777" w:rsidR="00AF0398" w:rsidRDefault="00C436C5">
      <w:pPr>
        <w:pStyle w:val="NormalWeb"/>
        <w:rPr>
          <w:rFonts w:ascii="Arial" w:hAnsi="Arial" w:cs="Arial"/>
        </w:rPr>
      </w:pPr>
      <w:r>
        <w:rPr>
          <w:rFonts w:ascii="Arial" w:hAnsi="Arial" w:cs="Arial"/>
        </w:rPr>
        <w:t xml:space="preserve">Inferior ST-elevation myocardial infarction most commonly results from acute occlusion of the right coronary artery, while the left circumflex artery represents a less frequent but clinically significant culprit. Large angiographic and electrocardiographic studies report RCA involvement in approximately 60–85% of inferior STEMI cases, with </w:t>
      </w:r>
      <w:proofErr w:type="spellStart"/>
      <w:r>
        <w:rPr>
          <w:rFonts w:ascii="Arial" w:hAnsi="Arial" w:cs="Arial"/>
        </w:rPr>
        <w:t>LCx</w:t>
      </w:r>
      <w:proofErr w:type="spellEnd"/>
      <w:r>
        <w:rPr>
          <w:rFonts w:ascii="Arial" w:hAnsi="Arial" w:cs="Arial"/>
        </w:rPr>
        <w:t xml:space="preserve"> occlusion accounting for 15–40%, depending on coronary dominance and infarct distribution {1–6}. RCA-related infarctions predominate in right-dominant coronary systems and classical </w:t>
      </w:r>
      <w:r>
        <w:rPr>
          <w:rFonts w:ascii="Arial" w:hAnsi="Arial" w:cs="Arial"/>
        </w:rPr>
        <w:lastRenderedPageBreak/>
        <w:t xml:space="preserve">inferior or </w:t>
      </w:r>
      <w:proofErr w:type="spellStart"/>
      <w:r>
        <w:rPr>
          <w:rFonts w:ascii="Arial" w:hAnsi="Arial" w:cs="Arial"/>
        </w:rPr>
        <w:t>infero</w:t>
      </w:r>
      <w:proofErr w:type="spellEnd"/>
      <w:r>
        <w:rPr>
          <w:rFonts w:ascii="Arial" w:hAnsi="Arial" w:cs="Arial"/>
        </w:rPr>
        <w:t xml:space="preserve">-basal patterns, whereas </w:t>
      </w:r>
      <w:proofErr w:type="spellStart"/>
      <w:r>
        <w:rPr>
          <w:rFonts w:ascii="Arial" w:hAnsi="Arial" w:cs="Arial"/>
        </w:rPr>
        <w:t>LCx</w:t>
      </w:r>
      <w:proofErr w:type="spellEnd"/>
      <w:r>
        <w:rPr>
          <w:rFonts w:ascii="Arial" w:hAnsi="Arial" w:cs="Arial"/>
        </w:rPr>
        <w:t xml:space="preserve"> occlusion is more often observed in left-dominant anatomies or in lateral and </w:t>
      </w:r>
      <w:proofErr w:type="spellStart"/>
      <w:r>
        <w:rPr>
          <w:rFonts w:ascii="Arial" w:hAnsi="Arial" w:cs="Arial"/>
        </w:rPr>
        <w:t>posterobasal</w:t>
      </w:r>
      <w:proofErr w:type="spellEnd"/>
      <w:r>
        <w:rPr>
          <w:rFonts w:ascii="Arial" w:hAnsi="Arial" w:cs="Arial"/>
        </w:rPr>
        <w:t xml:space="preserve"> infarctions {4–6}.</w:t>
      </w:r>
    </w:p>
    <w:p w14:paraId="64907645" w14:textId="77777777" w:rsidR="00AF0398" w:rsidRDefault="00C436C5">
      <w:pPr>
        <w:pStyle w:val="NormalWeb"/>
        <w:rPr>
          <w:rFonts w:ascii="Arial" w:hAnsi="Arial" w:cs="Arial"/>
        </w:rPr>
      </w:pPr>
      <w:r>
        <w:rPr>
          <w:rFonts w:ascii="Arial" w:hAnsi="Arial" w:cs="Arial"/>
        </w:rPr>
        <w:t xml:space="preserve">Culprit artery identification becomes particularly challenging when RCA and </w:t>
      </w:r>
      <w:proofErr w:type="spellStart"/>
      <w:r>
        <w:rPr>
          <w:rFonts w:ascii="Arial" w:hAnsi="Arial" w:cs="Arial"/>
        </w:rPr>
        <w:t>LCx</w:t>
      </w:r>
      <w:proofErr w:type="spellEnd"/>
      <w:r>
        <w:rPr>
          <w:rFonts w:ascii="Arial" w:hAnsi="Arial" w:cs="Arial"/>
        </w:rPr>
        <w:t xml:space="preserve"> disease coexist, especially in the presence of chronic total occlusions, extensive calcification, or well-developed collateral circulation. Both cases presented here illustrate these diagnostic pitfalls and emphasize the limitations of relying on a single diagnostic modality {2,3,10}.</w:t>
      </w:r>
    </w:p>
    <w:p w14:paraId="151631D3" w14:textId="77777777" w:rsidR="00AF0398" w:rsidRDefault="00C436C5">
      <w:pPr>
        <w:pStyle w:val="NormalWeb"/>
        <w:rPr>
          <w:rFonts w:ascii="Arial" w:hAnsi="Arial" w:cs="Arial"/>
        </w:rPr>
      </w:pPr>
      <w:r>
        <w:rPr>
          <w:rFonts w:ascii="Arial" w:hAnsi="Arial" w:cs="Arial"/>
        </w:rPr>
        <w:t xml:space="preserve">Electrocardiographic criteria, such as greater ST-segment elevation in lead III compared with lead II and reciprocal ST depression in lead I or </w:t>
      </w:r>
      <w:proofErr w:type="spellStart"/>
      <w:r>
        <w:rPr>
          <w:rFonts w:ascii="Arial" w:hAnsi="Arial" w:cs="Arial"/>
        </w:rPr>
        <w:t>aVL</w:t>
      </w:r>
      <w:proofErr w:type="spellEnd"/>
      <w:r>
        <w:rPr>
          <w:rFonts w:ascii="Arial" w:hAnsi="Arial" w:cs="Arial"/>
        </w:rPr>
        <w:t xml:space="preserve">, have demonstrated moderate diagnostic accuracy in differentiating RCA from </w:t>
      </w:r>
      <w:proofErr w:type="spellStart"/>
      <w:r>
        <w:rPr>
          <w:rFonts w:ascii="Arial" w:hAnsi="Arial" w:cs="Arial"/>
        </w:rPr>
        <w:t>LCx</w:t>
      </w:r>
      <w:proofErr w:type="spellEnd"/>
      <w:r>
        <w:rPr>
          <w:rFonts w:ascii="Arial" w:hAnsi="Arial" w:cs="Arial"/>
        </w:rPr>
        <w:t xml:space="preserve"> occlusion {1,3,7}. However, their reliability decreases significantly in patients with multivessel disease or prior myocardial infarction {2,3}. In this context, we applied a stepwise ECG-based algorithm derived from the Fiol model, which sequentially evaluates ST-segment deviations in lead I, the relative magnitude of ST elevation in leads II and III, the relationship between inferior ST elevation and anterior ST depression, and ST changes in lead V1 {8}. Although this algorithm provided valuable initial orientation, it proved insufficient to definitively identify the culprit artery in the presence of dual coronary occlusions, as previously reported in complex coronary anatomy {3,10</w:t>
      </w:r>
      <w:proofErr w:type="gramStart"/>
      <w:r>
        <w:rPr>
          <w:rFonts w:ascii="Arial" w:hAnsi="Arial" w:cs="Arial"/>
        </w:rPr>
        <w:t>}.</w:t>
      </w:r>
      <w:r>
        <w:rPr>
          <w:rFonts w:ascii="Arial" w:hAnsi="Arial" w:cs="Arial"/>
          <w:b/>
          <w:bCs/>
          <w:lang w:val="fr-FR"/>
        </w:rPr>
        <w:t>(</w:t>
      </w:r>
      <w:proofErr w:type="gramEnd"/>
      <w:r>
        <w:rPr>
          <w:rFonts w:ascii="Arial" w:hAnsi="Arial" w:cs="Arial"/>
          <w:b/>
          <w:bCs/>
          <w:lang w:val="fr-FR"/>
        </w:rPr>
        <w:t>Figure 6)</w:t>
      </w:r>
    </w:p>
    <w:p w14:paraId="0F822FB1" w14:textId="77777777" w:rsidR="00AF0398" w:rsidRDefault="00C436C5">
      <w:pPr>
        <w:pStyle w:val="NormalWeb"/>
        <w:rPr>
          <w:rFonts w:ascii="Arial" w:hAnsi="Arial" w:cs="Arial"/>
        </w:rPr>
      </w:pPr>
      <w:r>
        <w:rPr>
          <w:rFonts w:ascii="Arial" w:hAnsi="Arial" w:cs="Arial"/>
        </w:rPr>
        <w:t xml:space="preserve">Echocardiography may provide complementary information through regional wall-motion analysis; however, its diagnostic accuracy is limited in patients with previous myocardial infarction or </w:t>
      </w:r>
      <w:proofErr w:type="spellStart"/>
      <w:r>
        <w:rPr>
          <w:rFonts w:ascii="Arial" w:hAnsi="Arial" w:cs="Arial"/>
        </w:rPr>
        <w:t>multiterritorial</w:t>
      </w:r>
      <w:proofErr w:type="spellEnd"/>
      <w:r>
        <w:rPr>
          <w:rFonts w:ascii="Arial" w:hAnsi="Arial" w:cs="Arial"/>
        </w:rPr>
        <w:t xml:space="preserve"> ischemic dysfunction {5,6}. This limitation was evident in the first case, where lateral wall hypokinesia suggested </w:t>
      </w:r>
      <w:proofErr w:type="spellStart"/>
      <w:r>
        <w:rPr>
          <w:rFonts w:ascii="Arial" w:hAnsi="Arial" w:cs="Arial"/>
        </w:rPr>
        <w:t>LCx</w:t>
      </w:r>
      <w:proofErr w:type="spellEnd"/>
      <w:r>
        <w:rPr>
          <w:rFonts w:ascii="Arial" w:hAnsi="Arial" w:cs="Arial"/>
        </w:rPr>
        <w:t xml:space="preserve"> involvement despite electrocardiographic findings favoring an RCA culprit.</w:t>
      </w:r>
    </w:p>
    <w:p w14:paraId="106C4A15" w14:textId="77777777" w:rsidR="00AF0398" w:rsidRDefault="00C436C5">
      <w:pPr>
        <w:pStyle w:val="NormalWeb"/>
        <w:rPr>
          <w:rFonts w:ascii="Arial" w:hAnsi="Arial" w:cs="Arial"/>
        </w:rPr>
      </w:pPr>
      <w:r>
        <w:rPr>
          <w:rFonts w:ascii="Arial" w:hAnsi="Arial" w:cs="Arial"/>
        </w:rPr>
        <w:t>Coronary angiography remains the reference diagnostic tool, yet distinguishing acute thrombotic occlusion from chronic total occlusion may be difficult. Angiographic features such as tapered proximal caps, circumferential calcification, and extensive collateral circulation are typically associated with chronic occlusions, whereas blunt caps and intraluminal thrombus favor acute occlusion {9,10}. Importantly, collateral circulation does not exclude recent ischemia, and dense calcification may mimic thrombus, leading to diagnostic uncertainty.</w:t>
      </w:r>
    </w:p>
    <w:p w14:paraId="2562C49F" w14:textId="77777777" w:rsidR="00AF0398" w:rsidRDefault="00C436C5">
      <w:pPr>
        <w:pStyle w:val="NormalWeb"/>
        <w:rPr>
          <w:rFonts w:ascii="Arial" w:hAnsi="Arial" w:cs="Arial"/>
        </w:rPr>
      </w:pPr>
      <w:r>
        <w:rPr>
          <w:rFonts w:ascii="Arial" w:hAnsi="Arial" w:cs="Arial"/>
        </w:rPr>
        <w:t>In both cases, selective guidewire probing proved decisive. Acute thrombotic lesions were readily crossable, whereas chronic fibro-calcified occlusions resisted guidewire passage and required CTO-specific techniques {9,11}. This interventional assessment allowed accurate culprit lesion identification and prevented unnecessary or inappropriate revascularization.</w:t>
      </w:r>
    </w:p>
    <w:p w14:paraId="591DDC0E" w14:textId="77777777" w:rsidR="00AF0398" w:rsidRDefault="00C436C5">
      <w:pPr>
        <w:jc w:val="left"/>
        <w:rPr>
          <w:rFonts w:ascii="Arial" w:eastAsia="SimSun" w:hAnsi="Arial" w:cs="Arial"/>
          <w:b/>
          <w:bCs/>
          <w:sz w:val="28"/>
          <w:szCs w:val="28"/>
          <w:u w:val="single"/>
        </w:rPr>
      </w:pPr>
      <w:r>
        <w:rPr>
          <w:rFonts w:ascii="Arial" w:eastAsia="SimSun" w:hAnsi="Arial" w:cs="Arial"/>
          <w:b/>
          <w:bCs/>
          <w:sz w:val="28"/>
          <w:szCs w:val="28"/>
          <w:u w:val="single"/>
        </w:rPr>
        <w:lastRenderedPageBreak/>
        <w:t>Conclusion</w:t>
      </w:r>
    </w:p>
    <w:p w14:paraId="698FEC2F" w14:textId="77777777" w:rsidR="00AF0398" w:rsidRDefault="00AF0398">
      <w:pPr>
        <w:jc w:val="left"/>
        <w:rPr>
          <w:rFonts w:ascii="Arial" w:eastAsia="SimSun" w:hAnsi="Arial" w:cs="Arial"/>
          <w:b/>
          <w:bCs/>
          <w:sz w:val="24"/>
          <w:u w:val="single"/>
        </w:rPr>
      </w:pPr>
    </w:p>
    <w:p w14:paraId="5164C4E1" w14:textId="77777777" w:rsidR="00AF0398" w:rsidRDefault="00C436C5">
      <w:pPr>
        <w:jc w:val="left"/>
        <w:rPr>
          <w:rFonts w:ascii="Arial" w:eastAsia="SimSun" w:hAnsi="Arial" w:cs="Arial"/>
          <w:b/>
          <w:bCs/>
          <w:sz w:val="24"/>
          <w:u w:val="single"/>
        </w:rPr>
        <w:sectPr w:rsidR="00AF039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ascii="Arial" w:eastAsia="SimSun" w:hAnsi="Arial" w:cs="Arial"/>
          <w:sz w:val="24"/>
        </w:rPr>
        <w:t xml:space="preserve">Inferior STEMI with concomitant RCA and </w:t>
      </w:r>
      <w:proofErr w:type="spellStart"/>
      <w:r>
        <w:rPr>
          <w:rFonts w:ascii="Arial" w:eastAsia="SimSun" w:hAnsi="Arial" w:cs="Arial"/>
          <w:sz w:val="24"/>
        </w:rPr>
        <w:t>LCx</w:t>
      </w:r>
      <w:proofErr w:type="spellEnd"/>
      <w:r>
        <w:rPr>
          <w:rFonts w:ascii="Arial" w:eastAsia="SimSun" w:hAnsi="Arial" w:cs="Arial"/>
          <w:sz w:val="24"/>
        </w:rPr>
        <w:t xml:space="preserve"> occlusion represents a rare but challenging clinical scenario in which conventional ECG localization and angiographic morphology may not reliably identify the culprit artery. A structured multimodal diagnostic pathway — integrating ECG interpretation, echocardiography, detailed angiographic assessment, and selective guidewire probing — allows accurate culprit lesion identification and optimizes revascularization strategy in complex multivessel coronary disease.</w:t>
      </w:r>
    </w:p>
    <w:p w14:paraId="21E1C49B" w14:textId="77777777" w:rsidR="00AF0398" w:rsidRDefault="00C436C5">
      <w:pPr>
        <w:pStyle w:val="NormalWeb"/>
        <w:rPr>
          <w:rFonts w:ascii="Arial" w:hAnsi="Arial" w:cs="Arial"/>
        </w:rPr>
      </w:pPr>
      <w:r>
        <w:rPr>
          <w:rStyle w:val="Strong"/>
          <w:rFonts w:ascii="Arial" w:hAnsi="Arial" w:cs="Arial"/>
          <w:sz w:val="28"/>
          <w:szCs w:val="28"/>
          <w:u w:val="single"/>
        </w:rPr>
        <w:lastRenderedPageBreak/>
        <w:t>Conflicts of Interest Statement</w:t>
      </w:r>
      <w:r>
        <w:rPr>
          <w:rFonts w:ascii="Arial" w:hAnsi="Arial" w:cs="Arial"/>
        </w:rPr>
        <w:br/>
        <w:t>The authors declare no conflicts of interest.</w:t>
      </w:r>
    </w:p>
    <w:p w14:paraId="52CF917F" w14:textId="77777777" w:rsidR="00AF0398" w:rsidRDefault="00C436C5">
      <w:pPr>
        <w:pStyle w:val="NormalWeb"/>
        <w:rPr>
          <w:rStyle w:val="Strong"/>
          <w:rFonts w:ascii="Arial" w:hAnsi="Arial" w:cs="Arial"/>
          <w:sz w:val="28"/>
          <w:szCs w:val="28"/>
          <w:u w:val="single"/>
        </w:rPr>
      </w:pPr>
      <w:r>
        <w:rPr>
          <w:rStyle w:val="Strong"/>
          <w:rFonts w:ascii="Arial" w:hAnsi="Arial" w:cs="Arial"/>
          <w:sz w:val="28"/>
          <w:szCs w:val="28"/>
          <w:u w:val="single"/>
        </w:rPr>
        <w:t>Consent Statement</w:t>
      </w:r>
      <w:r>
        <w:rPr>
          <w:rFonts w:ascii="Arial" w:hAnsi="Arial" w:cs="Arial"/>
        </w:rPr>
        <w:br/>
        <w:t>Written informed consent was obtained from the patient for the publication of this case report, including all clinical data and accompanying images. All authors have read and approved the final manuscript and agree with its submission.</w:t>
      </w:r>
    </w:p>
    <w:p w14:paraId="000DA4DC" w14:textId="77777777" w:rsidR="00AF0398" w:rsidRDefault="00C436C5">
      <w:pPr>
        <w:pStyle w:val="Heading3"/>
        <w:rPr>
          <w:rFonts w:ascii="Arial" w:hAnsi="Arial" w:cs="Arial" w:hint="default"/>
          <w:sz w:val="28"/>
          <w:szCs w:val="28"/>
          <w:u w:val="single"/>
        </w:rPr>
      </w:pPr>
      <w:r>
        <w:rPr>
          <w:rStyle w:val="Strong"/>
          <w:rFonts w:ascii="Arial" w:hAnsi="Arial" w:cs="Arial" w:hint="default"/>
          <w:b/>
          <w:bCs/>
          <w:sz w:val="28"/>
          <w:szCs w:val="28"/>
          <w:u w:val="single"/>
        </w:rPr>
        <w:t xml:space="preserve">References </w:t>
      </w:r>
    </w:p>
    <w:p w14:paraId="267A38BB"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Zhou P, Wu Y, Wang M, Zhao Y, Yu Y, </w:t>
      </w:r>
      <w:proofErr w:type="spellStart"/>
      <w:r>
        <w:rPr>
          <w:rFonts w:ascii="Arial" w:hAnsi="Arial" w:cs="Arial"/>
        </w:rPr>
        <w:t>Waresi</w:t>
      </w:r>
      <w:proofErr w:type="spellEnd"/>
      <w:r>
        <w:rPr>
          <w:rFonts w:ascii="Arial" w:hAnsi="Arial" w:cs="Arial"/>
        </w:rPr>
        <w:t xml:space="preserve"> M, et al. Identifying the culprit artery via 12-lead electrocardiogram in inferior wall ST-segment elevation myocardial infarction: a meta-analysis. </w:t>
      </w:r>
      <w:r>
        <w:rPr>
          <w:rStyle w:val="Emphasis"/>
          <w:rFonts w:ascii="Arial" w:hAnsi="Arial" w:cs="Arial"/>
        </w:rPr>
        <w:t>Ann Noninvasive Electrocardiol</w:t>
      </w:r>
      <w:r>
        <w:rPr>
          <w:rFonts w:ascii="Arial" w:hAnsi="Arial" w:cs="Arial"/>
        </w:rPr>
        <w:t>. 2023;</w:t>
      </w:r>
      <w:proofErr w:type="gramStart"/>
      <w:r>
        <w:rPr>
          <w:rFonts w:ascii="Arial" w:hAnsi="Arial" w:cs="Arial"/>
        </w:rPr>
        <w:t>28:e</w:t>
      </w:r>
      <w:proofErr w:type="gramEnd"/>
      <w:r>
        <w:rPr>
          <w:rFonts w:ascii="Arial" w:hAnsi="Arial" w:cs="Arial"/>
        </w:rPr>
        <w:t xml:space="preserve">13016. doi:10.1111/anec.13016 </w:t>
      </w:r>
    </w:p>
    <w:p w14:paraId="39DF293D"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Farhat-Sabet A, Mackenzie GM, North R, Gulati SK, Philip D, Webb JG, et al. </w:t>
      </w:r>
      <w:proofErr w:type="spellStart"/>
      <w:r>
        <w:rPr>
          <w:rFonts w:ascii="Arial" w:hAnsi="Arial" w:cs="Arial"/>
        </w:rPr>
        <w:t>Localising</w:t>
      </w:r>
      <w:proofErr w:type="spellEnd"/>
      <w:r>
        <w:rPr>
          <w:rFonts w:ascii="Arial" w:hAnsi="Arial" w:cs="Arial"/>
        </w:rPr>
        <w:t xml:space="preserve"> culprit artery in inferior STEMI: ECG versus angiography. </w:t>
      </w:r>
      <w:r>
        <w:rPr>
          <w:rStyle w:val="Emphasis"/>
          <w:rFonts w:ascii="Arial" w:hAnsi="Arial" w:cs="Arial"/>
        </w:rPr>
        <w:t>Heart Lung Circ</w:t>
      </w:r>
      <w:r>
        <w:rPr>
          <w:rFonts w:ascii="Arial" w:hAnsi="Arial" w:cs="Arial"/>
        </w:rPr>
        <w:t xml:space="preserve">. 2023;32(4):460-467. </w:t>
      </w:r>
    </w:p>
    <w:p w14:paraId="413DDF54" w14:textId="77777777" w:rsidR="00AF0398" w:rsidRDefault="00C436C5">
      <w:pPr>
        <w:pStyle w:val="NormalWeb"/>
        <w:numPr>
          <w:ilvl w:val="0"/>
          <w:numId w:val="1"/>
        </w:numPr>
        <w:tabs>
          <w:tab w:val="clear" w:pos="425"/>
        </w:tabs>
        <w:rPr>
          <w:rFonts w:ascii="Arial" w:hAnsi="Arial" w:cs="Arial"/>
        </w:rPr>
      </w:pPr>
      <w:proofErr w:type="spellStart"/>
      <w:r>
        <w:rPr>
          <w:rFonts w:ascii="Arial" w:hAnsi="Arial" w:cs="Arial"/>
        </w:rPr>
        <w:t>Andreou</w:t>
      </w:r>
      <w:proofErr w:type="spellEnd"/>
      <w:r>
        <w:rPr>
          <w:rFonts w:ascii="Arial" w:hAnsi="Arial" w:cs="Arial"/>
        </w:rPr>
        <w:t xml:space="preserve"> AY, </w:t>
      </w:r>
      <w:proofErr w:type="spellStart"/>
      <w:r>
        <w:rPr>
          <w:rFonts w:ascii="Arial" w:hAnsi="Arial" w:cs="Arial"/>
        </w:rPr>
        <w:t>Chira</w:t>
      </w:r>
      <w:proofErr w:type="spellEnd"/>
      <w:r>
        <w:rPr>
          <w:rFonts w:ascii="Arial" w:hAnsi="Arial" w:cs="Arial"/>
        </w:rPr>
        <w:t xml:space="preserve"> G, </w:t>
      </w:r>
      <w:proofErr w:type="spellStart"/>
      <w:r>
        <w:rPr>
          <w:rFonts w:ascii="Arial" w:hAnsi="Arial" w:cs="Arial"/>
        </w:rPr>
        <w:t>Korantzopoulos</w:t>
      </w:r>
      <w:proofErr w:type="spellEnd"/>
      <w:r>
        <w:rPr>
          <w:rFonts w:ascii="Arial" w:hAnsi="Arial" w:cs="Arial"/>
        </w:rPr>
        <w:t xml:space="preserve"> P. Electrocardiographic prediction of culprit artery in inferior myocardial infarction. </w:t>
      </w:r>
      <w:r>
        <w:rPr>
          <w:rStyle w:val="Emphasis"/>
          <w:rFonts w:ascii="Arial" w:hAnsi="Arial" w:cs="Arial"/>
        </w:rPr>
        <w:t xml:space="preserve">J </w:t>
      </w:r>
      <w:proofErr w:type="spellStart"/>
      <w:r>
        <w:rPr>
          <w:rStyle w:val="Emphasis"/>
          <w:rFonts w:ascii="Arial" w:hAnsi="Arial" w:cs="Arial"/>
        </w:rPr>
        <w:t>Electrocardiol</w:t>
      </w:r>
      <w:proofErr w:type="spellEnd"/>
      <w:r>
        <w:rPr>
          <w:rFonts w:ascii="Arial" w:hAnsi="Arial" w:cs="Arial"/>
        </w:rPr>
        <w:t xml:space="preserve">. </w:t>
      </w:r>
      <w:proofErr w:type="gramStart"/>
      <w:r>
        <w:rPr>
          <w:rFonts w:ascii="Arial" w:hAnsi="Arial" w:cs="Arial"/>
        </w:rPr>
        <w:t>2022;71:10</w:t>
      </w:r>
      <w:proofErr w:type="gramEnd"/>
      <w:r>
        <w:rPr>
          <w:rFonts w:ascii="Arial" w:hAnsi="Arial" w:cs="Arial"/>
        </w:rPr>
        <w:t xml:space="preserve">-17. </w:t>
      </w:r>
    </w:p>
    <w:p w14:paraId="7DAD6F01"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Li Q, Zheng Z, Wang S, Chen M. Electrocardiogram in patients with acute inferior myocardial infarction: correlation with culprit coronary artery. </w:t>
      </w:r>
      <w:r>
        <w:rPr>
          <w:rStyle w:val="Emphasis"/>
          <w:rFonts w:ascii="Arial" w:hAnsi="Arial" w:cs="Arial"/>
        </w:rPr>
        <w:t>Med Sci Monit</w:t>
      </w:r>
      <w:r>
        <w:rPr>
          <w:rFonts w:ascii="Arial" w:hAnsi="Arial" w:cs="Arial"/>
        </w:rPr>
        <w:t xml:space="preserve">. </w:t>
      </w:r>
      <w:proofErr w:type="gramStart"/>
      <w:r>
        <w:rPr>
          <w:rFonts w:ascii="Arial" w:hAnsi="Arial" w:cs="Arial"/>
        </w:rPr>
        <w:t>2017;23:6124</w:t>
      </w:r>
      <w:proofErr w:type="gramEnd"/>
      <w:r>
        <w:rPr>
          <w:rFonts w:ascii="Arial" w:hAnsi="Arial" w:cs="Arial"/>
        </w:rPr>
        <w:t xml:space="preserve">-6132. </w:t>
      </w:r>
    </w:p>
    <w:p w14:paraId="0188833C"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Shabbir A, </w:t>
      </w:r>
      <w:proofErr w:type="spellStart"/>
      <w:r>
        <w:rPr>
          <w:rFonts w:ascii="Arial" w:hAnsi="Arial" w:cs="Arial"/>
        </w:rPr>
        <w:t>Tuyyab</w:t>
      </w:r>
      <w:proofErr w:type="spellEnd"/>
      <w:r>
        <w:rPr>
          <w:rFonts w:ascii="Arial" w:hAnsi="Arial" w:cs="Arial"/>
        </w:rPr>
        <w:t xml:space="preserve"> F, Aziz S, Siddiqa A. Comparison of right coronary artery and left circumflex related acute inferior wall myocardial infarction in patients undergoing primary PCI. </w:t>
      </w:r>
      <w:r>
        <w:rPr>
          <w:rStyle w:val="Emphasis"/>
          <w:rFonts w:ascii="Arial" w:hAnsi="Arial" w:cs="Arial"/>
        </w:rPr>
        <w:t>Pak Armed Forces Med J</w:t>
      </w:r>
      <w:r>
        <w:rPr>
          <w:rFonts w:ascii="Arial" w:hAnsi="Arial" w:cs="Arial"/>
        </w:rPr>
        <w:t>. 2017;67(Suppl-2</w:t>
      </w:r>
      <w:proofErr w:type="gramStart"/>
      <w:r>
        <w:rPr>
          <w:rFonts w:ascii="Arial" w:hAnsi="Arial" w:cs="Arial"/>
        </w:rPr>
        <w:t>):S</w:t>
      </w:r>
      <w:proofErr w:type="gramEnd"/>
      <w:r>
        <w:rPr>
          <w:rFonts w:ascii="Arial" w:hAnsi="Arial" w:cs="Arial"/>
        </w:rPr>
        <w:t xml:space="preserve">130-S134. </w:t>
      </w:r>
    </w:p>
    <w:p w14:paraId="6D1F50AA"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El Sayed AME, Shaban AE, Elgendy EAE, Saeid AME. Correlation between ST segment elevation in the 12-lead ECG and the culprit coronary artery in patients with acute STEMI undergoing primary PCI. </w:t>
      </w:r>
      <w:r>
        <w:rPr>
          <w:rStyle w:val="Emphasis"/>
          <w:rFonts w:ascii="Arial" w:hAnsi="Arial" w:cs="Arial"/>
        </w:rPr>
        <w:t xml:space="preserve">Int J </w:t>
      </w:r>
      <w:proofErr w:type="spellStart"/>
      <w:r>
        <w:rPr>
          <w:rStyle w:val="Emphasis"/>
          <w:rFonts w:ascii="Arial" w:hAnsi="Arial" w:cs="Arial"/>
        </w:rPr>
        <w:t>Cardiol</w:t>
      </w:r>
      <w:proofErr w:type="spellEnd"/>
      <w:r>
        <w:rPr>
          <w:rStyle w:val="Emphasis"/>
          <w:rFonts w:ascii="Arial" w:hAnsi="Arial" w:cs="Arial"/>
        </w:rPr>
        <w:t xml:space="preserve"> Sci</w:t>
      </w:r>
      <w:r>
        <w:rPr>
          <w:rFonts w:ascii="Arial" w:hAnsi="Arial" w:cs="Arial"/>
        </w:rPr>
        <w:t xml:space="preserve">. 2024;6(1):1-7. </w:t>
      </w:r>
    </w:p>
    <w:p w14:paraId="6566689E"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El Sayed AM. Lead ECG and the culprit coronary artery in acute myocardial infarction: an electrophysiological perspective. </w:t>
      </w:r>
      <w:r>
        <w:rPr>
          <w:rStyle w:val="Emphasis"/>
          <w:rFonts w:ascii="Arial" w:hAnsi="Arial" w:cs="Arial"/>
        </w:rPr>
        <w:t>Cardiology Journals Net</w:t>
      </w:r>
      <w:r>
        <w:rPr>
          <w:rFonts w:ascii="Arial" w:hAnsi="Arial" w:cs="Arial"/>
        </w:rPr>
        <w:t xml:space="preserve">. 2024;6(1):42-49. </w:t>
      </w:r>
    </w:p>
    <w:p w14:paraId="24C85921" w14:textId="77777777" w:rsidR="00AF0398" w:rsidRDefault="00C436C5">
      <w:pPr>
        <w:widowControl/>
        <w:numPr>
          <w:ilvl w:val="0"/>
          <w:numId w:val="1"/>
        </w:numPr>
        <w:jc w:val="left"/>
        <w:rPr>
          <w:rFonts w:ascii="Arial" w:hAnsi="Arial" w:cs="Arial"/>
          <w:sz w:val="24"/>
        </w:rPr>
      </w:pPr>
      <w:r>
        <w:rPr>
          <w:rFonts w:ascii="Arial" w:eastAsia="SimSun" w:hAnsi="Arial" w:cs="Arial"/>
          <w:kern w:val="0"/>
          <w:sz w:val="24"/>
          <w:lang w:bidi="ar"/>
        </w:rPr>
        <w:t>Fiol, Miquel et al.</w:t>
      </w:r>
      <w:r>
        <w:rPr>
          <w:rFonts w:ascii="Arial" w:hAnsi="Arial" w:cs="Arial"/>
          <w:kern w:val="0"/>
          <w:sz w:val="24"/>
          <w:lang w:val="fr-FR" w:bidi="ar"/>
        </w:rPr>
        <w:t xml:space="preserve"> </w:t>
      </w:r>
      <w:r>
        <w:rPr>
          <w:rFonts w:ascii="Arial" w:hAnsi="Arial" w:cs="Arial"/>
          <w:sz w:val="24"/>
        </w:rPr>
        <w:t>Value of electrocardiographic algorithm based on “ups and downs” of ST in assessment of a culprit artery in evolving inferior wall acute myocardial infarction</w:t>
      </w:r>
      <w:r>
        <w:rPr>
          <w:rFonts w:ascii="Arial" w:hAnsi="Arial" w:cs="Arial"/>
          <w:sz w:val="24"/>
          <w:lang w:val="fr-FR"/>
        </w:rPr>
        <w:t xml:space="preserve">. </w:t>
      </w:r>
      <w:r>
        <w:rPr>
          <w:rFonts w:ascii="Arial" w:eastAsia="SimSun" w:hAnsi="Arial" w:cs="Arial"/>
          <w:kern w:val="0"/>
          <w:sz w:val="24"/>
          <w:lang w:bidi="ar"/>
        </w:rPr>
        <w:t>American Journal of Cardiology, Volume 94, Issue 6, 709 - 714</w:t>
      </w:r>
    </w:p>
    <w:p w14:paraId="351017C3" w14:textId="77777777" w:rsidR="00AF0398" w:rsidRDefault="00C436C5">
      <w:pPr>
        <w:pStyle w:val="NormalWeb"/>
        <w:numPr>
          <w:ilvl w:val="0"/>
          <w:numId w:val="1"/>
        </w:numPr>
        <w:tabs>
          <w:tab w:val="clear" w:pos="425"/>
        </w:tabs>
        <w:rPr>
          <w:rFonts w:ascii="Arial" w:hAnsi="Arial" w:cs="Arial"/>
        </w:rPr>
      </w:pPr>
      <w:r>
        <w:rPr>
          <w:rFonts w:ascii="Arial" w:hAnsi="Arial" w:cs="Arial"/>
        </w:rPr>
        <w:lastRenderedPageBreak/>
        <w:t xml:space="preserve">Ellis SG, Ajluni S, Arnold AZ, et al. Coronary morphologic and clinical determinants of procedural outcome with angioplasty for multivessel disease. </w:t>
      </w:r>
      <w:r>
        <w:rPr>
          <w:rStyle w:val="Emphasis"/>
          <w:rFonts w:ascii="Arial" w:hAnsi="Arial" w:cs="Arial"/>
        </w:rPr>
        <w:t>Circulation</w:t>
      </w:r>
      <w:r>
        <w:rPr>
          <w:rFonts w:ascii="Arial" w:hAnsi="Arial" w:cs="Arial"/>
        </w:rPr>
        <w:t>. 1990;82(2</w:t>
      </w:r>
      <w:proofErr w:type="gramStart"/>
      <w:r>
        <w:rPr>
          <w:rFonts w:ascii="Arial" w:hAnsi="Arial" w:cs="Arial"/>
        </w:rPr>
        <w:t>):I</w:t>
      </w:r>
      <w:proofErr w:type="gramEnd"/>
      <w:r>
        <w:rPr>
          <w:rFonts w:ascii="Arial" w:hAnsi="Arial" w:cs="Arial"/>
        </w:rPr>
        <w:t xml:space="preserve">89-I99. </w:t>
      </w:r>
    </w:p>
    <w:p w14:paraId="456C6656"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Tseng LM, Hsu HL, Chang WC, Wu CJ, Wang SS, Chen WJ. Identification of coronary culprit lesion in ST elevation myocardial infarction: ECG versus angiogram. </w:t>
      </w:r>
      <w:proofErr w:type="spellStart"/>
      <w:r>
        <w:rPr>
          <w:rStyle w:val="Emphasis"/>
          <w:rFonts w:ascii="Arial" w:hAnsi="Arial" w:cs="Arial"/>
        </w:rPr>
        <w:t>PLoS</w:t>
      </w:r>
      <w:proofErr w:type="spellEnd"/>
      <w:r>
        <w:rPr>
          <w:rStyle w:val="Emphasis"/>
          <w:rFonts w:ascii="Arial" w:hAnsi="Arial" w:cs="Arial"/>
        </w:rPr>
        <w:t xml:space="preserve"> One</w:t>
      </w:r>
      <w:r>
        <w:rPr>
          <w:rFonts w:ascii="Arial" w:hAnsi="Arial" w:cs="Arial"/>
        </w:rPr>
        <w:t>. 2022;17(1</w:t>
      </w:r>
      <w:proofErr w:type="gramStart"/>
      <w:r>
        <w:rPr>
          <w:rFonts w:ascii="Arial" w:hAnsi="Arial" w:cs="Arial"/>
        </w:rPr>
        <w:t>):e</w:t>
      </w:r>
      <w:proofErr w:type="gramEnd"/>
      <w:r>
        <w:rPr>
          <w:rFonts w:ascii="Arial" w:hAnsi="Arial" w:cs="Arial"/>
        </w:rPr>
        <w:t xml:space="preserve">0262905. </w:t>
      </w:r>
    </w:p>
    <w:p w14:paraId="6A9ECA8E" w14:textId="77777777" w:rsidR="00AF0398" w:rsidRDefault="00C436C5">
      <w:pPr>
        <w:pStyle w:val="NormalWeb"/>
        <w:numPr>
          <w:ilvl w:val="0"/>
          <w:numId w:val="1"/>
        </w:numPr>
        <w:tabs>
          <w:tab w:val="clear" w:pos="425"/>
        </w:tabs>
        <w:rPr>
          <w:rFonts w:ascii="Arial" w:hAnsi="Arial" w:cs="Arial"/>
        </w:rPr>
      </w:pPr>
      <w:r>
        <w:rPr>
          <w:rFonts w:ascii="Arial" w:hAnsi="Arial" w:cs="Arial"/>
        </w:rPr>
        <w:t xml:space="preserve">Aly Ahmed AM, Ahmed AME, Farouk MK. Electrocardiographic distinction of left circumflex and right coronary artery occlusion in inferior STEMI. </w:t>
      </w:r>
      <w:r>
        <w:rPr>
          <w:rStyle w:val="Emphasis"/>
          <w:rFonts w:ascii="Arial" w:hAnsi="Arial" w:cs="Arial"/>
        </w:rPr>
        <w:t>ZUMJ</w:t>
      </w:r>
      <w:r>
        <w:rPr>
          <w:rFonts w:ascii="Arial" w:hAnsi="Arial" w:cs="Arial"/>
        </w:rPr>
        <w:t>. 2024;30(2):112-119</w:t>
      </w:r>
    </w:p>
    <w:p w14:paraId="68CD9734" w14:textId="77777777" w:rsidR="00AF0398" w:rsidRDefault="00AF0398">
      <w:pPr>
        <w:pStyle w:val="NormalWeb"/>
        <w:rPr>
          <w:rFonts w:ascii="Arial" w:hAnsi="Arial" w:cs="Arial"/>
        </w:rPr>
      </w:pPr>
    </w:p>
    <w:p w14:paraId="322E9C21" w14:textId="77777777" w:rsidR="00AF0398" w:rsidRDefault="00AF0398">
      <w:pPr>
        <w:widowControl/>
        <w:spacing w:beforeAutospacing="1" w:afterAutospacing="1"/>
        <w:rPr>
          <w:rFonts w:ascii="Arial" w:hAnsi="Arial" w:cs="Arial"/>
          <w:sz w:val="24"/>
        </w:rPr>
      </w:pPr>
    </w:p>
    <w:p w14:paraId="41286997" w14:textId="77777777" w:rsidR="00AF0398" w:rsidRDefault="00AF0398">
      <w:pPr>
        <w:widowControl/>
        <w:spacing w:beforeAutospacing="1" w:afterAutospacing="1"/>
        <w:rPr>
          <w:rFonts w:ascii="Arial" w:hAnsi="Arial" w:cs="Arial"/>
          <w:sz w:val="24"/>
        </w:rPr>
        <w:sectPr w:rsidR="00AF0398">
          <w:pgSz w:w="11906" w:h="16838"/>
          <w:pgMar w:top="1440" w:right="1800" w:bottom="1440" w:left="1800" w:header="851" w:footer="992" w:gutter="0"/>
          <w:cols w:space="425"/>
          <w:docGrid w:type="lines" w:linePitch="312"/>
        </w:sectPr>
      </w:pPr>
    </w:p>
    <w:p w14:paraId="4667AA42" w14:textId="77777777" w:rsidR="00AF0398" w:rsidRDefault="00AF0398">
      <w:pPr>
        <w:widowControl/>
        <w:spacing w:beforeAutospacing="1" w:afterAutospacing="1"/>
        <w:rPr>
          <w:rFonts w:ascii="Arial" w:hAnsi="Arial" w:cs="Arial"/>
          <w:sz w:val="24"/>
          <w:lang w:val="fr-FR"/>
        </w:rPr>
      </w:pPr>
    </w:p>
    <w:p w14:paraId="11FB8F1B" w14:textId="77777777" w:rsidR="00AF0398" w:rsidRDefault="00C436C5">
      <w:pPr>
        <w:widowControl/>
        <w:spacing w:beforeAutospacing="1" w:afterAutospacing="1"/>
        <w:jc w:val="left"/>
        <w:rPr>
          <w:rFonts w:ascii="Arial" w:hAnsi="Arial" w:cs="Arial"/>
          <w:sz w:val="24"/>
          <w:lang w:val="fr-FR"/>
        </w:rPr>
      </w:pPr>
      <w:r>
        <w:rPr>
          <w:noProof/>
          <w:sz w:val="24"/>
        </w:rPr>
        <mc:AlternateContent>
          <mc:Choice Requires="wps">
            <w:drawing>
              <wp:anchor distT="0" distB="0" distL="114300" distR="114300" simplePos="0" relativeHeight="251660288" behindDoc="0" locked="0" layoutInCell="1" allowOverlap="1" wp14:anchorId="50418A59" wp14:editId="7D65528B">
                <wp:simplePos x="0" y="0"/>
                <wp:positionH relativeFrom="column">
                  <wp:posOffset>-89535</wp:posOffset>
                </wp:positionH>
                <wp:positionV relativeFrom="paragraph">
                  <wp:posOffset>2197100</wp:posOffset>
                </wp:positionV>
                <wp:extent cx="5848350" cy="2787015"/>
                <wp:effectExtent l="4445" t="4445" r="14605" b="15240"/>
                <wp:wrapNone/>
                <wp:docPr id="7" name="Zone de texte 7"/>
                <wp:cNvGraphicFramePr/>
                <a:graphic xmlns:a="http://schemas.openxmlformats.org/drawingml/2006/main">
                  <a:graphicData uri="http://schemas.microsoft.com/office/word/2010/wordprocessingShape">
                    <wps:wsp>
                      <wps:cNvSpPr txBox="1"/>
                      <wps:spPr>
                        <a:xfrm>
                          <a:off x="1167765" y="6694170"/>
                          <a:ext cx="5848350" cy="2787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386BD3"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1:</w:t>
                            </w:r>
                            <w:proofErr w:type="gramEnd"/>
                            <w:r>
                              <w:rPr>
                                <w:rFonts w:ascii="Arial" w:hAnsi="Arial" w:cs="Arial"/>
                                <w:b/>
                                <w:bCs/>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angiography</w:t>
                            </w:r>
                            <w:proofErr w:type="spellEnd"/>
                            <w:r>
                              <w:rPr>
                                <w:rFonts w:ascii="Arial" w:hAnsi="Arial" w:cs="Arial"/>
                                <w:sz w:val="24"/>
                                <w:lang w:val="fr-FR"/>
                              </w:rPr>
                              <w:t>.</w:t>
                            </w:r>
                          </w:p>
                          <w:p w14:paraId="5E8D3639" w14:textId="77777777" w:rsidR="00AF0398" w:rsidRDefault="00AF0398">
                            <w:pPr>
                              <w:rPr>
                                <w:rFonts w:ascii="Arial" w:hAnsi="Arial" w:cs="Arial"/>
                                <w:sz w:val="24"/>
                                <w:lang w:val="fr-FR"/>
                              </w:rPr>
                            </w:pPr>
                          </w:p>
                          <w:p w14:paraId="6A6607DD"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Caudal projection </w:t>
                            </w:r>
                            <w:proofErr w:type="spellStart"/>
                            <w:r>
                              <w:rPr>
                                <w:rFonts w:ascii="Arial" w:hAnsi="Arial" w:cs="Arial"/>
                                <w:sz w:val="24"/>
                                <w:lang w:val="fr-FR"/>
                              </w:rPr>
                              <w:t>showing</w:t>
                            </w:r>
                            <w:proofErr w:type="spellEnd"/>
                            <w:r>
                              <w:rPr>
                                <w:rFonts w:ascii="Arial" w:hAnsi="Arial" w:cs="Arial"/>
                                <w:sz w:val="24"/>
                                <w:lang w:val="fr-FR"/>
                              </w:rPr>
                              <w:t xml:space="preserve"> an in-stent occlusion of the distal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circumflex</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w:t>
                            </w:r>
                            <w:proofErr w:type="spellStart"/>
                            <w:r>
                              <w:rPr>
                                <w:rFonts w:ascii="Arial" w:hAnsi="Arial" w:cs="Arial"/>
                                <w:sz w:val="24"/>
                                <w:lang w:val="fr-FR"/>
                              </w:rPr>
                              <w:t>LCx</w:t>
                            </w:r>
                            <w:proofErr w:type="spellEnd"/>
                            <w:r>
                              <w:rPr>
                                <w:rFonts w:ascii="Arial" w:hAnsi="Arial" w:cs="Arial"/>
                                <w:sz w:val="24"/>
                                <w:lang w:val="fr-FR"/>
                              </w:rPr>
                              <w:t>) (</w:t>
                            </w:r>
                            <w:proofErr w:type="spellStart"/>
                            <w:r>
                              <w:rPr>
                                <w:rFonts w:ascii="Arial" w:hAnsi="Arial" w:cs="Arial"/>
                                <w:sz w:val="24"/>
                                <w:lang w:val="fr-FR"/>
                              </w:rPr>
                              <w:t>blue</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w:t>
                            </w:r>
                          </w:p>
                          <w:p w14:paraId="67489D59" w14:textId="77777777" w:rsidR="00AF0398" w:rsidRDefault="00AF0398">
                            <w:pPr>
                              <w:rPr>
                                <w:rFonts w:ascii="Arial" w:hAnsi="Arial" w:cs="Arial"/>
                                <w:sz w:val="24"/>
                                <w:lang w:val="fr-FR"/>
                              </w:rPr>
                            </w:pPr>
                          </w:p>
                          <w:p w14:paraId="67C94708"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Cranial projection of the right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(RCA) </w:t>
                            </w:r>
                            <w:proofErr w:type="spellStart"/>
                            <w:r>
                              <w:rPr>
                                <w:rFonts w:ascii="Arial" w:hAnsi="Arial" w:cs="Arial"/>
                                <w:sz w:val="24"/>
                                <w:lang w:val="fr-FR"/>
                              </w:rPr>
                              <w:t>demonstrating</w:t>
                            </w:r>
                            <w:proofErr w:type="spellEnd"/>
                            <w:r>
                              <w:rPr>
                                <w:rFonts w:ascii="Arial" w:hAnsi="Arial" w:cs="Arial"/>
                                <w:sz w:val="24"/>
                                <w:lang w:val="fr-FR"/>
                              </w:rPr>
                              <w:t xml:space="preserve"> an occlusion of the RCA (</w:t>
                            </w:r>
                            <w:proofErr w:type="spellStart"/>
                            <w:r>
                              <w:rPr>
                                <w:rFonts w:ascii="Arial" w:hAnsi="Arial" w:cs="Arial"/>
                                <w:sz w:val="24"/>
                                <w:lang w:val="fr-FR"/>
                              </w:rPr>
                              <w:t>red</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 xml:space="preserve">). </w:t>
                            </w:r>
                            <w:proofErr w:type="spellStart"/>
                            <w:r>
                              <w:rPr>
                                <w:rFonts w:ascii="Arial" w:hAnsi="Arial" w:cs="Arial"/>
                                <w:sz w:val="24"/>
                                <w:lang w:val="fr-FR"/>
                              </w:rPr>
                              <w:t>Contrast</w:t>
                            </w:r>
                            <w:proofErr w:type="spellEnd"/>
                            <w:r>
                              <w:rPr>
                                <w:rFonts w:ascii="Arial" w:hAnsi="Arial" w:cs="Arial"/>
                                <w:sz w:val="24"/>
                                <w:lang w:val="fr-FR"/>
                              </w:rPr>
                              <w:t xml:space="preserve"> </w:t>
                            </w:r>
                            <w:proofErr w:type="spellStart"/>
                            <w:r>
                              <w:rPr>
                                <w:rFonts w:ascii="Arial" w:hAnsi="Arial" w:cs="Arial"/>
                                <w:sz w:val="24"/>
                                <w:lang w:val="fr-FR"/>
                              </w:rPr>
                              <w:t>staining</w:t>
                            </w:r>
                            <w:proofErr w:type="spellEnd"/>
                            <w:r>
                              <w:rPr>
                                <w:rFonts w:ascii="Arial" w:hAnsi="Arial" w:cs="Arial"/>
                                <w:sz w:val="24"/>
                                <w:lang w:val="fr-FR"/>
                              </w:rPr>
                              <w:t xml:space="preserve"> at the </w:t>
                            </w:r>
                            <w:proofErr w:type="spellStart"/>
                            <w:r>
                              <w:rPr>
                                <w:rFonts w:ascii="Arial" w:hAnsi="Arial" w:cs="Arial"/>
                                <w:sz w:val="24"/>
                                <w:lang w:val="fr-FR"/>
                              </w:rPr>
                              <w:t>level</w:t>
                            </w:r>
                            <w:proofErr w:type="spellEnd"/>
                            <w:r>
                              <w:rPr>
                                <w:rFonts w:ascii="Arial" w:hAnsi="Arial" w:cs="Arial"/>
                                <w:sz w:val="24"/>
                                <w:lang w:val="fr-FR"/>
                              </w:rPr>
                              <w:t xml:space="preserve"> of the </w:t>
                            </w:r>
                            <w:proofErr w:type="spellStart"/>
                            <w:r>
                              <w:rPr>
                                <w:rFonts w:ascii="Arial" w:hAnsi="Arial" w:cs="Arial"/>
                                <w:sz w:val="24"/>
                                <w:lang w:val="fr-FR"/>
                              </w:rPr>
                              <w:t>inferior</w:t>
                            </w:r>
                            <w:proofErr w:type="spellEnd"/>
                            <w:r>
                              <w:rPr>
                                <w:rFonts w:ascii="Arial" w:hAnsi="Arial" w:cs="Arial"/>
                                <w:sz w:val="24"/>
                                <w:lang w:val="fr-FR"/>
                              </w:rPr>
                              <w:t xml:space="preserve"> </w:t>
                            </w:r>
                            <w:proofErr w:type="spellStart"/>
                            <w:r>
                              <w:rPr>
                                <w:rFonts w:ascii="Arial" w:hAnsi="Arial" w:cs="Arial"/>
                                <w:sz w:val="24"/>
                                <w:lang w:val="fr-FR"/>
                              </w:rPr>
                              <w:t>bend</w:t>
                            </w:r>
                            <w:proofErr w:type="spellEnd"/>
                            <w:r>
                              <w:rPr>
                                <w:rFonts w:ascii="Arial" w:hAnsi="Arial" w:cs="Arial"/>
                                <w:sz w:val="24"/>
                                <w:lang w:val="fr-FR"/>
                              </w:rPr>
                              <w:t xml:space="preserve"> </w:t>
                            </w:r>
                            <w:proofErr w:type="spellStart"/>
                            <w:r>
                              <w:rPr>
                                <w:rFonts w:ascii="Arial" w:hAnsi="Arial" w:cs="Arial"/>
                                <w:sz w:val="24"/>
                                <w:lang w:val="fr-FR"/>
                              </w:rPr>
                              <w:t>is</w:t>
                            </w:r>
                            <w:proofErr w:type="spellEnd"/>
                            <w:r>
                              <w:rPr>
                                <w:rFonts w:ascii="Arial" w:hAnsi="Arial" w:cs="Arial"/>
                                <w:sz w:val="24"/>
                                <w:lang w:val="fr-FR"/>
                              </w:rPr>
                              <w:t xml:space="preserve"> suggestive of thrombus formation or </w:t>
                            </w:r>
                            <w:proofErr w:type="spellStart"/>
                            <w:r>
                              <w:rPr>
                                <w:rFonts w:ascii="Arial" w:hAnsi="Arial" w:cs="Arial"/>
                                <w:sz w:val="24"/>
                                <w:lang w:val="fr-FR"/>
                              </w:rPr>
                              <w:t>severe</w:t>
                            </w:r>
                            <w:proofErr w:type="spellEnd"/>
                            <w:r>
                              <w:rPr>
                                <w:rFonts w:ascii="Arial" w:hAnsi="Arial" w:cs="Arial"/>
                                <w:sz w:val="24"/>
                                <w:lang w:val="fr-FR"/>
                              </w:rPr>
                              <w:t xml:space="preserve"> calcification (white </w:t>
                            </w:r>
                            <w:proofErr w:type="spellStart"/>
                            <w:r>
                              <w:rPr>
                                <w:rFonts w:ascii="Arial" w:hAnsi="Arial" w:cs="Arial"/>
                                <w:sz w:val="24"/>
                                <w:lang w:val="fr-FR"/>
                              </w:rPr>
                              <w:t>arrow</w:t>
                            </w:r>
                            <w:proofErr w:type="spellEnd"/>
                            <w:r>
                              <w:rPr>
                                <w:rFonts w:ascii="Arial" w:hAnsi="Arial" w:cs="Arial"/>
                                <w:sz w:val="24"/>
                                <w:lang w:val="fr-FR"/>
                              </w:rPr>
                              <w:t>).</w:t>
                            </w:r>
                          </w:p>
                          <w:p w14:paraId="2FB6E6BB" w14:textId="77777777" w:rsidR="00AF0398" w:rsidRDefault="00AF0398">
                            <w:pPr>
                              <w:rPr>
                                <w:rFonts w:ascii="Arial" w:hAnsi="Arial" w:cs="Arial"/>
                                <w:sz w:val="24"/>
                                <w:lang w:val="fr-FR"/>
                              </w:rPr>
                            </w:pPr>
                          </w:p>
                          <w:p w14:paraId="16BE7232" w14:textId="77777777" w:rsidR="00AF0398" w:rsidRDefault="00C436C5">
                            <w:pPr>
                              <w:rPr>
                                <w:rFonts w:ascii="Arial" w:hAnsi="Arial" w:cs="Arial"/>
                                <w:sz w:val="24"/>
                                <w:lang w:val="fr-FR"/>
                              </w:rPr>
                            </w:pPr>
                            <w:r>
                              <w:rPr>
                                <w:rFonts w:ascii="Arial" w:hAnsi="Arial" w:cs="Arial"/>
                                <w:b/>
                                <w:bCs/>
                                <w:sz w:val="24"/>
                                <w:lang w:val="fr-FR"/>
                              </w:rPr>
                              <w:t>(C)</w:t>
                            </w:r>
                            <w:r>
                              <w:rPr>
                                <w:rFonts w:ascii="Arial" w:hAnsi="Arial" w:cs="Arial"/>
                                <w:sz w:val="24"/>
                                <w:lang w:val="fr-FR"/>
                              </w:rPr>
                              <w:t xml:space="preserve"> Cranial projection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system </w:t>
                            </w:r>
                            <w:proofErr w:type="spellStart"/>
                            <w:r>
                              <w:rPr>
                                <w:rFonts w:ascii="Arial" w:hAnsi="Arial" w:cs="Arial"/>
                                <w:sz w:val="24"/>
                                <w:lang w:val="fr-FR"/>
                              </w:rPr>
                              <w:t>showing</w:t>
                            </w:r>
                            <w:proofErr w:type="spellEnd"/>
                            <w:r>
                              <w:rPr>
                                <w:rFonts w:ascii="Arial" w:hAnsi="Arial" w:cs="Arial"/>
                                <w:sz w:val="24"/>
                                <w:lang w:val="fr-FR"/>
                              </w:rPr>
                              <w:t xml:space="preserve"> a </w:t>
                            </w:r>
                            <w:proofErr w:type="spellStart"/>
                            <w:r>
                              <w:rPr>
                                <w:rFonts w:ascii="Arial" w:hAnsi="Arial" w:cs="Arial"/>
                                <w:sz w:val="24"/>
                                <w:lang w:val="fr-FR"/>
                              </w:rPr>
                              <w:t>severe</w:t>
                            </w:r>
                            <w:proofErr w:type="spellEnd"/>
                            <w:r>
                              <w:rPr>
                                <w:rFonts w:ascii="Arial" w:hAnsi="Arial" w:cs="Arial"/>
                                <w:sz w:val="24"/>
                                <w:lang w:val="fr-FR"/>
                              </w:rPr>
                              <w:t xml:space="preserve">, </w:t>
                            </w:r>
                            <w:proofErr w:type="spellStart"/>
                            <w:r>
                              <w:rPr>
                                <w:rFonts w:ascii="Arial" w:hAnsi="Arial" w:cs="Arial"/>
                                <w:sz w:val="24"/>
                                <w:lang w:val="fr-FR"/>
                              </w:rPr>
                              <w:t>calcified</w:t>
                            </w:r>
                            <w:proofErr w:type="spellEnd"/>
                            <w:r>
                              <w:rPr>
                                <w:rFonts w:ascii="Arial" w:hAnsi="Arial" w:cs="Arial"/>
                                <w:sz w:val="24"/>
                                <w:lang w:val="fr-FR"/>
                              </w:rPr>
                              <w:t xml:space="preserve"> double </w:t>
                            </w:r>
                            <w:proofErr w:type="spellStart"/>
                            <w:r>
                              <w:rPr>
                                <w:rFonts w:ascii="Arial" w:hAnsi="Arial" w:cs="Arial"/>
                                <w:sz w:val="24"/>
                                <w:lang w:val="fr-FR"/>
                              </w:rPr>
                              <w:t>lesion</w:t>
                            </w:r>
                            <w:proofErr w:type="spellEnd"/>
                            <w:r>
                              <w:rPr>
                                <w:rFonts w:ascii="Arial" w:hAnsi="Arial" w:cs="Arial"/>
                                <w:sz w:val="24"/>
                                <w:lang w:val="fr-FR"/>
                              </w:rPr>
                              <w:t xml:space="preserve">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anterior</w:t>
                            </w:r>
                            <w:proofErr w:type="spellEnd"/>
                            <w:r>
                              <w:rPr>
                                <w:rFonts w:ascii="Arial" w:hAnsi="Arial" w:cs="Arial"/>
                                <w:sz w:val="24"/>
                                <w:lang w:val="fr-FR"/>
                              </w:rPr>
                              <w:t xml:space="preserve"> </w:t>
                            </w:r>
                            <w:proofErr w:type="spellStart"/>
                            <w:r>
                              <w:rPr>
                                <w:rFonts w:ascii="Arial" w:hAnsi="Arial" w:cs="Arial"/>
                                <w:sz w:val="24"/>
                                <w:lang w:val="fr-FR"/>
                              </w:rPr>
                              <w:t>descending</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(LAD), </w:t>
                            </w:r>
                            <w:proofErr w:type="spellStart"/>
                            <w:r>
                              <w:rPr>
                                <w:rFonts w:ascii="Arial" w:hAnsi="Arial" w:cs="Arial"/>
                                <w:sz w:val="24"/>
                                <w:lang w:val="fr-FR"/>
                              </w:rPr>
                              <w:t>with</w:t>
                            </w:r>
                            <w:proofErr w:type="spellEnd"/>
                            <w:r>
                              <w:rPr>
                                <w:rFonts w:ascii="Arial" w:hAnsi="Arial" w:cs="Arial"/>
                                <w:sz w:val="24"/>
                                <w:lang w:val="fr-FR"/>
                              </w:rPr>
                              <w:t xml:space="preserve"> </w:t>
                            </w:r>
                            <w:proofErr w:type="spellStart"/>
                            <w:r>
                              <w:rPr>
                                <w:rFonts w:ascii="Arial" w:hAnsi="Arial" w:cs="Arial"/>
                                <w:sz w:val="24"/>
                                <w:lang w:val="fr-FR"/>
                              </w:rPr>
                              <w:t>preserved</w:t>
                            </w:r>
                            <w:proofErr w:type="spellEnd"/>
                            <w:r>
                              <w:rPr>
                                <w:rFonts w:ascii="Arial" w:hAnsi="Arial" w:cs="Arial"/>
                                <w:sz w:val="24"/>
                                <w:lang w:val="fr-FR"/>
                              </w:rPr>
                              <w:t xml:space="preserve"> TIMI grade 3 flow and good distal </w:t>
                            </w:r>
                            <w:proofErr w:type="spellStart"/>
                            <w:r>
                              <w:rPr>
                                <w:rFonts w:ascii="Arial" w:hAnsi="Arial" w:cs="Arial"/>
                                <w:sz w:val="24"/>
                                <w:lang w:val="fr-FR"/>
                              </w:rPr>
                              <w:t>runoff</w:t>
                            </w:r>
                            <w:proofErr w:type="spellEnd"/>
                            <w:r>
                              <w:rPr>
                                <w:rFonts w:ascii="Arial" w:hAnsi="Arial" w:cs="Arial"/>
                                <w:sz w:val="24"/>
                                <w:lang w:val="fr-FR"/>
                              </w:rPr>
                              <w:t xml:space="preserve"> (orange </w:t>
                            </w:r>
                            <w:proofErr w:type="spellStart"/>
                            <w:r>
                              <w:rPr>
                                <w:rFonts w:ascii="Arial" w:hAnsi="Arial" w:cs="Arial"/>
                                <w:sz w:val="24"/>
                                <w:lang w:val="fr-FR"/>
                              </w:rPr>
                              <w:t>arrow</w:t>
                            </w:r>
                            <w:proofErr w:type="spellEnd"/>
                            <w:r>
                              <w:rPr>
                                <w:rFonts w:ascii="Arial" w:hAnsi="Arial" w:cs="Arial"/>
                                <w:sz w:val="24"/>
                                <w:lang w:val="fr-F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0418A59" id="_x0000_t202" coordsize="21600,21600" o:spt="202" path="m,l,21600r21600,l21600,xe">
                <v:stroke joinstyle="miter"/>
                <v:path gradientshapeok="t" o:connecttype="rect"/>
              </v:shapetype>
              <v:shape id="Zone de texte 7" o:spid="_x0000_s1026" type="#_x0000_t202" style="position:absolute;margin-left:-7.05pt;margin-top:173pt;width:460.5pt;height:21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" fillcolor="white [3201]" strokeweight=".5pt">
                <v:textbox>
                  <w:txbxContent>
                    <w:p w14:paraId="1B386BD3"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1:</w:t>
                      </w:r>
                      <w:proofErr w:type="gramEnd"/>
                      <w:r>
                        <w:rPr>
                          <w:rFonts w:ascii="Arial" w:hAnsi="Arial" w:cs="Arial"/>
                          <w:b/>
                          <w:bCs/>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angiography</w:t>
                      </w:r>
                      <w:proofErr w:type="spellEnd"/>
                      <w:r>
                        <w:rPr>
                          <w:rFonts w:ascii="Arial" w:hAnsi="Arial" w:cs="Arial"/>
                          <w:sz w:val="24"/>
                          <w:lang w:val="fr-FR"/>
                        </w:rPr>
                        <w:t>.</w:t>
                      </w:r>
                    </w:p>
                    <w:p w14:paraId="5E8D3639" w14:textId="77777777" w:rsidR="00AF0398" w:rsidRDefault="00AF0398">
                      <w:pPr>
                        <w:rPr>
                          <w:rFonts w:ascii="Arial" w:hAnsi="Arial" w:cs="Arial"/>
                          <w:sz w:val="24"/>
                          <w:lang w:val="fr-FR"/>
                        </w:rPr>
                      </w:pPr>
                    </w:p>
                    <w:p w14:paraId="6A6607DD"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Caudal projection </w:t>
                      </w:r>
                      <w:proofErr w:type="spellStart"/>
                      <w:r>
                        <w:rPr>
                          <w:rFonts w:ascii="Arial" w:hAnsi="Arial" w:cs="Arial"/>
                          <w:sz w:val="24"/>
                          <w:lang w:val="fr-FR"/>
                        </w:rPr>
                        <w:t>showing</w:t>
                      </w:r>
                      <w:proofErr w:type="spellEnd"/>
                      <w:r>
                        <w:rPr>
                          <w:rFonts w:ascii="Arial" w:hAnsi="Arial" w:cs="Arial"/>
                          <w:sz w:val="24"/>
                          <w:lang w:val="fr-FR"/>
                        </w:rPr>
                        <w:t xml:space="preserve"> an in-stent occlusion of the distal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circumflex</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w:t>
                      </w:r>
                      <w:proofErr w:type="spellStart"/>
                      <w:r>
                        <w:rPr>
                          <w:rFonts w:ascii="Arial" w:hAnsi="Arial" w:cs="Arial"/>
                          <w:sz w:val="24"/>
                          <w:lang w:val="fr-FR"/>
                        </w:rPr>
                        <w:t>LCx</w:t>
                      </w:r>
                      <w:proofErr w:type="spellEnd"/>
                      <w:r>
                        <w:rPr>
                          <w:rFonts w:ascii="Arial" w:hAnsi="Arial" w:cs="Arial"/>
                          <w:sz w:val="24"/>
                          <w:lang w:val="fr-FR"/>
                        </w:rPr>
                        <w:t>) (</w:t>
                      </w:r>
                      <w:proofErr w:type="spellStart"/>
                      <w:r>
                        <w:rPr>
                          <w:rFonts w:ascii="Arial" w:hAnsi="Arial" w:cs="Arial"/>
                          <w:sz w:val="24"/>
                          <w:lang w:val="fr-FR"/>
                        </w:rPr>
                        <w:t>blue</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w:t>
                      </w:r>
                    </w:p>
                    <w:p w14:paraId="67489D59" w14:textId="77777777" w:rsidR="00AF0398" w:rsidRDefault="00AF0398">
                      <w:pPr>
                        <w:rPr>
                          <w:rFonts w:ascii="Arial" w:hAnsi="Arial" w:cs="Arial"/>
                          <w:sz w:val="24"/>
                          <w:lang w:val="fr-FR"/>
                        </w:rPr>
                      </w:pPr>
                    </w:p>
                    <w:p w14:paraId="67C94708"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Cranial projection of the right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(RCA) </w:t>
                      </w:r>
                      <w:proofErr w:type="spellStart"/>
                      <w:r>
                        <w:rPr>
                          <w:rFonts w:ascii="Arial" w:hAnsi="Arial" w:cs="Arial"/>
                          <w:sz w:val="24"/>
                          <w:lang w:val="fr-FR"/>
                        </w:rPr>
                        <w:t>demonstrating</w:t>
                      </w:r>
                      <w:proofErr w:type="spellEnd"/>
                      <w:r>
                        <w:rPr>
                          <w:rFonts w:ascii="Arial" w:hAnsi="Arial" w:cs="Arial"/>
                          <w:sz w:val="24"/>
                          <w:lang w:val="fr-FR"/>
                        </w:rPr>
                        <w:t xml:space="preserve"> an occlusion of the RCA (</w:t>
                      </w:r>
                      <w:proofErr w:type="spellStart"/>
                      <w:r>
                        <w:rPr>
                          <w:rFonts w:ascii="Arial" w:hAnsi="Arial" w:cs="Arial"/>
                          <w:sz w:val="24"/>
                          <w:lang w:val="fr-FR"/>
                        </w:rPr>
                        <w:t>red</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 xml:space="preserve">). </w:t>
                      </w:r>
                      <w:proofErr w:type="spellStart"/>
                      <w:r>
                        <w:rPr>
                          <w:rFonts w:ascii="Arial" w:hAnsi="Arial" w:cs="Arial"/>
                          <w:sz w:val="24"/>
                          <w:lang w:val="fr-FR"/>
                        </w:rPr>
                        <w:t>Contrast</w:t>
                      </w:r>
                      <w:proofErr w:type="spellEnd"/>
                      <w:r>
                        <w:rPr>
                          <w:rFonts w:ascii="Arial" w:hAnsi="Arial" w:cs="Arial"/>
                          <w:sz w:val="24"/>
                          <w:lang w:val="fr-FR"/>
                        </w:rPr>
                        <w:t xml:space="preserve"> </w:t>
                      </w:r>
                      <w:proofErr w:type="spellStart"/>
                      <w:r>
                        <w:rPr>
                          <w:rFonts w:ascii="Arial" w:hAnsi="Arial" w:cs="Arial"/>
                          <w:sz w:val="24"/>
                          <w:lang w:val="fr-FR"/>
                        </w:rPr>
                        <w:t>staining</w:t>
                      </w:r>
                      <w:proofErr w:type="spellEnd"/>
                      <w:r>
                        <w:rPr>
                          <w:rFonts w:ascii="Arial" w:hAnsi="Arial" w:cs="Arial"/>
                          <w:sz w:val="24"/>
                          <w:lang w:val="fr-FR"/>
                        </w:rPr>
                        <w:t xml:space="preserve"> at the </w:t>
                      </w:r>
                      <w:proofErr w:type="spellStart"/>
                      <w:r>
                        <w:rPr>
                          <w:rFonts w:ascii="Arial" w:hAnsi="Arial" w:cs="Arial"/>
                          <w:sz w:val="24"/>
                          <w:lang w:val="fr-FR"/>
                        </w:rPr>
                        <w:t>level</w:t>
                      </w:r>
                      <w:proofErr w:type="spellEnd"/>
                      <w:r>
                        <w:rPr>
                          <w:rFonts w:ascii="Arial" w:hAnsi="Arial" w:cs="Arial"/>
                          <w:sz w:val="24"/>
                          <w:lang w:val="fr-FR"/>
                        </w:rPr>
                        <w:t xml:space="preserve"> of the </w:t>
                      </w:r>
                      <w:proofErr w:type="spellStart"/>
                      <w:r>
                        <w:rPr>
                          <w:rFonts w:ascii="Arial" w:hAnsi="Arial" w:cs="Arial"/>
                          <w:sz w:val="24"/>
                          <w:lang w:val="fr-FR"/>
                        </w:rPr>
                        <w:t>inferior</w:t>
                      </w:r>
                      <w:proofErr w:type="spellEnd"/>
                      <w:r>
                        <w:rPr>
                          <w:rFonts w:ascii="Arial" w:hAnsi="Arial" w:cs="Arial"/>
                          <w:sz w:val="24"/>
                          <w:lang w:val="fr-FR"/>
                        </w:rPr>
                        <w:t xml:space="preserve"> </w:t>
                      </w:r>
                      <w:proofErr w:type="spellStart"/>
                      <w:r>
                        <w:rPr>
                          <w:rFonts w:ascii="Arial" w:hAnsi="Arial" w:cs="Arial"/>
                          <w:sz w:val="24"/>
                          <w:lang w:val="fr-FR"/>
                        </w:rPr>
                        <w:t>bend</w:t>
                      </w:r>
                      <w:proofErr w:type="spellEnd"/>
                      <w:r>
                        <w:rPr>
                          <w:rFonts w:ascii="Arial" w:hAnsi="Arial" w:cs="Arial"/>
                          <w:sz w:val="24"/>
                          <w:lang w:val="fr-FR"/>
                        </w:rPr>
                        <w:t xml:space="preserve"> </w:t>
                      </w:r>
                      <w:proofErr w:type="spellStart"/>
                      <w:r>
                        <w:rPr>
                          <w:rFonts w:ascii="Arial" w:hAnsi="Arial" w:cs="Arial"/>
                          <w:sz w:val="24"/>
                          <w:lang w:val="fr-FR"/>
                        </w:rPr>
                        <w:t>is</w:t>
                      </w:r>
                      <w:proofErr w:type="spellEnd"/>
                      <w:r>
                        <w:rPr>
                          <w:rFonts w:ascii="Arial" w:hAnsi="Arial" w:cs="Arial"/>
                          <w:sz w:val="24"/>
                          <w:lang w:val="fr-FR"/>
                        </w:rPr>
                        <w:t xml:space="preserve"> suggestive of thrombus formation or </w:t>
                      </w:r>
                      <w:proofErr w:type="spellStart"/>
                      <w:r>
                        <w:rPr>
                          <w:rFonts w:ascii="Arial" w:hAnsi="Arial" w:cs="Arial"/>
                          <w:sz w:val="24"/>
                          <w:lang w:val="fr-FR"/>
                        </w:rPr>
                        <w:t>severe</w:t>
                      </w:r>
                      <w:proofErr w:type="spellEnd"/>
                      <w:r>
                        <w:rPr>
                          <w:rFonts w:ascii="Arial" w:hAnsi="Arial" w:cs="Arial"/>
                          <w:sz w:val="24"/>
                          <w:lang w:val="fr-FR"/>
                        </w:rPr>
                        <w:t xml:space="preserve"> calcification (white </w:t>
                      </w:r>
                      <w:proofErr w:type="spellStart"/>
                      <w:r>
                        <w:rPr>
                          <w:rFonts w:ascii="Arial" w:hAnsi="Arial" w:cs="Arial"/>
                          <w:sz w:val="24"/>
                          <w:lang w:val="fr-FR"/>
                        </w:rPr>
                        <w:t>arrow</w:t>
                      </w:r>
                      <w:proofErr w:type="spellEnd"/>
                      <w:r>
                        <w:rPr>
                          <w:rFonts w:ascii="Arial" w:hAnsi="Arial" w:cs="Arial"/>
                          <w:sz w:val="24"/>
                          <w:lang w:val="fr-FR"/>
                        </w:rPr>
                        <w:t>).</w:t>
                      </w:r>
                    </w:p>
                    <w:p w14:paraId="2FB6E6BB" w14:textId="77777777" w:rsidR="00AF0398" w:rsidRDefault="00AF0398">
                      <w:pPr>
                        <w:rPr>
                          <w:rFonts w:ascii="Arial" w:hAnsi="Arial" w:cs="Arial"/>
                          <w:sz w:val="24"/>
                          <w:lang w:val="fr-FR"/>
                        </w:rPr>
                      </w:pPr>
                    </w:p>
                    <w:p w14:paraId="16BE7232" w14:textId="77777777" w:rsidR="00AF0398" w:rsidRDefault="00C436C5">
                      <w:pPr>
                        <w:rPr>
                          <w:rFonts w:ascii="Arial" w:hAnsi="Arial" w:cs="Arial"/>
                          <w:sz w:val="24"/>
                          <w:lang w:val="fr-FR"/>
                        </w:rPr>
                      </w:pPr>
                      <w:r>
                        <w:rPr>
                          <w:rFonts w:ascii="Arial" w:hAnsi="Arial" w:cs="Arial"/>
                          <w:b/>
                          <w:bCs/>
                          <w:sz w:val="24"/>
                          <w:lang w:val="fr-FR"/>
                        </w:rPr>
                        <w:t>(C)</w:t>
                      </w:r>
                      <w:r>
                        <w:rPr>
                          <w:rFonts w:ascii="Arial" w:hAnsi="Arial" w:cs="Arial"/>
                          <w:sz w:val="24"/>
                          <w:lang w:val="fr-FR"/>
                        </w:rPr>
                        <w:t xml:space="preserve"> Cranial projection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system </w:t>
                      </w:r>
                      <w:proofErr w:type="spellStart"/>
                      <w:r>
                        <w:rPr>
                          <w:rFonts w:ascii="Arial" w:hAnsi="Arial" w:cs="Arial"/>
                          <w:sz w:val="24"/>
                          <w:lang w:val="fr-FR"/>
                        </w:rPr>
                        <w:t>showing</w:t>
                      </w:r>
                      <w:proofErr w:type="spellEnd"/>
                      <w:r>
                        <w:rPr>
                          <w:rFonts w:ascii="Arial" w:hAnsi="Arial" w:cs="Arial"/>
                          <w:sz w:val="24"/>
                          <w:lang w:val="fr-FR"/>
                        </w:rPr>
                        <w:t xml:space="preserve"> a </w:t>
                      </w:r>
                      <w:proofErr w:type="spellStart"/>
                      <w:r>
                        <w:rPr>
                          <w:rFonts w:ascii="Arial" w:hAnsi="Arial" w:cs="Arial"/>
                          <w:sz w:val="24"/>
                          <w:lang w:val="fr-FR"/>
                        </w:rPr>
                        <w:t>severe</w:t>
                      </w:r>
                      <w:proofErr w:type="spellEnd"/>
                      <w:r>
                        <w:rPr>
                          <w:rFonts w:ascii="Arial" w:hAnsi="Arial" w:cs="Arial"/>
                          <w:sz w:val="24"/>
                          <w:lang w:val="fr-FR"/>
                        </w:rPr>
                        <w:t xml:space="preserve">, </w:t>
                      </w:r>
                      <w:proofErr w:type="spellStart"/>
                      <w:r>
                        <w:rPr>
                          <w:rFonts w:ascii="Arial" w:hAnsi="Arial" w:cs="Arial"/>
                          <w:sz w:val="24"/>
                          <w:lang w:val="fr-FR"/>
                        </w:rPr>
                        <w:t>calcified</w:t>
                      </w:r>
                      <w:proofErr w:type="spellEnd"/>
                      <w:r>
                        <w:rPr>
                          <w:rFonts w:ascii="Arial" w:hAnsi="Arial" w:cs="Arial"/>
                          <w:sz w:val="24"/>
                          <w:lang w:val="fr-FR"/>
                        </w:rPr>
                        <w:t xml:space="preserve"> double </w:t>
                      </w:r>
                      <w:proofErr w:type="spellStart"/>
                      <w:r>
                        <w:rPr>
                          <w:rFonts w:ascii="Arial" w:hAnsi="Arial" w:cs="Arial"/>
                          <w:sz w:val="24"/>
                          <w:lang w:val="fr-FR"/>
                        </w:rPr>
                        <w:t>lesion</w:t>
                      </w:r>
                      <w:proofErr w:type="spellEnd"/>
                      <w:r>
                        <w:rPr>
                          <w:rFonts w:ascii="Arial" w:hAnsi="Arial" w:cs="Arial"/>
                          <w:sz w:val="24"/>
                          <w:lang w:val="fr-FR"/>
                        </w:rPr>
                        <w:t xml:space="preserve">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anterior</w:t>
                      </w:r>
                      <w:proofErr w:type="spellEnd"/>
                      <w:r>
                        <w:rPr>
                          <w:rFonts w:ascii="Arial" w:hAnsi="Arial" w:cs="Arial"/>
                          <w:sz w:val="24"/>
                          <w:lang w:val="fr-FR"/>
                        </w:rPr>
                        <w:t xml:space="preserve"> </w:t>
                      </w:r>
                      <w:proofErr w:type="spellStart"/>
                      <w:r>
                        <w:rPr>
                          <w:rFonts w:ascii="Arial" w:hAnsi="Arial" w:cs="Arial"/>
                          <w:sz w:val="24"/>
                          <w:lang w:val="fr-FR"/>
                        </w:rPr>
                        <w:t>descending</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(LAD), </w:t>
                      </w:r>
                      <w:proofErr w:type="spellStart"/>
                      <w:r>
                        <w:rPr>
                          <w:rFonts w:ascii="Arial" w:hAnsi="Arial" w:cs="Arial"/>
                          <w:sz w:val="24"/>
                          <w:lang w:val="fr-FR"/>
                        </w:rPr>
                        <w:t>with</w:t>
                      </w:r>
                      <w:proofErr w:type="spellEnd"/>
                      <w:r>
                        <w:rPr>
                          <w:rFonts w:ascii="Arial" w:hAnsi="Arial" w:cs="Arial"/>
                          <w:sz w:val="24"/>
                          <w:lang w:val="fr-FR"/>
                        </w:rPr>
                        <w:t xml:space="preserve"> </w:t>
                      </w:r>
                      <w:proofErr w:type="spellStart"/>
                      <w:r>
                        <w:rPr>
                          <w:rFonts w:ascii="Arial" w:hAnsi="Arial" w:cs="Arial"/>
                          <w:sz w:val="24"/>
                          <w:lang w:val="fr-FR"/>
                        </w:rPr>
                        <w:t>preserved</w:t>
                      </w:r>
                      <w:proofErr w:type="spellEnd"/>
                      <w:r>
                        <w:rPr>
                          <w:rFonts w:ascii="Arial" w:hAnsi="Arial" w:cs="Arial"/>
                          <w:sz w:val="24"/>
                          <w:lang w:val="fr-FR"/>
                        </w:rPr>
                        <w:t xml:space="preserve"> TIMI grade 3 flow and good distal </w:t>
                      </w:r>
                      <w:proofErr w:type="spellStart"/>
                      <w:r>
                        <w:rPr>
                          <w:rFonts w:ascii="Arial" w:hAnsi="Arial" w:cs="Arial"/>
                          <w:sz w:val="24"/>
                          <w:lang w:val="fr-FR"/>
                        </w:rPr>
                        <w:t>runoff</w:t>
                      </w:r>
                      <w:proofErr w:type="spellEnd"/>
                      <w:r>
                        <w:rPr>
                          <w:rFonts w:ascii="Arial" w:hAnsi="Arial" w:cs="Arial"/>
                          <w:sz w:val="24"/>
                          <w:lang w:val="fr-FR"/>
                        </w:rPr>
                        <w:t xml:space="preserve"> (orange </w:t>
                      </w:r>
                      <w:proofErr w:type="spellStart"/>
                      <w:r>
                        <w:rPr>
                          <w:rFonts w:ascii="Arial" w:hAnsi="Arial" w:cs="Arial"/>
                          <w:sz w:val="24"/>
                          <w:lang w:val="fr-FR"/>
                        </w:rPr>
                        <w:t>arrow</w:t>
                      </w:r>
                      <w:proofErr w:type="spellEnd"/>
                      <w:r>
                        <w:rPr>
                          <w:rFonts w:ascii="Arial" w:hAnsi="Arial" w:cs="Arial"/>
                          <w:sz w:val="24"/>
                          <w:lang w:val="fr-FR"/>
                        </w:rPr>
                        <w:t>).</w:t>
                      </w:r>
                    </w:p>
                  </w:txbxContent>
                </v:textbox>
              </v:shape>
            </w:pict>
          </mc:Fallback>
        </mc:AlternateContent>
      </w:r>
      <w:r>
        <w:rPr>
          <w:rFonts w:ascii="Arial" w:hAnsi="Arial" w:cs="Arial"/>
          <w:noProof/>
          <w:sz w:val="24"/>
          <w:lang w:val="fr-FR"/>
        </w:rPr>
        <w:drawing>
          <wp:inline distT="0" distB="0" distL="114300" distR="114300" wp14:anchorId="331C9303" wp14:editId="6A409EF2">
            <wp:extent cx="5851525" cy="1903095"/>
            <wp:effectExtent l="0" t="0" r="3175" b="1905"/>
            <wp:docPr id="6" name="Image 6" descr="Capture d'écran 2025-12-28 2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apture d'écran 2025-12-28 215146"/>
                    <pic:cNvPicPr>
                      <a:picLocks noChangeAspect="1"/>
                    </pic:cNvPicPr>
                  </pic:nvPicPr>
                  <pic:blipFill>
                    <a:blip r:embed="rId14"/>
                    <a:stretch>
                      <a:fillRect/>
                    </a:stretch>
                  </pic:blipFill>
                  <pic:spPr>
                    <a:xfrm>
                      <a:off x="0" y="0"/>
                      <a:ext cx="5851525" cy="1903095"/>
                    </a:xfrm>
                    <a:prstGeom prst="rect">
                      <a:avLst/>
                    </a:prstGeom>
                  </pic:spPr>
                </pic:pic>
              </a:graphicData>
            </a:graphic>
          </wp:inline>
        </w:drawing>
      </w:r>
    </w:p>
    <w:p w14:paraId="7AADAC36" w14:textId="77777777" w:rsidR="00AF0398" w:rsidRDefault="00AF0398">
      <w:pPr>
        <w:widowControl/>
        <w:spacing w:beforeAutospacing="1" w:afterAutospacing="1"/>
        <w:jc w:val="left"/>
        <w:rPr>
          <w:rFonts w:ascii="Arial" w:hAnsi="Arial" w:cs="Arial"/>
          <w:sz w:val="24"/>
          <w:lang w:val="fr-FR"/>
        </w:rPr>
      </w:pPr>
    </w:p>
    <w:p w14:paraId="73B496AA" w14:textId="77777777" w:rsidR="00AF0398" w:rsidRDefault="00AF0398">
      <w:pPr>
        <w:widowControl/>
        <w:spacing w:beforeAutospacing="1" w:afterAutospacing="1"/>
        <w:jc w:val="left"/>
        <w:rPr>
          <w:rFonts w:ascii="Arial" w:hAnsi="Arial" w:cs="Arial"/>
          <w:sz w:val="24"/>
          <w:lang w:val="fr-FR"/>
        </w:rPr>
      </w:pPr>
    </w:p>
    <w:p w14:paraId="7204EC1E" w14:textId="77777777" w:rsidR="00AF0398" w:rsidRDefault="00AF0398">
      <w:pPr>
        <w:widowControl/>
        <w:spacing w:beforeAutospacing="1" w:afterAutospacing="1"/>
        <w:jc w:val="left"/>
        <w:rPr>
          <w:rFonts w:ascii="Arial" w:hAnsi="Arial" w:cs="Arial"/>
          <w:sz w:val="24"/>
          <w:lang w:val="fr-FR"/>
        </w:rPr>
      </w:pPr>
    </w:p>
    <w:p w14:paraId="41E33E8C" w14:textId="77777777" w:rsidR="00AF0398" w:rsidRDefault="00AF0398">
      <w:pPr>
        <w:widowControl/>
        <w:spacing w:beforeAutospacing="1" w:afterAutospacing="1"/>
        <w:jc w:val="left"/>
        <w:rPr>
          <w:rFonts w:ascii="Arial" w:hAnsi="Arial" w:cs="Arial"/>
          <w:sz w:val="24"/>
          <w:lang w:val="fr-FR"/>
        </w:rPr>
      </w:pPr>
    </w:p>
    <w:p w14:paraId="45E3603E" w14:textId="77777777" w:rsidR="00AF0398" w:rsidRDefault="00AF0398">
      <w:pPr>
        <w:widowControl/>
        <w:spacing w:beforeAutospacing="1" w:afterAutospacing="1"/>
        <w:jc w:val="left"/>
        <w:rPr>
          <w:rFonts w:ascii="Arial" w:hAnsi="Arial" w:cs="Arial"/>
          <w:sz w:val="24"/>
          <w:lang w:val="fr-FR"/>
        </w:rPr>
      </w:pPr>
    </w:p>
    <w:p w14:paraId="3EF00D21" w14:textId="77777777" w:rsidR="00AF0398" w:rsidRDefault="00AF0398">
      <w:pPr>
        <w:widowControl/>
        <w:spacing w:beforeAutospacing="1" w:afterAutospacing="1"/>
        <w:jc w:val="left"/>
        <w:rPr>
          <w:rFonts w:ascii="Arial" w:hAnsi="Arial" w:cs="Arial"/>
          <w:sz w:val="24"/>
          <w:lang w:val="fr-FR"/>
        </w:rPr>
      </w:pPr>
    </w:p>
    <w:p w14:paraId="1A348654" w14:textId="77777777" w:rsidR="00AF0398" w:rsidRDefault="00AF0398">
      <w:pPr>
        <w:widowControl/>
        <w:spacing w:beforeAutospacing="1" w:afterAutospacing="1"/>
        <w:jc w:val="left"/>
        <w:rPr>
          <w:rFonts w:ascii="Arial" w:hAnsi="Arial" w:cs="Arial"/>
          <w:sz w:val="24"/>
          <w:lang w:val="fr-FR"/>
        </w:rPr>
      </w:pPr>
    </w:p>
    <w:p w14:paraId="6C120819" w14:textId="77777777" w:rsidR="00AF0398" w:rsidRDefault="00AF0398">
      <w:pPr>
        <w:widowControl/>
        <w:spacing w:beforeAutospacing="1" w:afterAutospacing="1"/>
        <w:jc w:val="left"/>
        <w:rPr>
          <w:rFonts w:ascii="Arial" w:hAnsi="Arial" w:cs="Arial"/>
          <w:sz w:val="24"/>
          <w:lang w:val="fr-FR"/>
        </w:rPr>
      </w:pPr>
    </w:p>
    <w:p w14:paraId="0ACDA125" w14:textId="77777777" w:rsidR="00AF0398" w:rsidRDefault="00C436C5">
      <w:pPr>
        <w:widowControl/>
        <w:spacing w:beforeAutospacing="1" w:afterAutospacing="1"/>
        <w:rPr>
          <w:rFonts w:ascii="Arial" w:hAnsi="Arial" w:cs="Arial"/>
          <w:sz w:val="24"/>
          <w:lang w:val="fr-FR"/>
        </w:rPr>
      </w:pPr>
      <w:r>
        <w:rPr>
          <w:noProof/>
          <w:sz w:val="24"/>
        </w:rPr>
        <mc:AlternateContent>
          <mc:Choice Requires="wps">
            <w:drawing>
              <wp:anchor distT="0" distB="0" distL="114300" distR="114300" simplePos="0" relativeHeight="251662336" behindDoc="0" locked="0" layoutInCell="1" allowOverlap="1" wp14:anchorId="4C1EA758" wp14:editId="4F06B75B">
                <wp:simplePos x="0" y="0"/>
                <wp:positionH relativeFrom="column">
                  <wp:posOffset>196215</wp:posOffset>
                </wp:positionH>
                <wp:positionV relativeFrom="paragraph">
                  <wp:posOffset>2486025</wp:posOffset>
                </wp:positionV>
                <wp:extent cx="5015230" cy="684530"/>
                <wp:effectExtent l="4445" t="4445" r="9525" b="9525"/>
                <wp:wrapNone/>
                <wp:docPr id="5" name="Zone de texte 5"/>
                <wp:cNvGraphicFramePr/>
                <a:graphic xmlns:a="http://schemas.openxmlformats.org/drawingml/2006/main">
                  <a:graphicData uri="http://schemas.microsoft.com/office/word/2010/wordprocessingShape">
                    <wps:wsp>
                      <wps:cNvSpPr txBox="1"/>
                      <wps:spPr>
                        <a:xfrm>
                          <a:off x="1339215" y="3400425"/>
                          <a:ext cx="5015230" cy="684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5852E1"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2:</w:t>
                            </w:r>
                            <w:proofErr w:type="gramEnd"/>
                            <w:r>
                              <w:rPr>
                                <w:rFonts w:ascii="Arial" w:hAnsi="Arial" w:cs="Arial"/>
                                <w:sz w:val="24"/>
                                <w:lang w:val="fr-FR"/>
                              </w:rPr>
                              <w:t xml:space="preserve"> </w:t>
                            </w:r>
                            <w:r>
                              <w:rPr>
                                <w:rFonts w:ascii="Arial" w:eastAsia="SimSun" w:hAnsi="Arial" w:cs="Arial"/>
                                <w:sz w:val="24"/>
                              </w:rPr>
                              <w:t>Electrocardiogram showing inferior ST-segment elevation, maximal in lead III, with reciprocal ST-segment depression in the high-lateral leads and in V2–V3.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1EA758" id="Zone de texte 5" o:spid="_x0000_s1027" type="#_x0000_t202" style="position:absolute;left:0;text-align:left;margin-left:15.45pt;margin-top:195.75pt;width:394.9pt;height:5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" fillcolor="white [3201]" strokeweight=".5pt">
                <v:textbox>
                  <w:txbxContent>
                    <w:p w14:paraId="775852E1"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2:</w:t>
                      </w:r>
                      <w:proofErr w:type="gramEnd"/>
                      <w:r>
                        <w:rPr>
                          <w:rFonts w:ascii="Arial" w:hAnsi="Arial" w:cs="Arial"/>
                          <w:sz w:val="24"/>
                          <w:lang w:val="fr-FR"/>
                        </w:rPr>
                        <w:t xml:space="preserve"> </w:t>
                      </w:r>
                      <w:r>
                        <w:rPr>
                          <w:rFonts w:ascii="Arial" w:eastAsia="SimSun" w:hAnsi="Arial" w:cs="Arial"/>
                          <w:sz w:val="24"/>
                        </w:rPr>
                        <w:t>Electrocardiogram showing inferior ST-segment elevation, maximal in lead III, with reciprocal ST-segment depression in the high-lateral leads and in V2–V3.</w:t>
                      </w:r>
                    </w:p>
                  </w:txbxContent>
                </v:textbox>
              </v:shape>
            </w:pict>
          </mc:Fallback>
        </mc:AlternateContent>
      </w:r>
      <w:r>
        <w:rPr>
          <w:rFonts w:ascii="Arial" w:hAnsi="Arial" w:cs="Arial"/>
          <w:noProof/>
          <w:sz w:val="24"/>
          <w:lang w:val="fr-FR"/>
        </w:rPr>
        <w:drawing>
          <wp:inline distT="0" distB="0" distL="114300" distR="114300" wp14:anchorId="4FB4F679" wp14:editId="6C6066AE">
            <wp:extent cx="5273040" cy="2240915"/>
            <wp:effectExtent l="0" t="0" r="10160" b="6985"/>
            <wp:docPr id="3" name="Image 3" descr="WhatsApp Image 2025-12-28 at 2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WhatsApp Image 2025-12-28 at 21.56.07"/>
                    <pic:cNvPicPr>
                      <a:picLocks noChangeAspect="1"/>
                    </pic:cNvPicPr>
                  </pic:nvPicPr>
                  <pic:blipFill>
                    <a:blip r:embed="rId15"/>
                    <a:stretch>
                      <a:fillRect/>
                    </a:stretch>
                  </pic:blipFill>
                  <pic:spPr>
                    <a:xfrm>
                      <a:off x="0" y="0"/>
                      <a:ext cx="5273040" cy="2240915"/>
                    </a:xfrm>
                    <a:prstGeom prst="rect">
                      <a:avLst/>
                    </a:prstGeom>
                  </pic:spPr>
                </pic:pic>
              </a:graphicData>
            </a:graphic>
          </wp:inline>
        </w:drawing>
      </w:r>
    </w:p>
    <w:p w14:paraId="0DABB7E0" w14:textId="77777777" w:rsidR="00AF0398" w:rsidRDefault="00AF0398">
      <w:pPr>
        <w:widowControl/>
        <w:spacing w:beforeAutospacing="1" w:afterAutospacing="1"/>
        <w:rPr>
          <w:rFonts w:ascii="Arial" w:hAnsi="Arial" w:cs="Arial"/>
          <w:sz w:val="24"/>
          <w:lang w:val="fr-FR"/>
        </w:rPr>
      </w:pPr>
    </w:p>
    <w:p w14:paraId="0FB9BF08" w14:textId="77777777" w:rsidR="00AF0398" w:rsidRDefault="00AF0398">
      <w:pPr>
        <w:widowControl/>
        <w:spacing w:beforeAutospacing="1" w:afterAutospacing="1"/>
        <w:rPr>
          <w:rFonts w:ascii="Arial" w:hAnsi="Arial" w:cs="Arial"/>
          <w:sz w:val="24"/>
          <w:lang w:val="fr-FR"/>
        </w:rPr>
      </w:pPr>
    </w:p>
    <w:p w14:paraId="63E2414A" w14:textId="77777777" w:rsidR="00AF0398" w:rsidRDefault="00AF0398">
      <w:pPr>
        <w:widowControl/>
        <w:spacing w:beforeAutospacing="1" w:afterAutospacing="1"/>
        <w:jc w:val="left"/>
        <w:rPr>
          <w:rFonts w:ascii="Arial" w:hAnsi="Arial" w:cs="Arial"/>
          <w:sz w:val="24"/>
          <w:lang w:val="fr-FR"/>
        </w:rPr>
        <w:sectPr w:rsidR="00AF0398">
          <w:pgSz w:w="11906" w:h="16838"/>
          <w:pgMar w:top="1440" w:right="1800" w:bottom="1440" w:left="1800" w:header="851" w:footer="992" w:gutter="0"/>
          <w:cols w:space="425"/>
          <w:docGrid w:type="lines" w:linePitch="312"/>
        </w:sectPr>
      </w:pPr>
    </w:p>
    <w:p w14:paraId="79EF943D" w14:textId="77777777" w:rsidR="00AF0398" w:rsidRDefault="00C436C5">
      <w:pPr>
        <w:widowControl/>
        <w:spacing w:beforeAutospacing="1" w:afterAutospacing="1"/>
        <w:jc w:val="center"/>
        <w:rPr>
          <w:rFonts w:ascii="Arial" w:hAnsi="Arial" w:cs="Arial"/>
          <w:sz w:val="24"/>
          <w:lang w:val="fr-FR"/>
        </w:rPr>
      </w:pPr>
      <w:r>
        <w:rPr>
          <w:noProof/>
          <w:sz w:val="24"/>
        </w:rPr>
        <w:lastRenderedPageBreak/>
        <mc:AlternateContent>
          <mc:Choice Requires="wps">
            <w:drawing>
              <wp:anchor distT="0" distB="0" distL="114300" distR="114300" simplePos="0" relativeHeight="251661312" behindDoc="0" locked="0" layoutInCell="1" allowOverlap="1" wp14:anchorId="49502289" wp14:editId="2249CF64">
                <wp:simplePos x="0" y="0"/>
                <wp:positionH relativeFrom="column">
                  <wp:posOffset>120015</wp:posOffset>
                </wp:positionH>
                <wp:positionV relativeFrom="paragraph">
                  <wp:posOffset>3007360</wp:posOffset>
                </wp:positionV>
                <wp:extent cx="5333365" cy="762000"/>
                <wp:effectExtent l="4445" t="4445" r="8890" b="8255"/>
                <wp:wrapNone/>
                <wp:docPr id="9" name="Zone de texte 9"/>
                <wp:cNvGraphicFramePr/>
                <a:graphic xmlns:a="http://schemas.openxmlformats.org/drawingml/2006/main">
                  <a:graphicData uri="http://schemas.microsoft.com/office/word/2010/wordprocessingShape">
                    <wps:wsp>
                      <wps:cNvSpPr txBox="1"/>
                      <wps:spPr>
                        <a:xfrm>
                          <a:off x="1637665" y="3858260"/>
                          <a:ext cx="5333365" cy="762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83A32" w14:textId="77777777" w:rsidR="00AF0398" w:rsidRDefault="00C436C5">
                            <w:pPr>
                              <w:rPr>
                                <w:rFonts w:ascii="Arial" w:hAnsi="Arial" w:cs="Arial"/>
                                <w:sz w:val="24"/>
                              </w:rPr>
                            </w:pPr>
                            <w:r>
                              <w:rPr>
                                <w:rFonts w:ascii="Arial" w:hAnsi="Arial" w:cs="Arial"/>
                                <w:b/>
                                <w:bCs/>
                                <w:sz w:val="24"/>
                                <w:lang w:val="fr-FR"/>
                              </w:rPr>
                              <w:t xml:space="preserve">Figure </w:t>
                            </w:r>
                            <w:proofErr w:type="gramStart"/>
                            <w:r>
                              <w:rPr>
                                <w:rFonts w:ascii="Arial" w:hAnsi="Arial" w:cs="Arial"/>
                                <w:b/>
                                <w:bCs/>
                                <w:sz w:val="24"/>
                                <w:lang w:val="fr-FR"/>
                              </w:rPr>
                              <w:t>3:</w:t>
                            </w:r>
                            <w:proofErr w:type="gramEnd"/>
                            <w:r>
                              <w:rPr>
                                <w:rFonts w:ascii="Arial" w:hAnsi="Arial" w:cs="Arial"/>
                                <w:b/>
                                <w:bCs/>
                                <w:sz w:val="24"/>
                                <w:lang w:val="fr-FR"/>
                              </w:rPr>
                              <w:t xml:space="preserve"> </w:t>
                            </w:r>
                            <w:r>
                              <w:rPr>
                                <w:rFonts w:ascii="Arial" w:hAnsi="Arial" w:cs="Arial"/>
                                <w:sz w:val="24"/>
                              </w:rPr>
                              <w:t>Coronary angiography showing successful recanalization of the left circumflex artery after guidewire crossing and balloon angioplasty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502289" id="Zone de texte 9" o:spid="_x0000_s1028" type="#_x0000_t202" style="position:absolute;left:0;text-align:left;margin-left:9.45pt;margin-top:236.8pt;width:419.95pt;height:6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" fillcolor="white [3201]" strokeweight=".5pt">
                <v:textbox>
                  <w:txbxContent>
                    <w:p w14:paraId="02C83A32" w14:textId="77777777" w:rsidR="00AF0398" w:rsidRDefault="00C436C5">
                      <w:pPr>
                        <w:rPr>
                          <w:rFonts w:ascii="Arial" w:hAnsi="Arial" w:cs="Arial"/>
                          <w:sz w:val="24"/>
                        </w:rPr>
                      </w:pPr>
                      <w:r>
                        <w:rPr>
                          <w:rFonts w:ascii="Arial" w:hAnsi="Arial" w:cs="Arial"/>
                          <w:b/>
                          <w:bCs/>
                          <w:sz w:val="24"/>
                          <w:lang w:val="fr-FR"/>
                        </w:rPr>
                        <w:t xml:space="preserve">Figure </w:t>
                      </w:r>
                      <w:proofErr w:type="gramStart"/>
                      <w:r>
                        <w:rPr>
                          <w:rFonts w:ascii="Arial" w:hAnsi="Arial" w:cs="Arial"/>
                          <w:b/>
                          <w:bCs/>
                          <w:sz w:val="24"/>
                          <w:lang w:val="fr-FR"/>
                        </w:rPr>
                        <w:t>3:</w:t>
                      </w:r>
                      <w:proofErr w:type="gramEnd"/>
                      <w:r>
                        <w:rPr>
                          <w:rFonts w:ascii="Arial" w:hAnsi="Arial" w:cs="Arial"/>
                          <w:b/>
                          <w:bCs/>
                          <w:sz w:val="24"/>
                          <w:lang w:val="fr-FR"/>
                        </w:rPr>
                        <w:t xml:space="preserve"> </w:t>
                      </w:r>
                      <w:r>
                        <w:rPr>
                          <w:rFonts w:ascii="Arial" w:hAnsi="Arial" w:cs="Arial"/>
                          <w:sz w:val="24"/>
                        </w:rPr>
                        <w:t>Coronary angiography showing successful recanalization of the left circumflex artery after guidewire crossing and balloon angioplasty</w:t>
                      </w:r>
                    </w:p>
                  </w:txbxContent>
                </v:textbox>
              </v:shape>
            </w:pict>
          </mc:Fallback>
        </mc:AlternateContent>
      </w:r>
      <w:r>
        <w:rPr>
          <w:rFonts w:ascii="Arial" w:hAnsi="Arial" w:cs="Arial"/>
          <w:noProof/>
          <w:sz w:val="24"/>
          <w:lang w:val="fr-FR"/>
        </w:rPr>
        <w:drawing>
          <wp:inline distT="0" distB="0" distL="114300" distR="114300" wp14:anchorId="04A5FF35" wp14:editId="6F3C397E">
            <wp:extent cx="2945130" cy="2831465"/>
            <wp:effectExtent l="0" t="0" r="1270" b="635"/>
            <wp:docPr id="8" name="Image 8" descr="img-000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g-00004-00001"/>
                    <pic:cNvPicPr>
                      <a:picLocks noChangeAspect="1"/>
                    </pic:cNvPicPr>
                  </pic:nvPicPr>
                  <pic:blipFill>
                    <a:blip r:embed="rId16"/>
                    <a:stretch>
                      <a:fillRect/>
                    </a:stretch>
                  </pic:blipFill>
                  <pic:spPr>
                    <a:xfrm>
                      <a:off x="0" y="0"/>
                      <a:ext cx="2945130" cy="2831465"/>
                    </a:xfrm>
                    <a:prstGeom prst="rect">
                      <a:avLst/>
                    </a:prstGeom>
                  </pic:spPr>
                </pic:pic>
              </a:graphicData>
            </a:graphic>
          </wp:inline>
        </w:drawing>
      </w:r>
    </w:p>
    <w:p w14:paraId="7716D8A0" w14:textId="77777777" w:rsidR="00AF0398" w:rsidRDefault="00AF0398">
      <w:pPr>
        <w:widowControl/>
        <w:spacing w:beforeAutospacing="1" w:afterAutospacing="1"/>
        <w:jc w:val="center"/>
        <w:rPr>
          <w:rFonts w:ascii="Arial" w:hAnsi="Arial" w:cs="Arial"/>
          <w:sz w:val="24"/>
          <w:lang w:val="fr-FR"/>
        </w:rPr>
      </w:pPr>
    </w:p>
    <w:p w14:paraId="428164B1" w14:textId="77777777" w:rsidR="00AF0398" w:rsidRDefault="00AF0398">
      <w:pPr>
        <w:widowControl/>
        <w:spacing w:beforeAutospacing="1" w:afterAutospacing="1"/>
        <w:rPr>
          <w:rFonts w:ascii="Arial" w:hAnsi="Arial" w:cs="Arial"/>
          <w:sz w:val="24"/>
          <w:lang w:val="fr-FR"/>
        </w:rPr>
      </w:pPr>
    </w:p>
    <w:p w14:paraId="7900A9CC"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5408" behindDoc="0" locked="0" layoutInCell="1" allowOverlap="1" wp14:anchorId="74767B2D" wp14:editId="0060567A">
                <wp:simplePos x="0" y="0"/>
                <wp:positionH relativeFrom="column">
                  <wp:posOffset>2945130</wp:posOffset>
                </wp:positionH>
                <wp:positionV relativeFrom="paragraph">
                  <wp:posOffset>893445</wp:posOffset>
                </wp:positionV>
                <wp:extent cx="184150" cy="76200"/>
                <wp:effectExtent l="0" t="5715" r="6350" b="19685"/>
                <wp:wrapNone/>
                <wp:docPr id="12" name="Connecteur droit avec flèche 12"/>
                <wp:cNvGraphicFramePr/>
                <a:graphic xmlns:a="http://schemas.openxmlformats.org/drawingml/2006/main">
                  <a:graphicData uri="http://schemas.microsoft.com/office/word/2010/wordprocessingShape">
                    <wps:wsp>
                      <wps:cNvCnPr/>
                      <wps:spPr>
                        <a:xfrm flipH="1">
                          <a:off x="0" y="0"/>
                          <a:ext cx="184150" cy="76200"/>
                        </a:xfrm>
                        <a:prstGeom prst="straightConnector1">
                          <a:avLst/>
                        </a:prstGeom>
                        <a:ln>
                          <a:solidFill>
                            <a:schemeClr val="accent1">
                              <a:lumMod val="50000"/>
                            </a:schemeClr>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7C83C7EF" id="_x0000_t32" coordsize="21600,21600" o:spt="32" o:oned="t" path="m,l21600,21600e" filled="f">
                <v:path arrowok="t" fillok="f" o:connecttype="none"/>
                <o:lock v:ext="edit" shapetype="t"/>
              </v:shapetype>
              <v:shape id="Connecteur droit avec flèche 12" o:spid="_x0000_s1026" type="#_x0000_t32" style="position:absolute;margin-left:231.9pt;margin-top:70.35pt;width:14.5pt;height: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" strokecolor="#1f4d78 [1604]" strokeweight="1pt">
                <v:stroke endarrow="open" joinstyle="miter"/>
              </v:shape>
            </w:pict>
          </mc:Fallback>
        </mc:AlternateContent>
      </w:r>
      <w:r>
        <w:rPr>
          <w:noProof/>
          <w:sz w:val="24"/>
        </w:rPr>
        <mc:AlternateContent>
          <mc:Choice Requires="wps">
            <w:drawing>
              <wp:anchor distT="0" distB="0" distL="114300" distR="114300" simplePos="0" relativeHeight="251664384" behindDoc="0" locked="0" layoutInCell="1" allowOverlap="1" wp14:anchorId="0AE233CE" wp14:editId="22EA2321">
                <wp:simplePos x="0" y="0"/>
                <wp:positionH relativeFrom="column">
                  <wp:posOffset>538480</wp:posOffset>
                </wp:positionH>
                <wp:positionV relativeFrom="paragraph">
                  <wp:posOffset>658495</wp:posOffset>
                </wp:positionV>
                <wp:extent cx="158750" cy="76200"/>
                <wp:effectExtent l="2540" t="8255" r="3810" b="17145"/>
                <wp:wrapNone/>
                <wp:docPr id="11" name="Connecteur droit avec flèche 11"/>
                <wp:cNvGraphicFramePr/>
                <a:graphic xmlns:a="http://schemas.openxmlformats.org/drawingml/2006/main">
                  <a:graphicData uri="http://schemas.microsoft.com/office/word/2010/wordprocessingShape">
                    <wps:wsp>
                      <wps:cNvCnPr/>
                      <wps:spPr>
                        <a:xfrm flipV="1">
                          <a:off x="1681480" y="5487035"/>
                          <a:ext cx="158750" cy="762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5DD79D1E" id="Connecteur droit avec flèche 11" o:spid="_x0000_s1026" type="#_x0000_t32" style="position:absolute;margin-left:42.4pt;margin-top:51.85pt;width:12.5pt;height: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" strokecolor="red" strokeweight="1pt">
                <v:stroke endarrow="open" joinstyle="miter"/>
              </v:shape>
            </w:pict>
          </mc:Fallback>
        </mc:AlternateContent>
      </w:r>
      <w:r>
        <w:rPr>
          <w:rFonts w:ascii="Arial" w:hAnsi="Arial" w:cs="Arial"/>
          <w:noProof/>
          <w:sz w:val="24"/>
          <w:lang w:val="fr-FR"/>
        </w:rPr>
        <w:drawing>
          <wp:inline distT="0" distB="0" distL="114300" distR="114300" wp14:anchorId="0B52812C" wp14:editId="7732378E">
            <wp:extent cx="5266690" cy="1442720"/>
            <wp:effectExtent l="0" t="0" r="3810" b="5080"/>
            <wp:docPr id="1" name="Image 1" descr="Capture d'écran 2026-01-07 22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pture d'écran 2026-01-07 220416"/>
                    <pic:cNvPicPr>
                      <a:picLocks noChangeAspect="1"/>
                    </pic:cNvPicPr>
                  </pic:nvPicPr>
                  <pic:blipFill>
                    <a:blip r:embed="rId17"/>
                    <a:stretch>
                      <a:fillRect/>
                    </a:stretch>
                  </pic:blipFill>
                  <pic:spPr>
                    <a:xfrm>
                      <a:off x="0" y="0"/>
                      <a:ext cx="5266690" cy="1442720"/>
                    </a:xfrm>
                    <a:prstGeom prst="rect">
                      <a:avLst/>
                    </a:prstGeom>
                  </pic:spPr>
                </pic:pic>
              </a:graphicData>
            </a:graphic>
          </wp:inline>
        </w:drawing>
      </w:r>
    </w:p>
    <w:p w14:paraId="297EEC99"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3360" behindDoc="0" locked="0" layoutInCell="1" allowOverlap="1" wp14:anchorId="5C8A3E7A" wp14:editId="3E8BC887">
                <wp:simplePos x="0" y="0"/>
                <wp:positionH relativeFrom="column">
                  <wp:posOffset>50165</wp:posOffset>
                </wp:positionH>
                <wp:positionV relativeFrom="paragraph">
                  <wp:posOffset>15240</wp:posOffset>
                </wp:positionV>
                <wp:extent cx="5333365" cy="2856230"/>
                <wp:effectExtent l="4445" t="4445" r="8890" b="9525"/>
                <wp:wrapNone/>
                <wp:docPr id="10" name="Zone de texte 10"/>
                <wp:cNvGraphicFramePr/>
                <a:graphic xmlns:a="http://schemas.openxmlformats.org/drawingml/2006/main">
                  <a:graphicData uri="http://schemas.microsoft.com/office/word/2010/wordprocessingShape">
                    <wps:wsp>
                      <wps:cNvSpPr txBox="1"/>
                      <wps:spPr>
                        <a:xfrm>
                          <a:off x="0" y="0"/>
                          <a:ext cx="5333365" cy="2856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895397" w14:textId="77777777" w:rsidR="00AF0398" w:rsidRDefault="00C436C5">
                            <w:pPr>
                              <w:pStyle w:val="NormalWeb"/>
                              <w:rPr>
                                <w:rStyle w:val="Strong"/>
                                <w:rFonts w:ascii="Arial" w:hAnsi="Arial" w:cs="Arial"/>
                                <w:lang w:val="fr-FR"/>
                              </w:rPr>
                            </w:pPr>
                            <w:r>
                              <w:rPr>
                                <w:rStyle w:val="Strong"/>
                                <w:rFonts w:ascii="Arial" w:hAnsi="Arial" w:cs="Arial"/>
                              </w:rPr>
                              <w:t xml:space="preserve">Figure </w:t>
                            </w:r>
                            <w:r>
                              <w:rPr>
                                <w:rStyle w:val="Strong"/>
                                <w:rFonts w:ascii="Arial" w:hAnsi="Arial" w:cs="Arial"/>
                                <w:lang w:val="fr-FR"/>
                              </w:rPr>
                              <w:t xml:space="preserve">4: </w:t>
                            </w:r>
                            <w:r>
                              <w:rPr>
                                <w:rStyle w:val="Strong"/>
                                <w:rFonts w:ascii="Arial" w:hAnsi="Arial" w:cs="Arial"/>
                              </w:rPr>
                              <w:t>Coronary angiography findings.</w:t>
                            </w:r>
                          </w:p>
                          <w:p w14:paraId="64588A51"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lang w:val="fr-FR"/>
                              </w:rPr>
                              <w:t xml:space="preserve"> </w:t>
                            </w:r>
                            <w:r>
                              <w:rPr>
                                <w:rFonts w:ascii="Arial" w:hAnsi="Arial" w:cs="Arial"/>
                              </w:rPr>
                              <w:t xml:space="preserve">Right anterior oblique caudal view showing a severe stenosis of the proximal circumflex artery (red arrow). </w:t>
                            </w:r>
                          </w:p>
                          <w:p w14:paraId="33BF23B0"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Cranial view demonstrating patency of the previously implanted stents in the left anterior descending artery, with no evidence of in-stent restenosis. </w:t>
                            </w:r>
                          </w:p>
                          <w:p w14:paraId="46C8DDBF"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lang w:val="fr-FR"/>
                              </w:rPr>
                              <w:t xml:space="preserve"> </w:t>
                            </w:r>
                            <w:r>
                              <w:rPr>
                                <w:rFonts w:ascii="Arial" w:hAnsi="Arial" w:cs="Arial"/>
                              </w:rPr>
                              <w:t xml:space="preserve">Left anterior oblique view of the right coronary system showing a complete occlusion of the right coronary artery (blue arrow). </w:t>
                            </w:r>
                          </w:p>
                          <w:p w14:paraId="22EFB4D1" w14:textId="77777777" w:rsidR="00AF0398" w:rsidRDefault="00C436C5">
                            <w:pPr>
                              <w:pStyle w:val="NormalWeb"/>
                              <w:rPr>
                                <w:rFonts w:ascii="Arial" w:hAnsi="Arial" w:cs="Arial"/>
                              </w:rPr>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Failure to advance the guidewire within the right coronary artery, confirming the chronic nature of the occlusion.</w:t>
                            </w:r>
                          </w:p>
                          <w:p w14:paraId="60F873E4" w14:textId="77777777" w:rsidR="00AF0398" w:rsidRDefault="00AF03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8A3E7A" id="Zone de texte 10" o:spid="_x0000_s1029" type="#_x0000_t202" style="position:absolute;left:0;text-align:left;margin-left:3.95pt;margin-top:1.2pt;width:419.95pt;height:22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" fillcolor="white [3201]" strokeweight=".5pt">
                <v:textbox>
                  <w:txbxContent>
                    <w:p w14:paraId="39895397" w14:textId="77777777" w:rsidR="00AF0398" w:rsidRDefault="00C436C5">
                      <w:pPr>
                        <w:pStyle w:val="NormalWeb"/>
                        <w:rPr>
                          <w:rStyle w:val="Strong"/>
                          <w:rFonts w:ascii="Arial" w:hAnsi="Arial" w:cs="Arial"/>
                          <w:lang w:val="fr-FR"/>
                        </w:rPr>
                      </w:pPr>
                      <w:r>
                        <w:rPr>
                          <w:rStyle w:val="Strong"/>
                          <w:rFonts w:ascii="Arial" w:hAnsi="Arial" w:cs="Arial"/>
                        </w:rPr>
                        <w:t xml:space="preserve">Figure </w:t>
                      </w:r>
                      <w:r>
                        <w:rPr>
                          <w:rStyle w:val="Strong"/>
                          <w:rFonts w:ascii="Arial" w:hAnsi="Arial" w:cs="Arial"/>
                          <w:lang w:val="fr-FR"/>
                        </w:rPr>
                        <w:t xml:space="preserve">4: </w:t>
                      </w:r>
                      <w:r>
                        <w:rPr>
                          <w:rStyle w:val="Strong"/>
                          <w:rFonts w:ascii="Arial" w:hAnsi="Arial" w:cs="Arial"/>
                        </w:rPr>
                        <w:t>Coronary angiography findings.</w:t>
                      </w:r>
                    </w:p>
                    <w:p w14:paraId="64588A51"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lang w:val="fr-FR"/>
                        </w:rPr>
                        <w:t xml:space="preserve"> </w:t>
                      </w:r>
                      <w:r>
                        <w:rPr>
                          <w:rFonts w:ascii="Arial" w:hAnsi="Arial" w:cs="Arial"/>
                        </w:rPr>
                        <w:t xml:space="preserve">Right anterior oblique caudal view showing a severe stenosis of the proximal circumflex artery (red arrow). </w:t>
                      </w:r>
                    </w:p>
                    <w:p w14:paraId="33BF23B0"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Cranial view demonstrating patency of the previously implanted stents in the left anterior descending artery, with no evidence of in-stent restenosis. </w:t>
                      </w:r>
                    </w:p>
                    <w:p w14:paraId="46C8DDBF"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lang w:val="fr-FR"/>
                        </w:rPr>
                        <w:t xml:space="preserve"> </w:t>
                      </w:r>
                      <w:r>
                        <w:rPr>
                          <w:rFonts w:ascii="Arial" w:hAnsi="Arial" w:cs="Arial"/>
                        </w:rPr>
                        <w:t xml:space="preserve">Left anterior oblique view of the right coronary system showing a complete occlusion of the right coronary artery (blue arrow). </w:t>
                      </w:r>
                    </w:p>
                    <w:p w14:paraId="22EFB4D1" w14:textId="77777777" w:rsidR="00AF0398" w:rsidRDefault="00C436C5">
                      <w:pPr>
                        <w:pStyle w:val="NormalWeb"/>
                        <w:rPr>
                          <w:rFonts w:ascii="Arial" w:hAnsi="Arial" w:cs="Arial"/>
                        </w:rPr>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Failure to advance the guidewire within the right coronary artery, confirming the chronic nature of the occlusion.</w:t>
                      </w:r>
                    </w:p>
                    <w:p w14:paraId="60F873E4" w14:textId="77777777" w:rsidR="00AF0398" w:rsidRDefault="00AF0398"/>
                  </w:txbxContent>
                </v:textbox>
              </v:shape>
            </w:pict>
          </mc:Fallback>
        </mc:AlternateContent>
      </w:r>
    </w:p>
    <w:p w14:paraId="05477C3B" w14:textId="77777777" w:rsidR="00AF0398" w:rsidRDefault="00AF0398">
      <w:pPr>
        <w:widowControl/>
        <w:spacing w:beforeAutospacing="1" w:afterAutospacing="1"/>
        <w:jc w:val="center"/>
        <w:rPr>
          <w:rFonts w:ascii="Arial" w:hAnsi="Arial" w:cs="Arial"/>
          <w:sz w:val="24"/>
          <w:lang w:val="fr-FR"/>
        </w:rPr>
        <w:sectPr w:rsidR="00AF0398">
          <w:pgSz w:w="11906" w:h="16838"/>
          <w:pgMar w:top="1440" w:right="1800" w:bottom="1440" w:left="1800" w:header="851" w:footer="992" w:gutter="0"/>
          <w:cols w:space="425"/>
          <w:docGrid w:type="lines" w:linePitch="312"/>
        </w:sectPr>
      </w:pPr>
    </w:p>
    <w:p w14:paraId="2275A453" w14:textId="77777777" w:rsidR="00AF0398" w:rsidRDefault="00AF0398">
      <w:pPr>
        <w:widowControl/>
        <w:spacing w:beforeAutospacing="1" w:afterAutospacing="1"/>
        <w:rPr>
          <w:rFonts w:ascii="Arial" w:hAnsi="Arial" w:cs="Arial"/>
          <w:sz w:val="24"/>
          <w:lang w:val="fr-FR"/>
        </w:rPr>
      </w:pPr>
    </w:p>
    <w:p w14:paraId="162DC32B"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6432" behindDoc="0" locked="0" layoutInCell="1" allowOverlap="1" wp14:anchorId="1398C6B3" wp14:editId="670B8AD4">
                <wp:simplePos x="0" y="0"/>
                <wp:positionH relativeFrom="column">
                  <wp:posOffset>25400</wp:posOffset>
                </wp:positionH>
                <wp:positionV relativeFrom="paragraph">
                  <wp:posOffset>1868170</wp:posOffset>
                </wp:positionV>
                <wp:extent cx="5657215" cy="3478530"/>
                <wp:effectExtent l="4445" t="4445" r="15240" b="9525"/>
                <wp:wrapNone/>
                <wp:docPr id="14" name="Zone de texte 14"/>
                <wp:cNvGraphicFramePr/>
                <a:graphic xmlns:a="http://schemas.openxmlformats.org/drawingml/2006/main">
                  <a:graphicData uri="http://schemas.microsoft.com/office/word/2010/wordprocessingShape">
                    <wps:wsp>
                      <wps:cNvSpPr txBox="1"/>
                      <wps:spPr>
                        <a:xfrm>
                          <a:off x="0" y="0"/>
                          <a:ext cx="5657215" cy="3478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0B4270" w14:textId="77777777" w:rsidR="00AF0398" w:rsidRDefault="00C436C5">
                            <w:pPr>
                              <w:pStyle w:val="NormalWeb"/>
                              <w:rPr>
                                <w:rStyle w:val="Strong"/>
                                <w:rFonts w:ascii="Arial" w:hAnsi="Arial" w:cs="Arial"/>
                              </w:rPr>
                            </w:pPr>
                            <w:r>
                              <w:rPr>
                                <w:rStyle w:val="Strong"/>
                                <w:rFonts w:ascii="Arial" w:hAnsi="Arial" w:cs="Arial"/>
                              </w:rPr>
                              <w:t xml:space="preserve">Figure </w:t>
                            </w:r>
                            <w:r>
                              <w:rPr>
                                <w:rStyle w:val="Strong"/>
                                <w:rFonts w:ascii="Arial" w:hAnsi="Arial" w:cs="Arial"/>
                                <w:lang w:val="fr-FR"/>
                              </w:rPr>
                              <w:t>5:</w:t>
                            </w:r>
                            <w:r>
                              <w:rPr>
                                <w:rStyle w:val="Strong"/>
                                <w:rFonts w:ascii="Arial" w:hAnsi="Arial" w:cs="Arial"/>
                              </w:rPr>
                              <w:t xml:space="preserve"> Percutaneous coronary intervention of the right coronary artery and circumflex artery.</w:t>
                            </w:r>
                          </w:p>
                          <w:p w14:paraId="4F009F00"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rPr>
                              <w:t xml:space="preserve"> Dual vascular access: right radial approach for PCI of the right coronary artery, and right femoral approach for retrograde injections to assess the distal vessel bed and distal guidewire position. </w:t>
                            </w:r>
                          </w:p>
                          <w:p w14:paraId="65E09472"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Successful recanalization of the right coronary artery using a Fielder XT guidewire; sequential balloon inflations were performed to prepare the lesion. </w:t>
                            </w:r>
                          </w:p>
                          <w:p w14:paraId="73ABC442"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rPr>
                              <w:t xml:space="preserve"> Successful angioplasty of the mid–right coronary artery with implantation of a drug-eluting stent, yielding an optimal final angiographic result. </w:t>
                            </w:r>
                          </w:p>
                          <w:p w14:paraId="1F9518EE" w14:textId="77777777" w:rsidR="00AF0398" w:rsidRDefault="00C436C5">
                            <w:pPr>
                              <w:pStyle w:val="NormalWeb"/>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Successful angioplasty of the proximal circumflex artery with implantation of a drug-eluting stent, with a good final angiographic outcome</w:t>
                            </w:r>
                            <w:r>
                              <w:t>.</w:t>
                            </w:r>
                          </w:p>
                          <w:p w14:paraId="35EA2D2A" w14:textId="77777777" w:rsidR="00AF0398" w:rsidRDefault="00AF0398">
                            <w:pPr>
                              <w:rPr>
                                <w:lang w:val="fr-FR"/>
                              </w:rPr>
                            </w:pPr>
                          </w:p>
                          <w:p w14:paraId="73D381C4" w14:textId="77777777" w:rsidR="00AF0398" w:rsidRDefault="00AF0398">
                            <w:pPr>
                              <w:rPr>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98C6B3" id="Zone de texte 14" o:spid="_x0000_s1030" type="#_x0000_t202" style="position:absolute;left:0;text-align:left;margin-left:2pt;margin-top:147.1pt;width:445.45pt;height:273.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" fillcolor="white [3201]" strokeweight=".5pt">
                <v:textbox>
                  <w:txbxContent>
                    <w:p w14:paraId="540B4270" w14:textId="77777777" w:rsidR="00AF0398" w:rsidRDefault="00C436C5">
                      <w:pPr>
                        <w:pStyle w:val="NormalWeb"/>
                        <w:rPr>
                          <w:rStyle w:val="Strong"/>
                          <w:rFonts w:ascii="Arial" w:hAnsi="Arial" w:cs="Arial"/>
                        </w:rPr>
                      </w:pPr>
                      <w:r>
                        <w:rPr>
                          <w:rStyle w:val="Strong"/>
                          <w:rFonts w:ascii="Arial" w:hAnsi="Arial" w:cs="Arial"/>
                        </w:rPr>
                        <w:t xml:space="preserve">Figure </w:t>
                      </w:r>
                      <w:r>
                        <w:rPr>
                          <w:rStyle w:val="Strong"/>
                          <w:rFonts w:ascii="Arial" w:hAnsi="Arial" w:cs="Arial"/>
                          <w:lang w:val="fr-FR"/>
                        </w:rPr>
                        <w:t>5:</w:t>
                      </w:r>
                      <w:r>
                        <w:rPr>
                          <w:rStyle w:val="Strong"/>
                          <w:rFonts w:ascii="Arial" w:hAnsi="Arial" w:cs="Arial"/>
                        </w:rPr>
                        <w:t xml:space="preserve"> Percutaneous coronary intervention of the right coronary artery and circumflex artery.</w:t>
                      </w:r>
                    </w:p>
                    <w:p w14:paraId="4F009F00"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rPr>
                        <w:t xml:space="preserve"> Dual vascular access: right radial approach for PCI of the right coronary artery, and right femoral approach for retrograde injections to assess the distal vessel bed and distal guidewire position. </w:t>
                      </w:r>
                    </w:p>
                    <w:p w14:paraId="65E09472"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Successful recanalization of the right coronary artery using a Fielder XT guidewire; sequential balloon inflations were performed to prepare the lesion. </w:t>
                      </w:r>
                    </w:p>
                    <w:p w14:paraId="73ABC442"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rPr>
                        <w:t xml:space="preserve"> Successful angioplasty of the mid–right coronary artery with implantation of a drug-eluting stent, yielding an optimal final angiographic result. </w:t>
                      </w:r>
                    </w:p>
                    <w:p w14:paraId="1F9518EE" w14:textId="77777777" w:rsidR="00AF0398" w:rsidRDefault="00C436C5">
                      <w:pPr>
                        <w:pStyle w:val="NormalWeb"/>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Successful angioplasty of the proximal circumflex artery with implantation of a drug-eluting stent, with a good final angiographic outcome</w:t>
                      </w:r>
                      <w:r>
                        <w:t>.</w:t>
                      </w:r>
                    </w:p>
                    <w:p w14:paraId="35EA2D2A" w14:textId="77777777" w:rsidR="00AF0398" w:rsidRDefault="00AF0398">
                      <w:pPr>
                        <w:rPr>
                          <w:lang w:val="fr-FR"/>
                        </w:rPr>
                      </w:pPr>
                    </w:p>
                    <w:p w14:paraId="73D381C4" w14:textId="77777777" w:rsidR="00AF0398" w:rsidRDefault="00AF0398">
                      <w:pPr>
                        <w:rPr>
                          <w:lang w:val="fr-FR"/>
                        </w:rPr>
                      </w:pPr>
                    </w:p>
                  </w:txbxContent>
                </v:textbox>
              </v:shape>
            </w:pict>
          </mc:Fallback>
        </mc:AlternateContent>
      </w:r>
      <w:r>
        <w:rPr>
          <w:rFonts w:ascii="Arial" w:hAnsi="Arial" w:cs="Arial"/>
          <w:noProof/>
          <w:sz w:val="24"/>
          <w:lang w:val="fr-FR"/>
        </w:rPr>
        <w:drawing>
          <wp:inline distT="0" distB="0" distL="114300" distR="114300" wp14:anchorId="40D9E3FF" wp14:editId="020C8695">
            <wp:extent cx="5692140" cy="1631315"/>
            <wp:effectExtent l="0" t="0" r="10160" b="6985"/>
            <wp:docPr id="13" name="Image 13" descr="Capture d'écran 2026-01-07 2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apture d'écran 2026-01-07 221124"/>
                    <pic:cNvPicPr>
                      <a:picLocks noChangeAspect="1"/>
                    </pic:cNvPicPr>
                  </pic:nvPicPr>
                  <pic:blipFill>
                    <a:blip r:embed="rId18"/>
                    <a:stretch>
                      <a:fillRect/>
                    </a:stretch>
                  </pic:blipFill>
                  <pic:spPr>
                    <a:xfrm>
                      <a:off x="0" y="0"/>
                      <a:ext cx="5692140" cy="1631315"/>
                    </a:xfrm>
                    <a:prstGeom prst="rect">
                      <a:avLst/>
                    </a:prstGeom>
                  </pic:spPr>
                </pic:pic>
              </a:graphicData>
            </a:graphic>
          </wp:inline>
        </w:drawing>
      </w:r>
    </w:p>
    <w:p w14:paraId="74A5193E" w14:textId="77777777" w:rsidR="00AF0398" w:rsidRDefault="00AF0398">
      <w:pPr>
        <w:widowControl/>
        <w:spacing w:beforeAutospacing="1" w:afterAutospacing="1"/>
        <w:rPr>
          <w:rFonts w:ascii="Arial" w:hAnsi="Arial" w:cs="Arial"/>
          <w:sz w:val="24"/>
          <w:lang w:val="fr-FR"/>
        </w:rPr>
      </w:pPr>
    </w:p>
    <w:p w14:paraId="7CC64A71" w14:textId="77777777" w:rsidR="00AF0398" w:rsidRDefault="00AF0398">
      <w:pPr>
        <w:widowControl/>
        <w:spacing w:beforeAutospacing="1" w:afterAutospacing="1"/>
        <w:rPr>
          <w:rFonts w:ascii="Arial" w:hAnsi="Arial" w:cs="Arial"/>
          <w:sz w:val="24"/>
          <w:lang w:val="fr-FR"/>
        </w:rPr>
      </w:pPr>
    </w:p>
    <w:p w14:paraId="5E22D90B" w14:textId="77777777" w:rsidR="00AF0398" w:rsidRDefault="00AF0398">
      <w:pPr>
        <w:widowControl/>
        <w:spacing w:beforeAutospacing="1" w:afterAutospacing="1"/>
        <w:rPr>
          <w:rFonts w:ascii="Arial" w:hAnsi="Arial" w:cs="Arial"/>
          <w:sz w:val="24"/>
          <w:lang w:val="fr-FR"/>
        </w:rPr>
      </w:pPr>
    </w:p>
    <w:p w14:paraId="79ED6EE8" w14:textId="77777777" w:rsidR="00AF0398" w:rsidRDefault="00AF0398">
      <w:pPr>
        <w:widowControl/>
        <w:spacing w:beforeAutospacing="1" w:afterAutospacing="1"/>
        <w:rPr>
          <w:rFonts w:ascii="Arial" w:hAnsi="Arial" w:cs="Arial"/>
          <w:sz w:val="24"/>
          <w:lang w:val="fr-FR"/>
        </w:rPr>
      </w:pPr>
    </w:p>
    <w:p w14:paraId="24C4BA69" w14:textId="77777777" w:rsidR="00AF0398" w:rsidRDefault="00AF0398">
      <w:pPr>
        <w:widowControl/>
        <w:spacing w:beforeAutospacing="1" w:afterAutospacing="1"/>
        <w:rPr>
          <w:rFonts w:ascii="Arial" w:hAnsi="Arial" w:cs="Arial"/>
          <w:sz w:val="24"/>
          <w:lang w:val="fr-FR"/>
        </w:rPr>
      </w:pPr>
    </w:p>
    <w:p w14:paraId="2A301900" w14:textId="77777777" w:rsidR="00AF0398" w:rsidRDefault="00AF0398">
      <w:pPr>
        <w:widowControl/>
        <w:spacing w:beforeAutospacing="1" w:afterAutospacing="1"/>
        <w:rPr>
          <w:rFonts w:ascii="Arial" w:hAnsi="Arial" w:cs="Arial"/>
          <w:sz w:val="24"/>
          <w:lang w:val="fr-FR"/>
        </w:rPr>
      </w:pPr>
    </w:p>
    <w:p w14:paraId="123BDA16" w14:textId="77777777" w:rsidR="00AF0398" w:rsidRDefault="00AF0398">
      <w:pPr>
        <w:widowControl/>
        <w:spacing w:beforeAutospacing="1" w:afterAutospacing="1"/>
        <w:rPr>
          <w:rFonts w:ascii="Arial" w:hAnsi="Arial" w:cs="Arial"/>
          <w:sz w:val="24"/>
          <w:lang w:val="fr-FR"/>
        </w:rPr>
      </w:pPr>
    </w:p>
    <w:p w14:paraId="1D2A439A" w14:textId="77777777" w:rsidR="00AF0398" w:rsidRDefault="00AF0398">
      <w:pPr>
        <w:widowControl/>
        <w:spacing w:beforeAutospacing="1" w:afterAutospacing="1"/>
        <w:rPr>
          <w:rFonts w:ascii="Arial" w:hAnsi="Arial" w:cs="Arial"/>
          <w:sz w:val="24"/>
          <w:lang w:val="fr-FR"/>
        </w:rPr>
      </w:pPr>
    </w:p>
    <w:p w14:paraId="79703AF7" w14:textId="77777777" w:rsidR="00AF0398" w:rsidRDefault="00AF0398">
      <w:pPr>
        <w:widowControl/>
        <w:spacing w:beforeAutospacing="1" w:afterAutospacing="1"/>
        <w:rPr>
          <w:rFonts w:ascii="Arial" w:hAnsi="Arial" w:cs="Arial"/>
          <w:sz w:val="24"/>
          <w:lang w:val="fr-FR"/>
        </w:rPr>
      </w:pPr>
    </w:p>
    <w:p w14:paraId="619315A2"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59264" behindDoc="0" locked="0" layoutInCell="1" allowOverlap="1" wp14:anchorId="3593A68C" wp14:editId="7C6906F9">
                <wp:simplePos x="0" y="0"/>
                <wp:positionH relativeFrom="column">
                  <wp:posOffset>386715</wp:posOffset>
                </wp:positionH>
                <wp:positionV relativeFrom="paragraph">
                  <wp:posOffset>2912110</wp:posOffset>
                </wp:positionV>
                <wp:extent cx="4533900" cy="450850"/>
                <wp:effectExtent l="4445" t="4445" r="8255" b="14605"/>
                <wp:wrapNone/>
                <wp:docPr id="2" name="Zone de texte 2"/>
                <wp:cNvGraphicFramePr/>
                <a:graphic xmlns:a="http://schemas.openxmlformats.org/drawingml/2006/main">
                  <a:graphicData uri="http://schemas.microsoft.com/office/word/2010/wordprocessingShape">
                    <wps:wsp>
                      <wps:cNvSpPr txBox="1"/>
                      <wps:spPr>
                        <a:xfrm>
                          <a:off x="1104265" y="4232910"/>
                          <a:ext cx="4533900" cy="450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1C4839" w14:textId="77777777" w:rsidR="00AF0398" w:rsidRDefault="00C436C5">
                            <w:pPr>
                              <w:jc w:val="cente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6:</w:t>
                            </w:r>
                            <w:proofErr w:type="gramEnd"/>
                            <w:r>
                              <w:rPr>
                                <w:rFonts w:ascii="Arial" w:hAnsi="Arial" w:cs="Arial"/>
                                <w:b/>
                                <w:bCs/>
                                <w:sz w:val="24"/>
                                <w:lang w:val="fr-FR"/>
                              </w:rPr>
                              <w:t xml:space="preserve"> </w:t>
                            </w:r>
                            <w:proofErr w:type="spellStart"/>
                            <w:r>
                              <w:rPr>
                                <w:rFonts w:ascii="Arial" w:hAnsi="Arial" w:cs="Arial"/>
                                <w:sz w:val="24"/>
                                <w:lang w:val="fr-FR"/>
                              </w:rPr>
                              <w:t>Algorithm</w:t>
                            </w:r>
                            <w:proofErr w:type="spellEnd"/>
                            <w:r>
                              <w:rPr>
                                <w:rFonts w:ascii="Arial" w:hAnsi="Arial" w:cs="Arial"/>
                                <w:sz w:val="24"/>
                                <w:lang w:val="fr-FR"/>
                              </w:rPr>
                              <w:t xml:space="preserve"> </w:t>
                            </w:r>
                            <w:proofErr w:type="spellStart"/>
                            <w:r>
                              <w:rPr>
                                <w:rFonts w:ascii="Arial" w:hAnsi="Arial" w:cs="Arial"/>
                                <w:sz w:val="24"/>
                                <w:lang w:val="fr-FR"/>
                              </w:rPr>
                              <w:t>based</w:t>
                            </w:r>
                            <w:proofErr w:type="spellEnd"/>
                            <w:r>
                              <w:rPr>
                                <w:rFonts w:ascii="Arial" w:hAnsi="Arial" w:cs="Arial"/>
                                <w:sz w:val="24"/>
                                <w:lang w:val="fr-FR"/>
                              </w:rPr>
                              <w:t xml:space="preserve"> on </w:t>
                            </w:r>
                            <w:proofErr w:type="spellStart"/>
                            <w:r>
                              <w:rPr>
                                <w:rFonts w:ascii="Arial" w:hAnsi="Arial" w:cs="Arial"/>
                                <w:sz w:val="24"/>
                                <w:lang w:val="fr-FR"/>
                              </w:rPr>
                              <w:t>electrocardiographic</w:t>
                            </w:r>
                            <w:proofErr w:type="spellEnd"/>
                            <w:r>
                              <w:rPr>
                                <w:rFonts w:ascii="Arial" w:hAnsi="Arial" w:cs="Arial"/>
                                <w:sz w:val="24"/>
                                <w:lang w:val="fr-FR"/>
                              </w:rPr>
                              <w:t xml:space="preserve"> </w:t>
                            </w:r>
                            <w:proofErr w:type="spellStart"/>
                            <w:r>
                              <w:rPr>
                                <w:rFonts w:ascii="Arial" w:hAnsi="Arial" w:cs="Arial"/>
                                <w:sz w:val="24"/>
                                <w:lang w:val="fr-FR"/>
                              </w:rPr>
                              <w:t>criteria</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93A68C" id="Zone de texte 2" o:spid="_x0000_s1031" type="#_x0000_t202" style="position:absolute;left:0;text-align:left;margin-left:30.45pt;margin-top:229.3pt;width:357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" fillcolor="white [3201]" strokeweight=".5pt">
                <v:textbox>
                  <w:txbxContent>
                    <w:p w14:paraId="181C4839" w14:textId="77777777" w:rsidR="00AF0398" w:rsidRDefault="00C436C5">
                      <w:pPr>
                        <w:jc w:val="cente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6:</w:t>
                      </w:r>
                      <w:proofErr w:type="gramEnd"/>
                      <w:r>
                        <w:rPr>
                          <w:rFonts w:ascii="Arial" w:hAnsi="Arial" w:cs="Arial"/>
                          <w:b/>
                          <w:bCs/>
                          <w:sz w:val="24"/>
                          <w:lang w:val="fr-FR"/>
                        </w:rPr>
                        <w:t xml:space="preserve"> </w:t>
                      </w:r>
                      <w:proofErr w:type="spellStart"/>
                      <w:r>
                        <w:rPr>
                          <w:rFonts w:ascii="Arial" w:hAnsi="Arial" w:cs="Arial"/>
                          <w:sz w:val="24"/>
                          <w:lang w:val="fr-FR"/>
                        </w:rPr>
                        <w:t>Algorithm</w:t>
                      </w:r>
                      <w:proofErr w:type="spellEnd"/>
                      <w:r>
                        <w:rPr>
                          <w:rFonts w:ascii="Arial" w:hAnsi="Arial" w:cs="Arial"/>
                          <w:sz w:val="24"/>
                          <w:lang w:val="fr-FR"/>
                        </w:rPr>
                        <w:t xml:space="preserve"> </w:t>
                      </w:r>
                      <w:proofErr w:type="spellStart"/>
                      <w:r>
                        <w:rPr>
                          <w:rFonts w:ascii="Arial" w:hAnsi="Arial" w:cs="Arial"/>
                          <w:sz w:val="24"/>
                          <w:lang w:val="fr-FR"/>
                        </w:rPr>
                        <w:t>based</w:t>
                      </w:r>
                      <w:proofErr w:type="spellEnd"/>
                      <w:r>
                        <w:rPr>
                          <w:rFonts w:ascii="Arial" w:hAnsi="Arial" w:cs="Arial"/>
                          <w:sz w:val="24"/>
                          <w:lang w:val="fr-FR"/>
                        </w:rPr>
                        <w:t xml:space="preserve"> on </w:t>
                      </w:r>
                      <w:proofErr w:type="spellStart"/>
                      <w:r>
                        <w:rPr>
                          <w:rFonts w:ascii="Arial" w:hAnsi="Arial" w:cs="Arial"/>
                          <w:sz w:val="24"/>
                          <w:lang w:val="fr-FR"/>
                        </w:rPr>
                        <w:t>electrocardiographic</w:t>
                      </w:r>
                      <w:proofErr w:type="spellEnd"/>
                      <w:r>
                        <w:rPr>
                          <w:rFonts w:ascii="Arial" w:hAnsi="Arial" w:cs="Arial"/>
                          <w:sz w:val="24"/>
                          <w:lang w:val="fr-FR"/>
                        </w:rPr>
                        <w:t xml:space="preserve"> </w:t>
                      </w:r>
                      <w:proofErr w:type="spellStart"/>
                      <w:r>
                        <w:rPr>
                          <w:rFonts w:ascii="Arial" w:hAnsi="Arial" w:cs="Arial"/>
                          <w:sz w:val="24"/>
                          <w:lang w:val="fr-FR"/>
                        </w:rPr>
                        <w:t>criteria</w:t>
                      </w:r>
                      <w:proofErr w:type="spellEnd"/>
                    </w:p>
                  </w:txbxContent>
                </v:textbox>
              </v:shape>
            </w:pict>
          </mc:Fallback>
        </mc:AlternateContent>
      </w:r>
      <w:r>
        <w:rPr>
          <w:rFonts w:ascii="Arial" w:hAnsi="Arial" w:cs="Arial"/>
          <w:noProof/>
          <w:sz w:val="24"/>
          <w:lang w:val="fr-FR"/>
        </w:rPr>
        <w:drawing>
          <wp:inline distT="0" distB="0" distL="114300" distR="114300" wp14:anchorId="643D858D" wp14:editId="27395F3F">
            <wp:extent cx="3797935" cy="2761615"/>
            <wp:effectExtent l="0" t="0" r="12065" b="6985"/>
            <wp:docPr id="4" name="Image 4" descr="Capture d'écran 2025-12-29 0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apture d'écran 2025-12-29 011913"/>
                    <pic:cNvPicPr>
                      <a:picLocks noChangeAspect="1"/>
                    </pic:cNvPicPr>
                  </pic:nvPicPr>
                  <pic:blipFill>
                    <a:blip r:embed="rId19"/>
                    <a:stretch>
                      <a:fillRect/>
                    </a:stretch>
                  </pic:blipFill>
                  <pic:spPr>
                    <a:xfrm>
                      <a:off x="0" y="0"/>
                      <a:ext cx="3797935" cy="2761615"/>
                    </a:xfrm>
                    <a:prstGeom prst="rect">
                      <a:avLst/>
                    </a:prstGeom>
                  </pic:spPr>
                </pic:pic>
              </a:graphicData>
            </a:graphic>
          </wp:inline>
        </w:drawing>
      </w:r>
    </w:p>
    <w:p w14:paraId="62B1C416" w14:textId="77777777" w:rsidR="00AF0398" w:rsidRDefault="00AF0398">
      <w:pPr>
        <w:jc w:val="left"/>
        <w:rPr>
          <w:rFonts w:ascii="Arial" w:eastAsia="SimSun" w:hAnsi="Arial" w:cs="Arial"/>
          <w:b/>
          <w:bCs/>
          <w:sz w:val="24"/>
          <w:u w:val="single"/>
        </w:rPr>
      </w:pPr>
    </w:p>
    <w:p w14:paraId="58BC70D5" w14:textId="77777777" w:rsidR="00AF0398" w:rsidRDefault="00AF0398">
      <w:pPr>
        <w:jc w:val="left"/>
        <w:rPr>
          <w:rFonts w:ascii="Arial" w:eastAsia="SimSun" w:hAnsi="Arial" w:cs="Arial"/>
          <w:b/>
          <w:bCs/>
          <w:sz w:val="24"/>
          <w:u w:val="single"/>
        </w:rPr>
      </w:pPr>
    </w:p>
    <w:sectPr w:rsidR="00AF03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01AFB" w14:textId="77777777" w:rsidR="006759F6" w:rsidRDefault="006759F6" w:rsidP="000C3820">
      <w:r>
        <w:separator/>
      </w:r>
    </w:p>
  </w:endnote>
  <w:endnote w:type="continuationSeparator" w:id="0">
    <w:p w14:paraId="55DA61F8" w14:textId="77777777" w:rsidR="006759F6" w:rsidRDefault="006759F6" w:rsidP="000C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70F5" w14:textId="77777777" w:rsidR="000C3820" w:rsidRDefault="000C3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B7B2" w14:textId="77777777" w:rsidR="000C3820" w:rsidRDefault="000C3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E229" w14:textId="77777777" w:rsidR="000C3820" w:rsidRDefault="000C3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9389A" w14:textId="77777777" w:rsidR="006759F6" w:rsidRDefault="006759F6" w:rsidP="000C3820">
      <w:r>
        <w:separator/>
      </w:r>
    </w:p>
  </w:footnote>
  <w:footnote w:type="continuationSeparator" w:id="0">
    <w:p w14:paraId="27C01DCC" w14:textId="77777777" w:rsidR="006759F6" w:rsidRDefault="006759F6" w:rsidP="000C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DCF1" w14:textId="36F7114F" w:rsidR="000C3820" w:rsidRDefault="006759F6">
    <w:pPr>
      <w:pStyle w:val="Header"/>
    </w:pPr>
    <w:r>
      <w:rPr>
        <w:noProof/>
      </w:rPr>
      <w:pict w14:anchorId="4E128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4"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40CE" w14:textId="0078EB6B" w:rsidR="000C3820" w:rsidRDefault="006759F6">
    <w:pPr>
      <w:pStyle w:val="Header"/>
    </w:pPr>
    <w:r>
      <w:rPr>
        <w:noProof/>
      </w:rPr>
      <w:pict w14:anchorId="7C666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5"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17624" w14:textId="7AE198D4" w:rsidR="000C3820" w:rsidRDefault="006759F6">
    <w:pPr>
      <w:pStyle w:val="Header"/>
    </w:pPr>
    <w:r>
      <w:rPr>
        <w:noProof/>
      </w:rPr>
      <w:pict w14:anchorId="36FF4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3"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16AAF5"/>
    <w:multiLevelType w:val="singleLevel"/>
    <w:tmpl w:val="F016AAF5"/>
    <w:lvl w:ilvl="0">
      <w:start w:val="1"/>
      <w:numFmt w:val="decimal"/>
      <w:lvlText w:val="%1."/>
      <w:lvlJc w:val="left"/>
      <w:pPr>
        <w:tabs>
          <w:tab w:val="left" w:pos="425"/>
        </w:tabs>
        <w:ind w:left="425" w:hanging="425"/>
      </w:pPr>
      <w:rPr>
        <w:rFonts w:hint="default"/>
        <w:b/>
        <w:bCs/>
      </w:rPr>
    </w:lvl>
  </w:abstractNum>
  <w:abstractNum w:abstractNumId="1" w15:restartNumberingAfterBreak="0">
    <w:nsid w:val="62521F5B"/>
    <w:multiLevelType w:val="singleLevel"/>
    <w:tmpl w:val="62521F5B"/>
    <w:lvl w:ilvl="0">
      <w:start w:val="1"/>
      <w:numFmt w:val="upperLetter"/>
      <w:suff w:val="space"/>
      <w:lvlText w:val="(%1)"/>
      <w:lvlJc w:val="left"/>
      <w:rPr>
        <w:rFonts w:hint="default"/>
        <w:b/>
        <w:bC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grammar="clean"/>
  <w:defaultTabStop w:val="708"/>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A7C343E"/>
    <w:rsid w:val="000050E8"/>
    <w:rsid w:val="000C3820"/>
    <w:rsid w:val="006759F6"/>
    <w:rsid w:val="00965EDA"/>
    <w:rsid w:val="00A54B66"/>
    <w:rsid w:val="00AF025D"/>
    <w:rsid w:val="00AF0398"/>
    <w:rsid w:val="00C436C5"/>
    <w:rsid w:val="00F23FA8"/>
    <w:rsid w:val="036E23D0"/>
    <w:rsid w:val="06714EFB"/>
    <w:rsid w:val="0A7659E6"/>
    <w:rsid w:val="0B2360D1"/>
    <w:rsid w:val="181E508E"/>
    <w:rsid w:val="18E44A63"/>
    <w:rsid w:val="230F54CC"/>
    <w:rsid w:val="25FE7103"/>
    <w:rsid w:val="2A7C343E"/>
    <w:rsid w:val="2D6D28D0"/>
    <w:rsid w:val="2EDD3BBA"/>
    <w:rsid w:val="314B1EF5"/>
    <w:rsid w:val="3AA6604A"/>
    <w:rsid w:val="4FAD124A"/>
    <w:rsid w:val="56C83C79"/>
    <w:rsid w:val="5E4B16B6"/>
    <w:rsid w:val="640C5769"/>
    <w:rsid w:val="69B170C3"/>
    <w:rsid w:val="7C015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68547A0"/>
  <w15:docId w15:val="{A14DABA2-28C3-453E-8A55-A81857EF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character" w:styleId="Strong">
    <w:name w:val="Strong"/>
    <w:qFormat/>
    <w:rPr>
      <w:b/>
      <w:bCs/>
    </w:rPr>
  </w:style>
  <w:style w:type="character" w:styleId="Emphasis">
    <w:name w:val="Emphasis"/>
    <w:qFormat/>
    <w:rPr>
      <w:i/>
      <w:iCs/>
    </w:rPr>
  </w:style>
  <w:style w:type="paragraph" w:styleId="NormalWeb">
    <w:name w:val="Normal (Web)"/>
    <w:qFormat/>
    <w:pPr>
      <w:spacing w:beforeAutospacing="1" w:afterAutospacing="1"/>
    </w:pPr>
    <w:rPr>
      <w:sz w:val="24"/>
      <w:szCs w:val="24"/>
      <w:lang w:val="en-US" w:eastAsia="zh-CN"/>
    </w:rPr>
  </w:style>
  <w:style w:type="paragraph" w:styleId="Header">
    <w:name w:val="header"/>
    <w:basedOn w:val="Normal"/>
    <w:link w:val="HeaderChar"/>
    <w:rsid w:val="000C3820"/>
    <w:pPr>
      <w:tabs>
        <w:tab w:val="center" w:pos="4680"/>
        <w:tab w:val="right" w:pos="9360"/>
      </w:tabs>
    </w:pPr>
  </w:style>
  <w:style w:type="character" w:customStyle="1" w:styleId="HeaderChar">
    <w:name w:val="Header Char"/>
    <w:basedOn w:val="DefaultParagraphFont"/>
    <w:link w:val="Header"/>
    <w:rsid w:val="000C3820"/>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0C3820"/>
    <w:pPr>
      <w:tabs>
        <w:tab w:val="center" w:pos="4680"/>
        <w:tab w:val="right" w:pos="9360"/>
      </w:tabs>
    </w:pPr>
  </w:style>
  <w:style w:type="character" w:customStyle="1" w:styleId="FooterChar">
    <w:name w:val="Footer Char"/>
    <w:basedOn w:val="DefaultParagraphFont"/>
    <w:link w:val="Footer"/>
    <w:rsid w:val="000C3820"/>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WPS_1744056841</dc:creator>
  <cp:lastModifiedBy>SDI 1084</cp:lastModifiedBy>
  <cp:revision>5</cp:revision>
  <dcterms:created xsi:type="dcterms:W3CDTF">2025-12-28T17:59:00Z</dcterms:created>
  <dcterms:modified xsi:type="dcterms:W3CDTF">2026-01-09T11:41:00Z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1036-12.2.0.23155</vt:lpwstr>
  </property>
  <property fmtid="{D5CDD505-2E9C-101B-9397-08002B2CF9AE}" pid="3" name="ICV">
    <vt:lpwstr>E0AAA92D47A04D28B4EF9E83B62FF021_13</vt:lpwstr>
  </property>
</Properties>
</file>