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0670D" w14:textId="77777777" w:rsidR="006C068E" w:rsidRPr="006C068E" w:rsidRDefault="006C068E" w:rsidP="006C068E">
      <w:pPr>
        <w:rPr>
          <w:i/>
          <w:iCs/>
          <w:sz w:val="24"/>
          <w:szCs w:val="24"/>
          <w:u w:val="single"/>
          <w:lang w:val="en-US"/>
        </w:rPr>
      </w:pPr>
      <w:r w:rsidRPr="006C068E">
        <w:rPr>
          <w:i/>
          <w:iCs/>
          <w:sz w:val="24"/>
          <w:szCs w:val="24"/>
          <w:u w:val="single"/>
          <w:lang w:val="en-US"/>
        </w:rPr>
        <w:t xml:space="preserve">Case report </w:t>
      </w:r>
    </w:p>
    <w:p w14:paraId="776DC429" w14:textId="2BEEEB1D" w:rsidR="004606DD" w:rsidRDefault="00D604F0" w:rsidP="00FE5A7B">
      <w:pPr>
        <w:rPr>
          <w:sz w:val="24"/>
          <w:szCs w:val="24"/>
        </w:rPr>
      </w:pPr>
      <w:r>
        <w:rPr>
          <w:sz w:val="24"/>
          <w:szCs w:val="24"/>
        </w:rPr>
        <w:t>Mesenteric Neuroendocrine Tumor Presenting as Ileal Stricture and Acute Small Bowel Obstruction in an Elderly Patient</w:t>
      </w:r>
    </w:p>
    <w:p w14:paraId="67DD5FFF" w14:textId="77777777" w:rsidR="00FE5A7B" w:rsidRDefault="00FE5A7B" w:rsidP="00D604F0"/>
    <w:p w14:paraId="21F15A87" w14:textId="3F7E35A9" w:rsidR="004606DD" w:rsidRDefault="00D604F0" w:rsidP="00D604F0">
      <w:r>
        <w:t>ABSTRACT</w:t>
      </w:r>
    </w:p>
    <w:p w14:paraId="432AA491" w14:textId="77777777" w:rsidR="004606DD" w:rsidRDefault="00D604F0">
      <w:pPr>
        <w:jc w:val="both"/>
        <w:rPr>
          <w:b w:val="0"/>
          <w:bCs w:val="0"/>
        </w:rPr>
      </w:pPr>
      <w:r>
        <w:t xml:space="preserve">Background: </w:t>
      </w:r>
      <w:r>
        <w:rPr>
          <w:b w:val="0"/>
          <w:bCs w:val="0"/>
        </w:rPr>
        <w:t>Neuroendocrine tumors (NETs) are uncommon neoplasms arising from the neuroendocrine cells distributed throughout the body. These cells are most frequently found in the gastrointestinal tract. Mesenteric NETs are extremely rare and may present with features of small bowel obstruction due to fibrotic or desmoplastic reactions.</w:t>
      </w:r>
    </w:p>
    <w:p w14:paraId="55F81901" w14:textId="77777777" w:rsidR="004606DD" w:rsidRDefault="00D604F0">
      <w:pPr>
        <w:jc w:val="both"/>
        <w:rPr>
          <w:b w:val="0"/>
          <w:bCs w:val="0"/>
        </w:rPr>
      </w:pPr>
      <w:r>
        <w:t xml:space="preserve">Case Presentation: </w:t>
      </w:r>
      <w:r>
        <w:rPr>
          <w:b w:val="0"/>
          <w:bCs w:val="0"/>
        </w:rPr>
        <w:t>A 72-year-old male, known diabetic, presented with abdominal distension and obstipation for three days. Imaging revealed multiple air-fluid levels and a mesenteric soft-tissue mass with distal ileal stricture. Exploratory laparotomy showed dilated proximal small bowel loops and a 5x5 cm greyish-white mesenteric mass encasing the ileocolic artery. Right hemicolectomy with distal ileal resection and ileo-transverse anastomosis was performed with proximal covering ileostomy. Histopathological examination confirmed a well-differentiated neuroendocrine tumor of the mesentery.</w:t>
      </w:r>
    </w:p>
    <w:p w14:paraId="29E41C66" w14:textId="77777777" w:rsidR="004606DD" w:rsidRDefault="00D604F0">
      <w:pPr>
        <w:jc w:val="both"/>
        <w:rPr>
          <w:b w:val="0"/>
          <w:bCs w:val="0"/>
        </w:rPr>
      </w:pPr>
      <w:r>
        <w:t xml:space="preserve">Conclusion: </w:t>
      </w:r>
      <w:r>
        <w:rPr>
          <w:b w:val="0"/>
          <w:bCs w:val="0"/>
        </w:rPr>
        <w:t>Though mesenteric NETs are rare, it should be considered in elderly patients presenting with intestinal obstruction and mesenteric mass. Early diagnosis is important and complete surgical excision remains the cornerstone of management.</w:t>
      </w:r>
    </w:p>
    <w:p w14:paraId="2F223126" w14:textId="77777777" w:rsidR="004606DD" w:rsidRDefault="00D604F0">
      <w:pPr>
        <w:jc w:val="both"/>
      </w:pPr>
      <w:r>
        <w:t>Keywords: Mesenteric neuroendocrine tumor, Ileal stricture, Small bowel obstruction, Exploratory laparotomy, Right hemicolectomy</w:t>
      </w:r>
    </w:p>
    <w:p w14:paraId="79FEAA2C" w14:textId="77777777" w:rsidR="00D604F0" w:rsidRDefault="00D604F0">
      <w:pPr>
        <w:jc w:val="both"/>
      </w:pPr>
    </w:p>
    <w:p w14:paraId="4DC44C35" w14:textId="6658DC0C" w:rsidR="004606DD" w:rsidRDefault="00D604F0">
      <w:pPr>
        <w:jc w:val="both"/>
      </w:pPr>
      <w:r>
        <w:t>INTRODUCTION</w:t>
      </w:r>
    </w:p>
    <w:p w14:paraId="7EAC5914" w14:textId="77777777" w:rsidR="004606DD" w:rsidRDefault="00D604F0">
      <w:pPr>
        <w:jc w:val="both"/>
        <w:rPr>
          <w:b w:val="0"/>
          <w:bCs w:val="0"/>
        </w:rPr>
      </w:pPr>
      <w:r>
        <w:rPr>
          <w:b w:val="0"/>
          <w:bCs w:val="0"/>
        </w:rPr>
        <w:t>Neuroendocrine tumors (NETs) are a heterogeneous group of neoplasms originating from neuroendocrine cells. These cells are capable of producing peptide hormones and biogenic amines. The overall incidence of NETs has increased significantly over the past two decades due to improved imaging modalities and immunohistochemical diagnostic techniques. The most common sites of origin remain the gastrointestinal tract (55%) and bronchopulmonary system (25%). The small intestine has also been reported as a frequent location of primary lesion [1,2].</w:t>
      </w:r>
    </w:p>
    <w:p w14:paraId="34E24D93" w14:textId="77777777" w:rsidR="004606DD" w:rsidRDefault="00D604F0">
      <w:pPr>
        <w:jc w:val="both"/>
        <w:rPr>
          <w:b w:val="0"/>
          <w:bCs w:val="0"/>
        </w:rPr>
      </w:pPr>
      <w:r>
        <w:rPr>
          <w:b w:val="0"/>
          <w:bCs w:val="0"/>
        </w:rPr>
        <w:lastRenderedPageBreak/>
        <w:t>Small intestinal NETs (SI-NETs), particularly those arising in the ileum or jejunum, represent the most common NETs of the small bowel. These tumors often follow an indolent course and may remain asymptomatic until they reach substantial size or produce complications via mass effect, desmoplastic reaction, or metastatic spread.</w:t>
      </w:r>
    </w:p>
    <w:p w14:paraId="68C6DD3D" w14:textId="77777777" w:rsidR="004606DD" w:rsidRDefault="00D604F0">
      <w:pPr>
        <w:jc w:val="both"/>
        <w:rPr>
          <w:b w:val="0"/>
          <w:bCs w:val="0"/>
        </w:rPr>
      </w:pPr>
      <w:r>
        <w:rPr>
          <w:b w:val="0"/>
          <w:bCs w:val="0"/>
        </w:rPr>
        <w:t>Mesenteric NETs are extremely uncommon and typically present as secondary involvement from small intestinal or ileal primaries. However, primary mesenteric NETs have been reported in literature and can mimic other mesenteric neoplasms such as lymphoma, desmoid tumor, or metastatic carcinoma [3]. They often induce fibrotic and desmoplastic reactions, leading to bowel obstruction, ischemia, or kinking of small bowel loops [4,5].</w:t>
      </w:r>
    </w:p>
    <w:p w14:paraId="30224906" w14:textId="77777777" w:rsidR="004606DD" w:rsidRDefault="00D604F0">
      <w:pPr>
        <w:jc w:val="both"/>
        <w:rPr>
          <w:b w:val="0"/>
          <w:bCs w:val="0"/>
        </w:rPr>
      </w:pPr>
      <w:r>
        <w:rPr>
          <w:b w:val="0"/>
          <w:bCs w:val="0"/>
        </w:rPr>
        <w:t xml:space="preserve">A characteristic feature of mesenteric and SI-NETs is their tendency to induce mesenteric desmoplasia — a dense fibrotic stromal reaction in the mesentery, often associated with metastatic lymph nodes or nodal tumor deposits. This desmoplastic reaction may lead to retraction, kinking, vascular compression, ischemia, or </w:t>
      </w:r>
      <w:proofErr w:type="spellStart"/>
      <w:r>
        <w:rPr>
          <w:b w:val="0"/>
          <w:bCs w:val="0"/>
        </w:rPr>
        <w:t>stricturing</w:t>
      </w:r>
      <w:proofErr w:type="spellEnd"/>
      <w:r>
        <w:rPr>
          <w:b w:val="0"/>
          <w:bCs w:val="0"/>
        </w:rPr>
        <w:t xml:space="preserve"> of adjacent small bowel loops. In a subset of patients, this can manifest clinically as chronic abdominal pain, intermittent obstruction, or enteric ischemia [6,7].</w:t>
      </w:r>
    </w:p>
    <w:p w14:paraId="2E58392E" w14:textId="77777777" w:rsidR="004606DD" w:rsidRDefault="00D604F0">
      <w:pPr>
        <w:jc w:val="both"/>
        <w:rPr>
          <w:b w:val="0"/>
          <w:bCs w:val="0"/>
        </w:rPr>
      </w:pPr>
      <w:r>
        <w:rPr>
          <w:b w:val="0"/>
          <w:bCs w:val="0"/>
        </w:rPr>
        <w:t xml:space="preserve">Despite their relatively slow-growing nature, mesenteric and SI-NETs are often diagnosed at an advanced stage because early symptoms are nonspecific (e.g., vague abdominal discomfort, subacute obstruction, weight loss) and diagnostic delays are common. In many series, the mesenteric mass or nodal disease dictates </w:t>
      </w:r>
      <w:proofErr w:type="spellStart"/>
      <w:r>
        <w:rPr>
          <w:b w:val="0"/>
          <w:bCs w:val="0"/>
        </w:rPr>
        <w:t>resectability</w:t>
      </w:r>
      <w:proofErr w:type="spellEnd"/>
      <w:r>
        <w:rPr>
          <w:b w:val="0"/>
          <w:bCs w:val="0"/>
        </w:rPr>
        <w:t>. In about 10% of cases, mesenteric disease becomes locally advanced and may encase critical vascular structures, making complete (R0) resection technically unfeasible [8-11].</w:t>
      </w:r>
    </w:p>
    <w:p w14:paraId="099676ED" w14:textId="77777777" w:rsidR="004606DD" w:rsidRDefault="00D604F0">
      <w:pPr>
        <w:jc w:val="both"/>
        <w:rPr>
          <w:b w:val="0"/>
          <w:bCs w:val="0"/>
        </w:rPr>
      </w:pPr>
      <w:r>
        <w:rPr>
          <w:b w:val="0"/>
          <w:bCs w:val="0"/>
        </w:rPr>
        <w:t xml:space="preserve">Surgical resection remains the mainstay of therapy for localized mesenteric NETs, both for symptomatic relief and for oncologic control.  In symptomatic, locally advanced settings, debulking or mesenteric mass reduction may be performed to relieve obstruction or vascular compromise, even when complete resection is not possible. In one recent series, most symptomatic patients (93%) derived significant relief of obstructive symptoms following mesenteric debulking, albeit with risk of morbidity [11-16]. </w:t>
      </w:r>
    </w:p>
    <w:p w14:paraId="70D62B89" w14:textId="77777777" w:rsidR="006C490A" w:rsidRDefault="00D604F0">
      <w:pPr>
        <w:jc w:val="both"/>
        <w:rPr>
          <w:b w:val="0"/>
          <w:bCs w:val="0"/>
        </w:rPr>
      </w:pPr>
      <w:r>
        <w:rPr>
          <w:b w:val="0"/>
          <w:bCs w:val="0"/>
        </w:rPr>
        <w:t>In this report, we describe a rare presentation of a 72-year-old diabetic male with acute-on-chronic small bowel obstruction secondary to a distal ileal stricture caused by a mesenteric well-differentiated neuroendocrine tumor encasing the ileocolic artery. This case underscores the diagnostic challenges, surgical decision-making, and pathobiology of mesenteric NETs causing bowel compromise.</w:t>
      </w:r>
    </w:p>
    <w:p w14:paraId="7E04BEA0" w14:textId="296ACDF1" w:rsidR="004606DD" w:rsidRPr="006C490A" w:rsidRDefault="001B398D">
      <w:pPr>
        <w:jc w:val="both"/>
        <w:rPr>
          <w:b w:val="0"/>
          <w:bCs w:val="0"/>
        </w:rPr>
      </w:pPr>
      <w:r>
        <w:t xml:space="preserve">Case presentation </w:t>
      </w:r>
    </w:p>
    <w:p w14:paraId="1711FB29" w14:textId="77777777" w:rsidR="004606DD" w:rsidRDefault="00D604F0">
      <w:pPr>
        <w:jc w:val="both"/>
        <w:rPr>
          <w:b w:val="0"/>
          <w:bCs w:val="0"/>
        </w:rPr>
      </w:pPr>
      <w:r>
        <w:rPr>
          <w:b w:val="0"/>
          <w:bCs w:val="0"/>
        </w:rPr>
        <w:lastRenderedPageBreak/>
        <w:t>This was a single case-based observational study conducted in the Department of Surgical Oncology at a tertiary care teaching hospital. The patient, a 72-year-old diabetic male, presented with features of intestinal obstruction. After obtaining informed consent, all relevant clinical, biochemical, and imaging evaluations were performed.</w:t>
      </w:r>
    </w:p>
    <w:p w14:paraId="27DD1143" w14:textId="77777777" w:rsidR="004606DD" w:rsidRDefault="00D604F0">
      <w:pPr>
        <w:jc w:val="both"/>
        <w:rPr>
          <w:b w:val="0"/>
          <w:bCs w:val="0"/>
        </w:rPr>
      </w:pPr>
      <w:r>
        <w:rPr>
          <w:b w:val="0"/>
          <w:bCs w:val="0"/>
        </w:rPr>
        <w:t>X-ray abdomen in erect posture revealed multiple air-fluid levels. Sluggish peristalsis with gaseous abdomen was noted in ultrasonography. Contrast enhanced CT scan of abdomen showed dilated small bowel loops with distal ileal stricture. Mesenteric soft tissue mass was noted encasing the ileocolic artery.</w:t>
      </w:r>
    </w:p>
    <w:p w14:paraId="66EC081C" w14:textId="77777777" w:rsidR="004606DD" w:rsidRDefault="00D604F0">
      <w:pPr>
        <w:jc w:val="both"/>
        <w:rPr>
          <w:b w:val="0"/>
          <w:bCs w:val="0"/>
        </w:rPr>
      </w:pPr>
      <w:r>
        <w:rPr>
          <w:b w:val="0"/>
          <w:bCs w:val="0"/>
        </w:rPr>
        <w:t>Routine hematological and biochemical parameters were recorded (table 1).</w:t>
      </w:r>
    </w:p>
    <w:sdt>
      <w:sdtPr>
        <w:tag w:val="goog_rdk_0"/>
        <w:id w:val="1008237125"/>
        <w:lock w:val="contentLocked"/>
      </w:sdtPr>
      <w:sdtEndPr/>
      <w:sdtContent>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606DD" w14:paraId="0CB20B9C" w14:textId="77777777">
            <w:tc>
              <w:tcPr>
                <w:tcW w:w="3120" w:type="dxa"/>
                <w:tcMar>
                  <w:top w:w="100" w:type="dxa"/>
                  <w:left w:w="100" w:type="dxa"/>
                  <w:bottom w:w="100" w:type="dxa"/>
                  <w:right w:w="100" w:type="dxa"/>
                </w:tcMar>
              </w:tcPr>
              <w:p w14:paraId="08001309" w14:textId="77777777" w:rsidR="004606DD" w:rsidRDefault="00D604F0">
                <w:pPr>
                  <w:widowControl w:val="0"/>
                  <w:pBdr>
                    <w:top w:val="nil"/>
                    <w:left w:val="nil"/>
                    <w:bottom w:val="nil"/>
                    <w:right w:val="nil"/>
                    <w:between w:val="nil"/>
                  </w:pBdr>
                  <w:spacing w:after="0" w:line="240" w:lineRule="auto"/>
                  <w:rPr>
                    <w:b w:val="0"/>
                    <w:bCs w:val="0"/>
                  </w:rPr>
                </w:pPr>
                <w:r>
                  <w:rPr>
                    <w:b w:val="0"/>
                    <w:bCs w:val="0"/>
                  </w:rPr>
                  <w:t>Parameter</w:t>
                </w:r>
              </w:p>
            </w:tc>
            <w:tc>
              <w:tcPr>
                <w:tcW w:w="3120" w:type="dxa"/>
                <w:tcMar>
                  <w:top w:w="100" w:type="dxa"/>
                  <w:left w:w="100" w:type="dxa"/>
                  <w:bottom w:w="100" w:type="dxa"/>
                  <w:right w:w="100" w:type="dxa"/>
                </w:tcMar>
              </w:tcPr>
              <w:p w14:paraId="05E6F33A" w14:textId="77777777" w:rsidR="004606DD" w:rsidRDefault="00D604F0">
                <w:pPr>
                  <w:widowControl w:val="0"/>
                  <w:pBdr>
                    <w:top w:val="nil"/>
                    <w:left w:val="nil"/>
                    <w:bottom w:val="nil"/>
                    <w:right w:val="nil"/>
                    <w:between w:val="nil"/>
                  </w:pBdr>
                  <w:spacing w:after="0" w:line="240" w:lineRule="auto"/>
                  <w:rPr>
                    <w:b w:val="0"/>
                    <w:bCs w:val="0"/>
                  </w:rPr>
                </w:pPr>
                <w:r>
                  <w:rPr>
                    <w:b w:val="0"/>
                    <w:bCs w:val="0"/>
                  </w:rPr>
                  <w:t>Patient Value</w:t>
                </w:r>
              </w:p>
            </w:tc>
            <w:tc>
              <w:tcPr>
                <w:tcW w:w="3120" w:type="dxa"/>
                <w:tcMar>
                  <w:top w:w="100" w:type="dxa"/>
                  <w:left w:w="100" w:type="dxa"/>
                  <w:bottom w:w="100" w:type="dxa"/>
                  <w:right w:w="100" w:type="dxa"/>
                </w:tcMar>
              </w:tcPr>
              <w:p w14:paraId="080D98F8" w14:textId="77777777" w:rsidR="004606DD" w:rsidRDefault="00D604F0">
                <w:pPr>
                  <w:widowControl w:val="0"/>
                  <w:pBdr>
                    <w:top w:val="nil"/>
                    <w:left w:val="nil"/>
                    <w:bottom w:val="nil"/>
                    <w:right w:val="nil"/>
                    <w:between w:val="nil"/>
                  </w:pBdr>
                  <w:spacing w:after="0" w:line="240" w:lineRule="auto"/>
                  <w:rPr>
                    <w:b w:val="0"/>
                    <w:bCs w:val="0"/>
                  </w:rPr>
                </w:pPr>
                <w:r>
                  <w:rPr>
                    <w:b w:val="0"/>
                    <w:bCs w:val="0"/>
                  </w:rPr>
                  <w:t>Reference Range</w:t>
                </w:r>
              </w:p>
            </w:tc>
          </w:tr>
          <w:tr w:rsidR="004606DD" w14:paraId="5E15C4E4" w14:textId="77777777">
            <w:tc>
              <w:tcPr>
                <w:tcW w:w="3120" w:type="dxa"/>
                <w:tcMar>
                  <w:top w:w="100" w:type="dxa"/>
                  <w:left w:w="100" w:type="dxa"/>
                  <w:bottom w:w="100" w:type="dxa"/>
                  <w:right w:w="100" w:type="dxa"/>
                </w:tcMar>
              </w:tcPr>
              <w:p w14:paraId="257404EA" w14:textId="77777777" w:rsidR="004606DD" w:rsidRDefault="00D604F0">
                <w:pPr>
                  <w:widowControl w:val="0"/>
                  <w:pBdr>
                    <w:top w:val="nil"/>
                    <w:left w:val="nil"/>
                    <w:bottom w:val="nil"/>
                    <w:right w:val="nil"/>
                    <w:between w:val="nil"/>
                  </w:pBdr>
                  <w:spacing w:after="0" w:line="240" w:lineRule="auto"/>
                  <w:rPr>
                    <w:b w:val="0"/>
                    <w:bCs w:val="0"/>
                  </w:rPr>
                </w:pPr>
                <w:r>
                  <w:rPr>
                    <w:b w:val="0"/>
                    <w:bCs w:val="0"/>
                  </w:rPr>
                  <w:t>Hemoglobin</w:t>
                </w:r>
              </w:p>
            </w:tc>
            <w:tc>
              <w:tcPr>
                <w:tcW w:w="3120" w:type="dxa"/>
                <w:tcMar>
                  <w:top w:w="100" w:type="dxa"/>
                  <w:left w:w="100" w:type="dxa"/>
                  <w:bottom w:w="100" w:type="dxa"/>
                  <w:right w:w="100" w:type="dxa"/>
                </w:tcMar>
              </w:tcPr>
              <w:p w14:paraId="6EED430C" w14:textId="77777777" w:rsidR="004606DD" w:rsidRDefault="00D604F0">
                <w:pPr>
                  <w:widowControl w:val="0"/>
                  <w:pBdr>
                    <w:top w:val="nil"/>
                    <w:left w:val="nil"/>
                    <w:bottom w:val="nil"/>
                    <w:right w:val="nil"/>
                    <w:between w:val="nil"/>
                  </w:pBdr>
                  <w:spacing w:after="0" w:line="240" w:lineRule="auto"/>
                  <w:rPr>
                    <w:b w:val="0"/>
                    <w:bCs w:val="0"/>
                  </w:rPr>
                </w:pPr>
                <w:r>
                  <w:rPr>
                    <w:b w:val="0"/>
                    <w:bCs w:val="0"/>
                  </w:rPr>
                  <w:t>8.2 g/dl</w:t>
                </w:r>
              </w:p>
            </w:tc>
            <w:tc>
              <w:tcPr>
                <w:tcW w:w="3120" w:type="dxa"/>
                <w:tcMar>
                  <w:top w:w="100" w:type="dxa"/>
                  <w:left w:w="100" w:type="dxa"/>
                  <w:bottom w:w="100" w:type="dxa"/>
                  <w:right w:w="100" w:type="dxa"/>
                </w:tcMar>
              </w:tcPr>
              <w:p w14:paraId="1F320C7C" w14:textId="77777777" w:rsidR="004606DD" w:rsidRDefault="00D604F0">
                <w:pPr>
                  <w:widowControl w:val="0"/>
                  <w:pBdr>
                    <w:top w:val="nil"/>
                    <w:left w:val="nil"/>
                    <w:bottom w:val="nil"/>
                    <w:right w:val="nil"/>
                    <w:between w:val="nil"/>
                  </w:pBdr>
                  <w:spacing w:after="0" w:line="240" w:lineRule="auto"/>
                  <w:rPr>
                    <w:b w:val="0"/>
                    <w:bCs w:val="0"/>
                  </w:rPr>
                </w:pPr>
                <w:r>
                  <w:rPr>
                    <w:b w:val="0"/>
                    <w:bCs w:val="0"/>
                  </w:rPr>
                  <w:t>12-16 g/dl</w:t>
                </w:r>
              </w:p>
            </w:tc>
          </w:tr>
          <w:tr w:rsidR="004606DD" w14:paraId="385CF981" w14:textId="77777777">
            <w:tc>
              <w:tcPr>
                <w:tcW w:w="3120" w:type="dxa"/>
                <w:tcMar>
                  <w:top w:w="100" w:type="dxa"/>
                  <w:left w:w="100" w:type="dxa"/>
                  <w:bottom w:w="100" w:type="dxa"/>
                  <w:right w:w="100" w:type="dxa"/>
                </w:tcMar>
              </w:tcPr>
              <w:p w14:paraId="042F427D" w14:textId="77777777" w:rsidR="004606DD" w:rsidRDefault="00D604F0">
                <w:pPr>
                  <w:widowControl w:val="0"/>
                  <w:pBdr>
                    <w:top w:val="nil"/>
                    <w:left w:val="nil"/>
                    <w:bottom w:val="nil"/>
                    <w:right w:val="nil"/>
                    <w:between w:val="nil"/>
                  </w:pBdr>
                  <w:spacing w:after="0" w:line="240" w:lineRule="auto"/>
                  <w:rPr>
                    <w:b w:val="0"/>
                    <w:bCs w:val="0"/>
                  </w:rPr>
                </w:pPr>
                <w:r>
                  <w:rPr>
                    <w:b w:val="0"/>
                    <w:bCs w:val="0"/>
                  </w:rPr>
                  <w:t>Total Leukocyte Count (TLC)</w:t>
                </w:r>
              </w:p>
            </w:tc>
            <w:tc>
              <w:tcPr>
                <w:tcW w:w="3120" w:type="dxa"/>
                <w:tcMar>
                  <w:top w:w="100" w:type="dxa"/>
                  <w:left w:w="100" w:type="dxa"/>
                  <w:bottom w:w="100" w:type="dxa"/>
                  <w:right w:w="100" w:type="dxa"/>
                </w:tcMar>
              </w:tcPr>
              <w:p w14:paraId="241658DA" w14:textId="77777777" w:rsidR="004606DD" w:rsidRDefault="00D604F0">
                <w:pPr>
                  <w:widowControl w:val="0"/>
                  <w:pBdr>
                    <w:top w:val="nil"/>
                    <w:left w:val="nil"/>
                    <w:bottom w:val="nil"/>
                    <w:right w:val="nil"/>
                    <w:between w:val="nil"/>
                  </w:pBdr>
                  <w:spacing w:after="0" w:line="240" w:lineRule="auto"/>
                  <w:rPr>
                    <w:b w:val="0"/>
                    <w:bCs w:val="0"/>
                  </w:rPr>
                </w:pPr>
                <w:r>
                  <w:rPr>
                    <w:b w:val="0"/>
                    <w:bCs w:val="0"/>
                  </w:rPr>
                  <w:t>6400/mm³</w:t>
                </w:r>
              </w:p>
            </w:tc>
            <w:tc>
              <w:tcPr>
                <w:tcW w:w="3120" w:type="dxa"/>
                <w:tcMar>
                  <w:top w:w="100" w:type="dxa"/>
                  <w:left w:w="100" w:type="dxa"/>
                  <w:bottom w:w="100" w:type="dxa"/>
                  <w:right w:w="100" w:type="dxa"/>
                </w:tcMar>
              </w:tcPr>
              <w:p w14:paraId="085B79D1" w14:textId="77777777" w:rsidR="004606DD" w:rsidRDefault="00D604F0">
                <w:pPr>
                  <w:widowControl w:val="0"/>
                  <w:pBdr>
                    <w:top w:val="nil"/>
                    <w:left w:val="nil"/>
                    <w:bottom w:val="nil"/>
                    <w:right w:val="nil"/>
                    <w:between w:val="nil"/>
                  </w:pBdr>
                  <w:spacing w:after="0" w:line="240" w:lineRule="auto"/>
                  <w:rPr>
                    <w:b w:val="0"/>
                    <w:bCs w:val="0"/>
                  </w:rPr>
                </w:pPr>
                <w:r>
                  <w:rPr>
                    <w:b w:val="0"/>
                    <w:bCs w:val="0"/>
                  </w:rPr>
                  <w:t>4000-11000/mm³</w:t>
                </w:r>
              </w:p>
            </w:tc>
          </w:tr>
          <w:tr w:rsidR="004606DD" w14:paraId="65D2155C" w14:textId="77777777">
            <w:tc>
              <w:tcPr>
                <w:tcW w:w="3120" w:type="dxa"/>
                <w:tcMar>
                  <w:top w:w="100" w:type="dxa"/>
                  <w:left w:w="100" w:type="dxa"/>
                  <w:bottom w:w="100" w:type="dxa"/>
                  <w:right w:w="100" w:type="dxa"/>
                </w:tcMar>
              </w:tcPr>
              <w:p w14:paraId="61DC94A4" w14:textId="77777777" w:rsidR="004606DD" w:rsidRDefault="00D604F0">
                <w:pPr>
                  <w:widowControl w:val="0"/>
                  <w:pBdr>
                    <w:top w:val="nil"/>
                    <w:left w:val="nil"/>
                    <w:bottom w:val="nil"/>
                    <w:right w:val="nil"/>
                    <w:between w:val="nil"/>
                  </w:pBdr>
                  <w:spacing w:after="0" w:line="240" w:lineRule="auto"/>
                  <w:rPr>
                    <w:b w:val="0"/>
                    <w:bCs w:val="0"/>
                  </w:rPr>
                </w:pPr>
                <w:r>
                  <w:rPr>
                    <w:b w:val="0"/>
                    <w:bCs w:val="0"/>
                  </w:rPr>
                  <w:t>Urea</w:t>
                </w:r>
              </w:p>
            </w:tc>
            <w:tc>
              <w:tcPr>
                <w:tcW w:w="3120" w:type="dxa"/>
                <w:tcMar>
                  <w:top w:w="100" w:type="dxa"/>
                  <w:left w:w="100" w:type="dxa"/>
                  <w:bottom w:w="100" w:type="dxa"/>
                  <w:right w:w="100" w:type="dxa"/>
                </w:tcMar>
              </w:tcPr>
              <w:p w14:paraId="663F3C0E" w14:textId="77777777" w:rsidR="004606DD" w:rsidRDefault="00D604F0">
                <w:pPr>
                  <w:widowControl w:val="0"/>
                  <w:pBdr>
                    <w:top w:val="nil"/>
                    <w:left w:val="nil"/>
                    <w:bottom w:val="nil"/>
                    <w:right w:val="nil"/>
                    <w:between w:val="nil"/>
                  </w:pBdr>
                  <w:spacing w:after="0" w:line="240" w:lineRule="auto"/>
                  <w:rPr>
                    <w:b w:val="0"/>
                    <w:bCs w:val="0"/>
                  </w:rPr>
                </w:pPr>
                <w:r>
                  <w:rPr>
                    <w:b w:val="0"/>
                    <w:bCs w:val="0"/>
                  </w:rPr>
                  <w:t>44 mg/dl</w:t>
                </w:r>
              </w:p>
            </w:tc>
            <w:tc>
              <w:tcPr>
                <w:tcW w:w="3120" w:type="dxa"/>
                <w:tcMar>
                  <w:top w:w="100" w:type="dxa"/>
                  <w:left w:w="100" w:type="dxa"/>
                  <w:bottom w:w="100" w:type="dxa"/>
                  <w:right w:w="100" w:type="dxa"/>
                </w:tcMar>
              </w:tcPr>
              <w:p w14:paraId="22EFD52E" w14:textId="77777777" w:rsidR="004606DD" w:rsidRDefault="00D604F0">
                <w:pPr>
                  <w:widowControl w:val="0"/>
                  <w:pBdr>
                    <w:top w:val="nil"/>
                    <w:left w:val="nil"/>
                    <w:bottom w:val="nil"/>
                    <w:right w:val="nil"/>
                    <w:between w:val="nil"/>
                  </w:pBdr>
                  <w:spacing w:after="0" w:line="240" w:lineRule="auto"/>
                  <w:rPr>
                    <w:b w:val="0"/>
                    <w:bCs w:val="0"/>
                  </w:rPr>
                </w:pPr>
                <w:r>
                  <w:rPr>
                    <w:b w:val="0"/>
                    <w:bCs w:val="0"/>
                  </w:rPr>
                  <w:t>15-45 mg/dl</w:t>
                </w:r>
              </w:p>
            </w:tc>
          </w:tr>
          <w:tr w:rsidR="004606DD" w14:paraId="363F61A1" w14:textId="77777777">
            <w:tc>
              <w:tcPr>
                <w:tcW w:w="3120" w:type="dxa"/>
                <w:tcMar>
                  <w:top w:w="100" w:type="dxa"/>
                  <w:left w:w="100" w:type="dxa"/>
                  <w:bottom w:w="100" w:type="dxa"/>
                  <w:right w:w="100" w:type="dxa"/>
                </w:tcMar>
              </w:tcPr>
              <w:p w14:paraId="478A477C" w14:textId="77777777" w:rsidR="004606DD" w:rsidRDefault="00D604F0">
                <w:pPr>
                  <w:widowControl w:val="0"/>
                  <w:pBdr>
                    <w:top w:val="nil"/>
                    <w:left w:val="nil"/>
                    <w:bottom w:val="nil"/>
                    <w:right w:val="nil"/>
                    <w:between w:val="nil"/>
                  </w:pBdr>
                  <w:spacing w:after="0" w:line="240" w:lineRule="auto"/>
                  <w:rPr>
                    <w:b w:val="0"/>
                    <w:bCs w:val="0"/>
                  </w:rPr>
                </w:pPr>
                <w:r>
                  <w:rPr>
                    <w:b w:val="0"/>
                    <w:bCs w:val="0"/>
                  </w:rPr>
                  <w:t>Creatinine</w:t>
                </w:r>
              </w:p>
            </w:tc>
            <w:tc>
              <w:tcPr>
                <w:tcW w:w="3120" w:type="dxa"/>
                <w:tcMar>
                  <w:top w:w="100" w:type="dxa"/>
                  <w:left w:w="100" w:type="dxa"/>
                  <w:bottom w:w="100" w:type="dxa"/>
                  <w:right w:w="100" w:type="dxa"/>
                </w:tcMar>
              </w:tcPr>
              <w:p w14:paraId="1EE52A74" w14:textId="77777777" w:rsidR="004606DD" w:rsidRDefault="00D604F0">
                <w:pPr>
                  <w:widowControl w:val="0"/>
                  <w:pBdr>
                    <w:top w:val="nil"/>
                    <w:left w:val="nil"/>
                    <w:bottom w:val="nil"/>
                    <w:right w:val="nil"/>
                    <w:between w:val="nil"/>
                  </w:pBdr>
                  <w:spacing w:after="0" w:line="240" w:lineRule="auto"/>
                  <w:rPr>
                    <w:b w:val="0"/>
                    <w:bCs w:val="0"/>
                  </w:rPr>
                </w:pPr>
                <w:r>
                  <w:rPr>
                    <w:b w:val="0"/>
                    <w:bCs w:val="0"/>
                  </w:rPr>
                  <w:t>1.1 mg/dl</w:t>
                </w:r>
              </w:p>
            </w:tc>
            <w:tc>
              <w:tcPr>
                <w:tcW w:w="3120" w:type="dxa"/>
                <w:tcMar>
                  <w:top w:w="100" w:type="dxa"/>
                  <w:left w:w="100" w:type="dxa"/>
                  <w:bottom w:w="100" w:type="dxa"/>
                  <w:right w:w="100" w:type="dxa"/>
                </w:tcMar>
              </w:tcPr>
              <w:p w14:paraId="589A65C7" w14:textId="77777777" w:rsidR="004606DD" w:rsidRDefault="00D604F0">
                <w:pPr>
                  <w:widowControl w:val="0"/>
                  <w:pBdr>
                    <w:top w:val="nil"/>
                    <w:left w:val="nil"/>
                    <w:bottom w:val="nil"/>
                    <w:right w:val="nil"/>
                    <w:between w:val="nil"/>
                  </w:pBdr>
                  <w:spacing w:after="0" w:line="240" w:lineRule="auto"/>
                  <w:rPr>
                    <w:b w:val="0"/>
                    <w:bCs w:val="0"/>
                  </w:rPr>
                </w:pPr>
                <w:r>
                  <w:rPr>
                    <w:b w:val="0"/>
                    <w:bCs w:val="0"/>
                  </w:rPr>
                  <w:t>0.4-1.5 mg/dl</w:t>
                </w:r>
              </w:p>
            </w:tc>
          </w:tr>
          <w:tr w:rsidR="004606DD" w14:paraId="5B7A7F98" w14:textId="77777777">
            <w:tc>
              <w:tcPr>
                <w:tcW w:w="3120" w:type="dxa"/>
                <w:tcMar>
                  <w:top w:w="100" w:type="dxa"/>
                  <w:left w:w="100" w:type="dxa"/>
                  <w:bottom w:w="100" w:type="dxa"/>
                  <w:right w:w="100" w:type="dxa"/>
                </w:tcMar>
              </w:tcPr>
              <w:p w14:paraId="38912B44" w14:textId="77777777" w:rsidR="004606DD" w:rsidRDefault="00D604F0">
                <w:pPr>
                  <w:widowControl w:val="0"/>
                  <w:pBdr>
                    <w:top w:val="nil"/>
                    <w:left w:val="nil"/>
                    <w:bottom w:val="nil"/>
                    <w:right w:val="nil"/>
                    <w:between w:val="nil"/>
                  </w:pBdr>
                  <w:spacing w:after="0" w:line="240" w:lineRule="auto"/>
                  <w:rPr>
                    <w:b w:val="0"/>
                    <w:bCs w:val="0"/>
                  </w:rPr>
                </w:pPr>
                <w:r>
                  <w:rPr>
                    <w:b w:val="0"/>
                    <w:bCs w:val="0"/>
                  </w:rPr>
                  <w:t>Sodium</w:t>
                </w:r>
              </w:p>
            </w:tc>
            <w:tc>
              <w:tcPr>
                <w:tcW w:w="3120" w:type="dxa"/>
                <w:tcMar>
                  <w:top w:w="100" w:type="dxa"/>
                  <w:left w:w="100" w:type="dxa"/>
                  <w:bottom w:w="100" w:type="dxa"/>
                  <w:right w:w="100" w:type="dxa"/>
                </w:tcMar>
              </w:tcPr>
              <w:p w14:paraId="34359803" w14:textId="77777777" w:rsidR="004606DD" w:rsidRDefault="00D604F0">
                <w:pPr>
                  <w:widowControl w:val="0"/>
                  <w:pBdr>
                    <w:top w:val="nil"/>
                    <w:left w:val="nil"/>
                    <w:bottom w:val="nil"/>
                    <w:right w:val="nil"/>
                    <w:between w:val="nil"/>
                  </w:pBdr>
                  <w:spacing w:after="0" w:line="240" w:lineRule="auto"/>
                  <w:rPr>
                    <w:b w:val="0"/>
                    <w:bCs w:val="0"/>
                  </w:rPr>
                </w:pPr>
                <w:r>
                  <w:rPr>
                    <w:b w:val="0"/>
                    <w:bCs w:val="0"/>
                  </w:rPr>
                  <w:t>134 mmol/L</w:t>
                </w:r>
              </w:p>
            </w:tc>
            <w:tc>
              <w:tcPr>
                <w:tcW w:w="3120" w:type="dxa"/>
                <w:tcMar>
                  <w:top w:w="100" w:type="dxa"/>
                  <w:left w:w="100" w:type="dxa"/>
                  <w:bottom w:w="100" w:type="dxa"/>
                  <w:right w:w="100" w:type="dxa"/>
                </w:tcMar>
              </w:tcPr>
              <w:p w14:paraId="0715696F" w14:textId="77777777" w:rsidR="004606DD" w:rsidRDefault="00D604F0">
                <w:pPr>
                  <w:widowControl w:val="0"/>
                  <w:pBdr>
                    <w:top w:val="nil"/>
                    <w:left w:val="nil"/>
                    <w:bottom w:val="nil"/>
                    <w:right w:val="nil"/>
                    <w:between w:val="nil"/>
                  </w:pBdr>
                  <w:spacing w:after="0" w:line="240" w:lineRule="auto"/>
                  <w:rPr>
                    <w:b w:val="0"/>
                    <w:bCs w:val="0"/>
                  </w:rPr>
                </w:pPr>
                <w:r>
                  <w:rPr>
                    <w:b w:val="0"/>
                    <w:bCs w:val="0"/>
                  </w:rPr>
                  <w:t>135-145 mmol/L</w:t>
                </w:r>
              </w:p>
            </w:tc>
          </w:tr>
          <w:tr w:rsidR="004606DD" w14:paraId="3710E2AD" w14:textId="77777777">
            <w:tc>
              <w:tcPr>
                <w:tcW w:w="3120" w:type="dxa"/>
                <w:tcMar>
                  <w:top w:w="100" w:type="dxa"/>
                  <w:left w:w="100" w:type="dxa"/>
                  <w:bottom w:w="100" w:type="dxa"/>
                  <w:right w:w="100" w:type="dxa"/>
                </w:tcMar>
              </w:tcPr>
              <w:p w14:paraId="057DD3DF" w14:textId="77777777" w:rsidR="004606DD" w:rsidRDefault="00D604F0">
                <w:pPr>
                  <w:widowControl w:val="0"/>
                  <w:pBdr>
                    <w:top w:val="nil"/>
                    <w:left w:val="nil"/>
                    <w:bottom w:val="nil"/>
                    <w:right w:val="nil"/>
                    <w:between w:val="nil"/>
                  </w:pBdr>
                  <w:spacing w:after="0" w:line="240" w:lineRule="auto"/>
                  <w:rPr>
                    <w:b w:val="0"/>
                    <w:bCs w:val="0"/>
                  </w:rPr>
                </w:pPr>
                <w:r>
                  <w:rPr>
                    <w:b w:val="0"/>
                    <w:bCs w:val="0"/>
                  </w:rPr>
                  <w:t>Potassium</w:t>
                </w:r>
              </w:p>
            </w:tc>
            <w:tc>
              <w:tcPr>
                <w:tcW w:w="3120" w:type="dxa"/>
                <w:tcMar>
                  <w:top w:w="100" w:type="dxa"/>
                  <w:left w:w="100" w:type="dxa"/>
                  <w:bottom w:w="100" w:type="dxa"/>
                  <w:right w:w="100" w:type="dxa"/>
                </w:tcMar>
              </w:tcPr>
              <w:p w14:paraId="4735C9D5" w14:textId="77777777" w:rsidR="004606DD" w:rsidRDefault="00D604F0">
                <w:pPr>
                  <w:widowControl w:val="0"/>
                  <w:pBdr>
                    <w:top w:val="nil"/>
                    <w:left w:val="nil"/>
                    <w:bottom w:val="nil"/>
                    <w:right w:val="nil"/>
                    <w:between w:val="nil"/>
                  </w:pBdr>
                  <w:spacing w:after="0" w:line="240" w:lineRule="auto"/>
                  <w:rPr>
                    <w:b w:val="0"/>
                    <w:bCs w:val="0"/>
                  </w:rPr>
                </w:pPr>
                <w:r>
                  <w:rPr>
                    <w:b w:val="0"/>
                    <w:bCs w:val="0"/>
                  </w:rPr>
                  <w:t>3.1 mmol/L</w:t>
                </w:r>
              </w:p>
            </w:tc>
            <w:tc>
              <w:tcPr>
                <w:tcW w:w="3120" w:type="dxa"/>
                <w:tcMar>
                  <w:top w:w="100" w:type="dxa"/>
                  <w:left w:w="100" w:type="dxa"/>
                  <w:bottom w:w="100" w:type="dxa"/>
                  <w:right w:w="100" w:type="dxa"/>
                </w:tcMar>
              </w:tcPr>
              <w:p w14:paraId="758CD694" w14:textId="77777777" w:rsidR="004606DD" w:rsidRDefault="00D604F0">
                <w:pPr>
                  <w:widowControl w:val="0"/>
                  <w:pBdr>
                    <w:top w:val="nil"/>
                    <w:left w:val="nil"/>
                    <w:bottom w:val="nil"/>
                    <w:right w:val="nil"/>
                    <w:between w:val="nil"/>
                  </w:pBdr>
                  <w:spacing w:after="0" w:line="240" w:lineRule="auto"/>
                  <w:rPr>
                    <w:b w:val="0"/>
                    <w:bCs w:val="0"/>
                  </w:rPr>
                </w:pPr>
                <w:r>
                  <w:rPr>
                    <w:b w:val="0"/>
                    <w:bCs w:val="0"/>
                  </w:rPr>
                  <w:t>3.5-5.5 mmol/L</w:t>
                </w:r>
              </w:p>
            </w:tc>
          </w:tr>
          <w:tr w:rsidR="004606DD" w14:paraId="6C79BA9D" w14:textId="77777777">
            <w:tc>
              <w:tcPr>
                <w:tcW w:w="3120" w:type="dxa"/>
                <w:tcMar>
                  <w:top w:w="100" w:type="dxa"/>
                  <w:left w:w="100" w:type="dxa"/>
                  <w:bottom w:w="100" w:type="dxa"/>
                  <w:right w:w="100" w:type="dxa"/>
                </w:tcMar>
              </w:tcPr>
              <w:p w14:paraId="1DD4EAE1" w14:textId="77777777" w:rsidR="004606DD" w:rsidRDefault="00D604F0">
                <w:pPr>
                  <w:widowControl w:val="0"/>
                  <w:pBdr>
                    <w:top w:val="nil"/>
                    <w:left w:val="nil"/>
                    <w:bottom w:val="nil"/>
                    <w:right w:val="nil"/>
                    <w:between w:val="nil"/>
                  </w:pBdr>
                  <w:spacing w:after="0" w:line="240" w:lineRule="auto"/>
                  <w:rPr>
                    <w:b w:val="0"/>
                    <w:bCs w:val="0"/>
                  </w:rPr>
                </w:pPr>
                <w:r>
                  <w:rPr>
                    <w:b w:val="0"/>
                    <w:bCs w:val="0"/>
                  </w:rPr>
                  <w:t>Total Bilirubin</w:t>
                </w:r>
              </w:p>
            </w:tc>
            <w:tc>
              <w:tcPr>
                <w:tcW w:w="3120" w:type="dxa"/>
                <w:tcMar>
                  <w:top w:w="100" w:type="dxa"/>
                  <w:left w:w="100" w:type="dxa"/>
                  <w:bottom w:w="100" w:type="dxa"/>
                  <w:right w:w="100" w:type="dxa"/>
                </w:tcMar>
              </w:tcPr>
              <w:p w14:paraId="0C438006" w14:textId="77777777" w:rsidR="004606DD" w:rsidRDefault="00D604F0">
                <w:pPr>
                  <w:widowControl w:val="0"/>
                  <w:pBdr>
                    <w:top w:val="nil"/>
                    <w:left w:val="nil"/>
                    <w:bottom w:val="nil"/>
                    <w:right w:val="nil"/>
                    <w:between w:val="nil"/>
                  </w:pBdr>
                  <w:spacing w:after="0" w:line="240" w:lineRule="auto"/>
                  <w:rPr>
                    <w:b w:val="0"/>
                    <w:bCs w:val="0"/>
                  </w:rPr>
                </w:pPr>
                <w:r>
                  <w:rPr>
                    <w:b w:val="0"/>
                    <w:bCs w:val="0"/>
                  </w:rPr>
                  <w:t>1.6 mg/dl</w:t>
                </w:r>
              </w:p>
            </w:tc>
            <w:tc>
              <w:tcPr>
                <w:tcW w:w="3120" w:type="dxa"/>
                <w:tcMar>
                  <w:top w:w="100" w:type="dxa"/>
                  <w:left w:w="100" w:type="dxa"/>
                  <w:bottom w:w="100" w:type="dxa"/>
                  <w:right w:w="100" w:type="dxa"/>
                </w:tcMar>
              </w:tcPr>
              <w:p w14:paraId="14932832" w14:textId="77777777" w:rsidR="004606DD" w:rsidRDefault="00D604F0">
                <w:pPr>
                  <w:widowControl w:val="0"/>
                  <w:pBdr>
                    <w:top w:val="nil"/>
                    <w:left w:val="nil"/>
                    <w:bottom w:val="nil"/>
                    <w:right w:val="nil"/>
                    <w:between w:val="nil"/>
                  </w:pBdr>
                  <w:spacing w:after="0" w:line="240" w:lineRule="auto"/>
                  <w:rPr>
                    <w:b w:val="0"/>
                    <w:bCs w:val="0"/>
                  </w:rPr>
                </w:pPr>
                <w:r>
                  <w:rPr>
                    <w:b w:val="0"/>
                    <w:bCs w:val="0"/>
                  </w:rPr>
                  <w:t>0.3-1.1 mg/dl</w:t>
                </w:r>
              </w:p>
            </w:tc>
          </w:tr>
          <w:tr w:rsidR="004606DD" w14:paraId="54573346" w14:textId="77777777">
            <w:tc>
              <w:tcPr>
                <w:tcW w:w="3120" w:type="dxa"/>
                <w:tcMar>
                  <w:top w:w="100" w:type="dxa"/>
                  <w:left w:w="100" w:type="dxa"/>
                  <w:bottom w:w="100" w:type="dxa"/>
                  <w:right w:w="100" w:type="dxa"/>
                </w:tcMar>
              </w:tcPr>
              <w:p w14:paraId="14F8F892" w14:textId="77777777" w:rsidR="004606DD" w:rsidRDefault="00D604F0">
                <w:pPr>
                  <w:widowControl w:val="0"/>
                  <w:pBdr>
                    <w:top w:val="nil"/>
                    <w:left w:val="nil"/>
                    <w:bottom w:val="nil"/>
                    <w:right w:val="nil"/>
                    <w:between w:val="nil"/>
                  </w:pBdr>
                  <w:spacing w:after="0" w:line="240" w:lineRule="auto"/>
                  <w:rPr>
                    <w:b w:val="0"/>
                    <w:bCs w:val="0"/>
                  </w:rPr>
                </w:pPr>
                <w:r>
                  <w:rPr>
                    <w:b w:val="0"/>
                    <w:bCs w:val="0"/>
                  </w:rPr>
                  <w:t>Direct Bilirubin</w:t>
                </w:r>
              </w:p>
            </w:tc>
            <w:tc>
              <w:tcPr>
                <w:tcW w:w="3120" w:type="dxa"/>
                <w:tcMar>
                  <w:top w:w="100" w:type="dxa"/>
                  <w:left w:w="100" w:type="dxa"/>
                  <w:bottom w:w="100" w:type="dxa"/>
                  <w:right w:w="100" w:type="dxa"/>
                </w:tcMar>
              </w:tcPr>
              <w:p w14:paraId="2E64C34B" w14:textId="77777777" w:rsidR="004606DD" w:rsidRDefault="00D604F0">
                <w:pPr>
                  <w:widowControl w:val="0"/>
                  <w:pBdr>
                    <w:top w:val="nil"/>
                    <w:left w:val="nil"/>
                    <w:bottom w:val="nil"/>
                    <w:right w:val="nil"/>
                    <w:between w:val="nil"/>
                  </w:pBdr>
                  <w:spacing w:after="0" w:line="240" w:lineRule="auto"/>
                  <w:rPr>
                    <w:b w:val="0"/>
                    <w:bCs w:val="0"/>
                  </w:rPr>
                </w:pPr>
                <w:r>
                  <w:rPr>
                    <w:b w:val="0"/>
                    <w:bCs w:val="0"/>
                  </w:rPr>
                  <w:t>0.7 mg/dl</w:t>
                </w:r>
              </w:p>
            </w:tc>
            <w:tc>
              <w:tcPr>
                <w:tcW w:w="3120" w:type="dxa"/>
                <w:tcMar>
                  <w:top w:w="100" w:type="dxa"/>
                  <w:left w:w="100" w:type="dxa"/>
                  <w:bottom w:w="100" w:type="dxa"/>
                  <w:right w:w="100" w:type="dxa"/>
                </w:tcMar>
              </w:tcPr>
              <w:p w14:paraId="6AA4EE4F" w14:textId="77777777" w:rsidR="004606DD" w:rsidRDefault="00D604F0">
                <w:pPr>
                  <w:widowControl w:val="0"/>
                  <w:pBdr>
                    <w:top w:val="nil"/>
                    <w:left w:val="nil"/>
                    <w:bottom w:val="nil"/>
                    <w:right w:val="nil"/>
                    <w:between w:val="nil"/>
                  </w:pBdr>
                  <w:spacing w:after="0" w:line="240" w:lineRule="auto"/>
                  <w:rPr>
                    <w:b w:val="0"/>
                    <w:bCs w:val="0"/>
                  </w:rPr>
                </w:pPr>
                <w:r>
                  <w:rPr>
                    <w:b w:val="0"/>
                    <w:bCs w:val="0"/>
                  </w:rPr>
                  <w:t>0-0.3 mg/dl</w:t>
                </w:r>
              </w:p>
            </w:tc>
          </w:tr>
          <w:tr w:rsidR="004606DD" w14:paraId="790B5017" w14:textId="77777777">
            <w:tc>
              <w:tcPr>
                <w:tcW w:w="3120" w:type="dxa"/>
                <w:tcMar>
                  <w:top w:w="100" w:type="dxa"/>
                  <w:left w:w="100" w:type="dxa"/>
                  <w:bottom w:w="100" w:type="dxa"/>
                  <w:right w:w="100" w:type="dxa"/>
                </w:tcMar>
              </w:tcPr>
              <w:p w14:paraId="3056F7D2" w14:textId="77777777" w:rsidR="004606DD" w:rsidRDefault="00D604F0">
                <w:pPr>
                  <w:widowControl w:val="0"/>
                  <w:pBdr>
                    <w:top w:val="nil"/>
                    <w:left w:val="nil"/>
                    <w:bottom w:val="nil"/>
                    <w:right w:val="nil"/>
                    <w:between w:val="nil"/>
                  </w:pBdr>
                  <w:spacing w:after="0" w:line="240" w:lineRule="auto"/>
                  <w:rPr>
                    <w:b w:val="0"/>
                    <w:bCs w:val="0"/>
                  </w:rPr>
                </w:pPr>
                <w:r>
                  <w:rPr>
                    <w:b w:val="0"/>
                    <w:bCs w:val="0"/>
                  </w:rPr>
                  <w:t>S.G.P.T</w:t>
                </w:r>
              </w:p>
            </w:tc>
            <w:tc>
              <w:tcPr>
                <w:tcW w:w="3120" w:type="dxa"/>
                <w:tcMar>
                  <w:top w:w="100" w:type="dxa"/>
                  <w:left w:w="100" w:type="dxa"/>
                  <w:bottom w:w="100" w:type="dxa"/>
                  <w:right w:w="100" w:type="dxa"/>
                </w:tcMar>
              </w:tcPr>
              <w:p w14:paraId="136E02A4" w14:textId="77777777" w:rsidR="004606DD" w:rsidRDefault="00D604F0">
                <w:pPr>
                  <w:widowControl w:val="0"/>
                  <w:pBdr>
                    <w:top w:val="nil"/>
                    <w:left w:val="nil"/>
                    <w:bottom w:val="nil"/>
                    <w:right w:val="nil"/>
                    <w:between w:val="nil"/>
                  </w:pBdr>
                  <w:spacing w:after="0" w:line="240" w:lineRule="auto"/>
                  <w:rPr>
                    <w:b w:val="0"/>
                    <w:bCs w:val="0"/>
                  </w:rPr>
                </w:pPr>
                <w:r>
                  <w:rPr>
                    <w:b w:val="0"/>
                    <w:bCs w:val="0"/>
                  </w:rPr>
                  <w:t>29 U/L</w:t>
                </w:r>
              </w:p>
            </w:tc>
            <w:tc>
              <w:tcPr>
                <w:tcW w:w="3120" w:type="dxa"/>
                <w:tcMar>
                  <w:top w:w="100" w:type="dxa"/>
                  <w:left w:w="100" w:type="dxa"/>
                  <w:bottom w:w="100" w:type="dxa"/>
                  <w:right w:w="100" w:type="dxa"/>
                </w:tcMar>
              </w:tcPr>
              <w:p w14:paraId="7E680EC3" w14:textId="77777777" w:rsidR="004606DD" w:rsidRDefault="00D604F0">
                <w:pPr>
                  <w:widowControl w:val="0"/>
                  <w:pBdr>
                    <w:top w:val="nil"/>
                    <w:left w:val="nil"/>
                    <w:bottom w:val="nil"/>
                    <w:right w:val="nil"/>
                    <w:between w:val="nil"/>
                  </w:pBdr>
                  <w:spacing w:after="0" w:line="240" w:lineRule="auto"/>
                  <w:rPr>
                    <w:b w:val="0"/>
                    <w:bCs w:val="0"/>
                  </w:rPr>
                </w:pPr>
                <w:r>
                  <w:rPr>
                    <w:b w:val="0"/>
                    <w:bCs w:val="0"/>
                  </w:rPr>
                  <w:t>&lt;40 U/L</w:t>
                </w:r>
              </w:p>
            </w:tc>
          </w:tr>
          <w:tr w:rsidR="004606DD" w14:paraId="3C9BC4F0" w14:textId="77777777">
            <w:tc>
              <w:tcPr>
                <w:tcW w:w="3120" w:type="dxa"/>
                <w:tcMar>
                  <w:top w:w="100" w:type="dxa"/>
                  <w:left w:w="100" w:type="dxa"/>
                  <w:bottom w:w="100" w:type="dxa"/>
                  <w:right w:w="100" w:type="dxa"/>
                </w:tcMar>
              </w:tcPr>
              <w:p w14:paraId="420C68EF" w14:textId="77777777" w:rsidR="004606DD" w:rsidRDefault="00D604F0">
                <w:pPr>
                  <w:widowControl w:val="0"/>
                  <w:pBdr>
                    <w:top w:val="nil"/>
                    <w:left w:val="nil"/>
                    <w:bottom w:val="nil"/>
                    <w:right w:val="nil"/>
                    <w:between w:val="nil"/>
                  </w:pBdr>
                  <w:spacing w:after="0" w:line="240" w:lineRule="auto"/>
                  <w:rPr>
                    <w:b w:val="0"/>
                    <w:bCs w:val="0"/>
                  </w:rPr>
                </w:pPr>
                <w:r>
                  <w:rPr>
                    <w:b w:val="0"/>
                    <w:bCs w:val="0"/>
                  </w:rPr>
                  <w:t>S.G.O.T</w:t>
                </w:r>
              </w:p>
            </w:tc>
            <w:tc>
              <w:tcPr>
                <w:tcW w:w="3120" w:type="dxa"/>
                <w:tcMar>
                  <w:top w:w="100" w:type="dxa"/>
                  <w:left w:w="100" w:type="dxa"/>
                  <w:bottom w:w="100" w:type="dxa"/>
                  <w:right w:w="100" w:type="dxa"/>
                </w:tcMar>
              </w:tcPr>
              <w:p w14:paraId="712265EC" w14:textId="77777777" w:rsidR="004606DD" w:rsidRDefault="00D604F0">
                <w:pPr>
                  <w:widowControl w:val="0"/>
                  <w:pBdr>
                    <w:top w:val="nil"/>
                    <w:left w:val="nil"/>
                    <w:bottom w:val="nil"/>
                    <w:right w:val="nil"/>
                    <w:between w:val="nil"/>
                  </w:pBdr>
                  <w:spacing w:after="0" w:line="240" w:lineRule="auto"/>
                  <w:rPr>
                    <w:b w:val="0"/>
                    <w:bCs w:val="0"/>
                  </w:rPr>
                </w:pPr>
                <w:r>
                  <w:rPr>
                    <w:b w:val="0"/>
                    <w:bCs w:val="0"/>
                  </w:rPr>
                  <w:t>33 U/L</w:t>
                </w:r>
              </w:p>
            </w:tc>
            <w:tc>
              <w:tcPr>
                <w:tcW w:w="3120" w:type="dxa"/>
                <w:tcMar>
                  <w:top w:w="100" w:type="dxa"/>
                  <w:left w:w="100" w:type="dxa"/>
                  <w:bottom w:w="100" w:type="dxa"/>
                  <w:right w:w="100" w:type="dxa"/>
                </w:tcMar>
              </w:tcPr>
              <w:p w14:paraId="4FAD0B6A" w14:textId="77777777" w:rsidR="004606DD" w:rsidRDefault="00D604F0">
                <w:pPr>
                  <w:widowControl w:val="0"/>
                  <w:spacing w:after="0" w:line="240" w:lineRule="auto"/>
                  <w:rPr>
                    <w:b w:val="0"/>
                    <w:bCs w:val="0"/>
                  </w:rPr>
                </w:pPr>
                <w:r>
                  <w:rPr>
                    <w:b w:val="0"/>
                    <w:bCs w:val="0"/>
                  </w:rPr>
                  <w:t>&lt;40 U/L</w:t>
                </w:r>
              </w:p>
            </w:tc>
          </w:tr>
          <w:tr w:rsidR="004606DD" w14:paraId="03E4C098" w14:textId="77777777">
            <w:tc>
              <w:tcPr>
                <w:tcW w:w="3120" w:type="dxa"/>
                <w:tcMar>
                  <w:top w:w="100" w:type="dxa"/>
                  <w:left w:w="100" w:type="dxa"/>
                  <w:bottom w:w="100" w:type="dxa"/>
                  <w:right w:w="100" w:type="dxa"/>
                </w:tcMar>
              </w:tcPr>
              <w:p w14:paraId="3EDF0673" w14:textId="77777777" w:rsidR="004606DD" w:rsidRDefault="00D604F0">
                <w:pPr>
                  <w:widowControl w:val="0"/>
                  <w:pBdr>
                    <w:top w:val="nil"/>
                    <w:left w:val="nil"/>
                    <w:bottom w:val="nil"/>
                    <w:right w:val="nil"/>
                    <w:between w:val="nil"/>
                  </w:pBdr>
                  <w:spacing w:after="0" w:line="240" w:lineRule="auto"/>
                  <w:rPr>
                    <w:b w:val="0"/>
                    <w:bCs w:val="0"/>
                  </w:rPr>
                </w:pPr>
                <w:r>
                  <w:rPr>
                    <w:b w:val="0"/>
                    <w:bCs w:val="0"/>
                  </w:rPr>
                  <w:t>ALP</w:t>
                </w:r>
              </w:p>
            </w:tc>
            <w:tc>
              <w:tcPr>
                <w:tcW w:w="3120" w:type="dxa"/>
                <w:tcMar>
                  <w:top w:w="100" w:type="dxa"/>
                  <w:left w:w="100" w:type="dxa"/>
                  <w:bottom w:w="100" w:type="dxa"/>
                  <w:right w:w="100" w:type="dxa"/>
                </w:tcMar>
              </w:tcPr>
              <w:p w14:paraId="0D074CC3" w14:textId="77777777" w:rsidR="004606DD" w:rsidRDefault="00D604F0">
                <w:pPr>
                  <w:widowControl w:val="0"/>
                  <w:pBdr>
                    <w:top w:val="nil"/>
                    <w:left w:val="nil"/>
                    <w:bottom w:val="nil"/>
                    <w:right w:val="nil"/>
                    <w:between w:val="nil"/>
                  </w:pBdr>
                  <w:spacing w:after="0" w:line="240" w:lineRule="auto"/>
                  <w:rPr>
                    <w:b w:val="0"/>
                    <w:bCs w:val="0"/>
                  </w:rPr>
                </w:pPr>
                <w:r>
                  <w:rPr>
                    <w:b w:val="0"/>
                    <w:bCs w:val="0"/>
                  </w:rPr>
                  <w:t>112 U/L</w:t>
                </w:r>
              </w:p>
            </w:tc>
            <w:tc>
              <w:tcPr>
                <w:tcW w:w="3120" w:type="dxa"/>
                <w:tcMar>
                  <w:top w:w="100" w:type="dxa"/>
                  <w:left w:w="100" w:type="dxa"/>
                  <w:bottom w:w="100" w:type="dxa"/>
                  <w:right w:w="100" w:type="dxa"/>
                </w:tcMar>
              </w:tcPr>
              <w:p w14:paraId="6C18864A" w14:textId="77777777" w:rsidR="004606DD" w:rsidRDefault="00D604F0">
                <w:pPr>
                  <w:widowControl w:val="0"/>
                  <w:pBdr>
                    <w:top w:val="nil"/>
                    <w:left w:val="nil"/>
                    <w:bottom w:val="nil"/>
                    <w:right w:val="nil"/>
                    <w:between w:val="nil"/>
                  </w:pBdr>
                  <w:spacing w:after="0" w:line="240" w:lineRule="auto"/>
                  <w:rPr>
                    <w:b w:val="0"/>
                    <w:bCs w:val="0"/>
                  </w:rPr>
                </w:pPr>
                <w:r>
                  <w:rPr>
                    <w:b w:val="0"/>
                    <w:bCs w:val="0"/>
                  </w:rPr>
                  <w:t>40-130 U/L</w:t>
                </w:r>
              </w:p>
            </w:tc>
          </w:tr>
        </w:tbl>
      </w:sdtContent>
    </w:sdt>
    <w:p w14:paraId="79BD367F" w14:textId="1D9599BA" w:rsidR="004606DD" w:rsidRDefault="006C490A">
      <w:pPr>
        <w:jc w:val="both"/>
        <w:rPr>
          <w:b w:val="0"/>
          <w:bCs w:val="0"/>
        </w:rPr>
      </w:pPr>
      <w:r w:rsidRPr="006C490A">
        <w:t>Table 1</w:t>
      </w:r>
      <w:r>
        <w:rPr>
          <w:b w:val="0"/>
          <w:bCs w:val="0"/>
        </w:rPr>
        <w:t xml:space="preserve">: </w:t>
      </w:r>
      <w:r w:rsidR="00FE5A7B">
        <w:rPr>
          <w:b w:val="0"/>
          <w:bCs w:val="0"/>
        </w:rPr>
        <w:t>H</w:t>
      </w:r>
      <w:r>
        <w:rPr>
          <w:b w:val="0"/>
          <w:bCs w:val="0"/>
        </w:rPr>
        <w:t xml:space="preserve">ematological and </w:t>
      </w:r>
      <w:r w:rsidR="00FE5A7B">
        <w:rPr>
          <w:b w:val="0"/>
          <w:bCs w:val="0"/>
        </w:rPr>
        <w:t>B</w:t>
      </w:r>
      <w:r>
        <w:rPr>
          <w:b w:val="0"/>
          <w:bCs w:val="0"/>
        </w:rPr>
        <w:t>iochemical parameters</w:t>
      </w:r>
    </w:p>
    <w:p w14:paraId="6AE09793" w14:textId="77777777" w:rsidR="004606DD" w:rsidRDefault="00D604F0">
      <w:pPr>
        <w:jc w:val="both"/>
        <w:rPr>
          <w:b w:val="0"/>
          <w:bCs w:val="0"/>
        </w:rPr>
      </w:pPr>
      <w:r>
        <w:rPr>
          <w:b w:val="0"/>
          <w:bCs w:val="0"/>
        </w:rPr>
        <w:t>Exploratory laparotomy was performed. Intraoperative findings included massive small bowel dilation with distal ileal stricture 30 cm proximal to the ileocecal junction and a 5x5 cm greyish-white mesenteric mass encasing the ileocolic artery (figure 1). Right hemicolectomy with distal ileal resection and ileo-transverse stapled anastomosis was performed. Proximal covering loop ileostomy was created. Resected specimens were sent for histopathological examination (HPE).</w:t>
      </w:r>
    </w:p>
    <w:p w14:paraId="4523E2E8" w14:textId="77777777" w:rsidR="004606DD" w:rsidRDefault="00D604F0">
      <w:pPr>
        <w:jc w:val="both"/>
        <w:rPr>
          <w:b w:val="0"/>
          <w:bCs w:val="0"/>
        </w:rPr>
      </w:pPr>
      <w:r>
        <w:rPr>
          <w:b w:val="0"/>
          <w:bCs w:val="0"/>
        </w:rPr>
        <w:t xml:space="preserve">Histopathological examination revealed a well-differentiated neuroendocrine tumor of mesenteric origin. Microscopy (figure 2) showed uniform round cells arranged in nests and trabeculae with granular cytoplasm </w:t>
      </w:r>
      <w:r>
        <w:rPr>
          <w:b w:val="0"/>
          <w:bCs w:val="0"/>
        </w:rPr>
        <w:lastRenderedPageBreak/>
        <w:t>and stippled nuclei (“salt and pepper” chromatin). Immunohistochemistry was positive for chromogranin A and synaptophysin, confirming the diagnosis.</w:t>
      </w:r>
    </w:p>
    <w:p w14:paraId="0CC4A58B" w14:textId="77777777" w:rsidR="004606DD" w:rsidRDefault="00D604F0">
      <w:pPr>
        <w:jc w:val="both"/>
        <w:rPr>
          <w:b w:val="0"/>
          <w:bCs w:val="0"/>
        </w:rPr>
      </w:pPr>
      <w:r>
        <w:rPr>
          <w:b w:val="0"/>
          <w:bCs w:val="0"/>
        </w:rPr>
        <w:t>Postoperative recovery was uneventful. The patient was discharged on postoperative day 10 and advised follow-up for ileostomy closure after 8 weeks.</w:t>
      </w:r>
    </w:p>
    <w:p w14:paraId="003B3071" w14:textId="77777777" w:rsidR="006C490A" w:rsidRDefault="006C490A">
      <w:pPr>
        <w:jc w:val="both"/>
      </w:pPr>
    </w:p>
    <w:p w14:paraId="0ADCA21A" w14:textId="77777777" w:rsidR="006C490A" w:rsidRDefault="006C490A">
      <w:pPr>
        <w:jc w:val="both"/>
      </w:pPr>
    </w:p>
    <w:p w14:paraId="6F0F6F01" w14:textId="79BE0BEE" w:rsidR="004606DD" w:rsidRDefault="006C490A">
      <w:pPr>
        <w:jc w:val="both"/>
      </w:pPr>
      <w:r>
        <w:rPr>
          <w:noProof/>
        </w:rPr>
        <w:drawing>
          <wp:anchor distT="0" distB="0" distL="114300" distR="114300" simplePos="0" relativeHeight="251658240" behindDoc="0" locked="0" layoutInCell="1" hidden="0" allowOverlap="1" wp14:anchorId="5EFAB403" wp14:editId="3064A268">
            <wp:simplePos x="0" y="0"/>
            <wp:positionH relativeFrom="margin">
              <wp:posOffset>1381125</wp:posOffset>
            </wp:positionH>
            <wp:positionV relativeFrom="paragraph">
              <wp:posOffset>357505</wp:posOffset>
            </wp:positionV>
            <wp:extent cx="2990850" cy="2419350"/>
            <wp:effectExtent l="0" t="0" r="0" b="0"/>
            <wp:wrapSquare wrapText="bothSides" distT="0" distB="0" distL="114300" distR="114300"/>
            <wp:docPr id="3" name="image2.png" descr="C:\Users\nashra\Downloads\WhatsApp Image 2025-10-08 at 2.03.52 PM (2).jpeg"/>
            <wp:cNvGraphicFramePr/>
            <a:graphic xmlns:a="http://schemas.openxmlformats.org/drawingml/2006/main">
              <a:graphicData uri="http://schemas.openxmlformats.org/drawingml/2006/picture">
                <pic:pic xmlns:pic="http://schemas.openxmlformats.org/drawingml/2006/picture">
                  <pic:nvPicPr>
                    <pic:cNvPr id="0" name="image2.png" descr="C:\Users\nashra\Downloads\WhatsApp Image 2025-10-08 at 2.03.52 PM (2).jpeg"/>
                    <pic:cNvPicPr preferRelativeResize="0"/>
                  </pic:nvPicPr>
                  <pic:blipFill>
                    <a:blip r:embed="rId7"/>
                    <a:srcRect/>
                    <a:stretch>
                      <a:fillRect/>
                    </a:stretch>
                  </pic:blipFill>
                  <pic:spPr>
                    <a:xfrm>
                      <a:off x="0" y="0"/>
                      <a:ext cx="2990850" cy="2419350"/>
                    </a:xfrm>
                    <a:prstGeom prst="rect">
                      <a:avLst/>
                    </a:prstGeom>
                    <a:ln/>
                  </pic:spPr>
                </pic:pic>
              </a:graphicData>
            </a:graphic>
            <wp14:sizeRelH relativeFrom="margin">
              <wp14:pctWidth>0</wp14:pctWidth>
            </wp14:sizeRelH>
            <wp14:sizeRelV relativeFrom="margin">
              <wp14:pctHeight>0</wp14:pctHeight>
            </wp14:sizeRelV>
          </wp:anchor>
        </w:drawing>
      </w:r>
    </w:p>
    <w:p w14:paraId="1FFBBFCE" w14:textId="17FA1502" w:rsidR="006C490A" w:rsidRDefault="00D604F0">
      <w:pPr>
        <w:jc w:val="both"/>
      </w:pPr>
      <w:r>
        <w:t xml:space="preserve">  </w:t>
      </w:r>
    </w:p>
    <w:p w14:paraId="64D06A70" w14:textId="77777777" w:rsidR="006C490A" w:rsidRDefault="006C490A">
      <w:pPr>
        <w:jc w:val="both"/>
      </w:pPr>
    </w:p>
    <w:p w14:paraId="79F81CA1" w14:textId="77777777" w:rsidR="006C490A" w:rsidRDefault="006C490A">
      <w:pPr>
        <w:jc w:val="both"/>
      </w:pPr>
    </w:p>
    <w:p w14:paraId="4EF7D2CF" w14:textId="77777777" w:rsidR="006C490A" w:rsidRDefault="006C490A">
      <w:pPr>
        <w:jc w:val="both"/>
      </w:pPr>
    </w:p>
    <w:p w14:paraId="21D5D4E2" w14:textId="77777777" w:rsidR="006C490A" w:rsidRDefault="006C490A">
      <w:pPr>
        <w:jc w:val="both"/>
      </w:pPr>
    </w:p>
    <w:p w14:paraId="039E4B08" w14:textId="77777777" w:rsidR="006C490A" w:rsidRDefault="006C490A">
      <w:pPr>
        <w:jc w:val="both"/>
      </w:pPr>
    </w:p>
    <w:p w14:paraId="522371E1" w14:textId="77777777" w:rsidR="006C490A" w:rsidRDefault="006C490A">
      <w:pPr>
        <w:jc w:val="both"/>
      </w:pPr>
    </w:p>
    <w:p w14:paraId="5C8442E7" w14:textId="3F150558" w:rsidR="006C490A" w:rsidRDefault="00D604F0" w:rsidP="006C490A">
      <w:pPr>
        <w:rPr>
          <w:b w:val="0"/>
          <w:bCs w:val="0"/>
        </w:rPr>
      </w:pPr>
      <w:r>
        <w:t xml:space="preserve">Figure </w:t>
      </w:r>
      <w:r w:rsidRPr="006C490A">
        <w:t>1</w:t>
      </w:r>
      <w:r w:rsidR="006C490A">
        <w:rPr>
          <w:b w:val="0"/>
          <w:bCs w:val="0"/>
        </w:rPr>
        <w:t>:</w:t>
      </w:r>
      <w:r w:rsidRPr="006C490A">
        <w:rPr>
          <w:b w:val="0"/>
          <w:bCs w:val="0"/>
        </w:rPr>
        <w:t xml:space="preserve"> Intraoperative photograph showing markedly dilated proximal small bowel loops with a greyish-white mesenteric mass in the distal ileal </w:t>
      </w:r>
      <w:r w:rsidR="00FE5A7B" w:rsidRPr="006C490A">
        <w:rPr>
          <w:b w:val="0"/>
          <w:bCs w:val="0"/>
        </w:rPr>
        <w:t>region.</w:t>
      </w:r>
    </w:p>
    <w:p w14:paraId="2750F2FA" w14:textId="77777777" w:rsidR="006C490A" w:rsidRDefault="006C490A">
      <w:pPr>
        <w:jc w:val="both"/>
        <w:rPr>
          <w:b w:val="0"/>
          <w:bCs w:val="0"/>
        </w:rPr>
      </w:pPr>
    </w:p>
    <w:p w14:paraId="683D078E" w14:textId="77777777" w:rsidR="006C490A" w:rsidRDefault="006C490A" w:rsidP="006C490A">
      <w:r>
        <w:rPr>
          <w:noProof/>
        </w:rPr>
        <w:drawing>
          <wp:inline distT="0" distB="0" distL="0" distR="0" wp14:anchorId="097E7BD7" wp14:editId="7DF50037">
            <wp:extent cx="3143250" cy="2171700"/>
            <wp:effectExtent l="0" t="0" r="0" b="0"/>
            <wp:docPr id="4" name="image1.png" descr="C:\Users\nashra\Downloads\WhatsApp Image 2025-10-08 at 2.03.52 PM.jpeg"/>
            <wp:cNvGraphicFramePr/>
            <a:graphic xmlns:a="http://schemas.openxmlformats.org/drawingml/2006/main">
              <a:graphicData uri="http://schemas.openxmlformats.org/drawingml/2006/picture">
                <pic:pic xmlns:pic="http://schemas.openxmlformats.org/drawingml/2006/picture">
                  <pic:nvPicPr>
                    <pic:cNvPr id="0" name="image1.png" descr="C:\Users\nashra\Downloads\WhatsApp Image 2025-10-08 at 2.03.52 PM.jpe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143250" cy="2171700"/>
                    </a:xfrm>
                    <a:prstGeom prst="rect">
                      <a:avLst/>
                    </a:prstGeom>
                    <a:ln/>
                  </pic:spPr>
                </pic:pic>
              </a:graphicData>
            </a:graphic>
          </wp:inline>
        </w:drawing>
      </w:r>
    </w:p>
    <w:p w14:paraId="75F8C6CB" w14:textId="5BC5E696" w:rsidR="004606DD" w:rsidRDefault="006C490A" w:rsidP="006C490A">
      <w:r w:rsidRPr="006C490A">
        <w:lastRenderedPageBreak/>
        <w:t>Figure 2</w:t>
      </w:r>
      <w:r>
        <w:rPr>
          <w:b w:val="0"/>
          <w:bCs w:val="0"/>
        </w:rPr>
        <w:t>:</w:t>
      </w:r>
      <w:r w:rsidR="00D604F0" w:rsidRPr="006C490A">
        <w:rPr>
          <w:b w:val="0"/>
          <w:bCs w:val="0"/>
        </w:rPr>
        <w:t xml:space="preserve"> Histopathological section (H&amp;E stain, 10×) showing nests and trabeculae of uniform round-to-oval tumor cells with salt-and-pepper chromatin, consistent with well-differentiated neuroendocrine </w:t>
      </w:r>
      <w:r w:rsidR="00FE5A7B" w:rsidRPr="006C490A">
        <w:rPr>
          <w:b w:val="0"/>
          <w:bCs w:val="0"/>
        </w:rPr>
        <w:t>tumor.</w:t>
      </w:r>
    </w:p>
    <w:p w14:paraId="63EF5D2B" w14:textId="77777777" w:rsidR="004606DD" w:rsidRDefault="004606DD">
      <w:pPr>
        <w:jc w:val="both"/>
      </w:pPr>
    </w:p>
    <w:p w14:paraId="2E8E6590" w14:textId="77777777" w:rsidR="006C490A" w:rsidRDefault="006C490A">
      <w:pPr>
        <w:jc w:val="both"/>
      </w:pPr>
    </w:p>
    <w:p w14:paraId="2770101A" w14:textId="4D436BE1" w:rsidR="004606DD" w:rsidRDefault="00D604F0">
      <w:pPr>
        <w:jc w:val="both"/>
      </w:pPr>
      <w:r>
        <w:t>DISCUSSION</w:t>
      </w:r>
    </w:p>
    <w:p w14:paraId="11266E78" w14:textId="77777777" w:rsidR="004606DD" w:rsidRDefault="00D604F0">
      <w:pPr>
        <w:jc w:val="both"/>
        <w:rPr>
          <w:b w:val="0"/>
          <w:bCs w:val="0"/>
        </w:rPr>
      </w:pPr>
      <w:r>
        <w:rPr>
          <w:b w:val="0"/>
          <w:bCs w:val="0"/>
        </w:rPr>
        <w:t>Clinical presentation of mesenteric NETs is often nonspecific and may include intermittent abdominal pain, distention, and symptoms of bowel obstruction. Radiologically, NETs may present as enhancing mesenteric masses with radiating fibrotic strands on CT or MRI [6]. Histopathological and immunohistochemical studies remain the gold standard for diagnosis, with chromogranin A, synaptophysin, and Ki-67 index being essential markers [7].</w:t>
      </w:r>
    </w:p>
    <w:p w14:paraId="0A68ADD7" w14:textId="77777777" w:rsidR="004606DD" w:rsidRDefault="00D604F0">
      <w:pPr>
        <w:jc w:val="both"/>
        <w:rPr>
          <w:b w:val="0"/>
          <w:bCs w:val="0"/>
        </w:rPr>
      </w:pPr>
      <w:r>
        <w:rPr>
          <w:b w:val="0"/>
          <w:bCs w:val="0"/>
        </w:rPr>
        <w:t>Due to the rarity of primary mesenteric NETs, each case adds valuable insight into the disease’s clinical spectrum and management. We report a case of a well-differentiated mesenteric neuroendocrine tumor presenting as small bowel obstruction in an elderly male, successfully managed surgically.</w:t>
      </w:r>
    </w:p>
    <w:p w14:paraId="6CE1C614" w14:textId="77777777" w:rsidR="004606DD" w:rsidRDefault="00D604F0">
      <w:pPr>
        <w:jc w:val="both"/>
        <w:rPr>
          <w:b w:val="0"/>
          <w:bCs w:val="0"/>
        </w:rPr>
      </w:pPr>
      <w:r>
        <w:rPr>
          <w:b w:val="0"/>
          <w:bCs w:val="0"/>
        </w:rPr>
        <w:t>Mesenteric neuroendocrine tumors are rare, accounting for less than 1% of all gastrointestinal NETs [8]. Most commonly, they arise as metastatic deposits from ileal primaries due to rich lymphatic drainage in this region [9]. The present case showed a mesenteric mass with distal ileal stricture, likely secondary to local tumor fibrosis and vascular encasement, which caused mechanical small bowel obstruction.</w:t>
      </w:r>
    </w:p>
    <w:p w14:paraId="2C78D737" w14:textId="77777777" w:rsidR="004606DD" w:rsidRDefault="00D604F0">
      <w:pPr>
        <w:jc w:val="both"/>
        <w:rPr>
          <w:b w:val="0"/>
          <w:bCs w:val="0"/>
        </w:rPr>
      </w:pPr>
      <w:r>
        <w:rPr>
          <w:b w:val="0"/>
          <w:bCs w:val="0"/>
        </w:rPr>
        <w:t>CECT remains the preferred imaging modality to delineate mass characteristics, vascular involvement, and bowel obstruction [10]. However, definitive diagnosis relies on histopathology and immunohistochemistry [11]. Well-differentiated NETs (Grade 1–2) are typically slow-growing, expressing chromogranin and synaptophysin positivity with low Ki-67 index [12].</w:t>
      </w:r>
    </w:p>
    <w:p w14:paraId="32E52CD4" w14:textId="77777777" w:rsidR="004606DD" w:rsidRDefault="00D604F0">
      <w:pPr>
        <w:jc w:val="both"/>
        <w:rPr>
          <w:b w:val="0"/>
          <w:bCs w:val="0"/>
        </w:rPr>
      </w:pPr>
      <w:r>
        <w:rPr>
          <w:b w:val="0"/>
          <w:bCs w:val="0"/>
        </w:rPr>
        <w:t>Surgical resection remains the mainstay of treatment for localized disease, aiming for complete excision of the primary lesion and associated mesenteric involvement [13]. In the present case, right hemicolectomy with distal ileal resection ensured removal of both the stricture and mesenteric mass.</w:t>
      </w:r>
    </w:p>
    <w:p w14:paraId="1CF57E4F" w14:textId="77777777" w:rsidR="004606DD" w:rsidRDefault="00D604F0">
      <w:pPr>
        <w:jc w:val="both"/>
        <w:rPr>
          <w:b w:val="0"/>
          <w:bCs w:val="0"/>
        </w:rPr>
      </w:pPr>
      <w:r>
        <w:rPr>
          <w:b w:val="0"/>
          <w:bCs w:val="0"/>
        </w:rPr>
        <w:t xml:space="preserve">Recent literature suggests that early surgery improves survival, with five-year survival rates for well-differentiated NETs ranging from 75% to 90% [14,15]. Adjuvant therapy with somatostatin analogues (octreotide or </w:t>
      </w:r>
      <w:proofErr w:type="spellStart"/>
      <w:r>
        <w:rPr>
          <w:b w:val="0"/>
          <w:bCs w:val="0"/>
        </w:rPr>
        <w:t>lanreotide</w:t>
      </w:r>
      <w:proofErr w:type="spellEnd"/>
      <w:r>
        <w:rPr>
          <w:b w:val="0"/>
          <w:bCs w:val="0"/>
        </w:rPr>
        <w:t>) may be considered in functional or metastatic cases [16].</w:t>
      </w:r>
    </w:p>
    <w:p w14:paraId="10FB6682" w14:textId="77777777" w:rsidR="004606DD" w:rsidRDefault="00D604F0">
      <w:pPr>
        <w:jc w:val="both"/>
        <w:rPr>
          <w:b w:val="0"/>
          <w:bCs w:val="0"/>
        </w:rPr>
      </w:pPr>
      <w:r>
        <w:rPr>
          <w:b w:val="0"/>
          <w:bCs w:val="0"/>
        </w:rPr>
        <w:lastRenderedPageBreak/>
        <w:t>Neuroendocrine tumors (NETs) of the small intestine are often indolent and clinically silent until they provoke symptoms through mass effect, fibrosis, or vascular involvement. Indeed, small-bowel obstruction in an adult with no prior abdominal surgery should raise suspicion for an underlying neoplasm such as a NET. Galbraith et al. [17] emphasize that mesenteric tumor deposits and desmoplastic reactions contribute more prognostically than the primary lesion itself. Kumar et al. [18] documented an atypical presentation of small bowel NET causing acute obstruction, highlighting the surgical and diagnostic challenges of such lesions.</w:t>
      </w:r>
    </w:p>
    <w:p w14:paraId="1798397C" w14:textId="77777777" w:rsidR="004606DD" w:rsidRDefault="00D604F0">
      <w:pPr>
        <w:jc w:val="both"/>
        <w:rPr>
          <w:b w:val="0"/>
          <w:bCs w:val="0"/>
        </w:rPr>
      </w:pPr>
      <w:r>
        <w:rPr>
          <w:b w:val="0"/>
          <w:bCs w:val="0"/>
        </w:rPr>
        <w:t>Limitations of this report was lack of immunohistochemical proliferation index (Ki-67). It limits grading precision. Long-term follow-up data are pending to assess recurrence and prognosis.</w:t>
      </w:r>
    </w:p>
    <w:p w14:paraId="342DB32D" w14:textId="77777777" w:rsidR="006C490A" w:rsidRDefault="006C490A">
      <w:pPr>
        <w:jc w:val="both"/>
      </w:pPr>
    </w:p>
    <w:p w14:paraId="09A550E8" w14:textId="6242B52F" w:rsidR="004606DD" w:rsidRDefault="00D604F0">
      <w:pPr>
        <w:jc w:val="both"/>
      </w:pPr>
      <w:r>
        <w:t>CONCLUSION</w:t>
      </w:r>
    </w:p>
    <w:p w14:paraId="261D9266" w14:textId="77777777" w:rsidR="004606DD" w:rsidRDefault="00D604F0">
      <w:pPr>
        <w:jc w:val="both"/>
        <w:rPr>
          <w:b w:val="0"/>
          <w:bCs w:val="0"/>
        </w:rPr>
      </w:pPr>
      <w:r>
        <w:rPr>
          <w:b w:val="0"/>
          <w:bCs w:val="0"/>
        </w:rPr>
        <w:t>Mesenteric neuroendocrine tumors, though rare, should be included in the differential diagnosis of elderly patients presenting with unexplained intestinal obstruction and mesenteric masses. Early surgical intervention with complete resection provides favorable outcomes, and histopathological evaluation is critical for confirmation and grading.</w:t>
      </w:r>
    </w:p>
    <w:p w14:paraId="57861CC8" w14:textId="77777777" w:rsidR="004606DD" w:rsidRDefault="004606DD">
      <w:pPr>
        <w:spacing w:after="0"/>
        <w:jc w:val="both"/>
        <w:rPr>
          <w:shd w:val="clear" w:color="auto" w:fill="FCFCFC"/>
        </w:rPr>
      </w:pPr>
    </w:p>
    <w:p w14:paraId="007731F9" w14:textId="77777777" w:rsidR="00FE5A7B" w:rsidRDefault="00FE5A7B" w:rsidP="00FE5A7B">
      <w:pPr>
        <w:spacing w:after="0"/>
        <w:jc w:val="both"/>
        <w:rPr>
          <w:rFonts w:eastAsiaTheme="minorEastAsia"/>
          <w:shd w:val="clear" w:color="auto" w:fill="FCFCFC"/>
          <w:lang w:val="en-US"/>
        </w:rPr>
      </w:pPr>
    </w:p>
    <w:p w14:paraId="444C172B" w14:textId="76D9113C" w:rsidR="00FE5A7B" w:rsidRPr="00FE5A7B" w:rsidRDefault="00FE5A7B" w:rsidP="00FE5A7B">
      <w:pPr>
        <w:spacing w:after="0"/>
        <w:jc w:val="both"/>
        <w:rPr>
          <w:rFonts w:eastAsiaTheme="minorEastAsia"/>
          <w:shd w:val="clear" w:color="auto" w:fill="FCFCFC"/>
          <w:lang w:val="en-US"/>
        </w:rPr>
      </w:pPr>
      <w:r w:rsidRPr="00FE5A7B">
        <w:rPr>
          <w:rFonts w:eastAsiaTheme="minorEastAsia"/>
          <w:shd w:val="clear" w:color="auto" w:fill="FCFCFC"/>
          <w:lang w:val="en-US"/>
        </w:rPr>
        <w:t>DECLARATIONS</w:t>
      </w:r>
    </w:p>
    <w:p w14:paraId="3621B380" w14:textId="77777777" w:rsidR="00FE5A7B" w:rsidRPr="00FE5A7B" w:rsidRDefault="00FE5A7B" w:rsidP="00FE5A7B">
      <w:pPr>
        <w:widowControl w:val="0"/>
        <w:spacing w:after="0"/>
        <w:jc w:val="both"/>
        <w:rPr>
          <w:rFonts w:eastAsiaTheme="minorEastAsia"/>
          <w:b w:val="0"/>
          <w:bCs w:val="0"/>
          <w:shd w:val="clear" w:color="auto" w:fill="FCFCFC"/>
          <w:lang w:val="en-US"/>
        </w:rPr>
      </w:pPr>
      <w:r w:rsidRPr="00FE5A7B">
        <w:rPr>
          <w:rFonts w:eastAsiaTheme="minorEastAsia"/>
          <w:shd w:val="clear" w:color="auto" w:fill="FCFCFC"/>
          <w:lang w:val="en-US"/>
        </w:rPr>
        <w:t xml:space="preserve">Conflicts of interest: </w:t>
      </w:r>
      <w:r w:rsidRPr="00FE5A7B">
        <w:rPr>
          <w:rFonts w:eastAsiaTheme="minorEastAsia"/>
          <w:b w:val="0"/>
          <w:bCs w:val="0"/>
          <w:shd w:val="clear" w:color="auto" w:fill="FCFCFC"/>
          <w:lang w:val="en-US"/>
        </w:rPr>
        <w:t>There is no conflict of interest associated with this study.</w:t>
      </w:r>
    </w:p>
    <w:p w14:paraId="45EFF809" w14:textId="77777777" w:rsidR="00FE5A7B" w:rsidRPr="00FE5A7B" w:rsidRDefault="00FE5A7B" w:rsidP="00FE5A7B">
      <w:pPr>
        <w:widowControl w:val="0"/>
        <w:spacing w:after="0"/>
        <w:jc w:val="both"/>
        <w:rPr>
          <w:rFonts w:eastAsiaTheme="minorEastAsia"/>
          <w:b w:val="0"/>
          <w:bCs w:val="0"/>
          <w:shd w:val="clear" w:color="auto" w:fill="FCFCFC"/>
          <w:lang w:val="en-US"/>
        </w:rPr>
      </w:pPr>
      <w:r w:rsidRPr="00FE5A7B">
        <w:rPr>
          <w:rFonts w:eastAsiaTheme="minorEastAsia"/>
          <w:shd w:val="clear" w:color="auto" w:fill="FCFCFC"/>
          <w:lang w:val="en-US"/>
        </w:rPr>
        <w:t>Consent to participate: </w:t>
      </w:r>
      <w:r w:rsidRPr="00FE5A7B">
        <w:rPr>
          <w:rFonts w:eastAsiaTheme="minorEastAsia"/>
          <w:b w:val="0"/>
          <w:bCs w:val="0"/>
          <w:shd w:val="clear" w:color="auto" w:fill="FCFCFC"/>
          <w:lang w:val="en-US"/>
        </w:rPr>
        <w:t>There is consent to participate.</w:t>
      </w:r>
    </w:p>
    <w:p w14:paraId="220B5680" w14:textId="77777777" w:rsidR="00FE5A7B" w:rsidRPr="00FE5A7B" w:rsidRDefault="00FE5A7B" w:rsidP="00FE5A7B">
      <w:pPr>
        <w:widowControl w:val="0"/>
        <w:spacing w:after="0"/>
        <w:jc w:val="both"/>
        <w:rPr>
          <w:rFonts w:eastAsiaTheme="minorEastAsia"/>
          <w:b w:val="0"/>
          <w:bCs w:val="0"/>
          <w:shd w:val="clear" w:color="auto" w:fill="FCFCFC"/>
          <w:lang w:val="en-US"/>
        </w:rPr>
      </w:pPr>
      <w:r w:rsidRPr="00FE5A7B">
        <w:rPr>
          <w:rFonts w:eastAsiaTheme="minorEastAsia"/>
          <w:shd w:val="clear" w:color="auto" w:fill="FCFCFC"/>
          <w:lang w:val="en-US"/>
        </w:rPr>
        <w:t>Consent for publication: </w:t>
      </w:r>
      <w:r w:rsidRPr="00FE5A7B">
        <w:rPr>
          <w:rFonts w:eastAsiaTheme="minorEastAsia"/>
          <w:b w:val="0"/>
          <w:bCs w:val="0"/>
          <w:shd w:val="clear" w:color="auto" w:fill="FCFCFC"/>
          <w:lang w:val="en-US"/>
        </w:rPr>
        <w:t>There is consent for the publication of this paper.</w:t>
      </w:r>
    </w:p>
    <w:p w14:paraId="28022F30" w14:textId="4683E2BC" w:rsidR="00FE5A7B" w:rsidRPr="00FE5A7B" w:rsidRDefault="00FE5A7B" w:rsidP="00FE5A7B">
      <w:pPr>
        <w:tabs>
          <w:tab w:val="clear" w:pos="1095"/>
        </w:tabs>
        <w:spacing w:after="0" w:line="240" w:lineRule="auto"/>
        <w:ind w:left="-142" w:right="-482"/>
        <w:jc w:val="left"/>
        <w:rPr>
          <w:rFonts w:eastAsiaTheme="minorEastAsia"/>
          <w:b w:val="0"/>
          <w:bCs w:val="0"/>
          <w:sz w:val="24"/>
          <w:szCs w:val="24"/>
          <w:lang w:val="en-US" w:eastAsia="en-US"/>
        </w:rPr>
      </w:pPr>
      <w:bookmarkStart w:id="0" w:name="_GoBack"/>
      <w:bookmarkEnd w:id="0"/>
    </w:p>
    <w:p w14:paraId="6C5D1413" w14:textId="77777777" w:rsidR="00D01D6D" w:rsidRDefault="00D01D6D" w:rsidP="006C490A">
      <w:pPr>
        <w:widowControl w:val="0"/>
        <w:spacing w:after="0"/>
        <w:jc w:val="both"/>
        <w:rPr>
          <w:b w:val="0"/>
          <w:bCs w:val="0"/>
          <w:shd w:val="clear" w:color="auto" w:fill="FCFCFC"/>
        </w:rPr>
      </w:pPr>
    </w:p>
    <w:p w14:paraId="3E226B54" w14:textId="77777777" w:rsidR="00D01D6D" w:rsidRDefault="00D01D6D" w:rsidP="006C490A">
      <w:pPr>
        <w:widowControl w:val="0"/>
        <w:spacing w:after="0"/>
        <w:jc w:val="both"/>
        <w:rPr>
          <w:b w:val="0"/>
          <w:bCs w:val="0"/>
          <w:shd w:val="clear" w:color="auto" w:fill="FCFCFC"/>
        </w:rPr>
      </w:pPr>
    </w:p>
    <w:p w14:paraId="4295555E" w14:textId="77777777" w:rsidR="00D01D6D" w:rsidRDefault="00D01D6D" w:rsidP="006C490A">
      <w:pPr>
        <w:widowControl w:val="0"/>
        <w:spacing w:after="0"/>
        <w:jc w:val="both"/>
        <w:rPr>
          <w:b w:val="0"/>
          <w:bCs w:val="0"/>
          <w:shd w:val="clear" w:color="auto" w:fill="FCFCFC"/>
        </w:rPr>
      </w:pPr>
    </w:p>
    <w:p w14:paraId="1EBA6FB1" w14:textId="7B796750" w:rsidR="004606DD" w:rsidRPr="006C490A" w:rsidRDefault="00D604F0" w:rsidP="006C490A">
      <w:pPr>
        <w:widowControl w:val="0"/>
        <w:spacing w:after="0"/>
        <w:jc w:val="both"/>
        <w:rPr>
          <w:shd w:val="clear" w:color="auto" w:fill="FCFCFC"/>
        </w:rPr>
      </w:pPr>
      <w:r>
        <w:t xml:space="preserve">REFERENCES </w:t>
      </w:r>
    </w:p>
    <w:p w14:paraId="715BAA72" w14:textId="77777777" w:rsidR="004606DD" w:rsidRDefault="004606DD">
      <w:pPr>
        <w:spacing w:after="0" w:line="276" w:lineRule="auto"/>
        <w:jc w:val="both"/>
      </w:pPr>
    </w:p>
    <w:p w14:paraId="64A6CCC0" w14:textId="77777777" w:rsidR="004606DD" w:rsidRDefault="00D604F0">
      <w:pPr>
        <w:jc w:val="both"/>
        <w:rPr>
          <w:b w:val="0"/>
          <w:bCs w:val="0"/>
        </w:rPr>
      </w:pPr>
      <w:r>
        <w:rPr>
          <w:b w:val="0"/>
          <w:bCs w:val="0"/>
        </w:rPr>
        <w:t xml:space="preserve">1. </w:t>
      </w:r>
      <w:r>
        <w:rPr>
          <w:b w:val="0"/>
          <w:bCs w:val="0"/>
          <w:highlight w:val="white"/>
        </w:rPr>
        <w:t xml:space="preserve">Dasari A, Shen C, Halperin D, Zhao B, Zhou S, Xu Y, Shih T, Yao JC. Trends in the Incidence, Prevalence, and Survival Outcomes in Patients </w:t>
      </w:r>
      <w:proofErr w:type="gramStart"/>
      <w:r>
        <w:rPr>
          <w:b w:val="0"/>
          <w:bCs w:val="0"/>
          <w:highlight w:val="white"/>
        </w:rPr>
        <w:t>With</w:t>
      </w:r>
      <w:proofErr w:type="gramEnd"/>
      <w:r>
        <w:rPr>
          <w:b w:val="0"/>
          <w:bCs w:val="0"/>
          <w:highlight w:val="white"/>
        </w:rPr>
        <w:t xml:space="preserve"> Neuroendocrine Tumors in the United States. JAMA Oncol. 2017 Oct 1;3(10):1335-1342. </w:t>
      </w:r>
      <w:proofErr w:type="spellStart"/>
      <w:r>
        <w:rPr>
          <w:b w:val="0"/>
          <w:bCs w:val="0"/>
          <w:highlight w:val="white"/>
        </w:rPr>
        <w:t>doi</w:t>
      </w:r>
      <w:proofErr w:type="spellEnd"/>
      <w:r>
        <w:rPr>
          <w:b w:val="0"/>
          <w:bCs w:val="0"/>
          <w:highlight w:val="white"/>
        </w:rPr>
        <w:t>: 10.1001/jamaoncol.2017.0589. PMID: 28448665; PMCID: PMC5824320.</w:t>
      </w:r>
    </w:p>
    <w:p w14:paraId="6E09CCF8" w14:textId="77777777" w:rsidR="004606DD" w:rsidRDefault="00D604F0">
      <w:pPr>
        <w:jc w:val="both"/>
        <w:rPr>
          <w:b w:val="0"/>
          <w:bCs w:val="0"/>
        </w:rPr>
      </w:pPr>
      <w:r>
        <w:rPr>
          <w:b w:val="0"/>
          <w:bCs w:val="0"/>
        </w:rPr>
        <w:lastRenderedPageBreak/>
        <w:t xml:space="preserve">2. </w:t>
      </w:r>
      <w:r>
        <w:rPr>
          <w:b w:val="0"/>
          <w:bCs w:val="0"/>
          <w:highlight w:val="white"/>
        </w:rPr>
        <w:t xml:space="preserve">Modlin IM, Oberg K, Chung DC, Jensen RT, de Herder WW, Thakker RV, Caplin M, </w:t>
      </w:r>
      <w:proofErr w:type="spellStart"/>
      <w:r>
        <w:rPr>
          <w:b w:val="0"/>
          <w:bCs w:val="0"/>
          <w:highlight w:val="white"/>
        </w:rPr>
        <w:t>Delle</w:t>
      </w:r>
      <w:proofErr w:type="spellEnd"/>
      <w:r>
        <w:rPr>
          <w:b w:val="0"/>
          <w:bCs w:val="0"/>
          <w:highlight w:val="white"/>
        </w:rPr>
        <w:t xml:space="preserve"> </w:t>
      </w:r>
      <w:proofErr w:type="spellStart"/>
      <w:r>
        <w:rPr>
          <w:b w:val="0"/>
          <w:bCs w:val="0"/>
          <w:highlight w:val="white"/>
        </w:rPr>
        <w:t>Fave</w:t>
      </w:r>
      <w:proofErr w:type="spellEnd"/>
      <w:r>
        <w:rPr>
          <w:b w:val="0"/>
          <w:bCs w:val="0"/>
          <w:highlight w:val="white"/>
        </w:rPr>
        <w:t xml:space="preserve"> G, </w:t>
      </w:r>
      <w:proofErr w:type="spellStart"/>
      <w:r>
        <w:rPr>
          <w:b w:val="0"/>
          <w:bCs w:val="0"/>
          <w:highlight w:val="white"/>
        </w:rPr>
        <w:t>Kaltsas</w:t>
      </w:r>
      <w:proofErr w:type="spellEnd"/>
      <w:r>
        <w:rPr>
          <w:b w:val="0"/>
          <w:bCs w:val="0"/>
          <w:highlight w:val="white"/>
        </w:rPr>
        <w:t xml:space="preserve"> GA, Krenning EP, Moss SF, Nilsson O, Rindi G, Salazar R, </w:t>
      </w:r>
      <w:proofErr w:type="spellStart"/>
      <w:r>
        <w:rPr>
          <w:b w:val="0"/>
          <w:bCs w:val="0"/>
          <w:highlight w:val="white"/>
        </w:rPr>
        <w:t>Ruszniewski</w:t>
      </w:r>
      <w:proofErr w:type="spellEnd"/>
      <w:r>
        <w:rPr>
          <w:b w:val="0"/>
          <w:bCs w:val="0"/>
          <w:highlight w:val="white"/>
        </w:rPr>
        <w:t xml:space="preserve"> P, </w:t>
      </w:r>
      <w:proofErr w:type="spellStart"/>
      <w:r>
        <w:rPr>
          <w:b w:val="0"/>
          <w:bCs w:val="0"/>
          <w:highlight w:val="white"/>
        </w:rPr>
        <w:t>Sundin</w:t>
      </w:r>
      <w:proofErr w:type="spellEnd"/>
      <w:r>
        <w:rPr>
          <w:b w:val="0"/>
          <w:bCs w:val="0"/>
          <w:highlight w:val="white"/>
        </w:rPr>
        <w:t xml:space="preserve"> A. </w:t>
      </w:r>
      <w:proofErr w:type="spellStart"/>
      <w:r>
        <w:rPr>
          <w:b w:val="0"/>
          <w:bCs w:val="0"/>
          <w:highlight w:val="white"/>
        </w:rPr>
        <w:t>Gastroenteropancreatic</w:t>
      </w:r>
      <w:proofErr w:type="spellEnd"/>
      <w:r>
        <w:rPr>
          <w:b w:val="0"/>
          <w:bCs w:val="0"/>
          <w:highlight w:val="white"/>
        </w:rPr>
        <w:t xml:space="preserve"> neuroendocrine </w:t>
      </w:r>
      <w:proofErr w:type="spellStart"/>
      <w:r>
        <w:rPr>
          <w:b w:val="0"/>
          <w:bCs w:val="0"/>
          <w:highlight w:val="white"/>
        </w:rPr>
        <w:t>tumours</w:t>
      </w:r>
      <w:proofErr w:type="spellEnd"/>
      <w:r>
        <w:rPr>
          <w:b w:val="0"/>
          <w:bCs w:val="0"/>
          <w:highlight w:val="white"/>
        </w:rPr>
        <w:t xml:space="preserve">. Lancet Oncol. 2008 Jan;9(1):61-72. </w:t>
      </w:r>
      <w:proofErr w:type="spellStart"/>
      <w:r>
        <w:rPr>
          <w:b w:val="0"/>
          <w:bCs w:val="0"/>
          <w:highlight w:val="white"/>
        </w:rPr>
        <w:t>doi</w:t>
      </w:r>
      <w:proofErr w:type="spellEnd"/>
      <w:r>
        <w:rPr>
          <w:b w:val="0"/>
          <w:bCs w:val="0"/>
          <w:highlight w:val="white"/>
        </w:rPr>
        <w:t>: 10.1016/S1470-2045(07)70410-2. PMID: 18177818.</w:t>
      </w:r>
    </w:p>
    <w:p w14:paraId="09094387" w14:textId="77777777" w:rsidR="004606DD" w:rsidRDefault="00D604F0">
      <w:pPr>
        <w:jc w:val="both"/>
        <w:rPr>
          <w:b w:val="0"/>
          <w:bCs w:val="0"/>
        </w:rPr>
      </w:pPr>
      <w:r>
        <w:rPr>
          <w:b w:val="0"/>
          <w:bCs w:val="0"/>
        </w:rPr>
        <w:t xml:space="preserve">3. </w:t>
      </w:r>
      <w:r>
        <w:rPr>
          <w:b w:val="0"/>
          <w:bCs w:val="0"/>
          <w:highlight w:val="white"/>
        </w:rPr>
        <w:t xml:space="preserve">González-Muñoz A, Aguirre-Salamanca EJ, Rivera-Rincón NA, Rodríguez-Narvaez JG, González-Sierra P, Ramírez-Giraldo C. Primary mesenteric neuroendocrine tumor: Case report. Int J Surg Case Rep. 2023 </w:t>
      </w:r>
      <w:proofErr w:type="gramStart"/>
      <w:r>
        <w:rPr>
          <w:b w:val="0"/>
          <w:bCs w:val="0"/>
          <w:highlight w:val="white"/>
        </w:rPr>
        <w:t>Aug;109:108517</w:t>
      </w:r>
      <w:proofErr w:type="gramEnd"/>
      <w:r>
        <w:rPr>
          <w:b w:val="0"/>
          <w:bCs w:val="0"/>
          <w:highlight w:val="white"/>
        </w:rPr>
        <w:t xml:space="preserve">. </w:t>
      </w:r>
      <w:proofErr w:type="spellStart"/>
      <w:r>
        <w:rPr>
          <w:b w:val="0"/>
          <w:bCs w:val="0"/>
          <w:highlight w:val="white"/>
        </w:rPr>
        <w:t>doi</w:t>
      </w:r>
      <w:proofErr w:type="spellEnd"/>
      <w:r>
        <w:rPr>
          <w:b w:val="0"/>
          <w:bCs w:val="0"/>
          <w:highlight w:val="white"/>
        </w:rPr>
        <w:t xml:space="preserve">: 10.1016/j.ijscr.2023.108517. </w:t>
      </w:r>
      <w:proofErr w:type="spellStart"/>
      <w:r>
        <w:rPr>
          <w:b w:val="0"/>
          <w:bCs w:val="0"/>
          <w:highlight w:val="white"/>
        </w:rPr>
        <w:t>Epub</w:t>
      </w:r>
      <w:proofErr w:type="spellEnd"/>
      <w:r>
        <w:rPr>
          <w:b w:val="0"/>
          <w:bCs w:val="0"/>
          <w:highlight w:val="white"/>
        </w:rPr>
        <w:t xml:space="preserve"> 2023 Jul 22. PMID: 37506529; PMCID: PMC10403702.</w:t>
      </w:r>
    </w:p>
    <w:p w14:paraId="43704837" w14:textId="77777777" w:rsidR="004606DD" w:rsidRPr="00D604F0" w:rsidRDefault="00156699">
      <w:pPr>
        <w:jc w:val="both"/>
        <w:rPr>
          <w:b w:val="0"/>
          <w:bCs w:val="0"/>
        </w:rPr>
      </w:pPr>
      <w:sdt>
        <w:sdtPr>
          <w:tag w:val="goog_rdk_1"/>
          <w:id w:val="-1413964831"/>
        </w:sdtPr>
        <w:sdtEndPr/>
        <w:sdtContent>
          <w:r w:rsidR="00D604F0" w:rsidRPr="00D604F0">
            <w:rPr>
              <w:rFonts w:eastAsia="Gungsuh"/>
              <w:b w:val="0"/>
              <w:bCs w:val="0"/>
            </w:rPr>
            <w:t xml:space="preserve">4. Boudreaux, J. Philip MD*; </w:t>
          </w:r>
          <w:proofErr w:type="spellStart"/>
          <w:r w:rsidR="00D604F0" w:rsidRPr="00D604F0">
            <w:rPr>
              <w:rFonts w:eastAsia="Gungsuh"/>
              <w:b w:val="0"/>
              <w:bCs w:val="0"/>
            </w:rPr>
            <w:t>Klimstra</w:t>
          </w:r>
          <w:proofErr w:type="spellEnd"/>
          <w:r w:rsidR="00D604F0" w:rsidRPr="00D604F0">
            <w:rPr>
              <w:rFonts w:eastAsia="Gungsuh"/>
              <w:b w:val="0"/>
              <w:bCs w:val="0"/>
            </w:rPr>
            <w:t>, David S. MD†; Hassan, Manal M. MD, PhD‡; Woltering, Eugene A. MD*; Jensen, Robert T. MD§; Goldsmith, Stanley J. MD</w:t>
          </w:r>
          <w:r w:rsidR="00D604F0" w:rsidRPr="00D604F0">
            <w:rPr>
              <w:rFonts w:ascii="Cambria Math" w:eastAsia="Gungsuh" w:hAnsi="Cambria Math" w:cs="Cambria Math"/>
              <w:b w:val="0"/>
              <w:bCs w:val="0"/>
            </w:rPr>
            <w:t>∥</w:t>
          </w:r>
          <w:r w:rsidR="00D604F0" w:rsidRPr="00D604F0">
            <w:rPr>
              <w:rFonts w:eastAsia="Gungsuh"/>
              <w:b w:val="0"/>
              <w:bCs w:val="0"/>
            </w:rPr>
            <w:t>; Nutting, Charles DO¶; Bushnell, David L. MD#; Caplin, Martyn E. MD**; Yao, James C. MD‡. The NANETS Consensus Guideline for the Diagnosis and Management of Neuroendocrine Tumors: Well-Differentiated Neuroendocrine Tumors of the Jejunum, Ileum, Appendix, and Cecum. Pancreas 39(6</w:t>
          </w:r>
          <w:proofErr w:type="gramStart"/>
          <w:r w:rsidR="00D604F0" w:rsidRPr="00D604F0">
            <w:rPr>
              <w:rFonts w:eastAsia="Gungsuh"/>
              <w:b w:val="0"/>
              <w:bCs w:val="0"/>
            </w:rPr>
            <w:t>):p</w:t>
          </w:r>
          <w:proofErr w:type="gramEnd"/>
          <w:r w:rsidR="00D604F0" w:rsidRPr="00D604F0">
            <w:rPr>
              <w:rFonts w:eastAsia="Gungsuh"/>
              <w:b w:val="0"/>
              <w:bCs w:val="0"/>
            </w:rPr>
            <w:t xml:space="preserve"> 753-766, August 2010. | DOI: 10.1097/MPA.0b013e3181ebb2a5 </w:t>
          </w:r>
        </w:sdtContent>
      </w:sdt>
    </w:p>
    <w:p w14:paraId="458F4C55" w14:textId="77777777" w:rsidR="004606DD" w:rsidRDefault="00D604F0">
      <w:pPr>
        <w:jc w:val="both"/>
        <w:rPr>
          <w:b w:val="0"/>
          <w:bCs w:val="0"/>
        </w:rPr>
      </w:pPr>
      <w:r>
        <w:rPr>
          <w:b w:val="0"/>
          <w:bCs w:val="0"/>
        </w:rPr>
        <w:t xml:space="preserve">5. Kumar I., S., &amp; M., G. (2025). A case report of primary small bowel neuroendocrine tumor with large metastatic lymph node at root of mesentery with tumor </w:t>
      </w:r>
      <w:proofErr w:type="gramStart"/>
      <w:r>
        <w:rPr>
          <w:b w:val="0"/>
          <w:bCs w:val="0"/>
        </w:rPr>
        <w:t>fibrosis .</w:t>
      </w:r>
      <w:proofErr w:type="gramEnd"/>
      <w:r>
        <w:rPr>
          <w:b w:val="0"/>
          <w:bCs w:val="0"/>
        </w:rPr>
        <w:t xml:space="preserve"> </w:t>
      </w:r>
      <w:r>
        <w:rPr>
          <w:b w:val="0"/>
          <w:bCs w:val="0"/>
          <w:i/>
          <w:iCs/>
        </w:rPr>
        <w:t>International Surgery Journal</w:t>
      </w:r>
      <w:r>
        <w:rPr>
          <w:b w:val="0"/>
          <w:bCs w:val="0"/>
        </w:rPr>
        <w:t xml:space="preserve">, </w:t>
      </w:r>
      <w:r>
        <w:rPr>
          <w:b w:val="0"/>
          <w:bCs w:val="0"/>
          <w:i/>
          <w:iCs/>
        </w:rPr>
        <w:t>12</w:t>
      </w:r>
      <w:r>
        <w:rPr>
          <w:b w:val="0"/>
          <w:bCs w:val="0"/>
        </w:rPr>
        <w:t>(3), 453–458. https://doi.org/10.18203/2349-2902.isj20250591</w:t>
      </w:r>
    </w:p>
    <w:p w14:paraId="2570375E" w14:textId="77777777" w:rsidR="004606DD" w:rsidRDefault="00D604F0">
      <w:pPr>
        <w:jc w:val="both"/>
        <w:rPr>
          <w:b w:val="0"/>
          <w:bCs w:val="0"/>
        </w:rPr>
      </w:pPr>
      <w:r>
        <w:rPr>
          <w:b w:val="0"/>
          <w:bCs w:val="0"/>
        </w:rPr>
        <w:t xml:space="preserve">6. </w:t>
      </w:r>
      <w:r>
        <w:rPr>
          <w:b w:val="0"/>
          <w:bCs w:val="0"/>
          <w:highlight w:val="white"/>
        </w:rPr>
        <w:t xml:space="preserve">Sundin A, Arnold R, Baudin E, Cwikla JB, Eriksson B, Fanti S, Fazio N, </w:t>
      </w:r>
      <w:proofErr w:type="spellStart"/>
      <w:r>
        <w:rPr>
          <w:b w:val="0"/>
          <w:bCs w:val="0"/>
          <w:highlight w:val="white"/>
        </w:rPr>
        <w:t>Giammarile</w:t>
      </w:r>
      <w:proofErr w:type="spellEnd"/>
      <w:r>
        <w:rPr>
          <w:b w:val="0"/>
          <w:bCs w:val="0"/>
          <w:highlight w:val="white"/>
        </w:rPr>
        <w:t xml:space="preserve"> F, Hicks RJ, Kjaer A, </w:t>
      </w:r>
      <w:proofErr w:type="spellStart"/>
      <w:r>
        <w:rPr>
          <w:b w:val="0"/>
          <w:bCs w:val="0"/>
          <w:highlight w:val="white"/>
        </w:rPr>
        <w:t>Krenning</w:t>
      </w:r>
      <w:proofErr w:type="spellEnd"/>
      <w:r>
        <w:rPr>
          <w:b w:val="0"/>
          <w:bCs w:val="0"/>
          <w:highlight w:val="white"/>
        </w:rPr>
        <w:t xml:space="preserve"> E, </w:t>
      </w:r>
      <w:proofErr w:type="spellStart"/>
      <w:r>
        <w:rPr>
          <w:b w:val="0"/>
          <w:bCs w:val="0"/>
          <w:highlight w:val="white"/>
        </w:rPr>
        <w:t>Kwekkeboom</w:t>
      </w:r>
      <w:proofErr w:type="spellEnd"/>
      <w:r>
        <w:rPr>
          <w:b w:val="0"/>
          <w:bCs w:val="0"/>
          <w:highlight w:val="white"/>
        </w:rPr>
        <w:t xml:space="preserve"> D, Lombard-</w:t>
      </w:r>
      <w:proofErr w:type="spellStart"/>
      <w:r>
        <w:rPr>
          <w:b w:val="0"/>
          <w:bCs w:val="0"/>
          <w:highlight w:val="white"/>
        </w:rPr>
        <w:t>Bohas</w:t>
      </w:r>
      <w:proofErr w:type="spellEnd"/>
      <w:r>
        <w:rPr>
          <w:b w:val="0"/>
          <w:bCs w:val="0"/>
          <w:highlight w:val="white"/>
        </w:rPr>
        <w:t xml:space="preserve"> C, O'Connor JM, O'Toole D, Rockall A, Wiedenmann B, Valle JW, </w:t>
      </w:r>
      <w:proofErr w:type="spellStart"/>
      <w:r>
        <w:rPr>
          <w:b w:val="0"/>
          <w:bCs w:val="0"/>
          <w:highlight w:val="white"/>
        </w:rPr>
        <w:t>Vullierme</w:t>
      </w:r>
      <w:proofErr w:type="spellEnd"/>
      <w:r>
        <w:rPr>
          <w:b w:val="0"/>
          <w:bCs w:val="0"/>
          <w:highlight w:val="white"/>
        </w:rPr>
        <w:t xml:space="preserve"> MP; Antibes Consensus Conference participants. ENETS Consensus Guidelines for the Standards of Care in Neuroendocrine Tumors: Radiological, Nuclear Medicine &amp; Hybrid Imaging. Neuroendocrinology. 2017;105(3):212-244. </w:t>
      </w:r>
      <w:proofErr w:type="spellStart"/>
      <w:r>
        <w:rPr>
          <w:b w:val="0"/>
          <w:bCs w:val="0"/>
          <w:highlight w:val="white"/>
        </w:rPr>
        <w:t>doi</w:t>
      </w:r>
      <w:proofErr w:type="spellEnd"/>
      <w:r>
        <w:rPr>
          <w:b w:val="0"/>
          <w:bCs w:val="0"/>
          <w:highlight w:val="white"/>
        </w:rPr>
        <w:t xml:space="preserve">: 10.1159/000471879. </w:t>
      </w:r>
      <w:proofErr w:type="spellStart"/>
      <w:r>
        <w:rPr>
          <w:b w:val="0"/>
          <w:bCs w:val="0"/>
          <w:highlight w:val="white"/>
        </w:rPr>
        <w:t>Epub</w:t>
      </w:r>
      <w:proofErr w:type="spellEnd"/>
      <w:r>
        <w:rPr>
          <w:b w:val="0"/>
          <w:bCs w:val="0"/>
          <w:highlight w:val="white"/>
        </w:rPr>
        <w:t xml:space="preserve"> 2017 Mar 30. PMID: 28355596.</w:t>
      </w:r>
    </w:p>
    <w:p w14:paraId="5D08C67F" w14:textId="77777777" w:rsidR="004606DD" w:rsidRDefault="00D604F0">
      <w:pPr>
        <w:jc w:val="both"/>
        <w:rPr>
          <w:b w:val="0"/>
          <w:bCs w:val="0"/>
        </w:rPr>
      </w:pPr>
      <w:r>
        <w:rPr>
          <w:b w:val="0"/>
          <w:bCs w:val="0"/>
        </w:rPr>
        <w:t>7. Anne Couvelard, Aurélie Cazes, Jérôme Cros, Updates in histopathological classification and tissue biomarkers of digestive neuroendocrine neoplasms: What the clinician should know, Best Practice &amp; Research Clinical Endocrinology &amp; Metabolism, Volume 37, Issue 5, 2023, 101795, ISSN 1521-690X, https://doi.org/10.1016/j.beem.2023.101795.</w:t>
      </w:r>
    </w:p>
    <w:p w14:paraId="34B3DC91" w14:textId="77777777" w:rsidR="004606DD" w:rsidRDefault="00D604F0">
      <w:pPr>
        <w:jc w:val="both"/>
        <w:rPr>
          <w:b w:val="0"/>
          <w:bCs w:val="0"/>
        </w:rPr>
      </w:pPr>
      <w:r>
        <w:rPr>
          <w:b w:val="0"/>
          <w:bCs w:val="0"/>
        </w:rPr>
        <w:t xml:space="preserve">8. </w:t>
      </w:r>
      <w:r>
        <w:rPr>
          <w:b w:val="0"/>
          <w:bCs w:val="0"/>
          <w:highlight w:val="white"/>
        </w:rPr>
        <w:t xml:space="preserve">Fraenkel M, Kim MK, Faggiano A, Valk GD. Epidemiology of </w:t>
      </w:r>
      <w:proofErr w:type="spellStart"/>
      <w:r>
        <w:rPr>
          <w:b w:val="0"/>
          <w:bCs w:val="0"/>
          <w:highlight w:val="white"/>
        </w:rPr>
        <w:t>gastroenteropancreatic</w:t>
      </w:r>
      <w:proofErr w:type="spellEnd"/>
      <w:r>
        <w:rPr>
          <w:b w:val="0"/>
          <w:bCs w:val="0"/>
          <w:highlight w:val="white"/>
        </w:rPr>
        <w:t xml:space="preserve"> neuroendocrine </w:t>
      </w:r>
      <w:proofErr w:type="spellStart"/>
      <w:r>
        <w:rPr>
          <w:b w:val="0"/>
          <w:bCs w:val="0"/>
          <w:highlight w:val="white"/>
        </w:rPr>
        <w:t>tumours</w:t>
      </w:r>
      <w:proofErr w:type="spellEnd"/>
      <w:r>
        <w:rPr>
          <w:b w:val="0"/>
          <w:bCs w:val="0"/>
          <w:highlight w:val="white"/>
        </w:rPr>
        <w:t xml:space="preserve">. Best </w:t>
      </w:r>
      <w:proofErr w:type="spellStart"/>
      <w:r>
        <w:rPr>
          <w:b w:val="0"/>
          <w:bCs w:val="0"/>
          <w:highlight w:val="white"/>
        </w:rPr>
        <w:t>Pract</w:t>
      </w:r>
      <w:proofErr w:type="spellEnd"/>
      <w:r>
        <w:rPr>
          <w:b w:val="0"/>
          <w:bCs w:val="0"/>
          <w:highlight w:val="white"/>
        </w:rPr>
        <w:t xml:space="preserve"> Res Clin Gastroenterol. 2012 Dec;26(6):691-703. </w:t>
      </w:r>
      <w:proofErr w:type="spellStart"/>
      <w:r>
        <w:rPr>
          <w:b w:val="0"/>
          <w:bCs w:val="0"/>
          <w:highlight w:val="white"/>
        </w:rPr>
        <w:t>doi</w:t>
      </w:r>
      <w:proofErr w:type="spellEnd"/>
      <w:r>
        <w:rPr>
          <w:b w:val="0"/>
          <w:bCs w:val="0"/>
          <w:highlight w:val="white"/>
        </w:rPr>
        <w:t>: 10.1016/j.bpg.2013.01.006. PMID: 23582913.</w:t>
      </w:r>
    </w:p>
    <w:p w14:paraId="732165C3" w14:textId="77777777" w:rsidR="004606DD" w:rsidRDefault="00D604F0">
      <w:pPr>
        <w:jc w:val="both"/>
        <w:rPr>
          <w:b w:val="0"/>
          <w:bCs w:val="0"/>
        </w:rPr>
      </w:pPr>
      <w:r>
        <w:rPr>
          <w:b w:val="0"/>
          <w:bCs w:val="0"/>
        </w:rPr>
        <w:lastRenderedPageBreak/>
        <w:t xml:space="preserve">9. </w:t>
      </w:r>
      <w:r>
        <w:rPr>
          <w:b w:val="0"/>
          <w:bCs w:val="0"/>
          <w:highlight w:val="white"/>
        </w:rPr>
        <w:t xml:space="preserve">Modlin IM, Kidd M, </w:t>
      </w:r>
      <w:proofErr w:type="spellStart"/>
      <w:r>
        <w:rPr>
          <w:b w:val="0"/>
          <w:bCs w:val="0"/>
          <w:highlight w:val="white"/>
        </w:rPr>
        <w:t>Latich</w:t>
      </w:r>
      <w:proofErr w:type="spellEnd"/>
      <w:r>
        <w:rPr>
          <w:b w:val="0"/>
          <w:bCs w:val="0"/>
          <w:highlight w:val="white"/>
        </w:rPr>
        <w:t xml:space="preserve"> I, </w:t>
      </w:r>
      <w:proofErr w:type="spellStart"/>
      <w:r>
        <w:rPr>
          <w:b w:val="0"/>
          <w:bCs w:val="0"/>
          <w:highlight w:val="white"/>
        </w:rPr>
        <w:t>Zikusoka</w:t>
      </w:r>
      <w:proofErr w:type="spellEnd"/>
      <w:r>
        <w:rPr>
          <w:b w:val="0"/>
          <w:bCs w:val="0"/>
          <w:highlight w:val="white"/>
        </w:rPr>
        <w:t xml:space="preserve"> MN, Shapiro MD. Current status of gastrointestinal carcinoids. Gastroenterology. 2005 May;128(6):1717-51. </w:t>
      </w:r>
      <w:proofErr w:type="spellStart"/>
      <w:r>
        <w:rPr>
          <w:b w:val="0"/>
          <w:bCs w:val="0"/>
          <w:highlight w:val="white"/>
        </w:rPr>
        <w:t>doi</w:t>
      </w:r>
      <w:proofErr w:type="spellEnd"/>
      <w:r>
        <w:rPr>
          <w:b w:val="0"/>
          <w:bCs w:val="0"/>
          <w:highlight w:val="white"/>
        </w:rPr>
        <w:t>: 10.1053/j.gastro.2005.03.038. PMID: 15887161.</w:t>
      </w:r>
    </w:p>
    <w:p w14:paraId="6349E7CB" w14:textId="77777777" w:rsidR="004606DD" w:rsidRDefault="00D604F0">
      <w:pPr>
        <w:jc w:val="both"/>
        <w:rPr>
          <w:b w:val="0"/>
          <w:bCs w:val="0"/>
        </w:rPr>
      </w:pPr>
      <w:r>
        <w:rPr>
          <w:b w:val="0"/>
          <w:bCs w:val="0"/>
        </w:rPr>
        <w:t xml:space="preserve">10. </w:t>
      </w:r>
      <w:r>
        <w:rPr>
          <w:b w:val="0"/>
          <w:bCs w:val="0"/>
          <w:highlight w:val="white"/>
        </w:rPr>
        <w:t xml:space="preserve">Sheth S, Horton KM, Garland MR, Fishman EK. Mesenteric neoplasms: CT appearances of primary and secondary tumors and differential diagnosis. </w:t>
      </w:r>
      <w:proofErr w:type="spellStart"/>
      <w:r>
        <w:rPr>
          <w:b w:val="0"/>
          <w:bCs w:val="0"/>
          <w:highlight w:val="white"/>
        </w:rPr>
        <w:t>Radiographics</w:t>
      </w:r>
      <w:proofErr w:type="spellEnd"/>
      <w:r>
        <w:rPr>
          <w:b w:val="0"/>
          <w:bCs w:val="0"/>
          <w:highlight w:val="white"/>
        </w:rPr>
        <w:t xml:space="preserve">. 2003 Mar-Apr;23(2):457-73; quiz 535-6. </w:t>
      </w:r>
      <w:proofErr w:type="spellStart"/>
      <w:r>
        <w:rPr>
          <w:b w:val="0"/>
          <w:bCs w:val="0"/>
          <w:highlight w:val="white"/>
        </w:rPr>
        <w:t>doi</w:t>
      </w:r>
      <w:proofErr w:type="spellEnd"/>
      <w:r>
        <w:rPr>
          <w:b w:val="0"/>
          <w:bCs w:val="0"/>
          <w:highlight w:val="white"/>
        </w:rPr>
        <w:t>: 10.1148/rg.232025081. PMID: 12640160.</w:t>
      </w:r>
    </w:p>
    <w:p w14:paraId="254E3DA0" w14:textId="77777777" w:rsidR="004606DD" w:rsidRDefault="00D604F0">
      <w:pPr>
        <w:jc w:val="both"/>
        <w:rPr>
          <w:b w:val="0"/>
          <w:bCs w:val="0"/>
        </w:rPr>
      </w:pPr>
      <w:r>
        <w:rPr>
          <w:b w:val="0"/>
          <w:bCs w:val="0"/>
        </w:rPr>
        <w:t xml:space="preserve">11. </w:t>
      </w:r>
      <w:r>
        <w:rPr>
          <w:b w:val="0"/>
          <w:bCs w:val="0"/>
          <w:highlight w:val="white"/>
        </w:rPr>
        <w:t xml:space="preserve">Rindi, G., </w:t>
      </w:r>
      <w:proofErr w:type="spellStart"/>
      <w:r>
        <w:rPr>
          <w:b w:val="0"/>
          <w:bCs w:val="0"/>
          <w:highlight w:val="white"/>
        </w:rPr>
        <w:t>Klimstra</w:t>
      </w:r>
      <w:proofErr w:type="spellEnd"/>
      <w:r>
        <w:rPr>
          <w:b w:val="0"/>
          <w:bCs w:val="0"/>
          <w:highlight w:val="white"/>
        </w:rPr>
        <w:t>, D.S., Abedi-</w:t>
      </w:r>
      <w:proofErr w:type="spellStart"/>
      <w:r>
        <w:rPr>
          <w:b w:val="0"/>
          <w:bCs w:val="0"/>
          <w:highlight w:val="white"/>
        </w:rPr>
        <w:t>Ardekani</w:t>
      </w:r>
      <w:proofErr w:type="spellEnd"/>
      <w:r>
        <w:rPr>
          <w:b w:val="0"/>
          <w:bCs w:val="0"/>
          <w:highlight w:val="white"/>
        </w:rPr>
        <w:t xml:space="preserve">, B. </w:t>
      </w:r>
      <w:r>
        <w:rPr>
          <w:b w:val="0"/>
          <w:bCs w:val="0"/>
          <w:i/>
          <w:iCs/>
          <w:highlight w:val="white"/>
        </w:rPr>
        <w:t>et al.</w:t>
      </w:r>
      <w:r>
        <w:rPr>
          <w:b w:val="0"/>
          <w:bCs w:val="0"/>
          <w:highlight w:val="white"/>
        </w:rPr>
        <w:t xml:space="preserve"> A common classification framework for neuroendocrine neoplasms: an International Agency for Research on Cancer (IARC) and World Health Organization (WHO) expert consensus proposal. </w:t>
      </w:r>
      <w:r>
        <w:rPr>
          <w:b w:val="0"/>
          <w:bCs w:val="0"/>
          <w:i/>
          <w:iCs/>
          <w:highlight w:val="white"/>
        </w:rPr>
        <w:t xml:space="preserve">Mod </w:t>
      </w:r>
      <w:proofErr w:type="spellStart"/>
      <w:r>
        <w:rPr>
          <w:b w:val="0"/>
          <w:bCs w:val="0"/>
          <w:i/>
          <w:iCs/>
          <w:highlight w:val="white"/>
        </w:rPr>
        <w:t>Pathol</w:t>
      </w:r>
      <w:proofErr w:type="spellEnd"/>
      <w:r>
        <w:rPr>
          <w:b w:val="0"/>
          <w:bCs w:val="0"/>
          <w:highlight w:val="white"/>
        </w:rPr>
        <w:t xml:space="preserve"> 31, 1770–1786 (2018). https://doi.org/10.1038/s41379-018-0110-y</w:t>
      </w:r>
    </w:p>
    <w:p w14:paraId="459EE5A9" w14:textId="77777777" w:rsidR="004606DD" w:rsidRDefault="00D604F0">
      <w:pPr>
        <w:jc w:val="both"/>
        <w:rPr>
          <w:b w:val="0"/>
          <w:bCs w:val="0"/>
        </w:rPr>
      </w:pPr>
      <w:r>
        <w:rPr>
          <w:b w:val="0"/>
          <w:bCs w:val="0"/>
        </w:rPr>
        <w:t>12. Manneh Kopp R, Espinosa-</w:t>
      </w:r>
      <w:proofErr w:type="spellStart"/>
      <w:r>
        <w:rPr>
          <w:b w:val="0"/>
          <w:bCs w:val="0"/>
        </w:rPr>
        <w:t>Olarte</w:t>
      </w:r>
      <w:proofErr w:type="spellEnd"/>
      <w:r>
        <w:rPr>
          <w:b w:val="0"/>
          <w:bCs w:val="0"/>
        </w:rPr>
        <w:t xml:space="preserve"> P, Alonso-</w:t>
      </w:r>
      <w:proofErr w:type="spellStart"/>
      <w:r>
        <w:rPr>
          <w:b w:val="0"/>
          <w:bCs w:val="0"/>
        </w:rPr>
        <w:t>Gordoa</w:t>
      </w:r>
      <w:proofErr w:type="spellEnd"/>
      <w:r>
        <w:rPr>
          <w:b w:val="0"/>
          <w:bCs w:val="0"/>
        </w:rPr>
        <w:t xml:space="preserve"> T. Diagnosis in Neuroendocrine Neoplasms: From Molecular Biology to Molecular Imaging. Cancers (Basel). 2022 May 19;14(10):2514. </w:t>
      </w:r>
      <w:proofErr w:type="spellStart"/>
      <w:r>
        <w:rPr>
          <w:b w:val="0"/>
          <w:bCs w:val="0"/>
        </w:rPr>
        <w:t>doi</w:t>
      </w:r>
      <w:proofErr w:type="spellEnd"/>
      <w:r>
        <w:rPr>
          <w:b w:val="0"/>
          <w:bCs w:val="0"/>
        </w:rPr>
        <w:t>: 10.3390/cancers14102514. PMID: 35626118; PMCID: PMC9139608.</w:t>
      </w:r>
    </w:p>
    <w:p w14:paraId="7BDD699F" w14:textId="77777777" w:rsidR="004606DD" w:rsidRDefault="00D604F0">
      <w:pPr>
        <w:jc w:val="both"/>
        <w:rPr>
          <w:b w:val="0"/>
          <w:bCs w:val="0"/>
        </w:rPr>
      </w:pPr>
      <w:r>
        <w:rPr>
          <w:b w:val="0"/>
          <w:bCs w:val="0"/>
        </w:rPr>
        <w:t xml:space="preserve">13. </w:t>
      </w:r>
      <w:proofErr w:type="spellStart"/>
      <w:r>
        <w:rPr>
          <w:b w:val="0"/>
          <w:bCs w:val="0"/>
          <w:highlight w:val="white"/>
        </w:rPr>
        <w:t>Kmiotek</w:t>
      </w:r>
      <w:proofErr w:type="spellEnd"/>
      <w:r>
        <w:rPr>
          <w:b w:val="0"/>
          <w:bCs w:val="0"/>
          <w:highlight w:val="white"/>
        </w:rPr>
        <w:t xml:space="preserve"> E, </w:t>
      </w:r>
      <w:proofErr w:type="spellStart"/>
      <w:r>
        <w:rPr>
          <w:b w:val="0"/>
          <w:bCs w:val="0"/>
          <w:highlight w:val="white"/>
        </w:rPr>
        <w:t>Lakda</w:t>
      </w:r>
      <w:proofErr w:type="spellEnd"/>
      <w:r>
        <w:rPr>
          <w:b w:val="0"/>
          <w:bCs w:val="0"/>
          <w:highlight w:val="white"/>
        </w:rPr>
        <w:t xml:space="preserve"> S, </w:t>
      </w:r>
      <w:proofErr w:type="spellStart"/>
      <w:r>
        <w:rPr>
          <w:b w:val="0"/>
          <w:bCs w:val="0"/>
          <w:highlight w:val="white"/>
        </w:rPr>
        <w:t>Borakati</w:t>
      </w:r>
      <w:proofErr w:type="spellEnd"/>
      <w:r>
        <w:rPr>
          <w:b w:val="0"/>
          <w:bCs w:val="0"/>
          <w:highlight w:val="white"/>
        </w:rPr>
        <w:t xml:space="preserve"> A, </w:t>
      </w:r>
      <w:proofErr w:type="spellStart"/>
      <w:r>
        <w:rPr>
          <w:b w:val="0"/>
          <w:bCs w:val="0"/>
          <w:highlight w:val="white"/>
        </w:rPr>
        <w:t>Ogunbiyi</w:t>
      </w:r>
      <w:proofErr w:type="spellEnd"/>
      <w:r>
        <w:rPr>
          <w:b w:val="0"/>
          <w:bCs w:val="0"/>
          <w:highlight w:val="white"/>
        </w:rPr>
        <w:t xml:space="preserve"> O, </w:t>
      </w:r>
      <w:proofErr w:type="spellStart"/>
      <w:r>
        <w:rPr>
          <w:b w:val="0"/>
          <w:bCs w:val="0"/>
          <w:highlight w:val="white"/>
        </w:rPr>
        <w:t>Mandair</w:t>
      </w:r>
      <w:proofErr w:type="spellEnd"/>
      <w:r>
        <w:rPr>
          <w:b w:val="0"/>
          <w:bCs w:val="0"/>
          <w:highlight w:val="white"/>
        </w:rPr>
        <w:t xml:space="preserve"> D, Caplin M, </w:t>
      </w:r>
      <w:proofErr w:type="spellStart"/>
      <w:r>
        <w:rPr>
          <w:b w:val="0"/>
          <w:bCs w:val="0"/>
          <w:highlight w:val="white"/>
        </w:rPr>
        <w:t>Toumpanakis</w:t>
      </w:r>
      <w:proofErr w:type="spellEnd"/>
      <w:r>
        <w:rPr>
          <w:b w:val="0"/>
          <w:bCs w:val="0"/>
          <w:highlight w:val="white"/>
        </w:rPr>
        <w:t xml:space="preserve"> C, </w:t>
      </w:r>
      <w:proofErr w:type="spellStart"/>
      <w:r>
        <w:rPr>
          <w:b w:val="0"/>
          <w:bCs w:val="0"/>
          <w:highlight w:val="white"/>
        </w:rPr>
        <w:t>Mirnezami</w:t>
      </w:r>
      <w:proofErr w:type="spellEnd"/>
      <w:r>
        <w:rPr>
          <w:b w:val="0"/>
          <w:bCs w:val="0"/>
          <w:highlight w:val="white"/>
        </w:rPr>
        <w:t xml:space="preserve"> R. Management Strategies and Outcomes for Small Intestinal Neuroendocrine </w:t>
      </w:r>
      <w:proofErr w:type="spellStart"/>
      <w:r>
        <w:rPr>
          <w:b w:val="0"/>
          <w:bCs w:val="0"/>
          <w:highlight w:val="white"/>
        </w:rPr>
        <w:t>Tumours</w:t>
      </w:r>
      <w:proofErr w:type="spellEnd"/>
      <w:r>
        <w:rPr>
          <w:b w:val="0"/>
          <w:bCs w:val="0"/>
          <w:highlight w:val="white"/>
        </w:rPr>
        <w:t xml:space="preserve"> with Involvement of the Superior Mesenteric Vessels: A Systematic Review. Curr Oncol. 2023 Oct 18;30(10):9192-9204. </w:t>
      </w:r>
      <w:proofErr w:type="spellStart"/>
      <w:r>
        <w:rPr>
          <w:b w:val="0"/>
          <w:bCs w:val="0"/>
          <w:highlight w:val="white"/>
        </w:rPr>
        <w:t>doi</w:t>
      </w:r>
      <w:proofErr w:type="spellEnd"/>
      <w:r>
        <w:rPr>
          <w:b w:val="0"/>
          <w:bCs w:val="0"/>
          <w:highlight w:val="white"/>
        </w:rPr>
        <w:t>: 10.3390/curroncol30100664. PMID: 37887564; PMCID: PMC10605700.</w:t>
      </w:r>
    </w:p>
    <w:p w14:paraId="7829E1CF" w14:textId="77777777" w:rsidR="004606DD" w:rsidRDefault="00D604F0">
      <w:pPr>
        <w:jc w:val="both"/>
        <w:rPr>
          <w:b w:val="0"/>
          <w:bCs w:val="0"/>
        </w:rPr>
      </w:pPr>
      <w:r>
        <w:rPr>
          <w:b w:val="0"/>
          <w:bCs w:val="0"/>
        </w:rPr>
        <w:t xml:space="preserve">14. </w:t>
      </w:r>
      <w:r>
        <w:rPr>
          <w:b w:val="0"/>
          <w:bCs w:val="0"/>
          <w:highlight w:val="white"/>
        </w:rPr>
        <w:t>Kos-</w:t>
      </w:r>
      <w:proofErr w:type="spellStart"/>
      <w:r>
        <w:rPr>
          <w:b w:val="0"/>
          <w:bCs w:val="0"/>
          <w:highlight w:val="white"/>
        </w:rPr>
        <w:t>Kudła</w:t>
      </w:r>
      <w:proofErr w:type="spellEnd"/>
      <w:r>
        <w:rPr>
          <w:b w:val="0"/>
          <w:bCs w:val="0"/>
          <w:highlight w:val="white"/>
        </w:rPr>
        <w:t xml:space="preserve"> B, </w:t>
      </w:r>
      <w:proofErr w:type="spellStart"/>
      <w:r>
        <w:rPr>
          <w:b w:val="0"/>
          <w:bCs w:val="0"/>
          <w:highlight w:val="white"/>
        </w:rPr>
        <w:t>Castaño</w:t>
      </w:r>
      <w:proofErr w:type="spellEnd"/>
      <w:r>
        <w:rPr>
          <w:b w:val="0"/>
          <w:bCs w:val="0"/>
          <w:highlight w:val="white"/>
        </w:rPr>
        <w:t xml:space="preserve"> JP, Denecke T, et al. European Neuroendocrine </w:t>
      </w:r>
      <w:proofErr w:type="spellStart"/>
      <w:r>
        <w:rPr>
          <w:b w:val="0"/>
          <w:bCs w:val="0"/>
          <w:highlight w:val="white"/>
        </w:rPr>
        <w:t>Tumour</w:t>
      </w:r>
      <w:proofErr w:type="spellEnd"/>
      <w:r>
        <w:rPr>
          <w:b w:val="0"/>
          <w:bCs w:val="0"/>
          <w:highlight w:val="white"/>
        </w:rPr>
        <w:t xml:space="preserve"> Society (ENETS) 2023 guidance paper for nonfunctioning pancreatic neuroendocrine </w:t>
      </w:r>
      <w:proofErr w:type="spellStart"/>
      <w:r>
        <w:rPr>
          <w:b w:val="0"/>
          <w:bCs w:val="0"/>
          <w:highlight w:val="white"/>
        </w:rPr>
        <w:t>tumours</w:t>
      </w:r>
      <w:proofErr w:type="spellEnd"/>
      <w:r>
        <w:rPr>
          <w:b w:val="0"/>
          <w:bCs w:val="0"/>
          <w:highlight w:val="white"/>
        </w:rPr>
        <w:t xml:space="preserve">. </w:t>
      </w:r>
      <w:r>
        <w:rPr>
          <w:b w:val="0"/>
          <w:bCs w:val="0"/>
          <w:i/>
          <w:iCs/>
          <w:highlight w:val="white"/>
        </w:rPr>
        <w:t xml:space="preserve">J </w:t>
      </w:r>
      <w:proofErr w:type="spellStart"/>
      <w:r>
        <w:rPr>
          <w:b w:val="0"/>
          <w:bCs w:val="0"/>
          <w:i/>
          <w:iCs/>
          <w:highlight w:val="white"/>
        </w:rPr>
        <w:t>Neuroendocrinol</w:t>
      </w:r>
      <w:proofErr w:type="spellEnd"/>
      <w:r>
        <w:rPr>
          <w:b w:val="0"/>
          <w:bCs w:val="0"/>
          <w:highlight w:val="white"/>
        </w:rPr>
        <w:t>. 2023; 35(12</w:t>
      </w:r>
      <w:proofErr w:type="gramStart"/>
      <w:r>
        <w:rPr>
          <w:b w:val="0"/>
          <w:bCs w:val="0"/>
          <w:highlight w:val="white"/>
        </w:rPr>
        <w:t>):e</w:t>
      </w:r>
      <w:proofErr w:type="gramEnd"/>
      <w:r>
        <w:rPr>
          <w:b w:val="0"/>
          <w:bCs w:val="0"/>
          <w:highlight w:val="white"/>
        </w:rPr>
        <w:t>13343. doi:</w:t>
      </w:r>
      <w:hyperlink r:id="rId9">
        <w:r>
          <w:rPr>
            <w:b w:val="0"/>
            <w:bCs w:val="0"/>
            <w:highlight w:val="white"/>
          </w:rPr>
          <w:t>10.1111/jne.13343</w:t>
        </w:r>
      </w:hyperlink>
    </w:p>
    <w:p w14:paraId="79C8B583" w14:textId="77777777" w:rsidR="004606DD" w:rsidRDefault="00D604F0">
      <w:pPr>
        <w:jc w:val="both"/>
        <w:rPr>
          <w:b w:val="0"/>
          <w:bCs w:val="0"/>
        </w:rPr>
      </w:pPr>
      <w:r>
        <w:rPr>
          <w:b w:val="0"/>
          <w:bCs w:val="0"/>
        </w:rPr>
        <w:t xml:space="preserve">15. Kulke MH, Benson AB, Dasari A, Huynh L, Cai B, </w:t>
      </w:r>
      <w:proofErr w:type="spellStart"/>
      <w:r>
        <w:rPr>
          <w:b w:val="0"/>
          <w:bCs w:val="0"/>
        </w:rPr>
        <w:t>Totev</w:t>
      </w:r>
      <w:proofErr w:type="spellEnd"/>
      <w:r>
        <w:rPr>
          <w:b w:val="0"/>
          <w:bCs w:val="0"/>
        </w:rPr>
        <w:t xml:space="preserve"> T, </w:t>
      </w:r>
      <w:proofErr w:type="spellStart"/>
      <w:r>
        <w:rPr>
          <w:b w:val="0"/>
          <w:bCs w:val="0"/>
        </w:rPr>
        <w:t>Roesner</w:t>
      </w:r>
      <w:proofErr w:type="spellEnd"/>
      <w:r>
        <w:rPr>
          <w:b w:val="0"/>
          <w:bCs w:val="0"/>
        </w:rPr>
        <w:t xml:space="preserve"> N, Duh MS, Neary MP, Maurer VE, Shih BE, Dagohoy CG, Chan J, </w:t>
      </w:r>
      <w:proofErr w:type="spellStart"/>
      <w:r>
        <w:rPr>
          <w:b w:val="0"/>
          <w:bCs w:val="0"/>
        </w:rPr>
        <w:t>Bergsland</w:t>
      </w:r>
      <w:proofErr w:type="spellEnd"/>
      <w:r>
        <w:rPr>
          <w:b w:val="0"/>
          <w:bCs w:val="0"/>
        </w:rPr>
        <w:t xml:space="preserve"> EK. Real-World Treatment Patterns and Clinical Outcomes in Advanced Gastrointestinal Neuroendocrine Tumors (GI NET): A Multicenter Retrospective Chart Review Study. Oncologist. 2019 Aug;24(8):1056-1065. </w:t>
      </w:r>
      <w:proofErr w:type="spellStart"/>
      <w:r>
        <w:rPr>
          <w:b w:val="0"/>
          <w:bCs w:val="0"/>
        </w:rPr>
        <w:t>doi</w:t>
      </w:r>
      <w:proofErr w:type="spellEnd"/>
      <w:r>
        <w:rPr>
          <w:b w:val="0"/>
          <w:bCs w:val="0"/>
        </w:rPr>
        <w:t xml:space="preserve">: 10.1634/theoncologist.2018-0519. </w:t>
      </w:r>
      <w:proofErr w:type="spellStart"/>
      <w:r>
        <w:rPr>
          <w:b w:val="0"/>
          <w:bCs w:val="0"/>
        </w:rPr>
        <w:t>Epub</w:t>
      </w:r>
      <w:proofErr w:type="spellEnd"/>
      <w:r>
        <w:rPr>
          <w:b w:val="0"/>
          <w:bCs w:val="0"/>
        </w:rPr>
        <w:t xml:space="preserve"> 2019 Jan 3. PMID: 30606883; PMCID: PMC6693731.</w:t>
      </w:r>
    </w:p>
    <w:p w14:paraId="23E85169" w14:textId="77777777" w:rsidR="004606DD" w:rsidRDefault="00D604F0">
      <w:pPr>
        <w:jc w:val="both"/>
        <w:rPr>
          <w:b w:val="0"/>
          <w:bCs w:val="0"/>
        </w:rPr>
      </w:pPr>
      <w:r>
        <w:rPr>
          <w:b w:val="0"/>
          <w:bCs w:val="0"/>
        </w:rPr>
        <w:t xml:space="preserve">16. </w:t>
      </w:r>
      <w:r>
        <w:rPr>
          <w:b w:val="0"/>
          <w:bCs w:val="0"/>
          <w:highlight w:val="white"/>
        </w:rPr>
        <w:t xml:space="preserve">Caplin ME, Pavel M, </w:t>
      </w:r>
      <w:proofErr w:type="spellStart"/>
      <w:r>
        <w:rPr>
          <w:b w:val="0"/>
          <w:bCs w:val="0"/>
          <w:highlight w:val="white"/>
        </w:rPr>
        <w:t>Ćwikła</w:t>
      </w:r>
      <w:proofErr w:type="spellEnd"/>
      <w:r>
        <w:rPr>
          <w:b w:val="0"/>
          <w:bCs w:val="0"/>
          <w:highlight w:val="white"/>
        </w:rPr>
        <w:t xml:space="preserve"> JB, Phan AT, </w:t>
      </w:r>
      <w:proofErr w:type="spellStart"/>
      <w:r>
        <w:rPr>
          <w:b w:val="0"/>
          <w:bCs w:val="0"/>
          <w:highlight w:val="white"/>
        </w:rPr>
        <w:t>Raderer</w:t>
      </w:r>
      <w:proofErr w:type="spellEnd"/>
      <w:r>
        <w:rPr>
          <w:b w:val="0"/>
          <w:bCs w:val="0"/>
          <w:highlight w:val="white"/>
        </w:rPr>
        <w:t xml:space="preserve"> M, </w:t>
      </w:r>
      <w:proofErr w:type="spellStart"/>
      <w:r>
        <w:rPr>
          <w:b w:val="0"/>
          <w:bCs w:val="0"/>
          <w:highlight w:val="white"/>
        </w:rPr>
        <w:t>Sedláčková</w:t>
      </w:r>
      <w:proofErr w:type="spellEnd"/>
      <w:r>
        <w:rPr>
          <w:b w:val="0"/>
          <w:bCs w:val="0"/>
          <w:highlight w:val="white"/>
        </w:rPr>
        <w:t xml:space="preserve"> E, </w:t>
      </w:r>
      <w:proofErr w:type="spellStart"/>
      <w:r>
        <w:rPr>
          <w:b w:val="0"/>
          <w:bCs w:val="0"/>
          <w:highlight w:val="white"/>
        </w:rPr>
        <w:t>Cadiot</w:t>
      </w:r>
      <w:proofErr w:type="spellEnd"/>
      <w:r>
        <w:rPr>
          <w:b w:val="0"/>
          <w:bCs w:val="0"/>
          <w:highlight w:val="white"/>
        </w:rPr>
        <w:t xml:space="preserve"> G, Wolin EM, Capdevila J, Wall L, Rindi G, Langley A, Martinez S, Blumberg J, </w:t>
      </w:r>
      <w:proofErr w:type="spellStart"/>
      <w:r>
        <w:rPr>
          <w:b w:val="0"/>
          <w:bCs w:val="0"/>
          <w:highlight w:val="white"/>
        </w:rPr>
        <w:t>Ruszniewski</w:t>
      </w:r>
      <w:proofErr w:type="spellEnd"/>
      <w:r>
        <w:rPr>
          <w:b w:val="0"/>
          <w:bCs w:val="0"/>
          <w:highlight w:val="white"/>
        </w:rPr>
        <w:t xml:space="preserve"> P; CLARINET Investigators. </w:t>
      </w:r>
      <w:proofErr w:type="spellStart"/>
      <w:r>
        <w:rPr>
          <w:b w:val="0"/>
          <w:bCs w:val="0"/>
          <w:highlight w:val="white"/>
        </w:rPr>
        <w:t>Lanreotide</w:t>
      </w:r>
      <w:proofErr w:type="spellEnd"/>
      <w:r>
        <w:rPr>
          <w:b w:val="0"/>
          <w:bCs w:val="0"/>
          <w:highlight w:val="white"/>
        </w:rPr>
        <w:t xml:space="preserve"> in metastatic </w:t>
      </w:r>
      <w:proofErr w:type="spellStart"/>
      <w:r>
        <w:rPr>
          <w:b w:val="0"/>
          <w:bCs w:val="0"/>
          <w:highlight w:val="white"/>
        </w:rPr>
        <w:t>enteropancreatic</w:t>
      </w:r>
      <w:proofErr w:type="spellEnd"/>
      <w:r>
        <w:rPr>
          <w:b w:val="0"/>
          <w:bCs w:val="0"/>
          <w:highlight w:val="white"/>
        </w:rPr>
        <w:t xml:space="preserve"> neuroendocrine tumors. N Engl J Med. 2014 Jul 17;371(3):224-33. </w:t>
      </w:r>
      <w:proofErr w:type="spellStart"/>
      <w:r>
        <w:rPr>
          <w:b w:val="0"/>
          <w:bCs w:val="0"/>
          <w:highlight w:val="white"/>
        </w:rPr>
        <w:t>doi</w:t>
      </w:r>
      <w:proofErr w:type="spellEnd"/>
      <w:r>
        <w:rPr>
          <w:b w:val="0"/>
          <w:bCs w:val="0"/>
          <w:highlight w:val="white"/>
        </w:rPr>
        <w:t>: 10.1056/NEJMoa1316158. PMID: 25014687.</w:t>
      </w:r>
    </w:p>
    <w:p w14:paraId="2287F580" w14:textId="77777777" w:rsidR="004606DD" w:rsidRDefault="00D604F0">
      <w:pPr>
        <w:jc w:val="both"/>
        <w:rPr>
          <w:b w:val="0"/>
          <w:bCs w:val="0"/>
        </w:rPr>
      </w:pPr>
      <w:r>
        <w:rPr>
          <w:b w:val="0"/>
          <w:bCs w:val="0"/>
        </w:rPr>
        <w:t xml:space="preserve">17. </w:t>
      </w:r>
      <w:r>
        <w:rPr>
          <w:b w:val="0"/>
          <w:bCs w:val="0"/>
          <w:highlight w:val="white"/>
        </w:rPr>
        <w:t xml:space="preserve">Galbraith NJ, </w:t>
      </w:r>
      <w:proofErr w:type="spellStart"/>
      <w:r>
        <w:rPr>
          <w:b w:val="0"/>
          <w:bCs w:val="0"/>
          <w:highlight w:val="white"/>
        </w:rPr>
        <w:t>Sokas</w:t>
      </w:r>
      <w:proofErr w:type="spellEnd"/>
      <w:r>
        <w:rPr>
          <w:b w:val="0"/>
          <w:bCs w:val="0"/>
          <w:highlight w:val="white"/>
        </w:rPr>
        <w:t xml:space="preserve"> CM. Small-Bowel Neuroendocrine Tumors. Dis Colon Rectum. 2024 Aug 1;67(8):997-1000. </w:t>
      </w:r>
      <w:proofErr w:type="spellStart"/>
      <w:r>
        <w:rPr>
          <w:b w:val="0"/>
          <w:bCs w:val="0"/>
          <w:highlight w:val="white"/>
        </w:rPr>
        <w:t>doi</w:t>
      </w:r>
      <w:proofErr w:type="spellEnd"/>
      <w:r>
        <w:rPr>
          <w:b w:val="0"/>
          <w:bCs w:val="0"/>
          <w:highlight w:val="white"/>
        </w:rPr>
        <w:t xml:space="preserve">: 10.1097/DCR.0000000000003387. </w:t>
      </w:r>
      <w:proofErr w:type="spellStart"/>
      <w:r>
        <w:rPr>
          <w:b w:val="0"/>
          <w:bCs w:val="0"/>
          <w:highlight w:val="white"/>
        </w:rPr>
        <w:t>Epub</w:t>
      </w:r>
      <w:proofErr w:type="spellEnd"/>
      <w:r>
        <w:rPr>
          <w:b w:val="0"/>
          <w:bCs w:val="0"/>
          <w:highlight w:val="white"/>
        </w:rPr>
        <w:t xml:space="preserve"> 2024 Jul 13. PMID: 38752658.</w:t>
      </w:r>
    </w:p>
    <w:p w14:paraId="54E1E67F" w14:textId="77777777" w:rsidR="004606DD" w:rsidRDefault="00D604F0">
      <w:pPr>
        <w:jc w:val="both"/>
        <w:rPr>
          <w:b w:val="0"/>
          <w:bCs w:val="0"/>
        </w:rPr>
      </w:pPr>
      <w:r>
        <w:rPr>
          <w:b w:val="0"/>
          <w:bCs w:val="0"/>
        </w:rPr>
        <w:lastRenderedPageBreak/>
        <w:t xml:space="preserve">18. </w:t>
      </w:r>
      <w:r>
        <w:rPr>
          <w:b w:val="0"/>
          <w:bCs w:val="0"/>
          <w:highlight w:val="white"/>
        </w:rPr>
        <w:t xml:space="preserve">Kumar A, </w:t>
      </w:r>
      <w:proofErr w:type="spellStart"/>
      <w:r>
        <w:rPr>
          <w:b w:val="0"/>
          <w:bCs w:val="0"/>
          <w:highlight w:val="white"/>
        </w:rPr>
        <w:t>Ramlakshmi</w:t>
      </w:r>
      <w:proofErr w:type="spellEnd"/>
      <w:r>
        <w:rPr>
          <w:b w:val="0"/>
          <w:bCs w:val="0"/>
          <w:highlight w:val="white"/>
        </w:rPr>
        <w:t xml:space="preserve"> V, Ahmad S, et al. (May 23, 2025) Atypical Presentation of Small Bowel Neuroendocrine Carcinoma Leading to Acute Obstruction. </w:t>
      </w:r>
      <w:proofErr w:type="spellStart"/>
      <w:r>
        <w:rPr>
          <w:b w:val="0"/>
          <w:bCs w:val="0"/>
          <w:highlight w:val="white"/>
        </w:rPr>
        <w:t>Cureus</w:t>
      </w:r>
      <w:proofErr w:type="spellEnd"/>
      <w:r>
        <w:rPr>
          <w:b w:val="0"/>
          <w:bCs w:val="0"/>
          <w:highlight w:val="white"/>
        </w:rPr>
        <w:t xml:space="preserve"> 17(5): e84661. doi:10.7759/cureus.84661</w:t>
      </w:r>
    </w:p>
    <w:sectPr w:rsidR="004606D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F4EB2" w14:textId="77777777" w:rsidR="00156699" w:rsidRDefault="00156699" w:rsidP="00061EFF">
      <w:pPr>
        <w:spacing w:after="0" w:line="240" w:lineRule="auto"/>
      </w:pPr>
      <w:r>
        <w:separator/>
      </w:r>
    </w:p>
  </w:endnote>
  <w:endnote w:type="continuationSeparator" w:id="0">
    <w:p w14:paraId="5043A080" w14:textId="77777777" w:rsidR="00156699" w:rsidRDefault="00156699" w:rsidP="0006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Italic r:id="rId1" w:fontKey="{D5ECB6DB-7FF7-4600-8A61-50947341FC8C}"/>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2" w:fontKey="{276E14A0-E789-4225-97C6-B6205EC0C774}"/>
  </w:font>
  <w:font w:name="Calibri">
    <w:panose1 w:val="020F0502020204030204"/>
    <w:charset w:val="00"/>
    <w:family w:val="swiss"/>
    <w:pitch w:val="variable"/>
    <w:sig w:usb0="E4002EFF" w:usb1="C000247B" w:usb2="00000009" w:usb3="00000000" w:csb0="000001FF" w:csb1="00000000"/>
    <w:embedRegular r:id="rId3" w:fontKey="{6EEF4969-5636-4A78-99B5-8F39EA40CAF2}"/>
  </w:font>
  <w:font w:name="Cambria">
    <w:panose1 w:val="02040503050406030204"/>
    <w:charset w:val="00"/>
    <w:family w:val="roman"/>
    <w:pitch w:val="variable"/>
    <w:sig w:usb0="E00006FF" w:usb1="420024FF" w:usb2="02000000" w:usb3="00000000" w:csb0="0000019F" w:csb1="00000000"/>
    <w:embedRegular r:id="rId4" w:fontKey="{4C793249-5B5E-46A5-B75F-44F86234D8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32EC" w14:textId="77777777" w:rsidR="00061EFF" w:rsidRDefault="00061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DF5F3" w14:textId="77777777" w:rsidR="00061EFF" w:rsidRDefault="00061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D80FF" w14:textId="77777777" w:rsidR="00061EFF" w:rsidRDefault="00061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DAB33" w14:textId="77777777" w:rsidR="00156699" w:rsidRDefault="00156699" w:rsidP="00061EFF">
      <w:pPr>
        <w:spacing w:after="0" w:line="240" w:lineRule="auto"/>
      </w:pPr>
      <w:r>
        <w:separator/>
      </w:r>
    </w:p>
  </w:footnote>
  <w:footnote w:type="continuationSeparator" w:id="0">
    <w:p w14:paraId="5FC7120A" w14:textId="77777777" w:rsidR="00156699" w:rsidRDefault="00156699" w:rsidP="00061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6EC68" w14:textId="2E96359B" w:rsidR="00061EFF" w:rsidRDefault="00061EFF">
    <w:pPr>
      <w:pStyle w:val="Header"/>
    </w:pPr>
    <w:r>
      <w:rPr>
        <w:noProof/>
      </w:rPr>
      <w:pict w14:anchorId="3A7B7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FBFB9" w14:textId="5F8BB099" w:rsidR="00061EFF" w:rsidRDefault="00061EFF">
    <w:pPr>
      <w:pStyle w:val="Header"/>
    </w:pPr>
    <w:r>
      <w:rPr>
        <w:noProof/>
      </w:rPr>
      <w:pict w14:anchorId="0A6F0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64BAD" w14:textId="5EFB551E" w:rsidR="00061EFF" w:rsidRDefault="00061EFF">
    <w:pPr>
      <w:pStyle w:val="Header"/>
    </w:pPr>
    <w:r>
      <w:rPr>
        <w:noProof/>
      </w:rPr>
      <w:pict w14:anchorId="7450E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6DD"/>
    <w:rsid w:val="00061EFF"/>
    <w:rsid w:val="00156699"/>
    <w:rsid w:val="001B398D"/>
    <w:rsid w:val="00201695"/>
    <w:rsid w:val="004606DD"/>
    <w:rsid w:val="006C068E"/>
    <w:rsid w:val="006C490A"/>
    <w:rsid w:val="008B69F5"/>
    <w:rsid w:val="00914085"/>
    <w:rsid w:val="00D01D6D"/>
    <w:rsid w:val="00D604F0"/>
    <w:rsid w:val="00ED1834"/>
    <w:rsid w:val="00FE5A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FE99EB"/>
  <w15:docId w15:val="{5259CECD-92A4-4E28-962E-8558B76E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b/>
        <w:bCs/>
        <w:sz w:val="22"/>
        <w:szCs w:val="22"/>
        <w:lang w:val="en" w:eastAsia="en-IN" w:bidi="ar-SA"/>
      </w:rPr>
    </w:rPrDefault>
    <w:pPrDefault>
      <w:pPr>
        <w:tabs>
          <w:tab w:val="left" w:pos="1095"/>
        </w:tabs>
        <w:spacing w:after="200" w:line="360"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Pr>
  </w:style>
  <w:style w:type="character" w:styleId="Hyperlink">
    <w:name w:val="Hyperlink"/>
    <w:basedOn w:val="DefaultParagraphFont"/>
    <w:uiPriority w:val="99"/>
    <w:unhideWhenUsed/>
    <w:rsid w:val="001B398D"/>
    <w:rPr>
      <w:color w:val="0000FF" w:themeColor="hyperlink"/>
      <w:u w:val="single"/>
    </w:rPr>
  </w:style>
  <w:style w:type="character" w:styleId="UnresolvedMention">
    <w:name w:val="Unresolved Mention"/>
    <w:basedOn w:val="DefaultParagraphFont"/>
    <w:uiPriority w:val="99"/>
    <w:semiHidden/>
    <w:unhideWhenUsed/>
    <w:rsid w:val="001B398D"/>
    <w:rPr>
      <w:color w:val="605E5C"/>
      <w:shd w:val="clear" w:color="auto" w:fill="E1DFDD"/>
    </w:rPr>
  </w:style>
  <w:style w:type="paragraph" w:styleId="Header">
    <w:name w:val="header"/>
    <w:basedOn w:val="Normal"/>
    <w:link w:val="HeaderChar"/>
    <w:uiPriority w:val="99"/>
    <w:unhideWhenUsed/>
    <w:rsid w:val="00061EFF"/>
    <w:pPr>
      <w:tabs>
        <w:tab w:val="clear" w:pos="1095"/>
        <w:tab w:val="center" w:pos="4680"/>
        <w:tab w:val="right" w:pos="9360"/>
      </w:tabs>
      <w:spacing w:after="0" w:line="240" w:lineRule="auto"/>
    </w:pPr>
  </w:style>
  <w:style w:type="character" w:customStyle="1" w:styleId="HeaderChar">
    <w:name w:val="Header Char"/>
    <w:basedOn w:val="DefaultParagraphFont"/>
    <w:link w:val="Header"/>
    <w:uiPriority w:val="99"/>
    <w:rsid w:val="00061EFF"/>
  </w:style>
  <w:style w:type="paragraph" w:styleId="Footer">
    <w:name w:val="footer"/>
    <w:basedOn w:val="Normal"/>
    <w:link w:val="FooterChar"/>
    <w:uiPriority w:val="99"/>
    <w:unhideWhenUsed/>
    <w:rsid w:val="00061EFF"/>
    <w:pPr>
      <w:tabs>
        <w:tab w:val="clear" w:pos="1095"/>
        <w:tab w:val="center" w:pos="4680"/>
        <w:tab w:val="right" w:pos="9360"/>
      </w:tabs>
      <w:spacing w:after="0" w:line="240" w:lineRule="auto"/>
    </w:pPr>
  </w:style>
  <w:style w:type="character" w:customStyle="1" w:styleId="FooterChar">
    <w:name w:val="Footer Char"/>
    <w:basedOn w:val="DefaultParagraphFont"/>
    <w:link w:val="Footer"/>
    <w:uiPriority w:val="99"/>
    <w:rsid w:val="00061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111/jne.13343"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gid+Vm1viKIGBzP4j5grRAu+A==">CgMxLjAaHwoBMBIaChgICVIUChJ0YWJsZS5jM3dmdjBveGwzc2caFAoBMRIPCg0IB0IJEgdHdW5nc3VoOAByITFpek14MzNwM204cXFzeHM3N01BVXgzdDhzMGxyU21fcQ==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2434</Words>
  <Characters>13874</Characters>
  <Application>Microsoft Office Word</Application>
  <DocSecurity>0</DocSecurity>
  <Lines>115</Lines>
  <Paragraphs>32</Paragraphs>
  <ScaleCrop>false</ScaleCrop>
  <Company/>
  <LinksUpToDate>false</LinksUpToDate>
  <CharactersWithSpaces>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2026-02-13T08:35:00Z</dcterms:created>
  <dcterms:modified xsi:type="dcterms:W3CDTF">2026-02-14T09:22:00Z</dcterms:modified>
</cp:coreProperties>
</file>