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54D18" w14:textId="6DFA1D4B" w:rsidR="00754C9A" w:rsidRDefault="009A6864" w:rsidP="00441B6F">
      <w:pPr>
        <w:pStyle w:val="Title"/>
        <w:spacing w:after="0"/>
        <w:jc w:val="both"/>
        <w:rPr>
          <w:rFonts w:ascii="Arial" w:hAnsi="Arial" w:cs="Arial"/>
        </w:rPr>
      </w:pPr>
      <w:r w:rsidRPr="009A6864">
        <w:rPr>
          <w:rFonts w:ascii="Arial" w:hAnsi="Arial" w:cs="Arial"/>
        </w:rPr>
        <w:t>Original Research Article</w:t>
      </w:r>
    </w:p>
    <w:p w14:paraId="56AF7BE9" w14:textId="77777777" w:rsidR="009A6864" w:rsidRDefault="009A6864" w:rsidP="00441B6F">
      <w:pPr>
        <w:pStyle w:val="Title"/>
        <w:spacing w:after="0"/>
        <w:jc w:val="both"/>
        <w:rPr>
          <w:rFonts w:ascii="Arial" w:hAnsi="Arial" w:cs="Arial"/>
        </w:rPr>
      </w:pPr>
    </w:p>
    <w:p w14:paraId="3DAB7946" w14:textId="77777777" w:rsidR="009A6864" w:rsidRDefault="009A6864" w:rsidP="00441B6F">
      <w:pPr>
        <w:pStyle w:val="Title"/>
        <w:spacing w:after="0"/>
        <w:jc w:val="both"/>
        <w:rPr>
          <w:rFonts w:ascii="Arial" w:hAnsi="Arial" w:cs="Arial"/>
        </w:rPr>
      </w:pPr>
    </w:p>
    <w:p w14:paraId="3A8B444C" w14:textId="261831A1" w:rsidR="00163BC4" w:rsidRPr="00163BC4" w:rsidRDefault="00C91493" w:rsidP="00441B6F">
      <w:pPr>
        <w:pStyle w:val="Author"/>
        <w:spacing w:line="240" w:lineRule="auto"/>
        <w:rPr>
          <w:rFonts w:ascii="Arial" w:hAnsi="Arial" w:cs="Arial"/>
          <w:bCs/>
          <w:iCs/>
          <w:kern w:val="28"/>
          <w:sz w:val="36"/>
        </w:rPr>
      </w:pPr>
      <w:r w:rsidRPr="00C91493">
        <w:rPr>
          <w:rFonts w:ascii="Arial" w:hAnsi="Arial" w:cs="Arial"/>
          <w:sz w:val="36"/>
          <w:szCs w:val="36"/>
        </w:rPr>
        <w:t>Tuition as Strategic Communication: Framing and Signaling in Global and Philippine University Websites</w:t>
      </w:r>
    </w:p>
    <w:p w14:paraId="0BC7E264" w14:textId="77777777" w:rsidR="00A258C3" w:rsidRPr="00790ADA" w:rsidRDefault="00A258C3" w:rsidP="00441B6F">
      <w:pPr>
        <w:pStyle w:val="Author"/>
        <w:spacing w:line="240" w:lineRule="auto"/>
        <w:jc w:val="both"/>
        <w:rPr>
          <w:rFonts w:ascii="Arial" w:hAnsi="Arial" w:cs="Arial"/>
          <w:sz w:val="36"/>
        </w:rPr>
      </w:pPr>
    </w:p>
    <w:p w14:paraId="7FFB0A20" w14:textId="77777777" w:rsidR="00211501" w:rsidRPr="00FE29AB" w:rsidRDefault="00211501" w:rsidP="00211501">
      <w:pPr>
        <w:pStyle w:val="Affiliation"/>
        <w:spacing w:after="0" w:line="240" w:lineRule="auto"/>
        <w:rPr>
          <w:rFonts w:ascii="Arial" w:hAnsi="Arial" w:cs="Arial"/>
          <w:i/>
        </w:rPr>
      </w:pPr>
    </w:p>
    <w:p w14:paraId="39B46994" w14:textId="77777777" w:rsidR="00790ADA" w:rsidRDefault="00790ADA" w:rsidP="00441B6F">
      <w:pPr>
        <w:pStyle w:val="Affiliation"/>
        <w:spacing w:after="0" w:line="240" w:lineRule="auto"/>
        <w:jc w:val="both"/>
        <w:rPr>
          <w:rFonts w:ascii="Arial" w:hAnsi="Arial" w:cs="Arial"/>
        </w:rPr>
      </w:pPr>
    </w:p>
    <w:p w14:paraId="59433183" w14:textId="77777777" w:rsidR="002C57D2" w:rsidRPr="00FB3A86" w:rsidRDefault="002C57D2" w:rsidP="00441B6F">
      <w:pPr>
        <w:pStyle w:val="Affiliation"/>
        <w:spacing w:after="0" w:line="240" w:lineRule="auto"/>
        <w:jc w:val="both"/>
        <w:rPr>
          <w:rFonts w:ascii="Arial" w:hAnsi="Arial" w:cs="Arial"/>
        </w:rPr>
      </w:pPr>
    </w:p>
    <w:p w14:paraId="01CF4F8D" w14:textId="77777777" w:rsidR="00B01FCD" w:rsidRPr="00FB3A86" w:rsidRDefault="009B77D6" w:rsidP="00441B6F">
      <w:pPr>
        <w:pStyle w:val="Copyright"/>
        <w:spacing w:after="0" w:line="240" w:lineRule="auto"/>
        <w:jc w:val="both"/>
        <w:rPr>
          <w:rFonts w:ascii="Arial" w:hAnsi="Arial" w:cs="Arial"/>
        </w:rPr>
        <w:sectPr w:rsidR="00B01FCD" w:rsidRPr="00FB3A86" w:rsidSect="00174A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81056D" wp14:editId="60B9EB01">
                <wp:extent cx="5303520" cy="635"/>
                <wp:effectExtent l="0" t="12700" r="5080" b="12065"/>
                <wp:docPr id="1803539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1AFB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92B895A" w14:textId="7D03D9D9" w:rsidR="00B01FCD" w:rsidRDefault="00B01FCD" w:rsidP="00441B6F">
      <w:pPr>
        <w:pStyle w:val="AbstHead"/>
        <w:spacing w:after="0"/>
        <w:jc w:val="both"/>
        <w:rPr>
          <w:rFonts w:ascii="Arial" w:hAnsi="Arial" w:cs="Arial"/>
        </w:rPr>
      </w:pPr>
      <w:r w:rsidRPr="00FB3A86">
        <w:rPr>
          <w:rFonts w:ascii="Arial" w:hAnsi="Arial" w:cs="Arial"/>
        </w:rPr>
        <w:t>ABSTRACT</w:t>
      </w:r>
    </w:p>
    <w:p w14:paraId="6640EC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7467B8" w14:textId="77777777" w:rsidTr="001E44FE">
        <w:tc>
          <w:tcPr>
            <w:tcW w:w="9576" w:type="dxa"/>
            <w:shd w:val="clear" w:color="auto" w:fill="F2F2F2"/>
          </w:tcPr>
          <w:p w14:paraId="7FB2919A" w14:textId="77777777" w:rsidR="00FC1DD7" w:rsidRDefault="00FC1DD7" w:rsidP="00FC1DD7">
            <w:pPr>
              <w:rPr>
                <w:rFonts w:ascii="Times New Roman" w:hAnsi="Times New Roman"/>
              </w:rPr>
            </w:pPr>
            <w:r>
              <w:t>Tuition costs play a key role in how universities compete and how students make choices, especially at private universities that rely on tuition. Although universities share tuition details on their websites, this information is usually presented as basic administration, and little focus has been given to how it can be used strategically online. This study looks at how top-ranked private universities present tuition information on their official websites and compares these approaches with those of a private university in Northern Mindanao, Philippines, to find ways to improve tuition communication.</w:t>
            </w:r>
          </w:p>
          <w:p w14:paraId="0088C3B3" w14:textId="77777777" w:rsidR="00FC1DD7" w:rsidRDefault="00FC1DD7" w:rsidP="00FC1DD7">
            <w:r>
              <w:t>A qualitative comparative document analysis design was employed. Official university websites of six globally ranked private institutions and one Philippine private university were examined between January and February 2026. Six private universities ranked between 200 and 500 in the QS World University Rankings 2026 were selected to form a global benchmark group, alongside one Philippine private university for comparison. Only publicly accessible English-language tuition and financial aid webpages were analyzed using directed qualitative content analysis guided by Framing Theory and interpreted through Signaling Theory.</w:t>
            </w:r>
          </w:p>
          <w:p w14:paraId="19C85C28" w14:textId="77777777" w:rsidR="00FC1DD7" w:rsidRDefault="00FC1DD7" w:rsidP="00FC1DD7">
            <w:r>
              <w:t>The study found seven ways universities frame tuition: as an investment, focusing on accessibility, highlighting scholarships, justifying costs with prestige or quality, being transparent, showing outcomes or employability, and including calls to action. Five of the six global universities strongly used investment, prestige, and outcome framing, often placing them near rankings, job placement data, and application links. All seven universities were transparent. The Philippine university matched the others in transparency and accessibility but used less prestige, investment, and outcome framing.</w:t>
            </w:r>
          </w:p>
          <w:p w14:paraId="4F4BF7F6" w14:textId="09CF9DC6" w:rsidR="00505F06" w:rsidRPr="00FC1DD7" w:rsidRDefault="00FC1DD7" w:rsidP="00FC1DD7">
            <w:r>
              <w:t>The results show that tuition webpages are used as strategic communication tools, not just for sharing information. Using different framing and signaling strategies together can help universities improve their image and attract more students online.</w:t>
            </w:r>
          </w:p>
        </w:tc>
      </w:tr>
    </w:tbl>
    <w:p w14:paraId="7CBBBF07" w14:textId="77777777" w:rsidR="00636EB2" w:rsidRDefault="00636EB2" w:rsidP="00441B6F">
      <w:pPr>
        <w:pStyle w:val="Body"/>
        <w:spacing w:after="0"/>
        <w:rPr>
          <w:rFonts w:ascii="Arial" w:hAnsi="Arial" w:cs="Arial"/>
          <w:i/>
        </w:rPr>
      </w:pPr>
    </w:p>
    <w:p w14:paraId="544A2CE3" w14:textId="1C97590B" w:rsidR="0024282C" w:rsidRPr="00FC1DD7" w:rsidRDefault="00A24E7E" w:rsidP="00441B6F">
      <w:pPr>
        <w:pStyle w:val="Body"/>
        <w:spacing w:after="0"/>
        <w:rPr>
          <w:rFonts w:ascii="Arial" w:hAnsi="Arial" w:cs="Arial"/>
          <w:i/>
        </w:rPr>
      </w:pPr>
      <w:r>
        <w:rPr>
          <w:rFonts w:ascii="Arial" w:hAnsi="Arial" w:cs="Arial"/>
          <w:i/>
        </w:rPr>
        <w:t xml:space="preserve">Keywords: </w:t>
      </w:r>
      <w:r w:rsidR="006A1041">
        <w:rPr>
          <w:rFonts w:ascii="Arial" w:hAnsi="Arial" w:cs="Arial"/>
          <w:i/>
        </w:rPr>
        <w:t>Tuition communication, framing theory, signaling theory, higher education, university websites</w:t>
      </w:r>
    </w:p>
    <w:p w14:paraId="3CA8E6F8" w14:textId="77777777" w:rsidR="00505F06" w:rsidRPr="00A24E7E" w:rsidRDefault="00505F06" w:rsidP="00441B6F">
      <w:pPr>
        <w:pStyle w:val="Body"/>
        <w:spacing w:after="0"/>
        <w:rPr>
          <w:rFonts w:ascii="Arial" w:hAnsi="Arial" w:cs="Arial"/>
          <w:i/>
        </w:rPr>
      </w:pPr>
    </w:p>
    <w:p w14:paraId="36B17E27" w14:textId="58856F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24171A3" w14:textId="77777777" w:rsidR="00790ADA" w:rsidRPr="00FB3A86" w:rsidRDefault="00790ADA" w:rsidP="00441B6F">
      <w:pPr>
        <w:pStyle w:val="AbstHead"/>
        <w:spacing w:after="0"/>
        <w:jc w:val="both"/>
        <w:rPr>
          <w:rFonts w:ascii="Arial" w:hAnsi="Arial" w:cs="Arial"/>
        </w:rPr>
      </w:pPr>
    </w:p>
    <w:p w14:paraId="69CFB2AA"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 xml:space="preserve">Higher education has become more international and competitive, with universities shaped by global rankings, student mobility, and reputation (Arfan et al., 2025; </w:t>
      </w:r>
      <w:proofErr w:type="spellStart"/>
      <w:r w:rsidRPr="00BB5E3F">
        <w:rPr>
          <w:rFonts w:ascii="Arial" w:hAnsi="Arial" w:cs="Arial"/>
          <w:color w:val="000000"/>
          <w:lang w:val="en-PH"/>
        </w:rPr>
        <w:t>Ilhami</w:t>
      </w:r>
      <w:proofErr w:type="spellEnd"/>
      <w:r w:rsidRPr="00BB5E3F">
        <w:rPr>
          <w:rFonts w:ascii="Arial" w:hAnsi="Arial" w:cs="Arial"/>
          <w:color w:val="000000"/>
          <w:lang w:val="en-PH"/>
        </w:rPr>
        <w:t xml:space="preserve"> et al., 2025). Ranking systems like QS, Times Higher Education, and the Academic Ranking of World </w:t>
      </w:r>
      <w:r w:rsidRPr="00BB5E3F">
        <w:rPr>
          <w:rFonts w:ascii="Arial" w:hAnsi="Arial" w:cs="Arial"/>
          <w:color w:val="000000"/>
          <w:lang w:val="en-PH"/>
        </w:rPr>
        <w:lastRenderedPageBreak/>
        <w:t>Universities have a strong impact on how institutions are seen worldwide (Badiuzzaman, 2025). In tuition-based systems, university websites are often the main source for prospective students to check costs, credibility, and value, making these sites crucial for recruitment and decision-making (Davis et al., 2019; Ng, 2023).</w:t>
      </w:r>
    </w:p>
    <w:p w14:paraId="6006102D"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Although research has looked at higher education branding, digital communication, and the impact of rankings, there has been little focus on how tuition is presented on university websites. Studies show that university websites and online channels are key for sharing value propositions and shaping reputation in a crowded market (Ghorbanzadeh, 2023; Xiao et al., 2023). Other research highlights that interactive, well-designed websites and online promotion are now essential for attracting students and showing institutional quality (Ghorbanzadeh, 2023; Sharma, 2025). Tuition details are often seen as just administrative information, but they can also be a strategic part of how universities present themselves, as shown by studies on the quality, ease of use, and clarity of tuition webpages (Davis et al., 2019). There is still little comparative research on how tuition is communicated on websites, especially between globally ranked universities and private universities in the Philippines, even though tuition-fee research is growing worldwide but is still mostly focused on Western countries (Arfan et al., 2025).</w:t>
      </w:r>
    </w:p>
    <w:p w14:paraId="63A7882E"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This study fills this gap by looking at how tuition is communicated using Framing Theory and Signaling Theory. Framing Theory shows how communicators highlight certain aspects to shape how people interpret information (</w:t>
      </w:r>
      <w:proofErr w:type="spellStart"/>
      <w:r w:rsidRPr="00BB5E3F">
        <w:rPr>
          <w:rFonts w:ascii="Arial" w:hAnsi="Arial" w:cs="Arial"/>
          <w:color w:val="000000"/>
          <w:lang w:val="en-PH"/>
        </w:rPr>
        <w:t>Entman</w:t>
      </w:r>
      <w:proofErr w:type="spellEnd"/>
      <w:r w:rsidRPr="00BB5E3F">
        <w:rPr>
          <w:rFonts w:ascii="Arial" w:hAnsi="Arial" w:cs="Arial"/>
          <w:color w:val="000000"/>
          <w:lang w:val="en-PH"/>
        </w:rPr>
        <w:t>, 1993). On tuition webpages, framing can affect whether students see cost as an expense, an investment, or an opportunity, connecting to wider discussions about affordability, access, and return on investment in higher education (Arfan et al., 2025; Davis et al., 2019). Signaling Theory explains how organizations use visible cues to show quality when it is not directly observable (Spence, 1973). Things like rankings, outcome indicators, scholarship information, and clear presentation can act as signals that influence how people view a university’s legitimacy and the expected benefits of higher education, especially when students do not have full information about quality and outcomes (Davis et al., 2019; Ehrmantraut et al., 2020).</w:t>
      </w:r>
    </w:p>
    <w:p w14:paraId="2D2033E3"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To study these issues, six private universities from the QS World University Rankings 2026 (200–500 band) were chosen to ensure international visibility and comparability, as rankings are important for global differentiation (Badiuzzaman, 2025). Only private universities were included to focus on tuition-dependent funding, which is especially relevant in market-driven higher education systems and private sectors (Asian Development Bank, 2012; Arfan et al., 2025). One university was selected from each global region to provide geographic variety, following calls to expand tuition and access research beyond Western samples (Arfan et al., 2025). All universities had English-language tuition webpages that were publicly available and suitable for qualitative analysis, reflecting the use of English in international recruitment and online communication (Marinoni &amp; Pina Cardona, 2024).</w:t>
      </w:r>
    </w:p>
    <w:p w14:paraId="477369E0" w14:textId="77777777" w:rsidR="00BB5E3F" w:rsidRPr="00BB5E3F" w:rsidRDefault="00BB5E3F" w:rsidP="00BB5E3F">
      <w:pPr>
        <w:rPr>
          <w:rFonts w:ascii="Times New Roman" w:hAnsi="Times New Roman"/>
          <w:sz w:val="24"/>
          <w:szCs w:val="24"/>
          <w:lang w:val="en-PH"/>
        </w:rPr>
      </w:pPr>
      <w:r w:rsidRPr="00BB5E3F">
        <w:rPr>
          <w:rFonts w:ascii="Arial" w:hAnsi="Arial" w:cs="Arial"/>
          <w:color w:val="000000"/>
          <w:lang w:val="en-PH"/>
        </w:rPr>
        <w:t>These universities make up the global benchmark group. For local comparison, a private university in Northern Mindanao, Philippines, was chosen because of its relevance and publicly available tuition information, highlighting the importance of private, tuition-dependent schools in Philippine higher education (Asian Development Bank, 2012). Including this case allows for a comparison between global tuition communication patterns and practices in the Philippines, answering calls for more regionally focused studies on internationalization and marketization in Asia (Marinoni &amp; Pina Cardona, 2024).</w:t>
      </w:r>
    </w:p>
    <w:p w14:paraId="1CE893F8" w14:textId="200A8171" w:rsidR="00790ADA" w:rsidRPr="00BB5E3F" w:rsidRDefault="00BB5E3F" w:rsidP="00BB5E3F">
      <w:pPr>
        <w:rPr>
          <w:rFonts w:ascii="Times New Roman" w:hAnsi="Times New Roman"/>
          <w:sz w:val="24"/>
          <w:szCs w:val="24"/>
          <w:lang w:val="en-PH"/>
        </w:rPr>
      </w:pPr>
      <w:r w:rsidRPr="00BB5E3F">
        <w:rPr>
          <w:rFonts w:ascii="Arial" w:hAnsi="Arial" w:cs="Arial"/>
          <w:color w:val="000000"/>
          <w:lang w:val="en-PH"/>
        </w:rPr>
        <w:t>The goal of this study is to analyze how globally ranked private universities present and signal tuition information on their official websites, and to compare these patterns with those found at a Philippine private university. By using framing and signaling perspectives, the study shows that tuition communication is a key part of how universities position themselves online, especially as online information and cost transparency play a bigger role in student choices and university competitiveness (Davis et al., 2019; Ng, 2023).</w:t>
      </w:r>
    </w:p>
    <w:p w14:paraId="03A4A08D" w14:textId="77777777" w:rsidR="00BB5E3F" w:rsidRPr="00FB3A86" w:rsidRDefault="00BB5E3F" w:rsidP="00441B6F">
      <w:pPr>
        <w:pStyle w:val="Body"/>
        <w:spacing w:after="0"/>
        <w:rPr>
          <w:rFonts w:ascii="Arial" w:hAnsi="Arial" w:cs="Arial"/>
        </w:rPr>
      </w:pPr>
    </w:p>
    <w:p w14:paraId="21814FD0" w14:textId="0C6D054F"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BB5E3F">
        <w:rPr>
          <w:rFonts w:ascii="Arial" w:hAnsi="Arial" w:cs="Arial"/>
        </w:rPr>
        <w:t>METHODOLOGY</w:t>
      </w:r>
    </w:p>
    <w:p w14:paraId="78DF9ECF" w14:textId="77777777" w:rsidR="00790ADA" w:rsidRDefault="00790ADA" w:rsidP="00441B6F">
      <w:pPr>
        <w:pStyle w:val="AbstHead"/>
        <w:spacing w:after="0"/>
        <w:jc w:val="both"/>
        <w:rPr>
          <w:rFonts w:ascii="Arial" w:hAnsi="Arial" w:cs="Arial"/>
        </w:rPr>
      </w:pPr>
    </w:p>
    <w:p w14:paraId="26E00CFA" w14:textId="77777777" w:rsidR="008B2CC2" w:rsidRDefault="008B2CC2" w:rsidP="008B2CC2">
      <w:pPr>
        <w:rPr>
          <w:rFonts w:ascii="Times New Roman" w:hAnsi="Times New Roman"/>
          <w:sz w:val="24"/>
          <w:szCs w:val="24"/>
          <w:lang w:val="en-PH"/>
        </w:rPr>
      </w:pPr>
      <w:r w:rsidRPr="008B2CC2">
        <w:rPr>
          <w:rFonts w:ascii="Arial" w:hAnsi="Arial" w:cs="Arial"/>
          <w:b/>
          <w:bCs/>
          <w:color w:val="000000"/>
          <w:sz w:val="22"/>
          <w:szCs w:val="22"/>
          <w:lang w:val="en-PH"/>
        </w:rPr>
        <w:t>2.1 Research Design</w:t>
      </w:r>
    </w:p>
    <w:p w14:paraId="38E3BBA2" w14:textId="77777777" w:rsidR="008B2CC2" w:rsidRPr="008B2CC2" w:rsidRDefault="008B2CC2" w:rsidP="008B2CC2">
      <w:pPr>
        <w:rPr>
          <w:rFonts w:ascii="Arial" w:hAnsi="Arial" w:cs="Arial"/>
          <w:sz w:val="22"/>
          <w:szCs w:val="22"/>
          <w:lang w:val="en-PH"/>
        </w:rPr>
      </w:pPr>
    </w:p>
    <w:p w14:paraId="09B2B0FC" w14:textId="434493B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This study used a qualitative comparative document analysis to look at how top-ranked private universities framed tuition and financial aid information on their official websites. It also compared these patterns with those of a private university in Northern Mindanao, Philippines. Since the research used institutional webpages as the main data source, document analysis was a suitable method for studying organizational texts and communication artifacts (Bowen, 2009).</w:t>
      </w:r>
    </w:p>
    <w:p w14:paraId="273C721D"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study used a descriptive and interpretive approach, focusing on how tuition and financial aid information is presented, not on tuition amounts, financial results, or enrollment numbers.</w:t>
      </w:r>
    </w:p>
    <w:p w14:paraId="54F28FB6"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sample included private universities ranked in the 200–500 range of the QS World University Rankings 2026. Six private universities made up the global benchmark group, and one private university in Northern Mindanao served as the local comparison to see how its framing matched or differed from global patterns.</w:t>
      </w:r>
    </w:p>
    <w:p w14:paraId="78801666"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study used both Framing Theory and Signaling Theory. Framing Theory suggests that communicators highlight certain parts of reality to shape how people understand information. Here, it helped create coding categories. Signaling Theory was used to interpret the strategic meaning behind how tuition is presented.</w:t>
      </w:r>
    </w:p>
    <w:p w14:paraId="64E84CBA"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unit of analysis was the content on university webpages related to tuition, financial aid, and cost information.</w:t>
      </w:r>
    </w:p>
    <w:p w14:paraId="3ED45735" w14:textId="77777777" w:rsidR="008B2CC2" w:rsidRPr="008B2CC2" w:rsidRDefault="008B2CC2" w:rsidP="008B2CC2">
      <w:pPr>
        <w:rPr>
          <w:rFonts w:ascii="Arial" w:hAnsi="Arial" w:cs="Arial"/>
          <w:sz w:val="22"/>
          <w:szCs w:val="22"/>
          <w:lang w:val="en-PH"/>
        </w:rPr>
      </w:pPr>
    </w:p>
    <w:p w14:paraId="73226BB6" w14:textId="77777777" w:rsidR="008B2CC2" w:rsidRPr="008B2CC2" w:rsidRDefault="008B2CC2" w:rsidP="008B2CC2">
      <w:pPr>
        <w:rPr>
          <w:rFonts w:ascii="Times New Roman" w:hAnsi="Times New Roman"/>
          <w:sz w:val="24"/>
          <w:szCs w:val="24"/>
          <w:lang w:val="en-PH"/>
        </w:rPr>
      </w:pPr>
      <w:r w:rsidRPr="008B2CC2">
        <w:rPr>
          <w:rFonts w:ascii="Arial" w:hAnsi="Arial" w:cs="Arial"/>
          <w:b/>
          <w:bCs/>
          <w:color w:val="000000"/>
          <w:sz w:val="22"/>
          <w:szCs w:val="22"/>
          <w:lang w:val="en-PH"/>
        </w:rPr>
        <w:t>2.2 Sampling Frame and Selection Criteria</w:t>
      </w:r>
    </w:p>
    <w:p w14:paraId="0A8B0EB2" w14:textId="77777777" w:rsidR="008B2CC2" w:rsidRPr="008B2CC2" w:rsidRDefault="008B2CC2" w:rsidP="008B2CC2">
      <w:pPr>
        <w:rPr>
          <w:rFonts w:ascii="Arial" w:hAnsi="Arial" w:cs="Arial"/>
          <w:sz w:val="22"/>
          <w:szCs w:val="22"/>
          <w:lang w:val="en-PH"/>
        </w:rPr>
      </w:pPr>
    </w:p>
    <w:p w14:paraId="13BF7398"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sampling frame included private universities ranked between 200 and 500 in the QS World University Rankings 2026. The QS World University Rankings, published each year by Quacquarelli Symonds (QS), assess universities worldwide using indicators like academic reputation, employer reputation, research impact (citations per faculty), faculty-to-student ratio, and internationalization metrics (QS, 2026). These rankings are commonly used to measure global institutional visibility and competitive standing (Hazelkorn, 2018).</w:t>
      </w:r>
    </w:p>
    <w:p w14:paraId="32C25926" w14:textId="77777777" w:rsidR="008B2CC2" w:rsidRPr="008B2CC2" w:rsidRDefault="008B2CC2" w:rsidP="008B2CC2">
      <w:pPr>
        <w:rPr>
          <w:rFonts w:ascii="Times New Roman" w:hAnsi="Times New Roman"/>
          <w:sz w:val="24"/>
          <w:szCs w:val="24"/>
          <w:lang w:val="en-PH"/>
        </w:rPr>
      </w:pPr>
      <w:r w:rsidRPr="008B2CC2">
        <w:rPr>
          <w:rFonts w:ascii="Arial" w:hAnsi="Arial" w:cs="Arial"/>
          <w:color w:val="000000"/>
          <w:lang w:val="en-PH"/>
        </w:rPr>
        <w:t>The 2026 edition of the QS World University Rankings was chosen to keep the cases consistent. The 200–500 ranking range was selected to focus on internationally competitive universities and to avoid highly prestigious outliers that could create differences in resources and tuition communication practices.</w:t>
      </w:r>
    </w:p>
    <w:p w14:paraId="183D1F75" w14:textId="77777777" w:rsidR="00993CC7" w:rsidRPr="00993CC7" w:rsidRDefault="00993CC7" w:rsidP="00993CC7">
      <w:pPr>
        <w:rPr>
          <w:rFonts w:ascii="Arial" w:hAnsi="Arial" w:cs="Arial"/>
          <w:sz w:val="22"/>
          <w:szCs w:val="22"/>
          <w:lang w:val="en-PH"/>
        </w:rPr>
      </w:pPr>
    </w:p>
    <w:p w14:paraId="7BEC7D2E" w14:textId="77777777" w:rsidR="00993CC7" w:rsidRPr="00993CC7" w:rsidRDefault="00993CC7" w:rsidP="00993CC7">
      <w:pPr>
        <w:rPr>
          <w:rFonts w:ascii="Times New Roman" w:hAnsi="Times New Roman"/>
          <w:sz w:val="24"/>
          <w:szCs w:val="24"/>
          <w:lang w:val="en-PH"/>
        </w:rPr>
      </w:pPr>
      <w:r w:rsidRPr="00993CC7">
        <w:rPr>
          <w:rFonts w:ascii="Arial" w:hAnsi="Arial" w:cs="Arial"/>
          <w:b/>
          <w:bCs/>
          <w:color w:val="000000"/>
          <w:u w:val="single"/>
          <w:lang w:val="en-PH"/>
        </w:rPr>
        <w:t>2.2.1 Inclusion Criteria</w:t>
      </w:r>
    </w:p>
    <w:p w14:paraId="3A8B37F6" w14:textId="77777777" w:rsidR="00993CC7" w:rsidRPr="00993CC7" w:rsidRDefault="00993CC7" w:rsidP="00993CC7">
      <w:pPr>
        <w:rPr>
          <w:rFonts w:ascii="Times New Roman" w:hAnsi="Times New Roman"/>
          <w:sz w:val="24"/>
          <w:szCs w:val="24"/>
          <w:lang w:val="en-PH"/>
        </w:rPr>
      </w:pPr>
    </w:p>
    <w:p w14:paraId="09EEA193"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Global universities were selected if they met all of these criteria:</w:t>
      </w:r>
    </w:p>
    <w:p w14:paraId="22B949A3"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had to be private institutions that rely on tuition for funding.</w:t>
      </w:r>
    </w:p>
    <w:p w14:paraId="394AC5C3"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needed to appear in the QS World University Rankings 2026, ranked between 200 and 500.</w:t>
      </w:r>
    </w:p>
    <w:p w14:paraId="049191A0"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had to provide tuition and financial aid information in English that was publicly available.</w:t>
      </w:r>
    </w:p>
    <w:p w14:paraId="5F8C5B0C"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needed to have well-organized and centralized tuition webpages that could be analyzed.</w:t>
      </w:r>
    </w:p>
    <w:p w14:paraId="268DD6D8"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They had to be located in one of the global regions identified in Section 2.2.3.</w:t>
      </w:r>
    </w:p>
    <w:p w14:paraId="2A77DD22" w14:textId="77777777" w:rsidR="00993CC7" w:rsidRPr="00993CC7" w:rsidRDefault="00993CC7" w:rsidP="00993CC7">
      <w:pPr>
        <w:numPr>
          <w:ilvl w:val="0"/>
          <w:numId w:val="31"/>
        </w:numPr>
        <w:textAlignment w:val="baseline"/>
        <w:rPr>
          <w:rFonts w:ascii="Arial" w:hAnsi="Arial" w:cs="Arial"/>
          <w:color w:val="000000"/>
          <w:lang w:val="en-PH"/>
        </w:rPr>
      </w:pPr>
      <w:r w:rsidRPr="00993CC7">
        <w:rPr>
          <w:rFonts w:ascii="Arial" w:hAnsi="Arial" w:cs="Arial"/>
          <w:color w:val="000000"/>
          <w:lang w:val="en-PH"/>
        </w:rPr>
        <w:t>Only one institution per region was included to ensure a wide geographic spread.</w:t>
      </w:r>
    </w:p>
    <w:p w14:paraId="536B31D3"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For the local comparison, a private university in Northern Mindanao, Philippines, was chosen because it was relevant, private, and had publicly available tuition information.</w:t>
      </w:r>
    </w:p>
    <w:p w14:paraId="526348A3" w14:textId="77777777" w:rsidR="00993CC7" w:rsidRPr="00993CC7" w:rsidRDefault="00993CC7" w:rsidP="00993CC7">
      <w:pPr>
        <w:rPr>
          <w:rFonts w:ascii="Arial" w:hAnsi="Arial" w:cs="Arial"/>
          <w:sz w:val="22"/>
          <w:szCs w:val="22"/>
          <w:lang w:val="en-PH"/>
        </w:rPr>
      </w:pPr>
    </w:p>
    <w:p w14:paraId="45E67F03" w14:textId="77777777" w:rsidR="00993CC7" w:rsidRPr="00993CC7" w:rsidRDefault="00993CC7" w:rsidP="00993CC7">
      <w:pPr>
        <w:rPr>
          <w:rFonts w:ascii="Times New Roman" w:hAnsi="Times New Roman"/>
          <w:sz w:val="24"/>
          <w:szCs w:val="24"/>
          <w:lang w:val="en-PH"/>
        </w:rPr>
      </w:pPr>
      <w:r w:rsidRPr="00993CC7">
        <w:rPr>
          <w:rFonts w:ascii="Arial" w:hAnsi="Arial" w:cs="Arial"/>
          <w:b/>
          <w:bCs/>
          <w:color w:val="000000"/>
          <w:u w:val="single"/>
          <w:lang w:val="en-PH"/>
        </w:rPr>
        <w:t>2.2.2 Exclusion Criteria</w:t>
      </w:r>
    </w:p>
    <w:p w14:paraId="36A38236" w14:textId="75571BBB" w:rsidR="00993CC7" w:rsidRPr="00993CC7" w:rsidRDefault="00993CC7" w:rsidP="00993CC7">
      <w:pPr>
        <w:rPr>
          <w:rFonts w:ascii="Arial" w:hAnsi="Arial" w:cs="Arial"/>
          <w:sz w:val="22"/>
          <w:szCs w:val="22"/>
          <w:lang w:val="en-PH"/>
        </w:rPr>
      </w:pPr>
    </w:p>
    <w:p w14:paraId="39C72F94"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Institutions were excluded if they met any of the following conditions:</w:t>
      </w:r>
    </w:p>
    <w:p w14:paraId="29791211"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were mainly public institutions with tuition supported by the state.</w:t>
      </w:r>
    </w:p>
    <w:p w14:paraId="24B6CCBA"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were not ranked between 200 and 500 in the QS World University Rankings 2026.</w:t>
      </w:r>
    </w:p>
    <w:p w14:paraId="13D8B80A"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did not offer tuition and financial aid information in English.</w:t>
      </w:r>
    </w:p>
    <w:p w14:paraId="7C192182"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kept tuition details behind password-protected or student-only websites.</w:t>
      </w:r>
    </w:p>
    <w:p w14:paraId="6B277C2C" w14:textId="77777777" w:rsidR="00993CC7" w:rsidRPr="00993CC7" w:rsidRDefault="00993CC7" w:rsidP="00993CC7">
      <w:pPr>
        <w:numPr>
          <w:ilvl w:val="0"/>
          <w:numId w:val="32"/>
        </w:numPr>
        <w:textAlignment w:val="baseline"/>
        <w:rPr>
          <w:rFonts w:ascii="Arial" w:hAnsi="Arial" w:cs="Arial"/>
          <w:color w:val="000000"/>
          <w:lang w:val="en-PH"/>
        </w:rPr>
      </w:pPr>
      <w:r w:rsidRPr="00993CC7">
        <w:rPr>
          <w:rFonts w:ascii="Arial" w:hAnsi="Arial" w:cs="Arial"/>
          <w:color w:val="000000"/>
          <w:lang w:val="en-PH"/>
        </w:rPr>
        <w:t>They did not have well-organized and central tuition webpages that could be used for systematic document analysis.</w:t>
      </w:r>
    </w:p>
    <w:p w14:paraId="64D39F3D"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The exclusion of ultra-elite institutions was intended to reduce structural distortions associated with endowment-driven financial models, which may significantly influence tuition-framing strategies.</w:t>
      </w:r>
    </w:p>
    <w:p w14:paraId="2590DFB9" w14:textId="77777777" w:rsidR="00993CC7" w:rsidRPr="00993CC7" w:rsidRDefault="00993CC7" w:rsidP="00993CC7">
      <w:pPr>
        <w:rPr>
          <w:rFonts w:ascii="Arial" w:hAnsi="Arial" w:cs="Arial"/>
          <w:sz w:val="22"/>
          <w:szCs w:val="22"/>
          <w:lang w:val="en-PH"/>
        </w:rPr>
      </w:pPr>
    </w:p>
    <w:p w14:paraId="41E379A6" w14:textId="77777777" w:rsidR="00993CC7" w:rsidRPr="00993CC7" w:rsidRDefault="00993CC7" w:rsidP="00993CC7">
      <w:pPr>
        <w:rPr>
          <w:rFonts w:ascii="Times New Roman" w:hAnsi="Times New Roman"/>
          <w:sz w:val="24"/>
          <w:szCs w:val="24"/>
          <w:lang w:val="en-PH"/>
        </w:rPr>
      </w:pPr>
      <w:r w:rsidRPr="00993CC7">
        <w:rPr>
          <w:rFonts w:ascii="Arial" w:hAnsi="Arial" w:cs="Arial"/>
          <w:b/>
          <w:bCs/>
          <w:color w:val="000000"/>
          <w:u w:val="single"/>
          <w:lang w:val="en-PH"/>
        </w:rPr>
        <w:t>2.2.3 Regional Framework and Justification</w:t>
      </w:r>
    </w:p>
    <w:p w14:paraId="4EBEAD0C" w14:textId="77777777" w:rsidR="00993CC7" w:rsidRPr="00993CC7" w:rsidRDefault="00993CC7" w:rsidP="00993CC7">
      <w:pPr>
        <w:rPr>
          <w:rFonts w:ascii="Arial" w:hAnsi="Arial" w:cs="Arial"/>
          <w:sz w:val="22"/>
          <w:szCs w:val="22"/>
          <w:lang w:val="en-PH"/>
        </w:rPr>
      </w:pPr>
    </w:p>
    <w:p w14:paraId="040173BD"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 xml:space="preserve">Countries were grouped using the United Nations </w:t>
      </w:r>
      <w:proofErr w:type="spellStart"/>
      <w:r w:rsidRPr="00993CC7">
        <w:rPr>
          <w:rFonts w:ascii="Arial" w:hAnsi="Arial" w:cs="Arial"/>
          <w:color w:val="000000"/>
          <w:lang w:val="en-PH"/>
        </w:rPr>
        <w:t>Geoscheme</w:t>
      </w:r>
      <w:proofErr w:type="spellEnd"/>
      <w:r w:rsidRPr="00993CC7">
        <w:rPr>
          <w:rFonts w:ascii="Arial" w:hAnsi="Arial" w:cs="Arial"/>
          <w:color w:val="000000"/>
          <w:lang w:val="en-PH"/>
        </w:rPr>
        <w:t xml:space="preserve"> for statistical classification (United Nations Statistics Division, 2023). The study covered Northern America, Latin America and the Caribbean, Western Europe, Eastern Asia, South-Eastern Asia, and Northern Africa.</w:t>
      </w:r>
    </w:p>
    <w:p w14:paraId="46C1CCFC" w14:textId="77777777" w:rsidR="00993CC7" w:rsidRPr="00993CC7" w:rsidRDefault="00993CC7" w:rsidP="00993CC7">
      <w:pPr>
        <w:rPr>
          <w:rFonts w:ascii="Times New Roman" w:hAnsi="Times New Roman"/>
          <w:sz w:val="24"/>
          <w:szCs w:val="24"/>
          <w:lang w:val="en-PH"/>
        </w:rPr>
      </w:pPr>
      <w:r w:rsidRPr="00993CC7">
        <w:rPr>
          <w:rFonts w:ascii="Arial" w:hAnsi="Arial" w:cs="Arial"/>
          <w:color w:val="000000"/>
          <w:lang w:val="en-PH"/>
        </w:rPr>
        <w:t>The regions were chosen to show differences between established and emerging higher education markets. The study included mature tuition-driven systems, such as North America and Western Europe, as well as fast-growing and competitive systems in Asia and other areas. Today, global higher education is shaped more and more by cross-border competition, internationalization, and reputation (Marginson, 2022).</w:t>
      </w:r>
    </w:p>
    <w:p w14:paraId="47E29285" w14:textId="779736A0" w:rsidR="00790ADA" w:rsidRDefault="00993CC7" w:rsidP="000D71F5">
      <w:pPr>
        <w:rPr>
          <w:rFonts w:ascii="Arial" w:hAnsi="Arial" w:cs="Arial"/>
          <w:color w:val="000000"/>
          <w:lang w:val="en-PH"/>
        </w:rPr>
      </w:pPr>
      <w:r w:rsidRPr="00993CC7">
        <w:rPr>
          <w:rFonts w:ascii="Arial" w:hAnsi="Arial" w:cs="Arial"/>
          <w:color w:val="000000"/>
          <w:lang w:val="en-PH"/>
        </w:rPr>
        <w:t>Regional diversity was used to make the sample more varied, but it was not analyzed as a separate variable.</w:t>
      </w:r>
    </w:p>
    <w:p w14:paraId="0CA9EEB7" w14:textId="77777777" w:rsidR="00C82BB5" w:rsidRPr="00C82BB5" w:rsidRDefault="00C82BB5" w:rsidP="00C82BB5">
      <w:pPr>
        <w:rPr>
          <w:rFonts w:ascii="Arial" w:hAnsi="Arial" w:cs="Arial"/>
          <w:sz w:val="22"/>
          <w:szCs w:val="22"/>
          <w:lang w:val="en-PH"/>
        </w:rPr>
      </w:pPr>
    </w:p>
    <w:p w14:paraId="6E379188" w14:textId="77777777" w:rsidR="00C82BB5" w:rsidRPr="00C82BB5" w:rsidRDefault="00C82BB5" w:rsidP="00C82BB5">
      <w:pPr>
        <w:rPr>
          <w:rFonts w:ascii="Times New Roman" w:hAnsi="Times New Roman"/>
          <w:sz w:val="24"/>
          <w:szCs w:val="24"/>
          <w:lang w:val="en-PH"/>
        </w:rPr>
      </w:pPr>
      <w:r w:rsidRPr="00C82BB5">
        <w:rPr>
          <w:rFonts w:ascii="Arial" w:hAnsi="Arial" w:cs="Arial"/>
          <w:b/>
          <w:bCs/>
          <w:color w:val="000000"/>
          <w:u w:val="single"/>
          <w:lang w:val="en-PH"/>
        </w:rPr>
        <w:t>2.2.4 Rationale for One University per Region</w:t>
      </w:r>
    </w:p>
    <w:p w14:paraId="64D7114E" w14:textId="77777777" w:rsidR="00C82BB5" w:rsidRPr="00C82BB5" w:rsidRDefault="00C82BB5" w:rsidP="00C82BB5">
      <w:pPr>
        <w:rPr>
          <w:rFonts w:ascii="Arial" w:hAnsi="Arial" w:cs="Arial"/>
          <w:sz w:val="22"/>
          <w:szCs w:val="22"/>
          <w:lang w:val="en-PH"/>
        </w:rPr>
      </w:pPr>
    </w:p>
    <w:p w14:paraId="29BFC3C4" w14:textId="77777777" w:rsidR="00C82BB5" w:rsidRPr="00C82BB5" w:rsidRDefault="00C82BB5" w:rsidP="00C82BB5">
      <w:pPr>
        <w:rPr>
          <w:rFonts w:ascii="Times New Roman" w:hAnsi="Times New Roman"/>
          <w:sz w:val="24"/>
          <w:szCs w:val="24"/>
          <w:lang w:val="en-PH"/>
        </w:rPr>
      </w:pPr>
      <w:r w:rsidRPr="00C82BB5">
        <w:rPr>
          <w:rFonts w:ascii="Arial" w:hAnsi="Arial" w:cs="Arial"/>
          <w:color w:val="000000"/>
          <w:lang w:val="en-PH"/>
        </w:rPr>
        <w:t>One global university was selected from each region for the following reasons:</w:t>
      </w:r>
    </w:p>
    <w:p w14:paraId="3CC5F54B"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This approach avoided geographic clustering, which could have biased the analysis toward one region’s tuition model.</w:t>
      </w:r>
    </w:p>
    <w:p w14:paraId="116015D7"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It also reduced the risk of overrepresenting similar funding structures or communication strategies from the same region.</w:t>
      </w:r>
    </w:p>
    <w:p w14:paraId="2E32998C"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This method increased both cross-national and cross-regional diversity in the global benchmark group.</w:t>
      </w:r>
    </w:p>
    <w:p w14:paraId="66394B6D" w14:textId="77777777" w:rsidR="00C82BB5" w:rsidRPr="00C82BB5" w:rsidRDefault="00C82BB5" w:rsidP="00C82BB5">
      <w:pPr>
        <w:numPr>
          <w:ilvl w:val="0"/>
          <w:numId w:val="33"/>
        </w:numPr>
        <w:textAlignment w:val="baseline"/>
        <w:rPr>
          <w:rFonts w:ascii="Arial" w:hAnsi="Arial" w:cs="Arial"/>
          <w:color w:val="000000"/>
          <w:lang w:val="en-PH"/>
        </w:rPr>
      </w:pPr>
      <w:r w:rsidRPr="00C82BB5">
        <w:rPr>
          <w:rFonts w:ascii="Arial" w:hAnsi="Arial" w:cs="Arial"/>
          <w:color w:val="000000"/>
          <w:lang w:val="en-PH"/>
        </w:rPr>
        <w:t>It allowed for deeper qualitative analysis while keeping the study manageable for a single researcher.</w:t>
      </w:r>
    </w:p>
    <w:p w14:paraId="3F0F7DF2" w14:textId="77777777" w:rsidR="00C82BB5" w:rsidRPr="00C82BB5" w:rsidRDefault="00C82BB5" w:rsidP="00C82BB5">
      <w:pPr>
        <w:rPr>
          <w:rFonts w:ascii="Times New Roman" w:hAnsi="Times New Roman"/>
          <w:sz w:val="24"/>
          <w:szCs w:val="24"/>
          <w:lang w:val="en-PH"/>
        </w:rPr>
      </w:pPr>
      <w:r w:rsidRPr="00C82BB5">
        <w:rPr>
          <w:rFonts w:ascii="Arial" w:hAnsi="Arial" w:cs="Arial"/>
          <w:color w:val="000000"/>
          <w:lang w:val="en-PH"/>
        </w:rPr>
        <w:t>The aim was to build a geographically diverse global benchmark group, rather than to compare universities within the same region.</w:t>
      </w:r>
    </w:p>
    <w:p w14:paraId="505F9597" w14:textId="77777777" w:rsidR="00C82BB5" w:rsidRPr="00C82BB5" w:rsidRDefault="00C82BB5" w:rsidP="00C82BB5">
      <w:pPr>
        <w:rPr>
          <w:rFonts w:ascii="Arial" w:hAnsi="Arial" w:cs="Arial"/>
          <w:sz w:val="22"/>
          <w:szCs w:val="22"/>
          <w:lang w:val="en-PH"/>
        </w:rPr>
      </w:pPr>
    </w:p>
    <w:p w14:paraId="3BB0F5EF" w14:textId="77777777" w:rsidR="00C82BB5" w:rsidRPr="00C82BB5" w:rsidRDefault="00C82BB5" w:rsidP="00C82BB5">
      <w:pPr>
        <w:rPr>
          <w:rFonts w:ascii="Times New Roman" w:hAnsi="Times New Roman"/>
          <w:sz w:val="24"/>
          <w:szCs w:val="24"/>
          <w:lang w:val="en-PH"/>
        </w:rPr>
      </w:pPr>
      <w:r w:rsidRPr="00C82BB5">
        <w:rPr>
          <w:rFonts w:ascii="Arial" w:hAnsi="Arial" w:cs="Arial"/>
          <w:b/>
          <w:bCs/>
          <w:color w:val="000000"/>
          <w:sz w:val="22"/>
          <w:szCs w:val="22"/>
          <w:lang w:val="en-PH"/>
        </w:rPr>
        <w:t>2.3 Final Selection of Universities</w:t>
      </w:r>
    </w:p>
    <w:p w14:paraId="0ED7AEE3" w14:textId="77777777" w:rsidR="00C82BB5" w:rsidRPr="00C82BB5" w:rsidRDefault="00C82BB5" w:rsidP="00C82BB5">
      <w:pPr>
        <w:rPr>
          <w:rFonts w:ascii="Arial" w:hAnsi="Arial" w:cs="Arial"/>
          <w:sz w:val="22"/>
          <w:szCs w:val="22"/>
          <w:lang w:val="en-PH"/>
        </w:rPr>
      </w:pPr>
    </w:p>
    <w:p w14:paraId="035D04DF" w14:textId="77777777" w:rsidR="00C82BB5" w:rsidRPr="00C82BB5" w:rsidRDefault="00C82BB5" w:rsidP="00C82BB5">
      <w:pPr>
        <w:rPr>
          <w:rFonts w:ascii="Times New Roman" w:hAnsi="Times New Roman"/>
          <w:sz w:val="24"/>
          <w:szCs w:val="24"/>
          <w:lang w:val="en-PH"/>
        </w:rPr>
      </w:pPr>
      <w:r w:rsidRPr="00C82BB5">
        <w:rPr>
          <w:rFonts w:ascii="Arial" w:hAnsi="Arial" w:cs="Arial"/>
          <w:color w:val="000000"/>
          <w:lang w:val="en-PH"/>
        </w:rPr>
        <w:t xml:space="preserve">Using the inclusion and exclusion criteria described earlier, six private universities were chosen for the global benchmark group. The selection covered different geographic regions according to the United Nations </w:t>
      </w:r>
      <w:proofErr w:type="spellStart"/>
      <w:r w:rsidRPr="00C82BB5">
        <w:rPr>
          <w:rFonts w:ascii="Arial" w:hAnsi="Arial" w:cs="Arial"/>
          <w:color w:val="000000"/>
          <w:lang w:val="en-PH"/>
        </w:rPr>
        <w:t>geoscheme</w:t>
      </w:r>
      <w:proofErr w:type="spellEnd"/>
      <w:r w:rsidRPr="00C82BB5">
        <w:rPr>
          <w:rFonts w:ascii="Arial" w:hAnsi="Arial" w:cs="Arial"/>
          <w:color w:val="000000"/>
          <w:lang w:val="en-PH"/>
        </w:rPr>
        <w:t xml:space="preserve"> and kept to the QS World University Rankings 2026 (200–500 band). Table 1 shows the final group of institutions used in the analysis.</w:t>
      </w:r>
    </w:p>
    <w:p w14:paraId="2290A0A7" w14:textId="77777777" w:rsidR="00C82BB5" w:rsidRPr="00C82BB5" w:rsidRDefault="00C82BB5" w:rsidP="00C82BB5">
      <w:pPr>
        <w:rPr>
          <w:rFonts w:ascii="Times New Roman" w:hAnsi="Times New Roman"/>
          <w:sz w:val="24"/>
          <w:szCs w:val="24"/>
          <w:lang w:val="en-PH"/>
        </w:rPr>
      </w:pPr>
    </w:p>
    <w:p w14:paraId="216FDEA4" w14:textId="77777777" w:rsidR="00C82BB5" w:rsidRPr="00C82BB5" w:rsidRDefault="00C82BB5" w:rsidP="00C82BB5">
      <w:pPr>
        <w:jc w:val="center"/>
        <w:rPr>
          <w:rFonts w:ascii="Times New Roman" w:hAnsi="Times New Roman"/>
          <w:sz w:val="24"/>
          <w:szCs w:val="24"/>
          <w:lang w:val="en-PH"/>
        </w:rPr>
      </w:pPr>
      <w:r w:rsidRPr="00C82BB5">
        <w:rPr>
          <w:rFonts w:ascii="Arial" w:hAnsi="Arial" w:cs="Arial"/>
          <w:b/>
          <w:bCs/>
          <w:color w:val="000000"/>
          <w:lang w:val="en-PH"/>
        </w:rPr>
        <w:t>Table 1. Global Universities Selected for Tuition Framing Analysis</w:t>
      </w:r>
    </w:p>
    <w:p w14:paraId="5BBD075A" w14:textId="77777777" w:rsidR="00C82BB5" w:rsidRPr="00C82BB5" w:rsidRDefault="00C82BB5" w:rsidP="00C82BB5">
      <w:pPr>
        <w:rPr>
          <w:rFonts w:ascii="Times New Roman" w:hAnsi="Times New Roman"/>
          <w:sz w:val="24"/>
          <w:szCs w:val="24"/>
          <w:lang w:val="en-PH"/>
        </w:rPr>
      </w:pPr>
    </w:p>
    <w:tbl>
      <w:tblPr>
        <w:tblW w:w="89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690"/>
        <w:gridCol w:w="2880"/>
        <w:gridCol w:w="2408"/>
      </w:tblGrid>
      <w:tr w:rsidR="006A1041" w:rsidRPr="00DC3180" w14:paraId="15C40DD6" w14:textId="77777777" w:rsidTr="00D5167A">
        <w:trPr>
          <w:jc w:val="center"/>
        </w:trPr>
        <w:tc>
          <w:tcPr>
            <w:tcW w:w="3690" w:type="dxa"/>
            <w:tcBorders>
              <w:bottom w:val="single" w:sz="4" w:space="0" w:color="auto"/>
            </w:tcBorders>
            <w:vAlign w:val="center"/>
          </w:tcPr>
          <w:p w14:paraId="49736740" w14:textId="362D64A6" w:rsidR="006A1041" w:rsidRPr="00DC3180" w:rsidRDefault="006A1041" w:rsidP="006A1041">
            <w:pPr>
              <w:jc w:val="both"/>
              <w:rPr>
                <w:rFonts w:ascii="Arial" w:hAnsi="Arial"/>
                <w:b/>
                <w:bCs/>
              </w:rPr>
            </w:pPr>
            <w:r>
              <w:rPr>
                <w:rFonts w:ascii="Arial" w:hAnsi="Arial" w:cs="Arial"/>
                <w:b/>
                <w:bCs/>
                <w:color w:val="000000"/>
              </w:rPr>
              <w:t>University</w:t>
            </w:r>
          </w:p>
        </w:tc>
        <w:tc>
          <w:tcPr>
            <w:tcW w:w="2880" w:type="dxa"/>
            <w:tcBorders>
              <w:bottom w:val="single" w:sz="4" w:space="0" w:color="auto"/>
            </w:tcBorders>
            <w:vAlign w:val="center"/>
          </w:tcPr>
          <w:p w14:paraId="6B4CCE73" w14:textId="1885EE45" w:rsidR="006A1041" w:rsidRPr="00DC3180" w:rsidRDefault="006A1041" w:rsidP="00D5167A">
            <w:pPr>
              <w:rPr>
                <w:rFonts w:ascii="Arial" w:hAnsi="Arial"/>
                <w:b/>
                <w:bCs/>
              </w:rPr>
            </w:pPr>
            <w:r>
              <w:rPr>
                <w:rFonts w:ascii="Arial" w:hAnsi="Arial" w:cs="Arial"/>
                <w:b/>
                <w:bCs/>
                <w:color w:val="000000"/>
              </w:rPr>
              <w:t xml:space="preserve">Region (UN </w:t>
            </w:r>
            <w:proofErr w:type="spellStart"/>
            <w:r>
              <w:rPr>
                <w:rFonts w:ascii="Arial" w:hAnsi="Arial" w:cs="Arial"/>
                <w:b/>
                <w:bCs/>
                <w:color w:val="000000"/>
              </w:rPr>
              <w:t>Geoscheme</w:t>
            </w:r>
            <w:proofErr w:type="spellEnd"/>
            <w:r>
              <w:rPr>
                <w:rFonts w:ascii="Arial" w:hAnsi="Arial" w:cs="Arial"/>
                <w:b/>
                <w:bCs/>
                <w:color w:val="000000"/>
              </w:rPr>
              <w:t>)</w:t>
            </w:r>
          </w:p>
        </w:tc>
        <w:tc>
          <w:tcPr>
            <w:tcW w:w="2408" w:type="dxa"/>
            <w:tcBorders>
              <w:bottom w:val="single" w:sz="4" w:space="0" w:color="auto"/>
            </w:tcBorders>
            <w:vAlign w:val="center"/>
          </w:tcPr>
          <w:p w14:paraId="7C990790" w14:textId="1449EA1B" w:rsidR="006A1041" w:rsidRPr="00DC3180" w:rsidRDefault="006A1041" w:rsidP="006A1041">
            <w:pPr>
              <w:jc w:val="both"/>
              <w:rPr>
                <w:rFonts w:ascii="Arial" w:hAnsi="Arial"/>
                <w:b/>
                <w:bCs/>
              </w:rPr>
            </w:pPr>
            <w:r>
              <w:rPr>
                <w:rFonts w:ascii="Arial" w:hAnsi="Arial" w:cs="Arial"/>
                <w:b/>
                <w:bCs/>
                <w:color w:val="000000"/>
              </w:rPr>
              <w:t>QS Ranking Band</w:t>
            </w:r>
          </w:p>
        </w:tc>
      </w:tr>
      <w:tr w:rsidR="006A1041" w:rsidRPr="00DC3180" w14:paraId="55A42ABB" w14:textId="77777777" w:rsidTr="00D5167A">
        <w:trPr>
          <w:jc w:val="center"/>
        </w:trPr>
        <w:tc>
          <w:tcPr>
            <w:tcW w:w="3690" w:type="dxa"/>
            <w:tcBorders>
              <w:top w:val="single" w:sz="4" w:space="0" w:color="auto"/>
              <w:bottom w:val="nil"/>
            </w:tcBorders>
            <w:vAlign w:val="center"/>
          </w:tcPr>
          <w:p w14:paraId="56775093" w14:textId="77D35ABF" w:rsidR="006A1041" w:rsidRPr="00DC3180" w:rsidRDefault="006A1041" w:rsidP="006A1041">
            <w:pPr>
              <w:rPr>
                <w:rFonts w:ascii="Arial" w:hAnsi="Arial"/>
              </w:rPr>
            </w:pPr>
            <w:r>
              <w:rPr>
                <w:rFonts w:ascii="Arial" w:hAnsi="Arial" w:cs="Arial"/>
                <w:color w:val="000000"/>
              </w:rPr>
              <w:t>Northeastern University (USA)</w:t>
            </w:r>
          </w:p>
        </w:tc>
        <w:tc>
          <w:tcPr>
            <w:tcW w:w="2880" w:type="dxa"/>
            <w:tcBorders>
              <w:top w:val="single" w:sz="4" w:space="0" w:color="auto"/>
              <w:bottom w:val="nil"/>
            </w:tcBorders>
            <w:vAlign w:val="center"/>
          </w:tcPr>
          <w:p w14:paraId="3A5AF48A" w14:textId="4294500D" w:rsidR="006A1041" w:rsidRPr="00DC3180" w:rsidRDefault="006A1041" w:rsidP="006A1041">
            <w:pPr>
              <w:rPr>
                <w:rFonts w:ascii="Arial" w:hAnsi="Arial"/>
              </w:rPr>
            </w:pPr>
            <w:r>
              <w:rPr>
                <w:rFonts w:ascii="Arial" w:hAnsi="Arial" w:cs="Arial"/>
                <w:color w:val="000000"/>
              </w:rPr>
              <w:t>Northern America</w:t>
            </w:r>
          </w:p>
        </w:tc>
        <w:tc>
          <w:tcPr>
            <w:tcW w:w="2408" w:type="dxa"/>
            <w:tcBorders>
              <w:top w:val="single" w:sz="4" w:space="0" w:color="auto"/>
              <w:bottom w:val="nil"/>
            </w:tcBorders>
            <w:vAlign w:val="center"/>
          </w:tcPr>
          <w:p w14:paraId="72B2EFBD" w14:textId="159865A5" w:rsidR="006A1041" w:rsidRPr="006A1041" w:rsidRDefault="006A1041" w:rsidP="00D5167A">
            <w:pPr>
              <w:rPr>
                <w:rFonts w:ascii="Arial" w:eastAsia="Arial Unicode MS" w:hAnsi="Arial" w:cs="Arial"/>
              </w:rPr>
            </w:pPr>
            <w:r>
              <w:rPr>
                <w:rFonts w:ascii="Arial" w:hAnsi="Arial" w:cs="Arial"/>
                <w:color w:val="000000"/>
              </w:rPr>
              <w:t>~375</w:t>
            </w:r>
          </w:p>
        </w:tc>
      </w:tr>
      <w:tr w:rsidR="006A1041" w:rsidRPr="00DC3180" w14:paraId="5F9ECC3C" w14:textId="77777777" w:rsidTr="00D5167A">
        <w:trPr>
          <w:jc w:val="center"/>
        </w:trPr>
        <w:tc>
          <w:tcPr>
            <w:tcW w:w="3690" w:type="dxa"/>
            <w:tcBorders>
              <w:top w:val="nil"/>
              <w:bottom w:val="nil"/>
            </w:tcBorders>
            <w:vAlign w:val="center"/>
          </w:tcPr>
          <w:p w14:paraId="5FDDDD02" w14:textId="12802A8F" w:rsidR="006A1041" w:rsidRPr="00DC3180" w:rsidRDefault="006A1041" w:rsidP="006A1041">
            <w:pPr>
              <w:rPr>
                <w:rFonts w:ascii="Arial" w:hAnsi="Arial"/>
              </w:rPr>
            </w:pPr>
            <w:r>
              <w:rPr>
                <w:rFonts w:ascii="Arial" w:hAnsi="Arial" w:cs="Arial"/>
                <w:color w:val="000000"/>
              </w:rPr>
              <w:lastRenderedPageBreak/>
              <w:t>Tecnológico de Monterrey (Mexico)</w:t>
            </w:r>
          </w:p>
        </w:tc>
        <w:tc>
          <w:tcPr>
            <w:tcW w:w="2880" w:type="dxa"/>
            <w:tcBorders>
              <w:top w:val="nil"/>
              <w:bottom w:val="nil"/>
            </w:tcBorders>
            <w:vAlign w:val="center"/>
          </w:tcPr>
          <w:p w14:paraId="5D7489F0" w14:textId="59ED6B97" w:rsidR="006A1041" w:rsidRPr="00DC3180" w:rsidRDefault="006A1041" w:rsidP="006A1041">
            <w:pPr>
              <w:rPr>
                <w:rFonts w:ascii="Arial" w:hAnsi="Arial"/>
              </w:rPr>
            </w:pPr>
            <w:r>
              <w:rPr>
                <w:rFonts w:ascii="Arial" w:hAnsi="Arial" w:cs="Arial"/>
                <w:color w:val="000000"/>
              </w:rPr>
              <w:t>Latin America &amp; Caribbean</w:t>
            </w:r>
          </w:p>
        </w:tc>
        <w:tc>
          <w:tcPr>
            <w:tcW w:w="2408" w:type="dxa"/>
            <w:tcBorders>
              <w:top w:val="nil"/>
              <w:bottom w:val="nil"/>
            </w:tcBorders>
            <w:vAlign w:val="center"/>
          </w:tcPr>
          <w:p w14:paraId="5ADCB1D3" w14:textId="0445702D" w:rsidR="006A1041" w:rsidRPr="00DC3180" w:rsidRDefault="006A1041" w:rsidP="00D5167A">
            <w:pPr>
              <w:rPr>
                <w:rFonts w:ascii="Arial" w:hAnsi="Arial" w:cs="Arial"/>
              </w:rPr>
            </w:pPr>
            <w:r>
              <w:rPr>
                <w:rFonts w:ascii="Arial" w:hAnsi="Arial" w:cs="Arial"/>
                <w:color w:val="000000"/>
              </w:rPr>
              <w:t>~190–200</w:t>
            </w:r>
          </w:p>
        </w:tc>
      </w:tr>
      <w:tr w:rsidR="006A1041" w:rsidRPr="00DC3180" w14:paraId="0D789BFE" w14:textId="77777777" w:rsidTr="00D5167A">
        <w:trPr>
          <w:jc w:val="center"/>
        </w:trPr>
        <w:tc>
          <w:tcPr>
            <w:tcW w:w="3690" w:type="dxa"/>
            <w:tcBorders>
              <w:top w:val="nil"/>
              <w:bottom w:val="nil"/>
            </w:tcBorders>
            <w:vAlign w:val="center"/>
          </w:tcPr>
          <w:p w14:paraId="7A2F93A7" w14:textId="76ED2C89" w:rsidR="006A1041" w:rsidRPr="00DC3180" w:rsidRDefault="006A1041" w:rsidP="006A1041">
            <w:pPr>
              <w:rPr>
                <w:rFonts w:ascii="Arial" w:hAnsi="Arial"/>
              </w:rPr>
            </w:pPr>
            <w:r>
              <w:rPr>
                <w:rFonts w:ascii="Arial" w:hAnsi="Arial" w:cs="Arial"/>
                <w:color w:val="000000"/>
              </w:rPr>
              <w:t>University of Navarra (Spain)</w:t>
            </w:r>
          </w:p>
        </w:tc>
        <w:tc>
          <w:tcPr>
            <w:tcW w:w="2880" w:type="dxa"/>
            <w:tcBorders>
              <w:top w:val="nil"/>
              <w:bottom w:val="nil"/>
            </w:tcBorders>
            <w:vAlign w:val="center"/>
          </w:tcPr>
          <w:p w14:paraId="0E406B07" w14:textId="03D27AD6" w:rsidR="006A1041" w:rsidRPr="00DC3180" w:rsidRDefault="006A1041" w:rsidP="006A1041">
            <w:pPr>
              <w:rPr>
                <w:rFonts w:ascii="Arial" w:hAnsi="Arial"/>
              </w:rPr>
            </w:pPr>
            <w:r>
              <w:rPr>
                <w:rFonts w:ascii="Arial" w:hAnsi="Arial" w:cs="Arial"/>
                <w:color w:val="000000"/>
              </w:rPr>
              <w:t>Western Europe</w:t>
            </w:r>
          </w:p>
        </w:tc>
        <w:tc>
          <w:tcPr>
            <w:tcW w:w="2408" w:type="dxa"/>
            <w:tcBorders>
              <w:top w:val="nil"/>
              <w:bottom w:val="nil"/>
            </w:tcBorders>
            <w:vAlign w:val="center"/>
          </w:tcPr>
          <w:p w14:paraId="58569AAC" w14:textId="3CBF08FB" w:rsidR="006A1041" w:rsidRPr="00DC3180" w:rsidRDefault="006A1041" w:rsidP="00D5167A">
            <w:pPr>
              <w:rPr>
                <w:rFonts w:ascii="Arial" w:hAnsi="Arial" w:cs="Arial"/>
              </w:rPr>
            </w:pPr>
            <w:r>
              <w:rPr>
                <w:rFonts w:ascii="Arial" w:hAnsi="Arial" w:cs="Arial"/>
                <w:color w:val="000000"/>
              </w:rPr>
              <w:t>~260</w:t>
            </w:r>
          </w:p>
        </w:tc>
      </w:tr>
      <w:tr w:rsidR="006A1041" w:rsidRPr="00DC3180" w14:paraId="358FB010" w14:textId="77777777" w:rsidTr="00D5167A">
        <w:trPr>
          <w:jc w:val="center"/>
        </w:trPr>
        <w:tc>
          <w:tcPr>
            <w:tcW w:w="3690" w:type="dxa"/>
            <w:tcBorders>
              <w:top w:val="nil"/>
              <w:bottom w:val="nil"/>
            </w:tcBorders>
            <w:vAlign w:val="center"/>
          </w:tcPr>
          <w:p w14:paraId="67051B24" w14:textId="07C86997" w:rsidR="006A1041" w:rsidRPr="00DC3180" w:rsidRDefault="006A1041" w:rsidP="006A1041">
            <w:pPr>
              <w:rPr>
                <w:rFonts w:ascii="Arial" w:hAnsi="Arial"/>
              </w:rPr>
            </w:pPr>
            <w:r>
              <w:rPr>
                <w:rFonts w:ascii="Arial" w:hAnsi="Arial" w:cs="Arial"/>
                <w:color w:val="000000"/>
              </w:rPr>
              <w:t>American University in Cairo (Egypt)</w:t>
            </w:r>
          </w:p>
        </w:tc>
        <w:tc>
          <w:tcPr>
            <w:tcW w:w="2880" w:type="dxa"/>
            <w:tcBorders>
              <w:top w:val="nil"/>
              <w:bottom w:val="nil"/>
            </w:tcBorders>
            <w:vAlign w:val="center"/>
          </w:tcPr>
          <w:p w14:paraId="49EF12F0" w14:textId="2E87889E" w:rsidR="006A1041" w:rsidRPr="00DC3180" w:rsidRDefault="006A1041" w:rsidP="006A1041">
            <w:pPr>
              <w:rPr>
                <w:rFonts w:ascii="Arial" w:hAnsi="Arial"/>
              </w:rPr>
            </w:pPr>
            <w:r>
              <w:rPr>
                <w:rFonts w:ascii="Arial" w:hAnsi="Arial" w:cs="Arial"/>
                <w:color w:val="000000"/>
              </w:rPr>
              <w:t>Northern Africa</w:t>
            </w:r>
          </w:p>
        </w:tc>
        <w:tc>
          <w:tcPr>
            <w:tcW w:w="2408" w:type="dxa"/>
            <w:tcBorders>
              <w:top w:val="nil"/>
              <w:bottom w:val="nil"/>
            </w:tcBorders>
            <w:vAlign w:val="center"/>
          </w:tcPr>
          <w:p w14:paraId="73B65960" w14:textId="2090E92C" w:rsidR="006A1041" w:rsidRPr="00DC3180" w:rsidRDefault="006A1041" w:rsidP="00D5167A">
            <w:pPr>
              <w:rPr>
                <w:rFonts w:ascii="Arial" w:hAnsi="Arial" w:cs="Arial"/>
              </w:rPr>
            </w:pPr>
            <w:r>
              <w:rPr>
                <w:rFonts w:ascii="Arial" w:hAnsi="Arial" w:cs="Arial"/>
                <w:color w:val="000000"/>
              </w:rPr>
              <w:t>~380</w:t>
            </w:r>
          </w:p>
        </w:tc>
      </w:tr>
      <w:tr w:rsidR="006A1041" w:rsidRPr="00DC3180" w14:paraId="66ED9040" w14:textId="77777777" w:rsidTr="00D5167A">
        <w:trPr>
          <w:jc w:val="center"/>
        </w:trPr>
        <w:tc>
          <w:tcPr>
            <w:tcW w:w="3690" w:type="dxa"/>
            <w:tcBorders>
              <w:top w:val="nil"/>
              <w:bottom w:val="nil"/>
            </w:tcBorders>
            <w:vAlign w:val="center"/>
          </w:tcPr>
          <w:p w14:paraId="1167EC76" w14:textId="724DF34E" w:rsidR="006A1041" w:rsidRPr="00DC3180" w:rsidRDefault="006A1041" w:rsidP="006A1041">
            <w:pPr>
              <w:rPr>
                <w:rFonts w:ascii="Arial" w:hAnsi="Arial"/>
              </w:rPr>
            </w:pPr>
            <w:r>
              <w:rPr>
                <w:rFonts w:ascii="Arial" w:hAnsi="Arial" w:cs="Arial"/>
                <w:color w:val="000000"/>
              </w:rPr>
              <w:t>Sunway University (Malaysia)</w:t>
            </w:r>
          </w:p>
        </w:tc>
        <w:tc>
          <w:tcPr>
            <w:tcW w:w="2880" w:type="dxa"/>
            <w:tcBorders>
              <w:top w:val="nil"/>
              <w:bottom w:val="nil"/>
            </w:tcBorders>
            <w:vAlign w:val="center"/>
          </w:tcPr>
          <w:p w14:paraId="5AE72277" w14:textId="337BEBA0" w:rsidR="006A1041" w:rsidRPr="00DC3180" w:rsidRDefault="006A1041" w:rsidP="006A1041">
            <w:pPr>
              <w:rPr>
                <w:rFonts w:ascii="Arial" w:hAnsi="Arial"/>
              </w:rPr>
            </w:pPr>
            <w:r>
              <w:rPr>
                <w:rFonts w:ascii="Arial" w:hAnsi="Arial" w:cs="Arial"/>
                <w:color w:val="000000"/>
              </w:rPr>
              <w:t>South-Eastern Asia</w:t>
            </w:r>
          </w:p>
        </w:tc>
        <w:tc>
          <w:tcPr>
            <w:tcW w:w="2408" w:type="dxa"/>
            <w:tcBorders>
              <w:top w:val="nil"/>
              <w:bottom w:val="nil"/>
            </w:tcBorders>
            <w:vAlign w:val="center"/>
          </w:tcPr>
          <w:p w14:paraId="70221787" w14:textId="340B2F5E" w:rsidR="006A1041" w:rsidRPr="00DC3180" w:rsidRDefault="006A1041" w:rsidP="00D5167A">
            <w:pPr>
              <w:rPr>
                <w:rFonts w:ascii="Arial" w:hAnsi="Arial" w:cs="Arial"/>
              </w:rPr>
            </w:pPr>
            <w:r>
              <w:rPr>
                <w:rFonts w:ascii="Arial" w:hAnsi="Arial" w:cs="Arial"/>
                <w:color w:val="000000"/>
              </w:rPr>
              <w:t>~410</w:t>
            </w:r>
          </w:p>
        </w:tc>
      </w:tr>
      <w:tr w:rsidR="006A1041" w:rsidRPr="00DC3180" w14:paraId="002853E5" w14:textId="77777777" w:rsidTr="00D5167A">
        <w:trPr>
          <w:jc w:val="center"/>
        </w:trPr>
        <w:tc>
          <w:tcPr>
            <w:tcW w:w="3690" w:type="dxa"/>
            <w:tcBorders>
              <w:top w:val="nil"/>
              <w:bottom w:val="nil"/>
            </w:tcBorders>
            <w:vAlign w:val="center"/>
          </w:tcPr>
          <w:p w14:paraId="42C3CAFB" w14:textId="2C25059D" w:rsidR="006A1041" w:rsidRPr="00DC3180" w:rsidRDefault="006A1041" w:rsidP="006A1041">
            <w:pPr>
              <w:rPr>
                <w:rFonts w:ascii="Arial" w:hAnsi="Arial"/>
              </w:rPr>
            </w:pPr>
            <w:r>
              <w:rPr>
                <w:rFonts w:ascii="Arial" w:hAnsi="Arial" w:cs="Arial"/>
                <w:color w:val="000000"/>
              </w:rPr>
              <w:t>Sogang University (South Korea)</w:t>
            </w:r>
          </w:p>
        </w:tc>
        <w:tc>
          <w:tcPr>
            <w:tcW w:w="2880" w:type="dxa"/>
            <w:tcBorders>
              <w:top w:val="nil"/>
              <w:bottom w:val="nil"/>
            </w:tcBorders>
            <w:vAlign w:val="center"/>
          </w:tcPr>
          <w:p w14:paraId="6C4ECFF4" w14:textId="2355110F" w:rsidR="006A1041" w:rsidRPr="00DC3180" w:rsidRDefault="006A1041" w:rsidP="006A1041">
            <w:pPr>
              <w:rPr>
                <w:rFonts w:ascii="Arial" w:hAnsi="Arial"/>
              </w:rPr>
            </w:pPr>
            <w:r>
              <w:rPr>
                <w:rFonts w:ascii="Arial" w:hAnsi="Arial" w:cs="Arial"/>
                <w:color w:val="000000"/>
              </w:rPr>
              <w:t>Eastern Asia</w:t>
            </w:r>
          </w:p>
        </w:tc>
        <w:tc>
          <w:tcPr>
            <w:tcW w:w="2408" w:type="dxa"/>
            <w:tcBorders>
              <w:top w:val="nil"/>
              <w:bottom w:val="nil"/>
            </w:tcBorders>
            <w:vAlign w:val="center"/>
          </w:tcPr>
          <w:p w14:paraId="268CBC80" w14:textId="117C28B2" w:rsidR="006A1041" w:rsidRPr="00DC3180" w:rsidRDefault="006A1041" w:rsidP="00D5167A">
            <w:pPr>
              <w:rPr>
                <w:rFonts w:ascii="Arial" w:hAnsi="Arial" w:cs="Arial"/>
              </w:rPr>
            </w:pPr>
            <w:r>
              <w:rPr>
                <w:rFonts w:ascii="Arial" w:hAnsi="Arial" w:cs="Arial"/>
                <w:color w:val="000000"/>
              </w:rPr>
              <w:t>~500</w:t>
            </w:r>
          </w:p>
        </w:tc>
      </w:tr>
      <w:tr w:rsidR="006A1041" w:rsidRPr="00DC3180" w14:paraId="33F305AF" w14:textId="77777777" w:rsidTr="00D5167A">
        <w:trPr>
          <w:jc w:val="center"/>
        </w:trPr>
        <w:tc>
          <w:tcPr>
            <w:tcW w:w="3690" w:type="dxa"/>
            <w:tcBorders>
              <w:top w:val="nil"/>
              <w:bottom w:val="single" w:sz="4" w:space="0" w:color="auto"/>
            </w:tcBorders>
            <w:vAlign w:val="center"/>
          </w:tcPr>
          <w:p w14:paraId="2627200E" w14:textId="6331E9A3" w:rsidR="006A1041" w:rsidRPr="00DC3180" w:rsidRDefault="006A1041" w:rsidP="006A1041">
            <w:pPr>
              <w:rPr>
                <w:rFonts w:ascii="Arial" w:hAnsi="Arial"/>
              </w:rPr>
            </w:pPr>
            <w:r>
              <w:rPr>
                <w:rFonts w:ascii="Arial" w:hAnsi="Arial" w:cs="Arial"/>
                <w:color w:val="000000"/>
              </w:rPr>
              <w:t>Northeastern University (USA)</w:t>
            </w:r>
          </w:p>
        </w:tc>
        <w:tc>
          <w:tcPr>
            <w:tcW w:w="2880" w:type="dxa"/>
            <w:tcBorders>
              <w:top w:val="nil"/>
              <w:bottom w:val="single" w:sz="4" w:space="0" w:color="auto"/>
            </w:tcBorders>
            <w:vAlign w:val="center"/>
          </w:tcPr>
          <w:p w14:paraId="460584D7" w14:textId="14C2AAF5" w:rsidR="006A1041" w:rsidRPr="00DC3180" w:rsidRDefault="006A1041" w:rsidP="006A1041">
            <w:pPr>
              <w:rPr>
                <w:rFonts w:ascii="Arial" w:hAnsi="Arial"/>
              </w:rPr>
            </w:pPr>
            <w:r>
              <w:rPr>
                <w:rFonts w:ascii="Arial" w:hAnsi="Arial" w:cs="Arial"/>
                <w:color w:val="000000"/>
              </w:rPr>
              <w:t>Northern America</w:t>
            </w:r>
          </w:p>
        </w:tc>
        <w:tc>
          <w:tcPr>
            <w:tcW w:w="2408" w:type="dxa"/>
            <w:tcBorders>
              <w:top w:val="nil"/>
              <w:bottom w:val="single" w:sz="4" w:space="0" w:color="auto"/>
            </w:tcBorders>
            <w:vAlign w:val="center"/>
          </w:tcPr>
          <w:p w14:paraId="5CC60678" w14:textId="0B25285D" w:rsidR="006A1041" w:rsidRPr="00DC3180" w:rsidRDefault="006A1041" w:rsidP="00D5167A">
            <w:pPr>
              <w:rPr>
                <w:rFonts w:ascii="Arial" w:hAnsi="Arial" w:cs="Arial"/>
              </w:rPr>
            </w:pPr>
            <w:r>
              <w:rPr>
                <w:rFonts w:ascii="Arial" w:hAnsi="Arial" w:cs="Arial"/>
                <w:color w:val="000000"/>
              </w:rPr>
              <w:t>~375</w:t>
            </w:r>
          </w:p>
        </w:tc>
      </w:tr>
    </w:tbl>
    <w:p w14:paraId="3B3DA280" w14:textId="77777777" w:rsidR="00C82BB5" w:rsidRDefault="00C82BB5" w:rsidP="000D71F5">
      <w:pPr>
        <w:rPr>
          <w:rFonts w:ascii="Arial" w:hAnsi="Arial" w:cs="Arial"/>
          <w:color w:val="000000"/>
          <w:lang w:val="en-PH"/>
        </w:rPr>
      </w:pPr>
    </w:p>
    <w:p w14:paraId="28EA4AD9" w14:textId="0EE3FDF2" w:rsidR="000D71F5" w:rsidRDefault="007905E0" w:rsidP="000D71F5">
      <w:pPr>
        <w:rPr>
          <w:rFonts w:ascii="Arial" w:hAnsi="Arial" w:cs="Arial"/>
          <w:color w:val="000000"/>
        </w:rPr>
      </w:pPr>
      <w:r>
        <w:rPr>
          <w:rFonts w:ascii="Arial" w:hAnsi="Arial" w:cs="Arial"/>
          <w:color w:val="000000"/>
        </w:rPr>
        <w:t>These institutions collectively constitute the global benchmark group against which the Philippine case was comparatively analyzed.</w:t>
      </w:r>
    </w:p>
    <w:p w14:paraId="0B19C3DC" w14:textId="77777777" w:rsidR="007905E0" w:rsidRDefault="007905E0" w:rsidP="000D71F5">
      <w:pPr>
        <w:rPr>
          <w:rFonts w:ascii="Arial" w:hAnsi="Arial" w:cs="Arial"/>
          <w:color w:val="000000"/>
        </w:rPr>
      </w:pPr>
    </w:p>
    <w:p w14:paraId="7FBAB1F1" w14:textId="77777777" w:rsidR="007905E0" w:rsidRPr="007905E0" w:rsidRDefault="007905E0" w:rsidP="007905E0">
      <w:pPr>
        <w:rPr>
          <w:rFonts w:ascii="Times New Roman" w:hAnsi="Times New Roman"/>
          <w:sz w:val="24"/>
          <w:szCs w:val="24"/>
          <w:lang w:val="en-PH"/>
        </w:rPr>
      </w:pPr>
      <w:r w:rsidRPr="007905E0">
        <w:rPr>
          <w:rFonts w:ascii="Arial" w:hAnsi="Arial" w:cs="Arial"/>
          <w:b/>
          <w:bCs/>
          <w:color w:val="000000"/>
          <w:sz w:val="22"/>
          <w:szCs w:val="22"/>
          <w:lang w:val="en-PH"/>
        </w:rPr>
        <w:t>2.4 Data Sources</w:t>
      </w:r>
    </w:p>
    <w:p w14:paraId="38497279" w14:textId="77777777" w:rsidR="007905E0" w:rsidRPr="007905E0" w:rsidRDefault="007905E0" w:rsidP="007905E0">
      <w:pPr>
        <w:rPr>
          <w:rFonts w:ascii="Arial" w:hAnsi="Arial" w:cs="Arial"/>
          <w:sz w:val="22"/>
          <w:szCs w:val="22"/>
          <w:lang w:val="en-PH"/>
        </w:rPr>
      </w:pPr>
    </w:p>
    <w:p w14:paraId="74B95276" w14:textId="77777777" w:rsidR="007905E0" w:rsidRPr="007905E0" w:rsidRDefault="007905E0" w:rsidP="007905E0">
      <w:pPr>
        <w:rPr>
          <w:rFonts w:ascii="Times New Roman" w:hAnsi="Times New Roman"/>
          <w:sz w:val="24"/>
          <w:szCs w:val="24"/>
          <w:lang w:val="en-PH"/>
        </w:rPr>
      </w:pPr>
      <w:r w:rsidRPr="007905E0">
        <w:rPr>
          <w:rFonts w:ascii="Arial" w:hAnsi="Arial" w:cs="Arial"/>
          <w:color w:val="000000"/>
          <w:lang w:val="en-PH"/>
        </w:rPr>
        <w:t>The study used only publicly available tuition-related webpages collected between January and February 2026. These included official tuition fee pages, financial aid and scholarship pages, cost-of-attendance disclosures, and admissions-related cost statements from institutional websites.</w:t>
      </w:r>
    </w:p>
    <w:p w14:paraId="049D7627" w14:textId="77777777" w:rsidR="007905E0" w:rsidRPr="007905E0" w:rsidRDefault="007905E0" w:rsidP="007905E0">
      <w:pPr>
        <w:rPr>
          <w:rFonts w:ascii="Times New Roman" w:hAnsi="Times New Roman"/>
          <w:sz w:val="24"/>
          <w:szCs w:val="24"/>
          <w:lang w:val="en-PH"/>
        </w:rPr>
      </w:pPr>
      <w:r w:rsidRPr="007905E0">
        <w:rPr>
          <w:rFonts w:ascii="Arial" w:hAnsi="Arial" w:cs="Arial"/>
          <w:color w:val="000000"/>
          <w:lang w:val="en-PH"/>
        </w:rPr>
        <w:t>To ensure consistency, only institutional-level webpages about tuition and financial aid were included. Program-specific microsites, marketing blog posts, and unofficial third-party materials were excluded. All webpage content was accessed and saved during the data collection period to maintain consistency.</w:t>
      </w:r>
    </w:p>
    <w:p w14:paraId="27CA5E42" w14:textId="77777777" w:rsidR="007905E0" w:rsidRPr="007905E0" w:rsidRDefault="007905E0" w:rsidP="007905E0">
      <w:pPr>
        <w:rPr>
          <w:rFonts w:ascii="Times New Roman" w:hAnsi="Times New Roman"/>
          <w:sz w:val="24"/>
          <w:szCs w:val="24"/>
          <w:lang w:val="en-PH"/>
        </w:rPr>
      </w:pPr>
      <w:r w:rsidRPr="007905E0">
        <w:rPr>
          <w:rFonts w:ascii="Arial" w:hAnsi="Arial" w:cs="Arial"/>
          <w:color w:val="000000"/>
          <w:lang w:val="en-PH"/>
        </w:rPr>
        <w:t>The analysis included only text that directly discussed tuition communication.</w:t>
      </w:r>
    </w:p>
    <w:p w14:paraId="198EC446" w14:textId="77777777" w:rsidR="007905E0" w:rsidRPr="007905E0" w:rsidRDefault="007905E0" w:rsidP="007905E0">
      <w:pPr>
        <w:rPr>
          <w:rFonts w:ascii="Arial" w:hAnsi="Arial" w:cs="Arial"/>
          <w:sz w:val="22"/>
          <w:szCs w:val="22"/>
          <w:lang w:val="en-PH"/>
        </w:rPr>
      </w:pPr>
    </w:p>
    <w:p w14:paraId="637A1E99" w14:textId="77777777" w:rsidR="00AD0626" w:rsidRPr="00AD0626" w:rsidRDefault="00AD0626" w:rsidP="00AD0626">
      <w:pPr>
        <w:rPr>
          <w:rFonts w:ascii="Times New Roman" w:hAnsi="Times New Roman"/>
          <w:sz w:val="24"/>
          <w:szCs w:val="24"/>
          <w:lang w:val="en-PH"/>
        </w:rPr>
      </w:pPr>
      <w:r w:rsidRPr="00AD0626">
        <w:rPr>
          <w:rFonts w:ascii="Arial" w:hAnsi="Arial" w:cs="Arial"/>
          <w:b/>
          <w:bCs/>
          <w:color w:val="000000"/>
          <w:sz w:val="22"/>
          <w:szCs w:val="22"/>
          <w:lang w:val="en-PH"/>
        </w:rPr>
        <w:t>2.5 Analytical Framework</w:t>
      </w:r>
    </w:p>
    <w:p w14:paraId="5EF4C15A" w14:textId="77777777" w:rsidR="00AD0626" w:rsidRPr="00AD0626" w:rsidRDefault="00AD0626" w:rsidP="00AD0626">
      <w:pPr>
        <w:rPr>
          <w:rFonts w:ascii="Arial" w:hAnsi="Arial" w:cs="Arial"/>
          <w:sz w:val="22"/>
          <w:szCs w:val="22"/>
          <w:lang w:val="en-PH"/>
        </w:rPr>
      </w:pPr>
    </w:p>
    <w:p w14:paraId="6EAA7781"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This study used both Framing Theory and Signaling Theory to examine how tuition is communicated in higher education.</w:t>
      </w:r>
    </w:p>
    <w:p w14:paraId="1CB77997"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Framing Theory was the main approach used in this analysis. It suggests that communicators highlight certain parts of reality to influence how people understand information (</w:t>
      </w:r>
      <w:proofErr w:type="spellStart"/>
      <w:r w:rsidRPr="00AD0626">
        <w:rPr>
          <w:rFonts w:ascii="Arial" w:hAnsi="Arial" w:cs="Arial"/>
          <w:color w:val="000000"/>
          <w:lang w:val="en-PH"/>
        </w:rPr>
        <w:t>Entman</w:t>
      </w:r>
      <w:proofErr w:type="spellEnd"/>
      <w:r w:rsidRPr="00AD0626">
        <w:rPr>
          <w:rFonts w:ascii="Arial" w:hAnsi="Arial" w:cs="Arial"/>
          <w:color w:val="000000"/>
          <w:lang w:val="en-PH"/>
        </w:rPr>
        <w:t xml:space="preserve">, 1993; de </w:t>
      </w:r>
      <w:proofErr w:type="spellStart"/>
      <w:r w:rsidRPr="00AD0626">
        <w:rPr>
          <w:rFonts w:ascii="Arial" w:hAnsi="Arial" w:cs="Arial"/>
          <w:color w:val="000000"/>
          <w:lang w:val="en-PH"/>
        </w:rPr>
        <w:t>Vreese</w:t>
      </w:r>
      <w:proofErr w:type="spellEnd"/>
      <w:r w:rsidRPr="00AD0626">
        <w:rPr>
          <w:rFonts w:ascii="Arial" w:hAnsi="Arial" w:cs="Arial"/>
          <w:color w:val="000000"/>
          <w:lang w:val="en-PH"/>
        </w:rPr>
        <w:t>, 2012). In this study, Framing Theory helped identify how tuition was presented, such as focusing on investment, accessibility, prestige, or outcomes.</w:t>
      </w:r>
    </w:p>
    <w:p w14:paraId="45C054B8"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Signaling Theory added to this framework by explaining the strategic purpose of these frames. In markets where information is uneven, organizations send signals to show their quality, legitimacy, and position in the market (Connelly et al., 2011; Spence, 2002). As a result, tuition framing was seen as both a way to create meaning and as a signal from institutions in a competitive higher education setting.</w:t>
      </w:r>
    </w:p>
    <w:p w14:paraId="7E7EFFE4"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Framing Theory was used to develop categories and guide coding, while Signaling Theory helped interpret the strategic meaning of the patterns found.</w:t>
      </w:r>
    </w:p>
    <w:p w14:paraId="692BC0FE" w14:textId="77777777" w:rsidR="00AD0626" w:rsidRDefault="00AD0626" w:rsidP="00AD0626">
      <w:pPr>
        <w:rPr>
          <w:rFonts w:ascii="Arial" w:hAnsi="Arial" w:cs="Arial"/>
          <w:sz w:val="22"/>
          <w:szCs w:val="22"/>
          <w:lang w:val="en-PH"/>
        </w:rPr>
      </w:pPr>
    </w:p>
    <w:p w14:paraId="4F6E88B9" w14:textId="77777777" w:rsidR="00AD0626" w:rsidRPr="00AD0626" w:rsidRDefault="00AD0626" w:rsidP="00AD0626">
      <w:pPr>
        <w:rPr>
          <w:rFonts w:ascii="Times New Roman" w:hAnsi="Times New Roman"/>
          <w:sz w:val="24"/>
          <w:szCs w:val="24"/>
          <w:lang w:val="en-PH"/>
        </w:rPr>
      </w:pPr>
      <w:r w:rsidRPr="00AD0626">
        <w:rPr>
          <w:rFonts w:ascii="Arial" w:hAnsi="Arial" w:cs="Arial"/>
          <w:b/>
          <w:bCs/>
          <w:color w:val="000000"/>
          <w:sz w:val="22"/>
          <w:szCs w:val="22"/>
          <w:lang w:val="en-PH"/>
        </w:rPr>
        <w:t>2.6 Development of Coding Categories</w:t>
      </w:r>
    </w:p>
    <w:p w14:paraId="5E800922" w14:textId="77777777" w:rsidR="00AD0626" w:rsidRPr="00AD0626" w:rsidRDefault="00AD0626" w:rsidP="00AD0626">
      <w:pPr>
        <w:rPr>
          <w:rFonts w:ascii="Arial" w:hAnsi="Arial" w:cs="Arial"/>
          <w:sz w:val="22"/>
          <w:szCs w:val="22"/>
          <w:lang w:val="en-PH"/>
        </w:rPr>
      </w:pPr>
    </w:p>
    <w:p w14:paraId="70EB34B7"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A directed qualitative content analysis was used to create coding categories (Hsieh &amp; Shannon, 2005; Schreier, 2012).</w:t>
      </w:r>
    </w:p>
    <w:p w14:paraId="0A5248BE"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At first, a deductive framework using Framing Theory was built to find possible tuition-related frames such as investment, accessibility, prestige, and outcomes.</w:t>
      </w:r>
    </w:p>
    <w:p w14:paraId="11BD6908"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Next, tuition webpages were reviewed several times to spot recurring rhetorical patterns across different institutions.</w:t>
      </w:r>
    </w:p>
    <w:p w14:paraId="2A7320BD"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The categories were then adjusted based on how often they appeared and how clear they were. Themes found in more than one institution were kept to make sure cases could be compared (Krippendorff, 2018).</w:t>
      </w:r>
    </w:p>
    <w:p w14:paraId="1DBBBB6B" w14:textId="77777777" w:rsidR="00AD0626" w:rsidRPr="00AD0626" w:rsidRDefault="00AD0626" w:rsidP="00AD0626">
      <w:pPr>
        <w:rPr>
          <w:rFonts w:ascii="Times New Roman" w:hAnsi="Times New Roman"/>
          <w:sz w:val="24"/>
          <w:szCs w:val="24"/>
          <w:lang w:val="en-PH"/>
        </w:rPr>
      </w:pPr>
      <w:r w:rsidRPr="00AD0626">
        <w:rPr>
          <w:rFonts w:ascii="Arial" w:hAnsi="Arial" w:cs="Arial"/>
          <w:color w:val="000000"/>
          <w:lang w:val="en-PH"/>
        </w:rPr>
        <w:t>The final seven framing categories are presented in Table 2.</w:t>
      </w:r>
    </w:p>
    <w:p w14:paraId="4611B9A8" w14:textId="77777777" w:rsidR="00AD0626" w:rsidRDefault="00AD0626" w:rsidP="00AD0626">
      <w:pPr>
        <w:rPr>
          <w:rFonts w:ascii="Arial" w:hAnsi="Arial" w:cs="Arial"/>
          <w:sz w:val="22"/>
          <w:szCs w:val="22"/>
          <w:lang w:val="en-PH"/>
        </w:rPr>
      </w:pPr>
    </w:p>
    <w:p w14:paraId="0AE9ED34" w14:textId="77777777" w:rsidR="008D6C8A" w:rsidRPr="008D6C8A" w:rsidRDefault="008D6C8A" w:rsidP="008D6C8A">
      <w:pPr>
        <w:jc w:val="center"/>
        <w:rPr>
          <w:rFonts w:ascii="Times New Roman" w:hAnsi="Times New Roman"/>
          <w:sz w:val="24"/>
          <w:szCs w:val="24"/>
          <w:lang w:val="en-PH"/>
        </w:rPr>
      </w:pPr>
      <w:r w:rsidRPr="008D6C8A">
        <w:rPr>
          <w:rFonts w:ascii="Arial" w:hAnsi="Arial" w:cs="Arial"/>
          <w:b/>
          <w:bCs/>
          <w:color w:val="000000"/>
          <w:lang w:val="en-PH"/>
        </w:rPr>
        <w:lastRenderedPageBreak/>
        <w:t>Table 2. Tuition Framing Coding Framework</w:t>
      </w:r>
    </w:p>
    <w:p w14:paraId="4B3D9A83" w14:textId="77777777" w:rsidR="008D6C8A" w:rsidRPr="008D6C8A" w:rsidRDefault="008D6C8A" w:rsidP="008D6C8A">
      <w:pPr>
        <w:rPr>
          <w:rFonts w:ascii="Times New Roman" w:hAnsi="Times New Roman"/>
          <w:sz w:val="24"/>
          <w:szCs w:val="24"/>
          <w:lang w:val="en-PH"/>
        </w:rPr>
      </w:pPr>
    </w:p>
    <w:tbl>
      <w:tblPr>
        <w:tblW w:w="89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3150"/>
        <w:gridCol w:w="3128"/>
      </w:tblGrid>
      <w:tr w:rsidR="008D6C8A" w:rsidRPr="00DC3180" w14:paraId="77F3B7F7" w14:textId="77777777" w:rsidTr="008D6C8A">
        <w:trPr>
          <w:jc w:val="center"/>
        </w:trPr>
        <w:tc>
          <w:tcPr>
            <w:tcW w:w="2700" w:type="dxa"/>
            <w:tcBorders>
              <w:bottom w:val="single" w:sz="4" w:space="0" w:color="auto"/>
            </w:tcBorders>
            <w:vAlign w:val="center"/>
          </w:tcPr>
          <w:p w14:paraId="354E17CB" w14:textId="1307A884" w:rsidR="008D6C8A" w:rsidRPr="00DC3180" w:rsidRDefault="008D6C8A" w:rsidP="008D6C8A">
            <w:pPr>
              <w:jc w:val="both"/>
              <w:rPr>
                <w:rFonts w:ascii="Arial" w:hAnsi="Arial"/>
                <w:b/>
                <w:bCs/>
              </w:rPr>
            </w:pPr>
            <w:r>
              <w:rPr>
                <w:rFonts w:ascii="Arial" w:hAnsi="Arial" w:cs="Arial"/>
                <w:b/>
                <w:bCs/>
                <w:color w:val="000000"/>
              </w:rPr>
              <w:t>Category</w:t>
            </w:r>
          </w:p>
        </w:tc>
        <w:tc>
          <w:tcPr>
            <w:tcW w:w="3150" w:type="dxa"/>
            <w:tcBorders>
              <w:bottom w:val="single" w:sz="4" w:space="0" w:color="auto"/>
            </w:tcBorders>
            <w:vAlign w:val="center"/>
          </w:tcPr>
          <w:p w14:paraId="0FF391FA" w14:textId="4D2A9848" w:rsidR="008D6C8A" w:rsidRPr="00DC3180" w:rsidRDefault="008D6C8A" w:rsidP="008D6C8A">
            <w:pPr>
              <w:rPr>
                <w:rFonts w:ascii="Arial" w:hAnsi="Arial"/>
                <w:b/>
                <w:bCs/>
              </w:rPr>
            </w:pPr>
            <w:r>
              <w:rPr>
                <w:rFonts w:ascii="Arial" w:hAnsi="Arial" w:cs="Arial"/>
                <w:b/>
                <w:bCs/>
                <w:color w:val="000000"/>
              </w:rPr>
              <w:t>Operational Definition</w:t>
            </w:r>
          </w:p>
        </w:tc>
        <w:tc>
          <w:tcPr>
            <w:tcW w:w="3128" w:type="dxa"/>
            <w:tcBorders>
              <w:bottom w:val="single" w:sz="4" w:space="0" w:color="auto"/>
            </w:tcBorders>
            <w:vAlign w:val="center"/>
          </w:tcPr>
          <w:p w14:paraId="0E33E563" w14:textId="67B85F62" w:rsidR="008D6C8A" w:rsidRPr="00DC3180" w:rsidRDefault="008D6C8A" w:rsidP="008D6C8A">
            <w:pPr>
              <w:jc w:val="both"/>
              <w:rPr>
                <w:rFonts w:ascii="Arial" w:hAnsi="Arial"/>
                <w:b/>
                <w:bCs/>
              </w:rPr>
            </w:pPr>
            <w:r>
              <w:rPr>
                <w:rFonts w:ascii="Arial" w:hAnsi="Arial" w:cs="Arial"/>
                <w:b/>
                <w:bCs/>
                <w:color w:val="000000"/>
              </w:rPr>
              <w:t>Illustrative Indicators</w:t>
            </w:r>
          </w:p>
        </w:tc>
      </w:tr>
      <w:tr w:rsidR="008D6C8A" w:rsidRPr="00DC3180" w14:paraId="507DA2AA" w14:textId="77777777" w:rsidTr="008D6C8A">
        <w:trPr>
          <w:jc w:val="center"/>
        </w:trPr>
        <w:tc>
          <w:tcPr>
            <w:tcW w:w="2700" w:type="dxa"/>
            <w:tcBorders>
              <w:top w:val="single" w:sz="4" w:space="0" w:color="auto"/>
              <w:bottom w:val="single" w:sz="4" w:space="0" w:color="auto"/>
            </w:tcBorders>
            <w:vAlign w:val="center"/>
          </w:tcPr>
          <w:p w14:paraId="5BE576FD" w14:textId="1231A53B" w:rsidR="008D6C8A" w:rsidRPr="00DC3180" w:rsidRDefault="008D6C8A" w:rsidP="008D6C8A">
            <w:pPr>
              <w:rPr>
                <w:rFonts w:ascii="Arial" w:hAnsi="Arial"/>
              </w:rPr>
            </w:pPr>
            <w:r>
              <w:rPr>
                <w:rFonts w:ascii="Arial" w:hAnsi="Arial" w:cs="Arial"/>
                <w:color w:val="000000"/>
              </w:rPr>
              <w:t>Investment Frame</w:t>
            </w:r>
          </w:p>
        </w:tc>
        <w:tc>
          <w:tcPr>
            <w:tcW w:w="3150" w:type="dxa"/>
            <w:tcBorders>
              <w:top w:val="single" w:sz="4" w:space="0" w:color="auto"/>
              <w:bottom w:val="single" w:sz="4" w:space="0" w:color="auto"/>
            </w:tcBorders>
            <w:vAlign w:val="center"/>
          </w:tcPr>
          <w:p w14:paraId="0D12B648" w14:textId="1FF52B34" w:rsidR="008D6C8A" w:rsidRPr="00DC3180" w:rsidRDefault="008D6C8A" w:rsidP="008D6C8A">
            <w:pPr>
              <w:rPr>
                <w:rFonts w:ascii="Arial" w:hAnsi="Arial"/>
              </w:rPr>
            </w:pPr>
            <w:r>
              <w:rPr>
                <w:rFonts w:ascii="Arial" w:hAnsi="Arial" w:cs="Arial"/>
                <w:color w:val="000000"/>
              </w:rPr>
              <w:t>Tuition presented as long-term gain or return rather than immediate cost.</w:t>
            </w:r>
          </w:p>
        </w:tc>
        <w:tc>
          <w:tcPr>
            <w:tcW w:w="3128" w:type="dxa"/>
            <w:tcBorders>
              <w:top w:val="single" w:sz="4" w:space="0" w:color="auto"/>
              <w:bottom w:val="single" w:sz="4" w:space="0" w:color="auto"/>
            </w:tcBorders>
            <w:vAlign w:val="center"/>
          </w:tcPr>
          <w:p w14:paraId="21E7B0FD" w14:textId="26F96B4B" w:rsidR="008D6C8A" w:rsidRPr="006A1041" w:rsidRDefault="008D6C8A" w:rsidP="008D6C8A">
            <w:pPr>
              <w:rPr>
                <w:rFonts w:ascii="Arial" w:eastAsia="Arial Unicode MS" w:hAnsi="Arial" w:cs="Arial"/>
              </w:rPr>
            </w:pPr>
            <w:r>
              <w:rPr>
                <w:rFonts w:ascii="Arial" w:hAnsi="Arial" w:cs="Arial"/>
                <w:color w:val="000000"/>
              </w:rPr>
              <w:t>“Invest in your future,” ROI language, long-term career value, earnings potential</w:t>
            </w:r>
          </w:p>
        </w:tc>
      </w:tr>
      <w:tr w:rsidR="008D6C8A" w:rsidRPr="00DC3180" w14:paraId="5B095E43" w14:textId="77777777" w:rsidTr="008D6C8A">
        <w:trPr>
          <w:jc w:val="center"/>
        </w:trPr>
        <w:tc>
          <w:tcPr>
            <w:tcW w:w="2700" w:type="dxa"/>
            <w:tcBorders>
              <w:top w:val="single" w:sz="4" w:space="0" w:color="auto"/>
              <w:bottom w:val="single" w:sz="4" w:space="0" w:color="auto"/>
            </w:tcBorders>
            <w:vAlign w:val="center"/>
          </w:tcPr>
          <w:p w14:paraId="7ED63BE8" w14:textId="448E01B3" w:rsidR="008D6C8A" w:rsidRPr="00DC3180" w:rsidRDefault="008D6C8A" w:rsidP="008D6C8A">
            <w:pPr>
              <w:rPr>
                <w:rFonts w:ascii="Arial" w:hAnsi="Arial"/>
              </w:rPr>
            </w:pPr>
            <w:r>
              <w:rPr>
                <w:rFonts w:ascii="Arial" w:hAnsi="Arial" w:cs="Arial"/>
                <w:color w:val="000000"/>
              </w:rPr>
              <w:t>Accessibility/Affordability Frame</w:t>
            </w:r>
          </w:p>
        </w:tc>
        <w:tc>
          <w:tcPr>
            <w:tcW w:w="3150" w:type="dxa"/>
            <w:tcBorders>
              <w:top w:val="single" w:sz="4" w:space="0" w:color="auto"/>
              <w:bottom w:val="single" w:sz="4" w:space="0" w:color="auto"/>
            </w:tcBorders>
            <w:vAlign w:val="center"/>
          </w:tcPr>
          <w:p w14:paraId="7BC51F8D" w14:textId="44DA0124" w:rsidR="008D6C8A" w:rsidRPr="00DC3180" w:rsidRDefault="008D6C8A" w:rsidP="008D6C8A">
            <w:pPr>
              <w:rPr>
                <w:rFonts w:ascii="Arial" w:hAnsi="Arial"/>
              </w:rPr>
            </w:pPr>
            <w:r>
              <w:rPr>
                <w:rFonts w:ascii="Arial" w:hAnsi="Arial" w:cs="Arial"/>
                <w:color w:val="000000"/>
              </w:rPr>
              <w:t>Tuition framed as financially manageable or supported.</w:t>
            </w:r>
          </w:p>
        </w:tc>
        <w:tc>
          <w:tcPr>
            <w:tcW w:w="3128" w:type="dxa"/>
            <w:tcBorders>
              <w:top w:val="single" w:sz="4" w:space="0" w:color="auto"/>
              <w:bottom w:val="single" w:sz="4" w:space="0" w:color="auto"/>
            </w:tcBorders>
            <w:vAlign w:val="center"/>
          </w:tcPr>
          <w:p w14:paraId="54585032" w14:textId="4995EE5E" w:rsidR="008D6C8A" w:rsidRPr="00DC3180" w:rsidRDefault="008D6C8A" w:rsidP="008D6C8A">
            <w:pPr>
              <w:rPr>
                <w:rFonts w:ascii="Arial" w:hAnsi="Arial" w:cs="Arial"/>
              </w:rPr>
            </w:pPr>
            <w:r>
              <w:rPr>
                <w:rFonts w:ascii="Arial" w:hAnsi="Arial" w:cs="Arial"/>
                <w:color w:val="000000"/>
              </w:rPr>
              <w:t>Installment plans, affordability claims, flexible payment options, financial assistance references</w:t>
            </w:r>
          </w:p>
        </w:tc>
      </w:tr>
      <w:tr w:rsidR="008D6C8A" w:rsidRPr="00DC3180" w14:paraId="76CD408B" w14:textId="77777777" w:rsidTr="008D6C8A">
        <w:trPr>
          <w:jc w:val="center"/>
        </w:trPr>
        <w:tc>
          <w:tcPr>
            <w:tcW w:w="2700" w:type="dxa"/>
            <w:tcBorders>
              <w:top w:val="single" w:sz="4" w:space="0" w:color="auto"/>
              <w:bottom w:val="single" w:sz="4" w:space="0" w:color="auto"/>
            </w:tcBorders>
            <w:vAlign w:val="center"/>
          </w:tcPr>
          <w:p w14:paraId="117210DA" w14:textId="5EA53C9B" w:rsidR="008D6C8A" w:rsidRPr="00DC3180" w:rsidRDefault="008D6C8A" w:rsidP="008D6C8A">
            <w:pPr>
              <w:rPr>
                <w:rFonts w:ascii="Arial" w:hAnsi="Arial"/>
              </w:rPr>
            </w:pPr>
            <w:r>
              <w:rPr>
                <w:rFonts w:ascii="Arial" w:hAnsi="Arial" w:cs="Arial"/>
                <w:color w:val="000000"/>
              </w:rPr>
              <w:t>Scholarship Emphasis Frame</w:t>
            </w:r>
          </w:p>
        </w:tc>
        <w:tc>
          <w:tcPr>
            <w:tcW w:w="3150" w:type="dxa"/>
            <w:tcBorders>
              <w:top w:val="single" w:sz="4" w:space="0" w:color="auto"/>
              <w:bottom w:val="single" w:sz="4" w:space="0" w:color="auto"/>
            </w:tcBorders>
            <w:vAlign w:val="center"/>
          </w:tcPr>
          <w:p w14:paraId="5FFD2CDF" w14:textId="683B6947" w:rsidR="008D6C8A" w:rsidRPr="00DC3180" w:rsidRDefault="008D6C8A" w:rsidP="008D6C8A">
            <w:pPr>
              <w:rPr>
                <w:rFonts w:ascii="Arial" w:hAnsi="Arial"/>
              </w:rPr>
            </w:pPr>
            <w:r>
              <w:rPr>
                <w:rFonts w:ascii="Arial" w:hAnsi="Arial" w:cs="Arial"/>
                <w:color w:val="000000"/>
              </w:rPr>
              <w:t>Prominent highlighting of scholarships and financial aid opportunities.</w:t>
            </w:r>
          </w:p>
        </w:tc>
        <w:tc>
          <w:tcPr>
            <w:tcW w:w="3128" w:type="dxa"/>
            <w:tcBorders>
              <w:top w:val="single" w:sz="4" w:space="0" w:color="auto"/>
              <w:bottom w:val="single" w:sz="4" w:space="0" w:color="auto"/>
            </w:tcBorders>
            <w:vAlign w:val="center"/>
          </w:tcPr>
          <w:p w14:paraId="0EAF5143" w14:textId="17E668FD" w:rsidR="008D6C8A" w:rsidRPr="00DC3180" w:rsidRDefault="008D6C8A" w:rsidP="008D6C8A">
            <w:pPr>
              <w:rPr>
                <w:rFonts w:ascii="Arial" w:hAnsi="Arial" w:cs="Arial"/>
              </w:rPr>
            </w:pPr>
            <w:r>
              <w:rPr>
                <w:rFonts w:ascii="Arial" w:hAnsi="Arial" w:cs="Arial"/>
                <w:color w:val="000000"/>
              </w:rPr>
              <w:t>Scholarship banners, percentage of students receiving aid, merit-based awards, coverage percentages</w:t>
            </w:r>
          </w:p>
        </w:tc>
      </w:tr>
      <w:tr w:rsidR="008D6C8A" w:rsidRPr="00DC3180" w14:paraId="06E25357" w14:textId="77777777" w:rsidTr="008D6C8A">
        <w:trPr>
          <w:jc w:val="center"/>
        </w:trPr>
        <w:tc>
          <w:tcPr>
            <w:tcW w:w="2700" w:type="dxa"/>
            <w:tcBorders>
              <w:top w:val="single" w:sz="4" w:space="0" w:color="auto"/>
              <w:bottom w:val="single" w:sz="4" w:space="0" w:color="auto"/>
            </w:tcBorders>
            <w:vAlign w:val="center"/>
          </w:tcPr>
          <w:p w14:paraId="3B320018" w14:textId="4306FC28" w:rsidR="008D6C8A" w:rsidRPr="00DC3180" w:rsidRDefault="008D6C8A" w:rsidP="008D6C8A">
            <w:pPr>
              <w:rPr>
                <w:rFonts w:ascii="Arial" w:hAnsi="Arial"/>
              </w:rPr>
            </w:pPr>
            <w:r>
              <w:rPr>
                <w:rFonts w:ascii="Arial" w:hAnsi="Arial" w:cs="Arial"/>
                <w:color w:val="000000"/>
              </w:rPr>
              <w:t>Prestige/Quality Justification Frame</w:t>
            </w:r>
          </w:p>
        </w:tc>
        <w:tc>
          <w:tcPr>
            <w:tcW w:w="3150" w:type="dxa"/>
            <w:tcBorders>
              <w:top w:val="single" w:sz="4" w:space="0" w:color="auto"/>
              <w:bottom w:val="single" w:sz="4" w:space="0" w:color="auto"/>
            </w:tcBorders>
            <w:vAlign w:val="center"/>
          </w:tcPr>
          <w:p w14:paraId="083A6C44" w14:textId="0B7CABD0" w:rsidR="008D6C8A" w:rsidRPr="00DC3180" w:rsidRDefault="008D6C8A" w:rsidP="008D6C8A">
            <w:pPr>
              <w:rPr>
                <w:rFonts w:ascii="Arial" w:hAnsi="Arial"/>
              </w:rPr>
            </w:pPr>
            <w:r>
              <w:rPr>
                <w:rFonts w:ascii="Arial" w:hAnsi="Arial" w:cs="Arial"/>
                <w:color w:val="000000"/>
              </w:rPr>
              <w:t>Tuition justified through institutional reputation or academic excellence.</w:t>
            </w:r>
          </w:p>
        </w:tc>
        <w:tc>
          <w:tcPr>
            <w:tcW w:w="3128" w:type="dxa"/>
            <w:tcBorders>
              <w:top w:val="single" w:sz="4" w:space="0" w:color="auto"/>
              <w:bottom w:val="single" w:sz="4" w:space="0" w:color="auto"/>
            </w:tcBorders>
            <w:vAlign w:val="center"/>
          </w:tcPr>
          <w:p w14:paraId="4458347C" w14:textId="7D566768" w:rsidR="008D6C8A" w:rsidRPr="00DC3180" w:rsidRDefault="008D6C8A" w:rsidP="008D6C8A">
            <w:pPr>
              <w:rPr>
                <w:rFonts w:ascii="Arial" w:hAnsi="Arial" w:cs="Arial"/>
              </w:rPr>
            </w:pPr>
            <w:r>
              <w:rPr>
                <w:rFonts w:ascii="Arial" w:hAnsi="Arial" w:cs="Arial"/>
                <w:color w:val="000000"/>
              </w:rPr>
              <w:t>QS ranking mentions, accreditation claims, “world-class education,” faculty excellence statements</w:t>
            </w:r>
          </w:p>
        </w:tc>
      </w:tr>
      <w:tr w:rsidR="008D6C8A" w:rsidRPr="00DC3180" w14:paraId="0C185B3D" w14:textId="77777777" w:rsidTr="008D6C8A">
        <w:trPr>
          <w:jc w:val="center"/>
        </w:trPr>
        <w:tc>
          <w:tcPr>
            <w:tcW w:w="2700" w:type="dxa"/>
            <w:tcBorders>
              <w:top w:val="single" w:sz="4" w:space="0" w:color="auto"/>
              <w:bottom w:val="single" w:sz="4" w:space="0" w:color="auto"/>
            </w:tcBorders>
            <w:vAlign w:val="center"/>
          </w:tcPr>
          <w:p w14:paraId="33A3DF5D" w14:textId="091C2BF9" w:rsidR="008D6C8A" w:rsidRPr="00DC3180" w:rsidRDefault="008D6C8A" w:rsidP="008D6C8A">
            <w:pPr>
              <w:rPr>
                <w:rFonts w:ascii="Arial" w:hAnsi="Arial"/>
              </w:rPr>
            </w:pPr>
            <w:r>
              <w:rPr>
                <w:rFonts w:ascii="Arial" w:hAnsi="Arial" w:cs="Arial"/>
                <w:color w:val="000000"/>
              </w:rPr>
              <w:t>Transparency Frame</w:t>
            </w:r>
          </w:p>
        </w:tc>
        <w:tc>
          <w:tcPr>
            <w:tcW w:w="3150" w:type="dxa"/>
            <w:tcBorders>
              <w:top w:val="single" w:sz="4" w:space="0" w:color="auto"/>
              <w:bottom w:val="single" w:sz="4" w:space="0" w:color="auto"/>
            </w:tcBorders>
            <w:vAlign w:val="center"/>
          </w:tcPr>
          <w:p w14:paraId="30BCB373" w14:textId="73C3D8CD" w:rsidR="008D6C8A" w:rsidRPr="00DC3180" w:rsidRDefault="008D6C8A" w:rsidP="008D6C8A">
            <w:pPr>
              <w:rPr>
                <w:rFonts w:ascii="Arial" w:hAnsi="Arial"/>
              </w:rPr>
            </w:pPr>
            <w:r>
              <w:rPr>
                <w:rFonts w:ascii="Arial" w:hAnsi="Arial" w:cs="Arial"/>
                <w:color w:val="000000"/>
              </w:rPr>
              <w:t>Clear and structured disclosure of tuition costs.</w:t>
            </w:r>
          </w:p>
        </w:tc>
        <w:tc>
          <w:tcPr>
            <w:tcW w:w="3128" w:type="dxa"/>
            <w:tcBorders>
              <w:top w:val="single" w:sz="4" w:space="0" w:color="auto"/>
              <w:bottom w:val="single" w:sz="4" w:space="0" w:color="auto"/>
            </w:tcBorders>
            <w:vAlign w:val="center"/>
          </w:tcPr>
          <w:p w14:paraId="523D1340" w14:textId="76C9F524" w:rsidR="008D6C8A" w:rsidRPr="00DC3180" w:rsidRDefault="008D6C8A" w:rsidP="008D6C8A">
            <w:pPr>
              <w:rPr>
                <w:rFonts w:ascii="Arial" w:hAnsi="Arial" w:cs="Arial"/>
              </w:rPr>
            </w:pPr>
            <w:r>
              <w:rPr>
                <w:rFonts w:ascii="Arial" w:hAnsi="Arial" w:cs="Arial"/>
                <w:color w:val="000000"/>
              </w:rPr>
              <w:t>Fee breakdown tables, cost calculators, itemized charges, “no hidden fees” statements</w:t>
            </w:r>
          </w:p>
        </w:tc>
      </w:tr>
      <w:tr w:rsidR="008D6C8A" w:rsidRPr="00DC3180" w14:paraId="1868CFFA" w14:textId="77777777" w:rsidTr="008D6C8A">
        <w:trPr>
          <w:jc w:val="center"/>
        </w:trPr>
        <w:tc>
          <w:tcPr>
            <w:tcW w:w="2700" w:type="dxa"/>
            <w:tcBorders>
              <w:top w:val="single" w:sz="4" w:space="0" w:color="auto"/>
              <w:bottom w:val="single" w:sz="4" w:space="0" w:color="auto"/>
            </w:tcBorders>
            <w:vAlign w:val="center"/>
          </w:tcPr>
          <w:p w14:paraId="1D70F699" w14:textId="3B35DC56" w:rsidR="008D6C8A" w:rsidRPr="00DC3180" w:rsidRDefault="008D6C8A" w:rsidP="008D6C8A">
            <w:pPr>
              <w:rPr>
                <w:rFonts w:ascii="Arial" w:hAnsi="Arial"/>
              </w:rPr>
            </w:pPr>
            <w:r>
              <w:rPr>
                <w:rFonts w:ascii="Arial" w:hAnsi="Arial" w:cs="Arial"/>
                <w:color w:val="000000"/>
              </w:rPr>
              <w:t>Outcome/Employability Frame</w:t>
            </w:r>
          </w:p>
        </w:tc>
        <w:tc>
          <w:tcPr>
            <w:tcW w:w="3150" w:type="dxa"/>
            <w:tcBorders>
              <w:top w:val="single" w:sz="4" w:space="0" w:color="auto"/>
              <w:bottom w:val="single" w:sz="4" w:space="0" w:color="auto"/>
            </w:tcBorders>
            <w:vAlign w:val="center"/>
          </w:tcPr>
          <w:p w14:paraId="11B11158" w14:textId="28479229" w:rsidR="008D6C8A" w:rsidRPr="00DC3180" w:rsidRDefault="008D6C8A" w:rsidP="008D6C8A">
            <w:pPr>
              <w:rPr>
                <w:rFonts w:ascii="Arial" w:hAnsi="Arial"/>
              </w:rPr>
            </w:pPr>
            <w:r>
              <w:rPr>
                <w:rFonts w:ascii="Arial" w:hAnsi="Arial" w:cs="Arial"/>
                <w:color w:val="000000"/>
              </w:rPr>
              <w:t>Tuition linked explicitly to employment outcomes or career success.</w:t>
            </w:r>
          </w:p>
        </w:tc>
        <w:tc>
          <w:tcPr>
            <w:tcW w:w="3128" w:type="dxa"/>
            <w:tcBorders>
              <w:top w:val="single" w:sz="4" w:space="0" w:color="auto"/>
              <w:bottom w:val="single" w:sz="4" w:space="0" w:color="auto"/>
            </w:tcBorders>
            <w:vAlign w:val="center"/>
          </w:tcPr>
          <w:p w14:paraId="50F31491" w14:textId="3CCE69BA" w:rsidR="008D6C8A" w:rsidRPr="00DC3180" w:rsidRDefault="008D6C8A" w:rsidP="008D6C8A">
            <w:pPr>
              <w:rPr>
                <w:rFonts w:ascii="Arial" w:hAnsi="Arial" w:cs="Arial"/>
              </w:rPr>
            </w:pPr>
            <w:r>
              <w:rPr>
                <w:rFonts w:ascii="Arial" w:hAnsi="Arial" w:cs="Arial"/>
                <w:color w:val="000000"/>
              </w:rPr>
              <w:t>Graduate employment rates, industry partnerships, salary statistics, internship pathways</w:t>
            </w:r>
          </w:p>
        </w:tc>
      </w:tr>
      <w:tr w:rsidR="008D6C8A" w:rsidRPr="00DC3180" w14:paraId="7BEA4665" w14:textId="77777777" w:rsidTr="008D6C8A">
        <w:trPr>
          <w:jc w:val="center"/>
        </w:trPr>
        <w:tc>
          <w:tcPr>
            <w:tcW w:w="2700" w:type="dxa"/>
            <w:tcBorders>
              <w:top w:val="single" w:sz="4" w:space="0" w:color="auto"/>
              <w:bottom w:val="single" w:sz="4" w:space="0" w:color="auto"/>
            </w:tcBorders>
            <w:vAlign w:val="center"/>
          </w:tcPr>
          <w:p w14:paraId="07FF605F" w14:textId="3FD1BE42" w:rsidR="008D6C8A" w:rsidRPr="00DC3180" w:rsidRDefault="008D6C8A" w:rsidP="008D6C8A">
            <w:pPr>
              <w:rPr>
                <w:rFonts w:ascii="Arial" w:hAnsi="Arial"/>
              </w:rPr>
            </w:pPr>
            <w:r>
              <w:rPr>
                <w:rFonts w:ascii="Arial" w:hAnsi="Arial" w:cs="Arial"/>
                <w:color w:val="000000"/>
              </w:rPr>
              <w:t>Call-to-Action Frame</w:t>
            </w:r>
          </w:p>
        </w:tc>
        <w:tc>
          <w:tcPr>
            <w:tcW w:w="3150" w:type="dxa"/>
            <w:tcBorders>
              <w:top w:val="single" w:sz="4" w:space="0" w:color="auto"/>
              <w:bottom w:val="single" w:sz="4" w:space="0" w:color="auto"/>
            </w:tcBorders>
            <w:vAlign w:val="center"/>
          </w:tcPr>
          <w:p w14:paraId="6B20D8FA" w14:textId="090C5F21" w:rsidR="008D6C8A" w:rsidRPr="00DC3180" w:rsidRDefault="008D6C8A" w:rsidP="008D6C8A">
            <w:pPr>
              <w:rPr>
                <w:rFonts w:ascii="Arial" w:hAnsi="Arial"/>
              </w:rPr>
            </w:pPr>
            <w:r>
              <w:rPr>
                <w:rFonts w:ascii="Arial" w:hAnsi="Arial" w:cs="Arial"/>
                <w:color w:val="000000"/>
              </w:rPr>
              <w:t>Recruitment-oriented prompts embedded within tuition communication.</w:t>
            </w:r>
          </w:p>
        </w:tc>
        <w:tc>
          <w:tcPr>
            <w:tcW w:w="3128" w:type="dxa"/>
            <w:tcBorders>
              <w:top w:val="single" w:sz="4" w:space="0" w:color="auto"/>
              <w:bottom w:val="single" w:sz="4" w:space="0" w:color="auto"/>
            </w:tcBorders>
            <w:vAlign w:val="center"/>
          </w:tcPr>
          <w:p w14:paraId="6630DF10" w14:textId="55BAE3F4" w:rsidR="008D6C8A" w:rsidRPr="00DC3180" w:rsidRDefault="008D6C8A" w:rsidP="008D6C8A">
            <w:pPr>
              <w:rPr>
                <w:rFonts w:ascii="Arial" w:hAnsi="Arial" w:cs="Arial"/>
              </w:rPr>
            </w:pPr>
            <w:r>
              <w:rPr>
                <w:rFonts w:ascii="Arial" w:hAnsi="Arial" w:cs="Arial"/>
                <w:color w:val="000000"/>
              </w:rPr>
              <w:t>“Apply now,” “Secure your place,” deadline emphasis, early enrollment incentives</w:t>
            </w:r>
          </w:p>
        </w:tc>
      </w:tr>
    </w:tbl>
    <w:p w14:paraId="69873D7E" w14:textId="77777777" w:rsidR="00B3545F" w:rsidRDefault="00B3545F" w:rsidP="00AD0626">
      <w:pPr>
        <w:rPr>
          <w:rFonts w:ascii="Arial" w:hAnsi="Arial" w:cs="Arial"/>
          <w:sz w:val="22"/>
          <w:szCs w:val="22"/>
          <w:lang w:val="en-PH"/>
        </w:rPr>
      </w:pPr>
    </w:p>
    <w:p w14:paraId="3B058FAD" w14:textId="77777777" w:rsidR="00B3545F" w:rsidRPr="00B3545F" w:rsidRDefault="00B3545F" w:rsidP="00B3545F">
      <w:pPr>
        <w:rPr>
          <w:rFonts w:ascii="Times New Roman" w:hAnsi="Times New Roman"/>
          <w:sz w:val="24"/>
          <w:szCs w:val="24"/>
          <w:lang w:val="en-PH"/>
        </w:rPr>
      </w:pPr>
      <w:r w:rsidRPr="00B3545F">
        <w:rPr>
          <w:rFonts w:ascii="Arial" w:hAnsi="Arial" w:cs="Arial"/>
          <w:b/>
          <w:bCs/>
          <w:color w:val="000000"/>
          <w:sz w:val="22"/>
          <w:szCs w:val="22"/>
          <w:lang w:val="en-PH"/>
        </w:rPr>
        <w:t>2.7 Data Analysis Procedure</w:t>
      </w:r>
    </w:p>
    <w:p w14:paraId="5F65B198" w14:textId="77777777" w:rsidR="00B3545F" w:rsidRPr="00B3545F" w:rsidRDefault="00B3545F" w:rsidP="00B3545F">
      <w:pPr>
        <w:rPr>
          <w:rFonts w:ascii="Arial" w:hAnsi="Arial" w:cs="Arial"/>
          <w:sz w:val="22"/>
          <w:szCs w:val="22"/>
          <w:lang w:val="en-PH"/>
        </w:rPr>
      </w:pPr>
    </w:p>
    <w:p w14:paraId="5B5AF493"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The data analysis was done in three stages.</w:t>
      </w:r>
    </w:p>
    <w:p w14:paraId="4B659BDF"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First, each institution was analyzed on its own. Tuition-related webpages were coded using specific framing categories.</w:t>
      </w:r>
    </w:p>
    <w:p w14:paraId="14198624"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Second, the six global universities were compared with one another. The analysis focused on finding recurring themes and the strength of certain frames.</w:t>
      </w:r>
    </w:p>
    <w:p w14:paraId="323BDB89" w14:textId="77777777" w:rsidR="00B3545F" w:rsidRPr="00B3545F" w:rsidRDefault="00B3545F" w:rsidP="00B3545F">
      <w:pPr>
        <w:rPr>
          <w:rFonts w:ascii="Times New Roman" w:hAnsi="Times New Roman"/>
          <w:sz w:val="24"/>
          <w:szCs w:val="24"/>
          <w:lang w:val="en-PH"/>
        </w:rPr>
      </w:pPr>
      <w:r w:rsidRPr="00B3545F">
        <w:rPr>
          <w:rFonts w:ascii="Arial" w:hAnsi="Arial" w:cs="Arial"/>
          <w:color w:val="000000"/>
          <w:lang w:val="en-PH"/>
        </w:rPr>
        <w:t>Third, the study compared the Philippine university to the global group to see where they were similar or different. Alignment meant they used similar framing strategies and emphasis. Divergence meant the global frames were missing or less noticeable.</w:t>
      </w:r>
    </w:p>
    <w:p w14:paraId="3FD76048" w14:textId="615F65C6" w:rsidR="00280D69" w:rsidRDefault="00B3545F" w:rsidP="000D71F5">
      <w:pPr>
        <w:rPr>
          <w:rFonts w:ascii="Arial" w:hAnsi="Arial" w:cs="Arial"/>
          <w:color w:val="000000"/>
          <w:lang w:val="en-PH"/>
        </w:rPr>
      </w:pPr>
      <w:r w:rsidRPr="00B3545F">
        <w:rPr>
          <w:rFonts w:ascii="Arial" w:hAnsi="Arial" w:cs="Arial"/>
          <w:color w:val="000000"/>
          <w:lang w:val="en-PH"/>
        </w:rPr>
        <w:t>The analysis focused more on finding repeated themes and building a narrative than on counting how often things appeared</w:t>
      </w:r>
      <w:r w:rsidR="00280D69">
        <w:rPr>
          <w:rFonts w:ascii="Arial" w:hAnsi="Arial" w:cs="Arial"/>
          <w:color w:val="000000"/>
          <w:lang w:val="en-PH"/>
        </w:rPr>
        <w:t>.</w:t>
      </w:r>
    </w:p>
    <w:p w14:paraId="2E686603" w14:textId="77777777" w:rsidR="00280D69" w:rsidRPr="00280D69" w:rsidRDefault="00280D69" w:rsidP="000D71F5">
      <w:pPr>
        <w:rPr>
          <w:rFonts w:ascii="Arial" w:hAnsi="Arial" w:cs="Arial"/>
          <w:color w:val="000000"/>
          <w:sz w:val="22"/>
          <w:szCs w:val="22"/>
          <w:lang w:val="en-PH"/>
        </w:rPr>
      </w:pPr>
    </w:p>
    <w:p w14:paraId="25FD18E6" w14:textId="77777777" w:rsidR="00280D69" w:rsidRPr="00280D69" w:rsidRDefault="00280D69" w:rsidP="00280D69">
      <w:pPr>
        <w:rPr>
          <w:rFonts w:ascii="Times New Roman" w:hAnsi="Times New Roman"/>
          <w:sz w:val="24"/>
          <w:szCs w:val="24"/>
          <w:lang w:val="en-PH"/>
        </w:rPr>
      </w:pPr>
      <w:r w:rsidRPr="00280D69">
        <w:rPr>
          <w:rFonts w:ascii="Arial" w:hAnsi="Arial" w:cs="Arial"/>
          <w:b/>
          <w:bCs/>
          <w:color w:val="000000"/>
          <w:sz w:val="22"/>
          <w:szCs w:val="22"/>
          <w:lang w:val="en-PH"/>
        </w:rPr>
        <w:t>2.8 Trustworthiness of the Study</w:t>
      </w:r>
    </w:p>
    <w:p w14:paraId="79B0F070" w14:textId="77777777" w:rsidR="00280D69" w:rsidRPr="00280D69" w:rsidRDefault="00280D69" w:rsidP="00280D69">
      <w:pPr>
        <w:rPr>
          <w:rFonts w:ascii="Arial" w:hAnsi="Arial" w:cs="Arial"/>
          <w:sz w:val="22"/>
          <w:szCs w:val="22"/>
          <w:lang w:val="en-PH"/>
        </w:rPr>
      </w:pPr>
    </w:p>
    <w:p w14:paraId="1405046F"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Trustworthiness was established using the criteria of credibility, dependability, confirmability, and transferability (Lincoln &amp; Guba, 1985), which were adapted for comparative document analysis.</w:t>
      </w:r>
    </w:p>
    <w:p w14:paraId="1F87C0A9"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Credibility was improved by systematically comparing tuition-related content across different pages and cases. This approach helped ensure that the framing patterns found reflected broader institutional communication, not just isolated examples.</w:t>
      </w:r>
    </w:p>
    <w:p w14:paraId="35F6DEEC"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Dependability was supported by using a structured, theory-based coding framework and a code-recode verification process to keep the analysis consistent.</w:t>
      </w:r>
    </w:p>
    <w:p w14:paraId="5AD2E12B"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lastRenderedPageBreak/>
        <w:t>Confirmability was ensured by maintaining an audit trail that documented webpage sources, data collection dates (January–February 2026), coding decisions, and analytical notes. All interpretations were based on clear textual evidence.</w:t>
      </w:r>
    </w:p>
    <w:p w14:paraId="67151BDD" w14:textId="77777777" w:rsidR="00280D69" w:rsidRPr="00280D69" w:rsidRDefault="00280D69" w:rsidP="00280D69">
      <w:pPr>
        <w:rPr>
          <w:rFonts w:ascii="Times New Roman" w:hAnsi="Times New Roman"/>
          <w:sz w:val="24"/>
          <w:szCs w:val="24"/>
          <w:lang w:val="en-PH"/>
        </w:rPr>
      </w:pPr>
      <w:r w:rsidRPr="00280D69">
        <w:rPr>
          <w:rFonts w:ascii="Arial" w:hAnsi="Arial" w:cs="Arial"/>
          <w:color w:val="000000"/>
          <w:lang w:val="en-PH"/>
        </w:rPr>
        <w:t>Transferability was strengthened by clearly outlining how institutions were selected, including the QS World University Rankings 2026 band (200–500), regional distribution, and focus on private tuition-dependent profiles. This detail helps readers judge if the findings apply to similar higher education settings.</w:t>
      </w:r>
    </w:p>
    <w:p w14:paraId="2FDAE70C" w14:textId="77777777" w:rsidR="00280D69" w:rsidRDefault="00280D69" w:rsidP="00280D69">
      <w:pPr>
        <w:rPr>
          <w:rFonts w:ascii="Arial" w:hAnsi="Arial" w:cs="Arial"/>
          <w:sz w:val="22"/>
          <w:szCs w:val="22"/>
          <w:lang w:val="en-PH"/>
        </w:rPr>
      </w:pPr>
    </w:p>
    <w:p w14:paraId="0CDE6194" w14:textId="77777777" w:rsidR="004411C3" w:rsidRPr="004411C3" w:rsidRDefault="004411C3" w:rsidP="004411C3">
      <w:pPr>
        <w:rPr>
          <w:rFonts w:ascii="Times New Roman" w:hAnsi="Times New Roman"/>
          <w:sz w:val="24"/>
          <w:szCs w:val="24"/>
          <w:lang w:val="en-PH"/>
        </w:rPr>
      </w:pPr>
      <w:r w:rsidRPr="004411C3">
        <w:rPr>
          <w:rFonts w:ascii="Arial" w:hAnsi="Arial" w:cs="Arial"/>
          <w:b/>
          <w:bCs/>
          <w:color w:val="000000"/>
          <w:sz w:val="22"/>
          <w:szCs w:val="22"/>
          <w:lang w:val="en-PH"/>
        </w:rPr>
        <w:t>2.9 Ethical Considerations</w:t>
      </w:r>
    </w:p>
    <w:p w14:paraId="4A522A61" w14:textId="77777777" w:rsidR="004411C3" w:rsidRPr="004411C3" w:rsidRDefault="004411C3" w:rsidP="004411C3">
      <w:pPr>
        <w:rPr>
          <w:rFonts w:ascii="Arial" w:hAnsi="Arial" w:cs="Arial"/>
          <w:sz w:val="22"/>
          <w:szCs w:val="22"/>
          <w:lang w:val="en-PH"/>
        </w:rPr>
      </w:pPr>
    </w:p>
    <w:p w14:paraId="4D30AD3E" w14:textId="77777777" w:rsidR="004411C3" w:rsidRPr="004411C3" w:rsidRDefault="004411C3" w:rsidP="004411C3">
      <w:pPr>
        <w:rPr>
          <w:rFonts w:ascii="Times New Roman" w:hAnsi="Times New Roman"/>
          <w:sz w:val="24"/>
          <w:szCs w:val="24"/>
          <w:lang w:val="en-PH"/>
        </w:rPr>
      </w:pPr>
      <w:r w:rsidRPr="004411C3">
        <w:rPr>
          <w:rFonts w:ascii="Arial" w:hAnsi="Arial" w:cs="Arial"/>
          <w:color w:val="000000"/>
          <w:lang w:val="en-PH"/>
        </w:rPr>
        <w:t>This study used only publicly available institutional webpages and did not include human participants or confidential information. All materials came from official university websites collected between January and February 2026.</w:t>
      </w:r>
    </w:p>
    <w:p w14:paraId="5F7313D7" w14:textId="77777777" w:rsidR="004411C3" w:rsidRPr="004411C3" w:rsidRDefault="004411C3" w:rsidP="004411C3">
      <w:pPr>
        <w:rPr>
          <w:rFonts w:ascii="Times New Roman" w:hAnsi="Times New Roman"/>
          <w:sz w:val="24"/>
          <w:szCs w:val="24"/>
          <w:lang w:val="en-PH"/>
        </w:rPr>
      </w:pPr>
      <w:r w:rsidRPr="004411C3">
        <w:rPr>
          <w:rFonts w:ascii="Arial" w:hAnsi="Arial" w:cs="Arial"/>
          <w:color w:val="000000"/>
          <w:lang w:val="en-PH"/>
        </w:rPr>
        <w:t>Since the analysis looked at institutional communication instead of individual information, informed consent was not needed. No personal data was gathered. Webpage content was saved to make sure the information was recorded accurately.</w:t>
      </w:r>
    </w:p>
    <w:p w14:paraId="5CCD03A8" w14:textId="77777777" w:rsidR="004411C3" w:rsidRPr="003A38AE" w:rsidRDefault="004411C3" w:rsidP="004411C3">
      <w:pPr>
        <w:rPr>
          <w:rFonts w:ascii="Arial" w:hAnsi="Arial" w:cs="Arial"/>
          <w:sz w:val="22"/>
          <w:szCs w:val="22"/>
          <w:lang w:val="en-PH"/>
        </w:rPr>
      </w:pPr>
    </w:p>
    <w:p w14:paraId="7EC99035" w14:textId="77777777" w:rsidR="003A38AE" w:rsidRPr="003A38AE" w:rsidRDefault="003A38AE" w:rsidP="003A38AE">
      <w:pPr>
        <w:rPr>
          <w:rFonts w:ascii="Times New Roman" w:hAnsi="Times New Roman"/>
          <w:sz w:val="24"/>
          <w:szCs w:val="24"/>
          <w:lang w:val="en-PH"/>
        </w:rPr>
      </w:pPr>
      <w:r w:rsidRPr="003A38AE">
        <w:rPr>
          <w:rFonts w:ascii="Arial" w:hAnsi="Arial" w:cs="Arial"/>
          <w:b/>
          <w:bCs/>
          <w:color w:val="000000"/>
          <w:sz w:val="22"/>
          <w:szCs w:val="22"/>
          <w:lang w:val="en-PH"/>
        </w:rPr>
        <w:t>3. RESULTS</w:t>
      </w:r>
    </w:p>
    <w:p w14:paraId="15AE339A" w14:textId="77777777" w:rsidR="003A38AE" w:rsidRPr="003A38AE" w:rsidRDefault="003A38AE" w:rsidP="003A38AE">
      <w:pPr>
        <w:rPr>
          <w:rFonts w:ascii="Arial" w:hAnsi="Arial" w:cs="Arial"/>
          <w:sz w:val="22"/>
          <w:szCs w:val="22"/>
          <w:lang w:val="en-PH"/>
        </w:rPr>
      </w:pPr>
    </w:p>
    <w:p w14:paraId="56FE4607" w14:textId="77777777" w:rsidR="003A38AE" w:rsidRPr="003A38AE" w:rsidRDefault="003A38AE" w:rsidP="003A38AE">
      <w:pPr>
        <w:rPr>
          <w:rFonts w:ascii="Times New Roman" w:hAnsi="Times New Roman"/>
          <w:sz w:val="24"/>
          <w:szCs w:val="24"/>
          <w:lang w:val="en-PH"/>
        </w:rPr>
      </w:pPr>
      <w:r w:rsidRPr="003A38AE">
        <w:rPr>
          <w:rFonts w:ascii="Arial" w:hAnsi="Arial" w:cs="Arial"/>
          <w:b/>
          <w:bCs/>
          <w:color w:val="000000"/>
          <w:sz w:val="22"/>
          <w:szCs w:val="22"/>
          <w:lang w:val="en-PH"/>
        </w:rPr>
        <w:t>3.1 Overview of Tuition Framing Patterns Across Cases</w:t>
      </w:r>
    </w:p>
    <w:p w14:paraId="73D16563" w14:textId="77777777" w:rsidR="003A38AE" w:rsidRPr="003A38AE" w:rsidRDefault="003A38AE" w:rsidP="003A38AE">
      <w:pPr>
        <w:rPr>
          <w:rFonts w:ascii="Arial" w:hAnsi="Arial" w:cs="Arial"/>
          <w:sz w:val="22"/>
          <w:szCs w:val="22"/>
          <w:lang w:val="en-PH"/>
        </w:rPr>
      </w:pPr>
    </w:p>
    <w:p w14:paraId="432B87EB" w14:textId="77777777" w:rsidR="003A38AE" w:rsidRDefault="003A38AE" w:rsidP="003A38AE">
      <w:pPr>
        <w:rPr>
          <w:rFonts w:ascii="Arial" w:hAnsi="Arial" w:cs="Arial"/>
          <w:color w:val="000000"/>
          <w:lang w:val="en-PH"/>
        </w:rPr>
      </w:pPr>
      <w:r w:rsidRPr="003A38AE">
        <w:rPr>
          <w:rFonts w:ascii="Arial" w:hAnsi="Arial" w:cs="Arial"/>
          <w:color w:val="000000"/>
          <w:lang w:val="en-PH"/>
        </w:rPr>
        <w:t>A review of tuition webpages from six top-ranked private universities and one Philippine university showed clear differences in how tuition was presented. Instead of just sharing information, these pages used specific framing strategies that matched each institution’s marketing and positioning in the competitive higher education sector (Davis et al., 2019; Camilleri, 2020).</w:t>
      </w:r>
    </w:p>
    <w:p w14:paraId="03CCC4C5"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The analysis used seven coding categories from Table 2 in the methodology. Patterns were first found within the global universities, then compared to the Philippine university.</w:t>
      </w:r>
    </w:p>
    <w:p w14:paraId="61A56BD7" w14:textId="77777777" w:rsidR="003A38AE" w:rsidRPr="003A38AE" w:rsidRDefault="003A38AE" w:rsidP="003A38AE">
      <w:pPr>
        <w:rPr>
          <w:rFonts w:ascii="Arial" w:hAnsi="Arial" w:cs="Arial"/>
          <w:sz w:val="22"/>
          <w:szCs w:val="22"/>
          <w:lang w:val="en-PH"/>
        </w:rPr>
      </w:pPr>
    </w:p>
    <w:p w14:paraId="7625DAB4" w14:textId="77777777" w:rsidR="003A38AE" w:rsidRPr="003A38AE" w:rsidRDefault="003A38AE" w:rsidP="003A38AE">
      <w:pPr>
        <w:rPr>
          <w:rFonts w:ascii="Times New Roman" w:hAnsi="Times New Roman"/>
          <w:sz w:val="24"/>
          <w:szCs w:val="24"/>
          <w:lang w:val="en-PH"/>
        </w:rPr>
      </w:pPr>
      <w:r w:rsidRPr="003A38AE">
        <w:rPr>
          <w:rFonts w:ascii="Arial" w:hAnsi="Arial" w:cs="Arial"/>
          <w:b/>
          <w:bCs/>
          <w:color w:val="000000"/>
          <w:sz w:val="22"/>
          <w:szCs w:val="22"/>
          <w:lang w:val="en-PH"/>
        </w:rPr>
        <w:t>3.2 Investment Frame</w:t>
      </w:r>
    </w:p>
    <w:p w14:paraId="25442035" w14:textId="77777777" w:rsidR="003A38AE" w:rsidRPr="003A38AE" w:rsidRDefault="003A38AE" w:rsidP="003A38AE">
      <w:pPr>
        <w:rPr>
          <w:rFonts w:ascii="Arial" w:hAnsi="Arial" w:cs="Arial"/>
          <w:sz w:val="22"/>
          <w:szCs w:val="22"/>
          <w:lang w:val="en-PH"/>
        </w:rPr>
      </w:pPr>
    </w:p>
    <w:p w14:paraId="41944BA0"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Most of the six global universities used the Investment Frame. They often described tuition as a long-term benefit instead of just a short-term cost. Their websites focused on:</w:t>
      </w:r>
    </w:p>
    <w:p w14:paraId="7125FFB4" w14:textId="77777777" w:rsidR="003A38AE" w:rsidRPr="003A38AE" w:rsidRDefault="003A38AE" w:rsidP="003A38AE">
      <w:pPr>
        <w:numPr>
          <w:ilvl w:val="0"/>
          <w:numId w:val="34"/>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Future career trajectories</w:t>
      </w:r>
    </w:p>
    <w:p w14:paraId="59CFA0A3"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Tuition was connected to future career growth, suggesting that enrolling would help students move up in their careers and achieve long-term success.</w:t>
      </w:r>
    </w:p>
    <w:p w14:paraId="0D527DFC" w14:textId="77777777" w:rsidR="003A38AE" w:rsidRPr="003A38AE" w:rsidRDefault="003A38AE" w:rsidP="003A38AE">
      <w:pPr>
        <w:numPr>
          <w:ilvl w:val="0"/>
          <w:numId w:val="35"/>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Professional network access</w:t>
      </w:r>
    </w:p>
    <w:p w14:paraId="30B7EE2F"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Universities pointed out that tuition gives students access to alumni, industry partners, and global networks, making it a way to join valuable professional communities.</w:t>
      </w:r>
    </w:p>
    <w:p w14:paraId="1B395F69" w14:textId="77777777" w:rsidR="003A38AE" w:rsidRPr="003A38AE" w:rsidRDefault="003A38AE" w:rsidP="003A38AE">
      <w:pPr>
        <w:numPr>
          <w:ilvl w:val="0"/>
          <w:numId w:val="36"/>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Lifelong earning potential</w:t>
      </w:r>
    </w:p>
    <w:p w14:paraId="030E0CED"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Some universities mentioned salary ranges, career earnings, or long-term income benefits, showing tuition as an investment that brings lasting financial rewards.</w:t>
      </w:r>
    </w:p>
    <w:p w14:paraId="4D12820A" w14:textId="77777777" w:rsidR="003A38AE" w:rsidRPr="003A38AE" w:rsidRDefault="003A38AE" w:rsidP="003A38AE">
      <w:pPr>
        <w:numPr>
          <w:ilvl w:val="0"/>
          <w:numId w:val="37"/>
        </w:numPr>
        <w:tabs>
          <w:tab w:val="clear" w:pos="720"/>
        </w:tabs>
        <w:ind w:left="360"/>
        <w:textAlignment w:val="baseline"/>
        <w:rPr>
          <w:rFonts w:ascii="Arial" w:hAnsi="Arial" w:cs="Arial"/>
          <w:b/>
          <w:bCs/>
          <w:color w:val="000000"/>
          <w:lang w:val="en-PH"/>
        </w:rPr>
      </w:pPr>
      <w:r w:rsidRPr="003A38AE">
        <w:rPr>
          <w:rFonts w:ascii="Arial" w:hAnsi="Arial" w:cs="Arial"/>
          <w:b/>
          <w:bCs/>
          <w:color w:val="000000"/>
          <w:lang w:val="en-PH"/>
        </w:rPr>
        <w:t>“Return on investment” narratives</w:t>
      </w:r>
    </w:p>
    <w:p w14:paraId="5A139E56" w14:textId="77777777" w:rsidR="003A38AE" w:rsidRPr="003A38AE" w:rsidRDefault="003A38AE" w:rsidP="003A38AE">
      <w:pPr>
        <w:ind w:left="360"/>
        <w:rPr>
          <w:rFonts w:ascii="Times New Roman" w:hAnsi="Times New Roman"/>
          <w:sz w:val="24"/>
          <w:szCs w:val="24"/>
          <w:lang w:val="en-PH"/>
        </w:rPr>
      </w:pPr>
      <w:r w:rsidRPr="003A38AE">
        <w:rPr>
          <w:rFonts w:ascii="Arial" w:hAnsi="Arial" w:cs="Arial"/>
          <w:color w:val="000000"/>
          <w:lang w:val="en-PH"/>
        </w:rPr>
        <w:t>Clear or subtle references to return on investment (ROI) described tuition as money spent now that would lead to real future benefits, supporting the idea of enrollment as a smart financial choice.</w:t>
      </w:r>
    </w:p>
    <w:p w14:paraId="3DAE3EE1"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At several universities, tuition details were included in broader messages that connected cost to graduate success.</w:t>
      </w:r>
    </w:p>
    <w:p w14:paraId="60AF1E52"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t>This trend matches research showing that universities now often present tuition as a smart investment to highlight its value and ease worries about cost (Davis et al., 2019). Focusing on long-term benefits helps students make decisions.</w:t>
      </w:r>
    </w:p>
    <w:p w14:paraId="392B0ECD" w14:textId="77777777" w:rsidR="003A38AE" w:rsidRPr="003A38AE" w:rsidRDefault="003A38AE" w:rsidP="003A38AE">
      <w:pPr>
        <w:rPr>
          <w:rFonts w:ascii="Times New Roman" w:hAnsi="Times New Roman"/>
          <w:sz w:val="24"/>
          <w:szCs w:val="24"/>
          <w:lang w:val="en-PH"/>
        </w:rPr>
      </w:pPr>
      <w:r w:rsidRPr="003A38AE">
        <w:rPr>
          <w:rFonts w:ascii="Arial" w:hAnsi="Arial" w:cs="Arial"/>
          <w:color w:val="000000"/>
          <w:lang w:val="en-PH"/>
        </w:rPr>
        <w:lastRenderedPageBreak/>
        <w:t>In contrast, the Philippine university used less investment-focused language. Although tuition was clearly stated, it did not strongly link cost to future financial benefits.</w:t>
      </w:r>
    </w:p>
    <w:p w14:paraId="43E38E3D" w14:textId="77777777" w:rsidR="003A38AE" w:rsidRDefault="003A38AE" w:rsidP="003A38AE">
      <w:pPr>
        <w:rPr>
          <w:rFonts w:ascii="Arial" w:hAnsi="Arial" w:cs="Arial"/>
          <w:sz w:val="22"/>
          <w:szCs w:val="22"/>
          <w:lang w:val="en-PH"/>
        </w:rPr>
      </w:pPr>
    </w:p>
    <w:p w14:paraId="185D5B0B" w14:textId="77777777" w:rsidR="003D3691" w:rsidRPr="003D3691" w:rsidRDefault="003D3691" w:rsidP="003D3691">
      <w:pPr>
        <w:rPr>
          <w:rFonts w:ascii="Times New Roman" w:hAnsi="Times New Roman"/>
          <w:sz w:val="24"/>
          <w:szCs w:val="24"/>
          <w:lang w:val="en-PH"/>
        </w:rPr>
      </w:pPr>
      <w:r w:rsidRPr="003D3691">
        <w:rPr>
          <w:rFonts w:ascii="Arial" w:hAnsi="Arial" w:cs="Arial"/>
          <w:b/>
          <w:bCs/>
          <w:color w:val="000000"/>
          <w:sz w:val="22"/>
          <w:szCs w:val="22"/>
          <w:lang w:val="en-PH"/>
        </w:rPr>
        <w:t>3.3 Accessibility/Affordability Frame</w:t>
      </w:r>
    </w:p>
    <w:p w14:paraId="507A814F" w14:textId="77777777" w:rsidR="003D3691" w:rsidRPr="003D3691" w:rsidRDefault="003D3691" w:rsidP="003D3691">
      <w:pPr>
        <w:rPr>
          <w:rFonts w:ascii="Arial" w:hAnsi="Arial" w:cs="Arial"/>
          <w:sz w:val="22"/>
          <w:szCs w:val="22"/>
          <w:lang w:val="en-PH"/>
        </w:rPr>
      </w:pPr>
    </w:p>
    <w:p w14:paraId="06BFA0C3"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All institutions used the Accessibility/Affordability Frame, but some emphasized it more than others. In the global benchmark group, accessibility was presented alongside investment and prestige. The main recurring elements were:</w:t>
      </w:r>
    </w:p>
    <w:p w14:paraId="008707AD"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Flexible payment plans</w:t>
      </w:r>
      <w:r w:rsidRPr="003D3691">
        <w:rPr>
          <w:rFonts w:ascii="Arial" w:hAnsi="Arial" w:cs="Arial"/>
          <w:b/>
          <w:bCs/>
          <w:color w:val="000000"/>
          <w:lang w:val="en-PH"/>
        </w:rPr>
        <w:br/>
      </w:r>
      <w:r w:rsidRPr="003D3691">
        <w:rPr>
          <w:rFonts w:ascii="Arial" w:hAnsi="Arial" w:cs="Arial"/>
          <w:color w:val="000000"/>
          <w:lang w:val="en-PH"/>
        </w:rPr>
        <w:t>Many global universities offered payment plans that let students spread tuition payments over time. These plans were usually found on tuition pages, showing that institutions understand short-term financial challenges while still highlighting overall value.</w:t>
      </w:r>
    </w:p>
    <w:p w14:paraId="573E191D"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Installment schemes</w:t>
      </w:r>
      <w:r w:rsidRPr="003D3691">
        <w:rPr>
          <w:rFonts w:ascii="Arial" w:hAnsi="Arial" w:cs="Arial"/>
          <w:color w:val="000000"/>
          <w:lang w:val="en-PH"/>
        </w:rPr>
        <w:br/>
        <w:t>Installment plans were explained with details like payment schedules and amounts. Global institutions often paired these options with language about investment, showing that short-term flexibility fits with long-term educational benefits.</w:t>
      </w:r>
    </w:p>
    <w:p w14:paraId="04566041"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Financial aid guidance</w:t>
      </w:r>
      <w:r w:rsidRPr="003D3691">
        <w:rPr>
          <w:rFonts w:ascii="Arial" w:hAnsi="Arial" w:cs="Arial"/>
          <w:color w:val="000000"/>
          <w:lang w:val="en-PH"/>
        </w:rPr>
        <w:br/>
        <w:t>Tuition pages often gave instructions for applying to scholarships, grants, or aid. In the global benchmark group, this information was usually part of the tuition section or clearly linked, showing that institutions help manage financial barriers instead of leaving students to handle them alone.</w:t>
      </w:r>
    </w:p>
    <w:p w14:paraId="00B76014" w14:textId="77777777" w:rsidR="003D3691" w:rsidRPr="003D3691" w:rsidRDefault="003D3691" w:rsidP="003D3691">
      <w:pPr>
        <w:numPr>
          <w:ilvl w:val="0"/>
          <w:numId w:val="38"/>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Dedicated affordability sections</w:t>
      </w:r>
      <w:r w:rsidRPr="003D3691">
        <w:rPr>
          <w:rFonts w:ascii="Arial" w:hAnsi="Arial" w:cs="Arial"/>
          <w:color w:val="000000"/>
          <w:lang w:val="en-PH"/>
        </w:rPr>
        <w:br/>
        <w:t>Some global institutions had separate sections focused on affordability or financial support. These sections were made more noticeable with banners or highlights, showing that affordability is a clear commitment, not just extra information.</w:t>
      </w:r>
    </w:p>
    <w:p w14:paraId="15ED972A"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In general, global institutions combined accessibility with investment and prestige in their messaging. Research shows that highlighting affordability helps people see institutions as more inclusive and responsive in competitive higher education markets (Davis et al., 2019).</w:t>
      </w:r>
    </w:p>
    <w:p w14:paraId="56CCED11"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The Philippine institution also shared clear information about scholarships, financial aid, and tuition. However, its accessibility messaging was mostly factual and not strongly emphasized. Unlike some global institutions, affordability was rarely linked with investment or prestige, so accessibility served mainly as transparent information rather than a balancing message.</w:t>
      </w:r>
    </w:p>
    <w:p w14:paraId="0EAF7D1C" w14:textId="77777777" w:rsidR="003D3691" w:rsidRPr="003D3691" w:rsidRDefault="003D3691" w:rsidP="003D3691">
      <w:pPr>
        <w:rPr>
          <w:rFonts w:ascii="Arial" w:hAnsi="Arial" w:cs="Arial"/>
          <w:sz w:val="22"/>
          <w:szCs w:val="22"/>
          <w:lang w:val="en-PH"/>
        </w:rPr>
      </w:pPr>
    </w:p>
    <w:p w14:paraId="7D5F4175" w14:textId="77777777" w:rsidR="003D3691" w:rsidRPr="003D3691" w:rsidRDefault="003D3691" w:rsidP="003D3691">
      <w:pPr>
        <w:rPr>
          <w:rFonts w:ascii="Times New Roman" w:hAnsi="Times New Roman"/>
          <w:sz w:val="24"/>
          <w:szCs w:val="24"/>
          <w:lang w:val="en-PH"/>
        </w:rPr>
      </w:pPr>
      <w:r w:rsidRPr="003D3691">
        <w:rPr>
          <w:rFonts w:ascii="Arial" w:hAnsi="Arial" w:cs="Arial"/>
          <w:b/>
          <w:bCs/>
          <w:color w:val="000000"/>
          <w:sz w:val="22"/>
          <w:szCs w:val="22"/>
          <w:lang w:val="en-PH"/>
        </w:rPr>
        <w:t>3.4 Scholarship Emphasis Frame</w:t>
      </w:r>
    </w:p>
    <w:p w14:paraId="4A5F1EBD" w14:textId="77777777" w:rsidR="003D3691" w:rsidRPr="003D3691" w:rsidRDefault="003D3691" w:rsidP="003D3691">
      <w:pPr>
        <w:rPr>
          <w:rFonts w:ascii="Arial" w:hAnsi="Arial" w:cs="Arial"/>
          <w:sz w:val="22"/>
          <w:szCs w:val="22"/>
          <w:lang w:val="en-PH"/>
        </w:rPr>
      </w:pPr>
    </w:p>
    <w:p w14:paraId="3E2B0E74"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The Scholarship Emphasis Frame appeared with moderate to strong presence in the global benchmark group. In many cases, scholarship messaging was not just added as extra information but was placed strategically in tuition communications. The following common elements were found:</w:t>
      </w:r>
    </w:p>
    <w:p w14:paraId="14D65129"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Visually distinct scholarship sections</w:t>
      </w:r>
      <w:r w:rsidRPr="003D3691">
        <w:rPr>
          <w:rFonts w:ascii="Arial" w:hAnsi="Arial" w:cs="Arial"/>
          <w:color w:val="000000"/>
          <w:lang w:val="en-PH"/>
        </w:rPr>
        <w:br/>
        <w:t>Many global universities set up dedicated scholarship tabs or clearly separated financial aid sections on their tuition pages. These sections were often easy to find from the main tuition menu, showing that they were given a prominent place instead of being hidden.</w:t>
      </w:r>
    </w:p>
    <w:p w14:paraId="7CF43D46"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Banner or headline scholarship claims</w:t>
      </w:r>
      <w:r w:rsidRPr="003D3691">
        <w:rPr>
          <w:rFonts w:ascii="Arial" w:hAnsi="Arial" w:cs="Arial"/>
          <w:b/>
          <w:bCs/>
          <w:color w:val="000000"/>
          <w:lang w:val="en-PH"/>
        </w:rPr>
        <w:br/>
      </w:r>
      <w:r w:rsidRPr="003D3691">
        <w:rPr>
          <w:rFonts w:ascii="Arial" w:hAnsi="Arial" w:cs="Arial"/>
          <w:color w:val="000000"/>
          <w:lang w:val="en-PH"/>
        </w:rPr>
        <w:t>Some institutions highlighted scholarship availability with homepage banners, bold statements, or other attention-grabbing features. This made scholarship information stand out as a key value, showing that financial support was an important part of what the institution offered.</w:t>
      </w:r>
    </w:p>
    <w:p w14:paraId="40DFAD27"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Scholarship messaging preceding tuition breakdowns</w:t>
      </w:r>
      <w:r w:rsidRPr="003D3691">
        <w:rPr>
          <w:rFonts w:ascii="Arial" w:hAnsi="Arial" w:cs="Arial"/>
          <w:color w:val="000000"/>
          <w:lang w:val="en-PH"/>
        </w:rPr>
        <w:br/>
        <w:t xml:space="preserve">In several global examples, scholarship information was shown before or next to tuition </w:t>
      </w:r>
      <w:r w:rsidRPr="003D3691">
        <w:rPr>
          <w:rFonts w:ascii="Arial" w:hAnsi="Arial" w:cs="Arial"/>
          <w:color w:val="000000"/>
          <w:lang w:val="en-PH"/>
        </w:rPr>
        <w:lastRenderedPageBreak/>
        <w:t>fee tables. This order helped put costs in context with available financial help, which could make the prices seem less overwhelming at first glance.</w:t>
      </w:r>
    </w:p>
    <w:p w14:paraId="60027B45" w14:textId="77777777" w:rsidR="003D3691" w:rsidRPr="003D3691" w:rsidRDefault="003D3691" w:rsidP="003D3691">
      <w:pPr>
        <w:numPr>
          <w:ilvl w:val="0"/>
          <w:numId w:val="39"/>
        </w:numPr>
        <w:tabs>
          <w:tab w:val="clear" w:pos="720"/>
        </w:tabs>
        <w:ind w:left="360"/>
        <w:textAlignment w:val="baseline"/>
        <w:rPr>
          <w:rFonts w:ascii="Arial" w:hAnsi="Arial" w:cs="Arial"/>
          <w:color w:val="000000"/>
          <w:lang w:val="en-PH"/>
        </w:rPr>
      </w:pPr>
      <w:r w:rsidRPr="003D3691">
        <w:rPr>
          <w:rFonts w:ascii="Arial" w:hAnsi="Arial" w:cs="Arial"/>
          <w:b/>
          <w:bCs/>
          <w:color w:val="000000"/>
          <w:lang w:val="en-PH"/>
        </w:rPr>
        <w:t>Explicit merit- or need-based framing</w:t>
      </w:r>
      <w:r w:rsidRPr="003D3691">
        <w:rPr>
          <w:rFonts w:ascii="Arial" w:hAnsi="Arial" w:cs="Arial"/>
          <w:color w:val="000000"/>
          <w:lang w:val="en-PH"/>
        </w:rPr>
        <w:br/>
        <w:t>Some institutions sorted scholarships by merit, need, or international status. This showed that their financial support systems were organized, not random, and that they could help students with different financial needs.</w:t>
      </w:r>
    </w:p>
    <w:p w14:paraId="5A3FF88E"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Taken together, these elements show that making scholarships visible helped soften the impact of tuition costs. Instead of showing tuition alone, global institutions often explained costs along with information about financial help. Research shows that clear and visible financial aid details make institutions seem more accessible and responsive (Davis et al., 2019).</w:t>
      </w:r>
    </w:p>
    <w:p w14:paraId="632F4E67" w14:textId="77777777" w:rsidR="003D3691" w:rsidRPr="003D3691" w:rsidRDefault="003D3691" w:rsidP="003D3691">
      <w:pPr>
        <w:rPr>
          <w:rFonts w:ascii="Times New Roman" w:hAnsi="Times New Roman"/>
          <w:sz w:val="24"/>
          <w:szCs w:val="24"/>
          <w:lang w:val="en-PH"/>
        </w:rPr>
      </w:pPr>
      <w:r w:rsidRPr="003D3691">
        <w:rPr>
          <w:rFonts w:ascii="Arial" w:hAnsi="Arial" w:cs="Arial"/>
          <w:color w:val="000000"/>
          <w:lang w:val="en-PH"/>
        </w:rPr>
        <w:t>The Philippine institution also shared scholarship information and gave clear descriptions of financial support. However, compared to some global examples, its scholarship messaging was less visually or rhetorically prominent. While the information was there, it was not often a main focus on tuition pages. Because of this, the scholarship messaging in the Philippine case seemed more informational than strongly highlighted.</w:t>
      </w:r>
    </w:p>
    <w:p w14:paraId="28DFB80F" w14:textId="77777777" w:rsidR="003D3691" w:rsidRDefault="003D3691" w:rsidP="003D3691">
      <w:pPr>
        <w:rPr>
          <w:rFonts w:ascii="Arial" w:hAnsi="Arial" w:cs="Arial"/>
          <w:color w:val="000000"/>
          <w:lang w:val="en-PH"/>
        </w:rPr>
      </w:pPr>
      <w:r w:rsidRPr="003D3691">
        <w:rPr>
          <w:rFonts w:ascii="Arial" w:hAnsi="Arial" w:cs="Arial"/>
          <w:color w:val="000000"/>
          <w:lang w:val="en-PH"/>
        </w:rPr>
        <w:t>Overall, the Scholarship Emphasis Frame showed some similarities between the global benchmark group and the Philippine institution. Both were transparent about structure, but they differed in how much they visually highlighted and integrated scholarship information into their messaging.</w:t>
      </w:r>
    </w:p>
    <w:p w14:paraId="29233424" w14:textId="77777777" w:rsidR="00743B1C" w:rsidRPr="00743B1C" w:rsidRDefault="00743B1C" w:rsidP="003D3691">
      <w:pPr>
        <w:rPr>
          <w:rFonts w:ascii="Arial" w:hAnsi="Arial" w:cs="Arial"/>
          <w:color w:val="000000"/>
          <w:sz w:val="22"/>
          <w:szCs w:val="22"/>
          <w:lang w:val="en-PH"/>
        </w:rPr>
      </w:pPr>
    </w:p>
    <w:p w14:paraId="4CA80C1C" w14:textId="77777777" w:rsidR="00743B1C" w:rsidRDefault="00743B1C" w:rsidP="00743B1C">
      <w:pPr>
        <w:rPr>
          <w:rFonts w:ascii="Arial" w:hAnsi="Arial" w:cs="Arial"/>
          <w:b/>
          <w:bCs/>
          <w:color w:val="000000"/>
          <w:sz w:val="22"/>
          <w:szCs w:val="22"/>
          <w:lang w:val="en-PH"/>
        </w:rPr>
      </w:pPr>
      <w:r w:rsidRPr="00743B1C">
        <w:rPr>
          <w:rFonts w:ascii="Arial" w:hAnsi="Arial" w:cs="Arial"/>
          <w:b/>
          <w:bCs/>
          <w:color w:val="000000"/>
          <w:sz w:val="22"/>
          <w:szCs w:val="22"/>
          <w:lang w:val="en-PH"/>
        </w:rPr>
        <w:t>3.5 Prestige/Quality Justification Frame</w:t>
      </w:r>
    </w:p>
    <w:p w14:paraId="690450DA" w14:textId="77777777" w:rsidR="00743B1C" w:rsidRPr="00743B1C" w:rsidRDefault="00743B1C" w:rsidP="00743B1C">
      <w:pPr>
        <w:rPr>
          <w:rFonts w:ascii="Times New Roman" w:hAnsi="Times New Roman"/>
          <w:sz w:val="24"/>
          <w:szCs w:val="24"/>
          <w:lang w:val="en-PH"/>
        </w:rPr>
      </w:pPr>
    </w:p>
    <w:p w14:paraId="65E574AC"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The Prestige/Quality Justification Frame was a common theme among the global benchmark group. Tuition was often explained in the context of institutional excellence, global reputation, and academic achievement. The main recurring elements were:</w:t>
      </w:r>
    </w:p>
    <w:p w14:paraId="2EB9D6E8"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References to QS rankings or global league tables</w:t>
      </w:r>
      <w:r w:rsidRPr="00743B1C">
        <w:rPr>
          <w:rFonts w:ascii="Arial" w:hAnsi="Arial" w:cs="Arial"/>
          <w:color w:val="000000"/>
          <w:lang w:val="en-PH"/>
        </w:rPr>
        <w:br/>
        <w:t>Many global universities mentioned their positions in international rankings, either on tuition pages or nearby profile sections. Sometimes, ranking badges or statements appeared close to tuition details, suggesting a link between price and institutional reputation.</w:t>
      </w:r>
    </w:p>
    <w:p w14:paraId="2A7655C1"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Accreditation and quality certifications</w:t>
      </w:r>
      <w:r w:rsidRPr="00743B1C">
        <w:rPr>
          <w:rFonts w:ascii="Arial" w:hAnsi="Arial" w:cs="Arial"/>
          <w:color w:val="000000"/>
          <w:lang w:val="en-PH"/>
        </w:rPr>
        <w:br/>
        <w:t>Institutions often highlighted their accreditation status, especially international or discipline-specific accreditations, in descriptions near tuition pages. These references served as formal signs of quality and helped reinforce legitimacy.</w:t>
      </w:r>
    </w:p>
    <w:p w14:paraId="18C48DEE"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International partnerships and global networks</w:t>
      </w:r>
      <w:r w:rsidRPr="00743B1C">
        <w:rPr>
          <w:rFonts w:ascii="Arial" w:hAnsi="Arial" w:cs="Arial"/>
          <w:color w:val="000000"/>
          <w:lang w:val="en-PH"/>
        </w:rPr>
        <w:br/>
        <w:t>Institutions often stressed their global partnerships, exchange programs, and international connections. These references placed tuition in the context of global experience and international opportunities.</w:t>
      </w:r>
    </w:p>
    <w:p w14:paraId="47859B82" w14:textId="77777777" w:rsidR="00743B1C" w:rsidRPr="00743B1C" w:rsidRDefault="00743B1C" w:rsidP="00743B1C">
      <w:pPr>
        <w:numPr>
          <w:ilvl w:val="0"/>
          <w:numId w:val="40"/>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Research achievements and faculty distinction</w:t>
      </w:r>
      <w:r w:rsidRPr="00743B1C">
        <w:rPr>
          <w:rFonts w:ascii="Arial" w:hAnsi="Arial" w:cs="Arial"/>
          <w:color w:val="000000"/>
          <w:lang w:val="en-PH"/>
        </w:rPr>
        <w:br/>
        <w:t>References to research output, faculty awards, and academic achievements were sometimes included in value statements near tuition information. This suggested that tuition costs were linked to academic excellence and reputation.</w:t>
      </w:r>
    </w:p>
    <w:p w14:paraId="6BAB9EF8"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Collectively, these elements show that global institutions did not treat tuition as merely a financial figure. Instead, they framed tuition within a system of prestige and outside validation. Research on global higher education shows that rankings and accreditation are important markers of credibility that shape reputation and how stakeholders see institutions (</w:t>
      </w:r>
      <w:proofErr w:type="spellStart"/>
      <w:r w:rsidRPr="00743B1C">
        <w:rPr>
          <w:rFonts w:ascii="Arial" w:hAnsi="Arial" w:cs="Arial"/>
          <w:color w:val="000000"/>
          <w:lang w:val="en-PH"/>
        </w:rPr>
        <w:t>Hazelkorn</w:t>
      </w:r>
      <w:proofErr w:type="spellEnd"/>
      <w:r w:rsidRPr="00743B1C">
        <w:rPr>
          <w:rFonts w:ascii="Arial" w:hAnsi="Arial" w:cs="Arial"/>
          <w:color w:val="000000"/>
          <w:lang w:val="en-PH"/>
        </w:rPr>
        <w:t xml:space="preserve">, 2018; </w:t>
      </w:r>
      <w:proofErr w:type="spellStart"/>
      <w:r w:rsidRPr="00743B1C">
        <w:rPr>
          <w:rFonts w:ascii="Arial" w:hAnsi="Arial" w:cs="Arial"/>
          <w:color w:val="000000"/>
          <w:lang w:val="en-PH"/>
        </w:rPr>
        <w:t>Marginson</w:t>
      </w:r>
      <w:proofErr w:type="spellEnd"/>
      <w:r w:rsidRPr="00743B1C">
        <w:rPr>
          <w:rFonts w:ascii="Arial" w:hAnsi="Arial" w:cs="Arial"/>
          <w:color w:val="000000"/>
          <w:lang w:val="en-PH"/>
        </w:rPr>
        <w:t>, 2022). By linking tuition to these prestige signals, universities justified their prices through signs of quality.</w:t>
      </w:r>
    </w:p>
    <w:p w14:paraId="31FE7AA5"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In contrast, the Philippine institution included fewer references to rankings or prestige on its tuition pages. While achievements might have been shown elsewhere on the website, they were not often placed near tuition information. As a result, tuition details seemed more separate from prestige compared to the global group.</w:t>
      </w:r>
    </w:p>
    <w:p w14:paraId="0ECB5D6D" w14:textId="597C7B13" w:rsidR="00743B1C" w:rsidRDefault="00743B1C" w:rsidP="00743B1C">
      <w:pPr>
        <w:rPr>
          <w:rFonts w:ascii="Times New Roman" w:hAnsi="Times New Roman"/>
          <w:sz w:val="24"/>
          <w:szCs w:val="24"/>
          <w:lang w:val="en-PH"/>
        </w:rPr>
      </w:pPr>
      <w:r w:rsidRPr="00743B1C">
        <w:rPr>
          <w:rFonts w:ascii="Arial" w:hAnsi="Arial" w:cs="Arial"/>
          <w:color w:val="000000"/>
          <w:lang w:val="en-PH"/>
        </w:rPr>
        <w:lastRenderedPageBreak/>
        <w:t>Overall, the Prestige/Quality Justification Frame showed a clear difference. Global institutions consistently linked tuition to outside validation and academic distinction, while the Philippine case took a more straightforward, informational approach with less focus on prestige.</w:t>
      </w:r>
    </w:p>
    <w:p w14:paraId="17EF39FA" w14:textId="77777777" w:rsidR="00743B1C" w:rsidRPr="00743B1C" w:rsidRDefault="00743B1C" w:rsidP="00743B1C">
      <w:pPr>
        <w:rPr>
          <w:rFonts w:ascii="Arial" w:hAnsi="Arial" w:cs="Arial"/>
          <w:sz w:val="22"/>
          <w:szCs w:val="22"/>
          <w:lang w:val="en-PH"/>
        </w:rPr>
      </w:pPr>
    </w:p>
    <w:p w14:paraId="381C153C" w14:textId="77777777" w:rsidR="00743B1C" w:rsidRPr="00743B1C" w:rsidRDefault="00743B1C" w:rsidP="00743B1C">
      <w:pPr>
        <w:rPr>
          <w:rFonts w:ascii="Times New Roman" w:hAnsi="Times New Roman"/>
          <w:sz w:val="24"/>
          <w:szCs w:val="24"/>
          <w:lang w:val="en-PH"/>
        </w:rPr>
      </w:pPr>
      <w:r w:rsidRPr="00743B1C">
        <w:rPr>
          <w:rFonts w:ascii="Arial" w:hAnsi="Arial" w:cs="Arial"/>
          <w:b/>
          <w:bCs/>
          <w:color w:val="000000"/>
          <w:sz w:val="22"/>
          <w:szCs w:val="22"/>
          <w:lang w:val="en-PH"/>
        </w:rPr>
        <w:t>3.6 Transparency Frame</w:t>
      </w:r>
    </w:p>
    <w:p w14:paraId="28678347" w14:textId="77777777" w:rsidR="00743B1C" w:rsidRPr="00743B1C" w:rsidRDefault="00743B1C" w:rsidP="00743B1C">
      <w:pPr>
        <w:rPr>
          <w:rFonts w:ascii="Arial" w:hAnsi="Arial" w:cs="Arial"/>
          <w:sz w:val="22"/>
          <w:szCs w:val="22"/>
          <w:lang w:val="en-PH"/>
        </w:rPr>
      </w:pPr>
    </w:p>
    <w:p w14:paraId="26240486"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The Transparency Frame appeared in all seven institutions, making it the most consistently observed category. While each institution provided structured tuition disclosures, the emphasis and presentation of transparency varied between the global benchmark group and the Philippine institution. The following recurring elements were identified:</w:t>
      </w:r>
    </w:p>
    <w:p w14:paraId="4ECE5854"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Itemized fee breakdowns</w:t>
      </w:r>
      <w:r w:rsidRPr="00743B1C">
        <w:rPr>
          <w:rFonts w:ascii="Arial" w:hAnsi="Arial" w:cs="Arial"/>
          <w:color w:val="000000"/>
          <w:lang w:val="en-PH"/>
        </w:rPr>
        <w:br/>
        <w:t>All institutions presented tuition costs in segmented formats, distinguishing base tuition from miscellaneous, laboratory, technology, or administrative fees. In global universities, these breakdowns were usually included within broader value-oriented narratives, presenting transparency as an aspect of institutional professionalism rather than the main focus.</w:t>
      </w:r>
    </w:p>
    <w:p w14:paraId="5D1F6B93"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Semester-based or program-based cost calculations</w:t>
      </w:r>
      <w:r w:rsidRPr="00743B1C">
        <w:rPr>
          <w:rFonts w:ascii="Arial" w:hAnsi="Arial" w:cs="Arial"/>
          <w:color w:val="000000"/>
          <w:lang w:val="en-PH"/>
        </w:rPr>
        <w:br/>
        <w:t>Tuition was often organized by semester, academic year, or full program duration. Several global institutions provided estimated total program costs, helping prospective students anticipate long-term financial commitments. This structured approach reduced ambiguity and reinforced institutional clarity.</w:t>
      </w:r>
    </w:p>
    <w:p w14:paraId="196ED72C"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Disclosure of additional or incidental costs</w:t>
      </w:r>
      <w:r w:rsidRPr="00743B1C">
        <w:rPr>
          <w:rFonts w:ascii="Arial" w:hAnsi="Arial" w:cs="Arial"/>
          <w:color w:val="000000"/>
          <w:lang w:val="en-PH"/>
        </w:rPr>
        <w:br/>
        <w:t>Many institutions explicitly identified supplementary expenses, such as registration fees, insurance, or other ancillary charges. In global cases, these disclosures were included in detailed cost tables, demonstrating comprehensive financial communication.</w:t>
      </w:r>
    </w:p>
    <w:p w14:paraId="4C41749F" w14:textId="77777777" w:rsidR="00743B1C" w:rsidRPr="00743B1C" w:rsidRDefault="00743B1C" w:rsidP="00743B1C">
      <w:pPr>
        <w:numPr>
          <w:ilvl w:val="0"/>
          <w:numId w:val="41"/>
        </w:numPr>
        <w:tabs>
          <w:tab w:val="clear" w:pos="720"/>
        </w:tabs>
        <w:ind w:left="360"/>
        <w:textAlignment w:val="baseline"/>
        <w:rPr>
          <w:rFonts w:ascii="Arial" w:hAnsi="Arial" w:cs="Arial"/>
          <w:color w:val="000000"/>
          <w:lang w:val="en-PH"/>
        </w:rPr>
      </w:pPr>
      <w:r w:rsidRPr="00743B1C">
        <w:rPr>
          <w:rFonts w:ascii="Arial" w:hAnsi="Arial" w:cs="Arial"/>
          <w:b/>
          <w:bCs/>
          <w:color w:val="000000"/>
          <w:lang w:val="en-PH"/>
        </w:rPr>
        <w:t>Downloadable tuition guides or cost estimation tools</w:t>
      </w:r>
      <w:r w:rsidRPr="00743B1C">
        <w:rPr>
          <w:rFonts w:ascii="Arial" w:hAnsi="Arial" w:cs="Arial"/>
          <w:color w:val="000000"/>
          <w:lang w:val="en-PH"/>
        </w:rPr>
        <w:br/>
        <w:t>Some global universities offered downloadable tuition guides or interactive cost calculators. These features enhanced transparency by supporting financial planning.</w:t>
      </w:r>
    </w:p>
    <w:p w14:paraId="0623D61A"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Although transparency was present in all cases, its rhetorical function varied. In the global benchmark group, transparency was often paired with investment, prestige, or employability framing. Detailed cost disclosures appeared alongside narratives highlighting institutional value or future return, with transparency serving as a foundation for persuasive messaging.</w:t>
      </w:r>
    </w:p>
    <w:p w14:paraId="27D94ADC"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In contrast, the Philippine institution placed transparency at the center of its tuition communication. Detailed fee disclosures were clearly presented but were less often paired with investment or prestige narratives. As a result, transparency served as the dominant frame rather than a supporting credibility mechanism.</w:t>
      </w:r>
    </w:p>
    <w:p w14:paraId="5619A23A" w14:textId="77777777" w:rsidR="00743B1C" w:rsidRPr="00743B1C" w:rsidRDefault="00743B1C" w:rsidP="00743B1C">
      <w:pPr>
        <w:rPr>
          <w:rFonts w:ascii="Times New Roman" w:hAnsi="Times New Roman"/>
          <w:sz w:val="24"/>
          <w:szCs w:val="24"/>
          <w:lang w:val="en-PH"/>
        </w:rPr>
      </w:pPr>
      <w:r w:rsidRPr="00743B1C">
        <w:rPr>
          <w:rFonts w:ascii="Arial" w:hAnsi="Arial" w:cs="Arial"/>
          <w:color w:val="000000"/>
          <w:lang w:val="en-PH"/>
        </w:rPr>
        <w:t>Recent research on digital transparency in higher education shows that structured and accessible online disclosure enhances institutional credibility and stakeholder trust, while differences in emphasis reflect varying communication strategies (Ramírez &amp; Montero, 2024). In this study, transparency served as a foundational credibility signal in all cases, though its use ranged from being strategically layered with value messaging to being presented mainly as procedural compliance.</w:t>
      </w:r>
    </w:p>
    <w:p w14:paraId="30716FC6" w14:textId="77777777" w:rsidR="00743B1C" w:rsidRPr="00743B1C" w:rsidRDefault="00743B1C" w:rsidP="00743B1C">
      <w:pPr>
        <w:rPr>
          <w:rFonts w:ascii="Arial" w:hAnsi="Arial" w:cs="Arial"/>
          <w:sz w:val="22"/>
          <w:szCs w:val="22"/>
          <w:lang w:val="en-PH"/>
        </w:rPr>
      </w:pPr>
    </w:p>
    <w:p w14:paraId="668FA8BF" w14:textId="77777777" w:rsidR="001228E2" w:rsidRPr="001228E2" w:rsidRDefault="001228E2" w:rsidP="001228E2">
      <w:pPr>
        <w:rPr>
          <w:rFonts w:ascii="Times New Roman" w:hAnsi="Times New Roman"/>
          <w:sz w:val="24"/>
          <w:szCs w:val="24"/>
          <w:lang w:val="en-PH"/>
        </w:rPr>
      </w:pPr>
      <w:r w:rsidRPr="001228E2">
        <w:rPr>
          <w:rFonts w:ascii="Arial" w:hAnsi="Arial" w:cs="Arial"/>
          <w:b/>
          <w:bCs/>
          <w:color w:val="000000"/>
          <w:sz w:val="22"/>
          <w:szCs w:val="22"/>
          <w:lang w:val="en-PH"/>
        </w:rPr>
        <w:t>3.7 Outcome/Employability Frame</w:t>
      </w:r>
    </w:p>
    <w:p w14:paraId="30499A67" w14:textId="77777777" w:rsidR="001228E2" w:rsidRPr="001228E2" w:rsidRDefault="001228E2" w:rsidP="001228E2">
      <w:pPr>
        <w:rPr>
          <w:rFonts w:ascii="Arial" w:hAnsi="Arial" w:cs="Arial"/>
          <w:sz w:val="22"/>
          <w:szCs w:val="22"/>
          <w:lang w:val="en-PH"/>
        </w:rPr>
      </w:pPr>
    </w:p>
    <w:p w14:paraId="12B5344B"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Several global benchmark institutions used the Outcome/Employability Frame, connecting tuition information to possible career outcomes or pathways instead of focusing only on cost. In these examples, tuition was described as more than just an educational expense—it was seen as a step toward professional opportunities. The main recurring elements were:</w:t>
      </w:r>
    </w:p>
    <w:p w14:paraId="4CA3D0AD"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Graduate employment statistics</w:t>
      </w:r>
      <w:r w:rsidRPr="001228E2">
        <w:rPr>
          <w:rFonts w:ascii="Arial" w:hAnsi="Arial" w:cs="Arial"/>
          <w:color w:val="000000"/>
          <w:lang w:val="en-PH"/>
        </w:rPr>
        <w:br/>
        <w:t xml:space="preserve">Many global universities included outcome indicators like employment rates or career </w:t>
      </w:r>
      <w:r w:rsidRPr="001228E2">
        <w:rPr>
          <w:rFonts w:ascii="Arial" w:hAnsi="Arial" w:cs="Arial"/>
          <w:color w:val="000000"/>
          <w:lang w:val="en-PH"/>
        </w:rPr>
        <w:lastRenderedPageBreak/>
        <w:t>placement statistics near tuition information. These statistics helped put the cost in context by showing how tuition could lead to post-graduation success, suggesting that paying tuition supports a positive career path.</w:t>
      </w:r>
    </w:p>
    <w:p w14:paraId="438955DD"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Salary outcomes or earnings references</w:t>
      </w:r>
      <w:r w:rsidRPr="001228E2">
        <w:rPr>
          <w:rFonts w:ascii="Arial" w:hAnsi="Arial" w:cs="Arial"/>
          <w:color w:val="000000"/>
          <w:lang w:val="en-PH"/>
        </w:rPr>
        <w:br/>
        <w:t>Some institutions mentioned average starting salaries or typical earnings for graduates of certain programs. By doing this, they connected tuition costs to possible future financial benefits, supporting the idea that paying tuition now could lead to economic returns later.</w:t>
      </w:r>
    </w:p>
    <w:p w14:paraId="06AFD109"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Internship and experiential learning pathways</w:t>
      </w:r>
      <w:r w:rsidRPr="001228E2">
        <w:rPr>
          <w:rFonts w:ascii="Arial" w:hAnsi="Arial" w:cs="Arial"/>
          <w:color w:val="000000"/>
          <w:lang w:val="en-PH"/>
        </w:rPr>
        <w:br/>
        <w:t>Tuition pages often pointed out organized opportunities for internships, cooperative education, or industry placements. These experiences were described as key parts of the education offered, suggesting that tuition helps students access real-world work settings that improve their employability.</w:t>
      </w:r>
    </w:p>
    <w:p w14:paraId="21F30044" w14:textId="77777777" w:rsidR="001228E2" w:rsidRPr="001228E2" w:rsidRDefault="001228E2" w:rsidP="001228E2">
      <w:pPr>
        <w:numPr>
          <w:ilvl w:val="0"/>
          <w:numId w:val="42"/>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Industry collaborations and career support services</w:t>
      </w:r>
      <w:r w:rsidRPr="001228E2">
        <w:rPr>
          <w:rFonts w:ascii="Arial" w:hAnsi="Arial" w:cs="Arial"/>
          <w:color w:val="000000"/>
          <w:lang w:val="en-PH"/>
        </w:rPr>
        <w:br/>
        <w:t>Some global universities mentioned formal partnerships with employers, advisory boards, or dedicated career services in their tuition communications. These references showed that the university’s support systems are designed to help students enter the job market and develop their careers over time.</w:t>
      </w:r>
    </w:p>
    <w:p w14:paraId="025DFAD0"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Taken together, these elements show that global institutions did not treat tuition only as a price. Instead, they presented it as part of a system that connects students to career opportunities and financial returns. This approach matches research that finds a focus on employability and clear outcomes helps graduates prepare for the job market (Scandurra &amp; Zanini, 2024). By including employability indicators in tuition information, these universities strengthened the idea that tuition is an investment with real career benefits.</w:t>
      </w:r>
    </w:p>
    <w:p w14:paraId="6A6BA353"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At the Philippine institution, employment statistics and clear outcome indicators were not often included on tuition pages. Although general career development information may have been available elsewhere on the university’s website, it was not usually part of tuition communications like it was at many global universities. Because of this, the Outcome/Employability Frame was less noticeable, showing a different focus on post-graduation economic return in tuition messaging.</w:t>
      </w:r>
    </w:p>
    <w:p w14:paraId="3E6595F9" w14:textId="77777777" w:rsidR="001228E2" w:rsidRPr="001228E2" w:rsidRDefault="001228E2" w:rsidP="001228E2">
      <w:pPr>
        <w:rPr>
          <w:rFonts w:ascii="Arial" w:hAnsi="Arial" w:cs="Arial"/>
          <w:sz w:val="22"/>
          <w:szCs w:val="22"/>
          <w:lang w:val="en-PH"/>
        </w:rPr>
      </w:pPr>
    </w:p>
    <w:p w14:paraId="5A3754BC" w14:textId="77777777" w:rsidR="001228E2" w:rsidRPr="001228E2" w:rsidRDefault="001228E2" w:rsidP="001228E2">
      <w:pPr>
        <w:rPr>
          <w:rFonts w:ascii="Times New Roman" w:hAnsi="Times New Roman"/>
          <w:sz w:val="24"/>
          <w:szCs w:val="24"/>
          <w:lang w:val="en-PH"/>
        </w:rPr>
      </w:pPr>
      <w:r w:rsidRPr="001228E2">
        <w:rPr>
          <w:rFonts w:ascii="Arial" w:hAnsi="Arial" w:cs="Arial"/>
          <w:b/>
          <w:bCs/>
          <w:color w:val="000000"/>
          <w:sz w:val="22"/>
          <w:szCs w:val="22"/>
          <w:lang w:val="en-PH"/>
        </w:rPr>
        <w:t>3.8 Call-to-Action Frame</w:t>
      </w:r>
    </w:p>
    <w:p w14:paraId="17BAA3FD" w14:textId="77777777" w:rsidR="001228E2" w:rsidRPr="001228E2" w:rsidRDefault="001228E2" w:rsidP="001228E2">
      <w:pPr>
        <w:rPr>
          <w:rFonts w:ascii="Arial" w:hAnsi="Arial" w:cs="Arial"/>
          <w:sz w:val="22"/>
          <w:szCs w:val="22"/>
          <w:lang w:val="en-PH"/>
        </w:rPr>
      </w:pPr>
    </w:p>
    <w:p w14:paraId="6E31E5C4"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Most leading global institutions used a Call-to-Action Frame. Instead of making tuition pages just sources of information, many universities added prompts to help prospective students take the next step. The main elements found were:</w:t>
      </w:r>
    </w:p>
    <w:p w14:paraId="0B488DA3"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“Apply now” or direct application portal links</w:t>
      </w:r>
      <w:r w:rsidRPr="001228E2">
        <w:rPr>
          <w:rFonts w:ascii="Arial" w:hAnsi="Arial" w:cs="Arial"/>
          <w:color w:val="000000"/>
          <w:lang w:val="en-PH"/>
        </w:rPr>
        <w:br/>
        <w:t>Many global universities placed clear application buttons on or near tuition information. These links made it easier for students to move quickly from checking costs to starting an application. This shows that tuition pages are meant to help students move forward in the enrollment process.</w:t>
      </w:r>
    </w:p>
    <w:p w14:paraId="796E5C3C"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Enrollment deadlines and urgency cues</w:t>
      </w:r>
      <w:r w:rsidRPr="001228E2">
        <w:rPr>
          <w:rFonts w:ascii="Arial" w:hAnsi="Arial" w:cs="Arial"/>
          <w:color w:val="000000"/>
          <w:lang w:val="en-PH"/>
        </w:rPr>
        <w:br/>
        <w:t>Some institutions added clear reminders about application deadlines, upcoming intakes, or submission dates right in the tuition sections. By showing cost information with these time cues, they encouraged students to act instead of putting off their decisions.</w:t>
      </w:r>
    </w:p>
    <w:p w14:paraId="19D56894"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Navigation to admissions and inquiry forms</w:t>
      </w:r>
      <w:r w:rsidRPr="001228E2">
        <w:rPr>
          <w:rFonts w:ascii="Arial" w:hAnsi="Arial" w:cs="Arial"/>
          <w:color w:val="000000"/>
          <w:lang w:val="en-PH"/>
        </w:rPr>
        <w:br/>
        <w:t>Tuition pages often included clear ways to contact admissions, ask for more information, or book a consultation. These prompts turned tuition pages into places for interaction, not just sources of information.</w:t>
      </w:r>
    </w:p>
    <w:p w14:paraId="2B19B621" w14:textId="77777777" w:rsidR="001228E2" w:rsidRPr="001228E2" w:rsidRDefault="001228E2" w:rsidP="0019237F">
      <w:pPr>
        <w:numPr>
          <w:ilvl w:val="0"/>
          <w:numId w:val="43"/>
        </w:numPr>
        <w:tabs>
          <w:tab w:val="clear" w:pos="720"/>
        </w:tabs>
        <w:ind w:left="360"/>
        <w:textAlignment w:val="baseline"/>
        <w:rPr>
          <w:rFonts w:ascii="Arial" w:hAnsi="Arial" w:cs="Arial"/>
          <w:color w:val="000000"/>
          <w:lang w:val="en-PH"/>
        </w:rPr>
      </w:pPr>
      <w:r w:rsidRPr="001228E2">
        <w:rPr>
          <w:rFonts w:ascii="Arial" w:hAnsi="Arial" w:cs="Arial"/>
          <w:b/>
          <w:bCs/>
          <w:color w:val="000000"/>
          <w:lang w:val="en-PH"/>
        </w:rPr>
        <w:t>Event invitations and recruitment engagement links</w:t>
      </w:r>
      <w:r w:rsidRPr="001228E2">
        <w:rPr>
          <w:rFonts w:ascii="Arial" w:hAnsi="Arial" w:cs="Arial"/>
          <w:color w:val="000000"/>
          <w:lang w:val="en-PH"/>
        </w:rPr>
        <w:br/>
        <w:t>In many global examples, tuition information linked to open days, virtual tours, or info sessions. These invitations made the institution seem more accessible and encouraged students to get involved beyond just comparing costs.</w:t>
      </w:r>
    </w:p>
    <w:p w14:paraId="146CEAF4"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lastRenderedPageBreak/>
        <w:t>Together, these features show that global institutions design tuition pages to help students move from just reading information to taking action. Research on website design shows that well-placed call-to-action elements can boost user engagement and conversion by making next steps clear and reducing confusion (Tanase et al., 2025). While the study focused on fitness websites, its findings about CTA placement and clarity also apply to higher education, where tuition pages are key decision points.</w:t>
      </w:r>
    </w:p>
    <w:p w14:paraId="317E59C0" w14:textId="77777777" w:rsidR="001228E2" w:rsidRPr="001228E2" w:rsidRDefault="001228E2" w:rsidP="001228E2">
      <w:pPr>
        <w:rPr>
          <w:rFonts w:ascii="Times New Roman" w:hAnsi="Times New Roman"/>
          <w:sz w:val="24"/>
          <w:szCs w:val="24"/>
          <w:lang w:val="en-PH"/>
        </w:rPr>
      </w:pPr>
      <w:r w:rsidRPr="001228E2">
        <w:rPr>
          <w:rFonts w:ascii="Arial" w:hAnsi="Arial" w:cs="Arial"/>
          <w:color w:val="000000"/>
          <w:lang w:val="en-PH"/>
        </w:rPr>
        <w:t>In contrast, the Philippine institution had fewer call-to-action prompts on its tuition pages. Admissions information was found elsewhere on the website, but tuition content rarely included direct application links or urgency cues. This made the tuition pages more informational than focused on encouraging applications.</w:t>
      </w:r>
    </w:p>
    <w:p w14:paraId="2E301FC9" w14:textId="091A377E" w:rsidR="001228E2" w:rsidRDefault="001228E2" w:rsidP="001228E2">
      <w:pPr>
        <w:rPr>
          <w:rFonts w:ascii="Arial" w:hAnsi="Arial" w:cs="Arial"/>
          <w:color w:val="000000"/>
          <w:lang w:val="en-PH"/>
        </w:rPr>
      </w:pPr>
      <w:r w:rsidRPr="001228E2">
        <w:rPr>
          <w:rFonts w:ascii="Arial" w:hAnsi="Arial" w:cs="Arial"/>
          <w:color w:val="000000"/>
          <w:lang w:val="en-PH"/>
        </w:rPr>
        <w:t>Overall, the Call-to-Action Frame showed differences in how tuition pages are used for recruitment. Global institutions included more behavioral prompts in their tuition pages, while the Philippine example used fewer action-oriented elements</w:t>
      </w:r>
      <w:r w:rsidR="00E527EA">
        <w:rPr>
          <w:rFonts w:ascii="Arial" w:hAnsi="Arial" w:cs="Arial"/>
          <w:color w:val="000000"/>
          <w:lang w:val="en-PH"/>
        </w:rPr>
        <w:t>.</w:t>
      </w:r>
    </w:p>
    <w:p w14:paraId="54A078B8" w14:textId="77777777" w:rsidR="00E527EA" w:rsidRPr="00E527EA" w:rsidRDefault="00E527EA" w:rsidP="001228E2">
      <w:pPr>
        <w:rPr>
          <w:rFonts w:ascii="Arial" w:hAnsi="Arial" w:cs="Arial"/>
          <w:color w:val="000000"/>
          <w:sz w:val="22"/>
          <w:szCs w:val="22"/>
          <w:lang w:val="en-PH"/>
        </w:rPr>
      </w:pPr>
    </w:p>
    <w:p w14:paraId="457877E3" w14:textId="77777777" w:rsidR="00E527EA" w:rsidRPr="00E527EA" w:rsidRDefault="00E527EA" w:rsidP="00E527EA">
      <w:pPr>
        <w:rPr>
          <w:rFonts w:ascii="Times New Roman" w:hAnsi="Times New Roman"/>
          <w:sz w:val="24"/>
          <w:szCs w:val="24"/>
          <w:lang w:val="en-PH"/>
        </w:rPr>
      </w:pPr>
      <w:r w:rsidRPr="00E527EA">
        <w:rPr>
          <w:rFonts w:ascii="Arial" w:hAnsi="Arial" w:cs="Arial"/>
          <w:b/>
          <w:bCs/>
          <w:color w:val="000000"/>
          <w:sz w:val="22"/>
          <w:szCs w:val="22"/>
          <w:lang w:val="en-PH"/>
        </w:rPr>
        <w:t>3.9 Cross-Case Comparative Patterns in Tuition Framing</w:t>
      </w:r>
    </w:p>
    <w:p w14:paraId="399C14E2" w14:textId="77777777" w:rsidR="00E527EA" w:rsidRPr="00E527EA" w:rsidRDefault="00E527EA" w:rsidP="00E527EA">
      <w:pPr>
        <w:rPr>
          <w:rFonts w:ascii="Arial" w:hAnsi="Arial" w:cs="Arial"/>
          <w:sz w:val="22"/>
          <w:szCs w:val="22"/>
          <w:lang w:val="en-PH"/>
        </w:rPr>
      </w:pPr>
    </w:p>
    <w:p w14:paraId="33D9FEA4" w14:textId="77777777" w:rsidR="00E527EA" w:rsidRPr="00E527EA" w:rsidRDefault="00E527EA" w:rsidP="00E527EA">
      <w:pPr>
        <w:rPr>
          <w:rFonts w:ascii="Times New Roman" w:hAnsi="Times New Roman"/>
          <w:sz w:val="24"/>
          <w:szCs w:val="24"/>
          <w:lang w:val="en-PH"/>
        </w:rPr>
      </w:pPr>
      <w:r w:rsidRPr="00E527EA">
        <w:rPr>
          <w:rFonts w:ascii="Arial" w:hAnsi="Arial" w:cs="Arial"/>
          <w:color w:val="000000"/>
          <w:lang w:val="en-PH"/>
        </w:rPr>
        <w:t>Overall, the earlier analyses show that all institutions shared tuition information, but the way they presented it differed in how strongly and strategically they framed it. The global benchmark group often combined tuition details with ideas about investment, prestige, employability, and calls to action. In contrast, the Philippine institution focused more on being transparent and accessible, but included fewer elements that highlighted value or encouraged specific behaviors.</w:t>
      </w:r>
    </w:p>
    <w:p w14:paraId="4D0A9991" w14:textId="77777777" w:rsidR="00E527EA" w:rsidRDefault="00E527EA" w:rsidP="00E527EA">
      <w:pPr>
        <w:rPr>
          <w:rFonts w:ascii="Arial" w:hAnsi="Arial" w:cs="Arial"/>
          <w:color w:val="000000"/>
          <w:lang w:val="en-PH"/>
        </w:rPr>
      </w:pPr>
      <w:r w:rsidRPr="00E527EA">
        <w:rPr>
          <w:rFonts w:ascii="Arial" w:hAnsi="Arial" w:cs="Arial"/>
          <w:color w:val="000000"/>
          <w:lang w:val="en-PH"/>
        </w:rPr>
        <w:t>Table 3 brings together these patterns and highlights where the global benchmark group and the Philippine case differ in how they frame tuition. It summarizes how often and how strongly each group used the different tuition framing categories.</w:t>
      </w:r>
    </w:p>
    <w:p w14:paraId="655A3F3C" w14:textId="77777777" w:rsidR="00E527EA" w:rsidRPr="00953E26" w:rsidRDefault="00E527EA" w:rsidP="00E527EA">
      <w:pPr>
        <w:rPr>
          <w:rFonts w:ascii="Arial" w:hAnsi="Arial" w:cs="Arial"/>
          <w:color w:val="000000"/>
          <w:sz w:val="22"/>
          <w:szCs w:val="22"/>
          <w:lang w:val="en-PH"/>
        </w:rPr>
      </w:pPr>
    </w:p>
    <w:p w14:paraId="0C57EFB4" w14:textId="7247BA92" w:rsidR="00E527EA" w:rsidRPr="00E527EA" w:rsidRDefault="00E527EA" w:rsidP="00E527EA">
      <w:pPr>
        <w:jc w:val="center"/>
        <w:rPr>
          <w:rFonts w:ascii="Times New Roman" w:hAnsi="Times New Roman"/>
          <w:sz w:val="24"/>
          <w:szCs w:val="24"/>
          <w:lang w:val="en-PH"/>
        </w:rPr>
      </w:pPr>
      <w:r>
        <w:rPr>
          <w:rFonts w:ascii="Arial" w:hAnsi="Arial" w:cs="Arial"/>
          <w:b/>
          <w:bCs/>
          <w:color w:val="000000"/>
        </w:rPr>
        <w:t>Table 3. Presence and Relative Emphasis of Tuition Framing Categories</w:t>
      </w:r>
    </w:p>
    <w:p w14:paraId="2AB22E29" w14:textId="77777777" w:rsidR="00E527EA" w:rsidRPr="00953E26" w:rsidRDefault="00E527EA" w:rsidP="00E527EA">
      <w:pPr>
        <w:rPr>
          <w:rFonts w:ascii="Arial" w:hAnsi="Arial" w:cs="Arial"/>
          <w:sz w:val="22"/>
          <w:szCs w:val="22"/>
          <w:lang w:val="en-PH"/>
        </w:rPr>
      </w:pPr>
    </w:p>
    <w:tbl>
      <w:tblPr>
        <w:tblW w:w="96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20"/>
        <w:gridCol w:w="2790"/>
        <w:gridCol w:w="2340"/>
        <w:gridCol w:w="1980"/>
      </w:tblGrid>
      <w:tr w:rsidR="00E527EA" w:rsidRPr="00DC3180" w14:paraId="0BC670C4" w14:textId="610C7D21" w:rsidTr="005C6ECB">
        <w:trPr>
          <w:jc w:val="center"/>
        </w:trPr>
        <w:tc>
          <w:tcPr>
            <w:tcW w:w="2520" w:type="dxa"/>
            <w:tcBorders>
              <w:bottom w:val="single" w:sz="4" w:space="0" w:color="auto"/>
            </w:tcBorders>
            <w:vAlign w:val="center"/>
          </w:tcPr>
          <w:p w14:paraId="0E25E01B" w14:textId="0CF8D6DF" w:rsidR="00E527EA" w:rsidRPr="00DC3180" w:rsidRDefault="00E527EA" w:rsidP="00E527EA">
            <w:pPr>
              <w:jc w:val="both"/>
              <w:rPr>
                <w:rFonts w:ascii="Arial" w:hAnsi="Arial"/>
                <w:b/>
                <w:bCs/>
              </w:rPr>
            </w:pPr>
            <w:r>
              <w:rPr>
                <w:rFonts w:ascii="Arial" w:hAnsi="Arial" w:cs="Arial"/>
                <w:b/>
                <w:bCs/>
                <w:color w:val="000000"/>
              </w:rPr>
              <w:t>Framing Category</w:t>
            </w:r>
          </w:p>
        </w:tc>
        <w:tc>
          <w:tcPr>
            <w:tcW w:w="2790" w:type="dxa"/>
            <w:tcBorders>
              <w:bottom w:val="single" w:sz="4" w:space="0" w:color="auto"/>
            </w:tcBorders>
            <w:vAlign w:val="center"/>
          </w:tcPr>
          <w:p w14:paraId="5E1316AB" w14:textId="5CB8CD58" w:rsidR="00E527EA" w:rsidRPr="00DC3180" w:rsidRDefault="00E527EA" w:rsidP="00E527EA">
            <w:pPr>
              <w:rPr>
                <w:rFonts w:ascii="Arial" w:hAnsi="Arial"/>
                <w:b/>
                <w:bCs/>
              </w:rPr>
            </w:pPr>
            <w:r>
              <w:rPr>
                <w:rFonts w:ascii="Arial" w:hAnsi="Arial" w:cs="Arial"/>
                <w:b/>
                <w:bCs/>
                <w:color w:val="000000"/>
              </w:rPr>
              <w:t>Global Benchmark Group</w:t>
            </w:r>
          </w:p>
        </w:tc>
        <w:tc>
          <w:tcPr>
            <w:tcW w:w="2340" w:type="dxa"/>
            <w:tcBorders>
              <w:bottom w:val="single" w:sz="4" w:space="0" w:color="auto"/>
            </w:tcBorders>
            <w:vAlign w:val="center"/>
          </w:tcPr>
          <w:p w14:paraId="1D597411" w14:textId="01C2015B" w:rsidR="00E527EA" w:rsidRPr="00DC3180" w:rsidRDefault="00E527EA" w:rsidP="00E527EA">
            <w:pPr>
              <w:jc w:val="both"/>
              <w:rPr>
                <w:rFonts w:ascii="Arial" w:hAnsi="Arial"/>
                <w:b/>
                <w:bCs/>
              </w:rPr>
            </w:pPr>
            <w:r>
              <w:rPr>
                <w:rFonts w:ascii="Arial" w:hAnsi="Arial" w:cs="Arial"/>
                <w:b/>
                <w:bCs/>
                <w:color w:val="000000"/>
              </w:rPr>
              <w:t>Philippine Institution</w:t>
            </w:r>
          </w:p>
        </w:tc>
        <w:tc>
          <w:tcPr>
            <w:tcW w:w="1980" w:type="dxa"/>
            <w:tcBorders>
              <w:bottom w:val="single" w:sz="4" w:space="0" w:color="auto"/>
            </w:tcBorders>
            <w:vAlign w:val="center"/>
          </w:tcPr>
          <w:p w14:paraId="3729519A" w14:textId="0ABAB749" w:rsidR="00E527EA" w:rsidRDefault="00E527EA" w:rsidP="00E527EA">
            <w:pPr>
              <w:jc w:val="both"/>
              <w:rPr>
                <w:rFonts w:ascii="Arial" w:hAnsi="Arial" w:cs="Arial"/>
                <w:b/>
                <w:bCs/>
                <w:color w:val="000000"/>
              </w:rPr>
            </w:pPr>
            <w:r>
              <w:rPr>
                <w:rFonts w:ascii="Arial" w:hAnsi="Arial" w:cs="Arial"/>
                <w:b/>
                <w:bCs/>
                <w:color w:val="000000"/>
              </w:rPr>
              <w:t>Comparative Assessment</w:t>
            </w:r>
          </w:p>
        </w:tc>
      </w:tr>
      <w:tr w:rsidR="00E527EA" w:rsidRPr="00DC3180" w14:paraId="07B7149E" w14:textId="472C4907" w:rsidTr="005C6ECB">
        <w:trPr>
          <w:jc w:val="center"/>
        </w:trPr>
        <w:tc>
          <w:tcPr>
            <w:tcW w:w="2520" w:type="dxa"/>
            <w:tcBorders>
              <w:top w:val="single" w:sz="4" w:space="0" w:color="auto"/>
              <w:bottom w:val="nil"/>
            </w:tcBorders>
            <w:vAlign w:val="center"/>
          </w:tcPr>
          <w:p w14:paraId="56E0D8B5" w14:textId="42EF6DF8" w:rsidR="00E527EA" w:rsidRPr="00DC3180" w:rsidRDefault="00E527EA" w:rsidP="00E527EA">
            <w:pPr>
              <w:rPr>
                <w:rFonts w:ascii="Arial" w:hAnsi="Arial"/>
              </w:rPr>
            </w:pPr>
            <w:r>
              <w:rPr>
                <w:rFonts w:ascii="Arial" w:hAnsi="Arial" w:cs="Arial"/>
                <w:color w:val="000000"/>
              </w:rPr>
              <w:t>Investment</w:t>
            </w:r>
          </w:p>
        </w:tc>
        <w:tc>
          <w:tcPr>
            <w:tcW w:w="2790" w:type="dxa"/>
            <w:tcBorders>
              <w:top w:val="single" w:sz="4" w:space="0" w:color="auto"/>
              <w:bottom w:val="nil"/>
            </w:tcBorders>
            <w:vAlign w:val="center"/>
          </w:tcPr>
          <w:p w14:paraId="0AE678DD" w14:textId="0AAE2C3F" w:rsidR="00E527EA" w:rsidRPr="00DC3180" w:rsidRDefault="00E527EA" w:rsidP="00E527EA">
            <w:pPr>
              <w:rPr>
                <w:rFonts w:ascii="Arial" w:hAnsi="Arial"/>
              </w:rPr>
            </w:pPr>
            <w:r>
              <w:rPr>
                <w:rFonts w:ascii="Arial" w:hAnsi="Arial" w:cs="Arial"/>
                <w:color w:val="000000"/>
              </w:rPr>
              <w:t>Strong</w:t>
            </w:r>
          </w:p>
        </w:tc>
        <w:tc>
          <w:tcPr>
            <w:tcW w:w="2340" w:type="dxa"/>
            <w:tcBorders>
              <w:top w:val="single" w:sz="4" w:space="0" w:color="auto"/>
              <w:bottom w:val="nil"/>
            </w:tcBorders>
            <w:vAlign w:val="center"/>
          </w:tcPr>
          <w:p w14:paraId="46B77959" w14:textId="06F9F5A3" w:rsidR="00E527EA" w:rsidRPr="006A1041" w:rsidRDefault="00E527EA" w:rsidP="00E527EA">
            <w:pPr>
              <w:rPr>
                <w:rFonts w:ascii="Arial" w:eastAsia="Arial Unicode MS" w:hAnsi="Arial" w:cs="Arial"/>
              </w:rPr>
            </w:pPr>
            <w:r>
              <w:rPr>
                <w:rFonts w:ascii="Arial" w:hAnsi="Arial" w:cs="Arial"/>
                <w:color w:val="000000"/>
              </w:rPr>
              <w:t>Limited</w:t>
            </w:r>
          </w:p>
        </w:tc>
        <w:tc>
          <w:tcPr>
            <w:tcW w:w="1980" w:type="dxa"/>
            <w:tcBorders>
              <w:top w:val="single" w:sz="4" w:space="0" w:color="auto"/>
              <w:bottom w:val="nil"/>
            </w:tcBorders>
            <w:vAlign w:val="center"/>
          </w:tcPr>
          <w:p w14:paraId="08FA6158" w14:textId="3E5117F3" w:rsidR="00E527EA" w:rsidRDefault="00E527EA" w:rsidP="00E527EA">
            <w:pPr>
              <w:rPr>
                <w:rFonts w:ascii="Arial" w:hAnsi="Arial" w:cs="Arial"/>
                <w:color w:val="000000"/>
              </w:rPr>
            </w:pPr>
            <w:r>
              <w:rPr>
                <w:rFonts w:ascii="Arial" w:hAnsi="Arial" w:cs="Arial"/>
                <w:color w:val="000000"/>
              </w:rPr>
              <w:t>Divergence</w:t>
            </w:r>
          </w:p>
        </w:tc>
      </w:tr>
      <w:tr w:rsidR="00E527EA" w:rsidRPr="00DC3180" w14:paraId="3F746F13" w14:textId="0875319B" w:rsidTr="005C6ECB">
        <w:trPr>
          <w:jc w:val="center"/>
        </w:trPr>
        <w:tc>
          <w:tcPr>
            <w:tcW w:w="2520" w:type="dxa"/>
            <w:tcBorders>
              <w:top w:val="nil"/>
              <w:bottom w:val="nil"/>
            </w:tcBorders>
            <w:vAlign w:val="center"/>
          </w:tcPr>
          <w:p w14:paraId="159E973D" w14:textId="41B4E80F" w:rsidR="00E527EA" w:rsidRPr="00DC3180" w:rsidRDefault="00E527EA" w:rsidP="00E527EA">
            <w:pPr>
              <w:rPr>
                <w:rFonts w:ascii="Arial" w:hAnsi="Arial"/>
              </w:rPr>
            </w:pPr>
            <w:r>
              <w:rPr>
                <w:rFonts w:ascii="Arial" w:hAnsi="Arial" w:cs="Arial"/>
                <w:color w:val="000000"/>
              </w:rPr>
              <w:t>Accessibility</w:t>
            </w:r>
          </w:p>
        </w:tc>
        <w:tc>
          <w:tcPr>
            <w:tcW w:w="2790" w:type="dxa"/>
            <w:tcBorders>
              <w:top w:val="nil"/>
              <w:bottom w:val="nil"/>
            </w:tcBorders>
            <w:vAlign w:val="center"/>
          </w:tcPr>
          <w:p w14:paraId="001CCE97" w14:textId="6E11A93B" w:rsidR="00E527EA" w:rsidRPr="00DC3180" w:rsidRDefault="00E527EA" w:rsidP="00E527EA">
            <w:pPr>
              <w:rPr>
                <w:rFonts w:ascii="Arial" w:hAnsi="Arial"/>
              </w:rPr>
            </w:pPr>
            <w:r>
              <w:rPr>
                <w:rFonts w:ascii="Arial" w:hAnsi="Arial" w:cs="Arial"/>
                <w:color w:val="000000"/>
              </w:rPr>
              <w:t>Present (Moderate–High)</w:t>
            </w:r>
          </w:p>
        </w:tc>
        <w:tc>
          <w:tcPr>
            <w:tcW w:w="2340" w:type="dxa"/>
            <w:tcBorders>
              <w:top w:val="nil"/>
              <w:bottom w:val="nil"/>
            </w:tcBorders>
            <w:vAlign w:val="center"/>
          </w:tcPr>
          <w:p w14:paraId="6C2E18A5" w14:textId="398A8E74" w:rsidR="00E527EA" w:rsidRPr="00DC3180" w:rsidRDefault="00E527EA" w:rsidP="00E527EA">
            <w:pPr>
              <w:rPr>
                <w:rFonts w:ascii="Arial" w:hAnsi="Arial" w:cs="Arial"/>
              </w:rPr>
            </w:pPr>
            <w:r>
              <w:rPr>
                <w:rFonts w:ascii="Arial" w:hAnsi="Arial" w:cs="Arial"/>
                <w:color w:val="000000"/>
              </w:rPr>
              <w:t>Present (Moderate)</w:t>
            </w:r>
          </w:p>
        </w:tc>
        <w:tc>
          <w:tcPr>
            <w:tcW w:w="1980" w:type="dxa"/>
            <w:tcBorders>
              <w:top w:val="nil"/>
              <w:bottom w:val="nil"/>
            </w:tcBorders>
            <w:vAlign w:val="center"/>
          </w:tcPr>
          <w:p w14:paraId="12FCC979" w14:textId="1387BFED" w:rsidR="00E527EA" w:rsidRDefault="00E527EA" w:rsidP="00E527EA">
            <w:pPr>
              <w:rPr>
                <w:rFonts w:ascii="Arial" w:hAnsi="Arial" w:cs="Arial"/>
                <w:color w:val="000000"/>
              </w:rPr>
            </w:pPr>
            <w:r>
              <w:rPr>
                <w:rFonts w:ascii="Arial" w:hAnsi="Arial" w:cs="Arial"/>
                <w:color w:val="000000"/>
              </w:rPr>
              <w:t>Alignment</w:t>
            </w:r>
          </w:p>
        </w:tc>
      </w:tr>
      <w:tr w:rsidR="00E527EA" w:rsidRPr="00DC3180" w14:paraId="00EC0AB6" w14:textId="06C9E959" w:rsidTr="005C6ECB">
        <w:trPr>
          <w:jc w:val="center"/>
        </w:trPr>
        <w:tc>
          <w:tcPr>
            <w:tcW w:w="2520" w:type="dxa"/>
            <w:tcBorders>
              <w:top w:val="nil"/>
              <w:bottom w:val="nil"/>
            </w:tcBorders>
            <w:vAlign w:val="center"/>
          </w:tcPr>
          <w:p w14:paraId="70D5FACD" w14:textId="327A0A4D" w:rsidR="00E527EA" w:rsidRPr="00DC3180" w:rsidRDefault="00E527EA" w:rsidP="00E527EA">
            <w:pPr>
              <w:rPr>
                <w:rFonts w:ascii="Arial" w:hAnsi="Arial"/>
              </w:rPr>
            </w:pPr>
            <w:r>
              <w:rPr>
                <w:rFonts w:ascii="Arial" w:hAnsi="Arial" w:cs="Arial"/>
                <w:color w:val="000000"/>
              </w:rPr>
              <w:t>Scholarship Emphasis</w:t>
            </w:r>
          </w:p>
        </w:tc>
        <w:tc>
          <w:tcPr>
            <w:tcW w:w="2790" w:type="dxa"/>
            <w:tcBorders>
              <w:top w:val="nil"/>
              <w:bottom w:val="nil"/>
            </w:tcBorders>
            <w:vAlign w:val="center"/>
          </w:tcPr>
          <w:p w14:paraId="5C036E93" w14:textId="3F27F9B0" w:rsidR="00E527EA" w:rsidRPr="00DC3180" w:rsidRDefault="00E527EA" w:rsidP="00E527EA">
            <w:pPr>
              <w:rPr>
                <w:rFonts w:ascii="Arial" w:hAnsi="Arial"/>
              </w:rPr>
            </w:pPr>
            <w:r>
              <w:rPr>
                <w:rFonts w:ascii="Arial" w:hAnsi="Arial" w:cs="Arial"/>
                <w:color w:val="000000"/>
              </w:rPr>
              <w:t>Moderate–High</w:t>
            </w:r>
          </w:p>
        </w:tc>
        <w:tc>
          <w:tcPr>
            <w:tcW w:w="2340" w:type="dxa"/>
            <w:tcBorders>
              <w:top w:val="nil"/>
              <w:bottom w:val="nil"/>
            </w:tcBorders>
            <w:vAlign w:val="center"/>
          </w:tcPr>
          <w:p w14:paraId="0AB5F105" w14:textId="2B909489" w:rsidR="00E527EA" w:rsidRPr="00DC3180" w:rsidRDefault="00E527EA" w:rsidP="00E527EA">
            <w:pPr>
              <w:rPr>
                <w:rFonts w:ascii="Arial" w:hAnsi="Arial" w:cs="Arial"/>
              </w:rPr>
            </w:pPr>
            <w:r>
              <w:rPr>
                <w:rFonts w:ascii="Arial" w:hAnsi="Arial" w:cs="Arial"/>
                <w:color w:val="000000"/>
              </w:rPr>
              <w:t>Moderate</w:t>
            </w:r>
          </w:p>
        </w:tc>
        <w:tc>
          <w:tcPr>
            <w:tcW w:w="1980" w:type="dxa"/>
            <w:tcBorders>
              <w:top w:val="nil"/>
              <w:bottom w:val="nil"/>
            </w:tcBorders>
            <w:vAlign w:val="center"/>
          </w:tcPr>
          <w:p w14:paraId="0B09AC44" w14:textId="649F1187" w:rsidR="00E527EA" w:rsidRDefault="00E527EA" w:rsidP="00E527EA">
            <w:pPr>
              <w:rPr>
                <w:rFonts w:ascii="Arial" w:hAnsi="Arial" w:cs="Arial"/>
                <w:color w:val="000000"/>
              </w:rPr>
            </w:pPr>
            <w:r>
              <w:rPr>
                <w:rFonts w:ascii="Arial" w:hAnsi="Arial" w:cs="Arial"/>
                <w:color w:val="000000"/>
              </w:rPr>
              <w:t>Partial Alignment</w:t>
            </w:r>
          </w:p>
        </w:tc>
      </w:tr>
      <w:tr w:rsidR="00E527EA" w:rsidRPr="00DC3180" w14:paraId="270E554E" w14:textId="0D225146" w:rsidTr="005C6ECB">
        <w:trPr>
          <w:jc w:val="center"/>
        </w:trPr>
        <w:tc>
          <w:tcPr>
            <w:tcW w:w="2520" w:type="dxa"/>
            <w:tcBorders>
              <w:top w:val="nil"/>
              <w:bottom w:val="nil"/>
            </w:tcBorders>
            <w:vAlign w:val="center"/>
          </w:tcPr>
          <w:p w14:paraId="7A639CF0" w14:textId="7F3A65A8" w:rsidR="00E527EA" w:rsidRPr="00DC3180" w:rsidRDefault="00E527EA" w:rsidP="00E527EA">
            <w:pPr>
              <w:rPr>
                <w:rFonts w:ascii="Arial" w:hAnsi="Arial"/>
              </w:rPr>
            </w:pPr>
            <w:r>
              <w:rPr>
                <w:rFonts w:ascii="Arial" w:hAnsi="Arial" w:cs="Arial"/>
                <w:color w:val="000000"/>
              </w:rPr>
              <w:t>Prestige/Quality</w:t>
            </w:r>
          </w:p>
        </w:tc>
        <w:tc>
          <w:tcPr>
            <w:tcW w:w="2790" w:type="dxa"/>
            <w:tcBorders>
              <w:top w:val="nil"/>
              <w:bottom w:val="nil"/>
            </w:tcBorders>
            <w:vAlign w:val="center"/>
          </w:tcPr>
          <w:p w14:paraId="5A88A590" w14:textId="7F82502A" w:rsidR="00E527EA" w:rsidRPr="00DC3180" w:rsidRDefault="00E527EA" w:rsidP="00E527EA">
            <w:pPr>
              <w:rPr>
                <w:rFonts w:ascii="Arial" w:hAnsi="Arial"/>
              </w:rPr>
            </w:pPr>
            <w:r>
              <w:rPr>
                <w:rFonts w:ascii="Arial" w:hAnsi="Arial" w:cs="Arial"/>
                <w:color w:val="000000"/>
              </w:rPr>
              <w:t>Strong</w:t>
            </w:r>
          </w:p>
        </w:tc>
        <w:tc>
          <w:tcPr>
            <w:tcW w:w="2340" w:type="dxa"/>
            <w:tcBorders>
              <w:top w:val="nil"/>
              <w:bottom w:val="nil"/>
            </w:tcBorders>
            <w:vAlign w:val="center"/>
          </w:tcPr>
          <w:p w14:paraId="47446CCA" w14:textId="4E422B08" w:rsidR="00E527EA" w:rsidRPr="00DC3180" w:rsidRDefault="00E527EA" w:rsidP="00E527EA">
            <w:pPr>
              <w:rPr>
                <w:rFonts w:ascii="Arial" w:hAnsi="Arial" w:cs="Arial"/>
              </w:rPr>
            </w:pPr>
            <w:r>
              <w:rPr>
                <w:rFonts w:ascii="Arial" w:hAnsi="Arial" w:cs="Arial"/>
                <w:color w:val="000000"/>
              </w:rPr>
              <w:t>Limited</w:t>
            </w:r>
          </w:p>
        </w:tc>
        <w:tc>
          <w:tcPr>
            <w:tcW w:w="1980" w:type="dxa"/>
            <w:tcBorders>
              <w:top w:val="nil"/>
              <w:bottom w:val="nil"/>
            </w:tcBorders>
            <w:vAlign w:val="center"/>
          </w:tcPr>
          <w:p w14:paraId="7894901E" w14:textId="5B79A992" w:rsidR="00E527EA" w:rsidRDefault="00E527EA" w:rsidP="00E527EA">
            <w:pPr>
              <w:rPr>
                <w:rFonts w:ascii="Arial" w:hAnsi="Arial" w:cs="Arial"/>
                <w:color w:val="000000"/>
              </w:rPr>
            </w:pPr>
            <w:r>
              <w:rPr>
                <w:rFonts w:ascii="Arial" w:hAnsi="Arial" w:cs="Arial"/>
                <w:color w:val="000000"/>
              </w:rPr>
              <w:t>Divergence</w:t>
            </w:r>
          </w:p>
        </w:tc>
      </w:tr>
      <w:tr w:rsidR="00E527EA" w:rsidRPr="00DC3180" w14:paraId="19BE4116" w14:textId="7669B6BF" w:rsidTr="005C6ECB">
        <w:trPr>
          <w:jc w:val="center"/>
        </w:trPr>
        <w:tc>
          <w:tcPr>
            <w:tcW w:w="2520" w:type="dxa"/>
            <w:tcBorders>
              <w:top w:val="nil"/>
              <w:bottom w:val="nil"/>
            </w:tcBorders>
            <w:vAlign w:val="center"/>
          </w:tcPr>
          <w:p w14:paraId="6BEB5598" w14:textId="5CAF6A02" w:rsidR="00E527EA" w:rsidRPr="00DC3180" w:rsidRDefault="00E527EA" w:rsidP="00E527EA">
            <w:pPr>
              <w:rPr>
                <w:rFonts w:ascii="Arial" w:hAnsi="Arial"/>
              </w:rPr>
            </w:pPr>
            <w:r>
              <w:rPr>
                <w:rFonts w:ascii="Arial" w:hAnsi="Arial" w:cs="Arial"/>
                <w:color w:val="000000"/>
              </w:rPr>
              <w:t>Transparency</w:t>
            </w:r>
          </w:p>
        </w:tc>
        <w:tc>
          <w:tcPr>
            <w:tcW w:w="2790" w:type="dxa"/>
            <w:tcBorders>
              <w:top w:val="nil"/>
              <w:bottom w:val="nil"/>
            </w:tcBorders>
            <w:vAlign w:val="center"/>
          </w:tcPr>
          <w:p w14:paraId="3E3F9444" w14:textId="41EAF8EE" w:rsidR="00E527EA" w:rsidRPr="00DC3180" w:rsidRDefault="00E527EA" w:rsidP="00E527EA">
            <w:pPr>
              <w:rPr>
                <w:rFonts w:ascii="Arial" w:hAnsi="Arial"/>
              </w:rPr>
            </w:pPr>
            <w:r>
              <w:rPr>
                <w:rFonts w:ascii="Arial" w:hAnsi="Arial" w:cs="Arial"/>
                <w:color w:val="000000"/>
              </w:rPr>
              <w:t>Universal</w:t>
            </w:r>
          </w:p>
        </w:tc>
        <w:tc>
          <w:tcPr>
            <w:tcW w:w="2340" w:type="dxa"/>
            <w:tcBorders>
              <w:top w:val="nil"/>
              <w:bottom w:val="nil"/>
            </w:tcBorders>
            <w:vAlign w:val="center"/>
          </w:tcPr>
          <w:p w14:paraId="2827CBB2" w14:textId="7321396A" w:rsidR="00E527EA" w:rsidRPr="00DC3180" w:rsidRDefault="00E527EA" w:rsidP="00E527EA">
            <w:pPr>
              <w:rPr>
                <w:rFonts w:ascii="Arial" w:hAnsi="Arial" w:cs="Arial"/>
              </w:rPr>
            </w:pPr>
            <w:r>
              <w:rPr>
                <w:rFonts w:ascii="Arial" w:hAnsi="Arial" w:cs="Arial"/>
                <w:color w:val="000000"/>
              </w:rPr>
              <w:t>Universal</w:t>
            </w:r>
          </w:p>
        </w:tc>
        <w:tc>
          <w:tcPr>
            <w:tcW w:w="1980" w:type="dxa"/>
            <w:tcBorders>
              <w:top w:val="nil"/>
              <w:bottom w:val="nil"/>
            </w:tcBorders>
            <w:vAlign w:val="center"/>
          </w:tcPr>
          <w:p w14:paraId="5094B426" w14:textId="5CA49E4D" w:rsidR="00E527EA" w:rsidRDefault="00E527EA" w:rsidP="00E527EA">
            <w:pPr>
              <w:rPr>
                <w:rFonts w:ascii="Arial" w:hAnsi="Arial" w:cs="Arial"/>
                <w:color w:val="000000"/>
              </w:rPr>
            </w:pPr>
            <w:r>
              <w:rPr>
                <w:rFonts w:ascii="Arial" w:hAnsi="Arial" w:cs="Arial"/>
                <w:color w:val="000000"/>
              </w:rPr>
              <w:t>Full Alignment</w:t>
            </w:r>
          </w:p>
        </w:tc>
      </w:tr>
      <w:tr w:rsidR="00E527EA" w:rsidRPr="00DC3180" w14:paraId="34305152" w14:textId="73CFEBE5" w:rsidTr="005C6ECB">
        <w:trPr>
          <w:jc w:val="center"/>
        </w:trPr>
        <w:tc>
          <w:tcPr>
            <w:tcW w:w="2520" w:type="dxa"/>
            <w:tcBorders>
              <w:top w:val="nil"/>
              <w:bottom w:val="nil"/>
            </w:tcBorders>
            <w:vAlign w:val="center"/>
          </w:tcPr>
          <w:p w14:paraId="32D39F2B" w14:textId="3E124F06" w:rsidR="00E527EA" w:rsidRPr="00DC3180" w:rsidRDefault="00E527EA" w:rsidP="00E527EA">
            <w:pPr>
              <w:rPr>
                <w:rFonts w:ascii="Arial" w:hAnsi="Arial"/>
              </w:rPr>
            </w:pPr>
            <w:r>
              <w:rPr>
                <w:rFonts w:ascii="Arial" w:hAnsi="Arial" w:cs="Arial"/>
                <w:color w:val="000000"/>
              </w:rPr>
              <w:t>Outcome/Employability</w:t>
            </w:r>
          </w:p>
        </w:tc>
        <w:tc>
          <w:tcPr>
            <w:tcW w:w="2790" w:type="dxa"/>
            <w:tcBorders>
              <w:top w:val="nil"/>
              <w:bottom w:val="nil"/>
            </w:tcBorders>
            <w:vAlign w:val="center"/>
          </w:tcPr>
          <w:p w14:paraId="7B8DF49B" w14:textId="2814BCF6" w:rsidR="00E527EA" w:rsidRPr="00DC3180" w:rsidRDefault="00E527EA" w:rsidP="00E527EA">
            <w:pPr>
              <w:rPr>
                <w:rFonts w:ascii="Arial" w:hAnsi="Arial"/>
              </w:rPr>
            </w:pPr>
            <w:r>
              <w:rPr>
                <w:rFonts w:ascii="Arial" w:hAnsi="Arial" w:cs="Arial"/>
                <w:color w:val="000000"/>
              </w:rPr>
              <w:t>Moderate–High</w:t>
            </w:r>
          </w:p>
        </w:tc>
        <w:tc>
          <w:tcPr>
            <w:tcW w:w="2340" w:type="dxa"/>
            <w:tcBorders>
              <w:top w:val="nil"/>
              <w:bottom w:val="nil"/>
            </w:tcBorders>
            <w:vAlign w:val="center"/>
          </w:tcPr>
          <w:p w14:paraId="0FEDE329" w14:textId="64400984" w:rsidR="00E527EA" w:rsidRPr="00DC3180" w:rsidRDefault="00E527EA" w:rsidP="00E527EA">
            <w:pPr>
              <w:rPr>
                <w:rFonts w:ascii="Arial" w:hAnsi="Arial" w:cs="Arial"/>
              </w:rPr>
            </w:pPr>
            <w:r>
              <w:rPr>
                <w:rFonts w:ascii="Arial" w:hAnsi="Arial" w:cs="Arial"/>
                <w:color w:val="000000"/>
              </w:rPr>
              <w:t>Limited</w:t>
            </w:r>
          </w:p>
        </w:tc>
        <w:tc>
          <w:tcPr>
            <w:tcW w:w="1980" w:type="dxa"/>
            <w:tcBorders>
              <w:top w:val="nil"/>
              <w:bottom w:val="nil"/>
            </w:tcBorders>
            <w:vAlign w:val="center"/>
          </w:tcPr>
          <w:p w14:paraId="0A99A515" w14:textId="07B9FABA" w:rsidR="00E527EA" w:rsidRDefault="00E527EA" w:rsidP="00E527EA">
            <w:pPr>
              <w:rPr>
                <w:rFonts w:ascii="Arial" w:hAnsi="Arial" w:cs="Arial"/>
                <w:color w:val="000000"/>
              </w:rPr>
            </w:pPr>
            <w:r>
              <w:rPr>
                <w:rFonts w:ascii="Arial" w:hAnsi="Arial" w:cs="Arial"/>
                <w:color w:val="000000"/>
              </w:rPr>
              <w:t>Divergence</w:t>
            </w:r>
          </w:p>
        </w:tc>
      </w:tr>
      <w:tr w:rsidR="00E527EA" w:rsidRPr="00DC3180" w14:paraId="5B6A33D9" w14:textId="435ED7E4" w:rsidTr="005C6ECB">
        <w:trPr>
          <w:jc w:val="center"/>
        </w:trPr>
        <w:tc>
          <w:tcPr>
            <w:tcW w:w="2520" w:type="dxa"/>
            <w:tcBorders>
              <w:top w:val="nil"/>
              <w:bottom w:val="single" w:sz="4" w:space="0" w:color="auto"/>
            </w:tcBorders>
            <w:vAlign w:val="center"/>
          </w:tcPr>
          <w:p w14:paraId="3CAC7DD2" w14:textId="63CDA82D" w:rsidR="00E527EA" w:rsidRPr="00DC3180" w:rsidRDefault="00E527EA" w:rsidP="00E527EA">
            <w:pPr>
              <w:rPr>
                <w:rFonts w:ascii="Arial" w:hAnsi="Arial"/>
              </w:rPr>
            </w:pPr>
            <w:r>
              <w:rPr>
                <w:rFonts w:ascii="Arial" w:hAnsi="Arial" w:cs="Arial"/>
                <w:color w:val="000000"/>
              </w:rPr>
              <w:t>Call-to-Action</w:t>
            </w:r>
          </w:p>
        </w:tc>
        <w:tc>
          <w:tcPr>
            <w:tcW w:w="2790" w:type="dxa"/>
            <w:tcBorders>
              <w:top w:val="nil"/>
              <w:bottom w:val="single" w:sz="4" w:space="0" w:color="auto"/>
            </w:tcBorders>
            <w:vAlign w:val="center"/>
          </w:tcPr>
          <w:p w14:paraId="4063C29F" w14:textId="64F52F94" w:rsidR="00E527EA" w:rsidRPr="00DC3180" w:rsidRDefault="00E527EA" w:rsidP="00E527EA">
            <w:pPr>
              <w:rPr>
                <w:rFonts w:ascii="Arial" w:hAnsi="Arial"/>
              </w:rPr>
            </w:pPr>
            <w:r>
              <w:rPr>
                <w:rFonts w:ascii="Arial" w:hAnsi="Arial" w:cs="Arial"/>
                <w:color w:val="000000"/>
              </w:rPr>
              <w:t>Moderate</w:t>
            </w:r>
          </w:p>
        </w:tc>
        <w:tc>
          <w:tcPr>
            <w:tcW w:w="2340" w:type="dxa"/>
            <w:tcBorders>
              <w:top w:val="nil"/>
              <w:bottom w:val="single" w:sz="4" w:space="0" w:color="auto"/>
            </w:tcBorders>
            <w:vAlign w:val="center"/>
          </w:tcPr>
          <w:p w14:paraId="4E2E25BA" w14:textId="07862B29" w:rsidR="00E527EA" w:rsidRPr="00DC3180" w:rsidRDefault="00E527EA" w:rsidP="00E527EA">
            <w:pPr>
              <w:rPr>
                <w:rFonts w:ascii="Arial" w:hAnsi="Arial" w:cs="Arial"/>
              </w:rPr>
            </w:pPr>
            <w:r>
              <w:rPr>
                <w:rFonts w:ascii="Arial" w:hAnsi="Arial" w:cs="Arial"/>
                <w:color w:val="000000"/>
              </w:rPr>
              <w:t>Limited</w:t>
            </w:r>
          </w:p>
        </w:tc>
        <w:tc>
          <w:tcPr>
            <w:tcW w:w="1980" w:type="dxa"/>
            <w:tcBorders>
              <w:top w:val="nil"/>
              <w:bottom w:val="single" w:sz="4" w:space="0" w:color="auto"/>
            </w:tcBorders>
            <w:vAlign w:val="center"/>
          </w:tcPr>
          <w:p w14:paraId="288D27B0" w14:textId="41326E9B" w:rsidR="00E527EA" w:rsidRDefault="00E527EA" w:rsidP="00E527EA">
            <w:pPr>
              <w:rPr>
                <w:rFonts w:ascii="Arial" w:hAnsi="Arial" w:cs="Arial"/>
                <w:color w:val="000000"/>
              </w:rPr>
            </w:pPr>
            <w:r>
              <w:rPr>
                <w:rFonts w:ascii="Arial" w:hAnsi="Arial" w:cs="Arial"/>
                <w:color w:val="000000"/>
              </w:rPr>
              <w:t>Divergence</w:t>
            </w:r>
          </w:p>
        </w:tc>
      </w:tr>
    </w:tbl>
    <w:p w14:paraId="342F7711" w14:textId="77777777" w:rsidR="00E527EA" w:rsidRDefault="00E527EA" w:rsidP="00E527EA">
      <w:pPr>
        <w:rPr>
          <w:rFonts w:ascii="Arial" w:hAnsi="Arial" w:cs="Arial"/>
          <w:sz w:val="22"/>
          <w:szCs w:val="22"/>
          <w:lang w:val="en-PH"/>
        </w:rPr>
      </w:pPr>
    </w:p>
    <w:p w14:paraId="34ACEB4E" w14:textId="77777777" w:rsidR="00953E26" w:rsidRPr="00953E26" w:rsidRDefault="00953E26" w:rsidP="00953E26">
      <w:pPr>
        <w:rPr>
          <w:rFonts w:ascii="Times New Roman" w:hAnsi="Times New Roman"/>
          <w:sz w:val="24"/>
          <w:szCs w:val="24"/>
          <w:lang w:val="en-PH"/>
        </w:rPr>
      </w:pPr>
      <w:r w:rsidRPr="00953E26">
        <w:rPr>
          <w:rFonts w:ascii="Arial" w:hAnsi="Arial" w:cs="Arial"/>
          <w:b/>
          <w:bCs/>
          <w:color w:val="000000"/>
          <w:sz w:val="22"/>
          <w:szCs w:val="22"/>
          <w:lang w:val="en-PH"/>
        </w:rPr>
        <w:t>3.10 Consolidated Framing Patterns</w:t>
      </w:r>
    </w:p>
    <w:p w14:paraId="68CBD53E" w14:textId="77777777" w:rsidR="00953E26" w:rsidRPr="00953E26" w:rsidRDefault="00953E26" w:rsidP="00953E26">
      <w:pPr>
        <w:rPr>
          <w:rFonts w:ascii="Arial" w:hAnsi="Arial" w:cs="Arial"/>
          <w:sz w:val="22"/>
          <w:szCs w:val="22"/>
          <w:lang w:val="en-PH"/>
        </w:rPr>
      </w:pPr>
    </w:p>
    <w:p w14:paraId="6EC0976B" w14:textId="77777777" w:rsidR="00953E26" w:rsidRPr="00953E26" w:rsidRDefault="00953E26" w:rsidP="00953E26">
      <w:pPr>
        <w:rPr>
          <w:rFonts w:ascii="Times New Roman" w:hAnsi="Times New Roman"/>
          <w:sz w:val="24"/>
          <w:szCs w:val="24"/>
          <w:lang w:val="en-PH"/>
        </w:rPr>
      </w:pPr>
      <w:r w:rsidRPr="00953E26">
        <w:rPr>
          <w:rFonts w:ascii="Arial" w:hAnsi="Arial" w:cs="Arial"/>
          <w:color w:val="000000"/>
          <w:lang w:val="en-PH"/>
        </w:rPr>
        <w:t>In the global benchmark group, tuition communication often followed three main patterns: investment orientation, prestige-based justification, and employability linkage. These patterns usually appeared together, which means tuition was rarely shown as just a financial detail. Instead, it was part of larger stories about the value of the institution and future benefits. Accessibility, scholarships, and transparency were also common, but how much they were emphasized varied.</w:t>
      </w:r>
    </w:p>
    <w:p w14:paraId="6D7DD349" w14:textId="77777777" w:rsidR="00953E26" w:rsidRDefault="00953E26" w:rsidP="00953E26">
      <w:pPr>
        <w:rPr>
          <w:rFonts w:ascii="Arial" w:hAnsi="Arial" w:cs="Arial"/>
          <w:color w:val="000000"/>
          <w:lang w:val="en-PH"/>
        </w:rPr>
      </w:pPr>
      <w:r w:rsidRPr="00953E26">
        <w:rPr>
          <w:rFonts w:ascii="Arial" w:hAnsi="Arial" w:cs="Arial"/>
          <w:color w:val="000000"/>
          <w:lang w:val="en-PH"/>
        </w:rPr>
        <w:t>The Philippine institution showed similar patterns in transparency and accessibility, but differed in the extent to which it used value-focused messages. This suggests that while the way tuition is shared may follow global standards, the way schools build their tuition stories depends on their market focus and position. These findings form the basis for the theories discussed in the next section.</w:t>
      </w:r>
    </w:p>
    <w:p w14:paraId="68F98DB4" w14:textId="77777777" w:rsidR="00953E26" w:rsidRDefault="00953E26" w:rsidP="00953E26">
      <w:pPr>
        <w:rPr>
          <w:rFonts w:ascii="Arial" w:hAnsi="Arial" w:cs="Arial"/>
          <w:color w:val="000000"/>
          <w:lang w:val="en-PH"/>
        </w:rPr>
      </w:pPr>
    </w:p>
    <w:p w14:paraId="51B68619" w14:textId="77777777" w:rsidR="00953E26" w:rsidRPr="00953E26" w:rsidRDefault="00953E26" w:rsidP="00953E26">
      <w:pPr>
        <w:rPr>
          <w:rFonts w:ascii="Times New Roman" w:hAnsi="Times New Roman"/>
          <w:sz w:val="24"/>
          <w:szCs w:val="24"/>
          <w:lang w:val="en-PH"/>
        </w:rPr>
      </w:pPr>
      <w:r w:rsidRPr="00953E26">
        <w:rPr>
          <w:rFonts w:ascii="Arial" w:hAnsi="Arial" w:cs="Arial"/>
          <w:b/>
          <w:bCs/>
          <w:color w:val="000000"/>
          <w:sz w:val="22"/>
          <w:szCs w:val="22"/>
          <w:lang w:val="en-PH"/>
        </w:rPr>
        <w:lastRenderedPageBreak/>
        <w:t>4. DISCUSSION</w:t>
      </w:r>
    </w:p>
    <w:p w14:paraId="62435D66" w14:textId="77777777" w:rsidR="00953E26" w:rsidRPr="00953E26" w:rsidRDefault="00953E26" w:rsidP="00953E26">
      <w:pPr>
        <w:rPr>
          <w:rFonts w:ascii="Arial" w:hAnsi="Arial" w:cs="Arial"/>
          <w:sz w:val="22"/>
          <w:szCs w:val="22"/>
          <w:lang w:val="en-PH"/>
        </w:rPr>
      </w:pPr>
    </w:p>
    <w:p w14:paraId="4D62F69C" w14:textId="77777777" w:rsidR="00953E26" w:rsidRPr="00953E26" w:rsidRDefault="00953E26" w:rsidP="00953E26">
      <w:pPr>
        <w:rPr>
          <w:rFonts w:ascii="Times New Roman" w:hAnsi="Times New Roman"/>
          <w:sz w:val="24"/>
          <w:szCs w:val="24"/>
          <w:lang w:val="en-PH"/>
        </w:rPr>
      </w:pPr>
      <w:r w:rsidRPr="00953E26">
        <w:rPr>
          <w:rFonts w:ascii="Arial" w:hAnsi="Arial" w:cs="Arial"/>
          <w:b/>
          <w:bCs/>
          <w:color w:val="000000"/>
          <w:sz w:val="22"/>
          <w:szCs w:val="22"/>
          <w:lang w:val="en-PH"/>
        </w:rPr>
        <w:t>4.1 Tuition as Strategic Value Construction through Framing</w:t>
      </w:r>
    </w:p>
    <w:p w14:paraId="689B8F5E" w14:textId="77777777" w:rsidR="00953E26" w:rsidRPr="00953E26" w:rsidRDefault="00953E26" w:rsidP="00953E26">
      <w:pPr>
        <w:rPr>
          <w:rFonts w:ascii="Arial" w:hAnsi="Arial" w:cs="Arial"/>
          <w:sz w:val="22"/>
          <w:szCs w:val="22"/>
          <w:lang w:val="en-PH"/>
        </w:rPr>
      </w:pPr>
    </w:p>
    <w:p w14:paraId="32D7FB0A" w14:textId="77777777" w:rsidR="00953E26" w:rsidRPr="00953E26" w:rsidRDefault="00953E26" w:rsidP="00953E26">
      <w:pPr>
        <w:rPr>
          <w:rFonts w:ascii="Times New Roman" w:hAnsi="Times New Roman"/>
          <w:sz w:val="24"/>
          <w:szCs w:val="24"/>
          <w:lang w:val="en-PH"/>
        </w:rPr>
      </w:pPr>
      <w:r w:rsidRPr="00953E26">
        <w:rPr>
          <w:rFonts w:ascii="Arial" w:hAnsi="Arial" w:cs="Arial"/>
          <w:color w:val="000000"/>
          <w:lang w:val="en-PH"/>
        </w:rPr>
        <w:t>The findings show that tuition webpages are used strategically to build value, not just to share financial details. At leading institutions worldwide, tuition is often presented within stories about career success, school reputation, and future opportunities. According to Framing Theory, this means schools highlight certain features to shape how people see tuition, presenting it as an investment instead of just a cost (</w:t>
      </w:r>
      <w:proofErr w:type="spellStart"/>
      <w:r w:rsidRPr="00953E26">
        <w:rPr>
          <w:rFonts w:ascii="Arial" w:hAnsi="Arial" w:cs="Arial"/>
          <w:color w:val="000000"/>
          <w:lang w:val="en-PH"/>
        </w:rPr>
        <w:t>Entman</w:t>
      </w:r>
      <w:proofErr w:type="spellEnd"/>
      <w:r w:rsidRPr="00953E26">
        <w:rPr>
          <w:rFonts w:ascii="Arial" w:hAnsi="Arial" w:cs="Arial"/>
          <w:color w:val="000000"/>
          <w:lang w:val="en-PH"/>
        </w:rPr>
        <w:t>, 1993). By placing tuition next to information about jobs, rankings, and scholarships, schools affect how prospective students think about the price.</w:t>
      </w:r>
    </w:p>
    <w:p w14:paraId="22C68C12" w14:textId="77777777" w:rsidR="00953E26" w:rsidRPr="00953E26" w:rsidRDefault="00953E26" w:rsidP="00953E26">
      <w:pPr>
        <w:rPr>
          <w:rFonts w:ascii="Times New Roman" w:hAnsi="Times New Roman"/>
          <w:sz w:val="24"/>
          <w:szCs w:val="24"/>
          <w:lang w:val="en-PH"/>
        </w:rPr>
      </w:pPr>
      <w:r w:rsidRPr="00953E26">
        <w:rPr>
          <w:rFonts w:ascii="Arial" w:hAnsi="Arial" w:cs="Arial"/>
          <w:color w:val="000000"/>
          <w:lang w:val="en-PH"/>
        </w:rPr>
        <w:t>Recent studies show that colleges and universities are using strategic communication and branding more often to shape how people see them. Gómez-Bayona et al. (2024) found that relationship marketing and branding help schools stand out, making website messaging important for building value. Santizo and Hurtado (2024) also found that website design and how information is organized affect a school’s image and how visitors behave, showing that how tuition is presented can change how people interpret it.</w:t>
      </w:r>
    </w:p>
    <w:p w14:paraId="35F8556C" w14:textId="77777777" w:rsidR="00953E26" w:rsidRPr="00953E26" w:rsidRDefault="00953E26" w:rsidP="00953E26">
      <w:pPr>
        <w:rPr>
          <w:rFonts w:ascii="Times New Roman" w:hAnsi="Times New Roman"/>
          <w:sz w:val="24"/>
          <w:szCs w:val="24"/>
          <w:lang w:val="en-PH"/>
        </w:rPr>
      </w:pPr>
      <w:r w:rsidRPr="00953E26">
        <w:rPr>
          <w:rFonts w:ascii="Arial" w:hAnsi="Arial" w:cs="Arial"/>
          <w:color w:val="000000"/>
          <w:lang w:val="en-PH"/>
        </w:rPr>
        <w:t>Research on website quality supports these ideas. Zeqiri et al. (2023) found that clear information and good online services make users more satisfied and likely to recommend the site, suggesting that clear and organized tuition details build trust. When schools are transparent and also highlight investment and job prospects, people may see more value than if tuition is shown as just a cost. Putri (2025) also shows that how schools talk about expected returns and career paths affects what prospective students prefer.</w:t>
      </w:r>
    </w:p>
    <w:p w14:paraId="12F1E3A2" w14:textId="77777777" w:rsidR="00953E26" w:rsidRPr="00953E26" w:rsidRDefault="00953E26" w:rsidP="00953E26">
      <w:pPr>
        <w:rPr>
          <w:rFonts w:ascii="Times New Roman" w:hAnsi="Times New Roman"/>
          <w:sz w:val="24"/>
          <w:szCs w:val="24"/>
          <w:lang w:val="en-PH"/>
        </w:rPr>
      </w:pPr>
      <w:r w:rsidRPr="00953E26">
        <w:rPr>
          <w:rFonts w:ascii="Arial" w:hAnsi="Arial" w:cs="Arial"/>
          <w:color w:val="000000"/>
          <w:lang w:val="en-PH"/>
        </w:rPr>
        <w:t>In contrast, the Philippine institution in this study focused on being transparent and accessible, but did not include as many messages about investment and prestige on its tuition pages. This suggests that while schools around the world may follow similar rules for sharing information, how strongly they frame tuition as valuable depends on their goals and competition.</w:t>
      </w:r>
    </w:p>
    <w:p w14:paraId="64B677B2" w14:textId="77777777" w:rsidR="00953E26" w:rsidRDefault="00953E26" w:rsidP="00953E26">
      <w:pPr>
        <w:rPr>
          <w:rFonts w:ascii="Arial" w:hAnsi="Arial" w:cs="Arial"/>
          <w:color w:val="000000"/>
          <w:lang w:val="en-PH"/>
        </w:rPr>
      </w:pPr>
      <w:r w:rsidRPr="00953E26">
        <w:rPr>
          <w:rFonts w:ascii="Arial" w:hAnsi="Arial" w:cs="Arial"/>
          <w:color w:val="000000"/>
          <w:lang w:val="en-PH"/>
        </w:rPr>
        <w:t>Overall, tuition webpages are used as strategic tools. By highlighting certain points and telling a story, schools present tuition as an opportunity and connect the cost to bigger promises, changing how people understand financial information in today’s higher education market.</w:t>
      </w:r>
    </w:p>
    <w:p w14:paraId="50A3D890" w14:textId="77777777" w:rsidR="00667A03" w:rsidRPr="00667A03" w:rsidRDefault="00667A03" w:rsidP="00953E26">
      <w:pPr>
        <w:rPr>
          <w:rFonts w:ascii="Arial" w:hAnsi="Arial" w:cs="Arial"/>
          <w:color w:val="000000"/>
          <w:sz w:val="22"/>
          <w:szCs w:val="22"/>
          <w:lang w:val="en-PH"/>
        </w:rPr>
      </w:pPr>
    </w:p>
    <w:p w14:paraId="615889A0" w14:textId="77777777" w:rsidR="00667A03" w:rsidRPr="00667A03" w:rsidRDefault="00667A03" w:rsidP="00667A03">
      <w:pPr>
        <w:rPr>
          <w:rFonts w:ascii="Times New Roman" w:hAnsi="Times New Roman"/>
          <w:sz w:val="24"/>
          <w:szCs w:val="24"/>
          <w:lang w:val="en-PH"/>
        </w:rPr>
      </w:pPr>
      <w:r w:rsidRPr="00667A03">
        <w:rPr>
          <w:rFonts w:ascii="Arial" w:hAnsi="Arial" w:cs="Arial"/>
          <w:b/>
          <w:bCs/>
          <w:color w:val="000000"/>
          <w:sz w:val="22"/>
          <w:szCs w:val="22"/>
          <w:lang w:val="en-PH"/>
        </w:rPr>
        <w:t>4.2 Tuition as Institutional Quality Signaling in Competitive Markets</w:t>
      </w:r>
    </w:p>
    <w:p w14:paraId="1CA4A495" w14:textId="77777777" w:rsidR="00667A03" w:rsidRPr="00667A03" w:rsidRDefault="00667A03" w:rsidP="00667A03">
      <w:pPr>
        <w:rPr>
          <w:rFonts w:ascii="Arial" w:hAnsi="Arial" w:cs="Arial"/>
          <w:sz w:val="22"/>
          <w:szCs w:val="22"/>
          <w:lang w:val="en-PH"/>
        </w:rPr>
      </w:pPr>
    </w:p>
    <w:p w14:paraId="734A995B"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The findings show that tuition webpages act as signals in situations where information is not equally available. Prospective students cannot see instructional quality, graduate outcomes, or how well an institution performs before enrolling. In these cases, institutions use visible cues like rankings, accreditations, outcome statistics, and clear information to show credibility and help reduce uncertainty.</w:t>
      </w:r>
    </w:p>
    <w:p w14:paraId="0FEA1EDD"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Recent research highlights that organizations use visible and well-known features to show quality that cannot be seen directly in competitive markets (</w:t>
      </w:r>
      <w:proofErr w:type="spellStart"/>
      <w:r w:rsidRPr="00667A03">
        <w:rPr>
          <w:rFonts w:ascii="Arial" w:hAnsi="Arial" w:cs="Arial"/>
          <w:color w:val="000000"/>
          <w:lang w:val="en-PH"/>
        </w:rPr>
        <w:t>Bafera</w:t>
      </w:r>
      <w:proofErr w:type="spellEnd"/>
      <w:r w:rsidRPr="00667A03">
        <w:rPr>
          <w:rFonts w:ascii="Arial" w:hAnsi="Arial" w:cs="Arial"/>
          <w:color w:val="000000"/>
          <w:lang w:val="en-PH"/>
        </w:rPr>
        <w:t xml:space="preserve"> &amp; Kleinert, 2023). In higher education, rankings influence how people view an institution’s credibility and help set it apart by acting as a quality signal (</w:t>
      </w:r>
      <w:proofErr w:type="spellStart"/>
      <w:r w:rsidRPr="00667A03">
        <w:rPr>
          <w:rFonts w:ascii="Arial" w:hAnsi="Arial" w:cs="Arial"/>
          <w:color w:val="000000"/>
          <w:lang w:val="en-PH"/>
        </w:rPr>
        <w:t>Kethüda</w:t>
      </w:r>
      <w:proofErr w:type="spellEnd"/>
      <w:r w:rsidRPr="00667A03">
        <w:rPr>
          <w:rFonts w:ascii="Arial" w:hAnsi="Arial" w:cs="Arial"/>
          <w:color w:val="000000"/>
          <w:lang w:val="en-PH"/>
        </w:rPr>
        <w:t>, 2022). When global institutions place ranking references and prestige markers near tuition details, it suggests they are linking price with perceived status on purpose.</w:t>
      </w:r>
    </w:p>
    <w:p w14:paraId="23AEBFDB"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Transparency is also a key signal. Research shows that clear and organized online information makes institutions seem more trustworthy and helps reduce uncertainty for stakeholders (Ramírez &amp; Montero, 2024). In this study, all institutions showed tuition information clearly, but global universities more often combined transparency with signs of prestige and outcomes, making their signals stronger.</w:t>
      </w:r>
    </w:p>
    <w:p w14:paraId="0202F78C"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 xml:space="preserve">In contrast, the Philippine institution focused mainly on transparency as its main signal near tuition information. While transparency builds basic credibility, using fewer ranking and </w:t>
      </w:r>
      <w:r w:rsidRPr="00667A03">
        <w:rPr>
          <w:rFonts w:ascii="Arial" w:hAnsi="Arial" w:cs="Arial"/>
          <w:color w:val="000000"/>
          <w:lang w:val="en-PH"/>
        </w:rPr>
        <w:lastRenderedPageBreak/>
        <w:t>employability cues shows a less intense signaling approach. This difference does not mean the institution failed to disclose information, but instead shows a different way of combining quality signals with cost details.</w:t>
      </w:r>
    </w:p>
    <w:p w14:paraId="46DF782C"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Overall, the results show that tuition webpages use several layers of signals. By placing cost alongside different credibility markers, global institutions make the link between price and perceived quality stronger. Tuition is not just a number; it also helps show an institution’s legitimacy in a competitive higher education market.</w:t>
      </w:r>
    </w:p>
    <w:p w14:paraId="06120050" w14:textId="77777777" w:rsidR="00667A03" w:rsidRPr="00667A03" w:rsidRDefault="00667A03" w:rsidP="00667A03">
      <w:pPr>
        <w:rPr>
          <w:rFonts w:ascii="Arial" w:hAnsi="Arial" w:cs="Arial"/>
          <w:sz w:val="22"/>
          <w:szCs w:val="22"/>
          <w:lang w:val="en-PH"/>
        </w:rPr>
      </w:pPr>
    </w:p>
    <w:p w14:paraId="7BA2BCC0" w14:textId="77777777" w:rsidR="00667A03" w:rsidRPr="00667A03" w:rsidRDefault="00667A03" w:rsidP="00667A03">
      <w:pPr>
        <w:rPr>
          <w:rFonts w:ascii="Times New Roman" w:hAnsi="Times New Roman"/>
          <w:sz w:val="24"/>
          <w:szCs w:val="24"/>
          <w:lang w:val="en-PH"/>
        </w:rPr>
      </w:pPr>
      <w:r w:rsidRPr="00667A03">
        <w:rPr>
          <w:rFonts w:ascii="Arial" w:hAnsi="Arial" w:cs="Arial"/>
          <w:b/>
          <w:bCs/>
          <w:color w:val="000000"/>
          <w:sz w:val="22"/>
          <w:szCs w:val="22"/>
          <w:lang w:val="en-PH"/>
        </w:rPr>
        <w:t>4.3 Convergence and Divergence in Global Tuition Communication</w:t>
      </w:r>
    </w:p>
    <w:p w14:paraId="2D2FFABA" w14:textId="77777777" w:rsidR="00667A03" w:rsidRPr="00667A03" w:rsidRDefault="00667A03" w:rsidP="00667A03">
      <w:pPr>
        <w:rPr>
          <w:rFonts w:ascii="Arial" w:hAnsi="Arial" w:cs="Arial"/>
          <w:sz w:val="22"/>
          <w:szCs w:val="22"/>
          <w:lang w:val="en-PH"/>
        </w:rPr>
      </w:pPr>
    </w:p>
    <w:p w14:paraId="24B2777B"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The findings show that tuition communication practices share similarities and differences. All institutions were transparent, offering clear tuition breakdowns and scholarship information. This trend reflects higher education’s increasing accountability, as schools respond to outside pressures by improving disclosure (</w:t>
      </w:r>
      <w:proofErr w:type="spellStart"/>
      <w:r w:rsidRPr="00667A03">
        <w:rPr>
          <w:rFonts w:ascii="Arial" w:hAnsi="Arial" w:cs="Arial"/>
          <w:color w:val="000000"/>
          <w:lang w:val="en-PH"/>
        </w:rPr>
        <w:t>Pattaro</w:t>
      </w:r>
      <w:proofErr w:type="spellEnd"/>
      <w:r w:rsidRPr="00667A03">
        <w:rPr>
          <w:rFonts w:ascii="Arial" w:hAnsi="Arial" w:cs="Arial"/>
          <w:color w:val="000000"/>
          <w:lang w:val="en-PH"/>
        </w:rPr>
        <w:t xml:space="preserve">, Moura e Sá, &amp; de </w:t>
      </w:r>
      <w:proofErr w:type="spellStart"/>
      <w:r w:rsidRPr="00667A03">
        <w:rPr>
          <w:rFonts w:ascii="Arial" w:hAnsi="Arial" w:cs="Arial"/>
          <w:color w:val="000000"/>
          <w:lang w:val="en-PH"/>
        </w:rPr>
        <w:t>Kruijf</w:t>
      </w:r>
      <w:proofErr w:type="spellEnd"/>
      <w:r w:rsidRPr="00667A03">
        <w:rPr>
          <w:rFonts w:ascii="Arial" w:hAnsi="Arial" w:cs="Arial"/>
          <w:color w:val="000000"/>
          <w:lang w:val="en-PH"/>
        </w:rPr>
        <w:t>, 2022). As a result, transparency is now a standard expectation, not a way to stand out.</w:t>
      </w:r>
    </w:p>
    <w:p w14:paraId="6D9E6F37"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However, differences appeared in how institutions highlight prestige and outcomes in their tuition information. Leading global universities more often included rankings, accreditations, and employability details near cost information. This approach helps show quality and reduce uncertainty for students in a competitive market (</w:t>
      </w:r>
      <w:proofErr w:type="spellStart"/>
      <w:r w:rsidRPr="00667A03">
        <w:rPr>
          <w:rFonts w:ascii="Arial" w:hAnsi="Arial" w:cs="Arial"/>
          <w:color w:val="000000"/>
          <w:lang w:val="en-PH"/>
        </w:rPr>
        <w:t>Bafera</w:t>
      </w:r>
      <w:proofErr w:type="spellEnd"/>
      <w:r w:rsidRPr="00667A03">
        <w:rPr>
          <w:rFonts w:ascii="Arial" w:hAnsi="Arial" w:cs="Arial"/>
          <w:color w:val="000000"/>
          <w:lang w:val="en-PH"/>
        </w:rPr>
        <w:t xml:space="preserve"> &amp; Kleinert, 2023). Research also shows that sharing ranking information makes university brands seem more credible and distinct (</w:t>
      </w:r>
      <w:proofErr w:type="spellStart"/>
      <w:r w:rsidRPr="00667A03">
        <w:rPr>
          <w:rFonts w:ascii="Arial" w:hAnsi="Arial" w:cs="Arial"/>
          <w:color w:val="000000"/>
          <w:lang w:val="en-PH"/>
        </w:rPr>
        <w:t>Kethüda</w:t>
      </w:r>
      <w:proofErr w:type="spellEnd"/>
      <w:r w:rsidRPr="00667A03">
        <w:rPr>
          <w:rFonts w:ascii="Arial" w:hAnsi="Arial" w:cs="Arial"/>
          <w:color w:val="000000"/>
          <w:lang w:val="en-PH"/>
        </w:rPr>
        <w:t>, 2022).</w:t>
      </w:r>
    </w:p>
    <w:p w14:paraId="721D8065" w14:textId="77777777" w:rsidR="00667A03" w:rsidRPr="00667A03" w:rsidRDefault="00667A03" w:rsidP="00667A03">
      <w:pPr>
        <w:rPr>
          <w:rFonts w:ascii="Times New Roman" w:hAnsi="Times New Roman"/>
          <w:sz w:val="24"/>
          <w:szCs w:val="24"/>
          <w:lang w:val="en-PH"/>
        </w:rPr>
      </w:pPr>
      <w:r w:rsidRPr="00667A03">
        <w:rPr>
          <w:rFonts w:ascii="Arial" w:hAnsi="Arial" w:cs="Arial"/>
          <w:color w:val="000000"/>
          <w:lang w:val="en-PH"/>
        </w:rPr>
        <w:t>The Philippine institution was transparent in its disclosures but included fewer prestige-related details on its tuition pages. This difference may be due to varying levels of competition and funding. Studies show that schools in more competitive and performance-focused systems are more likely to use communication strategies that highlight their reputation and uniqueness (De Boer, Huisman, &amp; Seeber, 2022).</w:t>
      </w:r>
    </w:p>
    <w:p w14:paraId="02B27638" w14:textId="50CB16DD" w:rsidR="00667A03" w:rsidRDefault="00667A03" w:rsidP="00667A03">
      <w:pPr>
        <w:rPr>
          <w:rFonts w:ascii="Arial" w:hAnsi="Arial" w:cs="Arial"/>
          <w:color w:val="000000"/>
          <w:lang w:val="en-PH"/>
        </w:rPr>
      </w:pPr>
      <w:r w:rsidRPr="00667A03">
        <w:rPr>
          <w:rFonts w:ascii="Arial" w:hAnsi="Arial" w:cs="Arial"/>
          <w:color w:val="000000"/>
          <w:lang w:val="en-PH"/>
        </w:rPr>
        <w:t>In summary, tuition communication around the world is based on transparency, but schools differ in how much they emphasize their reputation. Tuition pages serve both to inform and to help universities stand out in a competitive higher education market</w:t>
      </w:r>
      <w:r w:rsidR="00F4792A">
        <w:rPr>
          <w:rFonts w:ascii="Arial" w:hAnsi="Arial" w:cs="Arial"/>
          <w:color w:val="000000"/>
          <w:lang w:val="en-PH"/>
        </w:rPr>
        <w:t>.</w:t>
      </w:r>
    </w:p>
    <w:p w14:paraId="510A57C2" w14:textId="77777777" w:rsidR="00F4792A" w:rsidRPr="00F4792A" w:rsidRDefault="00F4792A" w:rsidP="00667A03">
      <w:pPr>
        <w:rPr>
          <w:rFonts w:ascii="Arial" w:hAnsi="Arial" w:cs="Arial"/>
          <w:color w:val="000000"/>
          <w:sz w:val="22"/>
          <w:szCs w:val="22"/>
          <w:lang w:val="en-PH"/>
        </w:rPr>
      </w:pPr>
    </w:p>
    <w:p w14:paraId="4AAB82F2"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4.4 Tuition Pages as Digital Recruitment and Conversion Interfaces</w:t>
      </w:r>
    </w:p>
    <w:p w14:paraId="30CB4FA9" w14:textId="77777777" w:rsidR="00F4792A" w:rsidRPr="00F4792A" w:rsidRDefault="00F4792A" w:rsidP="00F4792A">
      <w:pPr>
        <w:rPr>
          <w:rFonts w:ascii="Arial" w:hAnsi="Arial" w:cs="Arial"/>
          <w:sz w:val="22"/>
          <w:szCs w:val="22"/>
          <w:lang w:val="en-PH"/>
        </w:rPr>
      </w:pPr>
    </w:p>
    <w:p w14:paraId="02BBE6C2"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The findings show that tuition webpages do more than just provide information. At several leading institutions, cost details appear alongside calls-to-action (CTA), such as application links, inquiry forms, and event sign-ups. This setup means tuition pages help move prospective students from simply gathering information to taking the next step.</w:t>
      </w:r>
    </w:p>
    <w:p w14:paraId="7D904437"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Research in digital marketing shows that clear online cues can strongly shape how users navigate and make decisions in important situations (Dwivedi et al., 2023). Well-placed calls-to-action help users know what to do next and make their journey easier. Studies also find that where CTAs appear and how the page is designed can affect how people engage and respond online (Zhang, Ding, &amp; Xu, 2024).</w:t>
      </w:r>
    </w:p>
    <w:p w14:paraId="2295E47A"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At top global institutions, tuition information is often placed within clear engagement pathways, showing a planned link between how information is presented and student enrollment. In comparison, the Philippine institution included fewer calls-to-action on its tuition pages, focusing more on sharing information than on encouraging action.</w:t>
      </w:r>
    </w:p>
    <w:p w14:paraId="6B6AD557"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These findings show that tuition communication is now part of a larger digital recruitment system. Framing helps shape how people understand the information, signaling reduces uncertainty, and adding CTAs encourages users to take action. As a result, tuition webpages now serve several roles at once: they inform, build reputation, and support transactions.</w:t>
      </w:r>
    </w:p>
    <w:p w14:paraId="7C874D35" w14:textId="77777777" w:rsidR="00F4792A" w:rsidRPr="00F4792A" w:rsidRDefault="00F4792A" w:rsidP="00F4792A">
      <w:pPr>
        <w:rPr>
          <w:rFonts w:ascii="Arial" w:hAnsi="Arial" w:cs="Arial"/>
          <w:sz w:val="22"/>
          <w:szCs w:val="22"/>
          <w:lang w:val="en-PH"/>
        </w:rPr>
      </w:pPr>
    </w:p>
    <w:p w14:paraId="6DA9EBF4"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4.5 Theoretical Contributions</w:t>
      </w:r>
    </w:p>
    <w:p w14:paraId="2ACDD9AA" w14:textId="77777777" w:rsidR="00F4792A" w:rsidRPr="00F4792A" w:rsidRDefault="00F4792A" w:rsidP="00F4792A">
      <w:pPr>
        <w:rPr>
          <w:rFonts w:ascii="Arial" w:hAnsi="Arial" w:cs="Arial"/>
          <w:sz w:val="22"/>
          <w:szCs w:val="22"/>
          <w:lang w:val="en-PH"/>
        </w:rPr>
      </w:pPr>
    </w:p>
    <w:p w14:paraId="3624297F"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lastRenderedPageBreak/>
        <w:t>This study helps explain how tuition communication works by showing how Framing Theory and Signaling Theory interact in online higher education settings. Tuition webpages highlight features like investment value, employability, prestige, and accessibility, which shape how people see cost information (</w:t>
      </w:r>
      <w:proofErr w:type="spellStart"/>
      <w:r w:rsidRPr="00F4792A">
        <w:rPr>
          <w:rFonts w:ascii="Arial" w:hAnsi="Arial" w:cs="Arial"/>
          <w:color w:val="000000"/>
          <w:lang w:val="en-PH"/>
        </w:rPr>
        <w:t>Entman</w:t>
      </w:r>
      <w:proofErr w:type="spellEnd"/>
      <w:r w:rsidRPr="00F4792A">
        <w:rPr>
          <w:rFonts w:ascii="Arial" w:hAnsi="Arial" w:cs="Arial"/>
          <w:color w:val="000000"/>
          <w:lang w:val="en-PH"/>
        </w:rPr>
        <w:t>, 1993). Instead of treating tuition as just a number, institutions present it within stories that focus on long-term benefits and what makes them unique.</w:t>
      </w:r>
    </w:p>
    <w:p w14:paraId="2458C5B4"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Recent research shows that framing still matters in complex digital spaces, where many signals shape how people understand information (Berk, 2025). University websites are good examples of this, as text, design, rankings, and outcome data all work together to create meaning. The results show that tuition pages are carefully designed spaces where cost is presented through specific stories.</w:t>
      </w:r>
    </w:p>
    <w:p w14:paraId="7CA558B0"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From a signaling point of view, these stories are supported by visible signs placed near tuition details. Things like rankings, accreditation, graduate outcomes, and clear information act as signals that help reduce confusion and build trust in the institution (</w:t>
      </w:r>
      <w:proofErr w:type="spellStart"/>
      <w:r w:rsidRPr="00F4792A">
        <w:rPr>
          <w:rFonts w:ascii="Arial" w:hAnsi="Arial" w:cs="Arial"/>
          <w:color w:val="000000"/>
          <w:lang w:val="en-PH"/>
        </w:rPr>
        <w:t>Bafera</w:t>
      </w:r>
      <w:proofErr w:type="spellEnd"/>
      <w:r w:rsidRPr="00F4792A">
        <w:rPr>
          <w:rFonts w:ascii="Arial" w:hAnsi="Arial" w:cs="Arial"/>
          <w:color w:val="000000"/>
          <w:lang w:val="en-PH"/>
        </w:rPr>
        <w:t xml:space="preserve"> &amp; Kleinert, 2023). Research also shows that ranking details make a university seem more unique and credible in the higher education market (</w:t>
      </w:r>
      <w:proofErr w:type="spellStart"/>
      <w:r w:rsidRPr="00F4792A">
        <w:rPr>
          <w:rFonts w:ascii="Arial" w:hAnsi="Arial" w:cs="Arial"/>
          <w:color w:val="000000"/>
          <w:lang w:val="en-PH"/>
        </w:rPr>
        <w:t>Kethüda</w:t>
      </w:r>
      <w:proofErr w:type="spellEnd"/>
      <w:r w:rsidRPr="00F4792A">
        <w:rPr>
          <w:rFonts w:ascii="Arial" w:hAnsi="Arial" w:cs="Arial"/>
          <w:color w:val="000000"/>
          <w:lang w:val="en-PH"/>
        </w:rPr>
        <w:t>, 2022), which supports the idea that prestige signals next to tuition help legitimize the institution.</w:t>
      </w:r>
    </w:p>
    <w:p w14:paraId="6E485105"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Digital transparency and clear ways for users to interact online make these effects even stronger. When information is easy to find, people are more likely to trust the institution (Ramírez &amp; Montero, 2024). Well-designed websites also guide users’ decisions in important situations (Dwivedi et al., 2023). As a result, tuition webpages serve several roles at once: they shape interpretation, build reputation, and encourage action.</w:t>
      </w:r>
    </w:p>
    <w:p w14:paraId="67591B09"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By showing how tuition communication combines storytelling, institutional signals, and digital design, this study expands how framing and signaling theories are used in today’s higher education websites.</w:t>
      </w:r>
    </w:p>
    <w:p w14:paraId="606F099A" w14:textId="77777777" w:rsidR="00F4792A" w:rsidRPr="00F4792A" w:rsidRDefault="00F4792A" w:rsidP="00F4792A">
      <w:pPr>
        <w:rPr>
          <w:rFonts w:ascii="Arial" w:hAnsi="Arial" w:cs="Arial"/>
          <w:sz w:val="22"/>
          <w:szCs w:val="22"/>
          <w:lang w:val="en-PH"/>
        </w:rPr>
      </w:pPr>
    </w:p>
    <w:p w14:paraId="1ED030EA"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4.6 Implications and Future Research</w:t>
      </w:r>
    </w:p>
    <w:p w14:paraId="33F13DED" w14:textId="77777777" w:rsidR="00F4792A" w:rsidRPr="00F4792A" w:rsidRDefault="00F4792A" w:rsidP="00F4792A">
      <w:pPr>
        <w:rPr>
          <w:rFonts w:ascii="Arial" w:hAnsi="Arial" w:cs="Arial"/>
          <w:sz w:val="22"/>
          <w:szCs w:val="22"/>
          <w:lang w:val="en-PH"/>
        </w:rPr>
      </w:pPr>
    </w:p>
    <w:p w14:paraId="48E17A6C"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The findings show that tuition communication should go beyond simply sharing procedures and instead focus on strategic integration. When clear cost information is combined with outcome indicators, prestige signals, and clear calls-to-action (CTA), it builds credibility and encourages action in digital recruitment settings.</w:t>
      </w:r>
    </w:p>
    <w:p w14:paraId="0D226C76" w14:textId="12188D8C" w:rsidR="00F4792A" w:rsidRDefault="00F4792A" w:rsidP="00F4792A">
      <w:pPr>
        <w:rPr>
          <w:rFonts w:ascii="Arial" w:hAnsi="Arial" w:cs="Arial"/>
          <w:color w:val="000000"/>
          <w:lang w:val="en-PH"/>
        </w:rPr>
      </w:pPr>
      <w:r w:rsidRPr="00F4792A">
        <w:rPr>
          <w:rFonts w:ascii="Arial" w:hAnsi="Arial" w:cs="Arial"/>
          <w:color w:val="000000"/>
          <w:lang w:val="en-PH"/>
        </w:rPr>
        <w:t>This study points out that researchers should look more closely at how different ways of framing and signaling affect how people see a school’s value and their intention to enroll. Experiments could compare the effects of investment framing, prestige signals, and where calls to action are placed on decision-making. Comparing results across regions and cultures could also show how the market context changes the success of tuition communication strategie</w:t>
      </w:r>
      <w:r>
        <w:rPr>
          <w:rFonts w:ascii="Arial" w:hAnsi="Arial" w:cs="Arial"/>
          <w:color w:val="000000"/>
          <w:lang w:val="en-PH"/>
        </w:rPr>
        <w:t>s.</w:t>
      </w:r>
    </w:p>
    <w:p w14:paraId="7FF20AF2" w14:textId="77777777" w:rsidR="00F4792A" w:rsidRPr="00F4792A" w:rsidRDefault="00F4792A" w:rsidP="00F4792A">
      <w:pPr>
        <w:rPr>
          <w:rFonts w:ascii="Arial" w:hAnsi="Arial" w:cs="Arial"/>
          <w:color w:val="000000"/>
          <w:sz w:val="22"/>
          <w:szCs w:val="22"/>
          <w:lang w:val="en-PH"/>
        </w:rPr>
      </w:pPr>
    </w:p>
    <w:p w14:paraId="564B2906"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t>5. LIMITATIONS OF THE STUDY</w:t>
      </w:r>
    </w:p>
    <w:p w14:paraId="1C71A1B9" w14:textId="77777777" w:rsidR="00F4792A" w:rsidRPr="00F4792A" w:rsidRDefault="00F4792A" w:rsidP="00F4792A">
      <w:pPr>
        <w:rPr>
          <w:rFonts w:ascii="Arial" w:hAnsi="Arial" w:cs="Arial"/>
          <w:sz w:val="22"/>
          <w:szCs w:val="22"/>
          <w:lang w:val="en-PH"/>
        </w:rPr>
      </w:pPr>
    </w:p>
    <w:p w14:paraId="4E56082E"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This study has several limitations. First, the sample included six private universities ranked in the QS World University Rankings 2026 (200–500 band) and one university from the Philippines. This helped keep the institutions structurally similar, but the results cannot be generalized to all higher education institutions.</w:t>
      </w:r>
    </w:p>
    <w:p w14:paraId="55849B9C"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Second, the analysis only used publicly available English-language tuition webpages. Institutions that mainly share tuition information in other languages were not part of the study.</w:t>
      </w:r>
    </w:p>
    <w:p w14:paraId="5B5293C6"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Third, the study looked only at how institutions communicate on their websites and did not consider student opinions or behaviors. Since one researcher conducted the qualitative analysis, intercoder reliability was not used, but structured coding was followed to keep the analysis thorough.</w:t>
      </w:r>
    </w:p>
    <w:p w14:paraId="09FC068C" w14:textId="77777777" w:rsidR="00F4792A" w:rsidRPr="00F4792A" w:rsidRDefault="00F4792A" w:rsidP="00F4792A">
      <w:pPr>
        <w:rPr>
          <w:rFonts w:ascii="Times New Roman" w:hAnsi="Times New Roman"/>
          <w:sz w:val="24"/>
          <w:szCs w:val="24"/>
          <w:lang w:val="en-PH"/>
        </w:rPr>
      </w:pPr>
    </w:p>
    <w:p w14:paraId="2493E6C1" w14:textId="77777777" w:rsidR="00F4792A" w:rsidRPr="00F4792A" w:rsidRDefault="00F4792A" w:rsidP="00F4792A">
      <w:pPr>
        <w:rPr>
          <w:rFonts w:ascii="Times New Roman" w:hAnsi="Times New Roman"/>
          <w:sz w:val="24"/>
          <w:szCs w:val="24"/>
          <w:lang w:val="en-PH"/>
        </w:rPr>
      </w:pPr>
      <w:r w:rsidRPr="00F4792A">
        <w:rPr>
          <w:rFonts w:ascii="Arial" w:hAnsi="Arial" w:cs="Arial"/>
          <w:b/>
          <w:bCs/>
          <w:color w:val="000000"/>
          <w:sz w:val="22"/>
          <w:szCs w:val="22"/>
          <w:lang w:val="en-PH"/>
        </w:rPr>
        <w:lastRenderedPageBreak/>
        <w:t>6. CONCLUSION</w:t>
      </w:r>
    </w:p>
    <w:p w14:paraId="59082EF0" w14:textId="77777777" w:rsidR="00F4792A" w:rsidRPr="00F4792A" w:rsidRDefault="00F4792A" w:rsidP="00F4792A">
      <w:pPr>
        <w:rPr>
          <w:rFonts w:ascii="Arial" w:hAnsi="Arial" w:cs="Arial"/>
          <w:sz w:val="22"/>
          <w:szCs w:val="22"/>
          <w:lang w:val="en-PH"/>
        </w:rPr>
      </w:pPr>
    </w:p>
    <w:p w14:paraId="29FD8933" w14:textId="77777777" w:rsidR="00F4792A" w:rsidRPr="00F4792A" w:rsidRDefault="00F4792A" w:rsidP="00F4792A">
      <w:pPr>
        <w:rPr>
          <w:rFonts w:ascii="Times New Roman" w:hAnsi="Times New Roman"/>
          <w:sz w:val="24"/>
          <w:szCs w:val="24"/>
          <w:lang w:val="en-PH"/>
        </w:rPr>
      </w:pPr>
      <w:r w:rsidRPr="00F4792A">
        <w:rPr>
          <w:rFonts w:ascii="Arial" w:hAnsi="Arial" w:cs="Arial"/>
          <w:color w:val="000000"/>
          <w:lang w:val="en-PH"/>
        </w:rPr>
        <w:t>This study shows that tuition webpages act as mixed communication spaces where framing, signaling, and digital engagement come together. At top-ranked universities, tuition is rarely shown as just a financial detail. Instead, it is part of stories about investment, prestige, and future job prospects, supported by clear institutional signals and prompts for user action.</w:t>
      </w:r>
    </w:p>
    <w:p w14:paraId="59C6BB33" w14:textId="66D00549" w:rsidR="00F4792A" w:rsidRDefault="00F4792A" w:rsidP="00F4792A">
      <w:pPr>
        <w:rPr>
          <w:rFonts w:ascii="Times New Roman" w:hAnsi="Times New Roman"/>
          <w:sz w:val="24"/>
          <w:szCs w:val="24"/>
          <w:lang w:val="en-PH"/>
        </w:rPr>
      </w:pPr>
      <w:r w:rsidRPr="00F4792A">
        <w:rPr>
          <w:rFonts w:ascii="Arial" w:hAnsi="Arial" w:cs="Arial"/>
          <w:color w:val="000000"/>
          <w:lang w:val="en-PH"/>
        </w:rPr>
        <w:t>By using both Framing Theory and Signaling Theory, this study finds that tuition communication is both a way to shape meaning and a strategy for positioning in the digital higher education market. Although transparency is common worldwide, how strongly value is emphasized depends on the institution and its competition. As a result, tuition pages are not just sources of information. They are also tools that help institutions build legitimacy, explain their prices, and influence how prospective students see them in a more market-driven environment.</w:t>
      </w:r>
    </w:p>
    <w:p w14:paraId="23CAE732" w14:textId="77777777" w:rsidR="00595642" w:rsidRPr="00595642" w:rsidRDefault="00595642" w:rsidP="00F4792A">
      <w:pPr>
        <w:rPr>
          <w:rFonts w:ascii="Arial" w:hAnsi="Arial" w:cs="Arial"/>
          <w:sz w:val="22"/>
          <w:szCs w:val="22"/>
          <w:lang w:val="en-PH"/>
        </w:rPr>
      </w:pPr>
    </w:p>
    <w:p w14:paraId="74C0796B" w14:textId="542B7767" w:rsidR="001759BF" w:rsidRDefault="001759BF" w:rsidP="00595642">
      <w:pPr>
        <w:pStyle w:val="NormalWeb"/>
        <w:spacing w:before="0" w:beforeAutospacing="0" w:after="0" w:afterAutospacing="0"/>
        <w:jc w:val="both"/>
        <w:rPr>
          <w:rFonts w:ascii="Arial" w:hAnsi="Arial" w:cs="Arial"/>
          <w:color w:val="000000"/>
          <w:sz w:val="20"/>
          <w:szCs w:val="20"/>
        </w:rPr>
      </w:pPr>
    </w:p>
    <w:p w14:paraId="09A4C679" w14:textId="77777777" w:rsidR="00995D52" w:rsidRPr="00995D52" w:rsidRDefault="00995D52" w:rsidP="00595642">
      <w:pPr>
        <w:pStyle w:val="NormalWeb"/>
        <w:spacing w:before="0" w:beforeAutospacing="0" w:after="0" w:afterAutospacing="0"/>
        <w:jc w:val="both"/>
        <w:rPr>
          <w:rFonts w:ascii="Arial" w:hAnsi="Arial" w:cs="Arial"/>
          <w:color w:val="000000"/>
          <w:sz w:val="22"/>
          <w:szCs w:val="22"/>
        </w:rPr>
      </w:pPr>
    </w:p>
    <w:p w14:paraId="3799A59F" w14:textId="48EDE4F7" w:rsidR="00995D52" w:rsidRDefault="00995D52" w:rsidP="00995D52">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REFERENCES</w:t>
      </w:r>
    </w:p>
    <w:p w14:paraId="521CF432" w14:textId="77777777" w:rsidR="00995D52" w:rsidRDefault="00995D52" w:rsidP="00995D52">
      <w:pPr>
        <w:pStyle w:val="NormalWeb"/>
        <w:spacing w:before="0" w:beforeAutospacing="0" w:after="0" w:afterAutospacing="0"/>
        <w:rPr>
          <w:rFonts w:ascii="Arial" w:hAnsi="Arial" w:cs="Arial"/>
          <w:b/>
          <w:bCs/>
          <w:color w:val="000000"/>
          <w:sz w:val="20"/>
          <w:szCs w:val="20"/>
        </w:rPr>
      </w:pPr>
    </w:p>
    <w:p w14:paraId="4C2211C1"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Arfan, T., </w:t>
      </w:r>
      <w:proofErr w:type="spellStart"/>
      <w:r w:rsidRPr="00995D52">
        <w:rPr>
          <w:rFonts w:ascii="Arial" w:hAnsi="Arial" w:cs="Arial"/>
          <w:color w:val="000000"/>
          <w:lang w:val="en-PH"/>
        </w:rPr>
        <w:t>Yasoa</w:t>
      </w:r>
      <w:proofErr w:type="spellEnd"/>
      <w:r w:rsidRPr="00995D52">
        <w:rPr>
          <w:rFonts w:ascii="Arial" w:hAnsi="Arial" w:cs="Arial"/>
          <w:color w:val="000000"/>
          <w:lang w:val="en-PH"/>
        </w:rPr>
        <w:t xml:space="preserve">’, M. R., Zainuddin, S. A., &amp; Kamaruddin, M. (2025). </w:t>
      </w:r>
      <w:r w:rsidRPr="00995D52">
        <w:rPr>
          <w:rFonts w:ascii="Arial" w:hAnsi="Arial" w:cs="Arial"/>
          <w:i/>
          <w:iCs/>
          <w:color w:val="000000"/>
          <w:lang w:val="en-PH"/>
        </w:rPr>
        <w:t>Mapping the knowledge landscape of tuition fee research in higher education: A bibliometric review with insights for future</w:t>
      </w:r>
      <w:r w:rsidRPr="00995D52">
        <w:rPr>
          <w:rFonts w:ascii="Arial" w:hAnsi="Arial" w:cs="Arial"/>
          <w:color w:val="000000"/>
          <w:lang w:val="en-PH"/>
        </w:rPr>
        <w:t>. Environment-</w:t>
      </w:r>
      <w:proofErr w:type="spellStart"/>
      <w:r w:rsidRPr="00995D52">
        <w:rPr>
          <w:rFonts w:ascii="Arial" w:hAnsi="Arial" w:cs="Arial"/>
          <w:color w:val="000000"/>
          <w:lang w:val="en-PH"/>
        </w:rPr>
        <w:t>Behaviour</w:t>
      </w:r>
      <w:proofErr w:type="spellEnd"/>
      <w:r w:rsidRPr="00995D52">
        <w:rPr>
          <w:rFonts w:ascii="Arial" w:hAnsi="Arial" w:cs="Arial"/>
          <w:color w:val="000000"/>
          <w:lang w:val="en-PH"/>
        </w:rPr>
        <w:t xml:space="preserve"> Proceedings Journal, 10(SI37), 57–64. </w:t>
      </w:r>
      <w:hyperlink r:id="rId14" w:history="1">
        <w:r w:rsidRPr="00995D52">
          <w:rPr>
            <w:rFonts w:ascii="Arial" w:hAnsi="Arial" w:cs="Arial"/>
            <w:color w:val="000000"/>
            <w:lang w:val="en-PH"/>
          </w:rPr>
          <w:t>https://doi.org/10.21834/e-bpj.v10iSI37.7620</w:t>
        </w:r>
      </w:hyperlink>
    </w:p>
    <w:p w14:paraId="520FF4D3"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Asian Development Bank. (2012). </w:t>
      </w:r>
      <w:r w:rsidRPr="00995D52">
        <w:rPr>
          <w:rFonts w:ascii="Arial" w:hAnsi="Arial" w:cs="Arial"/>
          <w:i/>
          <w:iCs/>
          <w:color w:val="000000"/>
          <w:lang w:val="en-PH"/>
        </w:rPr>
        <w:t>Private higher education across Asia: Expanding access, searching for quality</w:t>
      </w:r>
      <w:r w:rsidRPr="00995D52">
        <w:rPr>
          <w:rFonts w:ascii="Arial" w:hAnsi="Arial" w:cs="Arial"/>
          <w:color w:val="000000"/>
          <w:lang w:val="en-PH"/>
        </w:rPr>
        <w:t>. Asian Development Bank.</w:t>
      </w:r>
      <w:hyperlink r:id="rId15" w:history="1">
        <w:r w:rsidRPr="00995D52">
          <w:rPr>
            <w:rFonts w:ascii="Arial" w:hAnsi="Arial" w:cs="Arial"/>
            <w:color w:val="000000"/>
            <w:lang w:val="en-PH"/>
          </w:rPr>
          <w:t xml:space="preserve"> https://www.adb.org/sites/default/files/publication/29869/private-higher-education-across-asia.pdf</w:t>
        </w:r>
      </w:hyperlink>
    </w:p>
    <w:p w14:paraId="49302914"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Badiuzzaman, M. D. (2025). </w:t>
      </w:r>
      <w:r w:rsidRPr="00995D52">
        <w:rPr>
          <w:rFonts w:ascii="Arial" w:hAnsi="Arial" w:cs="Arial"/>
          <w:i/>
          <w:iCs/>
          <w:color w:val="000000"/>
          <w:lang w:val="en-PH"/>
        </w:rPr>
        <w:t>Unpacking the metrics: A critical analysis of the 2025 QS World University Rankings using Australian university data</w:t>
      </w:r>
      <w:r w:rsidRPr="00995D52">
        <w:rPr>
          <w:rFonts w:ascii="Arial" w:hAnsi="Arial" w:cs="Arial"/>
          <w:color w:val="000000"/>
          <w:lang w:val="en-PH"/>
        </w:rPr>
        <w:t xml:space="preserve">. Frontiers in Education, 10, Article 1619897. </w:t>
      </w:r>
      <w:hyperlink r:id="rId16" w:history="1">
        <w:r w:rsidRPr="00995D52">
          <w:rPr>
            <w:rFonts w:ascii="Arial" w:hAnsi="Arial" w:cs="Arial"/>
            <w:color w:val="000000"/>
            <w:lang w:val="en-PH"/>
          </w:rPr>
          <w:t>https://doi.org/10.3389/feduc.2025.1619897</w:t>
        </w:r>
      </w:hyperlink>
      <w:r w:rsidRPr="00995D52">
        <w:rPr>
          <w:rFonts w:ascii="Arial" w:hAnsi="Arial" w:cs="Arial"/>
          <w:color w:val="000000"/>
          <w:lang w:val="en-PH"/>
        </w:rPr>
        <w:t> </w:t>
      </w:r>
    </w:p>
    <w:p w14:paraId="57A4C9B8" w14:textId="77777777" w:rsidR="00995D52" w:rsidRPr="00995D52" w:rsidRDefault="00995D52" w:rsidP="00995D52">
      <w:pPr>
        <w:ind w:left="540" w:hanging="540"/>
        <w:rPr>
          <w:rFonts w:ascii="Arial" w:hAnsi="Arial" w:cs="Arial"/>
          <w:lang w:val="en-PH"/>
        </w:rPr>
      </w:pPr>
      <w:proofErr w:type="spellStart"/>
      <w:r w:rsidRPr="00995D52">
        <w:rPr>
          <w:rFonts w:ascii="Arial" w:hAnsi="Arial" w:cs="Arial"/>
          <w:color w:val="000000"/>
          <w:lang w:val="en-PH"/>
        </w:rPr>
        <w:t>Bafera</w:t>
      </w:r>
      <w:proofErr w:type="spellEnd"/>
      <w:r w:rsidRPr="00995D52">
        <w:rPr>
          <w:rFonts w:ascii="Arial" w:hAnsi="Arial" w:cs="Arial"/>
          <w:color w:val="000000"/>
          <w:lang w:val="en-PH"/>
        </w:rPr>
        <w:t xml:space="preserve">, J., &amp; Kleinert, S. (2023). Signaling theory in entrepreneurship research: A systematic review and research agenda. </w:t>
      </w:r>
      <w:r w:rsidRPr="00995D52">
        <w:rPr>
          <w:rFonts w:ascii="Arial" w:hAnsi="Arial" w:cs="Arial"/>
          <w:i/>
          <w:iCs/>
          <w:color w:val="000000"/>
          <w:lang w:val="en-PH"/>
        </w:rPr>
        <w:t>Entrepreneurship Theory and Practice, 47</w:t>
      </w:r>
      <w:r w:rsidRPr="00995D52">
        <w:rPr>
          <w:rFonts w:ascii="Arial" w:hAnsi="Arial" w:cs="Arial"/>
          <w:color w:val="000000"/>
          <w:lang w:val="en-PH"/>
        </w:rPr>
        <w:t xml:space="preserve">(6), 2419–2464. </w:t>
      </w:r>
      <w:hyperlink r:id="rId17" w:history="1">
        <w:r w:rsidRPr="00995D52">
          <w:rPr>
            <w:rFonts w:ascii="Arial" w:hAnsi="Arial" w:cs="Arial"/>
            <w:color w:val="000000"/>
            <w:lang w:val="en-PH"/>
          </w:rPr>
          <w:t>https://doi.org/10.1177/10422587221138489</w:t>
        </w:r>
      </w:hyperlink>
      <w:r w:rsidRPr="00995D52">
        <w:rPr>
          <w:rFonts w:ascii="Arial" w:hAnsi="Arial" w:cs="Arial"/>
          <w:color w:val="000000"/>
          <w:lang w:val="en-PH"/>
        </w:rPr>
        <w:t> </w:t>
      </w:r>
    </w:p>
    <w:p w14:paraId="67DB6F6F"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Berk, N. (2025). The Impact of Media Framing in Complex Information Environments. Political Communication, 42(5), 757–773. </w:t>
      </w:r>
      <w:hyperlink r:id="rId18" w:history="1">
        <w:r w:rsidRPr="00995D52">
          <w:rPr>
            <w:rFonts w:ascii="Arial" w:hAnsi="Arial" w:cs="Arial"/>
            <w:color w:val="000000"/>
            <w:lang w:val="en-PH"/>
          </w:rPr>
          <w:t>https://doi.org/10.1080/10584609.2025.2456519</w:t>
        </w:r>
      </w:hyperlink>
    </w:p>
    <w:p w14:paraId="684EDC20"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Bowen, G. A. (2009). Document analysis as a qualitative research method. </w:t>
      </w:r>
      <w:r w:rsidRPr="00995D52">
        <w:rPr>
          <w:rFonts w:ascii="Arial" w:hAnsi="Arial" w:cs="Arial"/>
          <w:i/>
          <w:iCs/>
          <w:color w:val="000000"/>
          <w:lang w:val="en-PH"/>
        </w:rPr>
        <w:t>Qualitative Research Journal, 9</w:t>
      </w:r>
      <w:r w:rsidRPr="00995D52">
        <w:rPr>
          <w:rFonts w:ascii="Arial" w:hAnsi="Arial" w:cs="Arial"/>
          <w:color w:val="000000"/>
          <w:lang w:val="en-PH"/>
        </w:rPr>
        <w:t>(2), 27–40.</w:t>
      </w:r>
      <w:hyperlink r:id="rId19" w:history="1">
        <w:r w:rsidRPr="00995D52">
          <w:rPr>
            <w:rFonts w:ascii="Arial" w:hAnsi="Arial" w:cs="Arial"/>
            <w:color w:val="000000"/>
            <w:lang w:val="en-PH"/>
          </w:rPr>
          <w:t xml:space="preserve"> https://doi.org/10.3316/QRJ0902027</w:t>
        </w:r>
      </w:hyperlink>
    </w:p>
    <w:p w14:paraId="345F998F"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Camilleri, M. A. (2019). </w:t>
      </w:r>
      <w:r w:rsidRPr="00995D52">
        <w:rPr>
          <w:rFonts w:ascii="Arial" w:hAnsi="Arial" w:cs="Arial"/>
          <w:i/>
          <w:iCs/>
          <w:color w:val="000000"/>
          <w:lang w:val="en-PH"/>
        </w:rPr>
        <w:t>Higher education marketing: Opportunities and challenges in the digital era</w:t>
      </w:r>
      <w:r w:rsidRPr="00995D52">
        <w:rPr>
          <w:rFonts w:ascii="Arial" w:hAnsi="Arial" w:cs="Arial"/>
          <w:color w:val="000000"/>
          <w:lang w:val="en-PH"/>
        </w:rPr>
        <w:t xml:space="preserve">. Academia. </w:t>
      </w:r>
      <w:hyperlink r:id="rId20" w:history="1">
        <w:r w:rsidRPr="00995D52">
          <w:rPr>
            <w:rFonts w:ascii="Arial" w:hAnsi="Arial" w:cs="Arial"/>
            <w:color w:val="000000"/>
            <w:lang w:val="en-PH"/>
          </w:rPr>
          <w:t>https://doi.org/10.26220/aca.3169</w:t>
        </w:r>
      </w:hyperlink>
    </w:p>
    <w:p w14:paraId="5292C5EF"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Connelly, B. L., Certo, S. T., Ireland, R. D., &amp; Reutzel, C. R. (2011). Signaling theory: A review and assessment. </w:t>
      </w:r>
      <w:r w:rsidRPr="00995D52">
        <w:rPr>
          <w:rFonts w:ascii="Arial" w:hAnsi="Arial" w:cs="Arial"/>
          <w:i/>
          <w:iCs/>
          <w:color w:val="000000"/>
          <w:lang w:val="en-PH"/>
        </w:rPr>
        <w:t>Journal of Management, 37</w:t>
      </w:r>
      <w:r w:rsidRPr="00995D52">
        <w:rPr>
          <w:rFonts w:ascii="Arial" w:hAnsi="Arial" w:cs="Arial"/>
          <w:color w:val="000000"/>
          <w:lang w:val="en-PH"/>
        </w:rPr>
        <w:t xml:space="preserve">(1), 39–67. </w:t>
      </w:r>
      <w:hyperlink r:id="rId21" w:history="1">
        <w:r w:rsidRPr="00995D52">
          <w:rPr>
            <w:rFonts w:ascii="Arial" w:hAnsi="Arial" w:cs="Arial"/>
            <w:color w:val="000000"/>
            <w:lang w:val="en-PH"/>
          </w:rPr>
          <w:t>https://doi.org/10.1177/0149206310388419</w:t>
        </w:r>
      </w:hyperlink>
    </w:p>
    <w:p w14:paraId="63C04A7F"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Davis, L. A., Wolniak, G. C., George, C. E., &amp; Nelson, G. R. (2019). Demystifying tuition? A content analysis of the information quality of public college and university websites. </w:t>
      </w:r>
      <w:r w:rsidRPr="00995D52">
        <w:rPr>
          <w:rFonts w:ascii="Arial" w:hAnsi="Arial" w:cs="Arial"/>
          <w:i/>
          <w:iCs/>
          <w:color w:val="000000"/>
          <w:lang w:val="en-PH"/>
        </w:rPr>
        <w:t>AERA Open, 5</w:t>
      </w:r>
      <w:r w:rsidRPr="00995D52">
        <w:rPr>
          <w:rFonts w:ascii="Arial" w:hAnsi="Arial" w:cs="Arial"/>
          <w:color w:val="000000"/>
          <w:lang w:val="en-PH"/>
        </w:rPr>
        <w:t>(3), 1–27.</w:t>
      </w:r>
      <w:hyperlink r:id="rId22" w:history="1">
        <w:r w:rsidRPr="00995D52">
          <w:rPr>
            <w:rFonts w:ascii="Arial" w:hAnsi="Arial" w:cs="Arial"/>
            <w:color w:val="000000"/>
            <w:lang w:val="en-PH"/>
          </w:rPr>
          <w:t xml:space="preserve"> https://doi.org/10.1177/2332858419867650</w:t>
        </w:r>
      </w:hyperlink>
    </w:p>
    <w:p w14:paraId="62F6E0D2"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De Boer, H., Huisman, J., &amp; Seeber, M. (2022). The impact of performance-based funding on higher education institutions. </w:t>
      </w:r>
      <w:r w:rsidRPr="00995D52">
        <w:rPr>
          <w:rFonts w:ascii="Arial" w:hAnsi="Arial" w:cs="Arial"/>
          <w:i/>
          <w:iCs/>
          <w:color w:val="000000"/>
          <w:lang w:val="en-PH"/>
        </w:rPr>
        <w:t>Higher Education Quarterly, 76</w:t>
      </w:r>
      <w:r w:rsidRPr="00995D52">
        <w:rPr>
          <w:rFonts w:ascii="Arial" w:hAnsi="Arial" w:cs="Arial"/>
          <w:color w:val="000000"/>
          <w:lang w:val="en-PH"/>
        </w:rPr>
        <w:t xml:space="preserve">(2), 211–227. </w:t>
      </w:r>
      <w:hyperlink r:id="rId23" w:history="1">
        <w:r w:rsidRPr="00995D52">
          <w:rPr>
            <w:rFonts w:ascii="Arial" w:hAnsi="Arial" w:cs="Arial"/>
            <w:color w:val="000000"/>
            <w:lang w:val="en-PH"/>
          </w:rPr>
          <w:t>https://doi.org/10.1111/hequ.12335</w:t>
        </w:r>
      </w:hyperlink>
      <w:r w:rsidRPr="00995D52">
        <w:rPr>
          <w:rFonts w:ascii="Arial" w:hAnsi="Arial" w:cs="Arial"/>
          <w:color w:val="000000"/>
          <w:lang w:val="en-PH"/>
        </w:rPr>
        <w:t> </w:t>
      </w:r>
    </w:p>
    <w:p w14:paraId="341BCDB4"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de Vreese, C. H. (2012). New avenues for framing research. </w:t>
      </w:r>
      <w:r w:rsidRPr="00995D52">
        <w:rPr>
          <w:rFonts w:ascii="Arial" w:hAnsi="Arial" w:cs="Arial"/>
          <w:i/>
          <w:iCs/>
          <w:color w:val="000000"/>
          <w:lang w:val="en-PH"/>
        </w:rPr>
        <w:t>American Behavioral Scientist, 56</w:t>
      </w:r>
      <w:r w:rsidRPr="00995D52">
        <w:rPr>
          <w:rFonts w:ascii="Arial" w:hAnsi="Arial" w:cs="Arial"/>
          <w:color w:val="000000"/>
          <w:lang w:val="en-PH"/>
        </w:rPr>
        <w:t xml:space="preserve">(3), 365–375. </w:t>
      </w:r>
      <w:hyperlink r:id="rId24" w:history="1">
        <w:r w:rsidRPr="00995D52">
          <w:rPr>
            <w:rFonts w:ascii="Arial" w:hAnsi="Arial" w:cs="Arial"/>
            <w:color w:val="000000"/>
            <w:lang w:val="en-PH"/>
          </w:rPr>
          <w:t>https://doi.org/10.1177/0002764211426331</w:t>
        </w:r>
      </w:hyperlink>
    </w:p>
    <w:p w14:paraId="29AF3E12"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Dwivedi, Y. K., </w:t>
      </w:r>
      <w:proofErr w:type="spellStart"/>
      <w:r w:rsidRPr="00995D52">
        <w:rPr>
          <w:rFonts w:ascii="Arial" w:hAnsi="Arial" w:cs="Arial"/>
          <w:color w:val="000000"/>
          <w:lang w:val="en-PH"/>
        </w:rPr>
        <w:t>Ismagilova</w:t>
      </w:r>
      <w:proofErr w:type="spellEnd"/>
      <w:r w:rsidRPr="00995D52">
        <w:rPr>
          <w:rFonts w:ascii="Arial" w:hAnsi="Arial" w:cs="Arial"/>
          <w:color w:val="000000"/>
          <w:lang w:val="en-PH"/>
        </w:rPr>
        <w:t xml:space="preserve">, E., Hughes, D. L., Carlson, J., </w:t>
      </w:r>
      <w:proofErr w:type="spellStart"/>
      <w:r w:rsidRPr="00995D52">
        <w:rPr>
          <w:rFonts w:ascii="Arial" w:hAnsi="Arial" w:cs="Arial"/>
          <w:color w:val="000000"/>
          <w:lang w:val="en-PH"/>
        </w:rPr>
        <w:t>Filieri</w:t>
      </w:r>
      <w:proofErr w:type="spellEnd"/>
      <w:r w:rsidRPr="00995D52">
        <w:rPr>
          <w:rFonts w:ascii="Arial" w:hAnsi="Arial" w:cs="Arial"/>
          <w:color w:val="000000"/>
          <w:lang w:val="en-PH"/>
        </w:rPr>
        <w:t xml:space="preserve">, R., Jacobson, J., Jain, V., Karjaluoto, H., </w:t>
      </w:r>
      <w:proofErr w:type="spellStart"/>
      <w:r w:rsidRPr="00995D52">
        <w:rPr>
          <w:rFonts w:ascii="Arial" w:hAnsi="Arial" w:cs="Arial"/>
          <w:color w:val="000000"/>
          <w:lang w:val="en-PH"/>
        </w:rPr>
        <w:t>Kefi</w:t>
      </w:r>
      <w:proofErr w:type="spellEnd"/>
      <w:r w:rsidRPr="00995D52">
        <w:rPr>
          <w:rFonts w:ascii="Arial" w:hAnsi="Arial" w:cs="Arial"/>
          <w:color w:val="000000"/>
          <w:lang w:val="en-PH"/>
        </w:rPr>
        <w:t xml:space="preserve">, H., Krishen, A. S., Kumar, V., Rahman, M. M., Raman, R., </w:t>
      </w:r>
      <w:proofErr w:type="spellStart"/>
      <w:r w:rsidRPr="00995D52">
        <w:rPr>
          <w:rFonts w:ascii="Arial" w:hAnsi="Arial" w:cs="Arial"/>
          <w:color w:val="000000"/>
          <w:lang w:val="en-PH"/>
        </w:rPr>
        <w:t>Rauschnabel</w:t>
      </w:r>
      <w:proofErr w:type="spellEnd"/>
      <w:r w:rsidRPr="00995D52">
        <w:rPr>
          <w:rFonts w:ascii="Arial" w:hAnsi="Arial" w:cs="Arial"/>
          <w:color w:val="000000"/>
          <w:lang w:val="en-PH"/>
        </w:rPr>
        <w:t xml:space="preserve">, P. A., Rowley, J., Salo, J., Tran, G. A., &amp; Wang, Y. (2021). </w:t>
      </w:r>
      <w:r w:rsidRPr="00995D52">
        <w:rPr>
          <w:rFonts w:ascii="Arial" w:hAnsi="Arial" w:cs="Arial"/>
          <w:i/>
          <w:iCs/>
          <w:color w:val="000000"/>
          <w:lang w:val="en-PH"/>
        </w:rPr>
        <w:t xml:space="preserve">Setting the </w:t>
      </w:r>
      <w:r w:rsidRPr="00995D52">
        <w:rPr>
          <w:rFonts w:ascii="Arial" w:hAnsi="Arial" w:cs="Arial"/>
          <w:i/>
          <w:iCs/>
          <w:color w:val="000000"/>
          <w:lang w:val="en-PH"/>
        </w:rPr>
        <w:lastRenderedPageBreak/>
        <w:t>future of digital and social media marketing research: Perspectives and research propositions</w:t>
      </w:r>
      <w:r w:rsidRPr="00995D52">
        <w:rPr>
          <w:rFonts w:ascii="Arial" w:hAnsi="Arial" w:cs="Arial"/>
          <w:color w:val="000000"/>
          <w:lang w:val="en-PH"/>
        </w:rPr>
        <w:t>. International Journal of Information Management, 59, Article 102168.</w:t>
      </w:r>
      <w:hyperlink r:id="rId25" w:history="1">
        <w:r w:rsidRPr="00995D52">
          <w:rPr>
            <w:rFonts w:ascii="Arial" w:hAnsi="Arial" w:cs="Arial"/>
            <w:color w:val="000000"/>
            <w:lang w:val="en-PH"/>
          </w:rPr>
          <w:t xml:space="preserve"> https://doi.org/10.1016/j.ijinfomgt.2020.102168</w:t>
        </w:r>
      </w:hyperlink>
    </w:p>
    <w:p w14:paraId="42ECFD8C"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Ehrmantraut, L., Pinger, P., &amp; Stans, R. (2020). </w:t>
      </w:r>
      <w:r w:rsidRPr="00995D52">
        <w:rPr>
          <w:rFonts w:ascii="Arial" w:hAnsi="Arial" w:cs="Arial"/>
          <w:i/>
          <w:iCs/>
          <w:color w:val="000000"/>
          <w:lang w:val="en-PH"/>
        </w:rPr>
        <w:t>The expected (signaling) value of higher education</w:t>
      </w:r>
      <w:r w:rsidRPr="00995D52">
        <w:rPr>
          <w:rFonts w:ascii="Arial" w:hAnsi="Arial" w:cs="Arial"/>
          <w:color w:val="000000"/>
          <w:lang w:val="en-PH"/>
        </w:rPr>
        <w:t xml:space="preserve"> (IZA Discussion Paper No. 13729). Institute of Labor Economics (IZA).</w:t>
      </w:r>
      <w:hyperlink r:id="rId26" w:history="1">
        <w:r w:rsidRPr="00995D52">
          <w:rPr>
            <w:rFonts w:ascii="Arial" w:hAnsi="Arial" w:cs="Arial"/>
            <w:color w:val="000000"/>
            <w:lang w:val="en-PH"/>
          </w:rPr>
          <w:t xml:space="preserve"> https://www.iza.org/publications/dp/13729/the-expected-signaling-value-of-higher-education</w:t>
        </w:r>
      </w:hyperlink>
    </w:p>
    <w:p w14:paraId="18C7C8DE" w14:textId="77777777" w:rsidR="00995D52" w:rsidRPr="00995D52" w:rsidRDefault="00995D52" w:rsidP="00995D52">
      <w:pPr>
        <w:ind w:left="540" w:hanging="540"/>
        <w:rPr>
          <w:rFonts w:ascii="Arial" w:hAnsi="Arial" w:cs="Arial"/>
          <w:lang w:val="en-PH"/>
        </w:rPr>
      </w:pPr>
      <w:proofErr w:type="spellStart"/>
      <w:r w:rsidRPr="00995D52">
        <w:rPr>
          <w:rFonts w:ascii="Arial" w:hAnsi="Arial" w:cs="Arial"/>
          <w:color w:val="000000"/>
          <w:lang w:val="en-PH"/>
        </w:rPr>
        <w:t>Entman</w:t>
      </w:r>
      <w:proofErr w:type="spellEnd"/>
      <w:r w:rsidRPr="00995D52">
        <w:rPr>
          <w:rFonts w:ascii="Arial" w:hAnsi="Arial" w:cs="Arial"/>
          <w:color w:val="000000"/>
          <w:lang w:val="en-PH"/>
        </w:rPr>
        <w:t xml:space="preserve">, R. M. (1993). Framing: Toward clarification of a fractured paradigm. </w:t>
      </w:r>
      <w:r w:rsidRPr="00995D52">
        <w:rPr>
          <w:rFonts w:ascii="Arial" w:hAnsi="Arial" w:cs="Arial"/>
          <w:i/>
          <w:iCs/>
          <w:color w:val="000000"/>
          <w:lang w:val="en-PH"/>
        </w:rPr>
        <w:t>Journal of Communication, 43</w:t>
      </w:r>
      <w:r w:rsidRPr="00995D52">
        <w:rPr>
          <w:rFonts w:ascii="Arial" w:hAnsi="Arial" w:cs="Arial"/>
          <w:color w:val="000000"/>
          <w:lang w:val="en-PH"/>
        </w:rPr>
        <w:t xml:space="preserve">(4), 51–58. </w:t>
      </w:r>
      <w:hyperlink r:id="rId27" w:history="1">
        <w:r w:rsidRPr="00995D52">
          <w:rPr>
            <w:rFonts w:ascii="Arial" w:hAnsi="Arial" w:cs="Arial"/>
            <w:color w:val="000000"/>
            <w:lang w:val="en-PH"/>
          </w:rPr>
          <w:t>https://doi.org/10.1111/j.1460-2466.1993.tb01304.x</w:t>
        </w:r>
      </w:hyperlink>
    </w:p>
    <w:p w14:paraId="43719A6E"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Ghorbanzadeh, D. (2023). The role of website features in the branding of higher education institutions. Journal of Applied Research in Higher Education, 15(5), 1392–1406. </w:t>
      </w:r>
      <w:hyperlink r:id="rId28" w:history="1">
        <w:r w:rsidRPr="00995D52">
          <w:rPr>
            <w:rFonts w:ascii="Arial" w:hAnsi="Arial" w:cs="Arial"/>
            <w:color w:val="000000"/>
            <w:lang w:val="en-PH"/>
          </w:rPr>
          <w:t>https://doi.org/10.1108/JARHE-01-2022-0032</w:t>
        </w:r>
      </w:hyperlink>
    </w:p>
    <w:p w14:paraId="783E471F"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Gómez-Bayona, L., Valencia-Arias, A., Orozco-Toro, J. A., Tabares-Penagos, A., &amp; Moreno-López, G. (2024). Importance of relationship marketing in higher education management: the perspective of university teachers. </w:t>
      </w:r>
      <w:r w:rsidRPr="00995D52">
        <w:rPr>
          <w:rFonts w:ascii="Arial" w:hAnsi="Arial" w:cs="Arial"/>
          <w:i/>
          <w:iCs/>
          <w:color w:val="000000"/>
          <w:lang w:val="en-PH"/>
        </w:rPr>
        <w:t>Cogent Education</w:t>
      </w:r>
      <w:r w:rsidRPr="00995D52">
        <w:rPr>
          <w:rFonts w:ascii="Arial" w:hAnsi="Arial" w:cs="Arial"/>
          <w:color w:val="000000"/>
          <w:lang w:val="en-PH"/>
        </w:rPr>
        <w:t xml:space="preserve">, </w:t>
      </w:r>
      <w:r w:rsidRPr="00995D52">
        <w:rPr>
          <w:rFonts w:ascii="Arial" w:hAnsi="Arial" w:cs="Arial"/>
          <w:i/>
          <w:iCs/>
          <w:color w:val="000000"/>
          <w:lang w:val="en-PH"/>
        </w:rPr>
        <w:t>11</w:t>
      </w:r>
      <w:r w:rsidRPr="00995D52">
        <w:rPr>
          <w:rFonts w:ascii="Arial" w:hAnsi="Arial" w:cs="Arial"/>
          <w:color w:val="000000"/>
          <w:lang w:val="en-PH"/>
        </w:rPr>
        <w:t xml:space="preserve">(1). </w:t>
      </w:r>
      <w:hyperlink r:id="rId29" w:history="1">
        <w:r w:rsidRPr="00995D52">
          <w:rPr>
            <w:rFonts w:ascii="Arial" w:hAnsi="Arial" w:cs="Arial"/>
            <w:color w:val="000000"/>
            <w:lang w:val="en-PH"/>
          </w:rPr>
          <w:t>https://doi.org/10.1080/2331186X.2024.2332858</w:t>
        </w:r>
      </w:hyperlink>
      <w:r w:rsidRPr="00995D52">
        <w:rPr>
          <w:rFonts w:ascii="Arial" w:hAnsi="Arial" w:cs="Arial"/>
          <w:color w:val="000000"/>
          <w:lang w:val="en-PH"/>
        </w:rPr>
        <w:t> </w:t>
      </w:r>
    </w:p>
    <w:p w14:paraId="083B7650" w14:textId="77777777" w:rsidR="00995D52" w:rsidRPr="00995D52" w:rsidRDefault="00995D52" w:rsidP="00995D52">
      <w:pPr>
        <w:ind w:left="540" w:hanging="540"/>
        <w:rPr>
          <w:rFonts w:ascii="Arial" w:hAnsi="Arial" w:cs="Arial"/>
          <w:lang w:val="en-PH"/>
        </w:rPr>
      </w:pPr>
      <w:proofErr w:type="spellStart"/>
      <w:r w:rsidRPr="00995D52">
        <w:rPr>
          <w:rFonts w:ascii="Arial" w:hAnsi="Arial" w:cs="Arial"/>
          <w:color w:val="000000"/>
          <w:lang w:val="en-PH"/>
        </w:rPr>
        <w:t>Hazelkorn</w:t>
      </w:r>
      <w:proofErr w:type="spellEnd"/>
      <w:r w:rsidRPr="00995D52">
        <w:rPr>
          <w:rFonts w:ascii="Arial" w:hAnsi="Arial" w:cs="Arial"/>
          <w:color w:val="000000"/>
          <w:lang w:val="en-PH"/>
        </w:rPr>
        <w:t xml:space="preserve">, E. (2018). Reshaping the world order of higher education: The role and impact of rankings on national and global systems. </w:t>
      </w:r>
      <w:r w:rsidRPr="00995D52">
        <w:rPr>
          <w:rFonts w:ascii="Arial" w:hAnsi="Arial" w:cs="Arial"/>
          <w:i/>
          <w:iCs/>
          <w:color w:val="000000"/>
          <w:lang w:val="en-PH"/>
        </w:rPr>
        <w:t>Policy Reviews in Higher Education, 2</w:t>
      </w:r>
      <w:r w:rsidRPr="00995D52">
        <w:rPr>
          <w:rFonts w:ascii="Arial" w:hAnsi="Arial" w:cs="Arial"/>
          <w:color w:val="000000"/>
          <w:lang w:val="en-PH"/>
        </w:rPr>
        <w:t xml:space="preserve">(1), 4–31. </w:t>
      </w:r>
      <w:hyperlink r:id="rId30" w:history="1">
        <w:r w:rsidRPr="00995D52">
          <w:rPr>
            <w:rFonts w:ascii="Arial" w:hAnsi="Arial" w:cs="Arial"/>
            <w:color w:val="000000"/>
            <w:lang w:val="en-PH"/>
          </w:rPr>
          <w:t>https://doi.org/10.1080/23322969.2018.1424562</w:t>
        </w:r>
      </w:hyperlink>
    </w:p>
    <w:p w14:paraId="6C368CE3"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Hsieh, H.-F., &amp; Shannon, S. E. (2005). Three approaches to qualitative content analysis. </w:t>
      </w:r>
      <w:r w:rsidRPr="00995D52">
        <w:rPr>
          <w:rFonts w:ascii="Arial" w:hAnsi="Arial" w:cs="Arial"/>
          <w:i/>
          <w:iCs/>
          <w:color w:val="000000"/>
          <w:lang w:val="en-PH"/>
        </w:rPr>
        <w:t>Qualitative Health Research, 15</w:t>
      </w:r>
      <w:r w:rsidRPr="00995D52">
        <w:rPr>
          <w:rFonts w:ascii="Arial" w:hAnsi="Arial" w:cs="Arial"/>
          <w:color w:val="000000"/>
          <w:lang w:val="en-PH"/>
        </w:rPr>
        <w:t>(9), 1277–1288.</w:t>
      </w:r>
      <w:hyperlink r:id="rId31" w:history="1">
        <w:r w:rsidRPr="00995D52">
          <w:rPr>
            <w:rFonts w:ascii="Arial" w:hAnsi="Arial" w:cs="Arial"/>
            <w:color w:val="000000"/>
            <w:lang w:val="en-PH"/>
          </w:rPr>
          <w:t xml:space="preserve"> https://doi.org/10.1177/1049732305276687</w:t>
        </w:r>
      </w:hyperlink>
    </w:p>
    <w:p w14:paraId="03C7D8A7" w14:textId="77777777" w:rsidR="00995D52" w:rsidRPr="00995D52" w:rsidRDefault="00995D52" w:rsidP="00995D52">
      <w:pPr>
        <w:ind w:left="540" w:hanging="540"/>
        <w:rPr>
          <w:rFonts w:ascii="Arial" w:hAnsi="Arial" w:cs="Arial"/>
          <w:lang w:val="en-PH"/>
        </w:rPr>
      </w:pPr>
      <w:proofErr w:type="spellStart"/>
      <w:r w:rsidRPr="00995D52">
        <w:rPr>
          <w:rFonts w:ascii="Arial" w:hAnsi="Arial" w:cs="Arial"/>
          <w:color w:val="000000"/>
          <w:lang w:val="en-PH"/>
        </w:rPr>
        <w:t>Ilhami</w:t>
      </w:r>
      <w:proofErr w:type="spellEnd"/>
      <w:r w:rsidRPr="00995D52">
        <w:rPr>
          <w:rFonts w:ascii="Arial" w:hAnsi="Arial" w:cs="Arial"/>
          <w:color w:val="000000"/>
          <w:lang w:val="en-PH"/>
        </w:rPr>
        <w:t xml:space="preserve">, F. B., </w:t>
      </w:r>
      <w:proofErr w:type="spellStart"/>
      <w:r w:rsidRPr="00995D52">
        <w:rPr>
          <w:rFonts w:ascii="Arial" w:hAnsi="Arial" w:cs="Arial"/>
          <w:color w:val="000000"/>
          <w:lang w:val="en-PH"/>
        </w:rPr>
        <w:t>Khasanah</w:t>
      </w:r>
      <w:proofErr w:type="spellEnd"/>
      <w:r w:rsidRPr="00995D52">
        <w:rPr>
          <w:rFonts w:ascii="Arial" w:hAnsi="Arial" w:cs="Arial"/>
          <w:color w:val="000000"/>
          <w:lang w:val="en-PH"/>
        </w:rPr>
        <w:t xml:space="preserve">, M., </w:t>
      </w:r>
      <w:proofErr w:type="spellStart"/>
      <w:r w:rsidRPr="00995D52">
        <w:rPr>
          <w:rFonts w:ascii="Arial" w:hAnsi="Arial" w:cs="Arial"/>
          <w:color w:val="000000"/>
          <w:lang w:val="en-PH"/>
        </w:rPr>
        <w:t>Suprapto</w:t>
      </w:r>
      <w:proofErr w:type="spellEnd"/>
      <w:r w:rsidRPr="00995D52">
        <w:rPr>
          <w:rFonts w:ascii="Arial" w:hAnsi="Arial" w:cs="Arial"/>
          <w:color w:val="000000"/>
          <w:lang w:val="en-PH"/>
        </w:rPr>
        <w:t xml:space="preserve">, N., &amp; Widodo, B. S. (2025). </w:t>
      </w:r>
      <w:r w:rsidRPr="00995D52">
        <w:rPr>
          <w:rFonts w:ascii="Arial" w:hAnsi="Arial" w:cs="Arial"/>
          <w:i/>
          <w:iCs/>
          <w:color w:val="000000"/>
          <w:lang w:val="en-PH"/>
        </w:rPr>
        <w:t>Exploring perspective of impact ranking university trend in five universities in East Java Indonesia</w:t>
      </w:r>
      <w:r w:rsidRPr="00995D52">
        <w:rPr>
          <w:rFonts w:ascii="Arial" w:hAnsi="Arial" w:cs="Arial"/>
          <w:color w:val="000000"/>
          <w:lang w:val="en-PH"/>
        </w:rPr>
        <w:t xml:space="preserve">. Social Sciences &amp; Humanities Open, 11, Article 101284. </w:t>
      </w:r>
      <w:hyperlink r:id="rId32" w:history="1">
        <w:r w:rsidRPr="00995D52">
          <w:rPr>
            <w:rFonts w:ascii="Arial" w:hAnsi="Arial" w:cs="Arial"/>
            <w:color w:val="000000"/>
            <w:lang w:val="en-PH"/>
          </w:rPr>
          <w:t>https://doi.org/10.1016/j.ssaho.2025.101284</w:t>
        </w:r>
      </w:hyperlink>
      <w:r w:rsidRPr="00995D52">
        <w:rPr>
          <w:rFonts w:ascii="Arial" w:hAnsi="Arial" w:cs="Arial"/>
          <w:color w:val="000000"/>
          <w:lang w:val="en-PH"/>
        </w:rPr>
        <w:t> </w:t>
      </w:r>
    </w:p>
    <w:p w14:paraId="24CF3FA2" w14:textId="77777777" w:rsidR="00995D52" w:rsidRPr="00995D52" w:rsidRDefault="00995D52" w:rsidP="00995D52">
      <w:pPr>
        <w:ind w:left="540" w:hanging="540"/>
        <w:rPr>
          <w:rFonts w:ascii="Arial" w:hAnsi="Arial" w:cs="Arial"/>
          <w:lang w:val="en-PH"/>
        </w:rPr>
      </w:pPr>
      <w:proofErr w:type="spellStart"/>
      <w:r w:rsidRPr="00995D52">
        <w:rPr>
          <w:rFonts w:ascii="Arial" w:hAnsi="Arial" w:cs="Arial"/>
          <w:color w:val="000000"/>
          <w:lang w:val="en-PH"/>
        </w:rPr>
        <w:t>Kethüda</w:t>
      </w:r>
      <w:proofErr w:type="spellEnd"/>
      <w:r w:rsidRPr="00995D52">
        <w:rPr>
          <w:rFonts w:ascii="Arial" w:hAnsi="Arial" w:cs="Arial"/>
          <w:color w:val="000000"/>
          <w:lang w:val="en-PH"/>
        </w:rPr>
        <w:t xml:space="preserve">, Ö. (2022). Evaluating the influence of university ranking on the credibility and perceived differentiation of university brands. </w:t>
      </w:r>
      <w:r w:rsidRPr="00995D52">
        <w:rPr>
          <w:rFonts w:ascii="Arial" w:hAnsi="Arial" w:cs="Arial"/>
          <w:i/>
          <w:iCs/>
          <w:color w:val="000000"/>
          <w:lang w:val="en-PH"/>
        </w:rPr>
        <w:t>Journal of Marketing for Higher Education, 34</w:t>
      </w:r>
      <w:r w:rsidRPr="00995D52">
        <w:rPr>
          <w:rFonts w:ascii="Arial" w:hAnsi="Arial" w:cs="Arial"/>
          <w:color w:val="000000"/>
          <w:lang w:val="en-PH"/>
        </w:rPr>
        <w:t xml:space="preserve">(2), 736–753. </w:t>
      </w:r>
      <w:hyperlink r:id="rId33" w:history="1">
        <w:r w:rsidRPr="00995D52">
          <w:rPr>
            <w:rFonts w:ascii="Arial" w:hAnsi="Arial" w:cs="Arial"/>
            <w:color w:val="000000"/>
            <w:lang w:val="en-PH"/>
          </w:rPr>
          <w:t>https://doi.org/10.1080/08841241.2022.2059733</w:t>
        </w:r>
      </w:hyperlink>
    </w:p>
    <w:p w14:paraId="3DC8EFD6" w14:textId="77777777" w:rsidR="00995D52" w:rsidRPr="00995D52" w:rsidRDefault="00995D52" w:rsidP="00995D52">
      <w:pPr>
        <w:ind w:left="540"/>
        <w:rPr>
          <w:rFonts w:ascii="Arial" w:hAnsi="Arial" w:cs="Arial"/>
          <w:lang w:val="en-PH"/>
        </w:rPr>
      </w:pPr>
      <w:r w:rsidRPr="00995D52">
        <w:rPr>
          <w:rFonts w:ascii="Arial" w:hAnsi="Arial" w:cs="Arial"/>
          <w:color w:val="000000"/>
          <w:lang w:val="en-PH"/>
        </w:rPr>
        <w:t xml:space="preserve">Krippendorff, K. (2018). </w:t>
      </w:r>
      <w:r w:rsidRPr="00995D52">
        <w:rPr>
          <w:rFonts w:ascii="Arial" w:hAnsi="Arial" w:cs="Arial"/>
          <w:i/>
          <w:iCs/>
          <w:color w:val="000000"/>
          <w:lang w:val="en-PH"/>
        </w:rPr>
        <w:t>Content analysis: An introduction to its methodology</w:t>
      </w:r>
      <w:r w:rsidRPr="00995D52">
        <w:rPr>
          <w:rFonts w:ascii="Arial" w:hAnsi="Arial" w:cs="Arial"/>
          <w:color w:val="000000"/>
          <w:lang w:val="en-PH"/>
        </w:rPr>
        <w:t xml:space="preserve"> (4th ed.). Sage Publications.</w:t>
      </w:r>
    </w:p>
    <w:p w14:paraId="60A5B13E"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Lincoln, Y. S., &amp; Guba, E. G. (1985). </w:t>
      </w:r>
      <w:r w:rsidRPr="00995D52">
        <w:rPr>
          <w:rFonts w:ascii="Arial" w:hAnsi="Arial" w:cs="Arial"/>
          <w:i/>
          <w:iCs/>
          <w:color w:val="000000"/>
          <w:lang w:val="en-PH"/>
        </w:rPr>
        <w:t>Naturalistic inquiry</w:t>
      </w:r>
      <w:r w:rsidRPr="00995D52">
        <w:rPr>
          <w:rFonts w:ascii="Arial" w:hAnsi="Arial" w:cs="Arial"/>
          <w:color w:val="000000"/>
          <w:lang w:val="en-PH"/>
        </w:rPr>
        <w:t>. Sage Publications.</w:t>
      </w:r>
    </w:p>
    <w:p w14:paraId="4F8D82D2"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Marginson, S. (2022). </w:t>
      </w:r>
      <w:r w:rsidRPr="00995D52">
        <w:rPr>
          <w:rFonts w:ascii="Arial" w:hAnsi="Arial" w:cs="Arial"/>
          <w:i/>
          <w:iCs/>
          <w:color w:val="000000"/>
          <w:lang w:val="en-PH"/>
        </w:rPr>
        <w:t>What is global higher education?</w:t>
      </w:r>
      <w:r w:rsidRPr="00995D52">
        <w:rPr>
          <w:rFonts w:ascii="Arial" w:hAnsi="Arial" w:cs="Arial"/>
          <w:color w:val="000000"/>
          <w:lang w:val="en-PH"/>
        </w:rPr>
        <w:t xml:space="preserve"> Oxford Review of Education, 48(4), 492–517. </w:t>
      </w:r>
      <w:hyperlink r:id="rId34" w:history="1">
        <w:r w:rsidRPr="00995D52">
          <w:rPr>
            <w:rFonts w:ascii="Arial" w:hAnsi="Arial" w:cs="Arial"/>
            <w:color w:val="000000"/>
            <w:lang w:val="en-PH"/>
          </w:rPr>
          <w:t>https://doi.org/10.1080/03054985.2022.2061438</w:t>
        </w:r>
      </w:hyperlink>
    </w:p>
    <w:p w14:paraId="02E09054"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Marinoni, G., &amp; Pina Cardona, S. (2024). </w:t>
      </w:r>
      <w:r w:rsidRPr="00995D52">
        <w:rPr>
          <w:rFonts w:ascii="Arial" w:hAnsi="Arial" w:cs="Arial"/>
          <w:i/>
          <w:iCs/>
          <w:color w:val="000000"/>
          <w:lang w:val="en-PH"/>
        </w:rPr>
        <w:t>Internationalization of higher education: Current trends and future scenarios</w:t>
      </w:r>
      <w:r w:rsidRPr="00995D52">
        <w:rPr>
          <w:rFonts w:ascii="Arial" w:hAnsi="Arial" w:cs="Arial"/>
          <w:color w:val="000000"/>
          <w:lang w:val="en-PH"/>
        </w:rPr>
        <w:t xml:space="preserve"> (6th IAU Global Survey Report). International Association of Universities.</w:t>
      </w:r>
      <w:hyperlink r:id="rId35" w:history="1">
        <w:r w:rsidRPr="00995D52">
          <w:rPr>
            <w:rFonts w:ascii="Arial" w:hAnsi="Arial" w:cs="Arial"/>
            <w:color w:val="000000"/>
            <w:lang w:val="en-PH"/>
          </w:rPr>
          <w:t xml:space="preserve"> https://iau.global/all-publications/internationalization-of-higher-education-current-trends-and-future-scenarios</w:t>
        </w:r>
      </w:hyperlink>
    </w:p>
    <w:p w14:paraId="7C0D986A" w14:textId="77777777" w:rsidR="00995D52" w:rsidRPr="00995D52" w:rsidRDefault="00995D52" w:rsidP="00995D52">
      <w:pPr>
        <w:ind w:left="540" w:hanging="540"/>
        <w:rPr>
          <w:rFonts w:ascii="Arial" w:hAnsi="Arial" w:cs="Arial"/>
          <w:lang w:val="en-PH"/>
        </w:rPr>
      </w:pPr>
      <w:r w:rsidRPr="00995D52">
        <w:rPr>
          <w:rFonts w:ascii="Arial" w:hAnsi="Arial" w:cs="Arial"/>
          <w:color w:val="000000"/>
          <w:shd w:val="clear" w:color="auto" w:fill="FFFFFF"/>
          <w:lang w:val="en-PH"/>
        </w:rPr>
        <w:t xml:space="preserve">Ng, A. W. Y. (2023). </w:t>
      </w:r>
      <w:r w:rsidRPr="00995D52">
        <w:rPr>
          <w:rFonts w:ascii="Arial" w:hAnsi="Arial" w:cs="Arial"/>
          <w:i/>
          <w:iCs/>
          <w:color w:val="000000"/>
          <w:shd w:val="clear" w:color="auto" w:fill="FFFFFF"/>
          <w:lang w:val="en-PH"/>
        </w:rPr>
        <w:t>Changes in the usefulness of communication channels for prospective undergraduates about university studying: Before and during the pandemic</w:t>
      </w:r>
      <w:r w:rsidRPr="00995D52">
        <w:rPr>
          <w:rFonts w:ascii="Arial" w:hAnsi="Arial" w:cs="Arial"/>
          <w:color w:val="000000"/>
          <w:shd w:val="clear" w:color="auto" w:fill="FFFFFF"/>
          <w:lang w:val="en-PH"/>
        </w:rPr>
        <w:t>. International Journal of Educational Management, 37(2), 361–372.</w:t>
      </w:r>
      <w:hyperlink r:id="rId36" w:history="1">
        <w:r w:rsidRPr="00995D52">
          <w:rPr>
            <w:rFonts w:ascii="Arial" w:hAnsi="Arial" w:cs="Arial"/>
            <w:color w:val="000000"/>
            <w:shd w:val="clear" w:color="auto" w:fill="FFFFFF"/>
            <w:lang w:val="en-PH"/>
          </w:rPr>
          <w:t xml:space="preserve"> https://eric.ed.gov/?id=EJ1372002</w:t>
        </w:r>
      </w:hyperlink>
    </w:p>
    <w:p w14:paraId="309D19AA" w14:textId="77777777" w:rsidR="00995D52" w:rsidRPr="00995D52" w:rsidRDefault="00995D52" w:rsidP="00995D52">
      <w:pPr>
        <w:ind w:left="540" w:hanging="540"/>
        <w:rPr>
          <w:rFonts w:ascii="Arial" w:hAnsi="Arial" w:cs="Arial"/>
          <w:lang w:val="en-PH"/>
        </w:rPr>
      </w:pPr>
      <w:proofErr w:type="spellStart"/>
      <w:r w:rsidRPr="00995D52">
        <w:rPr>
          <w:rFonts w:ascii="Arial" w:hAnsi="Arial" w:cs="Arial"/>
          <w:color w:val="000000"/>
          <w:shd w:val="clear" w:color="auto" w:fill="FFFFFF"/>
          <w:lang w:val="en-PH"/>
        </w:rPr>
        <w:t>Pattaro</w:t>
      </w:r>
      <w:proofErr w:type="spellEnd"/>
      <w:r w:rsidRPr="00995D52">
        <w:rPr>
          <w:rFonts w:ascii="Arial" w:hAnsi="Arial" w:cs="Arial"/>
          <w:color w:val="000000"/>
          <w:shd w:val="clear" w:color="auto" w:fill="FFFFFF"/>
          <w:lang w:val="en-PH"/>
        </w:rPr>
        <w:t xml:space="preserve">, A.F., Moura e Sá, P., de </w:t>
      </w:r>
      <w:proofErr w:type="spellStart"/>
      <w:r w:rsidRPr="00995D52">
        <w:rPr>
          <w:rFonts w:ascii="Arial" w:hAnsi="Arial" w:cs="Arial"/>
          <w:color w:val="000000"/>
          <w:shd w:val="clear" w:color="auto" w:fill="FFFFFF"/>
          <w:lang w:val="en-PH"/>
        </w:rPr>
        <w:t>Kruijf</w:t>
      </w:r>
      <w:proofErr w:type="spellEnd"/>
      <w:r w:rsidRPr="00995D52">
        <w:rPr>
          <w:rFonts w:ascii="Arial" w:hAnsi="Arial" w:cs="Arial"/>
          <w:color w:val="000000"/>
          <w:shd w:val="clear" w:color="auto" w:fill="FFFFFF"/>
          <w:lang w:val="en-PH"/>
        </w:rPr>
        <w:t xml:space="preserve">, J.A.M. (2022). Transparency and Accountability in Higher Education as a Response to External Stakeholders and Rules: A Comparison Between Three Country-Case Studies. In: </w:t>
      </w:r>
      <w:proofErr w:type="spellStart"/>
      <w:r w:rsidRPr="00995D52">
        <w:rPr>
          <w:rFonts w:ascii="Arial" w:hAnsi="Arial" w:cs="Arial"/>
          <w:color w:val="000000"/>
          <w:shd w:val="clear" w:color="auto" w:fill="FFFFFF"/>
          <w:lang w:val="en-PH"/>
        </w:rPr>
        <w:t>Caperchione</w:t>
      </w:r>
      <w:proofErr w:type="spellEnd"/>
      <w:r w:rsidRPr="00995D52">
        <w:rPr>
          <w:rFonts w:ascii="Arial" w:hAnsi="Arial" w:cs="Arial"/>
          <w:color w:val="000000"/>
          <w:shd w:val="clear" w:color="auto" w:fill="FFFFFF"/>
          <w:lang w:val="en-PH"/>
        </w:rPr>
        <w:t>, E., Bianchi, C. (eds) Governance and Performance Management in Public Universities. SIDREA Series in Accounting and Business Administration. Springer, Cham. https://doi.org/10.1007/978-3-030-85698-4_2</w:t>
      </w:r>
    </w:p>
    <w:p w14:paraId="15EE629B"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Putri, N. A. (2025). Exploring the preferences of prospective students in choosing higher education institutions. </w:t>
      </w:r>
      <w:r w:rsidRPr="00995D52">
        <w:rPr>
          <w:rFonts w:ascii="Arial" w:hAnsi="Arial" w:cs="Arial"/>
          <w:i/>
          <w:iCs/>
          <w:color w:val="000000"/>
          <w:lang w:val="en-PH"/>
        </w:rPr>
        <w:t>Journal of Emerging Business Management and Entrepreneurship Studies, 5</w:t>
      </w:r>
      <w:r w:rsidRPr="00995D52">
        <w:rPr>
          <w:rFonts w:ascii="Arial" w:hAnsi="Arial" w:cs="Arial"/>
          <w:color w:val="000000"/>
          <w:lang w:val="en-PH"/>
        </w:rPr>
        <w:t xml:space="preserve">(1), 82–99. </w:t>
      </w:r>
      <w:hyperlink r:id="rId37" w:history="1">
        <w:r w:rsidRPr="00995D52">
          <w:rPr>
            <w:rFonts w:ascii="Arial" w:hAnsi="Arial" w:cs="Arial"/>
            <w:color w:val="000000"/>
            <w:shd w:val="clear" w:color="auto" w:fill="FFFFFF"/>
            <w:lang w:val="en-PH"/>
          </w:rPr>
          <w:t>https://doi.org/10.34149/jebmes.v5i1.188</w:t>
        </w:r>
      </w:hyperlink>
    </w:p>
    <w:p w14:paraId="75499199"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QS. (2026). </w:t>
      </w:r>
      <w:r w:rsidRPr="00995D52">
        <w:rPr>
          <w:rFonts w:ascii="Arial" w:hAnsi="Arial" w:cs="Arial"/>
          <w:i/>
          <w:iCs/>
          <w:color w:val="000000"/>
          <w:lang w:val="en-PH"/>
        </w:rPr>
        <w:t>QS World University Rankings 2026 methodology</w:t>
      </w:r>
      <w:r w:rsidRPr="00995D52">
        <w:rPr>
          <w:rFonts w:ascii="Arial" w:hAnsi="Arial" w:cs="Arial"/>
          <w:color w:val="000000"/>
          <w:lang w:val="en-PH"/>
        </w:rPr>
        <w:t>. Quacquarelli Symonds.</w:t>
      </w:r>
      <w:hyperlink r:id="rId38" w:history="1">
        <w:r w:rsidRPr="00995D52">
          <w:rPr>
            <w:rFonts w:ascii="Arial" w:hAnsi="Arial" w:cs="Arial"/>
            <w:color w:val="000000"/>
            <w:lang w:val="en-PH"/>
          </w:rPr>
          <w:t xml:space="preserve"> https://www.topuniversities.com/qs-world-university-rankings/methodology</w:t>
        </w:r>
      </w:hyperlink>
    </w:p>
    <w:p w14:paraId="22638AC0"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lastRenderedPageBreak/>
        <w:t xml:space="preserve">Ramírez, Y., &amp; Montero, F. (2024). </w:t>
      </w:r>
      <w:r w:rsidRPr="00995D52">
        <w:rPr>
          <w:rFonts w:ascii="Arial" w:hAnsi="Arial" w:cs="Arial"/>
          <w:i/>
          <w:iCs/>
          <w:color w:val="000000"/>
          <w:lang w:val="en-PH"/>
        </w:rPr>
        <w:t>Main factors influencing the digital transparency in higher education institutions.</w:t>
      </w:r>
      <w:r w:rsidRPr="00995D52">
        <w:rPr>
          <w:rFonts w:ascii="Arial" w:hAnsi="Arial" w:cs="Arial"/>
          <w:color w:val="000000"/>
          <w:lang w:val="en-PH"/>
        </w:rPr>
        <w:t xml:space="preserve"> </w:t>
      </w:r>
      <w:proofErr w:type="spellStart"/>
      <w:r w:rsidRPr="00995D52">
        <w:rPr>
          <w:rFonts w:ascii="Arial" w:hAnsi="Arial" w:cs="Arial"/>
          <w:color w:val="000000"/>
          <w:lang w:val="en-PH"/>
        </w:rPr>
        <w:t>Revista</w:t>
      </w:r>
      <w:proofErr w:type="spellEnd"/>
      <w:r w:rsidRPr="00995D52">
        <w:rPr>
          <w:rFonts w:ascii="Arial" w:hAnsi="Arial" w:cs="Arial"/>
          <w:color w:val="000000"/>
          <w:lang w:val="en-PH"/>
        </w:rPr>
        <w:t xml:space="preserve"> Española de </w:t>
      </w:r>
      <w:proofErr w:type="spellStart"/>
      <w:r w:rsidRPr="00995D52">
        <w:rPr>
          <w:rFonts w:ascii="Arial" w:hAnsi="Arial" w:cs="Arial"/>
          <w:color w:val="000000"/>
          <w:lang w:val="en-PH"/>
        </w:rPr>
        <w:t>Documentación</w:t>
      </w:r>
      <w:proofErr w:type="spellEnd"/>
      <w:r w:rsidRPr="00995D52">
        <w:rPr>
          <w:rFonts w:ascii="Arial" w:hAnsi="Arial" w:cs="Arial"/>
          <w:color w:val="000000"/>
          <w:lang w:val="en-PH"/>
        </w:rPr>
        <w:t xml:space="preserve"> </w:t>
      </w:r>
      <w:proofErr w:type="spellStart"/>
      <w:r w:rsidRPr="00995D52">
        <w:rPr>
          <w:rFonts w:ascii="Arial" w:hAnsi="Arial" w:cs="Arial"/>
          <w:color w:val="000000"/>
          <w:lang w:val="en-PH"/>
        </w:rPr>
        <w:t>Científica</w:t>
      </w:r>
      <w:proofErr w:type="spellEnd"/>
      <w:r w:rsidRPr="00995D52">
        <w:rPr>
          <w:rFonts w:ascii="Arial" w:hAnsi="Arial" w:cs="Arial"/>
          <w:color w:val="000000"/>
          <w:lang w:val="en-PH"/>
        </w:rPr>
        <w:t xml:space="preserve">, 47(1), e376. </w:t>
      </w:r>
      <w:hyperlink r:id="rId39" w:history="1">
        <w:r w:rsidRPr="00995D52">
          <w:rPr>
            <w:rFonts w:ascii="Arial" w:hAnsi="Arial" w:cs="Arial"/>
            <w:color w:val="000000"/>
            <w:lang w:val="en-PH"/>
          </w:rPr>
          <w:t>https://doi.org/10.3989/redc.2024.1.1384</w:t>
        </w:r>
      </w:hyperlink>
    </w:p>
    <w:p w14:paraId="5FCEBE71"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Santizo, A., &amp; Hurtado, M. (2024). An examination of website factors affecting university brand image and visitor behavior. </w:t>
      </w:r>
      <w:r w:rsidRPr="00995D52">
        <w:rPr>
          <w:rFonts w:ascii="Arial" w:hAnsi="Arial" w:cs="Arial"/>
          <w:i/>
          <w:iCs/>
          <w:color w:val="000000"/>
          <w:lang w:val="en-PH"/>
        </w:rPr>
        <w:t>Journal of Applied Research in Higher Education.</w:t>
      </w:r>
      <w:r w:rsidRPr="00995D52">
        <w:rPr>
          <w:rFonts w:ascii="Arial" w:hAnsi="Arial" w:cs="Arial"/>
          <w:color w:val="000000"/>
          <w:lang w:val="en-PH"/>
        </w:rPr>
        <w:t xml:space="preserve"> </w:t>
      </w:r>
      <w:hyperlink r:id="rId40" w:history="1">
        <w:r w:rsidRPr="00995D52">
          <w:rPr>
            <w:rFonts w:ascii="Arial" w:hAnsi="Arial" w:cs="Arial"/>
            <w:color w:val="000000"/>
            <w:lang w:val="en-PH"/>
          </w:rPr>
          <w:t>https://doi.org/10.1108/JARHE-03-2024-0116</w:t>
        </w:r>
      </w:hyperlink>
    </w:p>
    <w:p w14:paraId="196CD4F6"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Scandurra, R., &amp; Zanini, A. (2024). </w:t>
      </w:r>
      <w:r w:rsidRPr="00995D52">
        <w:rPr>
          <w:rFonts w:ascii="Arial" w:hAnsi="Arial" w:cs="Arial"/>
          <w:i/>
          <w:iCs/>
          <w:color w:val="000000"/>
          <w:lang w:val="en-PH"/>
        </w:rPr>
        <w:t xml:space="preserve">Do employability </w:t>
      </w:r>
      <w:proofErr w:type="spellStart"/>
      <w:r w:rsidRPr="00995D52">
        <w:rPr>
          <w:rFonts w:ascii="Arial" w:hAnsi="Arial" w:cs="Arial"/>
          <w:i/>
          <w:iCs/>
          <w:color w:val="000000"/>
          <w:lang w:val="en-PH"/>
        </w:rPr>
        <w:t>programmes</w:t>
      </w:r>
      <w:proofErr w:type="spellEnd"/>
      <w:r w:rsidRPr="00995D52">
        <w:rPr>
          <w:rFonts w:ascii="Arial" w:hAnsi="Arial" w:cs="Arial"/>
          <w:i/>
          <w:iCs/>
          <w:color w:val="000000"/>
          <w:lang w:val="en-PH"/>
        </w:rPr>
        <w:t xml:space="preserve"> in higher education improve graduate outcomes?</w:t>
      </w:r>
      <w:r w:rsidRPr="00995D52">
        <w:rPr>
          <w:rFonts w:ascii="Arial" w:hAnsi="Arial" w:cs="Arial"/>
          <w:color w:val="000000"/>
          <w:lang w:val="en-PH"/>
        </w:rPr>
        <w:t xml:space="preserve"> Studies in Higher Education. https://doi.org/10.1080/03075079.2023.2265425</w:t>
      </w:r>
    </w:p>
    <w:p w14:paraId="7F32A805" w14:textId="77777777" w:rsidR="00995D52" w:rsidRPr="00995D52" w:rsidRDefault="00995D52" w:rsidP="00995D52">
      <w:pPr>
        <w:ind w:left="540"/>
        <w:rPr>
          <w:rFonts w:ascii="Arial" w:hAnsi="Arial" w:cs="Arial"/>
          <w:lang w:val="en-PH"/>
        </w:rPr>
      </w:pPr>
      <w:r w:rsidRPr="00995D52">
        <w:rPr>
          <w:rFonts w:ascii="Arial" w:hAnsi="Arial" w:cs="Arial"/>
          <w:color w:val="000000"/>
          <w:lang w:val="en-PH"/>
        </w:rPr>
        <w:t xml:space="preserve">Schreier, M. (2012). </w:t>
      </w:r>
      <w:r w:rsidRPr="00995D52">
        <w:rPr>
          <w:rFonts w:ascii="Arial" w:hAnsi="Arial" w:cs="Arial"/>
          <w:i/>
          <w:iCs/>
          <w:color w:val="000000"/>
          <w:lang w:val="en-PH"/>
        </w:rPr>
        <w:t>Qualitative content analysis in practice</w:t>
      </w:r>
      <w:r w:rsidRPr="00995D52">
        <w:rPr>
          <w:rFonts w:ascii="Arial" w:hAnsi="Arial" w:cs="Arial"/>
          <w:color w:val="000000"/>
          <w:lang w:val="en-PH"/>
        </w:rPr>
        <w:t>. Sage Publications.</w:t>
      </w:r>
    </w:p>
    <w:p w14:paraId="5564D308"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Sharma, P. (2025). Digital marketing in higher education: Role and prospects. </w:t>
      </w:r>
      <w:r w:rsidRPr="00995D52">
        <w:rPr>
          <w:rFonts w:ascii="Arial" w:hAnsi="Arial" w:cs="Arial"/>
          <w:i/>
          <w:iCs/>
          <w:color w:val="000000"/>
          <w:lang w:val="en-PH"/>
        </w:rPr>
        <w:t>Journal of Management and Business Studies, 5</w:t>
      </w:r>
      <w:r w:rsidRPr="00995D52">
        <w:rPr>
          <w:rFonts w:ascii="Arial" w:hAnsi="Arial" w:cs="Arial"/>
          <w:color w:val="000000"/>
          <w:lang w:val="en-PH"/>
        </w:rPr>
        <w:t xml:space="preserve">(3), 1–15. </w:t>
      </w:r>
      <w:hyperlink r:id="rId41" w:history="1">
        <w:r w:rsidRPr="00995D52">
          <w:rPr>
            <w:rFonts w:ascii="Arial" w:hAnsi="Arial" w:cs="Arial"/>
            <w:color w:val="000000"/>
            <w:lang w:val="en-PH"/>
          </w:rPr>
          <w:t>https://goodwoodpub.com/index.php/JoMABS/article/view/3741</w:t>
        </w:r>
      </w:hyperlink>
    </w:p>
    <w:p w14:paraId="1800C67B"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Spence, M. (1973). Job market signaling. </w:t>
      </w:r>
      <w:r w:rsidRPr="00995D52">
        <w:rPr>
          <w:rFonts w:ascii="Arial" w:hAnsi="Arial" w:cs="Arial"/>
          <w:i/>
          <w:iCs/>
          <w:color w:val="000000"/>
          <w:lang w:val="en-PH"/>
        </w:rPr>
        <w:t>Quarterly Journal of Economics, 87</w:t>
      </w:r>
      <w:r w:rsidRPr="00995D52">
        <w:rPr>
          <w:rFonts w:ascii="Arial" w:hAnsi="Arial" w:cs="Arial"/>
          <w:color w:val="000000"/>
          <w:lang w:val="en-PH"/>
        </w:rPr>
        <w:t>(3), 355–374.</w:t>
      </w:r>
    </w:p>
    <w:p w14:paraId="70CB17B9"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Spence, M. (2002). Signaling in retrospect and the informational structure of markets. </w:t>
      </w:r>
      <w:r w:rsidRPr="00995D52">
        <w:rPr>
          <w:rFonts w:ascii="Arial" w:hAnsi="Arial" w:cs="Arial"/>
          <w:i/>
          <w:iCs/>
          <w:color w:val="000000"/>
          <w:lang w:val="en-PH"/>
        </w:rPr>
        <w:t>American Economic Review, 92</w:t>
      </w:r>
      <w:r w:rsidRPr="00995D52">
        <w:rPr>
          <w:rFonts w:ascii="Arial" w:hAnsi="Arial" w:cs="Arial"/>
          <w:color w:val="000000"/>
          <w:lang w:val="en-PH"/>
        </w:rPr>
        <w:t>(3), 434–459.</w:t>
      </w:r>
      <w:hyperlink r:id="rId42" w:history="1">
        <w:r w:rsidRPr="00995D52">
          <w:rPr>
            <w:rFonts w:ascii="Arial" w:hAnsi="Arial" w:cs="Arial"/>
            <w:color w:val="000000"/>
            <w:lang w:val="en-PH"/>
          </w:rPr>
          <w:t xml:space="preserve"> https://doi.org/10.1257/00028280260136200</w:t>
        </w:r>
      </w:hyperlink>
    </w:p>
    <w:p w14:paraId="3A5A1981"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Tanase, I., Botezatu, F., </w:t>
      </w:r>
      <w:proofErr w:type="spellStart"/>
      <w:r w:rsidRPr="00995D52">
        <w:rPr>
          <w:rFonts w:ascii="Arial" w:hAnsi="Arial" w:cs="Arial"/>
          <w:color w:val="000000"/>
          <w:lang w:val="en-PH"/>
        </w:rPr>
        <w:t>Marinica</w:t>
      </w:r>
      <w:proofErr w:type="spellEnd"/>
      <w:r w:rsidRPr="00995D52">
        <w:rPr>
          <w:rFonts w:ascii="Arial" w:hAnsi="Arial" w:cs="Arial"/>
          <w:color w:val="000000"/>
          <w:lang w:val="en-PH"/>
        </w:rPr>
        <w:t xml:space="preserve">, D., &amp; </w:t>
      </w:r>
      <w:proofErr w:type="spellStart"/>
      <w:r w:rsidRPr="00995D52">
        <w:rPr>
          <w:rFonts w:ascii="Arial" w:hAnsi="Arial" w:cs="Arial"/>
          <w:color w:val="000000"/>
          <w:lang w:val="en-PH"/>
        </w:rPr>
        <w:t>Grejdan</w:t>
      </w:r>
      <w:proofErr w:type="spellEnd"/>
      <w:r w:rsidRPr="00995D52">
        <w:rPr>
          <w:rFonts w:ascii="Arial" w:hAnsi="Arial" w:cs="Arial"/>
          <w:color w:val="000000"/>
          <w:lang w:val="en-PH"/>
        </w:rPr>
        <w:t xml:space="preserve">, E. F. (2025). </w:t>
      </w:r>
      <w:r w:rsidRPr="00995D52">
        <w:rPr>
          <w:rFonts w:ascii="Arial" w:hAnsi="Arial" w:cs="Arial"/>
          <w:i/>
          <w:iCs/>
          <w:color w:val="000000"/>
          <w:lang w:val="en-PH"/>
        </w:rPr>
        <w:t>Increasing membership conversion through effective UI/UX design in fitness websites</w:t>
      </w:r>
      <w:r w:rsidRPr="00995D52">
        <w:rPr>
          <w:rFonts w:ascii="Arial" w:hAnsi="Arial" w:cs="Arial"/>
          <w:color w:val="000000"/>
          <w:lang w:val="en-PH"/>
        </w:rPr>
        <w:t>. Proceedings of the International Conference on Business Excellence, 19(1), 4057–4064. https://doi.org/10.2478/picbe-2025-0311</w:t>
      </w:r>
    </w:p>
    <w:p w14:paraId="2D914919" w14:textId="77777777" w:rsidR="00995D52" w:rsidRPr="00995D52" w:rsidRDefault="00995D52" w:rsidP="00995D52">
      <w:pPr>
        <w:ind w:left="540" w:hanging="540"/>
        <w:rPr>
          <w:rFonts w:ascii="Arial" w:hAnsi="Arial" w:cs="Arial"/>
          <w:lang w:val="en-PH"/>
        </w:rPr>
      </w:pPr>
      <w:r w:rsidRPr="00995D52">
        <w:rPr>
          <w:rFonts w:ascii="Arial" w:hAnsi="Arial" w:cs="Arial"/>
          <w:color w:val="000000"/>
          <w:lang w:val="en-PH"/>
        </w:rPr>
        <w:t xml:space="preserve">United Nations Statistics Division. (2023). </w:t>
      </w:r>
      <w:r w:rsidRPr="00995D52">
        <w:rPr>
          <w:rFonts w:ascii="Arial" w:hAnsi="Arial" w:cs="Arial"/>
          <w:i/>
          <w:iCs/>
          <w:color w:val="000000"/>
          <w:lang w:val="en-PH"/>
        </w:rPr>
        <w:t>Standard country or area codes for statistical use (M49 standard)</w:t>
      </w:r>
      <w:r w:rsidRPr="00995D52">
        <w:rPr>
          <w:rFonts w:ascii="Arial" w:hAnsi="Arial" w:cs="Arial"/>
          <w:color w:val="000000"/>
          <w:lang w:val="en-PH"/>
        </w:rPr>
        <w:t>.</w:t>
      </w:r>
      <w:hyperlink r:id="rId43" w:history="1">
        <w:r w:rsidRPr="00995D52">
          <w:rPr>
            <w:rFonts w:ascii="Arial" w:hAnsi="Arial" w:cs="Arial"/>
            <w:color w:val="000000"/>
            <w:lang w:val="en-PH"/>
          </w:rPr>
          <w:t xml:space="preserve"> https://unstats.un.org/unsd/methodology/m49/</w:t>
        </w:r>
      </w:hyperlink>
    </w:p>
    <w:p w14:paraId="2C2EA884" w14:textId="77777777" w:rsidR="00995D52" w:rsidRDefault="00995D52" w:rsidP="00995D52">
      <w:pPr>
        <w:ind w:left="540" w:hanging="540"/>
        <w:rPr>
          <w:rFonts w:ascii="Arial" w:hAnsi="Arial" w:cs="Arial"/>
          <w:lang w:val="en-PH"/>
        </w:rPr>
      </w:pPr>
      <w:r w:rsidRPr="00995D52">
        <w:rPr>
          <w:rFonts w:ascii="Arial" w:hAnsi="Arial" w:cs="Arial"/>
          <w:color w:val="000000"/>
          <w:lang w:val="en-PH"/>
        </w:rPr>
        <w:t xml:space="preserve">Xiao, Y., Nguyen </w:t>
      </w:r>
      <w:proofErr w:type="spellStart"/>
      <w:r w:rsidRPr="00995D52">
        <w:rPr>
          <w:rFonts w:ascii="Arial" w:hAnsi="Arial" w:cs="Arial"/>
          <w:color w:val="000000"/>
          <w:lang w:val="en-PH"/>
        </w:rPr>
        <w:t>Thi</w:t>
      </w:r>
      <w:proofErr w:type="spellEnd"/>
      <w:r w:rsidRPr="00995D52">
        <w:rPr>
          <w:rFonts w:ascii="Arial" w:hAnsi="Arial" w:cs="Arial"/>
          <w:color w:val="000000"/>
          <w:lang w:val="en-PH"/>
        </w:rPr>
        <w:t xml:space="preserve"> Thu Huong, N. T., Nguyen Hoang Nam, N. H., Phan Dinh Quyet, P. D., Cao Tuan Khanh, C. T., &amp; Dao </w:t>
      </w:r>
      <w:proofErr w:type="spellStart"/>
      <w:r w:rsidRPr="00995D52">
        <w:rPr>
          <w:rFonts w:ascii="Arial" w:hAnsi="Arial" w:cs="Arial"/>
          <w:color w:val="000000"/>
          <w:lang w:val="en-PH"/>
        </w:rPr>
        <w:t>Thi</w:t>
      </w:r>
      <w:proofErr w:type="spellEnd"/>
      <w:r w:rsidRPr="00995D52">
        <w:rPr>
          <w:rFonts w:ascii="Arial" w:hAnsi="Arial" w:cs="Arial"/>
          <w:color w:val="000000"/>
          <w:lang w:val="en-PH"/>
        </w:rPr>
        <w:t xml:space="preserve"> Ha Anh, D. T. H. (2023). </w:t>
      </w:r>
      <w:r w:rsidRPr="00995D52">
        <w:rPr>
          <w:rFonts w:ascii="Arial" w:hAnsi="Arial" w:cs="Arial"/>
          <w:i/>
          <w:iCs/>
          <w:color w:val="000000"/>
          <w:lang w:val="en-PH"/>
        </w:rPr>
        <w:t>University brand: A systematic literature review</w:t>
      </w:r>
      <w:r w:rsidRPr="00995D52">
        <w:rPr>
          <w:rFonts w:ascii="Arial" w:hAnsi="Arial" w:cs="Arial"/>
          <w:color w:val="000000"/>
          <w:lang w:val="en-PH"/>
        </w:rPr>
        <w:t xml:space="preserve">. </w:t>
      </w:r>
      <w:proofErr w:type="spellStart"/>
      <w:r w:rsidRPr="00995D52">
        <w:rPr>
          <w:rFonts w:ascii="Arial" w:hAnsi="Arial" w:cs="Arial"/>
          <w:color w:val="000000"/>
          <w:lang w:val="en-PH"/>
        </w:rPr>
        <w:t>Heliyon</w:t>
      </w:r>
      <w:proofErr w:type="spellEnd"/>
      <w:r w:rsidRPr="00995D52">
        <w:rPr>
          <w:rFonts w:ascii="Arial" w:hAnsi="Arial" w:cs="Arial"/>
          <w:color w:val="000000"/>
          <w:lang w:val="en-PH"/>
        </w:rPr>
        <w:t>, 9(6), Article e16825.</w:t>
      </w:r>
      <w:hyperlink r:id="rId44" w:history="1">
        <w:r w:rsidRPr="00995D52">
          <w:rPr>
            <w:rFonts w:ascii="Arial" w:hAnsi="Arial" w:cs="Arial"/>
            <w:color w:val="000000"/>
            <w:lang w:val="en-PH"/>
          </w:rPr>
          <w:t xml:space="preserve"> https://doi.org/10.1016/j.heliyon.2023.e16825</w:t>
        </w:r>
      </w:hyperlink>
    </w:p>
    <w:p w14:paraId="5CB99154" w14:textId="77777777" w:rsidR="00995D52" w:rsidRDefault="00995D52" w:rsidP="00C6004A">
      <w:pPr>
        <w:ind w:left="540" w:hanging="540"/>
        <w:rPr>
          <w:rFonts w:ascii="Arial" w:hAnsi="Arial" w:cs="Arial"/>
        </w:rPr>
      </w:pPr>
      <w:r w:rsidRPr="00995D52">
        <w:rPr>
          <w:rFonts w:ascii="Arial" w:hAnsi="Arial" w:cs="Arial"/>
          <w:color w:val="000000"/>
        </w:rPr>
        <w:t xml:space="preserve">Zeqiri, J., Raluca Dania, T., Lupșa-Tătaru, D. A., &amp; Gleason, K. (2023). The impact of e-service quality on word of mouth in higher education. </w:t>
      </w:r>
      <w:r w:rsidRPr="00995D52">
        <w:rPr>
          <w:rFonts w:ascii="Arial" w:hAnsi="Arial" w:cs="Arial"/>
          <w:i/>
          <w:iCs/>
          <w:color w:val="000000"/>
        </w:rPr>
        <w:t>International Journal of Market Research and Economics, 100850</w:t>
      </w:r>
      <w:r w:rsidRPr="00995D52">
        <w:rPr>
          <w:rFonts w:ascii="Arial" w:hAnsi="Arial" w:cs="Arial"/>
          <w:color w:val="000000"/>
        </w:rPr>
        <w:t xml:space="preserve">. </w:t>
      </w:r>
      <w:hyperlink r:id="rId45" w:history="1">
        <w:r w:rsidRPr="00995D52">
          <w:rPr>
            <w:rFonts w:ascii="Arial" w:hAnsi="Arial" w:cs="Arial"/>
            <w:color w:val="000000"/>
          </w:rPr>
          <w:t>https://doi.org/1</w:t>
        </w:r>
        <w:bookmarkStart w:id="0" w:name="_GoBack"/>
        <w:bookmarkEnd w:id="0"/>
        <w:r w:rsidRPr="00995D52">
          <w:rPr>
            <w:rFonts w:ascii="Arial" w:hAnsi="Arial" w:cs="Arial"/>
            <w:color w:val="000000"/>
          </w:rPr>
          <w:t>0.1016/j.ijme.2023.100850</w:t>
        </w:r>
      </w:hyperlink>
    </w:p>
    <w:sectPr w:rsidR="00995D52" w:rsidSect="00174A4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6FA4" w14:textId="77777777" w:rsidR="00B900C4" w:rsidRDefault="00B900C4" w:rsidP="00C37E61">
      <w:r>
        <w:separator/>
      </w:r>
    </w:p>
  </w:endnote>
  <w:endnote w:type="continuationSeparator" w:id="0">
    <w:p w14:paraId="525A4BB0" w14:textId="77777777" w:rsidR="00B900C4" w:rsidRDefault="00B900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DC2C" w14:textId="77777777" w:rsidR="000064C9" w:rsidRDefault="00006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E451" w14:textId="77777777" w:rsidR="000064C9" w:rsidRDefault="00006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AC91" w14:textId="77777777" w:rsidR="009E048A" w:rsidRDefault="009E048A">
    <w:pPr>
      <w:pStyle w:val="Footer"/>
      <w:rPr>
        <w:rFonts w:ascii="Arial" w:hAnsi="Arial" w:cs="Arial"/>
        <w:sz w:val="16"/>
      </w:rPr>
    </w:pPr>
  </w:p>
  <w:p w14:paraId="319501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79C2B7" w14:textId="77777777" w:rsidR="009E048A" w:rsidRDefault="009E048A">
    <w:pPr>
      <w:pStyle w:val="Footer"/>
      <w:rPr>
        <w:rFonts w:ascii="Arial" w:hAnsi="Arial" w:cs="Arial"/>
        <w:sz w:val="16"/>
      </w:rPr>
    </w:pPr>
  </w:p>
  <w:p w14:paraId="262FB9BA" w14:textId="0D6A0D1F"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8039" w14:textId="77777777" w:rsidR="00B900C4" w:rsidRDefault="00B900C4" w:rsidP="00C37E61">
      <w:r>
        <w:separator/>
      </w:r>
    </w:p>
  </w:footnote>
  <w:footnote w:type="continuationSeparator" w:id="0">
    <w:p w14:paraId="4BD489B9" w14:textId="77777777" w:rsidR="00B900C4" w:rsidRDefault="00B900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0304" w14:textId="4DB2D273" w:rsidR="000064C9" w:rsidRDefault="000064C9">
    <w:pPr>
      <w:pStyle w:val="Header"/>
    </w:pPr>
    <w:r>
      <w:rPr>
        <w:noProof/>
      </w:rPr>
      <w:pict w14:anchorId="700D6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69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3940" w14:textId="5C155B1B" w:rsidR="000064C9" w:rsidRDefault="000064C9">
    <w:pPr>
      <w:pStyle w:val="Header"/>
    </w:pPr>
    <w:r>
      <w:rPr>
        <w:noProof/>
      </w:rPr>
      <w:pict w14:anchorId="6B98B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69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DAB6" w14:textId="21059CC3" w:rsidR="00296529" w:rsidRPr="00296529" w:rsidRDefault="000064C9" w:rsidP="00296529">
    <w:pPr>
      <w:ind w:left="2160"/>
      <w:jc w:val="center"/>
      <w:rPr>
        <w:rFonts w:ascii="Times New Roman" w:eastAsia="Calibri" w:hAnsi="Times New Roman"/>
        <w:i/>
        <w:sz w:val="18"/>
        <w:szCs w:val="22"/>
      </w:rPr>
    </w:pPr>
    <w:r>
      <w:rPr>
        <w:noProof/>
      </w:rPr>
      <w:pict w14:anchorId="27130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69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0926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0581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4463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A2A6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DCCC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9D99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3462"/>
    <w:multiLevelType w:val="multilevel"/>
    <w:tmpl w:val="9B827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526DA"/>
    <w:multiLevelType w:val="multilevel"/>
    <w:tmpl w:val="6256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BA0228B"/>
    <w:multiLevelType w:val="multilevel"/>
    <w:tmpl w:val="D8EA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6C818C3"/>
    <w:multiLevelType w:val="multilevel"/>
    <w:tmpl w:val="7226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04AAF"/>
    <w:multiLevelType w:val="multilevel"/>
    <w:tmpl w:val="D5D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ED7657D"/>
    <w:multiLevelType w:val="multilevel"/>
    <w:tmpl w:val="8978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C6954"/>
    <w:multiLevelType w:val="multilevel"/>
    <w:tmpl w:val="1CE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7F314EF"/>
    <w:multiLevelType w:val="multilevel"/>
    <w:tmpl w:val="810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13C4C"/>
    <w:multiLevelType w:val="multilevel"/>
    <w:tmpl w:val="CBD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04933CF"/>
    <w:multiLevelType w:val="multilevel"/>
    <w:tmpl w:val="AE9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6D35"/>
    <w:multiLevelType w:val="multilevel"/>
    <w:tmpl w:val="9AC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8BC507A"/>
    <w:multiLevelType w:val="multilevel"/>
    <w:tmpl w:val="513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A1032"/>
    <w:multiLevelType w:val="multilevel"/>
    <w:tmpl w:val="FDD0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3"/>
  </w:num>
  <w:num w:numId="8">
    <w:abstractNumId w:val="19"/>
  </w:num>
  <w:num w:numId="9">
    <w:abstractNumId w:val="38"/>
  </w:num>
  <w:num w:numId="10">
    <w:abstractNumId w:val="4"/>
  </w:num>
  <w:num w:numId="11">
    <w:abstractNumId w:val="31"/>
  </w:num>
  <w:num w:numId="12">
    <w:abstractNumId w:val="5"/>
  </w:num>
  <w:num w:numId="13">
    <w:abstractNumId w:val="28"/>
  </w:num>
  <w:num w:numId="14">
    <w:abstractNumId w:val="13"/>
  </w:num>
  <w:num w:numId="15">
    <w:abstractNumId w:val="34"/>
  </w:num>
  <w:num w:numId="16">
    <w:abstractNumId w:val="7"/>
  </w:num>
  <w:num w:numId="17">
    <w:abstractNumId w:val="35"/>
  </w:num>
  <w:num w:numId="18">
    <w:abstractNumId w:val="21"/>
  </w:num>
  <w:num w:numId="19">
    <w:abstractNumId w:val="41"/>
  </w:num>
  <w:num w:numId="20">
    <w:abstractNumId w:val="18"/>
  </w:num>
  <w:num w:numId="21">
    <w:abstractNumId w:val="15"/>
  </w:num>
  <w:num w:numId="22">
    <w:abstractNumId w:val="20"/>
  </w:num>
  <w:num w:numId="23">
    <w:abstractNumId w:val="32"/>
  </w:num>
  <w:num w:numId="24">
    <w:abstractNumId w:val="39"/>
  </w:num>
  <w:num w:numId="25">
    <w:abstractNumId w:val="6"/>
  </w:num>
  <w:num w:numId="26">
    <w:abstractNumId w:val="26"/>
  </w:num>
  <w:num w:numId="27">
    <w:abstractNumId w:val="33"/>
  </w:num>
  <w:num w:numId="28">
    <w:abstractNumId w:val="40"/>
  </w:num>
  <w:num w:numId="29">
    <w:abstractNumId w:val="37"/>
  </w:num>
  <w:num w:numId="30">
    <w:abstractNumId w:val="16"/>
  </w:num>
  <w:num w:numId="31">
    <w:abstractNumId w:val="2"/>
  </w:num>
  <w:num w:numId="32">
    <w:abstractNumId w:val="1"/>
  </w:num>
  <w:num w:numId="33">
    <w:abstractNumId w:val="10"/>
  </w:num>
  <w:num w:numId="34">
    <w:abstractNumId w:val="8"/>
  </w:num>
  <w:num w:numId="35">
    <w:abstractNumId w:val="25"/>
  </w:num>
  <w:num w:numId="36">
    <w:abstractNumId w:val="11"/>
  </w:num>
  <w:num w:numId="37">
    <w:abstractNumId w:val="29"/>
  </w:num>
  <w:num w:numId="38">
    <w:abstractNumId w:val="27"/>
  </w:num>
  <w:num w:numId="39">
    <w:abstractNumId w:val="17"/>
  </w:num>
  <w:num w:numId="40">
    <w:abstractNumId w:val="22"/>
  </w:num>
  <w:num w:numId="41">
    <w:abstractNumId w:val="30"/>
  </w:num>
  <w:num w:numId="42">
    <w:abstractNumId w:val="2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4C9"/>
    <w:rsid w:val="00030174"/>
    <w:rsid w:val="0004579C"/>
    <w:rsid w:val="000A47FA"/>
    <w:rsid w:val="000A65D3"/>
    <w:rsid w:val="000B1E33"/>
    <w:rsid w:val="000D689F"/>
    <w:rsid w:val="000D71F5"/>
    <w:rsid w:val="000E7B7B"/>
    <w:rsid w:val="000E7D62"/>
    <w:rsid w:val="000F5F60"/>
    <w:rsid w:val="00103357"/>
    <w:rsid w:val="00114D81"/>
    <w:rsid w:val="001228E2"/>
    <w:rsid w:val="00123C9F"/>
    <w:rsid w:val="00126190"/>
    <w:rsid w:val="00130F17"/>
    <w:rsid w:val="001320BF"/>
    <w:rsid w:val="00163BC4"/>
    <w:rsid w:val="00174A4D"/>
    <w:rsid w:val="001759BF"/>
    <w:rsid w:val="00191062"/>
    <w:rsid w:val="0019237F"/>
    <w:rsid w:val="00192B72"/>
    <w:rsid w:val="001A29D8"/>
    <w:rsid w:val="001A5CAA"/>
    <w:rsid w:val="001B0427"/>
    <w:rsid w:val="001D3A51"/>
    <w:rsid w:val="001E10D2"/>
    <w:rsid w:val="001E25B4"/>
    <w:rsid w:val="001E44FE"/>
    <w:rsid w:val="00200595"/>
    <w:rsid w:val="00204835"/>
    <w:rsid w:val="00211501"/>
    <w:rsid w:val="00231920"/>
    <w:rsid w:val="0023195C"/>
    <w:rsid w:val="0024282C"/>
    <w:rsid w:val="002460DC"/>
    <w:rsid w:val="00250985"/>
    <w:rsid w:val="002556F6"/>
    <w:rsid w:val="00280D69"/>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38AE"/>
    <w:rsid w:val="003A43A4"/>
    <w:rsid w:val="003A7E18"/>
    <w:rsid w:val="003C4C86"/>
    <w:rsid w:val="003C6258"/>
    <w:rsid w:val="003D3691"/>
    <w:rsid w:val="003E2904"/>
    <w:rsid w:val="00401927"/>
    <w:rsid w:val="0041027F"/>
    <w:rsid w:val="00412475"/>
    <w:rsid w:val="00423789"/>
    <w:rsid w:val="00440F43"/>
    <w:rsid w:val="004411C3"/>
    <w:rsid w:val="00441B6F"/>
    <w:rsid w:val="00446221"/>
    <w:rsid w:val="00450E62"/>
    <w:rsid w:val="004539DB"/>
    <w:rsid w:val="00471A80"/>
    <w:rsid w:val="004D305E"/>
    <w:rsid w:val="004D4277"/>
    <w:rsid w:val="00502516"/>
    <w:rsid w:val="00505F06"/>
    <w:rsid w:val="00506828"/>
    <w:rsid w:val="0053056E"/>
    <w:rsid w:val="00554FDA"/>
    <w:rsid w:val="00595642"/>
    <w:rsid w:val="005C6ECB"/>
    <w:rsid w:val="005C784C"/>
    <w:rsid w:val="005D17F6"/>
    <w:rsid w:val="005E5539"/>
    <w:rsid w:val="00602BF5"/>
    <w:rsid w:val="00617FDD"/>
    <w:rsid w:val="00633614"/>
    <w:rsid w:val="00633F68"/>
    <w:rsid w:val="00636EB2"/>
    <w:rsid w:val="006375B8"/>
    <w:rsid w:val="0066510A"/>
    <w:rsid w:val="00667A03"/>
    <w:rsid w:val="00673F9F"/>
    <w:rsid w:val="00686953"/>
    <w:rsid w:val="00687DEA"/>
    <w:rsid w:val="00687E67"/>
    <w:rsid w:val="006967F7"/>
    <w:rsid w:val="006A1041"/>
    <w:rsid w:val="006A250C"/>
    <w:rsid w:val="006B21D3"/>
    <w:rsid w:val="006B57D0"/>
    <w:rsid w:val="006D30FF"/>
    <w:rsid w:val="006D6940"/>
    <w:rsid w:val="006F11EC"/>
    <w:rsid w:val="0070082C"/>
    <w:rsid w:val="007369E6"/>
    <w:rsid w:val="00743B1C"/>
    <w:rsid w:val="00746E59"/>
    <w:rsid w:val="00754C9A"/>
    <w:rsid w:val="0075599A"/>
    <w:rsid w:val="00761D52"/>
    <w:rsid w:val="0077749E"/>
    <w:rsid w:val="00786971"/>
    <w:rsid w:val="007905E0"/>
    <w:rsid w:val="00790ADA"/>
    <w:rsid w:val="007D2288"/>
    <w:rsid w:val="007D4BF3"/>
    <w:rsid w:val="007E088F"/>
    <w:rsid w:val="007F6E5C"/>
    <w:rsid w:val="007F7B32"/>
    <w:rsid w:val="00804BC2"/>
    <w:rsid w:val="0081431A"/>
    <w:rsid w:val="0083216F"/>
    <w:rsid w:val="00860000"/>
    <w:rsid w:val="00863BD3"/>
    <w:rsid w:val="008641ED"/>
    <w:rsid w:val="00866D66"/>
    <w:rsid w:val="008671C6"/>
    <w:rsid w:val="00875803"/>
    <w:rsid w:val="008B2CC2"/>
    <w:rsid w:val="008B459E"/>
    <w:rsid w:val="008C2A63"/>
    <w:rsid w:val="008D6C8A"/>
    <w:rsid w:val="008E13AE"/>
    <w:rsid w:val="008E1506"/>
    <w:rsid w:val="008E710C"/>
    <w:rsid w:val="008F69D6"/>
    <w:rsid w:val="00902823"/>
    <w:rsid w:val="00915CA6"/>
    <w:rsid w:val="00927834"/>
    <w:rsid w:val="009500A6"/>
    <w:rsid w:val="00953E26"/>
    <w:rsid w:val="00957C18"/>
    <w:rsid w:val="009659BA"/>
    <w:rsid w:val="00983040"/>
    <w:rsid w:val="00993CC7"/>
    <w:rsid w:val="00995D52"/>
    <w:rsid w:val="009A6864"/>
    <w:rsid w:val="009B3FB9"/>
    <w:rsid w:val="009B77D6"/>
    <w:rsid w:val="009C2465"/>
    <w:rsid w:val="009D35A0"/>
    <w:rsid w:val="009D7EB7"/>
    <w:rsid w:val="009E048A"/>
    <w:rsid w:val="009E08E9"/>
    <w:rsid w:val="009E3DB9"/>
    <w:rsid w:val="009E6E35"/>
    <w:rsid w:val="009F0EDA"/>
    <w:rsid w:val="00A03B96"/>
    <w:rsid w:val="00A05B19"/>
    <w:rsid w:val="00A1134E"/>
    <w:rsid w:val="00A24E7E"/>
    <w:rsid w:val="00A258C3"/>
    <w:rsid w:val="00A311C3"/>
    <w:rsid w:val="00A347C0"/>
    <w:rsid w:val="00A51431"/>
    <w:rsid w:val="00A539AD"/>
    <w:rsid w:val="00A94063"/>
    <w:rsid w:val="00AA6219"/>
    <w:rsid w:val="00AA74E0"/>
    <w:rsid w:val="00AB1CD2"/>
    <w:rsid w:val="00AB703F"/>
    <w:rsid w:val="00AC6BB8"/>
    <w:rsid w:val="00AD0626"/>
    <w:rsid w:val="00AE008F"/>
    <w:rsid w:val="00B01FCD"/>
    <w:rsid w:val="00B1776C"/>
    <w:rsid w:val="00B3197B"/>
    <w:rsid w:val="00B3545F"/>
    <w:rsid w:val="00B52583"/>
    <w:rsid w:val="00B52896"/>
    <w:rsid w:val="00B5738A"/>
    <w:rsid w:val="00B900C4"/>
    <w:rsid w:val="00B95236"/>
    <w:rsid w:val="00B96BD9"/>
    <w:rsid w:val="00BA1B01"/>
    <w:rsid w:val="00BA2641"/>
    <w:rsid w:val="00BB37AA"/>
    <w:rsid w:val="00BB5E3F"/>
    <w:rsid w:val="00BC53A0"/>
    <w:rsid w:val="00BE62AD"/>
    <w:rsid w:val="00BF121F"/>
    <w:rsid w:val="00BF1F80"/>
    <w:rsid w:val="00C166EF"/>
    <w:rsid w:val="00C17EB0"/>
    <w:rsid w:val="00C27F5F"/>
    <w:rsid w:val="00C30A0F"/>
    <w:rsid w:val="00C37E61"/>
    <w:rsid w:val="00C6004A"/>
    <w:rsid w:val="00C70F1B"/>
    <w:rsid w:val="00C71A47"/>
    <w:rsid w:val="00C7464C"/>
    <w:rsid w:val="00C82BB5"/>
    <w:rsid w:val="00C85588"/>
    <w:rsid w:val="00C91493"/>
    <w:rsid w:val="00CD6755"/>
    <w:rsid w:val="00CD6856"/>
    <w:rsid w:val="00CE0089"/>
    <w:rsid w:val="00CE1733"/>
    <w:rsid w:val="00CE793C"/>
    <w:rsid w:val="00CF193C"/>
    <w:rsid w:val="00D173F1"/>
    <w:rsid w:val="00D5167A"/>
    <w:rsid w:val="00D74CB0"/>
    <w:rsid w:val="00D8295D"/>
    <w:rsid w:val="00DC2A65"/>
    <w:rsid w:val="00DE15F0"/>
    <w:rsid w:val="00DE5663"/>
    <w:rsid w:val="00DE78AA"/>
    <w:rsid w:val="00E053D0"/>
    <w:rsid w:val="00E06FB5"/>
    <w:rsid w:val="00E15994"/>
    <w:rsid w:val="00E3114E"/>
    <w:rsid w:val="00E31A70"/>
    <w:rsid w:val="00E35B02"/>
    <w:rsid w:val="00E527EA"/>
    <w:rsid w:val="00E56A03"/>
    <w:rsid w:val="00E66496"/>
    <w:rsid w:val="00E66B35"/>
    <w:rsid w:val="00E66E10"/>
    <w:rsid w:val="00E769F6"/>
    <w:rsid w:val="00E8407C"/>
    <w:rsid w:val="00E84F3C"/>
    <w:rsid w:val="00EA012C"/>
    <w:rsid w:val="00EC6A55"/>
    <w:rsid w:val="00ED0288"/>
    <w:rsid w:val="00ED53FF"/>
    <w:rsid w:val="00EE52CB"/>
    <w:rsid w:val="00EF581D"/>
    <w:rsid w:val="00EF7FD8"/>
    <w:rsid w:val="00F06F59"/>
    <w:rsid w:val="00F17988"/>
    <w:rsid w:val="00F469F0"/>
    <w:rsid w:val="00F4792A"/>
    <w:rsid w:val="00F53273"/>
    <w:rsid w:val="00F755E4"/>
    <w:rsid w:val="00F77D02"/>
    <w:rsid w:val="00FB3A86"/>
    <w:rsid w:val="00FC1DD7"/>
    <w:rsid w:val="00FD36C8"/>
    <w:rsid w:val="00FD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3762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956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B5E3F"/>
    <w:pPr>
      <w:spacing w:before="100" w:beforeAutospacing="1" w:after="100" w:afterAutospacing="1"/>
    </w:pPr>
    <w:rPr>
      <w:rFonts w:ascii="Times New Roman" w:hAnsi="Times New Roman"/>
      <w:sz w:val="24"/>
      <w:szCs w:val="24"/>
      <w:lang w:val="en-PH"/>
    </w:rPr>
  </w:style>
  <w:style w:type="character" w:customStyle="1" w:styleId="Heading2Char">
    <w:name w:val="Heading 2 Char"/>
    <w:basedOn w:val="DefaultParagraphFont"/>
    <w:link w:val="Heading2"/>
    <w:semiHidden/>
    <w:rsid w:val="00595642"/>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59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0584609.2025.2456519" TargetMode="External"/><Relationship Id="rId26" Type="http://schemas.openxmlformats.org/officeDocument/2006/relationships/hyperlink" Target="https://www.iza.org/publications/dp/13729/the-expected-signaling-value-of-higher-education?utm_source=chatgpt.com" TargetMode="External"/><Relationship Id="rId39" Type="http://schemas.openxmlformats.org/officeDocument/2006/relationships/hyperlink" Target="https://doi.org/10.3989/redc.2024.1.1384" TargetMode="External"/><Relationship Id="rId21" Type="http://schemas.openxmlformats.org/officeDocument/2006/relationships/hyperlink" Target="https://doi.org/10.1177/0149206310388419" TargetMode="External"/><Relationship Id="rId34" Type="http://schemas.openxmlformats.org/officeDocument/2006/relationships/hyperlink" Target="https://doi.org/10.1080/03054985.2022.2061438" TargetMode="External"/><Relationship Id="rId42" Type="http://schemas.openxmlformats.org/officeDocument/2006/relationships/hyperlink" Target="https://doi.org/10.1257/0002828026013620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educ.2025.1619897" TargetMode="External"/><Relationship Id="rId29" Type="http://schemas.openxmlformats.org/officeDocument/2006/relationships/hyperlink" Target="https://doi.org/10.1080/2331186X.2024.23328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002764211426331" TargetMode="External"/><Relationship Id="rId32" Type="http://schemas.openxmlformats.org/officeDocument/2006/relationships/hyperlink" Target="https://doi.org/10.1016/j.ssaho.2025.101284" TargetMode="External"/><Relationship Id="rId37" Type="http://schemas.openxmlformats.org/officeDocument/2006/relationships/hyperlink" Target="https://doi.org/10.34149/jebmes.v5i1.188" TargetMode="External"/><Relationship Id="rId40" Type="http://schemas.openxmlformats.org/officeDocument/2006/relationships/hyperlink" Target="https://doi.org/10.1108/JARHE-03-2024-0116" TargetMode="External"/><Relationship Id="rId45" Type="http://schemas.openxmlformats.org/officeDocument/2006/relationships/hyperlink" Target="https://doi.org/10.1016/j.ijme.2023.100850" TargetMode="External"/><Relationship Id="rId5" Type="http://schemas.openxmlformats.org/officeDocument/2006/relationships/webSettings" Target="webSettings.xml"/><Relationship Id="rId15" Type="http://schemas.openxmlformats.org/officeDocument/2006/relationships/hyperlink" Target="https://www.adb.org/sites/default/files/publication/29869/private-higher-education-across-asia.pdf?utm_source=chatgpt.com" TargetMode="External"/><Relationship Id="rId23" Type="http://schemas.openxmlformats.org/officeDocument/2006/relationships/hyperlink" Target="https://doi.org/10.1111/hequ.12335" TargetMode="External"/><Relationship Id="rId28" Type="http://schemas.openxmlformats.org/officeDocument/2006/relationships/hyperlink" Target="https://doi.org/10.1108/JARHE-01-2022-0032" TargetMode="External"/><Relationship Id="rId36" Type="http://schemas.openxmlformats.org/officeDocument/2006/relationships/hyperlink" Target="https://eric.ed.gov/?id=EJ1372002&amp;utm_source=chatgpt.com" TargetMode="External"/><Relationship Id="rId10" Type="http://schemas.openxmlformats.org/officeDocument/2006/relationships/footer" Target="footer1.xml"/><Relationship Id="rId19" Type="http://schemas.openxmlformats.org/officeDocument/2006/relationships/hyperlink" Target="https://doi.org/10.3316/QRJ0902027" TargetMode="External"/><Relationship Id="rId31" Type="http://schemas.openxmlformats.org/officeDocument/2006/relationships/hyperlink" Target="https://doi.org/10.1177/1049732305276687" TargetMode="External"/><Relationship Id="rId44" Type="http://schemas.openxmlformats.org/officeDocument/2006/relationships/hyperlink" Target="https://doi.org/10.1016/j.heliyon.2023.e168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834/e-bpj.v10iSI37.7620" TargetMode="External"/><Relationship Id="rId22" Type="http://schemas.openxmlformats.org/officeDocument/2006/relationships/hyperlink" Target="https://doi.org/10.1177/2332858419867650" TargetMode="External"/><Relationship Id="rId27" Type="http://schemas.openxmlformats.org/officeDocument/2006/relationships/hyperlink" Target="https://doi.org/10.1111/j.1460-2466.1993.tb01304.x" TargetMode="External"/><Relationship Id="rId30" Type="http://schemas.openxmlformats.org/officeDocument/2006/relationships/hyperlink" Target="https://doi.org/10.1080/23322969.2018.1424562" TargetMode="External"/><Relationship Id="rId35" Type="http://schemas.openxmlformats.org/officeDocument/2006/relationships/hyperlink" Target="https://iau.global/all-publications/internationalization-of-higher-education-current-trends-and-future-scenarios?utm_source=chatgpt.com" TargetMode="External"/><Relationship Id="rId43" Type="http://schemas.openxmlformats.org/officeDocument/2006/relationships/hyperlink" Target="https://unstats.un.org/unsd/methodology/m49/"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10422587221138489" TargetMode="External"/><Relationship Id="rId25" Type="http://schemas.openxmlformats.org/officeDocument/2006/relationships/hyperlink" Target="https://doi.org/10.1016/j.ijinfomgt.2020.102168" TargetMode="External"/><Relationship Id="rId33" Type="http://schemas.openxmlformats.org/officeDocument/2006/relationships/hyperlink" Target="https://doi.org/10.1080/08841241.2022.2059733" TargetMode="External"/><Relationship Id="rId38" Type="http://schemas.openxmlformats.org/officeDocument/2006/relationships/hyperlink" Target="https://www.topuniversities.com/qs-world-university-rankings/methodology" TargetMode="External"/><Relationship Id="rId46" Type="http://schemas.openxmlformats.org/officeDocument/2006/relationships/fontTable" Target="fontTable.xml"/><Relationship Id="rId20" Type="http://schemas.openxmlformats.org/officeDocument/2006/relationships/hyperlink" Target="https://doi.org/10.26220/aca.3169" TargetMode="External"/><Relationship Id="rId41" Type="http://schemas.openxmlformats.org/officeDocument/2006/relationships/hyperlink" Target="https://goodwoodpub.com/index.php/JoMABS/article/view/3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E9108-1A0D-4E40-B047-5D3921D1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18</Pages>
  <Words>9271</Words>
  <Characters>52845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62</cp:revision>
  <cp:lastPrinted>1999-07-06T11:00:00Z</cp:lastPrinted>
  <dcterms:created xsi:type="dcterms:W3CDTF">2026-02-15T21:11:00Z</dcterms:created>
  <dcterms:modified xsi:type="dcterms:W3CDTF">2026-02-16T12:10:00Z</dcterms:modified>
</cp:coreProperties>
</file>