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74B29" w14:textId="77777777" w:rsidR="00505FA4" w:rsidRPr="00505FA4" w:rsidRDefault="00505FA4" w:rsidP="00505FA4">
      <w:pPr>
        <w:pStyle w:val="Heading1"/>
      </w:pPr>
      <w:bookmarkStart w:id="0" w:name="_GoBack"/>
      <w:bookmarkEnd w:id="0"/>
      <w:r w:rsidRPr="00505FA4">
        <w:rPr>
          <w:rStyle w:val="Strong"/>
          <w:b/>
          <w:bCs/>
        </w:rPr>
        <w:t>From Addiction to Application: Harnessing Technology to Enhance Math Learning</w:t>
      </w:r>
    </w:p>
    <w:p w14:paraId="603B435A" w14:textId="77777777" w:rsidR="00505FA4" w:rsidRDefault="00505FA4" w:rsidP="00505FA4">
      <w:pPr>
        <w:pStyle w:val="Heading2"/>
      </w:pPr>
      <w:r>
        <w:t>Abstract</w:t>
      </w:r>
    </w:p>
    <w:p w14:paraId="5C93BD45" w14:textId="77777777" w:rsidR="00505FA4" w:rsidRDefault="00505FA4" w:rsidP="00505FA4">
      <w:pPr>
        <w:pStyle w:val="NormalWeb"/>
      </w:pPr>
      <w:r>
        <w:t>Digital technology has become a defining feature of contemporary learners’ cognitive, social, and academic ecosystems. Yet, the same design features that make apps “sticky”—variable rewards, notifications, social validation cues, and infinite feeds—also contribute to digital distraction, multitasking, and in some cases problematic use patterns that resemble behavioral addiction. Mathematics learning, which often requires sustained attention, working-memory resources, and productive struggle, is especially vulnerable to the costs of fragmented attention. At the same time, an extensive research base shows that well-designed learning technologies can significantly improve mathematics achievement through adaptive practice, timely feedback, interactive representations, intelligent tutoring systems, and thoughtfully structured gamification. This review synthesizes evidence from research on digital distraction and problematic technology use alongside research on technology-enhanced mathematics learning. It argues for a shift from a prohibition-oriented stance (“technology as threat”) to an educational design stance (“technology as scaffold”) that aligns engagement with learning goals and learner well-being. The article integrates cognitive, motivational, and persuasive-design perspectives to propose an “ethical engagement” approach: leveraging motivational affordances without reproducing exploitative attention-capture loops. Implications are discussed for instructional design, classroom orchestration, equity, and future research, with attention to measurement and causal inference challenges in digital learning environments.</w:t>
      </w:r>
    </w:p>
    <w:p w14:paraId="2AD0D749" w14:textId="77777777" w:rsidR="00505FA4" w:rsidRDefault="00505FA4" w:rsidP="00505FA4">
      <w:pPr>
        <w:pStyle w:val="NormalWeb"/>
      </w:pPr>
      <w:r>
        <w:rPr>
          <w:rStyle w:val="Strong"/>
        </w:rPr>
        <w:t>Keywords:</w:t>
      </w:r>
      <w:r>
        <w:t xml:space="preserve"> mathematics education, educational technology, digital distraction, smartphone use, intelligent tutoring systems, gamification, augmented reality, cognitive load, self-determination theory, persuasive systems design</w:t>
      </w:r>
    </w:p>
    <w:p w14:paraId="28DFCF7B" w14:textId="77777777" w:rsidR="00505FA4" w:rsidRDefault="00505FA4" w:rsidP="00505FA4"/>
    <w:p w14:paraId="2D2771DC" w14:textId="77777777" w:rsidR="00505FA4" w:rsidRDefault="00505FA4" w:rsidP="00505FA4">
      <w:pPr>
        <w:pStyle w:val="Heading2"/>
      </w:pPr>
      <w:r>
        <w:t>1. Introduction</w:t>
      </w:r>
    </w:p>
    <w:p w14:paraId="5D47C608" w14:textId="77777777" w:rsidR="00505FA4" w:rsidRDefault="00505FA4" w:rsidP="00505FA4">
      <w:pPr>
        <w:pStyle w:val="NormalWeb"/>
      </w:pPr>
      <w:r>
        <w:t>Digital technologies shape how learners access information, communicate, and allocate attention. In schools and homes, mathematics learning increasingly occurs alongside smartphones, tablets, learning platforms, and social media ecosystems that compete for cognitive resources. This coexistence produces a tension: technology can be both a powerful instructional amplifier and a persistent distractor. The phrase “from addiction to application” captures this tension and the opportunity within it. The practical question for educators and researchers is not whether technology should exist in learning spaces, but how its affordances can be redirected from attention capture to learning support.</w:t>
      </w:r>
    </w:p>
    <w:p w14:paraId="25851B31" w14:textId="77777777" w:rsidR="00505FA4" w:rsidRDefault="00505FA4" w:rsidP="00505FA4">
      <w:pPr>
        <w:pStyle w:val="NormalWeb"/>
      </w:pPr>
      <w:r>
        <w:t xml:space="preserve">The concern about technology “addiction” is not simply moral panic; it is grounded in empirical evidence showing that multitasking and frequent switching among tasks undermine learning processes, particularly those dependent on working memory and sustained attention. Laboratory and classroom studies demonstrate that learners who divide attention between instruction and unrelated digital activity show reduced comprehension and retention, and that </w:t>
      </w:r>
      <w:r>
        <w:lastRenderedPageBreak/>
        <w:t>these costs can spill over to nearby peers (Sana et al., 2013). Communication and educational research further indicates that mobile phone use during learning contexts can impair recall and test performance, especially when usage is frequent and interruptive (</w:t>
      </w:r>
      <w:proofErr w:type="spellStart"/>
      <w:r>
        <w:t>Kuznekoff</w:t>
      </w:r>
      <w:proofErr w:type="spellEnd"/>
      <w:r>
        <w:t xml:space="preserve"> &amp; </w:t>
      </w:r>
      <w:proofErr w:type="spellStart"/>
      <w:r>
        <w:t>Titsworth</w:t>
      </w:r>
      <w:proofErr w:type="spellEnd"/>
      <w:r>
        <w:t>, 2013). Survey-based studies connect higher cell phone use to lower academic performance, though causality is complex and entangled with self-regulation and study habits (Lepp et al., 2014). These findings matter for mathematics because math learning often depends on cumulative reasoning, error monitoring, and the ability to sustain effort across steps rather than merely recognizing information.</w:t>
      </w:r>
    </w:p>
    <w:p w14:paraId="7E70EB0F" w14:textId="77777777" w:rsidR="00505FA4" w:rsidRDefault="00505FA4" w:rsidP="00505FA4">
      <w:pPr>
        <w:pStyle w:val="NormalWeb"/>
      </w:pPr>
      <w:r>
        <w:t xml:space="preserve">At the same time, the empirical base supporting technology-enhanced learning in mathematics is substantial. Meta-analyses indicate that educational technology applications, when aligned with pedagogy and implemented with fidelity, can improve K–12 mathematics achievement (Cheung &amp; Slavin, 2013; Li &amp; Ma, 2010). Intelligent tutoring systems and related adaptive platforms often yield meaningful learning gains by providing individualized feedback, mastery-based progression, and targeted practice (Kulik &amp; Fletcher, 2016; </w:t>
      </w:r>
      <w:proofErr w:type="spellStart"/>
      <w:r>
        <w:t>VanLehn</w:t>
      </w:r>
      <w:proofErr w:type="spellEnd"/>
      <w:r>
        <w:t xml:space="preserve">, 2011). Gamified learning environments can improve learning outcomes under certain conditions, especially when game elements support competence feedback and clear goals rather than merely adding superficial rewards (Bai et al., 2020; </w:t>
      </w:r>
      <w:proofErr w:type="spellStart"/>
      <w:r>
        <w:t>Sailer</w:t>
      </w:r>
      <w:proofErr w:type="spellEnd"/>
      <w:r>
        <w:t xml:space="preserve"> &amp; </w:t>
      </w:r>
      <w:proofErr w:type="spellStart"/>
      <w:r>
        <w:t>Homner</w:t>
      </w:r>
      <w:proofErr w:type="spellEnd"/>
      <w:r>
        <w:t>, 2020). Moreover, research on manipulatives shows that concrete representations can support math learning when instruction helps learners connect concrete actions to abstract concepts (Carbonneau et al., 2013). Emerging modalities such as augmented reality (AR) may expand representational and embodied learning opportunities, although usability and cognitive load remain critical constraints (</w:t>
      </w:r>
      <w:proofErr w:type="spellStart"/>
      <w:r>
        <w:t>Akçayır</w:t>
      </w:r>
      <w:proofErr w:type="spellEnd"/>
      <w:r>
        <w:t xml:space="preserve"> &amp; </w:t>
      </w:r>
      <w:proofErr w:type="spellStart"/>
      <w:r>
        <w:t>Akçayır</w:t>
      </w:r>
      <w:proofErr w:type="spellEnd"/>
      <w:r>
        <w:t>, 2017; Radu, 2014).</w:t>
      </w:r>
    </w:p>
    <w:p w14:paraId="4CF68A7F" w14:textId="77777777" w:rsidR="00505FA4" w:rsidRDefault="00505FA4" w:rsidP="00505FA4">
      <w:pPr>
        <w:pStyle w:val="NormalWeb"/>
      </w:pPr>
      <w:r>
        <w:t>The field therefore faces a design and governance challenge: how to build and implement mathematics learning technologies that sustain motivation without exploiting vulnerabilities in attention and reward systems. Persuasive design frameworks, originally developed to explain how systems shape user behavior, can be repurposed toward educational ends—provided that learner autonomy and well-being remain central (</w:t>
      </w:r>
      <w:proofErr w:type="spellStart"/>
      <w:r>
        <w:t>Oinas-Kukkonen</w:t>
      </w:r>
      <w:proofErr w:type="spellEnd"/>
      <w:r>
        <w:t xml:space="preserve"> &amp; </w:t>
      </w:r>
      <w:proofErr w:type="spellStart"/>
      <w:r>
        <w:t>Harjumaa</w:t>
      </w:r>
      <w:proofErr w:type="spellEnd"/>
      <w:r>
        <w:t>, 2009). This review argues that the goal is not to make learning tools maximally “addictive,” but to create ethically engaging learning environments that cultivate persistence, self-regulation, and conceptual understanding.</w:t>
      </w:r>
    </w:p>
    <w:p w14:paraId="292C0148" w14:textId="77777777" w:rsidR="00505FA4" w:rsidRDefault="00505FA4" w:rsidP="00505FA4">
      <w:pPr>
        <w:pStyle w:val="Heading3"/>
      </w:pPr>
      <w:r>
        <w:t>1.1 Technology, attention, and the mathematics learning problem</w:t>
      </w:r>
    </w:p>
    <w:p w14:paraId="1839E427" w14:textId="77777777" w:rsidR="00505FA4" w:rsidRDefault="00505FA4" w:rsidP="00505FA4">
      <w:pPr>
        <w:pStyle w:val="NormalWeb"/>
      </w:pPr>
      <w:r>
        <w:t>Mathematics learning involves conceptual understanding, procedural fluency, and strategic competence, all of which depend on cognitive resources that are limited and easily disrupted. Switching attention between a math task and a message thread is not cognitively neutral; it introduces resumption costs and fragments the construction of mental models. Evidence from media multitasking research shows that heavy multitaskers can perform worse on measures of cognitive control and filtering irrelevant information (Ophir et al., 2009). For learners working through multi-step problems, such filtering is not a minor skill; it is central to maintaining intermediate results, tracking constraints, and evaluating solution paths.</w:t>
      </w:r>
    </w:p>
    <w:p w14:paraId="7FF25A18" w14:textId="77777777" w:rsidR="00505FA4" w:rsidRDefault="00505FA4" w:rsidP="00505FA4">
      <w:pPr>
        <w:pStyle w:val="NormalWeb"/>
      </w:pPr>
      <w:r>
        <w:t xml:space="preserve">In naturalistic settings, students frequently shift from academic tasks to digital distractions. Observational work suggests learners may remain on task only briefly before switching to technology-based distractors, and that such switching relates to study strategies and task-switching preferences (Rosen et al., 2013). The implication for mathematics is that “time-on-task” is not merely time spent seated with materials; it is time spent in coherent cognitive </w:t>
      </w:r>
      <w:r>
        <w:lastRenderedPageBreak/>
        <w:t>engagement. Technology can reduce such engagement when it functions primarily as interruption, but it can increase engagement when it functions as scaffold.</w:t>
      </w:r>
    </w:p>
    <w:p w14:paraId="0F775830" w14:textId="77777777" w:rsidR="00505FA4" w:rsidRDefault="00505FA4" w:rsidP="00505FA4">
      <w:pPr>
        <w:pStyle w:val="Heading3"/>
      </w:pPr>
      <w:r>
        <w:t>1.2 From “ban the phone” to “design the ecosystem”</w:t>
      </w:r>
    </w:p>
    <w:p w14:paraId="707EDA83" w14:textId="77777777" w:rsidR="00505FA4" w:rsidRDefault="00505FA4" w:rsidP="00505FA4">
      <w:pPr>
        <w:pStyle w:val="NormalWeb"/>
      </w:pPr>
      <w:r>
        <w:t>Institutional responses often focus on restriction—device bans, app blocking, or surveillance. While boundaries can reduce interruptions, bans alone do not build learners’ capacity for self-regulation, nor do they leverage technology’s instructional potential. Recent educational research highlights resilience to digital distractions as a meaningful construct linked to motivation, self-efficacy, and study approaches (Hatlevik &amp; Bjarnø, 2021). This suggests that a more sustainable solution involves both environment design and learner skill development: building contexts that reduce unnecessary triggers while teaching strategies for attention management.</w:t>
      </w:r>
    </w:p>
    <w:p w14:paraId="4D91D2D1" w14:textId="77777777" w:rsidR="00505FA4" w:rsidRDefault="00505FA4" w:rsidP="00505FA4">
      <w:pPr>
        <w:pStyle w:val="Heading3"/>
      </w:pPr>
      <w:r>
        <w:t>1.3 Technology as instructional amplifier in mathematics</w:t>
      </w:r>
    </w:p>
    <w:p w14:paraId="6E51863F" w14:textId="77777777" w:rsidR="00505FA4" w:rsidRDefault="00505FA4" w:rsidP="00505FA4">
      <w:pPr>
        <w:pStyle w:val="NormalWeb"/>
      </w:pPr>
      <w:r>
        <w:t>The strongest argument for educational technology is not novelty but evidence. Across decades of research, digital tools have demonstrated value for mathematics learning when they provide adaptive feedback, interactive representations, and structured practice. The effectiveness of these tools is not guaranteed; it depends on alignment with learning goals, appropriate sequencing, integration into instruction, and safeguards against distraction. The challenge is therefore to design for learning and well-being simultaneously.</w:t>
      </w:r>
    </w:p>
    <w:p w14:paraId="4898156C" w14:textId="77777777" w:rsidR="00505FA4" w:rsidRDefault="00505FA4" w:rsidP="00505FA4">
      <w:pPr>
        <w:pStyle w:val="Heading3"/>
      </w:pPr>
      <w:r>
        <w:t>1.4 Scope and objectives of the article</w:t>
      </w:r>
    </w:p>
    <w:p w14:paraId="0D7AB7DD" w14:textId="77777777" w:rsidR="00505FA4" w:rsidRDefault="00505FA4" w:rsidP="00505FA4">
      <w:pPr>
        <w:pStyle w:val="NormalWeb"/>
      </w:pPr>
      <w:r>
        <w:t>This review synthesizes peer-reviewed research from 2006–2025, supplemented by classic foundational work, to address three objectives: (a) summarize evidence on how digital distraction and problematic technology use influence learning-relevant processes with particular implications for mathematics learning; (b) review evidence for technology-enhanced mathematics learning approaches, including intelligent tutoring systems, gamification, manipulatives, and augmented reality; and (c) propose a conceptually grounded framework for “ethical engagement” in math learning technology—leveraging persuasive and motivational affordances while minimizing exploitative attention-capture dynamics and supporting learner autonomy and self-regulation.</w:t>
      </w:r>
    </w:p>
    <w:p w14:paraId="37EC54C7" w14:textId="77777777" w:rsidR="00505FA4" w:rsidRDefault="00505FA4" w:rsidP="00505FA4"/>
    <w:p w14:paraId="007D38AE" w14:textId="77777777" w:rsidR="00505FA4" w:rsidRDefault="00505FA4" w:rsidP="00505FA4">
      <w:pPr>
        <w:pStyle w:val="Heading2"/>
      </w:pPr>
      <w:r>
        <w:t>2. Methods for literature selection</w:t>
      </w:r>
    </w:p>
    <w:p w14:paraId="5EF40B47" w14:textId="77777777" w:rsidR="00505FA4" w:rsidRDefault="00505FA4" w:rsidP="00505FA4">
      <w:pPr>
        <w:pStyle w:val="NormalWeb"/>
      </w:pPr>
      <w:r>
        <w:t xml:space="preserve">A structured search was conducted across Web of Science, Scopus, ERIC, PsycINFO, and Google Scholar to identify peer-reviewed journal literature published between January 2006 and December 2025, with classic pre-2006 studies included when foundational to theory or method. Search strings combined technology-use terms with learning and mathematics terms. Representative queries included: (“mathematics” OR “math achievement” OR “mathematics learning”) AND (“educational technology” OR “computer-assisted instruction” OR “intelligent tutoring system” OR “adaptive learning” OR “gamification” OR “digital game-based learning” OR “augmented reality”); and (“digital distraction” OR “media multitasking” OR “smartphone use” OR “mobile phone” OR “problematic use” OR “technology addiction” OR “fear of missing out”) AND (“learning” OR “academic performance” OR “classroom”). </w:t>
      </w:r>
      <w:r>
        <w:lastRenderedPageBreak/>
        <w:t>Studies were included if they were peer-reviewed journal articles reporting empirical results, systematic reviews, or meta-analyses relevant to technology’s impact on learning processes or mathematics outcomes. Exclusion criteria included non-peer-reviewed opinion pieces, dissertations without journal publication, studies lacking clear methodology, and articles focused on technology use unrelated to learning contexts. Priority was given to meta-analyses, randomized or quasi-experimental studies, and well-cited observational studies with validated measurement approaches.</w:t>
      </w:r>
    </w:p>
    <w:p w14:paraId="5361991B" w14:textId="77777777" w:rsidR="00505FA4" w:rsidRDefault="00505FA4" w:rsidP="00505FA4"/>
    <w:p w14:paraId="623B7ED8" w14:textId="77777777" w:rsidR="00D261CC" w:rsidRPr="00D261CC" w:rsidRDefault="00D261CC" w:rsidP="00D261CC">
      <w:pPr>
        <w:spacing w:before="100" w:beforeAutospacing="1" w:after="100" w:afterAutospacing="1" w:line="240" w:lineRule="auto"/>
        <w:ind w:left="0" w:right="0" w:firstLine="0"/>
        <w:jc w:val="left"/>
        <w:outlineLvl w:val="1"/>
        <w:rPr>
          <w:b/>
          <w:bCs/>
          <w:color w:val="auto"/>
          <w:kern w:val="0"/>
          <w:sz w:val="36"/>
          <w:szCs w:val="36"/>
          <w:lang w:val="en-US" w:eastAsia="en-US"/>
        </w:rPr>
      </w:pPr>
      <w:r w:rsidRPr="00D261CC">
        <w:rPr>
          <w:b/>
          <w:bCs/>
          <w:color w:val="auto"/>
          <w:kern w:val="0"/>
          <w:sz w:val="36"/>
          <w:szCs w:val="36"/>
          <w:lang w:val="en-US" w:eastAsia="en-US"/>
        </w:rPr>
        <w:t>3. Conceptual foundations: why technology distracts and why it can teach</w:t>
      </w:r>
    </w:p>
    <w:p w14:paraId="1F7DFCBD"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Understanding how technology can simultaneously undermine and enhance mathematics learning requires an integrated conceptual account. The same digital affordances that enable individualized feedback, interactive representation, and motivational supports also enable interruption, habitual checking, and reward-driven engagement that competes with sustained thinking. This section clarifies the foundations of the “from addiction to application” framing by synthesizing four complementary lenses: (a) habit and reinforcement processes that can produce compulsive or high-frequency use patterns; (b) motivational processes that determine whether engagement supports mastery or merely compliance; (c) cognitive resource constraints that make distraction costly, especially in mathematics; and (d) persuasive design principles that explain how systems shape behavior and can be redirected toward ethical educational ends.</w:t>
      </w:r>
    </w:p>
    <w:p w14:paraId="3F559116"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3.1 Habit loops, reinforcement, and problematic use</w:t>
      </w:r>
    </w:p>
    <w:p w14:paraId="50ABDC32"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A central reason digital systems can become difficult to disengage from is that they are engineered around reinforcement dynamics: cues trigger actions, actions produce rewards, and rewards strengthen future behavior. Over time, such loops can become habitual even when the rewards are small or unpredictable. In some cases, this may contribute to “problematic” or disordered mobile phone use, characterized less by the mere frequency of use and more by difficulty controlling use and interference with daily functioning. A comprehensive model of problematic mobile phone use cautions against oversimplified labeling and emphasizes heterogeneity in pathways and outcomes, while still recognizing that some patterns resemble behavioral addiction processes (</w:t>
      </w:r>
      <w:proofErr w:type="spellStart"/>
      <w:r w:rsidRPr="00D261CC">
        <w:rPr>
          <w:color w:val="auto"/>
          <w:kern w:val="0"/>
          <w:lang w:val="en-US" w:eastAsia="en-US"/>
        </w:rPr>
        <w:t>Billieux</w:t>
      </w:r>
      <w:proofErr w:type="spellEnd"/>
      <w:r w:rsidRPr="00D261CC">
        <w:rPr>
          <w:color w:val="auto"/>
          <w:kern w:val="0"/>
          <w:lang w:val="en-US" w:eastAsia="en-US"/>
        </w:rPr>
        <w:t xml:space="preserve"> et al., 2015). For learning contexts, this is crucial because the educational risk is not technology itself, but the emergence of cue-driven checking routines that fragment attention during tasks requiring continuity, such as multi-step mathematics problem solving.</w:t>
      </w:r>
    </w:p>
    <w:p w14:paraId="6C2B56E2"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 xml:space="preserve">Measurement frameworks also matter because they determine how the field operationalizes “addiction-like” use. The Smartphone Addiction Scale short version provides one validated approach, capturing features such as withdrawal-like discomfort, tolerance-like escalation, and functional impairment (Kwon et al., 2013). Even if educators do not adopt clinical language, this measurement work helps clarify which usage patterns are most educationally relevant: those that are experienced as hard to control and that intrude on planned work. In mathematics learning, where errors often require deliberate diagnosis rather than rapid </w:t>
      </w:r>
      <w:r w:rsidRPr="00D261CC">
        <w:rPr>
          <w:color w:val="auto"/>
          <w:kern w:val="0"/>
          <w:lang w:val="en-US" w:eastAsia="en-US"/>
        </w:rPr>
        <w:lastRenderedPageBreak/>
        <w:t>response, habitual checking can create a pattern of repeatedly abandoning cognitive struggle before productive insight occurs.</w:t>
      </w:r>
    </w:p>
    <w:p w14:paraId="55B10B72"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3.2 Motivation and autonomy: engagement without coercion</w:t>
      </w:r>
    </w:p>
    <w:p w14:paraId="0410EB43"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While habit processes explain why technology can pull attention away, motivational theory explains why learners choose to persist—or disengage—when mathematics becomes challenging. Self-determination theory posits that motivation and well-being are supported when learners experience autonomy, competence, and relatedness; when these needs are thwarted, engagement may become controlled, fragile, or avoidance-driven (Ryan &amp; Deci, 2000). This is directly relevant to educational technology because many digital designs increase engagement through external pressures (streaks, leaderboards, constant nudges) that can feel controlling. Such designs may produce short-run compliance but may not support internalized, mastery-oriented motivation—particularly in mathematics, where long-term growth depends on a learner’s willingness to invest effort and tolerate temporary confusion.</w:t>
      </w:r>
    </w:p>
    <w:p w14:paraId="181E0A76"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Ethical engagement design therefore requires distinguishing between engagement that supports autonomy and engagement that pressures attention through social comparison or fear of falling behind. Tools that support autonomy offer meaningful choices in representations, problem sequences, or hint usage, while still structuring progress so that learners do not become lost. Competence support emerges through feedback that is informative—explaining what went wrong and how to improve—rather than merely evaluative. Relatedness can be supported through collaboration and constructive peer interaction, but it becomes coercive when social features create constant monitoring or status anxiety. In mathematics learning environments, autonomy-supportive motivation is especially valuable because it sustains persistence through “productive struggle,” whereas controlled motivation often collapses when tasks become demanding.</w:t>
      </w:r>
    </w:p>
    <w:p w14:paraId="53840F48"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3.3 Cognitive resource limits and cognitive load</w:t>
      </w:r>
    </w:p>
    <w:p w14:paraId="0C4B22C3"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The cognitive foundation for why distraction harms learning is that attention and working memory are limited. Mathematics learning often imposes high intrinsic cognitive load because learners must coordinate multiple elements—symbols, representations, constraints, intermediate values—and keep track of procedural steps while monitoring conceptual meaning. Cognitive load theory formalizes the idea that learning suffers when total load exceeds working-memory capacity, particularly for novices, and that instructional design should minimize extraneous load so cognitive resources are available for schema construction (</w:t>
      </w:r>
      <w:proofErr w:type="spellStart"/>
      <w:r w:rsidRPr="00D261CC">
        <w:rPr>
          <w:color w:val="auto"/>
          <w:kern w:val="0"/>
          <w:lang w:val="en-US" w:eastAsia="en-US"/>
        </w:rPr>
        <w:t>Sweller</w:t>
      </w:r>
      <w:proofErr w:type="spellEnd"/>
      <w:r w:rsidRPr="00D261CC">
        <w:rPr>
          <w:color w:val="auto"/>
          <w:kern w:val="0"/>
          <w:lang w:val="en-US" w:eastAsia="en-US"/>
        </w:rPr>
        <w:t>, 1988). Digital environments can unintentionally increase extraneous load through cluttered interfaces, irrelevant animations, complex navigation, or frequent alerts that force learners to re-orient. Even minor interruptions can require learners to reconstruct their mental state, re-derive intermediate results, and re-establish the logical thread of a solution.</w:t>
      </w:r>
    </w:p>
    <w:p w14:paraId="39815201"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Conversely, digital systems can reduce extraneous cognitive load through clean representations, segmented tasks, worked-example supports, and timely hints that reduce unproductive search. For mathematics, this implies a design principle: technology should not merely add interactivity; it should reduce unnecessary cognitive burden and guide attention to mathematically relevant structure. Importantly, what is “extraneous” depends on learner expertise. A hint that is supportive for a novice may be redundant or even annoying for an advanced learner. This is one reason adaptive systems can be powerful: they can calibrate scaffolding, reducing cognitive load when needed and fading supports as competence grows.</w:t>
      </w:r>
    </w:p>
    <w:p w14:paraId="3133CEED"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lastRenderedPageBreak/>
        <w:t>3.4 Persuasive systems as educational systems</w:t>
      </w:r>
    </w:p>
    <w:p w14:paraId="2B96166B"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Persuasive systems design provides a systematic framework for understanding how technologies steer behavior through particular feature categories such as reduction (simplifying tasks), tunneling (guiding users through a process), tailoring, reminders, social support, and reward mechanisms (</w:t>
      </w:r>
      <w:proofErr w:type="spellStart"/>
      <w:r w:rsidRPr="00D261CC">
        <w:rPr>
          <w:color w:val="auto"/>
          <w:kern w:val="0"/>
          <w:lang w:val="en-US" w:eastAsia="en-US"/>
        </w:rPr>
        <w:t>Oinas-Kukkonen</w:t>
      </w:r>
      <w:proofErr w:type="spellEnd"/>
      <w:r w:rsidRPr="00D261CC">
        <w:rPr>
          <w:color w:val="auto"/>
          <w:kern w:val="0"/>
          <w:lang w:val="en-US" w:eastAsia="en-US"/>
        </w:rPr>
        <w:t xml:space="preserve"> &amp; </w:t>
      </w:r>
      <w:proofErr w:type="spellStart"/>
      <w:r w:rsidRPr="00D261CC">
        <w:rPr>
          <w:color w:val="auto"/>
          <w:kern w:val="0"/>
          <w:lang w:val="en-US" w:eastAsia="en-US"/>
        </w:rPr>
        <w:t>Harjumaa</w:t>
      </w:r>
      <w:proofErr w:type="spellEnd"/>
      <w:r w:rsidRPr="00D261CC">
        <w:rPr>
          <w:color w:val="auto"/>
          <w:kern w:val="0"/>
          <w:lang w:val="en-US" w:eastAsia="en-US"/>
        </w:rPr>
        <w:t>, 2009). In consumer contexts, these features often serve retention and engagement metrics; in education, the same features can be repurposed toward learning goals, provided the persuasive intent is aligned with learner benefit and does not undermine autonomy. This framework is particularly useful for the “addiction to application” pivot because it clarifies that attention capture is not accidental—it is often designed. The ethical move is to make the design purpose explicit and to orient persuasive features toward mastery rather than compulsion.</w:t>
      </w:r>
    </w:p>
    <w:p w14:paraId="37E6C2D1"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In mathematics learning environments, persuasive features can serve constructive ends. Reduction can lower entry barriers to complex tasks by simplifying interfaces and supporting stepwise reasoning. Tunneling can provide structured learning progressions that reduce disorientation and ensure prerequisite concepts are established. Self-monitoring can help learners track mastery and identify which error patterns persist. Reminders can support spaced practice schedules rather than compulsive checking. Social support can encourage collaborative explanation and help-seeking rather than comparison-based anxiety. However, these same features can be misused. For example, reminders can become intrusive nudges that fragment attention, and rewards can become controlling incentives that shift focus from understanding to point accumulation. The persuasive systems lens thus helps educators and designers specify not only which features exist, but what behavioral pathway they are promoting and whether that pathway is educationally defensible.</w:t>
      </w:r>
    </w:p>
    <w:p w14:paraId="2ACC8B64"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3.5 Integrating the lenses for mathematics learning</w:t>
      </w:r>
    </w:p>
    <w:p w14:paraId="040C4F67"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When these foundations are integrated, a coherent picture emerges. Habit and reinforcement dynamics explain why learners may feel pulled toward devices even during planned study (</w:t>
      </w:r>
      <w:proofErr w:type="spellStart"/>
      <w:r w:rsidRPr="00D261CC">
        <w:rPr>
          <w:color w:val="auto"/>
          <w:kern w:val="0"/>
          <w:lang w:val="en-US" w:eastAsia="en-US"/>
        </w:rPr>
        <w:t>Billieux</w:t>
      </w:r>
      <w:proofErr w:type="spellEnd"/>
      <w:r w:rsidRPr="00D261CC">
        <w:rPr>
          <w:color w:val="auto"/>
          <w:kern w:val="0"/>
          <w:lang w:val="en-US" w:eastAsia="en-US"/>
        </w:rPr>
        <w:t xml:space="preserve"> et al., 2015; Kwon et al., 2013). Motivation theory explains why the same learner might persist in one digital environment and disengage from another, depending on whether autonomy and competence are supported (Ryan &amp; Deci, 2000). Cognitive load theory explains why interruptions and poorly designed interfaces can be disproportionately harmful in mathematics, where sustained attention supports multi-step reasoning (</w:t>
      </w:r>
      <w:proofErr w:type="spellStart"/>
      <w:r w:rsidRPr="00D261CC">
        <w:rPr>
          <w:color w:val="auto"/>
          <w:kern w:val="0"/>
          <w:lang w:val="en-US" w:eastAsia="en-US"/>
        </w:rPr>
        <w:t>Sweller</w:t>
      </w:r>
      <w:proofErr w:type="spellEnd"/>
      <w:r w:rsidRPr="00D261CC">
        <w:rPr>
          <w:color w:val="auto"/>
          <w:kern w:val="0"/>
          <w:lang w:val="en-US" w:eastAsia="en-US"/>
        </w:rPr>
        <w:t>, 1988). Persuasive systems design explains how digital environments can either amplify these risks or redirect them toward structured mastery, depending on the design intent and feature configuration (</w:t>
      </w:r>
      <w:proofErr w:type="spellStart"/>
      <w:r w:rsidRPr="00D261CC">
        <w:rPr>
          <w:color w:val="auto"/>
          <w:kern w:val="0"/>
          <w:lang w:val="en-US" w:eastAsia="en-US"/>
        </w:rPr>
        <w:t>Oinas-Kukkonen</w:t>
      </w:r>
      <w:proofErr w:type="spellEnd"/>
      <w:r w:rsidRPr="00D261CC">
        <w:rPr>
          <w:color w:val="auto"/>
          <w:kern w:val="0"/>
          <w:lang w:val="en-US" w:eastAsia="en-US"/>
        </w:rPr>
        <w:t xml:space="preserve"> &amp; </w:t>
      </w:r>
      <w:proofErr w:type="spellStart"/>
      <w:r w:rsidRPr="00D261CC">
        <w:rPr>
          <w:color w:val="auto"/>
          <w:kern w:val="0"/>
          <w:lang w:val="en-US" w:eastAsia="en-US"/>
        </w:rPr>
        <w:t>Harjumaa</w:t>
      </w:r>
      <w:proofErr w:type="spellEnd"/>
      <w:r w:rsidRPr="00D261CC">
        <w:rPr>
          <w:color w:val="auto"/>
          <w:kern w:val="0"/>
          <w:lang w:val="en-US" w:eastAsia="en-US"/>
        </w:rPr>
        <w:t>, 2009).</w:t>
      </w:r>
    </w:p>
    <w:p w14:paraId="674ECE40"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This integrated framework implies a design and instructional agenda. Educational technologies should minimize extraneous cognitive load, align motivational supports with autonomy and competence, and use persuasive design features to scaffold mastery-oriented behaviors. In parallel, educational systems should recognize that problematic use patterns and distraction are not merely individual failings; they are predictable outcomes of reinforcement-driven environments. The task for mathematics education, then, is to build learning technologies and classroom ecosystems that protect attention, cultivate self-regulation, and transform engagement into genuine mathematical understanding.</w:t>
      </w:r>
    </w:p>
    <w:p w14:paraId="554B510E" w14:textId="77777777" w:rsidR="00505FA4" w:rsidRDefault="00505FA4" w:rsidP="00505FA4"/>
    <w:p w14:paraId="45715DD4" w14:textId="77777777" w:rsidR="00D261CC" w:rsidRPr="00D261CC" w:rsidRDefault="00D261CC" w:rsidP="00D261CC">
      <w:pPr>
        <w:spacing w:before="100" w:beforeAutospacing="1" w:after="100" w:afterAutospacing="1" w:line="240" w:lineRule="auto"/>
        <w:ind w:left="0" w:right="0" w:firstLine="0"/>
        <w:jc w:val="left"/>
        <w:outlineLvl w:val="1"/>
        <w:rPr>
          <w:b/>
          <w:bCs/>
          <w:color w:val="auto"/>
          <w:kern w:val="0"/>
          <w:sz w:val="36"/>
          <w:szCs w:val="36"/>
          <w:lang w:val="en-US" w:eastAsia="en-US"/>
        </w:rPr>
      </w:pPr>
      <w:r w:rsidRPr="00D261CC">
        <w:rPr>
          <w:b/>
          <w:bCs/>
          <w:color w:val="auto"/>
          <w:kern w:val="0"/>
          <w:sz w:val="36"/>
          <w:szCs w:val="36"/>
          <w:lang w:val="en-US" w:eastAsia="en-US"/>
        </w:rPr>
        <w:lastRenderedPageBreak/>
        <w:t>4. Evidence on digital distraction, multitasking, and learning-relevant outcomes</w:t>
      </w:r>
    </w:p>
    <w:p w14:paraId="29295C64"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The empirical literature on digital distraction converges on a consistent proposition: learning is vulnerable to interruption because attention and working memory are limited resources, and switching between tasks carries measurable cognitive costs. In mathematics learning contexts, these costs are especially consequential because mathematical reasoning often requires maintaining intermediate representations, tracking multi-step constraints, and monitoring errors over sustained time. Although technology can support learning when structured as a scaffold, it can also undermine learning when it functions primarily as an interruption channel or a trigger for habitual checking. The research reviewed in this section spans controlled experiments, classroom-based studies, and large-scale correlational analyses. Collectively, it suggests that the educational risk is not simply “screen time,” but patterns of fragmented attention, media multitasking, and contextually inappropriate device use.</w:t>
      </w:r>
    </w:p>
    <w:p w14:paraId="32CA4205"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4.1 Multitasking and classroom learning</w:t>
      </w:r>
    </w:p>
    <w:p w14:paraId="14537D8E"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One of the clearest demonstrations of multitasking costs in educational contexts comes from experimental classroom research showing that off-task laptop use reduces learning for the multitasker and can also reduce learning for nearby peers who are visually exposed to the distraction (Sana et al., 2013). The peer effect is particularly important because it indicates that distraction is not only an individual self-control issue; it is also an environmental externality in shared learning spaces. For mathematics instruction, where classroom demonstrations often involve building conceptual bridges across representations and steps, the loss of continuity caused by intermittent attention can degrade comprehension even if students believe they are “keeping up.” The Sana et al. (2013) findings also imply that classroom policies that address device-based multitasking can plausibly improve collective learning conditions, not merely individual performance.</w:t>
      </w:r>
    </w:p>
    <w:p w14:paraId="62046BDA"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Complementing these findings are studies linking academic multitasking behaviors to performance outcomes. For example, multitasking with digital communication while doing academic work has been associated with lower academic performance, suggesting that frequent task switching may displace deep processing and reduce the quality of study behaviors (Junco &amp; Cotten, 2012). While correlational, this evidence aligns with cognitive theories that predict reduced encoding and weaker consolidation when learners repeatedly interrupt learning episodes. In mathematics, such fragmentation may particularly disrupt conceptual learning because understanding often emerges from sustained comparison and reflection, rather than from isolated exposure to answers.</w:t>
      </w:r>
    </w:p>
    <w:p w14:paraId="5EAA7E08"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4.2 Mobile phone usage and learning performance</w:t>
      </w:r>
    </w:p>
    <w:p w14:paraId="4DB1F211"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A second strand of evidence focuses on mobile phones during lectures and learning sessions. Experimental work shows that mobile phone use during instruction can impair learning outcomes, including recall, and can reduce the effectiveness of note-taking or attention to key instructional points (</w:t>
      </w:r>
      <w:proofErr w:type="spellStart"/>
      <w:r w:rsidRPr="00D261CC">
        <w:rPr>
          <w:color w:val="auto"/>
          <w:kern w:val="0"/>
          <w:lang w:val="en-US" w:eastAsia="en-US"/>
        </w:rPr>
        <w:t>Kuznekoff</w:t>
      </w:r>
      <w:proofErr w:type="spellEnd"/>
      <w:r w:rsidRPr="00D261CC">
        <w:rPr>
          <w:color w:val="auto"/>
          <w:kern w:val="0"/>
          <w:lang w:val="en-US" w:eastAsia="en-US"/>
        </w:rPr>
        <w:t xml:space="preserve"> &amp; </w:t>
      </w:r>
      <w:proofErr w:type="spellStart"/>
      <w:r w:rsidRPr="00D261CC">
        <w:rPr>
          <w:color w:val="auto"/>
          <w:kern w:val="0"/>
          <w:lang w:val="en-US" w:eastAsia="en-US"/>
        </w:rPr>
        <w:t>Titsworth</w:t>
      </w:r>
      <w:proofErr w:type="spellEnd"/>
      <w:r w:rsidRPr="00D261CC">
        <w:rPr>
          <w:color w:val="auto"/>
          <w:kern w:val="0"/>
          <w:lang w:val="en-US" w:eastAsia="en-US"/>
        </w:rPr>
        <w:t>, 2013). This finding matters for mathematics learning because the instructional value of a lesson often lies in how ideas are connected—how definitions motivate procedures, how examples illustrate structure, and how errors are diagnosed. Brief device checks can interrupt precisely the moments when these connections are formed.</w:t>
      </w:r>
    </w:p>
    <w:p w14:paraId="3EA04500"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lastRenderedPageBreak/>
        <w:t>Large-scale correlational evidence further links higher cell phone use to lower academic performance (Lepp et al., 2014). Although such associations cannot establish causality, they raise plausible mechanisms relevant to mathematics learning: displacement of study time, reduced sustained attention, and possibly sleep-related impacts that reduce cognitive readiness for demanding tasks. In practice, the Lepp et al. (2014) findings caution educators against assuming that device presence is neutral during study, especially for students who already struggle with self-regulation and time management.</w:t>
      </w:r>
    </w:p>
    <w:p w14:paraId="2583EE23"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4.3 Task switching during studying and study-strategy mediation</w:t>
      </w:r>
    </w:p>
    <w:p w14:paraId="51538616"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A key question is not only whether students get distracted, but how distraction unfolds during authentic studying. Naturalistic evidence indicates that students often remain on-task for relatively short periods before switching to technology-mediated distractors, and that individual differences in study strategies relate to the likelihood and frequency of switching (Rosen et al., 2013). This matters because it reframes distraction as partially strategy-mediated: students who approach studying with clearer goals, structured routines, and stronger metacognitive habits may be better able to resist digital interruptions. For mathematics learning, where practice is often repetitive and difficulty can rise quickly, structured strategies—such as setting specific problem goals, monitoring error types, and scheduling breaks—may be particularly protective against the urge to switch away from discomfort.</w:t>
      </w:r>
    </w:p>
    <w:p w14:paraId="0C4BDDE0"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The strategy-mediated perspective also suggests a practical bridge to intervention design. If distraction is partly driven by habit and weak study routines, then reducing distraction may require both environmental supports and explicit skill-building. This view aligns with educational research that conceptualizes resilience to digital distractions as a measurable capacity related to self-efficacy, motivation, and approaches to studying (Hatlevik &amp; Bjarnø, 2021). Importantly, the Hatlevik and Bjarnø (2021) evidence implies that learners’ ability to persist without succumbing to distractions is not solely a matter of willpower; it is intertwined with beliefs about competence and with study behaviors that can be shaped through instruction and supportive learning environments.</w:t>
      </w:r>
    </w:p>
    <w:p w14:paraId="558B92B8"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 xml:space="preserve">4.4 Well-being, </w:t>
      </w:r>
      <w:proofErr w:type="spellStart"/>
      <w:r w:rsidRPr="00D261CC">
        <w:rPr>
          <w:b/>
          <w:bCs/>
          <w:color w:val="auto"/>
          <w:kern w:val="0"/>
          <w:sz w:val="27"/>
          <w:szCs w:val="27"/>
          <w:lang w:val="en-US" w:eastAsia="en-US"/>
        </w:rPr>
        <w:t>FoMO</w:t>
      </w:r>
      <w:proofErr w:type="spellEnd"/>
      <w:r w:rsidRPr="00D261CC">
        <w:rPr>
          <w:b/>
          <w:bCs/>
          <w:color w:val="auto"/>
          <w:kern w:val="0"/>
          <w:sz w:val="27"/>
          <w:szCs w:val="27"/>
          <w:lang w:val="en-US" w:eastAsia="en-US"/>
        </w:rPr>
        <w:t>, and the “small effects” debate</w:t>
      </w:r>
    </w:p>
    <w:p w14:paraId="66888D75"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Discussions of digital distraction often intersect with broader debates about digital technology and well-being. Large-scale analyses indicate that associations between digital technology use and adolescent well-being can be statistically significant yet small in magnitude and sensitive to analytic choices (Orben &amp; Przybylski, 2019). This evidence cautions against simplistic narratives that portray technology use as uniformly harmful and instead encourages attention to mechanisms and context. For learning outcomes, the relevant question becomes: which patterns of technology use are most likely to disrupt learning processes, and for whom?</w:t>
      </w:r>
    </w:p>
    <w:p w14:paraId="1FA7C1EF"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One mechanism that plausibly intensifies distraction is fear of missing out (</w:t>
      </w:r>
      <w:proofErr w:type="spellStart"/>
      <w:r w:rsidRPr="00D261CC">
        <w:rPr>
          <w:color w:val="auto"/>
          <w:kern w:val="0"/>
          <w:lang w:val="en-US" w:eastAsia="en-US"/>
        </w:rPr>
        <w:t>FoMO</w:t>
      </w:r>
      <w:proofErr w:type="spellEnd"/>
      <w:r w:rsidRPr="00D261CC">
        <w:rPr>
          <w:color w:val="auto"/>
          <w:kern w:val="0"/>
          <w:lang w:val="en-US" w:eastAsia="en-US"/>
        </w:rPr>
        <w:t xml:space="preserve">), a motivational and emotional pattern associated with heightened sensitivity to social connection cues and increased checking behavior. </w:t>
      </w:r>
      <w:proofErr w:type="spellStart"/>
      <w:r w:rsidRPr="00D261CC">
        <w:rPr>
          <w:color w:val="auto"/>
          <w:kern w:val="0"/>
          <w:lang w:val="en-US" w:eastAsia="en-US"/>
        </w:rPr>
        <w:t>FoMO</w:t>
      </w:r>
      <w:proofErr w:type="spellEnd"/>
      <w:r w:rsidRPr="00D261CC">
        <w:rPr>
          <w:color w:val="auto"/>
          <w:kern w:val="0"/>
          <w:lang w:val="en-US" w:eastAsia="en-US"/>
        </w:rPr>
        <w:t xml:space="preserve"> has been linked to behavioral and affective correlates that can encourage persistent monitoring of social channels (Przybylski et al., 2013). In mathematics learning contexts, </w:t>
      </w:r>
      <w:proofErr w:type="spellStart"/>
      <w:r w:rsidRPr="00D261CC">
        <w:rPr>
          <w:color w:val="auto"/>
          <w:kern w:val="0"/>
          <w:lang w:val="en-US" w:eastAsia="en-US"/>
        </w:rPr>
        <w:t>FoMO</w:t>
      </w:r>
      <w:proofErr w:type="spellEnd"/>
      <w:r w:rsidRPr="00D261CC">
        <w:rPr>
          <w:color w:val="auto"/>
          <w:kern w:val="0"/>
          <w:lang w:val="en-US" w:eastAsia="en-US"/>
        </w:rPr>
        <w:t xml:space="preserve"> may be particularly disruptive because it competes with the sustained concentration needed for multi-step reasoning. The implication is not that social connection needs should be ignored, but that learning environments and </w:t>
      </w:r>
      <w:r w:rsidRPr="00D261CC">
        <w:rPr>
          <w:color w:val="auto"/>
          <w:kern w:val="0"/>
          <w:lang w:val="en-US" w:eastAsia="en-US"/>
        </w:rPr>
        <w:lastRenderedPageBreak/>
        <w:t>tools should reduce the salience of interruption cues during cognitively demanding work and help learners recognize and manage checking impulses.</w:t>
      </w:r>
    </w:p>
    <w:p w14:paraId="01C7AE0B"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4.5 Media multitasking and cognitive control</w:t>
      </w:r>
    </w:p>
    <w:p w14:paraId="646C82A8"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A complementary line of research addresses the cognitive correlates of media multitasking more broadly. Evidence suggests that heavy media multitaskers can perform worse on measures related to cognitive control and the ability to filter irrelevant information (Ophir et al., 2009). For mathematics learning, filtering irrelevant information is not a peripheral skill: it supports selecting relevant constraints, ignoring distractor features in word problems, and maintaining focus on the structure of a solution path. The Ophir et al. (2009) findings are often interpreted cautiously because they do not imply that multitasking causes poor cognitive control in a simple unidirectional way; nonetheless, the association is consistent with educational concerns that habitual task switching may correspond to weaker control over attention allocation during learning.</w:t>
      </w:r>
    </w:p>
    <w:p w14:paraId="31DD5CBF"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4.6 Integrating the evidence for mathematics learning contexts</w:t>
      </w:r>
    </w:p>
    <w:p w14:paraId="143BE395"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Taken together, this literature suggests that distraction operates through multiple pathways that can converge in mathematics learning. Device-based multitasking during instruction can directly impair learning and can also degrade the learning environment for peers (Sana et al., 2013). Mobile phone use can interrupt encoding and reduce recall (</w:t>
      </w:r>
      <w:proofErr w:type="spellStart"/>
      <w:r w:rsidRPr="00D261CC">
        <w:rPr>
          <w:color w:val="auto"/>
          <w:kern w:val="0"/>
          <w:lang w:val="en-US" w:eastAsia="en-US"/>
        </w:rPr>
        <w:t>Kuznekoff</w:t>
      </w:r>
      <w:proofErr w:type="spellEnd"/>
      <w:r w:rsidRPr="00D261CC">
        <w:rPr>
          <w:color w:val="auto"/>
          <w:kern w:val="0"/>
          <w:lang w:val="en-US" w:eastAsia="en-US"/>
        </w:rPr>
        <w:t xml:space="preserve"> &amp; </w:t>
      </w:r>
      <w:proofErr w:type="spellStart"/>
      <w:r w:rsidRPr="00D261CC">
        <w:rPr>
          <w:color w:val="auto"/>
          <w:kern w:val="0"/>
          <w:lang w:val="en-US" w:eastAsia="en-US"/>
        </w:rPr>
        <w:t>Titsworth</w:t>
      </w:r>
      <w:proofErr w:type="spellEnd"/>
      <w:r w:rsidRPr="00D261CC">
        <w:rPr>
          <w:color w:val="auto"/>
          <w:kern w:val="0"/>
          <w:lang w:val="en-US" w:eastAsia="en-US"/>
        </w:rPr>
        <w:t xml:space="preserve">, 2013), while broader patterns of heavy phone use correlate with lower academic performance (Lepp et al., 2014). Study-session evidence indicates that distraction is frequent and that study strategies are protective (Rosen et al., 2013), consistent with the concept of resilience to distractions as an educationally relevant capability (Hatlevik &amp; Bjarnø, 2021). At the same time, the well-being literature warns that effects of technology use are often small and context-dependent, implying that the educational focus should be on specific behaviors and mechanisms rather than generalized “screen time” judgments (Orben &amp; Przybylski, 2019). Motivational mechanisms such as </w:t>
      </w:r>
      <w:proofErr w:type="spellStart"/>
      <w:r w:rsidRPr="00D261CC">
        <w:rPr>
          <w:color w:val="auto"/>
          <w:kern w:val="0"/>
          <w:lang w:val="en-US" w:eastAsia="en-US"/>
        </w:rPr>
        <w:t>FoMO</w:t>
      </w:r>
      <w:proofErr w:type="spellEnd"/>
      <w:r w:rsidRPr="00D261CC">
        <w:rPr>
          <w:color w:val="auto"/>
          <w:kern w:val="0"/>
          <w:lang w:val="en-US" w:eastAsia="en-US"/>
        </w:rPr>
        <w:t xml:space="preserve"> can further intensify checking tendencies during study (Przybylski et al., 2013), and cognitive-control research suggests potential links between multitasking patterns and filtering ability (Ophir et al., 2009).</w:t>
      </w:r>
    </w:p>
    <w:p w14:paraId="58967696"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For mathematics educators and designers, the actionable interpretation is that digital distraction is not an inevitable consequence of technology but an interaction between device affordances, habit loops, classroom norms, and learner self-regulation. This creates room for targeted solutions: building attention-protective learning routines, designing tools that minimize interruption triggers, and supporting learners in developing strategies that sustain coherent engagement during mathematically demanding work.</w:t>
      </w:r>
    </w:p>
    <w:p w14:paraId="1F503FD2" w14:textId="77777777" w:rsidR="00505FA4" w:rsidRDefault="00505FA4" w:rsidP="00505FA4"/>
    <w:p w14:paraId="64AD2145" w14:textId="77777777" w:rsidR="00D261CC" w:rsidRPr="00D261CC" w:rsidRDefault="00D261CC" w:rsidP="00D261CC">
      <w:pPr>
        <w:spacing w:before="100" w:beforeAutospacing="1" w:after="100" w:afterAutospacing="1" w:line="240" w:lineRule="auto"/>
        <w:ind w:left="0" w:right="0" w:firstLine="0"/>
        <w:jc w:val="left"/>
        <w:outlineLvl w:val="1"/>
        <w:rPr>
          <w:b/>
          <w:bCs/>
          <w:color w:val="auto"/>
          <w:kern w:val="0"/>
          <w:sz w:val="36"/>
          <w:szCs w:val="36"/>
          <w:lang w:val="en-US" w:eastAsia="en-US"/>
        </w:rPr>
      </w:pPr>
      <w:r w:rsidRPr="00D261CC">
        <w:rPr>
          <w:b/>
          <w:bCs/>
          <w:color w:val="auto"/>
          <w:kern w:val="0"/>
          <w:sz w:val="36"/>
          <w:szCs w:val="36"/>
          <w:lang w:val="en-US" w:eastAsia="en-US"/>
        </w:rPr>
        <w:t>5. Evidence on technology-enhanced mathematics learning</w:t>
      </w:r>
    </w:p>
    <w:p w14:paraId="60E246EE"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 xml:space="preserve">The research base on technology-enhanced mathematics learning is now extensive enough to support a clear conclusion: digital tools can improve mathematics achievement, but their effectiveness is conditional on design quality, instructional alignment, and implementation context. Across decades of innovation, the most consistently successful technologies are those that change the learning process in ways that are difficult to reproduce reliably at scale </w:t>
      </w:r>
      <w:r w:rsidRPr="00D261CC">
        <w:rPr>
          <w:color w:val="auto"/>
          <w:kern w:val="0"/>
          <w:lang w:val="en-US" w:eastAsia="en-US"/>
        </w:rPr>
        <w:lastRenderedPageBreak/>
        <w:t>without technology—particularly through adaptive practice, rapid formative feedback, interactive representations, and structured pathways that help learners persist with appropriately challenging content. At the same time, the field has learned that “digitizing” mathematics practice without improving pedagogy can yield weak or inconsistent results. Accordingly, evidence in this area is best interpreted as guidance about which instructional functions technology performs well and under what conditions those functions translate into conceptual understanding, procedural fluency, and transfer.</w:t>
      </w:r>
    </w:p>
    <w:p w14:paraId="63C803C2"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5.1 Educational technology and mathematics achievement: synthesis evidence</w:t>
      </w:r>
    </w:p>
    <w:p w14:paraId="0B450784"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Meta-analytic syntheses provide the strongest aggregate signal that educational technology can improve K–12 mathematics outcomes, while also documenting notable variation across studies. Cheung and Slavin (2013) reported that educational technology applications, on average, enhance mathematics achievement in classroom settings, but that the magnitude of benefit depends on how tools are used and integrated. Li and Ma (2010) similarly found positive overall effects of computer technology on students’ mathematics learning, while emphasizing heterogeneity across technologies, grade levels, and study designs. Taken together, these syntheses suggest that “technology” is not an intervention category that works uniformly; rather, particular functions—such as immediate feedback, guided practice, and interactive visualization—appear to be the active ingredients. The variability observed in meta-analyses also signals the importance of alignment: tools tend to be more effective when their feedback and task sequences match curricular goals and when classroom routines ensure that students engage with the intended mathematical thinking rather than merely completing digital tasks.</w:t>
      </w:r>
    </w:p>
    <w:p w14:paraId="723E04DA"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A practical implication is that impact is often mediated by the degree to which technology supports learning-relevant behaviors: sustained practice on target skills, reflection on errors, and strategic adaptation. When platforms primarily increase time spent on tasks without improving feedback or conceptual support, achievement gains are less likely to be robust. Conversely, when platforms structure practice so that students repeatedly encounter misconceptions and receive targeted feedback, improvements become more plausible, especially for foundational skills that benefit from distributed practice and mastery-based progression (Cheung &amp; Slavin, 2013; Li &amp; Ma, 2010).</w:t>
      </w:r>
    </w:p>
    <w:p w14:paraId="504D1E59"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5.2 Intelligent tutoring systems and adaptive practice</w:t>
      </w:r>
    </w:p>
    <w:p w14:paraId="39921F9D"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 xml:space="preserve">Among technology-enhanced approaches, intelligent tutoring systems (ITS) and closely related adaptive learning tools have some of the most consistently positive evidence. A central reason is that these systems can individualize pacing and feedback, effectively approximating some functions of one-to-one tutoring at scale. </w:t>
      </w:r>
      <w:proofErr w:type="spellStart"/>
      <w:r w:rsidRPr="00D261CC">
        <w:rPr>
          <w:color w:val="auto"/>
          <w:kern w:val="0"/>
          <w:lang w:val="en-US" w:eastAsia="en-US"/>
        </w:rPr>
        <w:t>VanLehn</w:t>
      </w:r>
      <w:proofErr w:type="spellEnd"/>
      <w:r w:rsidRPr="00D261CC">
        <w:rPr>
          <w:color w:val="auto"/>
          <w:kern w:val="0"/>
          <w:lang w:val="en-US" w:eastAsia="en-US"/>
        </w:rPr>
        <w:t xml:space="preserve"> (2011) compared human tutoring, ITS, and other tutoring systems, highlighting that well-designed systems can be highly effective, particularly when they provide step-level guidance and respond to student errors with context-sensitive hints. Kulik and Fletcher’s (2016) meta-analytic review further supports the effectiveness of ITS, reporting positive overall effects across studies and reinforcing the idea that adaptivity and feedback quality are crucial.</w:t>
      </w:r>
    </w:p>
    <w:p w14:paraId="35D3975D"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 xml:space="preserve">For mathematics learning specifically, these tools address an enduring instructional challenge: students require large amounts of practice, but practice alone is insufficient when learners repeatedly apply flawed strategies or hold persistent misconceptions. ITS can intervene at the moment misconceptions appear by diagnosing errors, prompting conceptual </w:t>
      </w:r>
      <w:r w:rsidRPr="00D261CC">
        <w:rPr>
          <w:color w:val="auto"/>
          <w:kern w:val="0"/>
          <w:lang w:val="en-US" w:eastAsia="en-US"/>
        </w:rPr>
        <w:lastRenderedPageBreak/>
        <w:t xml:space="preserve">checks, and providing hints that nudge learners toward correct reasoning paths (Kulik &amp; Fletcher, 2016; </w:t>
      </w:r>
      <w:proofErr w:type="spellStart"/>
      <w:r w:rsidRPr="00D261CC">
        <w:rPr>
          <w:color w:val="auto"/>
          <w:kern w:val="0"/>
          <w:lang w:val="en-US" w:eastAsia="en-US"/>
        </w:rPr>
        <w:t>VanLehn</w:t>
      </w:r>
      <w:proofErr w:type="spellEnd"/>
      <w:r w:rsidRPr="00D261CC">
        <w:rPr>
          <w:color w:val="auto"/>
          <w:kern w:val="0"/>
          <w:lang w:val="en-US" w:eastAsia="en-US"/>
        </w:rPr>
        <w:t>, 2011). This real-time responsiveness can reduce unproductive trial-and-error and encourage students to articulate and test strategies. In many systems, adaptivity also prevents boredom and discouragement by keeping tasks within an appropriate difficulty range, supporting persistence without resorting to purely extrinsic motivators.</w:t>
      </w:r>
    </w:p>
    <w:p w14:paraId="11628FA6"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Evidence suggests that these benefits extend beyond K–12. A meta-analysis focused on college students found ITS effectiveness in higher education contexts as well, which is especially relevant for introductory mathematics and quantitative reasoning courses where prior knowledge varies widely and students often need individualized practice trajectories (Steenbergen-Hu &amp; Cooper, 2014). Taken together, these findings imply that adaptive tutoring approaches are not merely “more engaging” math practice; they are learning environments in which feedback timing and diagnostic specificity can reshape how students learn from errors.</w:t>
      </w:r>
    </w:p>
    <w:p w14:paraId="0D2D8403"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5.3 Gamification and game-based mathematics learning</w:t>
      </w:r>
    </w:p>
    <w:p w14:paraId="262E1D1D"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 xml:space="preserve">Gamification and game-based learning have attracted interest because they promise to sustain effort and reduce avoidance in a subject that many students find intimidating. Meta-analytic evidence indicates that gamification can improve learning outcomes, but the effects are not uniform; they depend on design features, context, and how game elements are coupled to learning processes (Bai et al., 2020; </w:t>
      </w:r>
      <w:proofErr w:type="spellStart"/>
      <w:r w:rsidRPr="00D261CC">
        <w:rPr>
          <w:color w:val="auto"/>
          <w:kern w:val="0"/>
          <w:lang w:val="en-US" w:eastAsia="en-US"/>
        </w:rPr>
        <w:t>Sailer</w:t>
      </w:r>
      <w:proofErr w:type="spellEnd"/>
      <w:r w:rsidRPr="00D261CC">
        <w:rPr>
          <w:color w:val="auto"/>
          <w:kern w:val="0"/>
          <w:lang w:val="en-US" w:eastAsia="en-US"/>
        </w:rPr>
        <w:t xml:space="preserve"> &amp; </w:t>
      </w:r>
      <w:proofErr w:type="spellStart"/>
      <w:r w:rsidRPr="00D261CC">
        <w:rPr>
          <w:color w:val="auto"/>
          <w:kern w:val="0"/>
          <w:lang w:val="en-US" w:eastAsia="en-US"/>
        </w:rPr>
        <w:t>Homner</w:t>
      </w:r>
      <w:proofErr w:type="spellEnd"/>
      <w:r w:rsidRPr="00D261CC">
        <w:rPr>
          <w:color w:val="auto"/>
          <w:kern w:val="0"/>
          <w:lang w:val="en-US" w:eastAsia="en-US"/>
        </w:rPr>
        <w:t>, 2020). For mathematics, this caveat is particularly important because engagement can be generated in ways that do not strengthen mathematical understanding. Systems that reward speed, streaks, or superficial completion may increase activity while reducing reflection, thereby weakening the very learning mechanisms mathematics requires.</w:t>
      </w:r>
    </w:p>
    <w:p w14:paraId="521FB9F3"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Research therefore points to a more nuanced claim: gamification is most likely to support mathematics learning when it makes competence development visible, encourages persistence through appropriately challenging tasks, and reinforces strategy use rather than merely rewarding outcomes. The diversity of gamification structures matters. In classroom-oriented research with young learners, different forms of gamification—competitive, collaborative, and adaptive—have been shown to produce different patterns of engagement and learning, underscoring that “gamification” is not a single treatment but a design space with distinct motivational and pedagogical consequences (</w:t>
      </w:r>
      <w:proofErr w:type="spellStart"/>
      <w:r w:rsidRPr="00D261CC">
        <w:rPr>
          <w:color w:val="auto"/>
          <w:kern w:val="0"/>
          <w:lang w:val="en-US" w:eastAsia="en-US"/>
        </w:rPr>
        <w:t>Jagušt</w:t>
      </w:r>
      <w:proofErr w:type="spellEnd"/>
      <w:r w:rsidRPr="00D261CC">
        <w:rPr>
          <w:color w:val="auto"/>
          <w:kern w:val="0"/>
          <w:lang w:val="en-US" w:eastAsia="en-US"/>
        </w:rPr>
        <w:t xml:space="preserve"> et al., 2018). In mathematics learning environments, adaptive and competence-focused mechanics can be especially valuable because they reduce the risk that students disengage when early attempts fail. This suggests that gamified math tools should be evaluated not only on engagement metrics but on whether engagement translates into improved strategy selection, error diagnosis, and transfer to non-routine problems (Bai et al., 2020; </w:t>
      </w:r>
      <w:proofErr w:type="spellStart"/>
      <w:r w:rsidRPr="00D261CC">
        <w:rPr>
          <w:color w:val="auto"/>
          <w:kern w:val="0"/>
          <w:lang w:val="en-US" w:eastAsia="en-US"/>
        </w:rPr>
        <w:t>Sailer</w:t>
      </w:r>
      <w:proofErr w:type="spellEnd"/>
      <w:r w:rsidRPr="00D261CC">
        <w:rPr>
          <w:color w:val="auto"/>
          <w:kern w:val="0"/>
          <w:lang w:val="en-US" w:eastAsia="en-US"/>
        </w:rPr>
        <w:t xml:space="preserve"> &amp; </w:t>
      </w:r>
      <w:proofErr w:type="spellStart"/>
      <w:r w:rsidRPr="00D261CC">
        <w:rPr>
          <w:color w:val="auto"/>
          <w:kern w:val="0"/>
          <w:lang w:val="en-US" w:eastAsia="en-US"/>
        </w:rPr>
        <w:t>Homner</w:t>
      </w:r>
      <w:proofErr w:type="spellEnd"/>
      <w:r w:rsidRPr="00D261CC">
        <w:rPr>
          <w:color w:val="auto"/>
          <w:kern w:val="0"/>
          <w:lang w:val="en-US" w:eastAsia="en-US"/>
        </w:rPr>
        <w:t>, 2020).</w:t>
      </w:r>
    </w:p>
    <w:p w14:paraId="262D8602"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5.4 Manipulatives, representation, and bridging to abstraction</w:t>
      </w:r>
    </w:p>
    <w:p w14:paraId="3B7AAF54"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 xml:space="preserve">Another enduring theme in mathematics education is the role of representation—how learners connect concrete experiences, visual models, and symbolic expressions. Meta-analytic evidence supports the efficacy of teaching mathematics with concrete manipulatives, indicating positive effects on learning while also implying that the quality of instructional linkage between manipulatives and abstract ideas is decisive (Carbonneau et al., 2013). This finding has direct relevance to digital innovation because many math technologies function as virtual manipulatives or dynamic representations. The lesson from the manipulative literature </w:t>
      </w:r>
      <w:r w:rsidRPr="00D261CC">
        <w:rPr>
          <w:color w:val="auto"/>
          <w:kern w:val="0"/>
          <w:lang w:val="en-US" w:eastAsia="en-US"/>
        </w:rPr>
        <w:lastRenderedPageBreak/>
        <w:t>is not simply “hands-on helps,” but that manipulatives help when learners are guided to map actions and visual patterns onto formal mathematical relationships (Carbonneau et al., 2013). Without that mapping, learners may focus on surface interactions and fail to internalize the intended structure.</w:t>
      </w:r>
    </w:p>
    <w:p w14:paraId="6CA4F09F"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In technology-enhanced environments, this mapping can be supported through prompts that require explanation, feedback that highlights invariant relationships, and sequences that gradually connect concrete or visual reasoning to symbolic generalization. When digital tools are designed to make structure salient—showing how changing one quantity affects another, or how equivalent representations encode the same relationship—they can accelerate conceptual insight while maintaining opportunities for exploratory learning. The implication of the evidence base is that representation-rich tools should be assessed by how well they support the transition from “doing” with representations to “thinking” with abstractions, rather than by interactivity alone (Carbonneau et al., 2013).</w:t>
      </w:r>
    </w:p>
    <w:p w14:paraId="0EAFEC11"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5.5 Augmented reality and embodied mathematics learning</w:t>
      </w:r>
    </w:p>
    <w:p w14:paraId="0DFFF5A9"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Augmented reality (AR) extends representational possibilities by overlaying digital objects onto physical space, potentially supporting geometry, measurement, spatial reasoning, and embodied interaction. However, the empirical literature emphasizes both promise and constraint. A systematic review found that AR in education can yield motivational and achievement benefits, while also identifying common challenges such as usability problems, technical limitations, and design complexity (</w:t>
      </w:r>
      <w:proofErr w:type="spellStart"/>
      <w:r w:rsidRPr="00D261CC">
        <w:rPr>
          <w:color w:val="auto"/>
          <w:kern w:val="0"/>
          <w:lang w:val="en-US" w:eastAsia="en-US"/>
        </w:rPr>
        <w:t>Akçayır</w:t>
      </w:r>
      <w:proofErr w:type="spellEnd"/>
      <w:r w:rsidRPr="00D261CC">
        <w:rPr>
          <w:color w:val="auto"/>
          <w:kern w:val="0"/>
          <w:lang w:val="en-US" w:eastAsia="en-US"/>
        </w:rPr>
        <w:t xml:space="preserve"> &amp; </w:t>
      </w:r>
      <w:proofErr w:type="spellStart"/>
      <w:r w:rsidRPr="00D261CC">
        <w:rPr>
          <w:color w:val="auto"/>
          <w:kern w:val="0"/>
          <w:lang w:val="en-US" w:eastAsia="en-US"/>
        </w:rPr>
        <w:t>Akçayır</w:t>
      </w:r>
      <w:proofErr w:type="spellEnd"/>
      <w:r w:rsidRPr="00D261CC">
        <w:rPr>
          <w:color w:val="auto"/>
          <w:kern w:val="0"/>
          <w:lang w:val="en-US" w:eastAsia="en-US"/>
        </w:rPr>
        <w:t>, 2017). A meta-review and cross-media analysis similarly highlighted that AR effects vary and should be interpreted in relation to content domain and interaction design, implying that AR is most valuable when it adds representational power that other media cannot provide as effectively (Radu, 2014).</w:t>
      </w:r>
    </w:p>
    <w:p w14:paraId="2F8011B0"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For mathematics, these findings suggest that AR should be targeted strategically rather than used as a general engagement layer. AR is most defensible when it externalizes spatial relationships in ways that help learners perceive invariants and constraints, or when it supports embodied experiences that clarify geometric or measurement concepts. Yet the same novelty that increases interest can also introduce friction and distraction if interfaces are unstable or if learners spend cognitive resources managing the medium rather than reasoning mathematically (</w:t>
      </w:r>
      <w:proofErr w:type="spellStart"/>
      <w:r w:rsidRPr="00D261CC">
        <w:rPr>
          <w:color w:val="auto"/>
          <w:kern w:val="0"/>
          <w:lang w:val="en-US" w:eastAsia="en-US"/>
        </w:rPr>
        <w:t>Akçayır</w:t>
      </w:r>
      <w:proofErr w:type="spellEnd"/>
      <w:r w:rsidRPr="00D261CC">
        <w:rPr>
          <w:color w:val="auto"/>
          <w:kern w:val="0"/>
          <w:lang w:val="en-US" w:eastAsia="en-US"/>
        </w:rPr>
        <w:t xml:space="preserve"> &amp; </w:t>
      </w:r>
      <w:proofErr w:type="spellStart"/>
      <w:r w:rsidRPr="00D261CC">
        <w:rPr>
          <w:color w:val="auto"/>
          <w:kern w:val="0"/>
          <w:lang w:val="en-US" w:eastAsia="en-US"/>
        </w:rPr>
        <w:t>Akçayır</w:t>
      </w:r>
      <w:proofErr w:type="spellEnd"/>
      <w:r w:rsidRPr="00D261CC">
        <w:rPr>
          <w:color w:val="auto"/>
          <w:kern w:val="0"/>
          <w:lang w:val="en-US" w:eastAsia="en-US"/>
        </w:rPr>
        <w:t>, 2017; Radu, 2014). The evidence thus supports a careful design stance: AR can enhance learning when it improves representational clarity and fosters meaningful mathematical interactions, but it can underperform when novelty increases extraneous complexity.</w:t>
      </w:r>
    </w:p>
    <w:p w14:paraId="5F3356BE" w14:textId="77777777" w:rsidR="00D261CC" w:rsidRPr="00D261CC" w:rsidRDefault="00D261CC" w:rsidP="00D261CC">
      <w:pPr>
        <w:spacing w:before="100" w:beforeAutospacing="1" w:after="100" w:afterAutospacing="1" w:line="240" w:lineRule="auto"/>
        <w:ind w:left="0" w:right="0" w:firstLine="0"/>
        <w:jc w:val="left"/>
        <w:outlineLvl w:val="2"/>
        <w:rPr>
          <w:b/>
          <w:bCs/>
          <w:color w:val="auto"/>
          <w:kern w:val="0"/>
          <w:sz w:val="27"/>
          <w:szCs w:val="27"/>
          <w:lang w:val="en-US" w:eastAsia="en-US"/>
        </w:rPr>
      </w:pPr>
      <w:r w:rsidRPr="00D261CC">
        <w:rPr>
          <w:b/>
          <w:bCs/>
          <w:color w:val="auto"/>
          <w:kern w:val="0"/>
          <w:sz w:val="27"/>
          <w:szCs w:val="27"/>
          <w:lang w:val="en-US" w:eastAsia="en-US"/>
        </w:rPr>
        <w:t>5.6 Integrating the evidence: what “works” across tool types</w:t>
      </w:r>
    </w:p>
    <w:p w14:paraId="4F938DA4" w14:textId="77777777" w:rsidR="00D261CC" w:rsidRPr="00D261CC" w:rsidRDefault="00D261CC" w:rsidP="00D261CC">
      <w:pPr>
        <w:spacing w:before="100" w:beforeAutospacing="1" w:after="100" w:afterAutospacing="1" w:line="240" w:lineRule="auto"/>
        <w:ind w:left="0" w:right="0" w:firstLine="0"/>
        <w:jc w:val="left"/>
        <w:rPr>
          <w:color w:val="auto"/>
          <w:kern w:val="0"/>
          <w:lang w:val="en-US" w:eastAsia="en-US"/>
        </w:rPr>
      </w:pPr>
      <w:r w:rsidRPr="00D261CC">
        <w:rPr>
          <w:color w:val="auto"/>
          <w:kern w:val="0"/>
          <w:lang w:val="en-US" w:eastAsia="en-US"/>
        </w:rPr>
        <w:t xml:space="preserve">Across these technology categories, the evidence points to a coherent pattern. Tools are most effective when they (a) provide timely and diagnostic feedback that helps learners learn from errors, as in ITS and adaptive systems (Kulik &amp; Fletcher, 2016; </w:t>
      </w:r>
      <w:proofErr w:type="spellStart"/>
      <w:r w:rsidRPr="00D261CC">
        <w:rPr>
          <w:color w:val="auto"/>
          <w:kern w:val="0"/>
          <w:lang w:val="en-US" w:eastAsia="en-US"/>
        </w:rPr>
        <w:t>VanLehn</w:t>
      </w:r>
      <w:proofErr w:type="spellEnd"/>
      <w:r w:rsidRPr="00D261CC">
        <w:rPr>
          <w:color w:val="auto"/>
          <w:kern w:val="0"/>
          <w:lang w:val="en-US" w:eastAsia="en-US"/>
        </w:rPr>
        <w:t xml:space="preserve">, 2011; </w:t>
      </w:r>
      <w:proofErr w:type="spellStart"/>
      <w:r w:rsidRPr="00D261CC">
        <w:rPr>
          <w:color w:val="auto"/>
          <w:kern w:val="0"/>
          <w:lang w:val="en-US" w:eastAsia="en-US"/>
        </w:rPr>
        <w:t>Steenbergen</w:t>
      </w:r>
      <w:proofErr w:type="spellEnd"/>
      <w:r w:rsidRPr="00D261CC">
        <w:rPr>
          <w:color w:val="auto"/>
          <w:kern w:val="0"/>
          <w:lang w:val="en-US" w:eastAsia="en-US"/>
        </w:rPr>
        <w:t xml:space="preserve">-Hu &amp; Cooper, 2014); (b) sustain effort through motivational structures that emphasize competence development rather than superficial rewards (Bai et al., 2020; </w:t>
      </w:r>
      <w:proofErr w:type="spellStart"/>
      <w:r w:rsidRPr="00D261CC">
        <w:rPr>
          <w:color w:val="auto"/>
          <w:kern w:val="0"/>
          <w:lang w:val="en-US" w:eastAsia="en-US"/>
        </w:rPr>
        <w:t>Sailer</w:t>
      </w:r>
      <w:proofErr w:type="spellEnd"/>
      <w:r w:rsidRPr="00D261CC">
        <w:rPr>
          <w:color w:val="auto"/>
          <w:kern w:val="0"/>
          <w:lang w:val="en-US" w:eastAsia="en-US"/>
        </w:rPr>
        <w:t xml:space="preserve"> &amp; </w:t>
      </w:r>
      <w:proofErr w:type="spellStart"/>
      <w:r w:rsidRPr="00D261CC">
        <w:rPr>
          <w:color w:val="auto"/>
          <w:kern w:val="0"/>
          <w:lang w:val="en-US" w:eastAsia="en-US"/>
        </w:rPr>
        <w:t>Homner</w:t>
      </w:r>
      <w:proofErr w:type="spellEnd"/>
      <w:r w:rsidRPr="00D261CC">
        <w:rPr>
          <w:color w:val="auto"/>
          <w:kern w:val="0"/>
          <w:lang w:val="en-US" w:eastAsia="en-US"/>
        </w:rPr>
        <w:t xml:space="preserve">, 2020; </w:t>
      </w:r>
      <w:proofErr w:type="spellStart"/>
      <w:r w:rsidRPr="00D261CC">
        <w:rPr>
          <w:color w:val="auto"/>
          <w:kern w:val="0"/>
          <w:lang w:val="en-US" w:eastAsia="en-US"/>
        </w:rPr>
        <w:t>Jagušt</w:t>
      </w:r>
      <w:proofErr w:type="spellEnd"/>
      <w:r w:rsidRPr="00D261CC">
        <w:rPr>
          <w:color w:val="auto"/>
          <w:kern w:val="0"/>
          <w:lang w:val="en-US" w:eastAsia="en-US"/>
        </w:rPr>
        <w:t xml:space="preserve"> et al., 2018); and (c) strengthen conceptual understanding through representations that bridge concrete, visual, and symbolic reasoning (Carbonneau et al., 2013), including newer modalities where they add unique representational value (</w:t>
      </w:r>
      <w:proofErr w:type="spellStart"/>
      <w:r w:rsidRPr="00D261CC">
        <w:rPr>
          <w:color w:val="auto"/>
          <w:kern w:val="0"/>
          <w:lang w:val="en-US" w:eastAsia="en-US"/>
        </w:rPr>
        <w:t>Akçayır</w:t>
      </w:r>
      <w:proofErr w:type="spellEnd"/>
      <w:r w:rsidRPr="00D261CC">
        <w:rPr>
          <w:color w:val="auto"/>
          <w:kern w:val="0"/>
          <w:lang w:val="en-US" w:eastAsia="en-US"/>
        </w:rPr>
        <w:t xml:space="preserve"> &amp; </w:t>
      </w:r>
      <w:proofErr w:type="spellStart"/>
      <w:r w:rsidRPr="00D261CC">
        <w:rPr>
          <w:color w:val="auto"/>
          <w:kern w:val="0"/>
          <w:lang w:val="en-US" w:eastAsia="en-US"/>
        </w:rPr>
        <w:t>Akçayır</w:t>
      </w:r>
      <w:proofErr w:type="spellEnd"/>
      <w:r w:rsidRPr="00D261CC">
        <w:rPr>
          <w:color w:val="auto"/>
          <w:kern w:val="0"/>
          <w:lang w:val="en-US" w:eastAsia="en-US"/>
        </w:rPr>
        <w:t xml:space="preserve">, 2017; Radu, 2014). Meta-analytic syntheses at the general level reinforce that educational technology can raise achievement, but the mechanism is not technology per se; it </w:t>
      </w:r>
      <w:r w:rsidRPr="00D261CC">
        <w:rPr>
          <w:color w:val="auto"/>
          <w:kern w:val="0"/>
          <w:lang w:val="en-US" w:eastAsia="en-US"/>
        </w:rPr>
        <w:lastRenderedPageBreak/>
        <w:t>is the learning design embedded in the tool and the instructional system around it (Cheung &amp; Slavin, 2013; Li &amp; Ma, 2010). This integrated view provides a practical foundation for the later argument of the paper: engagement must be designed to serve learning goals, and implementation must ensure that the tool’s pedagogical affordances are realized rather than diluted.</w:t>
      </w:r>
    </w:p>
    <w:p w14:paraId="6AADA584" w14:textId="77777777" w:rsidR="00E22408" w:rsidRPr="00E22408" w:rsidRDefault="00E22408" w:rsidP="00E22408">
      <w:pPr>
        <w:spacing w:before="100" w:beforeAutospacing="1" w:after="100" w:afterAutospacing="1" w:line="240" w:lineRule="auto"/>
        <w:ind w:left="0" w:right="0" w:firstLine="0"/>
        <w:jc w:val="left"/>
        <w:outlineLvl w:val="1"/>
        <w:rPr>
          <w:b/>
          <w:bCs/>
          <w:color w:val="auto"/>
          <w:kern w:val="0"/>
          <w:sz w:val="36"/>
          <w:szCs w:val="36"/>
          <w:lang w:val="en-US" w:eastAsia="en-US"/>
        </w:rPr>
      </w:pPr>
      <w:r w:rsidRPr="00E22408">
        <w:rPr>
          <w:b/>
          <w:bCs/>
          <w:color w:val="auto"/>
          <w:kern w:val="0"/>
          <w:sz w:val="36"/>
          <w:szCs w:val="36"/>
          <w:lang w:val="en-US" w:eastAsia="en-US"/>
        </w:rPr>
        <w:t>6. From “engagement” to “ethical engagement”: designing math technologies that teach without exploiting attention</w:t>
      </w:r>
    </w:p>
    <w:p w14:paraId="22B3AA19"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Calls for “more engaging” mathematics technology often assume that engagement is an unqualified good. Yet, the attention-capture mechanisms that maximize time-on-device in consumer platforms can conflict with the cognitive and motivational conditions needed for durable mathematics learning. Ethical engagement reframes the design target: rather than optimizing for clicks, streaks, or compulsive return, learning technologies should optimize for mastery-oriented persistence, conceptual clarity, and learners’ long-run capacity to self-regulate. This shift is especially important in mathematics, where progress depends on sustained concentration, error analysis, and the willingness to remain with difficulty long enough for structure to become visible.</w:t>
      </w:r>
    </w:p>
    <w:p w14:paraId="61913F32" w14:textId="77777777" w:rsidR="00E22408" w:rsidRPr="00E22408" w:rsidRDefault="00E22408" w:rsidP="00E224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22408">
        <w:rPr>
          <w:b/>
          <w:bCs/>
          <w:color w:val="auto"/>
          <w:kern w:val="0"/>
          <w:sz w:val="27"/>
          <w:szCs w:val="27"/>
          <w:lang w:val="en-US" w:eastAsia="en-US"/>
        </w:rPr>
        <w:t>6.1 Repurposing persuasive design toward mastery goals</w:t>
      </w:r>
    </w:p>
    <w:p w14:paraId="1C325142"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Persuasive systems design offers a useful vocabulary for describing how systems steer behavior through features such as guided pathways, tailoring, reminders, reduction of friction, and rewards (</w:t>
      </w:r>
      <w:proofErr w:type="spellStart"/>
      <w:r w:rsidRPr="00E22408">
        <w:rPr>
          <w:color w:val="auto"/>
          <w:kern w:val="0"/>
          <w:lang w:val="en-US" w:eastAsia="en-US"/>
        </w:rPr>
        <w:t>Oinas-Kukkonen</w:t>
      </w:r>
      <w:proofErr w:type="spellEnd"/>
      <w:r w:rsidRPr="00E22408">
        <w:rPr>
          <w:color w:val="auto"/>
          <w:kern w:val="0"/>
          <w:lang w:val="en-US" w:eastAsia="en-US"/>
        </w:rPr>
        <w:t xml:space="preserve"> &amp; </w:t>
      </w:r>
      <w:proofErr w:type="spellStart"/>
      <w:r w:rsidRPr="00E22408">
        <w:rPr>
          <w:color w:val="auto"/>
          <w:kern w:val="0"/>
          <w:lang w:val="en-US" w:eastAsia="en-US"/>
        </w:rPr>
        <w:t>Harjumaa</w:t>
      </w:r>
      <w:proofErr w:type="spellEnd"/>
      <w:r w:rsidRPr="00E22408">
        <w:rPr>
          <w:color w:val="auto"/>
          <w:kern w:val="0"/>
          <w:lang w:val="en-US" w:eastAsia="en-US"/>
        </w:rPr>
        <w:t>, 2009). The ethical question is not whether systems influence behavior—they inevitably do—but whether the influence serves the learner’s goals transparently and proportionately. In mathematics learning tools, persuasive features can be repurposed toward mastery by guiding learners through coherent sequences of concepts, encouraging reflection after errors, and supporting deliberate practice routines. For example, “tunneling” can become a well-designed learning progression with timely conceptual prompts, and “self-monitoring” can become a mastery dashboard that emphasizes growth and strategy use rather than social comparison. Ethical engagement requires that these mechanisms remain legible to learners: the system should make clear what it is prompting and why, preserving learners’ sense of control.</w:t>
      </w:r>
    </w:p>
    <w:p w14:paraId="516420A0" w14:textId="77777777" w:rsidR="00E22408" w:rsidRPr="00E22408" w:rsidRDefault="00E22408" w:rsidP="00E224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22408">
        <w:rPr>
          <w:b/>
          <w:bCs/>
          <w:color w:val="auto"/>
          <w:kern w:val="0"/>
          <w:sz w:val="27"/>
          <w:szCs w:val="27"/>
          <w:lang w:val="en-US" w:eastAsia="en-US"/>
        </w:rPr>
        <w:t>6.2 Autonomy-supportive motivation rather than compulsion</w:t>
      </w:r>
    </w:p>
    <w:p w14:paraId="09447731"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An ethical engagement stance is grounded in motivation theory that emphasizes autonomy and competence as drivers of internalized learning regulation (Ryan &amp; Deci, 2000). Many engagement tactics that produce high retention in consumer apps operate by narrowing autonomy—through constant nudges, scarcity cues, or social pressure. By contrast, mathematics learning technologies can preserve autonomy while still structuring commitment. Autonomy support can be built through meaningful choices (selecting representations, choosing problem pathways, deciding when to request hints), while competence support can be built through clear feedback that helps learners understand what to improve. Gamified elements can be aligned with these principles when they convey informational feedback about competence rather than functioning as controlling incentives. This distinction matters because mathematics persistence often depends on learners interpreting difficulty as “I can improve with effort and strategy,” not “I must keep clicking to maintain rewards.”</w:t>
      </w:r>
    </w:p>
    <w:p w14:paraId="229D36D8" w14:textId="77777777" w:rsidR="00E22408" w:rsidRPr="00E22408" w:rsidRDefault="00E22408" w:rsidP="00E224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22408">
        <w:rPr>
          <w:b/>
          <w:bCs/>
          <w:color w:val="auto"/>
          <w:kern w:val="0"/>
          <w:sz w:val="27"/>
          <w:szCs w:val="27"/>
          <w:lang w:val="en-US" w:eastAsia="en-US"/>
        </w:rPr>
        <w:lastRenderedPageBreak/>
        <w:t>6.3 Feedback and rewards: designing reinforcement that teaches</w:t>
      </w:r>
    </w:p>
    <w:p w14:paraId="044DBE1C"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 xml:space="preserve">Reward structures are not inherently harmful; they become problematic when they create dependency, encourage superficial completion, or trigger habitual checking. Evidence syntheses indicate that gamification can improve learning outcomes, but effects are variable and design-dependent, suggesting that rewards must be tightly coupled to learning processes (Bai et al., 2020; </w:t>
      </w:r>
      <w:proofErr w:type="spellStart"/>
      <w:r w:rsidRPr="00E22408">
        <w:rPr>
          <w:color w:val="auto"/>
          <w:kern w:val="0"/>
          <w:lang w:val="en-US" w:eastAsia="en-US"/>
        </w:rPr>
        <w:t>Sailer</w:t>
      </w:r>
      <w:proofErr w:type="spellEnd"/>
      <w:r w:rsidRPr="00E22408">
        <w:rPr>
          <w:color w:val="auto"/>
          <w:kern w:val="0"/>
          <w:lang w:val="en-US" w:eastAsia="en-US"/>
        </w:rPr>
        <w:t xml:space="preserve"> &amp; </w:t>
      </w:r>
      <w:proofErr w:type="spellStart"/>
      <w:r w:rsidRPr="00E22408">
        <w:rPr>
          <w:color w:val="auto"/>
          <w:kern w:val="0"/>
          <w:lang w:val="en-US" w:eastAsia="en-US"/>
        </w:rPr>
        <w:t>Homner</w:t>
      </w:r>
      <w:proofErr w:type="spellEnd"/>
      <w:r w:rsidRPr="00E22408">
        <w:rPr>
          <w:color w:val="auto"/>
          <w:kern w:val="0"/>
          <w:lang w:val="en-US" w:eastAsia="en-US"/>
        </w:rPr>
        <w:t>, 2020). In mathematics, ethical engagement implies that points, badges, or levels should signal meaningful progress such as strategy mastery, error reduction in a specific concept cluster, or successful transfer to novel problems, rather than rewarding speed or volume alone. Feedback should prioritize explanatory guidance: why an approach failed, what misconception might be driving the error, and how to try a different strategy. When rewards are mapped onto these learning-relevant signals, they can sustain effort without shifting students into a purely extrinsic, “collect the points” mode that undermines conceptual depth.</w:t>
      </w:r>
    </w:p>
    <w:p w14:paraId="3582F025" w14:textId="77777777" w:rsidR="00E22408" w:rsidRPr="00E22408" w:rsidRDefault="00E22408" w:rsidP="00E224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22408">
        <w:rPr>
          <w:b/>
          <w:bCs/>
          <w:color w:val="auto"/>
          <w:kern w:val="0"/>
          <w:sz w:val="27"/>
          <w:szCs w:val="27"/>
          <w:lang w:val="en-US" w:eastAsia="en-US"/>
        </w:rPr>
        <w:t>6.4 Attention scaffolds and “distraction-aware” learning sessions</w:t>
      </w:r>
    </w:p>
    <w:p w14:paraId="7B438937"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Because learners commonly study in interruption-rich environments, ethical engagement must include protective design against fragmentation. Research on task switching during studying suggests that learners often drift off task rapidly and that study strategies are associated with longer on-task engagement, implying that systems can meaningfully support self-regulation routines (Rosen et al., 2013). Complementarily, work on resilience to digital distractions underscores that motivational and self-efficacy factors relate to students’ ability to resist interruptions during independent learning, reinforcing the role of skill development alongside environmental control (Hatlevik &amp; Bjarnø, 2021). Practically, math learning tools can incorporate focus modes that suppress nonessential prompts during problem-solving, schedule reflective pauses at concept boundaries, and encourage structured breaks rather than impulsive switching. The ethical aim is not constant engagement but coherent engagement: protecting uninterrupted windows for multi-step reasoning and metacognitive monitoring.</w:t>
      </w:r>
    </w:p>
    <w:p w14:paraId="68F3F1A6" w14:textId="77777777" w:rsidR="00E22408" w:rsidRPr="00E22408" w:rsidRDefault="00E22408" w:rsidP="00E224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22408">
        <w:rPr>
          <w:b/>
          <w:bCs/>
          <w:color w:val="auto"/>
          <w:kern w:val="0"/>
          <w:sz w:val="27"/>
          <w:szCs w:val="27"/>
          <w:lang w:val="en-US" w:eastAsia="en-US"/>
        </w:rPr>
        <w:t>6.5 Cognitive load as a moral and instructional constraint</w:t>
      </w:r>
    </w:p>
    <w:p w14:paraId="718A5215"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Ethical engagement also requires respect for learners’ limited cognitive resources. Cognitive load theory warns that poorly designed materials can overload working memory and reduce learning, especially for novices (</w:t>
      </w:r>
      <w:proofErr w:type="spellStart"/>
      <w:r w:rsidRPr="00E22408">
        <w:rPr>
          <w:color w:val="auto"/>
          <w:kern w:val="0"/>
          <w:lang w:val="en-US" w:eastAsia="en-US"/>
        </w:rPr>
        <w:t>Sweller</w:t>
      </w:r>
      <w:proofErr w:type="spellEnd"/>
      <w:r w:rsidRPr="00E22408">
        <w:rPr>
          <w:color w:val="auto"/>
          <w:kern w:val="0"/>
          <w:lang w:val="en-US" w:eastAsia="en-US"/>
        </w:rPr>
        <w:t>, 1988). Many “engagement” add-ons—dense animations, excessive sound effects, cluttered interfaces, or rapid-fire interactions—risk increasing extraneous load in mathematics tasks that are already mentally demanding. A cognitively ethical design prioritizes clean visual hierarchy, stable representations, and scaffolds that reduce unnecessary search. It also implements gradual release: more guidance early, then fading supports as learners build schemas. In this way, the system’s engagement comes from clarity and meaningful challenge, not from sensory stimulation that competes with mathematical thinking.</w:t>
      </w:r>
    </w:p>
    <w:p w14:paraId="627BD53B" w14:textId="77777777" w:rsidR="00E22408" w:rsidRPr="00E22408" w:rsidRDefault="00E22408" w:rsidP="00E224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22408">
        <w:rPr>
          <w:b/>
          <w:bCs/>
          <w:color w:val="auto"/>
          <w:kern w:val="0"/>
          <w:sz w:val="27"/>
          <w:szCs w:val="27"/>
          <w:lang w:val="en-US" w:eastAsia="en-US"/>
        </w:rPr>
        <w:t>6.6 Personalization that optimizes for learning, not retention</w:t>
      </w:r>
    </w:p>
    <w:p w14:paraId="43B01DF6"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 xml:space="preserve">Adaptive learning can be one of the strongest pathways from engagement to achievement because it can keep learners in an appropriate zone of challenge while providing targeted feedback. Evidence syntheses show that intelligent tutoring systems can produce meaningful learning gains, in part due to individualized guidance and adaptive pacing (Kulik &amp; Fletcher, </w:t>
      </w:r>
      <w:r w:rsidRPr="00E22408">
        <w:rPr>
          <w:color w:val="auto"/>
          <w:kern w:val="0"/>
          <w:lang w:val="en-US" w:eastAsia="en-US"/>
        </w:rPr>
        <w:lastRenderedPageBreak/>
        <w:t xml:space="preserve">2016; </w:t>
      </w:r>
      <w:proofErr w:type="spellStart"/>
      <w:r w:rsidRPr="00E22408">
        <w:rPr>
          <w:color w:val="auto"/>
          <w:kern w:val="0"/>
          <w:lang w:val="en-US" w:eastAsia="en-US"/>
        </w:rPr>
        <w:t>VanLehn</w:t>
      </w:r>
      <w:proofErr w:type="spellEnd"/>
      <w:r w:rsidRPr="00E22408">
        <w:rPr>
          <w:color w:val="auto"/>
          <w:kern w:val="0"/>
          <w:lang w:val="en-US" w:eastAsia="en-US"/>
        </w:rPr>
        <w:t>, 2011). However, personalization has an ethical risk: if the system’s objective function drifts toward maximizing time-on-platform, it may promote behaviors that resemble consumer engagement optimization rather than mastery progression. Ethical engagement requires that personalization be anchored to learning indicators—concept mastery, error patterns, hint dependency, and transfer performance—rather than to simplistic engagement metrics. It also calls for transparency about what is being adapted and why, so learners understand the logic of their pathway and can participate in their own learning regulation.</w:t>
      </w:r>
    </w:p>
    <w:p w14:paraId="567A44ED" w14:textId="77777777" w:rsidR="00E22408" w:rsidRPr="00E22408" w:rsidRDefault="00E22408" w:rsidP="00E224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22408">
        <w:rPr>
          <w:b/>
          <w:bCs/>
          <w:color w:val="auto"/>
          <w:kern w:val="0"/>
          <w:sz w:val="27"/>
          <w:szCs w:val="27"/>
          <w:lang w:val="en-US" w:eastAsia="en-US"/>
        </w:rPr>
        <w:t>6.7 Emerging modalities and the novelty–load tradeoff</w:t>
      </w:r>
    </w:p>
    <w:p w14:paraId="2BB31AC8"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Emerging modalities such as augmented reality can increase interest and provide spatialized representations that may be useful for certain mathematical ideas, yet reviews highlight common challenges including usability issues and technical friction (</w:t>
      </w:r>
      <w:proofErr w:type="spellStart"/>
      <w:r w:rsidRPr="00E22408">
        <w:rPr>
          <w:color w:val="auto"/>
          <w:kern w:val="0"/>
          <w:lang w:val="en-US" w:eastAsia="en-US"/>
        </w:rPr>
        <w:t>Akçayır</w:t>
      </w:r>
      <w:proofErr w:type="spellEnd"/>
      <w:r w:rsidRPr="00E22408">
        <w:rPr>
          <w:color w:val="auto"/>
          <w:kern w:val="0"/>
          <w:lang w:val="en-US" w:eastAsia="en-US"/>
        </w:rPr>
        <w:t xml:space="preserve"> &amp; </w:t>
      </w:r>
      <w:proofErr w:type="spellStart"/>
      <w:r w:rsidRPr="00E22408">
        <w:rPr>
          <w:color w:val="auto"/>
          <w:kern w:val="0"/>
          <w:lang w:val="en-US" w:eastAsia="en-US"/>
        </w:rPr>
        <w:t>Akçayır</w:t>
      </w:r>
      <w:proofErr w:type="spellEnd"/>
      <w:r w:rsidRPr="00E22408">
        <w:rPr>
          <w:color w:val="auto"/>
          <w:kern w:val="0"/>
          <w:lang w:val="en-US" w:eastAsia="en-US"/>
        </w:rPr>
        <w:t>, 2017). From an ethical engagement perspective, novelty should never be treated as a substitute for instructional value. If AR features add extraneous cognitive load, interrupt flow with technical delays, or encourage interaction without conceptual mapping, then the “engagement” they generate may be costly rather than beneficial. Ethical engagement therefore demands disciplined media selection: adopting new modalities only when they add representational power or embodied insight that is difficult to achieve otherwise, and designing them with cognitive load constraints in mind (</w:t>
      </w:r>
      <w:proofErr w:type="spellStart"/>
      <w:r w:rsidRPr="00E22408">
        <w:rPr>
          <w:color w:val="auto"/>
          <w:kern w:val="0"/>
          <w:lang w:val="en-US" w:eastAsia="en-US"/>
        </w:rPr>
        <w:t>Sweller</w:t>
      </w:r>
      <w:proofErr w:type="spellEnd"/>
      <w:r w:rsidRPr="00E22408">
        <w:rPr>
          <w:color w:val="auto"/>
          <w:kern w:val="0"/>
          <w:lang w:val="en-US" w:eastAsia="en-US"/>
        </w:rPr>
        <w:t>, 1988).</w:t>
      </w:r>
    </w:p>
    <w:p w14:paraId="1117269A" w14:textId="77777777" w:rsidR="00505FA4" w:rsidRDefault="00505FA4" w:rsidP="00505FA4">
      <w:pPr>
        <w:pStyle w:val="NormalWeb"/>
      </w:pPr>
    </w:p>
    <w:p w14:paraId="4030A169" w14:textId="77777777" w:rsidR="00505FA4" w:rsidRDefault="00505FA4" w:rsidP="00505FA4"/>
    <w:p w14:paraId="24AD0D37" w14:textId="77777777" w:rsidR="00E22408" w:rsidRPr="00E22408" w:rsidRDefault="00E22408" w:rsidP="00E22408">
      <w:pPr>
        <w:spacing w:before="100" w:beforeAutospacing="1" w:after="100" w:afterAutospacing="1" w:line="240" w:lineRule="auto"/>
        <w:ind w:left="0" w:right="0" w:firstLine="0"/>
        <w:jc w:val="left"/>
        <w:outlineLvl w:val="1"/>
        <w:rPr>
          <w:b/>
          <w:bCs/>
          <w:color w:val="auto"/>
          <w:kern w:val="0"/>
          <w:sz w:val="36"/>
          <w:szCs w:val="36"/>
          <w:lang w:val="en-US" w:eastAsia="en-US"/>
        </w:rPr>
      </w:pPr>
      <w:r w:rsidRPr="00E22408">
        <w:rPr>
          <w:b/>
          <w:bCs/>
          <w:color w:val="auto"/>
          <w:kern w:val="0"/>
          <w:sz w:val="36"/>
          <w:szCs w:val="36"/>
          <w:lang w:val="en-US" w:eastAsia="en-US"/>
        </w:rPr>
        <w:t>7. Classroom and system implementation: turning tools into learning environments</w:t>
      </w:r>
    </w:p>
    <w:p w14:paraId="1DE0C92E"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Technology-enhanced mathematics learning succeeds or fails largely at the level of implementation. A recurring conclusion across synthesis work is that “technology” is not a single intervention but an ecosystem of tools, routines, instructional moves, and norms that shapes how learners allocate attention, interpret feedback, and persist through challenge. Meta-analytic findings showing positive average effects of educational technology on mathematics achievement also report substantial variability, implying that classroom integration and institutional conditions are decisive moderators of outcomes (Cheung &amp; Slavin, 2013; Li &amp; Ma, 2010). In practice, turning tools into learning environments requires deliberate orchestration: teachers need actionable visibility into student thinking, students need structured opportunities to translate feedback into improved strategies, and schools need policies that reduce friction and distraction without eliminating autonomy.</w:t>
      </w:r>
    </w:p>
    <w:p w14:paraId="5392A727" w14:textId="77777777" w:rsidR="00E22408" w:rsidRPr="00E22408" w:rsidRDefault="00E22408" w:rsidP="00E224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22408">
        <w:rPr>
          <w:b/>
          <w:bCs/>
          <w:color w:val="auto"/>
          <w:kern w:val="0"/>
          <w:sz w:val="27"/>
          <w:szCs w:val="27"/>
          <w:lang w:val="en-US" w:eastAsia="en-US"/>
        </w:rPr>
        <w:t>7.1 Teacher orchestration and blended integration</w:t>
      </w:r>
    </w:p>
    <w:p w14:paraId="3C235AE9"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 xml:space="preserve">Blended integration works best when educators treat digital tools as complements to, not substitutes for, high-quality instruction. Large-scale syntheses indicate that educational technology can enhance mathematics achievement, but they also imply that its benefits are contingent on alignment with curricular goals, the quality of feedback loops, and the coherence of implementation across lessons (Cheung &amp; Slavin, 2013; Li &amp; Ma, 2010). In mathematics, where conceptual explanations and discourse matter, a productive division of </w:t>
      </w:r>
      <w:r w:rsidRPr="00E22408">
        <w:rPr>
          <w:color w:val="auto"/>
          <w:kern w:val="0"/>
          <w:lang w:val="en-US" w:eastAsia="en-US"/>
        </w:rPr>
        <w:lastRenderedPageBreak/>
        <w:t>labor often emerges: technology can deliver adaptive practice, immediate formative feedback, and data about error patterns, while teachers emphasize conceptual framing, mathematical language, justification, and transfer. This orchestration is not merely logistical; it is pedagogical. When teachers actively interpret platform data—such as recurring misconception signatures—and respond with targeted mini-lessons or strategy discussions, technology becomes a diagnostic instrument embedded in instruction rather than an isolated practice station.</w:t>
      </w:r>
    </w:p>
    <w:p w14:paraId="33636B05"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Implementation quality also depends on pacing and the sequencing of representations. Tools that accelerate practice too quickly or introduce complex interfaces too early can undermine learning by overwhelming novices. Designing and selecting platforms with appropriate scaffolding and gradual release is essential, particularly because mathematics learning often involves managing multiple constraints and intermediate steps. Teacher orchestration therefore includes deciding when to constrain choice (for novices) and when to expand it (for developing learners), ensuring that autonomy supports learning rather than enabling avoidance.</w:t>
      </w:r>
    </w:p>
    <w:p w14:paraId="080D7882" w14:textId="77777777" w:rsidR="00E22408" w:rsidRPr="00E22408" w:rsidRDefault="00E22408" w:rsidP="00E224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22408">
        <w:rPr>
          <w:b/>
          <w:bCs/>
          <w:color w:val="auto"/>
          <w:kern w:val="0"/>
          <w:sz w:val="27"/>
          <w:szCs w:val="27"/>
          <w:lang w:val="en-US" w:eastAsia="en-US"/>
        </w:rPr>
        <w:t>7.2 Structuring attention: norms, policies, and self-regulation instruction</w:t>
      </w:r>
    </w:p>
    <w:p w14:paraId="07D4D6F7"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A central implementation challenge is that the same device can host both learning tools and distraction pathways. Experimental classroom evidence shows that multitasking on laptops can hinder learning for the multitasker and for nearby peers who are exposed to the distraction (Sana et al., 2013). Complementary evidence demonstrates that mobile phone use during lectures can reduce learning and recall, suggesting that even brief digital interruptions can disrupt encoding and comprehension (</w:t>
      </w:r>
      <w:proofErr w:type="spellStart"/>
      <w:r w:rsidRPr="00E22408">
        <w:rPr>
          <w:color w:val="auto"/>
          <w:kern w:val="0"/>
          <w:lang w:val="en-US" w:eastAsia="en-US"/>
        </w:rPr>
        <w:t>Kuznekoff</w:t>
      </w:r>
      <w:proofErr w:type="spellEnd"/>
      <w:r w:rsidRPr="00E22408">
        <w:rPr>
          <w:color w:val="auto"/>
          <w:kern w:val="0"/>
          <w:lang w:val="en-US" w:eastAsia="en-US"/>
        </w:rPr>
        <w:t xml:space="preserve"> &amp; </w:t>
      </w:r>
      <w:proofErr w:type="spellStart"/>
      <w:r w:rsidRPr="00E22408">
        <w:rPr>
          <w:color w:val="auto"/>
          <w:kern w:val="0"/>
          <w:lang w:val="en-US" w:eastAsia="en-US"/>
        </w:rPr>
        <w:t>Titsworth</w:t>
      </w:r>
      <w:proofErr w:type="spellEnd"/>
      <w:r w:rsidRPr="00E22408">
        <w:rPr>
          <w:color w:val="auto"/>
          <w:kern w:val="0"/>
          <w:lang w:val="en-US" w:eastAsia="en-US"/>
        </w:rPr>
        <w:t>, 2013). These findings underscore the need for classroom-level attention structures that are explicit, predictable, and instructionally justified—especially in mathematics, where problem-solving coherence is easily broken by task switching.</w:t>
      </w:r>
    </w:p>
    <w:p w14:paraId="0B477D01"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However, effective implementation moves beyond restriction toward building learners’ capacity to manage distractions. Observational research indicates that students often switch tasks quickly during studying and that study strategies are linked to longer on-task behavior, implying that attention is partly a skill set that can be taught and supported (Rosen et al., 2013). Recent work operationalizing “resilience to digital distractions” further suggests that self-efficacy, motivation, and approaches to studying relate to students’ ability to resist digital interruptions during independent work (Hatlevik &amp; Bjarnø, 2021). In mathematics classrooms, these insights support a dual strategy: establish norms that minimize external triggers during core instruction and problem-solving phases, while explicitly teaching self-regulation routines such as planning study intervals, using structured breaks, and recognizing cues that prompt habitual checking. When students understand why sustained attention matters for multi-step reasoning, and when they practice concrete strategies to protect that attention, the classroom culture becomes a protective layer around learning rather than a battleground over devices.</w:t>
      </w:r>
    </w:p>
    <w:p w14:paraId="5093367A" w14:textId="77777777" w:rsidR="00E22408" w:rsidRPr="00E22408" w:rsidRDefault="00E22408" w:rsidP="00E224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22408">
        <w:rPr>
          <w:b/>
          <w:bCs/>
          <w:color w:val="auto"/>
          <w:kern w:val="0"/>
          <w:sz w:val="27"/>
          <w:szCs w:val="27"/>
          <w:lang w:val="en-US" w:eastAsia="en-US"/>
        </w:rPr>
        <w:t>7.3 Targeting misconceptions: feedback quality as the core mechanism</w:t>
      </w:r>
    </w:p>
    <w:p w14:paraId="3A9DB91E"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 xml:space="preserve">Across technology-enhanced learning approaches, feedback quality is a primary driver of learning gains. Intelligent tutoring systems and related adaptive tools have demonstrated meaningful effectiveness in supporting learning, largely because they can individualize practice, diagnose errors, and deliver timely hints that address misconceptions (Kulik &amp; </w:t>
      </w:r>
      <w:r w:rsidRPr="00E22408">
        <w:rPr>
          <w:color w:val="auto"/>
          <w:kern w:val="0"/>
          <w:lang w:val="en-US" w:eastAsia="en-US"/>
        </w:rPr>
        <w:lastRenderedPageBreak/>
        <w:t xml:space="preserve">Fletcher, 2016; </w:t>
      </w:r>
      <w:proofErr w:type="spellStart"/>
      <w:r w:rsidRPr="00E22408">
        <w:rPr>
          <w:color w:val="auto"/>
          <w:kern w:val="0"/>
          <w:lang w:val="en-US" w:eastAsia="en-US"/>
        </w:rPr>
        <w:t>VanLehn</w:t>
      </w:r>
      <w:proofErr w:type="spellEnd"/>
      <w:r w:rsidRPr="00E22408">
        <w:rPr>
          <w:color w:val="auto"/>
          <w:kern w:val="0"/>
          <w:lang w:val="en-US" w:eastAsia="en-US"/>
        </w:rPr>
        <w:t>, 2011). In mathematics, where students frequently reach correct answers through flawed reasoning or persist in stable misconceptions, such diagnostic feedback is particularly valuable. Yet, implementation determines whether feedback becomes learning. If students click through hints without reflection, or if teachers treat system scores as endpoints rather than signals for instruction, the learning mechanism weakens.</w:t>
      </w:r>
    </w:p>
    <w:p w14:paraId="4FD382B9"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From a cognitive perspective, feedback and interface design should reduce extraneous cognitive load and focus attention on the mathematical structure of errors. Cognitive load theory predicts that unnecessary search, cluttered displays, or poorly timed guidance can overwhelm working memory and impair learning, especially for novices (</w:t>
      </w:r>
      <w:proofErr w:type="spellStart"/>
      <w:r w:rsidRPr="00E22408">
        <w:rPr>
          <w:color w:val="auto"/>
          <w:kern w:val="0"/>
          <w:lang w:val="en-US" w:eastAsia="en-US"/>
        </w:rPr>
        <w:t>Sweller</w:t>
      </w:r>
      <w:proofErr w:type="spellEnd"/>
      <w:r w:rsidRPr="00E22408">
        <w:rPr>
          <w:color w:val="auto"/>
          <w:kern w:val="0"/>
          <w:lang w:val="en-US" w:eastAsia="en-US"/>
        </w:rPr>
        <w:t>, 1988). Effective classroom implementation therefore includes guiding students to pause after errors, articulate what went wrong, and compare solution strategies. Teacher moves—such as brief conferences using system logs, targeted re-teaching, or whole-class discussions anchored in anonymized error examples—help convert feedback into conceptual change rather than mere correction.</w:t>
      </w:r>
    </w:p>
    <w:p w14:paraId="004AD059" w14:textId="77777777" w:rsidR="00E22408" w:rsidRPr="00E22408" w:rsidRDefault="00E22408" w:rsidP="00E22408">
      <w:pPr>
        <w:spacing w:before="100" w:beforeAutospacing="1" w:after="100" w:afterAutospacing="1" w:line="240" w:lineRule="auto"/>
        <w:ind w:left="0" w:right="0" w:firstLine="0"/>
        <w:jc w:val="left"/>
        <w:outlineLvl w:val="2"/>
        <w:rPr>
          <w:b/>
          <w:bCs/>
          <w:color w:val="auto"/>
          <w:kern w:val="0"/>
          <w:sz w:val="27"/>
          <w:szCs w:val="27"/>
          <w:lang w:val="en-US" w:eastAsia="en-US"/>
        </w:rPr>
      </w:pPr>
      <w:r w:rsidRPr="00E22408">
        <w:rPr>
          <w:b/>
          <w:bCs/>
          <w:color w:val="auto"/>
          <w:kern w:val="0"/>
          <w:sz w:val="27"/>
          <w:szCs w:val="27"/>
          <w:lang w:val="en-US" w:eastAsia="en-US"/>
        </w:rPr>
        <w:t>7.4 Motivation without harm: designing competitive features carefully</w:t>
      </w:r>
    </w:p>
    <w:p w14:paraId="51279157"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 xml:space="preserve">Motivational design is another implementation hinge. Gamification and game-like structures can increase engagement and sometimes improve learning outcomes, but synthesis evidence suggests heterogeneous effects that depend on design choices, context, and learner characteristics (Bai et al., 2020; </w:t>
      </w:r>
      <w:proofErr w:type="spellStart"/>
      <w:r w:rsidRPr="00E22408">
        <w:rPr>
          <w:color w:val="auto"/>
          <w:kern w:val="0"/>
          <w:lang w:val="en-US" w:eastAsia="en-US"/>
        </w:rPr>
        <w:t>Sailer</w:t>
      </w:r>
      <w:proofErr w:type="spellEnd"/>
      <w:r w:rsidRPr="00E22408">
        <w:rPr>
          <w:color w:val="auto"/>
          <w:kern w:val="0"/>
          <w:lang w:val="en-US" w:eastAsia="en-US"/>
        </w:rPr>
        <w:t xml:space="preserve"> &amp; </w:t>
      </w:r>
      <w:proofErr w:type="spellStart"/>
      <w:r w:rsidRPr="00E22408">
        <w:rPr>
          <w:color w:val="auto"/>
          <w:kern w:val="0"/>
          <w:lang w:val="en-US" w:eastAsia="en-US"/>
        </w:rPr>
        <w:t>Homner</w:t>
      </w:r>
      <w:proofErr w:type="spellEnd"/>
      <w:r w:rsidRPr="00E22408">
        <w:rPr>
          <w:color w:val="auto"/>
          <w:kern w:val="0"/>
          <w:lang w:val="en-US" w:eastAsia="en-US"/>
        </w:rPr>
        <w:t>, 2020). Mathematics learning environments must therefore distinguish between engagement that deepens practice and engagement that merely accelerates completion. Evidence from classroom implementations shows that competitive, collaborative, and adaptive gamification can lead to different experiences and outcomes in young learners’ mathematics learning, reinforcing the point that “gamification” is not a unitary treatment (</w:t>
      </w:r>
      <w:proofErr w:type="spellStart"/>
      <w:r w:rsidRPr="00E22408">
        <w:rPr>
          <w:color w:val="auto"/>
          <w:kern w:val="0"/>
          <w:lang w:val="en-US" w:eastAsia="en-US"/>
        </w:rPr>
        <w:t>Jagušt</w:t>
      </w:r>
      <w:proofErr w:type="spellEnd"/>
      <w:r w:rsidRPr="00E22408">
        <w:rPr>
          <w:color w:val="auto"/>
          <w:kern w:val="0"/>
          <w:lang w:val="en-US" w:eastAsia="en-US"/>
        </w:rPr>
        <w:t xml:space="preserve"> et al., 2018). In practice, systems that emphasize adaptive challenge and competence feedback can sustain persistence without pushing students toward anxiety-inducing social comparison. When competitive elements are used, implementation should protect autonomy and dignity by prioritizing private progress indicators, optional participation, and norms that frame performance as growth rather than status.</w:t>
      </w:r>
    </w:p>
    <w:p w14:paraId="75FF9A7C" w14:textId="77777777" w:rsidR="00E22408" w:rsidRPr="00E22408" w:rsidRDefault="00E22408" w:rsidP="00E22408">
      <w:pPr>
        <w:spacing w:before="100" w:beforeAutospacing="1" w:after="100" w:afterAutospacing="1" w:line="240" w:lineRule="auto"/>
        <w:ind w:left="0" w:right="0" w:firstLine="0"/>
        <w:jc w:val="left"/>
        <w:rPr>
          <w:color w:val="auto"/>
          <w:kern w:val="0"/>
          <w:lang w:val="en-US" w:eastAsia="en-US"/>
        </w:rPr>
      </w:pPr>
      <w:r w:rsidRPr="00E22408">
        <w:rPr>
          <w:color w:val="auto"/>
          <w:kern w:val="0"/>
          <w:lang w:val="en-US" w:eastAsia="en-US"/>
        </w:rPr>
        <w:t>At the system level, schools should evaluate platforms not only for learning gains but also for how they shape attention and motivation over time. Implementation fidelity includes ensuring that reward structures align with mastery goals, that classroom routines prevent constant interruption, and that teachers are supported with professional learning that interprets platform data and integrates it into instruction. In this way, technology becomes a learning environment—structured, supportive, and ethically engaging—rather than a high-friction mix of practice tools and distraction triggers.</w:t>
      </w:r>
    </w:p>
    <w:p w14:paraId="69D67424" w14:textId="77777777" w:rsidR="00E22408" w:rsidRDefault="00E22408" w:rsidP="00505FA4">
      <w:pPr>
        <w:pStyle w:val="Heading2"/>
      </w:pPr>
    </w:p>
    <w:p w14:paraId="633274E6" w14:textId="77777777" w:rsidR="00505FA4" w:rsidRDefault="00505FA4" w:rsidP="00505FA4">
      <w:pPr>
        <w:pStyle w:val="Heading2"/>
      </w:pPr>
      <w:r>
        <w:t>8. Future research directions</w:t>
      </w:r>
    </w:p>
    <w:p w14:paraId="21BB8402" w14:textId="77777777" w:rsidR="00505FA4" w:rsidRDefault="00505FA4" w:rsidP="00505FA4">
      <w:pPr>
        <w:pStyle w:val="NormalWeb"/>
      </w:pPr>
      <w:r>
        <w:t>The research base is strong enough to inform practice, yet significant gaps remain—especially regarding measurement, causality, and long-term outcomes in real classrooms.</w:t>
      </w:r>
    </w:p>
    <w:p w14:paraId="31C3FC25" w14:textId="77777777" w:rsidR="00505FA4" w:rsidRDefault="00505FA4" w:rsidP="00505FA4">
      <w:pPr>
        <w:pStyle w:val="NormalWeb"/>
      </w:pPr>
      <w:r>
        <w:t xml:space="preserve">A priority is improving measurement of “technology exposure” during learning. Self-report screen time and device use often lack precision, while log data may capture only in-app </w:t>
      </w:r>
      <w:r>
        <w:lastRenderedPageBreak/>
        <w:t>behavior and not concurrent distractions. Future work should combine objective measures of interruptions, time-on-task, and context with learning outcomes to better isolate mechanisms. Research should also move beyond short-term post-tests toward transfer, retention, and mathematical reasoning quality, which better reflect educational goals.</w:t>
      </w:r>
    </w:p>
    <w:p w14:paraId="46ACF2DB" w14:textId="77777777" w:rsidR="00505FA4" w:rsidRDefault="00505FA4" w:rsidP="00505FA4">
      <w:pPr>
        <w:pStyle w:val="NormalWeb"/>
      </w:pPr>
      <w:r>
        <w:t>Causal inference remains a challenge. Experimental studies demonstrate that multitasking harms learning (Sana et al., 2013) and that phone use during lecture reduces learning (</w:t>
      </w:r>
      <w:proofErr w:type="spellStart"/>
      <w:r>
        <w:t>Kuznekoff</w:t>
      </w:r>
      <w:proofErr w:type="spellEnd"/>
      <w:r>
        <w:t xml:space="preserve"> &amp; </w:t>
      </w:r>
      <w:proofErr w:type="spellStart"/>
      <w:r>
        <w:t>Titsworth</w:t>
      </w:r>
      <w:proofErr w:type="spellEnd"/>
      <w:r>
        <w:t>, 2013), but large-scale academic-performance associations (Lepp et al., 2014) may be confounded by traits such as self-regulation and study habits. Multi-method designs—combining randomized classroom trials, longitudinal tracking, and process measures—can clarify who benefits from which technologies and under what conditions.</w:t>
      </w:r>
    </w:p>
    <w:p w14:paraId="73ED861C" w14:textId="77777777" w:rsidR="00505FA4" w:rsidRDefault="00505FA4" w:rsidP="00505FA4">
      <w:pPr>
        <w:pStyle w:val="NormalWeb"/>
      </w:pPr>
      <w:r>
        <w:t xml:space="preserve">Another research need concerns ethical personalization. Adaptive systems can enhance learning by adjusting challenge and feedback (Kulik &amp; Fletcher, 2016; </w:t>
      </w:r>
      <w:proofErr w:type="spellStart"/>
      <w:r>
        <w:t>VanLehn</w:t>
      </w:r>
      <w:proofErr w:type="spellEnd"/>
      <w:r>
        <w:t>, 2011), but researchers should audit whether personalization objectives inadvertently prioritize engagement metrics that mimic consumer attention capture. Similarly, AR research should continue to specify when AR adds unique representational value versus when it adds extraneous load, given that usability and technical issues are frequent barriers (</w:t>
      </w:r>
      <w:proofErr w:type="spellStart"/>
      <w:r>
        <w:t>Akçayır</w:t>
      </w:r>
      <w:proofErr w:type="spellEnd"/>
      <w:r>
        <w:t xml:space="preserve"> &amp; </w:t>
      </w:r>
      <w:proofErr w:type="spellStart"/>
      <w:r>
        <w:t>Akçayır</w:t>
      </w:r>
      <w:proofErr w:type="spellEnd"/>
      <w:r>
        <w:t>, 2017).</w:t>
      </w:r>
    </w:p>
    <w:p w14:paraId="7A3ED61B" w14:textId="77777777" w:rsidR="00505FA4" w:rsidRDefault="00505FA4" w:rsidP="00505FA4">
      <w:pPr>
        <w:pStyle w:val="NormalWeb"/>
      </w:pPr>
      <w:r>
        <w:t>Finally, research should deepen participatory design approaches involving teachers and students. The “from addiction to application” framing implies that learners are not passive recipients but co-managers of attention in digital environments. Designing tools that explicitly cultivate self-regulation, metacognition, and autonomy may offer a durable pathway to long-term mathematical learning benefits.</w:t>
      </w:r>
    </w:p>
    <w:p w14:paraId="57A8C66A" w14:textId="77777777" w:rsidR="00505FA4" w:rsidRDefault="00505FA4" w:rsidP="00505FA4"/>
    <w:p w14:paraId="00D0AD0C" w14:textId="77777777" w:rsidR="00505FA4" w:rsidRDefault="00505FA4" w:rsidP="00505FA4">
      <w:pPr>
        <w:pStyle w:val="Heading2"/>
      </w:pPr>
      <w:r>
        <w:t>9. Conclusions</w:t>
      </w:r>
    </w:p>
    <w:p w14:paraId="608B6559" w14:textId="77777777" w:rsidR="00505FA4" w:rsidRDefault="00505FA4" w:rsidP="00505FA4">
      <w:pPr>
        <w:pStyle w:val="NormalWeb"/>
      </w:pPr>
      <w:r>
        <w:t>Technology is neither the villain nor the savior of mathematics education. The same mechanisms that make digital platforms habit-forming—immediate feedback, rewards, personalization, and social cues—can either fragment attention or sustain productive learning. Evidence shows that distraction and multitasking undermine learning processes central to mathematics, yet a robust body of research also demonstrates that well-designed educational technologies can meaningfully improve mathematics achievement through adaptive feedback, individualized pacing, interactive representations, and carefully structured motivational supports. The central challenge is alignment: aligning engagement with mastery goals, aligning persuasive design with learner autonomy, and aligning classroom norms with attention protection. A shift from “addiction-aware restriction” to “ethical engagement design” offers a balanced pathway that protects learner well-being while leveraging technology’s proven capacity to support mathematics learning at scale.</w:t>
      </w:r>
    </w:p>
    <w:p w14:paraId="5EBBE5D1" w14:textId="77777777" w:rsidR="00505FA4" w:rsidRDefault="00505FA4" w:rsidP="00505FA4"/>
    <w:p w14:paraId="696C6A1A" w14:textId="77777777" w:rsidR="00505FA4" w:rsidRDefault="00505FA4" w:rsidP="00505FA4">
      <w:pPr>
        <w:pStyle w:val="Heading2"/>
      </w:pPr>
      <w:r>
        <w:t>10. Limitations</w:t>
      </w:r>
    </w:p>
    <w:p w14:paraId="7F2F45DA" w14:textId="77777777" w:rsidR="00505FA4" w:rsidRDefault="00505FA4" w:rsidP="00505FA4">
      <w:pPr>
        <w:pStyle w:val="NormalWeb"/>
      </w:pPr>
      <w:r>
        <w:lastRenderedPageBreak/>
        <w:t>This review synthesizes a wide literature but necessarily simplifies complex constructs such as “addiction,” “distraction,” and “engagement,” which vary across measurement approaches and cultural contexts. The included evidence base spans experimental, correlational, and synthesis studies; consequently, causal claims are stronger for laboratory and controlled classroom findings than for large-scale associations. The technology landscape also evolves rapidly, and interventions labeled similarly (for example, “gamification” or “adaptive learning”) can differ substantially in design, making generalization imperfect. Finally, although the review emphasizes mathematics learning, some cited distraction research is domain-general; domain-specific mechanisms in mathematics warrant more direct empirical examination in future work.</w:t>
      </w:r>
    </w:p>
    <w:p w14:paraId="7F3A0B6D" w14:textId="77777777" w:rsidR="00F244C6" w:rsidRPr="00F244C6" w:rsidRDefault="00F244C6" w:rsidP="00F244C6">
      <w:pPr>
        <w:spacing w:after="200" w:line="276" w:lineRule="auto"/>
        <w:ind w:left="0" w:right="0" w:firstLine="0"/>
        <w:jc w:val="left"/>
        <w:rPr>
          <w:rFonts w:ascii="Arial" w:hAnsi="Arial" w:cs="Arial"/>
          <w:b/>
          <w:bCs/>
          <w:color w:val="auto"/>
          <w:kern w:val="0"/>
          <w:sz w:val="22"/>
          <w:szCs w:val="22"/>
          <w:lang w:val="en-GB" w:eastAsia="en-GB"/>
        </w:rPr>
      </w:pPr>
      <w:r w:rsidRPr="00F244C6">
        <w:rPr>
          <w:rFonts w:ascii="Arial" w:hAnsi="Arial" w:cs="Arial"/>
          <w:b/>
          <w:bCs/>
          <w:color w:val="auto"/>
          <w:kern w:val="0"/>
          <w:sz w:val="22"/>
          <w:szCs w:val="22"/>
          <w:lang w:val="en-GB" w:eastAsia="en-GB"/>
        </w:rPr>
        <w:t>COMPETING INTERESTS DISCLAIMER:</w:t>
      </w:r>
    </w:p>
    <w:p w14:paraId="70D540B7" w14:textId="77777777" w:rsidR="00F244C6" w:rsidRPr="00F244C6" w:rsidRDefault="00F244C6" w:rsidP="00F244C6">
      <w:pPr>
        <w:spacing w:after="200" w:line="276" w:lineRule="auto"/>
        <w:ind w:left="0" w:right="0" w:firstLine="0"/>
        <w:jc w:val="left"/>
        <w:rPr>
          <w:rFonts w:ascii="Calibri" w:hAnsi="Calibri"/>
          <w:color w:val="auto"/>
          <w:kern w:val="0"/>
          <w:sz w:val="22"/>
          <w:szCs w:val="22"/>
          <w:lang w:val="en-GB" w:eastAsia="en-GB"/>
        </w:rPr>
      </w:pPr>
      <w:r w:rsidRPr="00F244C6">
        <w:rPr>
          <w:rFonts w:ascii="Arial" w:hAnsi="Arial" w:cs="Arial"/>
          <w:color w:val="auto"/>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397B74D" w14:textId="77777777" w:rsidR="00505FA4" w:rsidRDefault="00505FA4" w:rsidP="00505FA4"/>
    <w:p w14:paraId="7E5FEF98" w14:textId="77777777" w:rsidR="00505FA4" w:rsidRDefault="00505FA4" w:rsidP="00505FA4">
      <w:pPr>
        <w:pStyle w:val="Heading2"/>
      </w:pPr>
      <w:r>
        <w:t xml:space="preserve">References </w:t>
      </w:r>
    </w:p>
    <w:p w14:paraId="41778644" w14:textId="77777777" w:rsidR="00E22408" w:rsidRPr="00E22408" w:rsidRDefault="00E22408" w:rsidP="00E22408">
      <w:pPr>
        <w:pStyle w:val="NormalWeb"/>
      </w:pPr>
      <w:proofErr w:type="spellStart"/>
      <w:r w:rsidRPr="00E22408">
        <w:rPr>
          <w:color w:val="222222"/>
          <w:shd w:val="clear" w:color="auto" w:fill="FFFFFF"/>
        </w:rPr>
        <w:t>Akçayır</w:t>
      </w:r>
      <w:proofErr w:type="spellEnd"/>
      <w:r w:rsidRPr="00E22408">
        <w:rPr>
          <w:color w:val="222222"/>
          <w:shd w:val="clear" w:color="auto" w:fill="FFFFFF"/>
        </w:rPr>
        <w:t xml:space="preserve">, M., &amp; </w:t>
      </w:r>
      <w:proofErr w:type="spellStart"/>
      <w:r w:rsidRPr="00E22408">
        <w:rPr>
          <w:color w:val="222222"/>
          <w:shd w:val="clear" w:color="auto" w:fill="FFFFFF"/>
        </w:rPr>
        <w:t>Akçayır</w:t>
      </w:r>
      <w:proofErr w:type="spellEnd"/>
      <w:r w:rsidRPr="00E22408">
        <w:rPr>
          <w:color w:val="222222"/>
          <w:shd w:val="clear" w:color="auto" w:fill="FFFFFF"/>
        </w:rPr>
        <w:t>, G. (2017). Advantages and challenges associated with augmented reality for education: A systematic review of the literature. </w:t>
      </w:r>
      <w:r w:rsidRPr="00E22408">
        <w:rPr>
          <w:i/>
          <w:iCs/>
          <w:color w:val="222222"/>
          <w:shd w:val="clear" w:color="auto" w:fill="FFFFFF"/>
        </w:rPr>
        <w:t>Educational research review</w:t>
      </w:r>
      <w:r w:rsidRPr="00E22408">
        <w:rPr>
          <w:color w:val="222222"/>
          <w:shd w:val="clear" w:color="auto" w:fill="FFFFFF"/>
        </w:rPr>
        <w:t>, </w:t>
      </w:r>
      <w:r w:rsidRPr="00E22408">
        <w:rPr>
          <w:i/>
          <w:iCs/>
          <w:color w:val="222222"/>
          <w:shd w:val="clear" w:color="auto" w:fill="FFFFFF"/>
        </w:rPr>
        <w:t>20</w:t>
      </w:r>
      <w:r w:rsidRPr="00E22408">
        <w:rPr>
          <w:color w:val="222222"/>
          <w:shd w:val="clear" w:color="auto" w:fill="FFFFFF"/>
        </w:rPr>
        <w:t xml:space="preserve">, 1-11. </w:t>
      </w:r>
      <w:hyperlink r:id="rId8" w:tgtFrame="_new" w:history="1">
        <w:r w:rsidRPr="00E22408">
          <w:rPr>
            <w:rStyle w:val="Hyperlink"/>
          </w:rPr>
          <w:t>https://doi.org/10.1016/j.edurev.2016.11.002</w:t>
        </w:r>
      </w:hyperlink>
    </w:p>
    <w:p w14:paraId="2166B5D9" w14:textId="77777777" w:rsidR="00E22408" w:rsidRPr="00E22408" w:rsidRDefault="00E22408" w:rsidP="00E22408">
      <w:pPr>
        <w:pStyle w:val="NormalWeb"/>
      </w:pPr>
      <w:r w:rsidRPr="00E22408">
        <w:rPr>
          <w:color w:val="222222"/>
          <w:shd w:val="clear" w:color="auto" w:fill="FFFFFF"/>
        </w:rPr>
        <w:t>Bai, S., Hew, K. F., &amp; Huang, B. (2020). Does gamification improve student learning outcome? Evidence from a meta-analysis and synthesis of qualitative data in educational contexts. </w:t>
      </w:r>
      <w:r w:rsidRPr="00E22408">
        <w:rPr>
          <w:i/>
          <w:iCs/>
          <w:color w:val="222222"/>
          <w:shd w:val="clear" w:color="auto" w:fill="FFFFFF"/>
        </w:rPr>
        <w:t>Educational research review</w:t>
      </w:r>
      <w:r w:rsidRPr="00E22408">
        <w:rPr>
          <w:color w:val="222222"/>
          <w:shd w:val="clear" w:color="auto" w:fill="FFFFFF"/>
        </w:rPr>
        <w:t>, </w:t>
      </w:r>
      <w:r w:rsidRPr="00E22408">
        <w:rPr>
          <w:i/>
          <w:iCs/>
          <w:color w:val="222222"/>
          <w:shd w:val="clear" w:color="auto" w:fill="FFFFFF"/>
        </w:rPr>
        <w:t>30</w:t>
      </w:r>
      <w:r w:rsidRPr="00E22408">
        <w:rPr>
          <w:color w:val="222222"/>
          <w:shd w:val="clear" w:color="auto" w:fill="FFFFFF"/>
        </w:rPr>
        <w:t xml:space="preserve">, 100322. </w:t>
      </w:r>
      <w:hyperlink r:id="rId9" w:tgtFrame="_new" w:history="1">
        <w:r w:rsidRPr="00E22408">
          <w:rPr>
            <w:rStyle w:val="Hyperlink"/>
          </w:rPr>
          <w:t>https://doi.org/10.1016/j.edurev.2020.100322</w:t>
        </w:r>
      </w:hyperlink>
    </w:p>
    <w:p w14:paraId="7C5B02D2" w14:textId="77777777" w:rsidR="00E22408" w:rsidRPr="00E22408" w:rsidRDefault="00E22408" w:rsidP="00E22408">
      <w:pPr>
        <w:pStyle w:val="NormalWeb"/>
      </w:pPr>
      <w:proofErr w:type="spellStart"/>
      <w:r w:rsidRPr="00E22408">
        <w:rPr>
          <w:color w:val="222222"/>
          <w:shd w:val="clear" w:color="auto" w:fill="FFFFFF"/>
        </w:rPr>
        <w:t>Billieux</w:t>
      </w:r>
      <w:proofErr w:type="spellEnd"/>
      <w:r w:rsidRPr="00E22408">
        <w:rPr>
          <w:color w:val="222222"/>
          <w:shd w:val="clear" w:color="auto" w:fill="FFFFFF"/>
        </w:rPr>
        <w:t xml:space="preserve">, J., </w:t>
      </w:r>
      <w:proofErr w:type="spellStart"/>
      <w:r w:rsidRPr="00E22408">
        <w:rPr>
          <w:color w:val="222222"/>
          <w:shd w:val="clear" w:color="auto" w:fill="FFFFFF"/>
        </w:rPr>
        <w:t>Maurage</w:t>
      </w:r>
      <w:proofErr w:type="spellEnd"/>
      <w:r w:rsidRPr="00E22408">
        <w:rPr>
          <w:color w:val="222222"/>
          <w:shd w:val="clear" w:color="auto" w:fill="FFFFFF"/>
        </w:rPr>
        <w:t>, P., Lopez-Fernandez, O., Kuss, D. J., &amp; Griffiths, M. D. (2015). Can disordered mobile phone use be considered a behavioral addiction? An update on current evidence and a comprehensive model for future research. </w:t>
      </w:r>
      <w:r w:rsidRPr="00E22408">
        <w:rPr>
          <w:i/>
          <w:iCs/>
          <w:color w:val="222222"/>
          <w:shd w:val="clear" w:color="auto" w:fill="FFFFFF"/>
        </w:rPr>
        <w:t>Current Addiction Reports</w:t>
      </w:r>
      <w:r w:rsidRPr="00E22408">
        <w:rPr>
          <w:color w:val="222222"/>
          <w:shd w:val="clear" w:color="auto" w:fill="FFFFFF"/>
        </w:rPr>
        <w:t>, </w:t>
      </w:r>
      <w:r w:rsidRPr="00E22408">
        <w:rPr>
          <w:i/>
          <w:iCs/>
          <w:color w:val="222222"/>
          <w:shd w:val="clear" w:color="auto" w:fill="FFFFFF"/>
        </w:rPr>
        <w:t>2</w:t>
      </w:r>
      <w:r w:rsidRPr="00E22408">
        <w:rPr>
          <w:color w:val="222222"/>
          <w:shd w:val="clear" w:color="auto" w:fill="FFFFFF"/>
        </w:rPr>
        <w:t xml:space="preserve">(2), 156-162. </w:t>
      </w:r>
      <w:hyperlink r:id="rId10" w:tgtFrame="_new" w:history="1">
        <w:r w:rsidRPr="00E22408">
          <w:rPr>
            <w:rStyle w:val="Hyperlink"/>
          </w:rPr>
          <w:t>https://doi.org/10.1007/s40429-015-0054-y</w:t>
        </w:r>
      </w:hyperlink>
    </w:p>
    <w:p w14:paraId="4A882CF2" w14:textId="77777777" w:rsidR="00E22408" w:rsidRPr="00E22408" w:rsidRDefault="00E22408" w:rsidP="00E22408">
      <w:pPr>
        <w:pStyle w:val="NormalWeb"/>
      </w:pPr>
      <w:r w:rsidRPr="00E22408">
        <w:rPr>
          <w:color w:val="222222"/>
          <w:shd w:val="clear" w:color="auto" w:fill="FFFFFF"/>
        </w:rPr>
        <w:t>Carbonneau, K. J., Marley, S. C., &amp; Selig, J. P. (2013). A meta-analysis of the efficacy of teaching mathematics with concrete manipulatives. </w:t>
      </w:r>
      <w:r w:rsidRPr="00E22408">
        <w:rPr>
          <w:i/>
          <w:iCs/>
          <w:color w:val="222222"/>
          <w:shd w:val="clear" w:color="auto" w:fill="FFFFFF"/>
        </w:rPr>
        <w:t>Journal of educational psychology</w:t>
      </w:r>
      <w:r w:rsidRPr="00E22408">
        <w:rPr>
          <w:color w:val="222222"/>
          <w:shd w:val="clear" w:color="auto" w:fill="FFFFFF"/>
        </w:rPr>
        <w:t>, </w:t>
      </w:r>
      <w:r w:rsidRPr="00E22408">
        <w:rPr>
          <w:i/>
          <w:iCs/>
          <w:color w:val="222222"/>
          <w:shd w:val="clear" w:color="auto" w:fill="FFFFFF"/>
        </w:rPr>
        <w:t>105</w:t>
      </w:r>
      <w:r w:rsidRPr="00E22408">
        <w:rPr>
          <w:color w:val="222222"/>
          <w:shd w:val="clear" w:color="auto" w:fill="FFFFFF"/>
        </w:rPr>
        <w:t xml:space="preserve">(2), 380. </w:t>
      </w:r>
      <w:hyperlink r:id="rId11" w:history="1">
        <w:r w:rsidRPr="00E22408">
          <w:rPr>
            <w:rStyle w:val="Hyperlink"/>
          </w:rPr>
          <w:t>https://doi.org/10.1037/a0031084</w:t>
        </w:r>
      </w:hyperlink>
      <w:r w:rsidRPr="00E22408">
        <w:t xml:space="preserve"> </w:t>
      </w:r>
    </w:p>
    <w:p w14:paraId="65312717" w14:textId="77777777" w:rsidR="00E22408" w:rsidRPr="00E22408" w:rsidRDefault="00E22408" w:rsidP="00E22408">
      <w:pPr>
        <w:pStyle w:val="NormalWeb"/>
      </w:pPr>
      <w:r w:rsidRPr="00E22408">
        <w:rPr>
          <w:color w:val="222222"/>
          <w:shd w:val="clear" w:color="auto" w:fill="FFFFFF"/>
        </w:rPr>
        <w:t>Cheung, A. C., &amp; Slavin, R. E. (2013). The effectiveness of educational technology applications for enhancing mathematics achievement in K-12 classrooms: A meta-analysis. </w:t>
      </w:r>
      <w:r w:rsidRPr="00E22408">
        <w:rPr>
          <w:i/>
          <w:iCs/>
          <w:color w:val="222222"/>
          <w:shd w:val="clear" w:color="auto" w:fill="FFFFFF"/>
        </w:rPr>
        <w:t>Educational research review</w:t>
      </w:r>
      <w:r w:rsidRPr="00E22408">
        <w:rPr>
          <w:color w:val="222222"/>
          <w:shd w:val="clear" w:color="auto" w:fill="FFFFFF"/>
        </w:rPr>
        <w:t>, </w:t>
      </w:r>
      <w:r w:rsidRPr="00E22408">
        <w:rPr>
          <w:i/>
          <w:iCs/>
          <w:color w:val="222222"/>
          <w:shd w:val="clear" w:color="auto" w:fill="FFFFFF"/>
        </w:rPr>
        <w:t>9</w:t>
      </w:r>
      <w:r w:rsidRPr="00E22408">
        <w:rPr>
          <w:color w:val="222222"/>
          <w:shd w:val="clear" w:color="auto" w:fill="FFFFFF"/>
        </w:rPr>
        <w:t xml:space="preserve">, 88-113. </w:t>
      </w:r>
      <w:hyperlink r:id="rId12" w:tgtFrame="_new" w:history="1">
        <w:r w:rsidRPr="00E22408">
          <w:rPr>
            <w:rStyle w:val="Hyperlink"/>
          </w:rPr>
          <w:t>https://doi.org/10.1016/j.edurev.2013.01.001</w:t>
        </w:r>
      </w:hyperlink>
    </w:p>
    <w:p w14:paraId="29B57BC4" w14:textId="77777777" w:rsidR="00E22408" w:rsidRPr="00E22408" w:rsidRDefault="00E22408" w:rsidP="00E22408">
      <w:pPr>
        <w:pStyle w:val="NormalWeb"/>
      </w:pPr>
      <w:r w:rsidRPr="00E22408">
        <w:rPr>
          <w:color w:val="222222"/>
          <w:shd w:val="clear" w:color="auto" w:fill="FFFFFF"/>
        </w:rPr>
        <w:t>Hatlevik, O. E., &amp; Bjarnø, V. (2021). Examining the relationship between resilience to digital distractions, ICT self-efficacy, motivation, approaches to studying, and time spent on individual studies. </w:t>
      </w:r>
      <w:r w:rsidRPr="00E22408">
        <w:rPr>
          <w:i/>
          <w:iCs/>
          <w:color w:val="222222"/>
          <w:shd w:val="clear" w:color="auto" w:fill="FFFFFF"/>
        </w:rPr>
        <w:t>Teaching and Teacher Education</w:t>
      </w:r>
      <w:r w:rsidRPr="00E22408">
        <w:rPr>
          <w:color w:val="222222"/>
          <w:shd w:val="clear" w:color="auto" w:fill="FFFFFF"/>
        </w:rPr>
        <w:t>, </w:t>
      </w:r>
      <w:r w:rsidRPr="00E22408">
        <w:rPr>
          <w:i/>
          <w:iCs/>
          <w:color w:val="222222"/>
          <w:shd w:val="clear" w:color="auto" w:fill="FFFFFF"/>
        </w:rPr>
        <w:t>102</w:t>
      </w:r>
      <w:r w:rsidRPr="00E22408">
        <w:rPr>
          <w:color w:val="222222"/>
          <w:shd w:val="clear" w:color="auto" w:fill="FFFFFF"/>
        </w:rPr>
        <w:t xml:space="preserve">, 103326. </w:t>
      </w:r>
      <w:hyperlink r:id="rId13" w:tgtFrame="_new" w:history="1">
        <w:r w:rsidRPr="00E22408">
          <w:rPr>
            <w:rStyle w:val="Hyperlink"/>
          </w:rPr>
          <w:t>https://doi.org/10.1016/j.tate.2021.103326</w:t>
        </w:r>
      </w:hyperlink>
    </w:p>
    <w:p w14:paraId="3259E2F3" w14:textId="77777777" w:rsidR="00E22408" w:rsidRPr="00E22408" w:rsidRDefault="00E22408" w:rsidP="00E22408">
      <w:pPr>
        <w:pStyle w:val="NormalWeb"/>
      </w:pPr>
      <w:proofErr w:type="spellStart"/>
      <w:r w:rsidRPr="00E22408">
        <w:rPr>
          <w:color w:val="222222"/>
          <w:shd w:val="clear" w:color="auto" w:fill="FFFFFF"/>
        </w:rPr>
        <w:lastRenderedPageBreak/>
        <w:t>Jagušt</w:t>
      </w:r>
      <w:proofErr w:type="spellEnd"/>
      <w:r w:rsidRPr="00E22408">
        <w:rPr>
          <w:color w:val="222222"/>
          <w:shd w:val="clear" w:color="auto" w:fill="FFFFFF"/>
        </w:rPr>
        <w:t xml:space="preserve">, T., </w:t>
      </w:r>
      <w:proofErr w:type="spellStart"/>
      <w:r w:rsidRPr="00E22408">
        <w:rPr>
          <w:color w:val="222222"/>
          <w:shd w:val="clear" w:color="auto" w:fill="FFFFFF"/>
        </w:rPr>
        <w:t>Botički</w:t>
      </w:r>
      <w:proofErr w:type="spellEnd"/>
      <w:r w:rsidRPr="00E22408">
        <w:rPr>
          <w:color w:val="222222"/>
          <w:shd w:val="clear" w:color="auto" w:fill="FFFFFF"/>
        </w:rPr>
        <w:t>, I., &amp; So, H. J. (2018). Examining competitive, collaborative and adaptive gamification in young learners' math learning. </w:t>
      </w:r>
      <w:r w:rsidRPr="00E22408">
        <w:rPr>
          <w:i/>
          <w:iCs/>
          <w:color w:val="222222"/>
          <w:shd w:val="clear" w:color="auto" w:fill="FFFFFF"/>
        </w:rPr>
        <w:t>Computers &amp; education</w:t>
      </w:r>
      <w:r w:rsidRPr="00E22408">
        <w:rPr>
          <w:color w:val="222222"/>
          <w:shd w:val="clear" w:color="auto" w:fill="FFFFFF"/>
        </w:rPr>
        <w:t>, </w:t>
      </w:r>
      <w:r w:rsidRPr="00E22408">
        <w:rPr>
          <w:i/>
          <w:iCs/>
          <w:color w:val="222222"/>
          <w:shd w:val="clear" w:color="auto" w:fill="FFFFFF"/>
        </w:rPr>
        <w:t>125</w:t>
      </w:r>
      <w:r w:rsidRPr="00E22408">
        <w:rPr>
          <w:color w:val="222222"/>
          <w:shd w:val="clear" w:color="auto" w:fill="FFFFFF"/>
        </w:rPr>
        <w:t xml:space="preserve">, 444-457. </w:t>
      </w:r>
      <w:hyperlink r:id="rId14" w:history="1">
        <w:r w:rsidRPr="00E22408">
          <w:rPr>
            <w:rStyle w:val="Hyperlink"/>
          </w:rPr>
          <w:t>https://doi.org/10.1016/j.compedu.2018.06.022</w:t>
        </w:r>
      </w:hyperlink>
      <w:r w:rsidRPr="00E22408">
        <w:t xml:space="preserve"> </w:t>
      </w:r>
    </w:p>
    <w:p w14:paraId="3D644876" w14:textId="77777777" w:rsidR="00E22408" w:rsidRPr="00E22408" w:rsidRDefault="00E22408" w:rsidP="00E22408">
      <w:pPr>
        <w:pStyle w:val="NormalWeb"/>
      </w:pPr>
      <w:r w:rsidRPr="00E22408">
        <w:rPr>
          <w:color w:val="222222"/>
          <w:shd w:val="clear" w:color="auto" w:fill="FFFFFF"/>
        </w:rPr>
        <w:t>Junco, R., &amp; Cotten, S. R. (2012). No A 4 U: The relationship between multitasking and academic performance. </w:t>
      </w:r>
      <w:r w:rsidRPr="00E22408">
        <w:rPr>
          <w:i/>
          <w:iCs/>
          <w:color w:val="222222"/>
          <w:shd w:val="clear" w:color="auto" w:fill="FFFFFF"/>
        </w:rPr>
        <w:t>Computers &amp; Education</w:t>
      </w:r>
      <w:r w:rsidRPr="00E22408">
        <w:rPr>
          <w:color w:val="222222"/>
          <w:shd w:val="clear" w:color="auto" w:fill="FFFFFF"/>
        </w:rPr>
        <w:t>, </w:t>
      </w:r>
      <w:r w:rsidRPr="00E22408">
        <w:rPr>
          <w:i/>
          <w:iCs/>
          <w:color w:val="222222"/>
          <w:shd w:val="clear" w:color="auto" w:fill="FFFFFF"/>
        </w:rPr>
        <w:t>59</w:t>
      </w:r>
      <w:r w:rsidRPr="00E22408">
        <w:rPr>
          <w:color w:val="222222"/>
          <w:shd w:val="clear" w:color="auto" w:fill="FFFFFF"/>
        </w:rPr>
        <w:t xml:space="preserve">(2), 505-514. </w:t>
      </w:r>
      <w:hyperlink r:id="rId15" w:tgtFrame="_new" w:history="1">
        <w:r w:rsidRPr="00E22408">
          <w:rPr>
            <w:rStyle w:val="Hyperlink"/>
          </w:rPr>
          <w:t>https://doi.org/10.1016/j.compedu.2011.12.023</w:t>
        </w:r>
      </w:hyperlink>
    </w:p>
    <w:p w14:paraId="4B3CBBF2" w14:textId="77777777" w:rsidR="00E22408" w:rsidRPr="00E22408" w:rsidRDefault="00E22408" w:rsidP="00E22408">
      <w:pPr>
        <w:pStyle w:val="NormalWeb"/>
      </w:pPr>
      <w:r w:rsidRPr="00E22408">
        <w:rPr>
          <w:color w:val="222222"/>
          <w:shd w:val="clear" w:color="auto" w:fill="FFFFFF"/>
        </w:rPr>
        <w:t>Kulik, J. A., &amp; Fletcher, J. D. (2016). Effectiveness of intelligent tutoring systems: a meta-analytic review. </w:t>
      </w:r>
      <w:r w:rsidRPr="00E22408">
        <w:rPr>
          <w:i/>
          <w:iCs/>
          <w:color w:val="222222"/>
          <w:shd w:val="clear" w:color="auto" w:fill="FFFFFF"/>
        </w:rPr>
        <w:t>Review of educational research</w:t>
      </w:r>
      <w:r w:rsidRPr="00E22408">
        <w:rPr>
          <w:color w:val="222222"/>
          <w:shd w:val="clear" w:color="auto" w:fill="FFFFFF"/>
        </w:rPr>
        <w:t>, </w:t>
      </w:r>
      <w:r w:rsidRPr="00E22408">
        <w:rPr>
          <w:i/>
          <w:iCs/>
          <w:color w:val="222222"/>
          <w:shd w:val="clear" w:color="auto" w:fill="FFFFFF"/>
        </w:rPr>
        <w:t>86</w:t>
      </w:r>
      <w:r w:rsidRPr="00E22408">
        <w:rPr>
          <w:color w:val="222222"/>
          <w:shd w:val="clear" w:color="auto" w:fill="FFFFFF"/>
        </w:rPr>
        <w:t xml:space="preserve">(1), 42-78. </w:t>
      </w:r>
      <w:hyperlink r:id="rId16" w:tgtFrame="_new" w:history="1">
        <w:r w:rsidRPr="00E22408">
          <w:rPr>
            <w:rStyle w:val="Hyperlink"/>
          </w:rPr>
          <w:t>https://doi.org/10.3102/0034654315581420</w:t>
        </w:r>
      </w:hyperlink>
      <w:r w:rsidRPr="00E22408">
        <w:t xml:space="preserve"> </w:t>
      </w:r>
    </w:p>
    <w:p w14:paraId="74030E06" w14:textId="77777777" w:rsidR="00E22408" w:rsidRPr="00E22408" w:rsidRDefault="00E22408" w:rsidP="00E22408">
      <w:pPr>
        <w:pStyle w:val="NormalWeb"/>
      </w:pPr>
      <w:r w:rsidRPr="00E22408">
        <w:rPr>
          <w:color w:val="222222"/>
          <w:shd w:val="clear" w:color="auto" w:fill="FFFFFF"/>
        </w:rPr>
        <w:t>Kuznekoff, J. H., &amp; Titsworth, S. (2013). The impact of mobile phone usage on student learning. </w:t>
      </w:r>
      <w:r w:rsidRPr="00E22408">
        <w:rPr>
          <w:i/>
          <w:iCs/>
          <w:color w:val="222222"/>
          <w:shd w:val="clear" w:color="auto" w:fill="FFFFFF"/>
        </w:rPr>
        <w:t>Communication Education</w:t>
      </w:r>
      <w:r w:rsidRPr="00E22408">
        <w:rPr>
          <w:color w:val="222222"/>
          <w:shd w:val="clear" w:color="auto" w:fill="FFFFFF"/>
        </w:rPr>
        <w:t>, </w:t>
      </w:r>
      <w:r w:rsidRPr="00E22408">
        <w:rPr>
          <w:i/>
          <w:iCs/>
          <w:color w:val="222222"/>
          <w:shd w:val="clear" w:color="auto" w:fill="FFFFFF"/>
        </w:rPr>
        <w:t>62</w:t>
      </w:r>
      <w:r w:rsidRPr="00E22408">
        <w:rPr>
          <w:color w:val="222222"/>
          <w:shd w:val="clear" w:color="auto" w:fill="FFFFFF"/>
        </w:rPr>
        <w:t xml:space="preserve">(3), 233-252. </w:t>
      </w:r>
      <w:hyperlink r:id="rId17" w:tgtFrame="_new" w:history="1">
        <w:r w:rsidRPr="00E22408">
          <w:rPr>
            <w:rStyle w:val="Hyperlink"/>
          </w:rPr>
          <w:t>https://doi.org/10.1080/03634523.2013.767917</w:t>
        </w:r>
      </w:hyperlink>
      <w:r w:rsidRPr="00E22408">
        <w:t xml:space="preserve"> </w:t>
      </w:r>
    </w:p>
    <w:p w14:paraId="343DF796" w14:textId="77777777" w:rsidR="00E22408" w:rsidRPr="00E22408" w:rsidRDefault="00E22408" w:rsidP="00E22408">
      <w:pPr>
        <w:pStyle w:val="NormalWeb"/>
      </w:pPr>
      <w:r w:rsidRPr="00E22408">
        <w:rPr>
          <w:color w:val="222222"/>
          <w:shd w:val="clear" w:color="auto" w:fill="FFFFFF"/>
        </w:rPr>
        <w:t>Kwon, M., Kim, D. J., Cho, H., &amp; Yang, S. (2013). The smartphone addiction scale: development and validation of a short version for adolescents. </w:t>
      </w:r>
      <w:proofErr w:type="spellStart"/>
      <w:r w:rsidRPr="00E22408">
        <w:rPr>
          <w:i/>
          <w:iCs/>
          <w:color w:val="222222"/>
          <w:shd w:val="clear" w:color="auto" w:fill="FFFFFF"/>
        </w:rPr>
        <w:t>PloS</w:t>
      </w:r>
      <w:proofErr w:type="spellEnd"/>
      <w:r w:rsidRPr="00E22408">
        <w:rPr>
          <w:i/>
          <w:iCs/>
          <w:color w:val="222222"/>
          <w:shd w:val="clear" w:color="auto" w:fill="FFFFFF"/>
        </w:rPr>
        <w:t xml:space="preserve"> one</w:t>
      </w:r>
      <w:r w:rsidRPr="00E22408">
        <w:rPr>
          <w:color w:val="222222"/>
          <w:shd w:val="clear" w:color="auto" w:fill="FFFFFF"/>
        </w:rPr>
        <w:t>, </w:t>
      </w:r>
      <w:r w:rsidRPr="00E22408">
        <w:rPr>
          <w:i/>
          <w:iCs/>
          <w:color w:val="222222"/>
          <w:shd w:val="clear" w:color="auto" w:fill="FFFFFF"/>
        </w:rPr>
        <w:t>8</w:t>
      </w:r>
      <w:r w:rsidRPr="00E22408">
        <w:rPr>
          <w:color w:val="222222"/>
          <w:shd w:val="clear" w:color="auto" w:fill="FFFFFF"/>
        </w:rPr>
        <w:t xml:space="preserve">(12), e83558. </w:t>
      </w:r>
      <w:hyperlink r:id="rId18" w:tgtFrame="_new" w:history="1">
        <w:r w:rsidRPr="00E22408">
          <w:rPr>
            <w:rStyle w:val="Hyperlink"/>
          </w:rPr>
          <w:t>https://doi.org/10.1371/journal.pone.0083558</w:t>
        </w:r>
      </w:hyperlink>
    </w:p>
    <w:p w14:paraId="485015A0" w14:textId="77777777" w:rsidR="00E22408" w:rsidRPr="00E22408" w:rsidRDefault="00E22408" w:rsidP="00E22408">
      <w:pPr>
        <w:pStyle w:val="NormalWeb"/>
      </w:pPr>
      <w:r w:rsidRPr="00E22408">
        <w:rPr>
          <w:color w:val="222222"/>
          <w:shd w:val="clear" w:color="auto" w:fill="FFFFFF"/>
        </w:rPr>
        <w:t>Lepp, A., Barkley, J. E., &amp; Karpinski, A. C. (2014). The relationship between cell phone use, academic performance, anxiety, and satisfaction with life in college students. </w:t>
      </w:r>
      <w:r w:rsidRPr="00E22408">
        <w:rPr>
          <w:i/>
          <w:iCs/>
          <w:color w:val="222222"/>
          <w:shd w:val="clear" w:color="auto" w:fill="FFFFFF"/>
        </w:rPr>
        <w:t>Computers in human behavior</w:t>
      </w:r>
      <w:r w:rsidRPr="00E22408">
        <w:rPr>
          <w:color w:val="222222"/>
          <w:shd w:val="clear" w:color="auto" w:fill="FFFFFF"/>
        </w:rPr>
        <w:t>, </w:t>
      </w:r>
      <w:r w:rsidRPr="00E22408">
        <w:rPr>
          <w:i/>
          <w:iCs/>
          <w:color w:val="222222"/>
          <w:shd w:val="clear" w:color="auto" w:fill="FFFFFF"/>
        </w:rPr>
        <w:t>31</w:t>
      </w:r>
      <w:r w:rsidRPr="00E22408">
        <w:rPr>
          <w:color w:val="222222"/>
          <w:shd w:val="clear" w:color="auto" w:fill="FFFFFF"/>
        </w:rPr>
        <w:t xml:space="preserve">, 343-350. </w:t>
      </w:r>
      <w:hyperlink r:id="rId19" w:tgtFrame="_new" w:history="1">
        <w:r w:rsidRPr="00E22408">
          <w:rPr>
            <w:rStyle w:val="Hyperlink"/>
          </w:rPr>
          <w:t>https://doi.org/10.1016/j.chb.2013.10.049</w:t>
        </w:r>
      </w:hyperlink>
      <w:r w:rsidRPr="00E22408">
        <w:t xml:space="preserve"> </w:t>
      </w:r>
    </w:p>
    <w:p w14:paraId="435A76B0" w14:textId="77777777" w:rsidR="00E22408" w:rsidRPr="00E22408" w:rsidRDefault="00E22408" w:rsidP="00E22408">
      <w:pPr>
        <w:pStyle w:val="NormalWeb"/>
      </w:pPr>
      <w:r w:rsidRPr="00E22408">
        <w:rPr>
          <w:color w:val="222222"/>
          <w:shd w:val="clear" w:color="auto" w:fill="FFFFFF"/>
        </w:rPr>
        <w:t>Li, Q., &amp; Ma, X. (2010). A meta-analysis of the effects of computer technology on school students’ mathematics learning. </w:t>
      </w:r>
      <w:r w:rsidRPr="00E22408">
        <w:rPr>
          <w:i/>
          <w:iCs/>
          <w:color w:val="222222"/>
          <w:shd w:val="clear" w:color="auto" w:fill="FFFFFF"/>
        </w:rPr>
        <w:t>Educational psychology review</w:t>
      </w:r>
      <w:r w:rsidRPr="00E22408">
        <w:rPr>
          <w:color w:val="222222"/>
          <w:shd w:val="clear" w:color="auto" w:fill="FFFFFF"/>
        </w:rPr>
        <w:t>, </w:t>
      </w:r>
      <w:r w:rsidRPr="00E22408">
        <w:rPr>
          <w:i/>
          <w:iCs/>
          <w:color w:val="222222"/>
          <w:shd w:val="clear" w:color="auto" w:fill="FFFFFF"/>
        </w:rPr>
        <w:t>22</w:t>
      </w:r>
      <w:r w:rsidRPr="00E22408">
        <w:rPr>
          <w:color w:val="222222"/>
          <w:shd w:val="clear" w:color="auto" w:fill="FFFFFF"/>
        </w:rPr>
        <w:t xml:space="preserve">(3), 215-243. </w:t>
      </w:r>
      <w:hyperlink r:id="rId20" w:history="1">
        <w:r w:rsidRPr="00E22408">
          <w:rPr>
            <w:rStyle w:val="Hyperlink"/>
          </w:rPr>
          <w:t>https://doi.org/10.1007/s10648-010-9125-8</w:t>
        </w:r>
      </w:hyperlink>
      <w:r w:rsidRPr="00E22408">
        <w:t xml:space="preserve"> </w:t>
      </w:r>
    </w:p>
    <w:p w14:paraId="0088166F" w14:textId="77777777" w:rsidR="00E22408" w:rsidRPr="00E22408" w:rsidRDefault="00E22408" w:rsidP="00E22408">
      <w:pPr>
        <w:pStyle w:val="NormalWeb"/>
      </w:pPr>
      <w:r w:rsidRPr="00E22408">
        <w:rPr>
          <w:color w:val="222222"/>
          <w:shd w:val="clear" w:color="auto" w:fill="FFFFFF"/>
        </w:rPr>
        <w:t xml:space="preserve">Oinas-Kukkonen, H., &amp; </w:t>
      </w:r>
      <w:proofErr w:type="spellStart"/>
      <w:r w:rsidRPr="00E22408">
        <w:rPr>
          <w:color w:val="222222"/>
          <w:shd w:val="clear" w:color="auto" w:fill="FFFFFF"/>
        </w:rPr>
        <w:t>Harjumaa</w:t>
      </w:r>
      <w:proofErr w:type="spellEnd"/>
      <w:r w:rsidRPr="00E22408">
        <w:rPr>
          <w:color w:val="222222"/>
          <w:shd w:val="clear" w:color="auto" w:fill="FFFFFF"/>
        </w:rPr>
        <w:t>, M. (2018). Persuasive systems design: key issues, process model and system features 1. In </w:t>
      </w:r>
      <w:r w:rsidRPr="00E22408">
        <w:rPr>
          <w:i/>
          <w:iCs/>
          <w:color w:val="222222"/>
          <w:shd w:val="clear" w:color="auto" w:fill="FFFFFF"/>
        </w:rPr>
        <w:t>Routledge handbook of policy design</w:t>
      </w:r>
      <w:r w:rsidRPr="00E22408">
        <w:rPr>
          <w:color w:val="222222"/>
          <w:shd w:val="clear" w:color="auto" w:fill="FFFFFF"/>
        </w:rPr>
        <w:t xml:space="preserve"> (pp. 87-105). Routledge. </w:t>
      </w:r>
      <w:hyperlink r:id="rId21" w:history="1">
        <w:r w:rsidRPr="00E22408">
          <w:rPr>
            <w:rStyle w:val="Hyperlink"/>
          </w:rPr>
          <w:t>https://doi.org/10.17705/1CAIS.02428</w:t>
        </w:r>
      </w:hyperlink>
      <w:r w:rsidRPr="00E22408">
        <w:t xml:space="preserve"> </w:t>
      </w:r>
    </w:p>
    <w:p w14:paraId="7FD1414A" w14:textId="77777777" w:rsidR="00E22408" w:rsidRPr="00E22408" w:rsidRDefault="00E22408" w:rsidP="00E22408">
      <w:pPr>
        <w:pStyle w:val="NormalWeb"/>
      </w:pPr>
      <w:r w:rsidRPr="00E22408">
        <w:rPr>
          <w:color w:val="222222"/>
          <w:shd w:val="clear" w:color="auto" w:fill="FFFFFF"/>
        </w:rPr>
        <w:t>Ophir, E., Nass, C., &amp; Wagner, A. D. (2009). Cognitive control in media multitaskers. </w:t>
      </w:r>
      <w:r w:rsidRPr="00E22408">
        <w:rPr>
          <w:i/>
          <w:iCs/>
          <w:color w:val="222222"/>
          <w:shd w:val="clear" w:color="auto" w:fill="FFFFFF"/>
        </w:rPr>
        <w:t>Proceedings of the National Academy of Sciences</w:t>
      </w:r>
      <w:r w:rsidRPr="00E22408">
        <w:rPr>
          <w:color w:val="222222"/>
          <w:shd w:val="clear" w:color="auto" w:fill="FFFFFF"/>
        </w:rPr>
        <w:t>, </w:t>
      </w:r>
      <w:r w:rsidRPr="00E22408">
        <w:rPr>
          <w:i/>
          <w:iCs/>
          <w:color w:val="222222"/>
          <w:shd w:val="clear" w:color="auto" w:fill="FFFFFF"/>
        </w:rPr>
        <w:t>106</w:t>
      </w:r>
      <w:r w:rsidRPr="00E22408">
        <w:rPr>
          <w:color w:val="222222"/>
          <w:shd w:val="clear" w:color="auto" w:fill="FFFFFF"/>
        </w:rPr>
        <w:t xml:space="preserve">(37), 15583-15587. </w:t>
      </w:r>
      <w:r w:rsidRPr="00E22408">
        <w:t xml:space="preserve"> </w:t>
      </w:r>
      <w:hyperlink r:id="rId22" w:tgtFrame="_new" w:history="1">
        <w:r w:rsidRPr="00E22408">
          <w:rPr>
            <w:rStyle w:val="Hyperlink"/>
          </w:rPr>
          <w:t>https://doi.org/10.1073/pnas.0903620106</w:t>
        </w:r>
      </w:hyperlink>
    </w:p>
    <w:p w14:paraId="19C2B118" w14:textId="77777777" w:rsidR="00E22408" w:rsidRPr="00E22408" w:rsidRDefault="00E22408" w:rsidP="00E22408">
      <w:pPr>
        <w:pStyle w:val="NormalWeb"/>
      </w:pPr>
      <w:r w:rsidRPr="00E22408">
        <w:rPr>
          <w:color w:val="222222"/>
          <w:shd w:val="clear" w:color="auto" w:fill="FFFFFF"/>
        </w:rPr>
        <w:t>Orben, A., &amp; Przybylski, A. K. (2019). The association between adolescent well-being and digital technology use. </w:t>
      </w:r>
      <w:r w:rsidRPr="00E22408">
        <w:rPr>
          <w:i/>
          <w:iCs/>
          <w:color w:val="222222"/>
          <w:shd w:val="clear" w:color="auto" w:fill="FFFFFF"/>
        </w:rPr>
        <w:t xml:space="preserve">Nature human </w:t>
      </w:r>
      <w:proofErr w:type="spellStart"/>
      <w:r w:rsidRPr="00E22408">
        <w:rPr>
          <w:i/>
          <w:iCs/>
          <w:color w:val="222222"/>
          <w:shd w:val="clear" w:color="auto" w:fill="FFFFFF"/>
        </w:rPr>
        <w:t>behaviour</w:t>
      </w:r>
      <w:proofErr w:type="spellEnd"/>
      <w:r w:rsidRPr="00E22408">
        <w:rPr>
          <w:color w:val="222222"/>
          <w:shd w:val="clear" w:color="auto" w:fill="FFFFFF"/>
        </w:rPr>
        <w:t>, </w:t>
      </w:r>
      <w:r w:rsidRPr="00E22408">
        <w:rPr>
          <w:i/>
          <w:iCs/>
          <w:color w:val="222222"/>
          <w:shd w:val="clear" w:color="auto" w:fill="FFFFFF"/>
        </w:rPr>
        <w:t>3</w:t>
      </w:r>
      <w:r w:rsidRPr="00E22408">
        <w:rPr>
          <w:color w:val="222222"/>
          <w:shd w:val="clear" w:color="auto" w:fill="FFFFFF"/>
        </w:rPr>
        <w:t xml:space="preserve">(2), 173-182. </w:t>
      </w:r>
      <w:hyperlink r:id="rId23" w:tgtFrame="_new" w:history="1">
        <w:r w:rsidRPr="00E22408">
          <w:rPr>
            <w:rStyle w:val="Hyperlink"/>
          </w:rPr>
          <w:t>https://doi.org/10.1038/s41562-018-0506-1</w:t>
        </w:r>
      </w:hyperlink>
    </w:p>
    <w:p w14:paraId="5D109273" w14:textId="77777777" w:rsidR="00E22408" w:rsidRPr="00E22408" w:rsidRDefault="00E22408" w:rsidP="00E22408">
      <w:pPr>
        <w:pStyle w:val="NormalWeb"/>
      </w:pPr>
      <w:r w:rsidRPr="00E22408">
        <w:rPr>
          <w:color w:val="222222"/>
          <w:shd w:val="clear" w:color="auto" w:fill="FFFFFF"/>
        </w:rPr>
        <w:t>Przybylski, A. K., Murayama, K., DeHaan, C. R., &amp; Gladwell, V. (2013). Motivational, emotional, and behavioral correlates of fear of missing out. </w:t>
      </w:r>
      <w:r w:rsidRPr="00E22408">
        <w:rPr>
          <w:i/>
          <w:iCs/>
          <w:color w:val="222222"/>
          <w:shd w:val="clear" w:color="auto" w:fill="FFFFFF"/>
        </w:rPr>
        <w:t>Computers in human behavior</w:t>
      </w:r>
      <w:r w:rsidRPr="00E22408">
        <w:rPr>
          <w:color w:val="222222"/>
          <w:shd w:val="clear" w:color="auto" w:fill="FFFFFF"/>
        </w:rPr>
        <w:t>, </w:t>
      </w:r>
      <w:r w:rsidRPr="00E22408">
        <w:rPr>
          <w:i/>
          <w:iCs/>
          <w:color w:val="222222"/>
          <w:shd w:val="clear" w:color="auto" w:fill="FFFFFF"/>
        </w:rPr>
        <w:t>29</w:t>
      </w:r>
      <w:r w:rsidRPr="00E22408">
        <w:rPr>
          <w:color w:val="222222"/>
          <w:shd w:val="clear" w:color="auto" w:fill="FFFFFF"/>
        </w:rPr>
        <w:t xml:space="preserve">(4), 1841-1848. </w:t>
      </w:r>
      <w:hyperlink r:id="rId24" w:tgtFrame="_new" w:history="1">
        <w:r w:rsidRPr="00E22408">
          <w:rPr>
            <w:rStyle w:val="Hyperlink"/>
          </w:rPr>
          <w:t>https://doi.org/10.1016/j.chb.2013.02.014</w:t>
        </w:r>
      </w:hyperlink>
    </w:p>
    <w:p w14:paraId="5FCF3079" w14:textId="77777777" w:rsidR="00E22408" w:rsidRPr="00E22408" w:rsidRDefault="00E22408" w:rsidP="00E22408">
      <w:pPr>
        <w:pStyle w:val="NormalWeb"/>
      </w:pPr>
      <w:r w:rsidRPr="00E22408">
        <w:rPr>
          <w:color w:val="222222"/>
          <w:shd w:val="clear" w:color="auto" w:fill="FFFFFF"/>
        </w:rPr>
        <w:t>Radu, I. (2014). Augmented reality in education: a meta-review and cross-media analysis. </w:t>
      </w:r>
      <w:r w:rsidRPr="00E22408">
        <w:rPr>
          <w:i/>
          <w:iCs/>
          <w:color w:val="222222"/>
          <w:shd w:val="clear" w:color="auto" w:fill="FFFFFF"/>
        </w:rPr>
        <w:t>Personal and ubiquitous computing</w:t>
      </w:r>
      <w:r w:rsidRPr="00E22408">
        <w:rPr>
          <w:color w:val="222222"/>
          <w:shd w:val="clear" w:color="auto" w:fill="FFFFFF"/>
        </w:rPr>
        <w:t>, </w:t>
      </w:r>
      <w:r w:rsidRPr="00E22408">
        <w:rPr>
          <w:i/>
          <w:iCs/>
          <w:color w:val="222222"/>
          <w:shd w:val="clear" w:color="auto" w:fill="FFFFFF"/>
        </w:rPr>
        <w:t>18</w:t>
      </w:r>
      <w:r w:rsidRPr="00E22408">
        <w:rPr>
          <w:color w:val="222222"/>
          <w:shd w:val="clear" w:color="auto" w:fill="FFFFFF"/>
        </w:rPr>
        <w:t>(6), 1533-1543.</w:t>
      </w:r>
      <w:r w:rsidRPr="00E22408">
        <w:t xml:space="preserve"> </w:t>
      </w:r>
      <w:hyperlink r:id="rId25" w:history="1">
        <w:r w:rsidRPr="00E22408">
          <w:rPr>
            <w:rStyle w:val="Hyperlink"/>
          </w:rPr>
          <w:t>https://doi.org/10.1007/s00779-013-0747-y</w:t>
        </w:r>
      </w:hyperlink>
      <w:r w:rsidRPr="00E22408">
        <w:t xml:space="preserve"> </w:t>
      </w:r>
    </w:p>
    <w:p w14:paraId="2A8384F9" w14:textId="77777777" w:rsidR="00E22408" w:rsidRPr="00E22408" w:rsidRDefault="00E22408" w:rsidP="00E22408">
      <w:pPr>
        <w:pStyle w:val="NormalWeb"/>
      </w:pPr>
      <w:r w:rsidRPr="00E22408">
        <w:rPr>
          <w:color w:val="222222"/>
          <w:shd w:val="clear" w:color="auto" w:fill="FFFFFF"/>
        </w:rPr>
        <w:lastRenderedPageBreak/>
        <w:t>Rosen, L. D., Carrier, L. M., &amp; Cheever, N. A. (2013). Facebook and texting made me do it: Media-induced task-switching while studying. </w:t>
      </w:r>
      <w:r w:rsidRPr="00E22408">
        <w:rPr>
          <w:i/>
          <w:iCs/>
          <w:color w:val="222222"/>
          <w:shd w:val="clear" w:color="auto" w:fill="FFFFFF"/>
        </w:rPr>
        <w:t>Computers in human behavior</w:t>
      </w:r>
      <w:r w:rsidRPr="00E22408">
        <w:rPr>
          <w:color w:val="222222"/>
          <w:shd w:val="clear" w:color="auto" w:fill="FFFFFF"/>
        </w:rPr>
        <w:t>, </w:t>
      </w:r>
      <w:r w:rsidRPr="00E22408">
        <w:rPr>
          <w:i/>
          <w:iCs/>
          <w:color w:val="222222"/>
          <w:shd w:val="clear" w:color="auto" w:fill="FFFFFF"/>
        </w:rPr>
        <w:t>29</w:t>
      </w:r>
      <w:r w:rsidRPr="00E22408">
        <w:rPr>
          <w:color w:val="222222"/>
          <w:shd w:val="clear" w:color="auto" w:fill="FFFFFF"/>
        </w:rPr>
        <w:t xml:space="preserve">(3), 948-958. </w:t>
      </w:r>
      <w:hyperlink r:id="rId26" w:tgtFrame="_new" w:history="1">
        <w:r w:rsidRPr="00E22408">
          <w:rPr>
            <w:rStyle w:val="Hyperlink"/>
          </w:rPr>
          <w:t>https://doi.org/10.1016/j.chb.2012.12.001</w:t>
        </w:r>
      </w:hyperlink>
    </w:p>
    <w:p w14:paraId="12911755" w14:textId="77777777" w:rsidR="00E22408" w:rsidRPr="00E22408" w:rsidRDefault="00E22408" w:rsidP="00E22408">
      <w:pPr>
        <w:pStyle w:val="NormalWeb"/>
      </w:pPr>
      <w:r w:rsidRPr="00E22408">
        <w:rPr>
          <w:color w:val="222222"/>
          <w:shd w:val="clear" w:color="auto" w:fill="FFFFFF"/>
        </w:rPr>
        <w:t>Ryan, R. M., &amp; Deci, E. L. (2000). Self-determination theory and the facilitation of intrinsic motivation, social development, and well-being. </w:t>
      </w:r>
      <w:r w:rsidRPr="00E22408">
        <w:rPr>
          <w:i/>
          <w:iCs/>
          <w:color w:val="222222"/>
          <w:shd w:val="clear" w:color="auto" w:fill="FFFFFF"/>
        </w:rPr>
        <w:t>American psychologist</w:t>
      </w:r>
      <w:r w:rsidRPr="00E22408">
        <w:rPr>
          <w:color w:val="222222"/>
          <w:shd w:val="clear" w:color="auto" w:fill="FFFFFF"/>
        </w:rPr>
        <w:t>, </w:t>
      </w:r>
      <w:r w:rsidRPr="00E22408">
        <w:rPr>
          <w:i/>
          <w:iCs/>
          <w:color w:val="222222"/>
          <w:shd w:val="clear" w:color="auto" w:fill="FFFFFF"/>
        </w:rPr>
        <w:t>55</w:t>
      </w:r>
      <w:r w:rsidRPr="00E22408">
        <w:rPr>
          <w:color w:val="222222"/>
          <w:shd w:val="clear" w:color="auto" w:fill="FFFFFF"/>
        </w:rPr>
        <w:t xml:space="preserve">(1), 68. </w:t>
      </w:r>
      <w:hyperlink r:id="rId27" w:tgtFrame="_new" w:history="1">
        <w:r w:rsidRPr="00E22408">
          <w:rPr>
            <w:rStyle w:val="Hyperlink"/>
          </w:rPr>
          <w:t>https://doi.org/10.1037/0003-066X.55.1.68</w:t>
        </w:r>
      </w:hyperlink>
    </w:p>
    <w:p w14:paraId="6338C74F" w14:textId="77777777" w:rsidR="00E22408" w:rsidRPr="00E22408" w:rsidRDefault="00E22408" w:rsidP="00E22408">
      <w:pPr>
        <w:pStyle w:val="NormalWeb"/>
      </w:pPr>
      <w:r w:rsidRPr="00E22408">
        <w:rPr>
          <w:color w:val="222222"/>
          <w:shd w:val="clear" w:color="auto" w:fill="FFFFFF"/>
        </w:rPr>
        <w:t xml:space="preserve">Sailer, M., &amp; </w:t>
      </w:r>
      <w:proofErr w:type="spellStart"/>
      <w:r w:rsidRPr="00E22408">
        <w:rPr>
          <w:color w:val="222222"/>
          <w:shd w:val="clear" w:color="auto" w:fill="FFFFFF"/>
        </w:rPr>
        <w:t>Homner</w:t>
      </w:r>
      <w:proofErr w:type="spellEnd"/>
      <w:r w:rsidRPr="00E22408">
        <w:rPr>
          <w:color w:val="222222"/>
          <w:shd w:val="clear" w:color="auto" w:fill="FFFFFF"/>
        </w:rPr>
        <w:t>, L. (2020). The gamification of learning: A meta-analysis. </w:t>
      </w:r>
      <w:r w:rsidRPr="00E22408">
        <w:rPr>
          <w:i/>
          <w:iCs/>
          <w:color w:val="222222"/>
          <w:shd w:val="clear" w:color="auto" w:fill="FFFFFF"/>
        </w:rPr>
        <w:t>Educational psychology review</w:t>
      </w:r>
      <w:r w:rsidRPr="00E22408">
        <w:rPr>
          <w:color w:val="222222"/>
          <w:shd w:val="clear" w:color="auto" w:fill="FFFFFF"/>
        </w:rPr>
        <w:t>, </w:t>
      </w:r>
      <w:r w:rsidRPr="00E22408">
        <w:rPr>
          <w:i/>
          <w:iCs/>
          <w:color w:val="222222"/>
          <w:shd w:val="clear" w:color="auto" w:fill="FFFFFF"/>
        </w:rPr>
        <w:t>32</w:t>
      </w:r>
      <w:r w:rsidRPr="00E22408">
        <w:rPr>
          <w:color w:val="222222"/>
          <w:shd w:val="clear" w:color="auto" w:fill="FFFFFF"/>
        </w:rPr>
        <w:t xml:space="preserve">(1), 77-112. </w:t>
      </w:r>
      <w:hyperlink r:id="rId28" w:tgtFrame="_new" w:history="1">
        <w:r w:rsidRPr="00E22408">
          <w:rPr>
            <w:rStyle w:val="Hyperlink"/>
          </w:rPr>
          <w:t>https://doi.org/10.1007/s10648-019-09498-w</w:t>
        </w:r>
      </w:hyperlink>
    </w:p>
    <w:p w14:paraId="1442FAB8" w14:textId="77777777" w:rsidR="00E22408" w:rsidRPr="00E22408" w:rsidRDefault="00E22408" w:rsidP="00E22408">
      <w:pPr>
        <w:pStyle w:val="NormalWeb"/>
      </w:pPr>
      <w:r w:rsidRPr="00E22408">
        <w:rPr>
          <w:color w:val="222222"/>
          <w:shd w:val="clear" w:color="auto" w:fill="FFFFFF"/>
        </w:rPr>
        <w:t>Sana, F., Weston, T., &amp; Cepeda, N. J. (2013). Laptop multitasking hinders classroom learning for both users and nearby peers. </w:t>
      </w:r>
      <w:r w:rsidRPr="00E22408">
        <w:rPr>
          <w:i/>
          <w:iCs/>
          <w:color w:val="222222"/>
          <w:shd w:val="clear" w:color="auto" w:fill="FFFFFF"/>
        </w:rPr>
        <w:t>Computers &amp; Education</w:t>
      </w:r>
      <w:r w:rsidRPr="00E22408">
        <w:rPr>
          <w:color w:val="222222"/>
          <w:shd w:val="clear" w:color="auto" w:fill="FFFFFF"/>
        </w:rPr>
        <w:t>, </w:t>
      </w:r>
      <w:r w:rsidRPr="00E22408">
        <w:rPr>
          <w:i/>
          <w:iCs/>
          <w:color w:val="222222"/>
          <w:shd w:val="clear" w:color="auto" w:fill="FFFFFF"/>
        </w:rPr>
        <w:t>62</w:t>
      </w:r>
      <w:r w:rsidRPr="00E22408">
        <w:rPr>
          <w:color w:val="222222"/>
          <w:shd w:val="clear" w:color="auto" w:fill="FFFFFF"/>
        </w:rPr>
        <w:t xml:space="preserve">, 24-31. </w:t>
      </w:r>
      <w:hyperlink r:id="rId29" w:tgtFrame="_new" w:history="1">
        <w:r w:rsidRPr="00E22408">
          <w:rPr>
            <w:rStyle w:val="Hyperlink"/>
          </w:rPr>
          <w:t>https://doi.org/10.1016/j.compedu.2012.10.003</w:t>
        </w:r>
      </w:hyperlink>
    </w:p>
    <w:p w14:paraId="6899103A" w14:textId="77777777" w:rsidR="00E22408" w:rsidRPr="00E22408" w:rsidRDefault="00E22408" w:rsidP="00E22408">
      <w:pPr>
        <w:pStyle w:val="NormalWeb"/>
      </w:pPr>
      <w:r w:rsidRPr="00E22408">
        <w:rPr>
          <w:color w:val="222222"/>
          <w:shd w:val="clear" w:color="auto" w:fill="FFFFFF"/>
        </w:rPr>
        <w:t>Steenbergen-Hu, S., &amp; Cooper, H. (2014). A meta-analysis of the effectiveness of intelligent tutoring systems on college students’ academic learning. </w:t>
      </w:r>
      <w:r w:rsidRPr="00E22408">
        <w:rPr>
          <w:i/>
          <w:iCs/>
          <w:color w:val="222222"/>
          <w:shd w:val="clear" w:color="auto" w:fill="FFFFFF"/>
        </w:rPr>
        <w:t>Journal of educational psychology</w:t>
      </w:r>
      <w:r w:rsidRPr="00E22408">
        <w:rPr>
          <w:color w:val="222222"/>
          <w:shd w:val="clear" w:color="auto" w:fill="FFFFFF"/>
        </w:rPr>
        <w:t>, </w:t>
      </w:r>
      <w:r w:rsidRPr="00E22408">
        <w:rPr>
          <w:i/>
          <w:iCs/>
          <w:color w:val="222222"/>
          <w:shd w:val="clear" w:color="auto" w:fill="FFFFFF"/>
        </w:rPr>
        <w:t>106</w:t>
      </w:r>
      <w:r w:rsidRPr="00E22408">
        <w:rPr>
          <w:color w:val="222222"/>
          <w:shd w:val="clear" w:color="auto" w:fill="FFFFFF"/>
        </w:rPr>
        <w:t xml:space="preserve">(2), 331. </w:t>
      </w:r>
      <w:r w:rsidRPr="00E22408">
        <w:t xml:space="preserve"> </w:t>
      </w:r>
      <w:hyperlink r:id="rId30" w:tgtFrame="_new" w:history="1">
        <w:r w:rsidRPr="00E22408">
          <w:rPr>
            <w:rStyle w:val="Hyperlink"/>
          </w:rPr>
          <w:t>https://doi.org/10.1037/a0034752</w:t>
        </w:r>
      </w:hyperlink>
    </w:p>
    <w:p w14:paraId="5310616D" w14:textId="77777777" w:rsidR="00E22408" w:rsidRPr="00E22408" w:rsidRDefault="00E22408" w:rsidP="00E22408">
      <w:pPr>
        <w:pStyle w:val="NormalWeb"/>
      </w:pPr>
      <w:proofErr w:type="spellStart"/>
      <w:r w:rsidRPr="00E22408">
        <w:rPr>
          <w:color w:val="222222"/>
          <w:shd w:val="clear" w:color="auto" w:fill="FFFFFF"/>
        </w:rPr>
        <w:t>Sweller</w:t>
      </w:r>
      <w:proofErr w:type="spellEnd"/>
      <w:r w:rsidRPr="00E22408">
        <w:rPr>
          <w:color w:val="222222"/>
          <w:shd w:val="clear" w:color="auto" w:fill="FFFFFF"/>
        </w:rPr>
        <w:t>, J. (1988). Cognitive load during problem solving: Effects on learning. </w:t>
      </w:r>
      <w:r w:rsidRPr="00E22408">
        <w:rPr>
          <w:i/>
          <w:iCs/>
          <w:color w:val="222222"/>
          <w:shd w:val="clear" w:color="auto" w:fill="FFFFFF"/>
        </w:rPr>
        <w:t>Cognitive science</w:t>
      </w:r>
      <w:r w:rsidRPr="00E22408">
        <w:rPr>
          <w:color w:val="222222"/>
          <w:shd w:val="clear" w:color="auto" w:fill="FFFFFF"/>
        </w:rPr>
        <w:t>, </w:t>
      </w:r>
      <w:r w:rsidRPr="00E22408">
        <w:rPr>
          <w:i/>
          <w:iCs/>
          <w:color w:val="222222"/>
          <w:shd w:val="clear" w:color="auto" w:fill="FFFFFF"/>
        </w:rPr>
        <w:t>12</w:t>
      </w:r>
      <w:r w:rsidRPr="00E22408">
        <w:rPr>
          <w:color w:val="222222"/>
          <w:shd w:val="clear" w:color="auto" w:fill="FFFFFF"/>
        </w:rPr>
        <w:t xml:space="preserve">(2), 257-285. </w:t>
      </w:r>
      <w:hyperlink r:id="rId31" w:history="1">
        <w:r w:rsidRPr="00E22408">
          <w:rPr>
            <w:rStyle w:val="Hyperlink"/>
          </w:rPr>
          <w:t>https://doi.org/10.1016/0364-0213(88)90023-7</w:t>
        </w:r>
      </w:hyperlink>
      <w:r w:rsidRPr="00E22408">
        <w:t xml:space="preserve"> </w:t>
      </w:r>
    </w:p>
    <w:p w14:paraId="36768311" w14:textId="77777777" w:rsidR="00E22408" w:rsidRPr="00E22408" w:rsidRDefault="00E22408" w:rsidP="00E22408">
      <w:pPr>
        <w:pStyle w:val="NormalWeb"/>
      </w:pPr>
      <w:proofErr w:type="spellStart"/>
      <w:r w:rsidRPr="00E22408">
        <w:rPr>
          <w:color w:val="222222"/>
          <w:shd w:val="clear" w:color="auto" w:fill="FFFFFF"/>
        </w:rPr>
        <w:t>VanLehn</w:t>
      </w:r>
      <w:proofErr w:type="spellEnd"/>
      <w:r w:rsidRPr="00E22408">
        <w:rPr>
          <w:color w:val="222222"/>
          <w:shd w:val="clear" w:color="auto" w:fill="FFFFFF"/>
        </w:rPr>
        <w:t>, K. (2011). The relative effectiveness of human tutoring, intelligent tutoring systems, and other tutoring systems. </w:t>
      </w:r>
      <w:r w:rsidRPr="00E22408">
        <w:rPr>
          <w:i/>
          <w:iCs/>
          <w:color w:val="222222"/>
          <w:shd w:val="clear" w:color="auto" w:fill="FFFFFF"/>
        </w:rPr>
        <w:t>Educational psychologist</w:t>
      </w:r>
      <w:r w:rsidRPr="00E22408">
        <w:rPr>
          <w:color w:val="222222"/>
          <w:shd w:val="clear" w:color="auto" w:fill="FFFFFF"/>
        </w:rPr>
        <w:t>, </w:t>
      </w:r>
      <w:r w:rsidRPr="00E22408">
        <w:rPr>
          <w:i/>
          <w:iCs/>
          <w:color w:val="222222"/>
          <w:shd w:val="clear" w:color="auto" w:fill="FFFFFF"/>
        </w:rPr>
        <w:t>46</w:t>
      </w:r>
      <w:r w:rsidRPr="00E22408">
        <w:rPr>
          <w:color w:val="222222"/>
          <w:shd w:val="clear" w:color="auto" w:fill="FFFFFF"/>
        </w:rPr>
        <w:t xml:space="preserve">(4), 197-221. </w:t>
      </w:r>
      <w:hyperlink r:id="rId32" w:tgtFrame="_new" w:history="1">
        <w:r w:rsidRPr="00E22408">
          <w:rPr>
            <w:rStyle w:val="Hyperlink"/>
          </w:rPr>
          <w:t>https://doi.org/10.1080/00461520.2011.611369</w:t>
        </w:r>
      </w:hyperlink>
    </w:p>
    <w:p w14:paraId="7B8EEF4D" w14:textId="77777777" w:rsidR="00317E7E" w:rsidRPr="00505FA4" w:rsidRDefault="00317E7E" w:rsidP="00505FA4"/>
    <w:sectPr w:rsidR="00317E7E" w:rsidRPr="00505FA4" w:rsidSect="00CB6EB6">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F4F21" w14:textId="77777777" w:rsidR="0007212C" w:rsidRDefault="0007212C" w:rsidP="00784EA4">
      <w:pPr>
        <w:spacing w:after="0" w:line="240" w:lineRule="auto"/>
      </w:pPr>
      <w:r>
        <w:separator/>
      </w:r>
    </w:p>
  </w:endnote>
  <w:endnote w:type="continuationSeparator" w:id="0">
    <w:p w14:paraId="76EE23DB" w14:textId="77777777" w:rsidR="0007212C" w:rsidRDefault="0007212C" w:rsidP="00784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3DF6D" w14:textId="77777777" w:rsidR="00784EA4" w:rsidRDefault="00784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D1329" w14:textId="77777777" w:rsidR="00784EA4" w:rsidRDefault="00784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4F975" w14:textId="77777777" w:rsidR="00784EA4" w:rsidRDefault="00784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46FAA" w14:textId="77777777" w:rsidR="0007212C" w:rsidRDefault="0007212C" w:rsidP="00784EA4">
      <w:pPr>
        <w:spacing w:after="0" w:line="240" w:lineRule="auto"/>
      </w:pPr>
      <w:r>
        <w:separator/>
      </w:r>
    </w:p>
  </w:footnote>
  <w:footnote w:type="continuationSeparator" w:id="0">
    <w:p w14:paraId="0EB58688" w14:textId="77777777" w:rsidR="0007212C" w:rsidRDefault="0007212C" w:rsidP="00784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49D07" w14:textId="0967C0BC" w:rsidR="00784EA4" w:rsidRDefault="00784EA4">
    <w:pPr>
      <w:pStyle w:val="Header"/>
    </w:pPr>
    <w:r>
      <w:rPr>
        <w:noProof/>
      </w:rPr>
      <w:pict w14:anchorId="58D89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925A9" w14:textId="2CAAE277" w:rsidR="00784EA4" w:rsidRDefault="00784EA4">
    <w:pPr>
      <w:pStyle w:val="Header"/>
    </w:pPr>
    <w:r>
      <w:rPr>
        <w:noProof/>
      </w:rPr>
      <w:pict w14:anchorId="672C6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942A1" w14:textId="0246CC4C" w:rsidR="00784EA4" w:rsidRDefault="00784EA4">
    <w:pPr>
      <w:pStyle w:val="Header"/>
    </w:pPr>
    <w:r>
      <w:rPr>
        <w:noProof/>
      </w:rPr>
      <w:pict w14:anchorId="7AAE0D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413B"/>
    <w:rsid w:val="000643E7"/>
    <w:rsid w:val="0006527C"/>
    <w:rsid w:val="000652AA"/>
    <w:rsid w:val="000656B9"/>
    <w:rsid w:val="0007212C"/>
    <w:rsid w:val="000814C4"/>
    <w:rsid w:val="00086EDD"/>
    <w:rsid w:val="000A0EB4"/>
    <w:rsid w:val="000A2A54"/>
    <w:rsid w:val="000A79B2"/>
    <w:rsid w:val="000B75EF"/>
    <w:rsid w:val="000C0D71"/>
    <w:rsid w:val="000C411D"/>
    <w:rsid w:val="000C4F0E"/>
    <w:rsid w:val="000D461E"/>
    <w:rsid w:val="000D6AAA"/>
    <w:rsid w:val="000D7028"/>
    <w:rsid w:val="000D7DCE"/>
    <w:rsid w:val="000E33DE"/>
    <w:rsid w:val="000E67D1"/>
    <w:rsid w:val="000E709D"/>
    <w:rsid w:val="000F14D5"/>
    <w:rsid w:val="000F27AA"/>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E2A"/>
    <w:rsid w:val="00187CBB"/>
    <w:rsid w:val="0019059D"/>
    <w:rsid w:val="0019667B"/>
    <w:rsid w:val="001A165A"/>
    <w:rsid w:val="001A3703"/>
    <w:rsid w:val="001A6A2C"/>
    <w:rsid w:val="001A7A4E"/>
    <w:rsid w:val="001B2FA4"/>
    <w:rsid w:val="001B5753"/>
    <w:rsid w:val="001B7806"/>
    <w:rsid w:val="001D7EA7"/>
    <w:rsid w:val="001E6EC5"/>
    <w:rsid w:val="00202F35"/>
    <w:rsid w:val="0022042D"/>
    <w:rsid w:val="002216D7"/>
    <w:rsid w:val="00223F18"/>
    <w:rsid w:val="002312EA"/>
    <w:rsid w:val="0024324D"/>
    <w:rsid w:val="00246BC3"/>
    <w:rsid w:val="00257AC1"/>
    <w:rsid w:val="00260455"/>
    <w:rsid w:val="00260B1D"/>
    <w:rsid w:val="002673C8"/>
    <w:rsid w:val="00267B17"/>
    <w:rsid w:val="00271A26"/>
    <w:rsid w:val="002778DD"/>
    <w:rsid w:val="00284F1F"/>
    <w:rsid w:val="0029252A"/>
    <w:rsid w:val="00294D81"/>
    <w:rsid w:val="002A01F2"/>
    <w:rsid w:val="002A4C47"/>
    <w:rsid w:val="002B76E6"/>
    <w:rsid w:val="002C0DF9"/>
    <w:rsid w:val="002C48BB"/>
    <w:rsid w:val="002D0FD7"/>
    <w:rsid w:val="002D6FFA"/>
    <w:rsid w:val="002E0776"/>
    <w:rsid w:val="002E404D"/>
    <w:rsid w:val="002F0434"/>
    <w:rsid w:val="002F3625"/>
    <w:rsid w:val="002F3AC7"/>
    <w:rsid w:val="002F4C0C"/>
    <w:rsid w:val="00307595"/>
    <w:rsid w:val="0031286E"/>
    <w:rsid w:val="00316D75"/>
    <w:rsid w:val="00317E7E"/>
    <w:rsid w:val="00324164"/>
    <w:rsid w:val="00332243"/>
    <w:rsid w:val="0033735F"/>
    <w:rsid w:val="00343C0B"/>
    <w:rsid w:val="0035701C"/>
    <w:rsid w:val="003664CE"/>
    <w:rsid w:val="003740DE"/>
    <w:rsid w:val="003909C0"/>
    <w:rsid w:val="00391BB6"/>
    <w:rsid w:val="003975AE"/>
    <w:rsid w:val="003A104D"/>
    <w:rsid w:val="003A4787"/>
    <w:rsid w:val="003A71E9"/>
    <w:rsid w:val="003B035B"/>
    <w:rsid w:val="003B09B4"/>
    <w:rsid w:val="003B31CA"/>
    <w:rsid w:val="003B3553"/>
    <w:rsid w:val="003B400E"/>
    <w:rsid w:val="003B64F9"/>
    <w:rsid w:val="003B6CCD"/>
    <w:rsid w:val="003B73A7"/>
    <w:rsid w:val="003C31E9"/>
    <w:rsid w:val="003C4000"/>
    <w:rsid w:val="003E35A3"/>
    <w:rsid w:val="003E61B2"/>
    <w:rsid w:val="003F02C5"/>
    <w:rsid w:val="003F6E91"/>
    <w:rsid w:val="00400005"/>
    <w:rsid w:val="00405181"/>
    <w:rsid w:val="004132B1"/>
    <w:rsid w:val="004148C1"/>
    <w:rsid w:val="004148F5"/>
    <w:rsid w:val="00416C8C"/>
    <w:rsid w:val="00423789"/>
    <w:rsid w:val="004271AB"/>
    <w:rsid w:val="00443B5D"/>
    <w:rsid w:val="00445A92"/>
    <w:rsid w:val="00450568"/>
    <w:rsid w:val="0045531D"/>
    <w:rsid w:val="00456E20"/>
    <w:rsid w:val="004615AF"/>
    <w:rsid w:val="00462739"/>
    <w:rsid w:val="00463D85"/>
    <w:rsid w:val="00471027"/>
    <w:rsid w:val="004711B7"/>
    <w:rsid w:val="004A16BD"/>
    <w:rsid w:val="004A508F"/>
    <w:rsid w:val="004A5427"/>
    <w:rsid w:val="004A586B"/>
    <w:rsid w:val="004A7955"/>
    <w:rsid w:val="004B02DF"/>
    <w:rsid w:val="004C1A63"/>
    <w:rsid w:val="004C421D"/>
    <w:rsid w:val="004C6306"/>
    <w:rsid w:val="004C7547"/>
    <w:rsid w:val="004D7170"/>
    <w:rsid w:val="004E1999"/>
    <w:rsid w:val="004E7311"/>
    <w:rsid w:val="004F07D5"/>
    <w:rsid w:val="004F2BB5"/>
    <w:rsid w:val="004F5E1D"/>
    <w:rsid w:val="004F7DFC"/>
    <w:rsid w:val="00505FA4"/>
    <w:rsid w:val="00516AA1"/>
    <w:rsid w:val="00523936"/>
    <w:rsid w:val="0052448D"/>
    <w:rsid w:val="0054487D"/>
    <w:rsid w:val="00554C7D"/>
    <w:rsid w:val="005577C6"/>
    <w:rsid w:val="0056389E"/>
    <w:rsid w:val="00564FB4"/>
    <w:rsid w:val="00565C3C"/>
    <w:rsid w:val="00571246"/>
    <w:rsid w:val="005A2AA6"/>
    <w:rsid w:val="005A5DEC"/>
    <w:rsid w:val="005B22C5"/>
    <w:rsid w:val="005B4ADB"/>
    <w:rsid w:val="005D2267"/>
    <w:rsid w:val="005D5E75"/>
    <w:rsid w:val="005D68FB"/>
    <w:rsid w:val="005F1FE6"/>
    <w:rsid w:val="006009AA"/>
    <w:rsid w:val="00605701"/>
    <w:rsid w:val="0061271E"/>
    <w:rsid w:val="0061521F"/>
    <w:rsid w:val="00622C65"/>
    <w:rsid w:val="00626F6E"/>
    <w:rsid w:val="00632906"/>
    <w:rsid w:val="0064677F"/>
    <w:rsid w:val="006500A6"/>
    <w:rsid w:val="00650475"/>
    <w:rsid w:val="00655F10"/>
    <w:rsid w:val="00657005"/>
    <w:rsid w:val="00661483"/>
    <w:rsid w:val="006618F5"/>
    <w:rsid w:val="0067007E"/>
    <w:rsid w:val="00671CE7"/>
    <w:rsid w:val="00676549"/>
    <w:rsid w:val="0067685B"/>
    <w:rsid w:val="00683EC3"/>
    <w:rsid w:val="006907D2"/>
    <w:rsid w:val="00692471"/>
    <w:rsid w:val="00693DFE"/>
    <w:rsid w:val="00695D59"/>
    <w:rsid w:val="006A2C8B"/>
    <w:rsid w:val="006A39B3"/>
    <w:rsid w:val="006A7ABC"/>
    <w:rsid w:val="006B57D5"/>
    <w:rsid w:val="006B66BC"/>
    <w:rsid w:val="006D2558"/>
    <w:rsid w:val="006D455D"/>
    <w:rsid w:val="006E13D4"/>
    <w:rsid w:val="006E4B0A"/>
    <w:rsid w:val="006F1FC2"/>
    <w:rsid w:val="006F708E"/>
    <w:rsid w:val="00705A87"/>
    <w:rsid w:val="00711B14"/>
    <w:rsid w:val="00713825"/>
    <w:rsid w:val="00720F41"/>
    <w:rsid w:val="00721966"/>
    <w:rsid w:val="00737A32"/>
    <w:rsid w:val="007434EA"/>
    <w:rsid w:val="00755BDC"/>
    <w:rsid w:val="00761CB6"/>
    <w:rsid w:val="00773599"/>
    <w:rsid w:val="00774395"/>
    <w:rsid w:val="0077761A"/>
    <w:rsid w:val="0078275D"/>
    <w:rsid w:val="00783E9E"/>
    <w:rsid w:val="00784EA4"/>
    <w:rsid w:val="00786C67"/>
    <w:rsid w:val="00796571"/>
    <w:rsid w:val="007A25E7"/>
    <w:rsid w:val="007A5BAB"/>
    <w:rsid w:val="007B0E74"/>
    <w:rsid w:val="007B437D"/>
    <w:rsid w:val="007C5F8A"/>
    <w:rsid w:val="007C7951"/>
    <w:rsid w:val="007D03BC"/>
    <w:rsid w:val="007D38FC"/>
    <w:rsid w:val="007D6740"/>
    <w:rsid w:val="007E249F"/>
    <w:rsid w:val="007F1928"/>
    <w:rsid w:val="008017C0"/>
    <w:rsid w:val="00804929"/>
    <w:rsid w:val="008107F6"/>
    <w:rsid w:val="00812006"/>
    <w:rsid w:val="008132DB"/>
    <w:rsid w:val="00820C75"/>
    <w:rsid w:val="00831623"/>
    <w:rsid w:val="0083179B"/>
    <w:rsid w:val="008374C4"/>
    <w:rsid w:val="008426E2"/>
    <w:rsid w:val="008461BC"/>
    <w:rsid w:val="00852537"/>
    <w:rsid w:val="00855A4C"/>
    <w:rsid w:val="00856AFD"/>
    <w:rsid w:val="0087023A"/>
    <w:rsid w:val="00870945"/>
    <w:rsid w:val="00872F5F"/>
    <w:rsid w:val="00876190"/>
    <w:rsid w:val="008811F8"/>
    <w:rsid w:val="00881487"/>
    <w:rsid w:val="00883166"/>
    <w:rsid w:val="00891C2F"/>
    <w:rsid w:val="00893BAA"/>
    <w:rsid w:val="008A2470"/>
    <w:rsid w:val="008A4BFC"/>
    <w:rsid w:val="008A7416"/>
    <w:rsid w:val="008D0444"/>
    <w:rsid w:val="008E71C6"/>
    <w:rsid w:val="008F3850"/>
    <w:rsid w:val="00904403"/>
    <w:rsid w:val="00916DED"/>
    <w:rsid w:val="00921557"/>
    <w:rsid w:val="00925CAF"/>
    <w:rsid w:val="00926AE1"/>
    <w:rsid w:val="009302A6"/>
    <w:rsid w:val="00935182"/>
    <w:rsid w:val="00944906"/>
    <w:rsid w:val="00951A3D"/>
    <w:rsid w:val="009536DC"/>
    <w:rsid w:val="009551E6"/>
    <w:rsid w:val="00960579"/>
    <w:rsid w:val="00975E52"/>
    <w:rsid w:val="009851F5"/>
    <w:rsid w:val="009903E9"/>
    <w:rsid w:val="009918F3"/>
    <w:rsid w:val="009929A7"/>
    <w:rsid w:val="00992B92"/>
    <w:rsid w:val="00994A4A"/>
    <w:rsid w:val="00994D23"/>
    <w:rsid w:val="009B3A8A"/>
    <w:rsid w:val="009B55DE"/>
    <w:rsid w:val="009C2C46"/>
    <w:rsid w:val="009D05A9"/>
    <w:rsid w:val="009D0B9D"/>
    <w:rsid w:val="009D13F6"/>
    <w:rsid w:val="009D5BA5"/>
    <w:rsid w:val="009E5244"/>
    <w:rsid w:val="009F0120"/>
    <w:rsid w:val="00A00B22"/>
    <w:rsid w:val="00A029C3"/>
    <w:rsid w:val="00A1605B"/>
    <w:rsid w:val="00A2270F"/>
    <w:rsid w:val="00A22B39"/>
    <w:rsid w:val="00A23EB8"/>
    <w:rsid w:val="00A24B38"/>
    <w:rsid w:val="00A27BF4"/>
    <w:rsid w:val="00A32ED4"/>
    <w:rsid w:val="00A35A95"/>
    <w:rsid w:val="00A4069A"/>
    <w:rsid w:val="00A43928"/>
    <w:rsid w:val="00A478B2"/>
    <w:rsid w:val="00A50845"/>
    <w:rsid w:val="00A5299F"/>
    <w:rsid w:val="00A54719"/>
    <w:rsid w:val="00A57A87"/>
    <w:rsid w:val="00A62C46"/>
    <w:rsid w:val="00A64590"/>
    <w:rsid w:val="00A66C70"/>
    <w:rsid w:val="00A7055A"/>
    <w:rsid w:val="00A8506E"/>
    <w:rsid w:val="00A94050"/>
    <w:rsid w:val="00A95D31"/>
    <w:rsid w:val="00A97AEF"/>
    <w:rsid w:val="00AA06F7"/>
    <w:rsid w:val="00AA2B64"/>
    <w:rsid w:val="00AA4644"/>
    <w:rsid w:val="00AA4B35"/>
    <w:rsid w:val="00AB0C7A"/>
    <w:rsid w:val="00AB1103"/>
    <w:rsid w:val="00AD7B8B"/>
    <w:rsid w:val="00AE13A7"/>
    <w:rsid w:val="00AE651D"/>
    <w:rsid w:val="00AE79C2"/>
    <w:rsid w:val="00AE7CA1"/>
    <w:rsid w:val="00AF279A"/>
    <w:rsid w:val="00AF7425"/>
    <w:rsid w:val="00B06888"/>
    <w:rsid w:val="00B1065D"/>
    <w:rsid w:val="00B451DB"/>
    <w:rsid w:val="00B567DD"/>
    <w:rsid w:val="00B6043D"/>
    <w:rsid w:val="00B74506"/>
    <w:rsid w:val="00B81562"/>
    <w:rsid w:val="00B84C19"/>
    <w:rsid w:val="00B928B4"/>
    <w:rsid w:val="00BA3C57"/>
    <w:rsid w:val="00BB0BE1"/>
    <w:rsid w:val="00BB4C3B"/>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420C"/>
    <w:rsid w:val="00C40318"/>
    <w:rsid w:val="00C404E0"/>
    <w:rsid w:val="00C41073"/>
    <w:rsid w:val="00C41BA6"/>
    <w:rsid w:val="00C47A2A"/>
    <w:rsid w:val="00C524EC"/>
    <w:rsid w:val="00C54922"/>
    <w:rsid w:val="00C5683C"/>
    <w:rsid w:val="00C57B8F"/>
    <w:rsid w:val="00C650CE"/>
    <w:rsid w:val="00C6694F"/>
    <w:rsid w:val="00C7136B"/>
    <w:rsid w:val="00C93A8A"/>
    <w:rsid w:val="00C955E0"/>
    <w:rsid w:val="00CA346F"/>
    <w:rsid w:val="00CB0EDD"/>
    <w:rsid w:val="00CB6EB6"/>
    <w:rsid w:val="00CB75A8"/>
    <w:rsid w:val="00CC40DF"/>
    <w:rsid w:val="00CE051F"/>
    <w:rsid w:val="00CE0C42"/>
    <w:rsid w:val="00CE5BFA"/>
    <w:rsid w:val="00CF3244"/>
    <w:rsid w:val="00D055EE"/>
    <w:rsid w:val="00D07932"/>
    <w:rsid w:val="00D2322A"/>
    <w:rsid w:val="00D261CC"/>
    <w:rsid w:val="00D370EF"/>
    <w:rsid w:val="00D40796"/>
    <w:rsid w:val="00D63323"/>
    <w:rsid w:val="00D66880"/>
    <w:rsid w:val="00D71250"/>
    <w:rsid w:val="00D75C9D"/>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544F"/>
    <w:rsid w:val="00DF20BB"/>
    <w:rsid w:val="00DF5AB4"/>
    <w:rsid w:val="00DF6AF0"/>
    <w:rsid w:val="00E125DA"/>
    <w:rsid w:val="00E14E5D"/>
    <w:rsid w:val="00E16C81"/>
    <w:rsid w:val="00E20962"/>
    <w:rsid w:val="00E22310"/>
    <w:rsid w:val="00E22408"/>
    <w:rsid w:val="00E3113F"/>
    <w:rsid w:val="00E40B47"/>
    <w:rsid w:val="00E52157"/>
    <w:rsid w:val="00E52483"/>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E2E7D"/>
    <w:rsid w:val="00EF4D40"/>
    <w:rsid w:val="00EF4D87"/>
    <w:rsid w:val="00EF5941"/>
    <w:rsid w:val="00F13040"/>
    <w:rsid w:val="00F133C3"/>
    <w:rsid w:val="00F244C6"/>
    <w:rsid w:val="00F278AB"/>
    <w:rsid w:val="00F36C5B"/>
    <w:rsid w:val="00F43253"/>
    <w:rsid w:val="00F43CC2"/>
    <w:rsid w:val="00F45317"/>
    <w:rsid w:val="00F4728A"/>
    <w:rsid w:val="00F533A4"/>
    <w:rsid w:val="00F6047F"/>
    <w:rsid w:val="00F754E8"/>
    <w:rsid w:val="00F97B7F"/>
    <w:rsid w:val="00FA03AB"/>
    <w:rsid w:val="00FA1C67"/>
    <w:rsid w:val="00FA5C8B"/>
    <w:rsid w:val="00FA7321"/>
    <w:rsid w:val="00FB1450"/>
    <w:rsid w:val="00FB5CFC"/>
    <w:rsid w:val="00FB6475"/>
    <w:rsid w:val="00FC1A30"/>
    <w:rsid w:val="00FC3FB3"/>
    <w:rsid w:val="00FD042D"/>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A9F07A"/>
  <w15:docId w15:val="{6BF744FE-6399-45D3-9594-F38326CC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Header">
    <w:name w:val="header"/>
    <w:basedOn w:val="Normal"/>
    <w:link w:val="HeaderChar"/>
    <w:uiPriority w:val="99"/>
    <w:unhideWhenUsed/>
    <w:rsid w:val="00784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EA4"/>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784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EA4"/>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tate.2021.103326" TargetMode="External"/><Relationship Id="rId18" Type="http://schemas.openxmlformats.org/officeDocument/2006/relationships/hyperlink" Target="https://doi.org/10.1371/journal.pone.0083558" TargetMode="External"/><Relationship Id="rId26" Type="http://schemas.openxmlformats.org/officeDocument/2006/relationships/hyperlink" Target="https://doi.org/10.1016/j.chb.2012.12.001" TargetMode="External"/><Relationship Id="rId39" Type="http://schemas.openxmlformats.org/officeDocument/2006/relationships/fontTable" Target="fontTable.xml"/><Relationship Id="rId21" Type="http://schemas.openxmlformats.org/officeDocument/2006/relationships/hyperlink" Target="https://doi.org/10.17705/1CAIS.02428"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edurev.2013.01.001" TargetMode="External"/><Relationship Id="rId17" Type="http://schemas.openxmlformats.org/officeDocument/2006/relationships/hyperlink" Target="https://doi.org/10.1080/03634523.2013.767917" TargetMode="External"/><Relationship Id="rId25" Type="http://schemas.openxmlformats.org/officeDocument/2006/relationships/hyperlink" Target="https://doi.org/10.1007/s00779-013-0747-y"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102/0034654315581420" TargetMode="External"/><Relationship Id="rId20" Type="http://schemas.openxmlformats.org/officeDocument/2006/relationships/hyperlink" Target="https://doi.org/10.1007/s10648-010-9125-8" TargetMode="External"/><Relationship Id="rId29" Type="http://schemas.openxmlformats.org/officeDocument/2006/relationships/hyperlink" Target="https://doi.org/10.1016/j.compedu.2012.10.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a0031084" TargetMode="External"/><Relationship Id="rId24" Type="http://schemas.openxmlformats.org/officeDocument/2006/relationships/hyperlink" Target="https://doi.org/10.1016/j.chb.2013.02.014" TargetMode="External"/><Relationship Id="rId32" Type="http://schemas.openxmlformats.org/officeDocument/2006/relationships/hyperlink" Target="https://doi.org/10.1080/00461520.2011.611369"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compedu.2011.12.023" TargetMode="External"/><Relationship Id="rId23" Type="http://schemas.openxmlformats.org/officeDocument/2006/relationships/hyperlink" Target="https://doi.org/10.1038/s41562-018-0506-1" TargetMode="External"/><Relationship Id="rId28" Type="http://schemas.openxmlformats.org/officeDocument/2006/relationships/hyperlink" Target="https://doi.org/10.1007/s10648-019-09498-w" TargetMode="External"/><Relationship Id="rId36" Type="http://schemas.openxmlformats.org/officeDocument/2006/relationships/footer" Target="footer2.xml"/><Relationship Id="rId10" Type="http://schemas.openxmlformats.org/officeDocument/2006/relationships/hyperlink" Target="https://doi.org/10.1007/s40429-015-0054-y" TargetMode="External"/><Relationship Id="rId19" Type="http://schemas.openxmlformats.org/officeDocument/2006/relationships/hyperlink" Target="https://doi.org/10.1016/j.chb.2013.10.049" TargetMode="External"/><Relationship Id="rId31" Type="http://schemas.openxmlformats.org/officeDocument/2006/relationships/hyperlink" Target="https://doi.org/10.1016/0364-0213(88)90023-7" TargetMode="External"/><Relationship Id="rId4" Type="http://schemas.openxmlformats.org/officeDocument/2006/relationships/settings" Target="settings.xml"/><Relationship Id="rId9" Type="http://schemas.openxmlformats.org/officeDocument/2006/relationships/hyperlink" Target="https://doi.org/10.1016/j.edurev.2020.100322" TargetMode="External"/><Relationship Id="rId14" Type="http://schemas.openxmlformats.org/officeDocument/2006/relationships/hyperlink" Target="https://doi.org/10.1016/j.compedu.2018.06.022" TargetMode="External"/><Relationship Id="rId22" Type="http://schemas.openxmlformats.org/officeDocument/2006/relationships/hyperlink" Target="https://doi.org/10.1073/pnas.0903620106" TargetMode="External"/><Relationship Id="rId27" Type="http://schemas.openxmlformats.org/officeDocument/2006/relationships/hyperlink" Target="https://doi.org/10.1037/0003-066X.55.1.68" TargetMode="External"/><Relationship Id="rId30" Type="http://schemas.openxmlformats.org/officeDocument/2006/relationships/hyperlink" Target="https://doi.org/10.1037/a0034752" TargetMode="External"/><Relationship Id="rId35" Type="http://schemas.openxmlformats.org/officeDocument/2006/relationships/footer" Target="footer1.xml"/><Relationship Id="rId8" Type="http://schemas.openxmlformats.org/officeDocument/2006/relationships/hyperlink" Target="https://doi.org/10.1016/j.edurev.2016.11.00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59BA89-43C5-4EA5-99D6-29813C0F7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9970</TotalTime>
  <Pages>21</Pages>
  <Words>10565</Words>
  <Characters>60225</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1084</cp:lastModifiedBy>
  <cp:revision>125</cp:revision>
  <cp:lastPrinted>2025-12-13T07:14:00Z</cp:lastPrinted>
  <dcterms:created xsi:type="dcterms:W3CDTF">2025-09-24T12:44:00Z</dcterms:created>
  <dcterms:modified xsi:type="dcterms:W3CDTF">2026-02-14T06:37:00Z</dcterms:modified>
</cp:coreProperties>
</file>