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4F71D" w14:textId="77777777" w:rsidR="00DC6E1F" w:rsidRPr="00DC6E1F" w:rsidRDefault="00DC6E1F" w:rsidP="00DC6E1F">
      <w:pPr>
        <w:pStyle w:val="Heading1"/>
        <w:rPr>
          <w:lang w:val="en-GB"/>
        </w:rPr>
      </w:pPr>
      <w:bookmarkStart w:id="0" w:name="_GoBack"/>
      <w:bookmarkEnd w:id="0"/>
      <w:r w:rsidRPr="00DC6E1F">
        <w:rPr>
          <w:lang w:val="en-GB"/>
        </w:rPr>
        <w:t>Vulvar and Perineal Dermatoses Across the Female Life Course: An Integrative Review</w:t>
      </w:r>
    </w:p>
    <w:p w14:paraId="2518E728" w14:textId="77777777" w:rsidR="00DC6E1F" w:rsidRPr="00DC6E1F" w:rsidRDefault="00DC6E1F" w:rsidP="00DC6E1F">
      <w:pPr>
        <w:pStyle w:val="Heading2"/>
        <w:rPr>
          <w:lang w:val="en-GB"/>
        </w:rPr>
      </w:pPr>
      <w:r w:rsidRPr="00DC6E1F">
        <w:rPr>
          <w:lang w:val="en-GB"/>
        </w:rPr>
        <w:t>Abstract</w:t>
      </w:r>
    </w:p>
    <w:p w14:paraId="4768B848" w14:textId="77777777" w:rsidR="00DC6E1F" w:rsidRPr="00DC6E1F" w:rsidRDefault="00DC6E1F" w:rsidP="00DC6E1F">
      <w:pPr>
        <w:pStyle w:val="NormalWeb"/>
        <w:rPr>
          <w:lang w:val="en-GB"/>
        </w:rPr>
      </w:pPr>
      <w:r w:rsidRPr="00DC6E1F">
        <w:rPr>
          <w:lang w:val="en-GB"/>
        </w:rPr>
        <w:t xml:space="preserve">Vulvar and perineal dermatoses are prevalent disorders that often present with pruritus, burning, fissuring, dyspareunia, and dysuria, yet they remain under-recognized and frequently misdiagnosed. Diagnostic delay is driven by symptom overlap across inflammatory, infectious, neuropathic, and neoplastic pathways; discomfort with genital examination; and limited availability of clinicians trained in vulvar morphology and biopsy. A life-course perspective is essential because the vulvar–perineal unit undergoes marked physiologic transitions shaped by developmental stage, hormonal milieu, immune modulation, epithelial barrier maturation, microbiome shifts, and changing exposure patterns to irritants and allergens. These transitions influence disease susceptibility and phenotype expression, including irritant dermatitis in infancy, contact dermatitis and psoriasis in adolescence and reproductive years, pregnancy- and postpartum-associated symptom fluctuations, and the increased prominence of lichen </w:t>
      </w:r>
      <w:proofErr w:type="spellStart"/>
      <w:r w:rsidRPr="00DC6E1F">
        <w:rPr>
          <w:lang w:val="en-GB"/>
        </w:rPr>
        <w:t>sclerosus</w:t>
      </w:r>
      <w:proofErr w:type="spellEnd"/>
      <w:r w:rsidRPr="00DC6E1F">
        <w:rPr>
          <w:lang w:val="en-GB"/>
        </w:rPr>
        <w:t xml:space="preserve">, genitourinary syndrome-related vulnerability, and neoplastic mimickers in peri- and </w:t>
      </w:r>
      <w:proofErr w:type="spellStart"/>
      <w:r w:rsidRPr="00DC6E1F">
        <w:rPr>
          <w:lang w:val="en-GB"/>
        </w:rPr>
        <w:t>postmenopause</w:t>
      </w:r>
      <w:proofErr w:type="spellEnd"/>
      <w:r w:rsidRPr="00DC6E1F">
        <w:rPr>
          <w:lang w:val="en-GB"/>
        </w:rPr>
        <w:t xml:space="preserve">. This review synthesizes contemporary evidence on major vulvar and perineal inflammatory dermatoses—especially lichen </w:t>
      </w:r>
      <w:proofErr w:type="spellStart"/>
      <w:r w:rsidRPr="00DC6E1F">
        <w:rPr>
          <w:lang w:val="en-GB"/>
        </w:rPr>
        <w:t>sclerosus</w:t>
      </w:r>
      <w:proofErr w:type="spellEnd"/>
      <w:r w:rsidRPr="00DC6E1F">
        <w:rPr>
          <w:lang w:val="en-GB"/>
        </w:rPr>
        <w:t>, lichen planus, psoriasis, and contact dermatitis—while emphasizing a structured diagnostic approach, appropriate indications for biopsy and patch testing, longitudinal management strategies, and surveillance principles for premalignant and malignant disease. The review concludes with an integrated framework that connects life stage, anatomy, exposures, morphology, and risk stratification to improve outcomes and reduce morbidity.</w:t>
      </w:r>
    </w:p>
    <w:p w14:paraId="17727854" w14:textId="77777777" w:rsidR="00DC6E1F" w:rsidRPr="00DC6E1F" w:rsidRDefault="00DC6E1F" w:rsidP="00DC6E1F">
      <w:pPr>
        <w:pStyle w:val="NormalWeb"/>
        <w:rPr>
          <w:lang w:val="en-GB"/>
        </w:rPr>
      </w:pPr>
      <w:r w:rsidRPr="00DC6E1F">
        <w:rPr>
          <w:rStyle w:val="Strong"/>
          <w:lang w:val="en-GB"/>
        </w:rPr>
        <w:t>Keywords:</w:t>
      </w:r>
      <w:r w:rsidRPr="00DC6E1F">
        <w:rPr>
          <w:lang w:val="en-GB"/>
        </w:rPr>
        <w:t xml:space="preserve"> vulvar dermatoses; perineal dermatoses; lichen </w:t>
      </w:r>
      <w:proofErr w:type="spellStart"/>
      <w:r w:rsidRPr="00DC6E1F">
        <w:rPr>
          <w:lang w:val="en-GB"/>
        </w:rPr>
        <w:t>sclerosus</w:t>
      </w:r>
      <w:proofErr w:type="spellEnd"/>
      <w:r w:rsidRPr="00DC6E1F">
        <w:rPr>
          <w:lang w:val="en-GB"/>
        </w:rPr>
        <w:t>; vulvovaginal lichen planus; genital psoriasis; contact dermatitis; vulvar intraepithelial neoplasia; vulvar melanoma; menopause; life course</w:t>
      </w:r>
    </w:p>
    <w:p w14:paraId="1D7EDDA6" w14:textId="77777777" w:rsidR="00DC6E1F" w:rsidRPr="00DC6E1F" w:rsidRDefault="00DC6E1F" w:rsidP="00DC6E1F">
      <w:pPr>
        <w:rPr>
          <w:lang w:val="en-GB"/>
        </w:rPr>
      </w:pPr>
    </w:p>
    <w:p w14:paraId="2709E673" w14:textId="77777777" w:rsidR="009F36D4" w:rsidRPr="009F36D4" w:rsidRDefault="009F36D4" w:rsidP="009F36D4">
      <w:pPr>
        <w:spacing w:before="100" w:beforeAutospacing="1" w:after="100" w:afterAutospacing="1" w:line="240" w:lineRule="auto"/>
        <w:ind w:left="0" w:right="0" w:firstLine="0"/>
        <w:jc w:val="left"/>
        <w:outlineLvl w:val="1"/>
        <w:rPr>
          <w:b/>
          <w:bCs/>
          <w:color w:val="auto"/>
          <w:kern w:val="0"/>
          <w:sz w:val="36"/>
          <w:szCs w:val="36"/>
          <w:lang w:val="en-US" w:eastAsia="en-US"/>
        </w:rPr>
      </w:pPr>
      <w:r w:rsidRPr="009F36D4">
        <w:rPr>
          <w:b/>
          <w:bCs/>
          <w:color w:val="auto"/>
          <w:kern w:val="0"/>
          <w:sz w:val="36"/>
          <w:szCs w:val="36"/>
          <w:lang w:val="en-US" w:eastAsia="en-US"/>
        </w:rPr>
        <w:t>1. Introduction</w:t>
      </w:r>
    </w:p>
    <w:p w14:paraId="41DA85A5" w14:textId="77777777" w:rsidR="009F36D4" w:rsidRPr="009F36D4" w:rsidRDefault="009F36D4" w:rsidP="009F36D4">
      <w:pPr>
        <w:spacing w:before="100" w:beforeAutospacing="1" w:after="100" w:afterAutospacing="1" w:line="240" w:lineRule="auto"/>
        <w:ind w:left="0" w:right="0" w:firstLine="0"/>
        <w:jc w:val="left"/>
        <w:rPr>
          <w:color w:val="auto"/>
          <w:kern w:val="0"/>
          <w:lang w:val="en-US" w:eastAsia="en-US"/>
        </w:rPr>
      </w:pPr>
      <w:r w:rsidRPr="009F36D4">
        <w:rPr>
          <w:color w:val="auto"/>
          <w:kern w:val="0"/>
          <w:lang w:val="en-US" w:eastAsia="en-US"/>
        </w:rPr>
        <w:t>Vulvar and perineal dermatoses comprise a wide spectrum of conditions that affect the keratinized vulvar skin, the mucocutaneous junction of the vestibule, and the perineal–perianal region. Although these disorders vary in etiology—ranging from inflammatory and eczematous disease to autoimmune lichenoid processes and neoplastic mimickers—they frequently converge on a limited set of symptom pathways, most notably pruritus, burning, pain, fissuring, dyspareunia, and dysuria. This symptom convergence is one of the main drivers of diagnostic delay, because the same complaint can reflect fundamentally different pathobiology and risk. Clinical practice guidelines emphasize that vulvar symptoms should trigger a systematic assessment rather than empiric, repetitive treatment cycles, particularly when symptoms are persistent, recurrent, or associated with focal lesions or architectural change (American College of Obstetricians and Gynecologists’ Committee on Practice Bulletins—Gynecology, 2020).</w:t>
      </w:r>
    </w:p>
    <w:p w14:paraId="7745E9CC" w14:textId="77777777" w:rsidR="009F36D4" w:rsidRPr="009F36D4" w:rsidRDefault="009F36D4" w:rsidP="009F36D4">
      <w:pPr>
        <w:spacing w:before="100" w:beforeAutospacing="1" w:after="100" w:afterAutospacing="1" w:line="240" w:lineRule="auto"/>
        <w:ind w:left="0" w:right="0" w:firstLine="0"/>
        <w:jc w:val="left"/>
        <w:rPr>
          <w:color w:val="auto"/>
          <w:kern w:val="0"/>
          <w:lang w:val="en-US" w:eastAsia="en-US"/>
        </w:rPr>
      </w:pPr>
      <w:r w:rsidRPr="009F36D4">
        <w:rPr>
          <w:color w:val="auto"/>
          <w:kern w:val="0"/>
          <w:lang w:val="en-US" w:eastAsia="en-US"/>
        </w:rPr>
        <w:lastRenderedPageBreak/>
        <w:t>The vulvar–perineal unit is uniquely prone to dermatitis and inflammatory amplification because of its microenvironment. Occlusion, hydration, maceration, friction, and exposure to urine, feces, vaginal secretions, and topical products lower the threshold for irritant injury and facilitate penetration of allergens and medications. This “high-contact, high-occlusion” setting can modify classic dermatologic morphology and obscure diagnostic clues. For example, genital and inverse psoriasis often lacks prominent scale and may instead present with well-demarcated erythema, fissuring, and soreness, which can be confused with infection, irritant dermatitis, or nonspecific intertrigo (Hong et al., 2021). Similarly, eczematous processes may present with burning and rawness more than visible scaling, and repeated application of multiple topical agents can perpetuate a cycle of irritation or sensitization. In this context, an accurate diagnosis frequently depends on integrating distribution (hair-bearing vs mucosal involvement, perineal/perianal extension), morphology (white plaques, erythema, erosions, fissures, hyperkeratosis, pigment change), and a rigorous exposure history, rather than relying on symptoms alone (American College of Obstetricians and Gynecologists’ Committee on Practice Bulletins—Gynecology, 2020).</w:t>
      </w:r>
    </w:p>
    <w:p w14:paraId="502735AA" w14:textId="77777777" w:rsidR="009F36D4" w:rsidRPr="009F36D4" w:rsidRDefault="009F36D4" w:rsidP="009F36D4">
      <w:pPr>
        <w:spacing w:before="100" w:beforeAutospacing="1" w:after="100" w:afterAutospacing="1" w:line="240" w:lineRule="auto"/>
        <w:ind w:left="0" w:right="0" w:firstLine="0"/>
        <w:jc w:val="left"/>
        <w:rPr>
          <w:color w:val="auto"/>
          <w:kern w:val="0"/>
          <w:lang w:val="en-US" w:eastAsia="en-US"/>
        </w:rPr>
      </w:pPr>
      <w:r w:rsidRPr="009F36D4">
        <w:rPr>
          <w:color w:val="auto"/>
          <w:kern w:val="0"/>
          <w:lang w:val="en-US" w:eastAsia="en-US"/>
        </w:rPr>
        <w:t>A life-course perspective provides a clinically useful structure for this integration because both biology and exposures shift substantially across the female lifespan. At different ages, the vulvar epithelium and immune milieu are shaped by changing sex steroid environments, barrier maturation, and tissue susceptibility to friction and irritants. In parallel, the dominant exposures evolve: diapers and wipes in infancy, menstrual products and fragranced cleansing practices in adolescence, lubricants and grooming practices during reproductive years, and later-life incontinence products or chronic topical use. These shifts alter the pretest probability of specific diagnoses and explain why similar symptoms can imply different likely causes in different decades. A structured, stage-aware approach therefore helps reduce misclassification and unnecessary antimicrobial or antifungal use, while improving the targeting of anti-inflammatory therapy and exposure elimination strategies (American College of Obstetricians and Gynecologists’ Committee on Practice Bulletins—Gynecology, 2020).</w:t>
      </w:r>
    </w:p>
    <w:p w14:paraId="0B428CA8" w14:textId="77777777" w:rsidR="009F36D4" w:rsidRPr="009F36D4" w:rsidRDefault="009F36D4" w:rsidP="009F36D4">
      <w:pPr>
        <w:spacing w:before="100" w:beforeAutospacing="1" w:after="100" w:afterAutospacing="1" w:line="240" w:lineRule="auto"/>
        <w:ind w:left="0" w:right="0" w:firstLine="0"/>
        <w:jc w:val="left"/>
        <w:rPr>
          <w:color w:val="auto"/>
          <w:kern w:val="0"/>
          <w:lang w:val="en-US" w:eastAsia="en-US"/>
        </w:rPr>
      </w:pPr>
      <w:r w:rsidRPr="009F36D4">
        <w:rPr>
          <w:color w:val="auto"/>
          <w:kern w:val="0"/>
          <w:lang w:val="en-US" w:eastAsia="en-US"/>
        </w:rPr>
        <w:t xml:space="preserve">Within this life-course framing, chronic inflammatory dermatoses occupy a central position because of their prevalence and long-term consequences. Lichen </w:t>
      </w:r>
      <w:proofErr w:type="spellStart"/>
      <w:r w:rsidRPr="009F36D4">
        <w:rPr>
          <w:color w:val="auto"/>
          <w:kern w:val="0"/>
          <w:lang w:val="en-US" w:eastAsia="en-US"/>
        </w:rPr>
        <w:t>sclerosus</w:t>
      </w:r>
      <w:proofErr w:type="spellEnd"/>
      <w:r w:rsidRPr="009F36D4">
        <w:rPr>
          <w:color w:val="auto"/>
          <w:kern w:val="0"/>
          <w:lang w:val="en-US" w:eastAsia="en-US"/>
        </w:rPr>
        <w:t xml:space="preserve"> is particularly important: it can present with pruritus, soreness, fissuring, dyspareunia, and dysuria, and it may progress to architectural change such as loss of labial folds, clitoral phimosis, and introital narrowing when diagnosis is delayed or therapy is inadequate. Contemporary reviews emphasize that appropriate ultra-potent topical corticosteroid therapy is the cornerstone of treatment and that individualized maintenance regimens are frequently necessary for durable control (Lee &amp; Fischer, 2018). Long-term cohort evidence supports the clinical importance of sustained management and follow-up, linking consistent treatment to improved disease control and mitigation of complications over time (Lee et al., 2015). The stakes of correct recognition are heightened by the established association between lichen </w:t>
      </w:r>
      <w:proofErr w:type="spellStart"/>
      <w:r w:rsidRPr="009F36D4">
        <w:rPr>
          <w:color w:val="auto"/>
          <w:kern w:val="0"/>
          <w:lang w:val="en-US" w:eastAsia="en-US"/>
        </w:rPr>
        <w:t>sclerosus</w:t>
      </w:r>
      <w:proofErr w:type="spellEnd"/>
      <w:r w:rsidRPr="009F36D4">
        <w:rPr>
          <w:color w:val="auto"/>
          <w:kern w:val="0"/>
          <w:lang w:val="en-US" w:eastAsia="en-US"/>
        </w:rPr>
        <w:t xml:space="preserve"> and vulvar squamous cell carcinoma, which underscores the need for longitudinal surveillance and a low threshold for biopsy of new, focal, persistent, or morphologically changing lesions (Bleeker et al., 2016; Lee &amp; Fischer, 2018).</w:t>
      </w:r>
    </w:p>
    <w:p w14:paraId="131AD0F7" w14:textId="77777777" w:rsidR="009F36D4" w:rsidRPr="009F36D4" w:rsidRDefault="009F36D4" w:rsidP="009F36D4">
      <w:pPr>
        <w:spacing w:before="100" w:beforeAutospacing="1" w:after="100" w:afterAutospacing="1" w:line="240" w:lineRule="auto"/>
        <w:ind w:left="0" w:right="0" w:firstLine="0"/>
        <w:jc w:val="left"/>
        <w:rPr>
          <w:color w:val="auto"/>
          <w:kern w:val="0"/>
          <w:lang w:val="en-US" w:eastAsia="en-US"/>
        </w:rPr>
      </w:pPr>
      <w:r w:rsidRPr="009F36D4">
        <w:rPr>
          <w:color w:val="auto"/>
          <w:kern w:val="0"/>
          <w:lang w:val="en-US" w:eastAsia="en-US"/>
        </w:rPr>
        <w:t xml:space="preserve">Eczematous and contact dermatitis phenotypes also contribute substantially to vulvar morbidity and are frequently underdiagnosed. The vulva is exposed to a dense and changing ecosystem of potential irritants and allergens, including surfactants, preservatives, fragrances, topical medications, barrier preparations, lubricants, and product adhesives. A systematic review of vulvar contact dermatitis highlights that both allergic and irritant mechanisms are </w:t>
      </w:r>
      <w:r w:rsidRPr="009F36D4">
        <w:rPr>
          <w:color w:val="auto"/>
          <w:kern w:val="0"/>
          <w:lang w:val="en-US" w:eastAsia="en-US"/>
        </w:rPr>
        <w:lastRenderedPageBreak/>
        <w:t>common, that clinically relevant allergens and irritants can be identified, and that patch testing has an important role when dermatitis is chronic, recurrent, or refractory to appropriate first-line measures (</w:t>
      </w:r>
      <w:proofErr w:type="spellStart"/>
      <w:r w:rsidRPr="009F36D4">
        <w:rPr>
          <w:color w:val="auto"/>
          <w:kern w:val="0"/>
          <w:lang w:val="en-US" w:eastAsia="en-US"/>
        </w:rPr>
        <w:t>Vandeweege</w:t>
      </w:r>
      <w:proofErr w:type="spellEnd"/>
      <w:r w:rsidRPr="009F36D4">
        <w:rPr>
          <w:color w:val="auto"/>
          <w:kern w:val="0"/>
          <w:lang w:val="en-US" w:eastAsia="en-US"/>
        </w:rPr>
        <w:t xml:space="preserve"> et al., 2023). Clinic-based reviews similarly emphasize allergic contact dermatitis as a frequent and often missed contributor to vulvar symptoms, particularly in patients who have tried multiple topical products and thus accumulate sensitization risk (Woodruff et al., 2018). This evidence supports a key clinical principle: treatment failure is often driven less by insufficient anti-inflammatory potency and more by unrecognized ongoing exposure—meaning that simplifying and rationalizing vulvar care practices can be therapeutically decisive (</w:t>
      </w:r>
      <w:proofErr w:type="spellStart"/>
      <w:r w:rsidRPr="009F36D4">
        <w:rPr>
          <w:color w:val="auto"/>
          <w:kern w:val="0"/>
          <w:lang w:val="en-US" w:eastAsia="en-US"/>
        </w:rPr>
        <w:t>Vandeweege</w:t>
      </w:r>
      <w:proofErr w:type="spellEnd"/>
      <w:r w:rsidRPr="009F36D4">
        <w:rPr>
          <w:color w:val="auto"/>
          <w:kern w:val="0"/>
          <w:lang w:val="en-US" w:eastAsia="en-US"/>
        </w:rPr>
        <w:t xml:space="preserve"> et al., 2023; Woodruff et al., 2018).</w:t>
      </w:r>
    </w:p>
    <w:p w14:paraId="06CF5599" w14:textId="77777777" w:rsidR="009F36D4" w:rsidRPr="009F36D4" w:rsidRDefault="009F36D4" w:rsidP="009F36D4">
      <w:pPr>
        <w:spacing w:before="100" w:beforeAutospacing="1" w:after="100" w:afterAutospacing="1" w:line="240" w:lineRule="auto"/>
        <w:ind w:left="0" w:right="0" w:firstLine="0"/>
        <w:jc w:val="left"/>
        <w:rPr>
          <w:color w:val="auto"/>
          <w:kern w:val="0"/>
          <w:lang w:val="en-US" w:eastAsia="en-US"/>
        </w:rPr>
      </w:pPr>
      <w:r w:rsidRPr="009F36D4">
        <w:rPr>
          <w:color w:val="auto"/>
          <w:kern w:val="0"/>
          <w:lang w:val="en-US" w:eastAsia="en-US"/>
        </w:rPr>
        <w:t>The clinical overlap between benign inflammatory dermatoses and neoplastic processes further justifies a careful, morphology-driven approach. Persistent focal symptoms or lesions that do not respond to diagnosis-appropriate therapy should prompt reconsideration of the differential and, when indicated, biopsy to exclude premalignant or malignant disease (American College of Obstetricians and Gynecologists’ Committee on Practice Bulletins—Gynecology, 2020; Bleeker et al., 2016). In practice, this means resisting the temptation to interpret chronic pruritus or burning as “just irritation,” especially when accompanied by architectural change, hyperkeratosis, induration, ulceration, or evolving pigmentation (Lee &amp; Fischer, 2018).</w:t>
      </w:r>
    </w:p>
    <w:p w14:paraId="5B137518" w14:textId="77777777" w:rsidR="009F36D4" w:rsidRPr="009F36D4" w:rsidRDefault="009F36D4" w:rsidP="009F36D4">
      <w:pPr>
        <w:spacing w:before="100" w:beforeAutospacing="1" w:after="100" w:afterAutospacing="1" w:line="240" w:lineRule="auto"/>
        <w:ind w:left="0" w:right="0" w:firstLine="0"/>
        <w:jc w:val="left"/>
        <w:outlineLvl w:val="2"/>
        <w:rPr>
          <w:b/>
          <w:bCs/>
          <w:color w:val="auto"/>
          <w:kern w:val="0"/>
          <w:sz w:val="27"/>
          <w:szCs w:val="27"/>
          <w:lang w:val="en-US" w:eastAsia="en-US"/>
        </w:rPr>
      </w:pPr>
      <w:r w:rsidRPr="009F36D4">
        <w:rPr>
          <w:b/>
          <w:bCs/>
          <w:color w:val="auto"/>
          <w:kern w:val="0"/>
          <w:sz w:val="27"/>
          <w:szCs w:val="27"/>
          <w:lang w:val="en-US" w:eastAsia="en-US"/>
        </w:rPr>
        <w:t>1.1. Scope and objective of the article</w:t>
      </w:r>
    </w:p>
    <w:p w14:paraId="1480017F" w14:textId="77777777" w:rsidR="009F36D4" w:rsidRPr="009F36D4" w:rsidRDefault="009F36D4" w:rsidP="009F36D4">
      <w:pPr>
        <w:spacing w:before="100" w:beforeAutospacing="1" w:after="100" w:afterAutospacing="1" w:line="240" w:lineRule="auto"/>
        <w:ind w:left="0" w:right="0" w:firstLine="0"/>
        <w:jc w:val="left"/>
        <w:rPr>
          <w:color w:val="auto"/>
          <w:kern w:val="0"/>
          <w:lang w:val="en-US" w:eastAsia="en-US"/>
        </w:rPr>
      </w:pPr>
      <w:r w:rsidRPr="009F36D4">
        <w:rPr>
          <w:color w:val="auto"/>
          <w:kern w:val="0"/>
          <w:lang w:val="en-US" w:eastAsia="en-US"/>
        </w:rPr>
        <w:t>This review synthesizes contemporary evidence on vulvar and perineal dermatoses across the female life course with four objectives: (</w:t>
      </w:r>
      <w:proofErr w:type="spellStart"/>
      <w:r w:rsidRPr="009F36D4">
        <w:rPr>
          <w:color w:val="auto"/>
          <w:kern w:val="0"/>
          <w:lang w:val="en-US" w:eastAsia="en-US"/>
        </w:rPr>
        <w:t>i</w:t>
      </w:r>
      <w:proofErr w:type="spellEnd"/>
      <w:r w:rsidRPr="009F36D4">
        <w:rPr>
          <w:color w:val="auto"/>
          <w:kern w:val="0"/>
          <w:lang w:val="en-US" w:eastAsia="en-US"/>
        </w:rPr>
        <w:t xml:space="preserve">) to explain how age-related biology and changing exposures shape disease susceptibility and clinical phenotype; (ii) to outline a structured, morphology- and risk-based diagnostic approach, including indications for patch testing and biopsy; (iii) to summarize evidence-informed management strategies for common inflammatory vulvar dermatoses with attention to life-stage tailoring; and (iv) to emphasize longitudinal follow-up principles for high-impact disorders, including lichen </w:t>
      </w:r>
      <w:proofErr w:type="spellStart"/>
      <w:r w:rsidRPr="009F36D4">
        <w:rPr>
          <w:color w:val="auto"/>
          <w:kern w:val="0"/>
          <w:lang w:val="en-US" w:eastAsia="en-US"/>
        </w:rPr>
        <w:t>sclerosus</w:t>
      </w:r>
      <w:proofErr w:type="spellEnd"/>
      <w:r w:rsidRPr="009F36D4">
        <w:rPr>
          <w:color w:val="auto"/>
          <w:kern w:val="0"/>
          <w:lang w:val="en-US" w:eastAsia="en-US"/>
        </w:rPr>
        <w:t xml:space="preserve"> and chronic dermatitis, to reduce scarring, symptom burden, and missed neoplasia risk (American College of Obstetricians and Gynecologists’ Committee on Practice Bulletins—Gynecology, 2020; Bleeker et al., 2016; Hong et al., 2021; Lee &amp; Fischer, 2018; Lee et al., 2015; </w:t>
      </w:r>
      <w:proofErr w:type="spellStart"/>
      <w:r w:rsidRPr="009F36D4">
        <w:rPr>
          <w:color w:val="auto"/>
          <w:kern w:val="0"/>
          <w:lang w:val="en-US" w:eastAsia="en-US"/>
        </w:rPr>
        <w:t>Vandeweege</w:t>
      </w:r>
      <w:proofErr w:type="spellEnd"/>
      <w:r w:rsidRPr="009F36D4">
        <w:rPr>
          <w:color w:val="auto"/>
          <w:kern w:val="0"/>
          <w:lang w:val="en-US" w:eastAsia="en-US"/>
        </w:rPr>
        <w:t xml:space="preserve"> et al., 2023; Woodruff et al., 2018).</w:t>
      </w:r>
    </w:p>
    <w:p w14:paraId="0DC62E92" w14:textId="77777777" w:rsidR="00DC6E1F" w:rsidRPr="00DC6E1F" w:rsidRDefault="00DC6E1F" w:rsidP="00DC6E1F">
      <w:pPr>
        <w:rPr>
          <w:lang w:val="en-GB"/>
        </w:rPr>
      </w:pPr>
    </w:p>
    <w:p w14:paraId="06F54AD1" w14:textId="77777777" w:rsidR="00DC6E1F" w:rsidRPr="00DC6E1F" w:rsidRDefault="00DC6E1F" w:rsidP="00DC6E1F">
      <w:pPr>
        <w:pStyle w:val="Heading2"/>
        <w:rPr>
          <w:lang w:val="en-GB"/>
        </w:rPr>
      </w:pPr>
      <w:r w:rsidRPr="00DC6E1F">
        <w:rPr>
          <w:lang w:val="en-GB"/>
        </w:rPr>
        <w:t>2. Methods for literature selection</w:t>
      </w:r>
    </w:p>
    <w:p w14:paraId="0B43FB1C" w14:textId="77777777" w:rsidR="00DC6E1F" w:rsidRPr="00DC6E1F" w:rsidRDefault="00DC6E1F" w:rsidP="00DC6E1F">
      <w:pPr>
        <w:pStyle w:val="NormalWeb"/>
        <w:rPr>
          <w:lang w:val="en-GB"/>
        </w:rPr>
      </w:pPr>
      <w:r w:rsidRPr="00DC6E1F">
        <w:rPr>
          <w:lang w:val="en-GB"/>
        </w:rPr>
        <w:t xml:space="preserve">A structured search was performed in PubMed, Scopus, Web of Science, and Google Scholar for publications dated January 2000 through December 2025. Search strings combined anatomic terms with disease terms using Boolean logic, including (“vulvar” OR “vulval” OR “anogenital” OR “perineal” OR “perianal”) AND (“dermatosis” OR “dermatitis” OR “eczema” OR “contact dermatitis” OR “lichen </w:t>
      </w:r>
      <w:proofErr w:type="spellStart"/>
      <w:r w:rsidRPr="00DC6E1F">
        <w:rPr>
          <w:lang w:val="en-GB"/>
        </w:rPr>
        <w:t>sclerosus</w:t>
      </w:r>
      <w:proofErr w:type="spellEnd"/>
      <w:r w:rsidRPr="00DC6E1F">
        <w:rPr>
          <w:lang w:val="en-GB"/>
        </w:rPr>
        <w:t>” OR “lichen planus” OR “psoriasis” OR “lichen simplex” OR “intraepithelial neoplasia” OR “melanoma”). Additional searches included life-stage modifiers (“childhood,” “adolescent,” “pregnancy,” “postpartum,” “menopause”). Inclusion criteria prioritized peer-reviewed systematic reviews, randomized controlled trials, cohort studies, major clinical guidance documents, and clinically focused reviews with explicit vulvar/perineal relevance. Exclusion criteria included non-peer-</w:t>
      </w:r>
      <w:r w:rsidRPr="00DC6E1F">
        <w:rPr>
          <w:lang w:val="en-GB"/>
        </w:rPr>
        <w:lastRenderedPageBreak/>
        <w:t>reviewed commentary, articles without direct applicability to vulvar/perineal disease, and publications lacking sufficient diagnostic or management detail for synthesis. Reference lists of high-yield papers were screened to identify additional eligible studies.</w:t>
      </w:r>
    </w:p>
    <w:p w14:paraId="4A052A14" w14:textId="77777777" w:rsidR="00DC6E1F" w:rsidRPr="00DC6E1F" w:rsidRDefault="00DC6E1F" w:rsidP="00DC6E1F">
      <w:pPr>
        <w:rPr>
          <w:lang w:val="en-GB"/>
        </w:rPr>
      </w:pPr>
    </w:p>
    <w:p w14:paraId="432C10FD"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t>3. Life-course biology of the vulvar–perineal unit</w:t>
      </w:r>
    </w:p>
    <w:p w14:paraId="0C949DF1"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The vulvar–perineal unit is a tightly integrated anatomic and functional region composed of keratinized hair-bearing skin (primarily labia majora and much of the perineum), modified mucosa (labia minora), and the nonkeratinized mucosa of the vestibule. This mosaic architecture creates sharp transitions in epithelial thickness, keratinization, hydration, and barrier lipid composition within a small surface area. As a result, the same inflammatory process may manifest with scale and </w:t>
      </w:r>
      <w:proofErr w:type="spellStart"/>
      <w:r w:rsidRPr="00450F37">
        <w:rPr>
          <w:color w:val="auto"/>
          <w:kern w:val="0"/>
          <w:lang w:val="en-US" w:eastAsia="en-US"/>
        </w:rPr>
        <w:t>lichenification</w:t>
      </w:r>
      <w:proofErr w:type="spellEnd"/>
      <w:r w:rsidRPr="00450F37">
        <w:rPr>
          <w:color w:val="auto"/>
          <w:kern w:val="0"/>
          <w:lang w:val="en-US" w:eastAsia="en-US"/>
        </w:rPr>
        <w:t xml:space="preserve"> on keratinized areas while appearing as glazed erythema, fissuring, or erosions on vestibular mucosa. The region’s baseline environment further amplifies these differences: occlusion from apposed skin surfaces, high ambient moisture, and repeated friction during daily activity are physiologic norms rather than exceptions. These features help explain why genital inflammatory disease often appears more painful and fissure-prone than extragenital counterparts, and why classic morphologic clues can be muted or altered.</w:t>
      </w:r>
    </w:p>
    <w:p w14:paraId="3C7BECD6"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Occlusion and friction are particularly influential “morphology modifiers.” In psoriasis, for example, the intertriginous and genital presentations are frequently less scaly and more erythematous, tender, and fissured because maceration reduces visible scale and mechanical stress accentuates cracking and soreness. This phenotype distortion is a major reason genital psoriasis is misattributed to infection or nonspecific irritation, especially when lesions are confined to the vulva or perineum and the patient has little or no overt plaque disease elsewhere (Hong et al., 2021). The same principles apply to eczematous disease: irritant injury can appear as diffuse erythema and burning with subtle surface change, while chronic scratching in response to itch can yield secondary </w:t>
      </w:r>
      <w:proofErr w:type="spellStart"/>
      <w:r w:rsidRPr="00450F37">
        <w:rPr>
          <w:color w:val="auto"/>
          <w:kern w:val="0"/>
          <w:lang w:val="en-US" w:eastAsia="en-US"/>
        </w:rPr>
        <w:t>lichenification</w:t>
      </w:r>
      <w:proofErr w:type="spellEnd"/>
      <w:r w:rsidRPr="00450F37">
        <w:rPr>
          <w:color w:val="auto"/>
          <w:kern w:val="0"/>
          <w:lang w:val="en-US" w:eastAsia="en-US"/>
        </w:rPr>
        <w:t xml:space="preserve"> that obscures the initiating process. The local neuro-sensory milieu also matters; the vulvar region is richly innervated, and </w:t>
      </w:r>
      <w:proofErr w:type="spellStart"/>
      <w:r w:rsidRPr="00450F37">
        <w:rPr>
          <w:color w:val="auto"/>
          <w:kern w:val="0"/>
          <w:lang w:val="en-US" w:eastAsia="en-US"/>
        </w:rPr>
        <w:t>microfissures</w:t>
      </w:r>
      <w:proofErr w:type="spellEnd"/>
      <w:r w:rsidRPr="00450F37">
        <w:rPr>
          <w:color w:val="auto"/>
          <w:kern w:val="0"/>
          <w:lang w:val="en-US" w:eastAsia="en-US"/>
        </w:rPr>
        <w:t xml:space="preserve"> or vestibular inflammation may produce disproportionate symptoms even when visible findings are modest.</w:t>
      </w:r>
    </w:p>
    <w:p w14:paraId="79398FC0"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Hormonal transitions across the female life course reshape the tissue substrate on which disease occurs. Estrogen influences epithelial maturation, hydration, collagen organization, and resilience to frictional trauma. Menopause, in particular, is associated with increased fragility, dryness, and symptom overlap between hypoestrogenic vulnerability states and inflammatory dermatoses, which can blur diagnostic boundaries and create mixed etiologies in the same patient. Clinically, the same person may have menopausal vulnerability contributing to burning and fissuring while also harboring an inflammatory dermatosis such as contact dermatitis or lichen </w:t>
      </w:r>
      <w:proofErr w:type="spellStart"/>
      <w:r w:rsidRPr="00450F37">
        <w:rPr>
          <w:color w:val="auto"/>
          <w:kern w:val="0"/>
          <w:lang w:val="en-US" w:eastAsia="en-US"/>
        </w:rPr>
        <w:t>sclerosus</w:t>
      </w:r>
      <w:proofErr w:type="spellEnd"/>
      <w:r w:rsidRPr="00450F37">
        <w:rPr>
          <w:color w:val="auto"/>
          <w:kern w:val="0"/>
          <w:lang w:val="en-US" w:eastAsia="en-US"/>
        </w:rPr>
        <w:t xml:space="preserve"> that requires targeted anti-inflammatory therapy and long-term follow-up (</w:t>
      </w:r>
      <w:proofErr w:type="spellStart"/>
      <w:r w:rsidRPr="00450F37">
        <w:rPr>
          <w:color w:val="auto"/>
          <w:kern w:val="0"/>
          <w:lang w:val="en-US" w:eastAsia="en-US"/>
        </w:rPr>
        <w:t>Musbahi</w:t>
      </w:r>
      <w:proofErr w:type="spellEnd"/>
      <w:r w:rsidRPr="00450F37">
        <w:rPr>
          <w:color w:val="auto"/>
          <w:kern w:val="0"/>
          <w:lang w:val="en-US" w:eastAsia="en-US"/>
        </w:rPr>
        <w:t xml:space="preserve"> et al., 2022). This overlap is not merely symptomatic; thinning and microtrauma can facilitate irritant penetration and amplify local immune activation, lowering the threshold for flares and making previously tolerated products suddenly problematic.</w:t>
      </w:r>
    </w:p>
    <w:p w14:paraId="304CB9ED"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Changing exposures across life stages are as biologically consequential as changing hormones. The vulvar–perineal unit is among the highest-contact sites for personal care </w:t>
      </w:r>
      <w:r w:rsidRPr="00450F37">
        <w:rPr>
          <w:color w:val="auto"/>
          <w:kern w:val="0"/>
          <w:lang w:val="en-US" w:eastAsia="en-US"/>
        </w:rPr>
        <w:lastRenderedPageBreak/>
        <w:t>products, topical medications, and occlusive materials. In early life, diaper occlusion and cleansing routines dominate; in adolescence and reproductive years, menstrual products, fragranced cleansers, lubricants, condoms, hair-removal practices, and recurrent topical “self-treatment” are common; in later life, incontinence products and chronic topical use may become major exposure drivers. This exposure density increases both irritant burden and the probability of allergic sensitization. Contemporary synthesis emphasizes that allergic and irritant contact dermatitis are common in vulvar disease, and that identifying relevant allergens/irritants—often through patch testing in persistent or refractory cases—can materially change outcomes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Clinic-focused reviews likewise highlight that vulvar allergic contact dermatitis is frequently overlooked and that patients often accumulate sensitization risk through repeated, unsupervised application of multiple topical agents (Woodruff et al., 2018). From a life-course standpoint, this means that “new-onset” vulvar symptoms may reflect not only new disease but also a newly changed exposure landscape or a barrier that has become more permeable with age or inflammation.</w:t>
      </w:r>
    </w:p>
    <w:p w14:paraId="0A8598A3"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Immune and inflammatory set-points may also vary with life stage, influencing phenotype expression and disease persistence. In the anogenital area, repeated microtrauma and maceration can create a low-grade inflammatory background that magnifies responses to irritants and allergens. When chronic inflammation is present, the clinical consequences extend beyond symptoms: certain vulvar dermatoses are linked to architectural change and malignant risk pathways, requiring a life-course view that integrates immediate comfort with long-term tissue preservation and surveillance. Lichen </w:t>
      </w:r>
      <w:proofErr w:type="spellStart"/>
      <w:r w:rsidRPr="00450F37">
        <w:rPr>
          <w:color w:val="auto"/>
          <w:kern w:val="0"/>
          <w:lang w:val="en-US" w:eastAsia="en-US"/>
        </w:rPr>
        <w:t>sclerosus</w:t>
      </w:r>
      <w:proofErr w:type="spellEnd"/>
      <w:r w:rsidRPr="00450F37">
        <w:rPr>
          <w:color w:val="auto"/>
          <w:kern w:val="0"/>
          <w:lang w:val="en-US" w:eastAsia="en-US"/>
        </w:rPr>
        <w:t xml:space="preserve"> is a defining example. It is commonly recognized in peri- and </w:t>
      </w:r>
      <w:proofErr w:type="spellStart"/>
      <w:r w:rsidRPr="00450F37">
        <w:rPr>
          <w:color w:val="auto"/>
          <w:kern w:val="0"/>
          <w:lang w:val="en-US" w:eastAsia="en-US"/>
        </w:rPr>
        <w:t>postmenopause</w:t>
      </w:r>
      <w:proofErr w:type="spellEnd"/>
      <w:r w:rsidRPr="00450F37">
        <w:rPr>
          <w:color w:val="auto"/>
          <w:kern w:val="0"/>
          <w:lang w:val="en-US" w:eastAsia="en-US"/>
        </w:rPr>
        <w:t xml:space="preserve">, but it can occur at other ages and may produce progressive scarring and permanent architectural distortion when untreated. Evidence-based dermatologic updates emphasize the importance of accurate diagnosis, appropriate high-potency topical corticosteroid therapy, and individualized maintenance strategies to control inflammation and limit scarring (Lee &amp; Fischer, 2018). Importantly, lichen </w:t>
      </w:r>
      <w:proofErr w:type="spellStart"/>
      <w:r w:rsidRPr="00450F37">
        <w:rPr>
          <w:color w:val="auto"/>
          <w:kern w:val="0"/>
          <w:lang w:val="en-US" w:eastAsia="en-US"/>
        </w:rPr>
        <w:t>sclerosus</w:t>
      </w:r>
      <w:proofErr w:type="spellEnd"/>
      <w:r w:rsidRPr="00450F37">
        <w:rPr>
          <w:color w:val="auto"/>
          <w:kern w:val="0"/>
          <w:lang w:val="en-US" w:eastAsia="en-US"/>
        </w:rPr>
        <w:t xml:space="preserve"> is associated with increased risk of vulvar squamous cell carcinoma, reinforcing the need for longitudinal monitoring and a low threshold for biopsy of suspicious or changing lesions (Bleeker et al., 2016; Lee &amp; Fischer, 2018). This risk linkage makes life-course biology clinically operational: the clinician must treat today’s inflammation while also planning for years of surveillance and patient education.</w:t>
      </w:r>
    </w:p>
    <w:p w14:paraId="423D4908"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Finally, life-course biology highlights why the vulvar–perineal unit is prone to diagnostic “noise.” Morphology is altered by occlusion; symptoms are amplified by innervation and </w:t>
      </w:r>
      <w:proofErr w:type="spellStart"/>
      <w:r w:rsidRPr="00450F37">
        <w:rPr>
          <w:color w:val="auto"/>
          <w:kern w:val="0"/>
          <w:lang w:val="en-US" w:eastAsia="en-US"/>
        </w:rPr>
        <w:t>microfissuring</w:t>
      </w:r>
      <w:proofErr w:type="spellEnd"/>
      <w:r w:rsidRPr="00450F37">
        <w:rPr>
          <w:color w:val="auto"/>
          <w:kern w:val="0"/>
          <w:lang w:val="en-US" w:eastAsia="en-US"/>
        </w:rPr>
        <w:t>; exposures are dense and dynamic; and hormonal transitions can both mimic and magnify inflammatory disease. These factors create a setting where single-cause explanations often fail. A patient may simultaneously have a baseline inflammatory disorder (such as psoriasis), superimposed irritant or allergic dermatitis from products, and life-stage–related fragility that intensifies pain and fissuring. Recognizing this layered biology helps avoid the common clinical trap of cycling through antimicrobials or single-agent topical strategies without addressing barrier function and exposure ecology. It also clarifies why patch testing has a meaningful role in selected patients and why vigilant follow-up is essential for conditions that threaten architecture or carry malignant risk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Woodruff et al., 2018; Bleeker et al., 2016; Lee &amp; Fischer, 2018). In sum, the vulvar–perineal unit is not simply “skin in a different location” but a uniquely vulnerable interface shaped by occlusion, friction, hormones, exposures, and risk—factors that evolve across the female life course and must be explicitly integrated into diagnosis and management (Hong et al., 2021; </w:t>
      </w:r>
      <w:proofErr w:type="spellStart"/>
      <w:r w:rsidRPr="00450F37">
        <w:rPr>
          <w:color w:val="auto"/>
          <w:kern w:val="0"/>
          <w:lang w:val="en-US" w:eastAsia="en-US"/>
        </w:rPr>
        <w:t>Musbahi</w:t>
      </w:r>
      <w:proofErr w:type="spellEnd"/>
      <w:r w:rsidRPr="00450F37">
        <w:rPr>
          <w:color w:val="auto"/>
          <w:kern w:val="0"/>
          <w:lang w:val="en-US" w:eastAsia="en-US"/>
        </w:rPr>
        <w:t xml:space="preserve"> et al., 2022).</w:t>
      </w:r>
    </w:p>
    <w:p w14:paraId="44278B00" w14:textId="77777777" w:rsidR="00DC6E1F" w:rsidRPr="00DC6E1F" w:rsidRDefault="00DC6E1F" w:rsidP="00DC6E1F">
      <w:pPr>
        <w:rPr>
          <w:lang w:val="en-GB"/>
        </w:rPr>
      </w:pPr>
    </w:p>
    <w:p w14:paraId="3C0C69B3"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t>4. Diagnostic framework: symptom pathways, morphology, and targeted testing</w:t>
      </w:r>
    </w:p>
    <w:p w14:paraId="433FC4AE"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Vulvar and perineal complaints are often clinically “high signal, low specificity.” Pruritus, burning, pain, dyspareunia, and dysuria are common entry symptoms, yet they arise from diverse etiologies that include eczematous disease, lichenoid disorders, psoriasis, hypoestrogenic fragility states, neuropathic pain syndromes, and premalignant or malignant disease. Because symptom pathways overlap so extensively, guideline-based care emphasizes that symptoms should prompt structured evaluation rather than empiric cycling through antifungals or antimicrobials, particularly when symptoms recur or persist (American College of Obstetricians and Gynecologists’ Committee on Practice Bulletins—Gynecology, 2020). A diagnostic framework that integrates life stage, exposures, distribution, morphology, and risk factors reduces both underdiagnosis of inflammatory dermatoses and missed neoplastic change.</w:t>
      </w:r>
    </w:p>
    <w:p w14:paraId="00691A16"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 careful history should first translate symptoms into a timeline and pattern. Acute onset following a new product, lubricant, pad, incontinence insert, topical medication, or hygiene routine strongly suggests irritant or allergic contact dermatitis, whereas an insidious course with progressive fissuring, pallor, or architectural change increases suspicion for lichen </w:t>
      </w:r>
      <w:proofErr w:type="spellStart"/>
      <w:r w:rsidRPr="00450F37">
        <w:rPr>
          <w:color w:val="auto"/>
          <w:kern w:val="0"/>
          <w:lang w:val="en-US" w:eastAsia="en-US"/>
        </w:rPr>
        <w:t>sclerosus</w:t>
      </w:r>
      <w:proofErr w:type="spellEnd"/>
      <w:r w:rsidRPr="00450F37">
        <w:rPr>
          <w:color w:val="auto"/>
          <w:kern w:val="0"/>
          <w:lang w:val="en-US" w:eastAsia="en-US"/>
        </w:rPr>
        <w:t xml:space="preserve"> (Lee &amp; Fischer, 2018). Symptoms that flare with sweating, heat, friction, or tight clothing can occur in both dermatitis and psoriasis, but psoriasis is more likely when lesions are sharply demarcated, recurrent in the same sites, and associated with personal or family history of psoriasis—even if extragenital plaques are absent. Importantly, genital and inverse psoriasis often lacks scale because maceration and friction alter morphology; this “scale-poor, erythema-rich” presentation is a major cause of misdiagnosis as infection or nonspecific irritation (Hong et al., 2021). By contrast, severe burning and dyspareunia with erosions and vestibular involvement should raise concern for erosive vulvovaginal lichen planus, which may also involve vaginal mucosa and lead to scarring or adhesions over time (Dubey &amp; Fischer, 2019).</w:t>
      </w:r>
    </w:p>
    <w:p w14:paraId="5B1A6D6C"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Exposure history is not a minor adjunct but a central diagnostic tool. Patients with chronic vulvar symptoms often have accumulated exposures through repeated self-treatment—multiple cleansers, wipes, barrier creams, topical anesthetics, over-the-counter antifungals, and prescription products—creating both irritant overload and sensitization risk. Systematic evidence indicates that vulvar contact dermatitis is common, that key allergens/irritants can be identified, and that patch testing has a meaningful role in persistent or refractory disease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Clinic-focused work further emphasizes that allergic contact dermatitis of the vulva is frequently overlooked, in part because symptoms overlap with infection and because the vulvar region is particularly susceptible to sensitization due to occlusion and barrier disruption (Woodruff et al., 2018). A structured “topical inventory” should therefore record every applied product, the vehicle (ointment, cream, gel, wipe), frequency, duration, and whether symptoms improved, worsened, or changed with use.</w:t>
      </w:r>
    </w:p>
    <w:p w14:paraId="1FE4A141"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Physical examination must be morphology-driven and anatomically explicit. A practical approach is to document distribution across hair-bearing labia majora, labia minora, vestibule, perineum, and perianal region, and to note whether findings are symmetric or focal. </w:t>
      </w:r>
      <w:r w:rsidRPr="00450F37">
        <w:rPr>
          <w:color w:val="auto"/>
          <w:kern w:val="0"/>
          <w:lang w:val="en-US" w:eastAsia="en-US"/>
        </w:rPr>
        <w:lastRenderedPageBreak/>
        <w:t xml:space="preserve">Primary morphologies should be described precisely, including erythema, edema, scaling, </w:t>
      </w:r>
      <w:proofErr w:type="spellStart"/>
      <w:r w:rsidRPr="00450F37">
        <w:rPr>
          <w:color w:val="auto"/>
          <w:kern w:val="0"/>
          <w:lang w:val="en-US" w:eastAsia="en-US"/>
        </w:rPr>
        <w:t>lichenification</w:t>
      </w:r>
      <w:proofErr w:type="spellEnd"/>
      <w:r w:rsidRPr="00450F37">
        <w:rPr>
          <w:color w:val="auto"/>
          <w:kern w:val="0"/>
          <w:lang w:val="en-US" w:eastAsia="en-US"/>
        </w:rPr>
        <w:t xml:space="preserve">, fissures, erosions, ulceration, hyperkeratosis, purpura/ecchymosis, pallor/whitening, dyspigmentation, and induration. In suspected lichen </w:t>
      </w:r>
      <w:proofErr w:type="spellStart"/>
      <w:r w:rsidRPr="00450F37">
        <w:rPr>
          <w:color w:val="auto"/>
          <w:kern w:val="0"/>
          <w:lang w:val="en-US" w:eastAsia="en-US"/>
        </w:rPr>
        <w:t>sclerosus</w:t>
      </w:r>
      <w:proofErr w:type="spellEnd"/>
      <w:r w:rsidRPr="00450F37">
        <w:rPr>
          <w:color w:val="auto"/>
          <w:kern w:val="0"/>
          <w:lang w:val="en-US" w:eastAsia="en-US"/>
        </w:rPr>
        <w:t>, examination should specifically assess for porcelain-white plaques, tissue fragility with fissuring, and architectural change such as resorption of labia minora or clitoral hood involvement, because early recognition and appropriate therapy can limit scarring and preserve function (Lee &amp; Fischer, 2018). In psoriasis, clinicians should recognize that occlusion reduces scale and that lesions may appear as well-demarcated erythema with fissuring rather than classic plaques, a pattern emphasized in contemporary therapy reviews for genital and inverse psoriasis (Hong et al., 2021).</w:t>
      </w:r>
    </w:p>
    <w:p w14:paraId="210AF463"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The clinician’s diagnostic confidence should determine targeted testing. Biopsy is not required for every inflammatory presentation, but it should be pursued with a low threshold when lesions are focal, persistent, atypical, ulcerated, indurated, hyperkeratotic, or pigmented with suspicious evolution, or when symptoms persist despite appropriate diagnosis-based therapy. This principle is especially important in lichen </w:t>
      </w:r>
      <w:proofErr w:type="spellStart"/>
      <w:r w:rsidRPr="00450F37">
        <w:rPr>
          <w:color w:val="auto"/>
          <w:kern w:val="0"/>
          <w:lang w:val="en-US" w:eastAsia="en-US"/>
        </w:rPr>
        <w:t>sclerosus</w:t>
      </w:r>
      <w:proofErr w:type="spellEnd"/>
      <w:r w:rsidRPr="00450F37">
        <w:rPr>
          <w:color w:val="auto"/>
          <w:kern w:val="0"/>
          <w:lang w:val="en-US" w:eastAsia="en-US"/>
        </w:rPr>
        <w:t xml:space="preserve">, given the established association with vulvar squamous cell carcinoma and the need to evaluate new focal changes that may represent malignant transformation (Bleeker et al., 2016; Lee &amp; Fischer, 2018). Epidemiologic evidence supports that lichen </w:t>
      </w:r>
      <w:proofErr w:type="spellStart"/>
      <w:r w:rsidRPr="00450F37">
        <w:rPr>
          <w:color w:val="auto"/>
          <w:kern w:val="0"/>
          <w:lang w:val="en-US" w:eastAsia="en-US"/>
        </w:rPr>
        <w:t>sclerosus</w:t>
      </w:r>
      <w:proofErr w:type="spellEnd"/>
      <w:r w:rsidRPr="00450F37">
        <w:rPr>
          <w:color w:val="auto"/>
          <w:kern w:val="0"/>
          <w:lang w:val="en-US" w:eastAsia="en-US"/>
        </w:rPr>
        <w:t xml:space="preserve"> carries increased cancer risk, reinforcing long-term vigilance and the role of biopsy in evolving or refractory lesions (Bleeker et al., 2016). Similarly, persistent erosions or severe vestibular pain should prompt reconsideration of erosive lichen planus and, when needed, tissue sampling to confirm diagnosis and exclude neoplasia in therapy-resistant areas (Dubey &amp; Fischer, 2019).</w:t>
      </w:r>
    </w:p>
    <w:p w14:paraId="3C4E2F2A"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Patch testing is a key targeted test when contact dermatitis is suspected or when dermatitis fails to respond as expected. Systematic review evidence emphasizes that patch testing can identify clinically relevant allergens and irritants in vulvar disease, guiding avoidance strategies and preventing continued exposure that perpetuates symptoms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In practice, patch testing is particularly valuable when symptoms correlate with product use, when dermatitis is recurrent despite careful barrier care, or when patients have used numerous topical medications—some of which contain sensitizing preservatives, fragrances, or topical antibiotics. Clinic-based review literature supports this strategy, noting that vulvar allergic contact dermatitis may be missed unless clinicians intentionally pursue allergen identification (Woodruff et al., 2018).</w:t>
      </w:r>
    </w:p>
    <w:p w14:paraId="1E7436C0"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Finally, diagnostic strategy should account for the possibility of layered etiologies rather than forcing single-label explanations. A patient may have baseline psoriasis with superimposed irritant dermatitis from cleansing practices, or lichen </w:t>
      </w:r>
      <w:proofErr w:type="spellStart"/>
      <w:r w:rsidRPr="00450F37">
        <w:rPr>
          <w:color w:val="auto"/>
          <w:kern w:val="0"/>
          <w:lang w:val="en-US" w:eastAsia="en-US"/>
        </w:rPr>
        <w:t>sclerosus</w:t>
      </w:r>
      <w:proofErr w:type="spellEnd"/>
      <w:r w:rsidRPr="00450F37">
        <w:rPr>
          <w:color w:val="auto"/>
          <w:kern w:val="0"/>
          <w:lang w:val="en-US" w:eastAsia="en-US"/>
        </w:rPr>
        <w:t xml:space="preserve"> complicated by contact dermatitis from topical products used to self-treat itch. Guidelines encourage comprehensive assessment and tailored management rather than repetitive empiricism, reflecting the reality that vulvar symptoms often represent interacting biologic and exposure-driven processes (American College of Obstetricians and Gynecologists’ Committee on Practice Bulletins—Gynecology, 2020). The aim of a life-course, morphology-based diagnostic framework is not only to name a condition but to identify the dominant drivers of symptoms, the modifiable exposures sustaining inflammation, and the risk flags that mandate biopsy and surveillance.</w:t>
      </w:r>
    </w:p>
    <w:p w14:paraId="6B652B14" w14:textId="77777777" w:rsidR="00DC6E1F" w:rsidRPr="00DC6E1F" w:rsidRDefault="00DC6E1F" w:rsidP="00DC6E1F">
      <w:pPr>
        <w:rPr>
          <w:lang w:val="en-GB"/>
        </w:rPr>
      </w:pPr>
    </w:p>
    <w:p w14:paraId="23329B79"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t>5. Childhood and adolescence</w:t>
      </w:r>
    </w:p>
    <w:p w14:paraId="67833883"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lastRenderedPageBreak/>
        <w:t>Vulvar and perineal dermatoses in childhood and adolescence are shaped by rapid changes in epithelial barrier function, evolving hygiene and product exposures, and the developmental context in which symptoms are perceived, communicated, and examined. Across these early life stages, the same symptom—most often pruritus, soreness, burning, dysuria, or pain with wiping—may signal conditions that range from straightforward irritant dermatitis to inflammatory disease requiring prolonged therapy and follow-up. A life-course lens is particularly valuable here because exposures and tissue vulnerability change quickly between infancy, prepuberty, and adolescence, and because delayed recognition can lead to avoidable morbidity, including sleep disruption, toileting avoidance, distress, and—when scarring conditions occur—longer-term anatomic or functional consequences.</w:t>
      </w:r>
    </w:p>
    <w:p w14:paraId="301BE557"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In infancy and early childhood, irritant dermatitis remains a dominant pathway because diapers create sustained occlusion with repeated exposure to urine and feces. Occlusion increases hydration and maceration, reduces barrier integrity, and amplifies friction-related injury in the perineal folds. Clinically, this can present as diffuse erythema, discomfort with cleaning, and superficial fissuring. While many cases improve with barrier-centered care and reduction of irritant exposures, persistent or sharply demarcated perianal inflammation should prompt a broadened differential rather than escalating topical product complexity. One high-yield diagnostic consideration is perianal streptococcal disease, which is characterized by prominent perianal erythema and symptoms such as pain and pruritus, and for which recurrence is an important clinical feature; systematic synthesis highlights the need to recognize this entity to prevent prolonged discomfort and repeated misdirected treatment (Gualtieri et al., 2021). From a practical standpoint, the key life-course message is not that “infection explains everything,” but rather that clinicians should recognize pattern-level clues—such as the intensity and distribution of perianal erythema and pain—when symptoms do not fit the expected trajectory of simple irritant dermatitis.</w:t>
      </w:r>
    </w:p>
    <w:p w14:paraId="3939F5BA"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Prepubertal vulvar lichen </w:t>
      </w:r>
      <w:proofErr w:type="spellStart"/>
      <w:r w:rsidRPr="00450F37">
        <w:rPr>
          <w:color w:val="auto"/>
          <w:kern w:val="0"/>
          <w:lang w:val="en-US" w:eastAsia="en-US"/>
        </w:rPr>
        <w:t>sclerosus</w:t>
      </w:r>
      <w:proofErr w:type="spellEnd"/>
      <w:r w:rsidRPr="00450F37">
        <w:rPr>
          <w:color w:val="auto"/>
          <w:kern w:val="0"/>
          <w:lang w:val="en-US" w:eastAsia="en-US"/>
        </w:rPr>
        <w:t xml:space="preserve"> is another condition with disproportionate implications. It may present with itch, soreness, dysuria, constipation-related avoidance behaviors, or complaints that are vague and intermittent, particularly in children who lack the vocabulary to describe sensations precisely. The clinical risk is twofold: symptoms can be minimized or misattributed to “poor hygiene” or nonspecific dermatitis, and the physical findings—often subtle early—may be overlooked if the examination is rushed or incomplete. Importantly, lichen </w:t>
      </w:r>
      <w:proofErr w:type="spellStart"/>
      <w:r w:rsidRPr="00450F37">
        <w:rPr>
          <w:color w:val="auto"/>
          <w:kern w:val="0"/>
          <w:lang w:val="en-US" w:eastAsia="en-US"/>
        </w:rPr>
        <w:t>sclerosus</w:t>
      </w:r>
      <w:proofErr w:type="spellEnd"/>
      <w:r w:rsidRPr="00450F37">
        <w:rPr>
          <w:color w:val="auto"/>
          <w:kern w:val="0"/>
          <w:lang w:val="en-US" w:eastAsia="en-US"/>
        </w:rPr>
        <w:t xml:space="preserve"> is not simply an “itch disorder”; it can lead to fissuring and progressive architectural change when inflammation is not controlled. Evidence-informed dermatologic guidance emphasizes that ultra-potent topical corticosteroids are first-line therapy and that individualized maintenance regimens may be needed to prevent relapse and protect tissue architecture (Lee &amp; Fischer, 2018). In childhood, the therapeutic relationship is especially important: caregivers often fear potent topical steroids, so success depends on clear education about correct application, expected response, and follow-up goals. Framing treatment as “inflammation control to prevent scarring and pain” rather than “steroid use for itch” can improve adherence and reduce the stop–start patterns that permit disease persistence.</w:t>
      </w:r>
    </w:p>
    <w:p w14:paraId="7F94A01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Developmental and psychosocial factors strongly influence diagnostic quality in pediatrics. Children may delay reporting symptoms due to embarrassment, fear of examination, or normalization of discomfort. Caregivers may under-recognize symptoms when they present indirectly as sleep disturbance, irritability, toileting refusal, or avoidance of sports and movement. Clinicians therefore benefit from asking about function rather than symptoms alone—for example, whether the child avoids urination, resists wiping, scratches at night, or complains of stinging in the bath. Examination should be consent-forward and </w:t>
      </w:r>
      <w:r w:rsidRPr="00450F37">
        <w:rPr>
          <w:color w:val="auto"/>
          <w:kern w:val="0"/>
          <w:lang w:val="en-US" w:eastAsia="en-US"/>
        </w:rPr>
        <w:lastRenderedPageBreak/>
        <w:t>developmentally appropriate, with explicit explanation of what will be done and why, and with attention to minimizing distress. A careful approach supports both diagnostic accuracy and continuity of care, which is particularly relevant for chronic inflammatory disorders that require staged therapy and surveillance over time (Lee &amp; Fischer, 2018).</w:t>
      </w:r>
    </w:p>
    <w:p w14:paraId="03CF2D37"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Adolescence introduces a new exposure ecology and a new set of diagnostic pitfalls. Menstrual products, pads and liners, fragranced cleansers, deodorant sprays, shaving and waxing, tight clothing, and sports friction can all trigger or aggravate vulvar irritation. At the same time, inflammatory dermatoses may become clinically more apparent as hormonal patterns and immune responses evolve. Genital and inverse psoriasis is especially relevant during adolescence and young adulthood because morphology in the genital region often differs from classic plaque psoriasis: maceration and occlusion can reduce visible scale, while erythema, fissuring, and soreness become more prominent. Contemporary therapeutic reviews emphasize that genital and inverse psoriasis is common among patients with psoriasis, frequently underdiscussed, and requires practical, site-specific management to balance efficacy and tolerability (Hong et al., 2021). Adolescents may present with isolated genital involvement, making mislabeling as infection or “irritation” more likely if clinicians rely on expectations derived from extragenital psoriasis morphology. Recognizing the possibility of psoriasis in this age group also matters for counseling: persistent genital symptoms may carry significant psychosocial burden related to body image and sexual development, and adolescents benefit from normalized, nonjudgmental explanations that separate disease from hygiene or behavior.</w:t>
      </w:r>
    </w:p>
    <w:p w14:paraId="3E063EC5"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Across childhood and adolescence, the life-course approach also means anticipating transitions. A child with recurrent perineal irritation may later encounter new triggers such as menstruation products or hair removal practices, and an adolescent with genital psoriasis may require long-term management strategies that adapt to changing routines and preferences. The clinician’s role is not only to treat the current episode but also to establish a framework for self-recognition of flares, safe product selection, and early re-presentation when symptoms change. This is particularly important for conditions like lichen </w:t>
      </w:r>
      <w:proofErr w:type="spellStart"/>
      <w:r w:rsidRPr="00450F37">
        <w:rPr>
          <w:color w:val="auto"/>
          <w:kern w:val="0"/>
          <w:lang w:val="en-US" w:eastAsia="en-US"/>
        </w:rPr>
        <w:t>sclerosus</w:t>
      </w:r>
      <w:proofErr w:type="spellEnd"/>
      <w:r w:rsidRPr="00450F37">
        <w:rPr>
          <w:color w:val="auto"/>
          <w:kern w:val="0"/>
          <w:lang w:val="en-US" w:eastAsia="en-US"/>
        </w:rPr>
        <w:t>, where long-term follow-up and symptom vigilance help prevent scarring and support timely reassessment of new or evolving lesions (Lee &amp; Fischer, 2018). In parallel, clinicians should remember that childhood perianal inflammatory presentations can have distinct diagnoses and recurrence patterns, and that accurate recognition can prevent repeated cycles of ineffective therapy and distress (Gualtieri et al., 2021).</w:t>
      </w:r>
    </w:p>
    <w:p w14:paraId="10A2D05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In sum, pediatric and adolescent vulvar–perineal dermatoses demand an approach that is simultaneously biologic, exposure-aware, and developmentally sensitive. Early life is dominated by occlusion and irritant vulnerability, with key diagnostic exceptions such as perianal streptococcal disease (Gualtieri et al., 2021). Prepuberty requires vigilance for lichen </w:t>
      </w:r>
      <w:proofErr w:type="spellStart"/>
      <w:r w:rsidRPr="00450F37">
        <w:rPr>
          <w:color w:val="auto"/>
          <w:kern w:val="0"/>
          <w:lang w:val="en-US" w:eastAsia="en-US"/>
        </w:rPr>
        <w:t>sclerosus</w:t>
      </w:r>
      <w:proofErr w:type="spellEnd"/>
      <w:r w:rsidRPr="00450F37">
        <w:rPr>
          <w:color w:val="auto"/>
          <w:kern w:val="0"/>
          <w:lang w:val="en-US" w:eastAsia="en-US"/>
        </w:rPr>
        <w:t xml:space="preserve"> and commitment to evidence-based anti-inflammatory therapy and follow-up (Lee &amp; Fischer, 2018). Adolescence adds a dense set of product and friction exposures and brings conditions like genital/inverse psoriasis into sharper focus, with morphology that can diverge from classic expectations (Hong et al., 2021). A structured life-course framework—anchored in distribution, morphology, and stage-specific exposures—reduces misdiagnosis and supports care that protects both comfort and long-term function.</w:t>
      </w:r>
    </w:p>
    <w:p w14:paraId="511FDCCB" w14:textId="77777777" w:rsidR="00DC6E1F" w:rsidRPr="00DC6E1F" w:rsidRDefault="00DC6E1F" w:rsidP="00DC6E1F">
      <w:pPr>
        <w:rPr>
          <w:lang w:val="en-GB"/>
        </w:rPr>
      </w:pPr>
    </w:p>
    <w:p w14:paraId="4E663841"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lastRenderedPageBreak/>
        <w:t>6. Reproductive years</w:t>
      </w:r>
    </w:p>
    <w:p w14:paraId="4288EDA7"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The reproductive years are a period of high diagnostic complexity for vulvar and perineal dermatoses because biologic resilience and cyclic hormonal variability coexist with a dense and rapidly changing exposure environment. Patients in this life stage often encounter multiple overlapping triggers—menstrual products, contraceptive-related bleeding patterns that increase liner use, sexual lubricants and barrier methods, grooming and hair-removal practices, athletic friction, and intermittent antimicrobial or antifungal exposure. These factors can generate symptoms that are intense yet nonspecific, and they also promote “diagnostic drift,” where recurrent itching or burning is repeatedly attributed to infection without a morphology-based reassessment. Clinical guidance stresses that persistent or recurrent vulvar symptoms should prompt structured evaluation rather than repeated empiric treatment, particularly because morphology is frequently altered by occlusion and friction and because noninfectious dermatoses are common in this region (American College of Obstetricians and Gynecologists’ Committee on Practice Bulletins—Gynecology, 2020).</w:t>
      </w:r>
    </w:p>
    <w:p w14:paraId="1A1209E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A life-course lens is useful in the reproductive years not because disease categories suddenly become new, but because exposure patterns become more heterogeneous and because self-directed product use often escalates when symptoms persist. Many patients cycle through multiple cleansers, wipes, deodorants, topical anesthetics, over-the-counter antifungals, and prescription products, inadvertently increasing irritant burden and sensitization risk. Contemporary evidence syntheses emphasize that vulvar contact dermatitis—both irritant and allergic—is common and that identifying clinically relevant triggers can be decisive for symptom control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Clinic-focused reviews similarly highlight allergic contact dermatitis of the vulva as a frequently missed diagnosis, in part because its symptoms and erythema can resemble candidiasis or nonspecific irritation, and in part because the vulvar region’s barrier and occlusive environment predispose to sensitization (Woodruff et al., 2018). In practical terms, this means that the reproductive years require a diagnostic posture that treats “what is on the skin” and “what is applied to the skin” as equally important.</w:t>
      </w:r>
    </w:p>
    <w:p w14:paraId="41134594" w14:textId="77777777" w:rsidR="00450F37" w:rsidRPr="00450F37" w:rsidRDefault="00450F37" w:rsidP="00450F37">
      <w:pPr>
        <w:spacing w:before="100" w:beforeAutospacing="1" w:after="100" w:afterAutospacing="1" w:line="240" w:lineRule="auto"/>
        <w:ind w:left="0" w:right="0" w:firstLine="0"/>
        <w:jc w:val="left"/>
        <w:outlineLvl w:val="2"/>
        <w:rPr>
          <w:b/>
          <w:bCs/>
          <w:color w:val="auto"/>
          <w:kern w:val="0"/>
          <w:sz w:val="27"/>
          <w:szCs w:val="27"/>
          <w:lang w:val="en-US" w:eastAsia="en-US"/>
        </w:rPr>
      </w:pPr>
      <w:r w:rsidRPr="00450F37">
        <w:rPr>
          <w:b/>
          <w:bCs/>
          <w:color w:val="auto"/>
          <w:kern w:val="0"/>
          <w:sz w:val="27"/>
          <w:szCs w:val="27"/>
          <w:lang w:val="en-US" w:eastAsia="en-US"/>
        </w:rPr>
        <w:t xml:space="preserve">6.1. Contact dermatitis and lichen simplex </w:t>
      </w:r>
      <w:proofErr w:type="spellStart"/>
      <w:r w:rsidRPr="00450F37">
        <w:rPr>
          <w:b/>
          <w:bCs/>
          <w:color w:val="auto"/>
          <w:kern w:val="0"/>
          <w:sz w:val="27"/>
          <w:szCs w:val="27"/>
          <w:lang w:val="en-US" w:eastAsia="en-US"/>
        </w:rPr>
        <w:t>chronicus</w:t>
      </w:r>
      <w:proofErr w:type="spellEnd"/>
    </w:p>
    <w:p w14:paraId="1B610400"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In reproductive-age patients, eczematous and contact dermatitis phenotypes are often sustained by ongoing exposure rather than by insufficient anti-inflammatory potency. Irritant dermatitis may follow frequent washing, hot water exposure, aggressive “hygiene” practices, fragranced products, or repeated wet wiping. Allergic contact dermatitis can be triggered by preservatives, fragrances, topical medications, and components of menstrual or sexual products, and it is frequently overlooked when the clinician anchors on infection as the default explanation for vulvar discomfort. A key recommendation from clinical guidance is to perform a deliberate topical inventory: what products are used, where they are applied, how often, and whether symptoms worsen after use (American College of Obstetricians and Gynecologists’ Committee on Practice Bulletins—Gynecology, 2020). This inventory often reveals a paradoxical pattern in which escalating product use tracks with escalating symptoms, suggesting that the exposure ecology is part of the disease mechanism.</w:t>
      </w:r>
    </w:p>
    <w:p w14:paraId="73E3478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When symptoms are chronic, scratching and rubbing may generate secondary </w:t>
      </w:r>
      <w:proofErr w:type="spellStart"/>
      <w:r w:rsidRPr="00450F37">
        <w:rPr>
          <w:color w:val="auto"/>
          <w:kern w:val="0"/>
          <w:lang w:val="en-US" w:eastAsia="en-US"/>
        </w:rPr>
        <w:t>lichenification</w:t>
      </w:r>
      <w:proofErr w:type="spellEnd"/>
      <w:r w:rsidRPr="00450F37">
        <w:rPr>
          <w:color w:val="auto"/>
          <w:kern w:val="0"/>
          <w:lang w:val="en-US" w:eastAsia="en-US"/>
        </w:rPr>
        <w:t xml:space="preserve">, producing lichen simplex </w:t>
      </w:r>
      <w:proofErr w:type="spellStart"/>
      <w:r w:rsidRPr="00450F37">
        <w:rPr>
          <w:color w:val="auto"/>
          <w:kern w:val="0"/>
          <w:lang w:val="en-US" w:eastAsia="en-US"/>
        </w:rPr>
        <w:t>chronicus</w:t>
      </w:r>
      <w:proofErr w:type="spellEnd"/>
      <w:r w:rsidRPr="00450F37">
        <w:rPr>
          <w:color w:val="auto"/>
          <w:kern w:val="0"/>
          <w:lang w:val="en-US" w:eastAsia="en-US"/>
        </w:rPr>
        <w:t xml:space="preserve"> as a morphology rather than a primary diagnosis. In such cases, addressing the itch–scratch cycle is necessary but rarely sufficient unless the inciting </w:t>
      </w:r>
      <w:r w:rsidRPr="00450F37">
        <w:rPr>
          <w:color w:val="auto"/>
          <w:kern w:val="0"/>
          <w:lang w:val="en-US" w:eastAsia="en-US"/>
        </w:rPr>
        <w:lastRenderedPageBreak/>
        <w:t>irritant or allergen is also removed. A systematic review underscores the role of patch testing in persistent or refractory vulvar contact dermatitis, particularly when the history suggests product-related triggers or when patients have used numerous topical medications that may themselves contain sensitizing ingredients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The clinic-based literature reinforces that allergic contact dermatitis is commonly missed unless clinicians actively pursue allergen identification and counsel patients toward product simplification (Woodruff et al., 2018). The life-course implication is that reproductive-age vulvar dermatitis often becomes chronic not because it is intrinsically severe, but because the cycle of symptoms, self-treatment, and cumulative exposure perpetuates barrier disruption and inflammation.</w:t>
      </w:r>
    </w:p>
    <w:p w14:paraId="713C8DA3" w14:textId="77777777" w:rsidR="00450F37" w:rsidRPr="00450F37" w:rsidRDefault="00450F37" w:rsidP="00450F37">
      <w:pPr>
        <w:spacing w:before="100" w:beforeAutospacing="1" w:after="100" w:afterAutospacing="1" w:line="240" w:lineRule="auto"/>
        <w:ind w:left="0" w:right="0" w:firstLine="0"/>
        <w:jc w:val="left"/>
        <w:outlineLvl w:val="2"/>
        <w:rPr>
          <w:b/>
          <w:bCs/>
          <w:color w:val="auto"/>
          <w:kern w:val="0"/>
          <w:sz w:val="27"/>
          <w:szCs w:val="27"/>
          <w:lang w:val="en-US" w:eastAsia="en-US"/>
        </w:rPr>
      </w:pPr>
      <w:r w:rsidRPr="00450F37">
        <w:rPr>
          <w:b/>
          <w:bCs/>
          <w:color w:val="auto"/>
          <w:kern w:val="0"/>
          <w:sz w:val="27"/>
          <w:szCs w:val="27"/>
          <w:lang w:val="en-US" w:eastAsia="en-US"/>
        </w:rPr>
        <w:t>6.2. Vulvovaginal lichen planus and erosive disease</w:t>
      </w:r>
    </w:p>
    <w:p w14:paraId="3B12A704"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Vulvovaginal lichen planus, particularly erosive disease, is a high-burden diagnosis in the reproductive years because it can dominate pain and sexual function outcomes. Patients may present with burning, dyspareunia, postcoital soreness, and persistent erosions or glazed erythema that involves the vestibule and may extend into the vagina. Because symptoms may be misattributed to infection, vulvovaginal lichen planus can be under-recognized until pain becomes severe or scarring develops. Focused clinical review work emphasizes the importance of recognizing characteristic erosive phenotypes and planning sustained therapy and follow-up, rather than relying on short courses of treatment aimed at presumed infection (Dubey &amp; Fischer, 2019).</w:t>
      </w:r>
    </w:p>
    <w:p w14:paraId="559E2795"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Therapeutic evidence in this space remains more limited than for lichen </w:t>
      </w:r>
      <w:proofErr w:type="spellStart"/>
      <w:r w:rsidRPr="00450F37">
        <w:rPr>
          <w:color w:val="auto"/>
          <w:kern w:val="0"/>
          <w:lang w:val="en-US" w:eastAsia="en-US"/>
        </w:rPr>
        <w:t>sclerosus</w:t>
      </w:r>
      <w:proofErr w:type="spellEnd"/>
      <w:r w:rsidRPr="00450F37">
        <w:rPr>
          <w:color w:val="auto"/>
          <w:kern w:val="0"/>
          <w:lang w:val="en-US" w:eastAsia="en-US"/>
        </w:rPr>
        <w:t>, but controlled studies illustrate active efforts to refine management of erosive disease. Randomized trial evidence has evaluated photodynamic approaches in comparison with topical corticosteroid regimens for genital erosive lichen planus, reflecting the clinical need for durable symptom control and tissue healing in refractory cases (Helgesen et al., 2015). In life-course terms, reproductive-age disease management must explicitly address sexual function, pain-related fear, and relationship impacts, because symptomatic flares often intersect with intimacy and can drive avoidance patterns that persist even after inflammation improves.</w:t>
      </w:r>
    </w:p>
    <w:p w14:paraId="2F6164E2" w14:textId="77777777" w:rsidR="00450F37" w:rsidRPr="00450F37" w:rsidRDefault="00450F37" w:rsidP="00450F37">
      <w:pPr>
        <w:spacing w:before="100" w:beforeAutospacing="1" w:after="100" w:afterAutospacing="1" w:line="240" w:lineRule="auto"/>
        <w:ind w:left="0" w:right="0" w:firstLine="0"/>
        <w:jc w:val="left"/>
        <w:outlineLvl w:val="2"/>
        <w:rPr>
          <w:b/>
          <w:bCs/>
          <w:color w:val="auto"/>
          <w:kern w:val="0"/>
          <w:sz w:val="27"/>
          <w:szCs w:val="27"/>
          <w:lang w:val="en-US" w:eastAsia="en-US"/>
        </w:rPr>
      </w:pPr>
      <w:r w:rsidRPr="00450F37">
        <w:rPr>
          <w:b/>
          <w:bCs/>
          <w:color w:val="auto"/>
          <w:kern w:val="0"/>
          <w:sz w:val="27"/>
          <w:szCs w:val="27"/>
          <w:lang w:val="en-US" w:eastAsia="en-US"/>
        </w:rPr>
        <w:t>6.3. Genital and inverse psoriasis</w:t>
      </w:r>
    </w:p>
    <w:p w14:paraId="4667FF34"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Psoriasis in the reproductive years may involve the genital and perineal region as a primary or disproportionately symptomatic site. Genital and inverse psoriasis is frequently less scaly and more erythematous, fissured, and tender due to occlusion and maceration, and these features can prompt misclassification as candidiasis, intertrigo, or dermatitis—particularly in patients without obvious extragenital plaques (Hong et al., 2021). Updated therapeutic reviews emphasize practical, site-specific management approaches that balance efficacy with local tolerability, recognizing that the genital region is sensitive and that occlusion can increase both absorption and irritation from topical vehicles (Hong et al., 2021).</w:t>
      </w:r>
    </w:p>
    <w:p w14:paraId="1EB64436"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 life-course approach also highlights how psoriasis and dermatitis can coexist. A patient with genital psoriasis may develop superimposed irritant dermatitis from cleansing practices or topical overuse, and conversely, recurrent dermatitis and barrier disruption may make psoriasis appear more severe or painful than expected. Clinical guidance supports reassessment when symptoms persist despite reasonable therapy and encourages clinicians to resist repetitive empiricism, instead returning to morphology, distribution, and exposure </w:t>
      </w:r>
      <w:r w:rsidRPr="00450F37">
        <w:rPr>
          <w:color w:val="auto"/>
          <w:kern w:val="0"/>
          <w:lang w:val="en-US" w:eastAsia="en-US"/>
        </w:rPr>
        <w:lastRenderedPageBreak/>
        <w:t>history to identify the dominant drivers (American College of Obstetricians and Gynecologists’ Committee on Practice Bulletins—Gynecology, 2020).</w:t>
      </w:r>
    </w:p>
    <w:p w14:paraId="516388AF"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Overall, the reproductive years demand diagnostic discipline: symptoms must be translated into phenotypes, exposures must be treated as potential causes rather than background noise, and persistent pain or erosions must trigger consideration of lichenoid disease rather than automatic escalation of antimicrobial therapy. Modern evidence underscores that patch testing and allergen/irritant identification can be transformative in chronic vulvar dermatitis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Woodruff et al., 2018), that vulvovaginal lichen planus requires sustained recognition and management planning (Dubey &amp; Fischer, 2019; Helgesen et al., 2015), and that genital/inverse psoriasis often demands site-specific diagnostic awareness and treatment strategies (Hong et al., 2021).</w:t>
      </w:r>
    </w:p>
    <w:p w14:paraId="727F7CD6" w14:textId="77777777" w:rsidR="00DC6E1F" w:rsidRPr="00DC6E1F" w:rsidRDefault="00DC6E1F" w:rsidP="00DC6E1F">
      <w:pPr>
        <w:rPr>
          <w:lang w:val="en-GB"/>
        </w:rPr>
      </w:pPr>
    </w:p>
    <w:p w14:paraId="1FE500BA"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t>7. Pregnancy and postpartum considerations</w:t>
      </w:r>
    </w:p>
    <w:p w14:paraId="2F599119"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Pregnancy and the postpartum period create a distinctive physiologic context for vulvar and perineal dermatoses because hormonal and immune shifts coincide with major mechanical, behavioral, and exposure changes. Clinically, this life stage is characterized by two recurring patterns: first, previously stable dermatoses may fluctuate in activity, sometimes improving and sometimes worsening; second, new-onset vulvar symptoms may emerge from friction, moisture, discharge, wound healing, or newly intensified exposure to topical agents and cleansing practices rather than from a fundamentally new chronic dermatosis. A life-course approach therefore helps clinicians distinguish transient, context-driven irritation from disease states that require sustained inflammatory control and long-term follow-up.</w:t>
      </w:r>
    </w:p>
    <w:p w14:paraId="1A204865"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During pregnancy, the vulvar–perineal region is exposed to higher baseline moisture and discharge, increased vascularity, and often increased friction from changes in body habitus and clothing fit. Even without referencing a specific diagnosis, these changes lower the threshold for irritant symptoms such as burning with washing or wiping and can intensify discomfort from mild pre-existing dermatoses. Many pregnant patients also modify hygiene routines—washing more frequently, using new “sensitive” wipes or antiseptic products, or applying barrier creams more often—which can inadvertently increase irritant load. The clinical consequence is that irritant dermatitis and symptom amplification may coexist with, and sometimes mask, chronic inflammatory disease. In practice, this means that management often succeeds when it simplifies the exposure environment, reinforces gentle barrier care, and uses targeted anti-inflammatory therapy only when morphology and course support an inflammatory diagnosis.</w:t>
      </w:r>
    </w:p>
    <w:p w14:paraId="63861C23"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 central clinical challenge in pregnancy is maintaining control of chronic inflammatory vulvar dermatoses while minimizing unnecessary product exposure. Lichen </w:t>
      </w:r>
      <w:proofErr w:type="spellStart"/>
      <w:r w:rsidRPr="00450F37">
        <w:rPr>
          <w:color w:val="auto"/>
          <w:kern w:val="0"/>
          <w:lang w:val="en-US" w:eastAsia="en-US"/>
        </w:rPr>
        <w:t>sclerosus</w:t>
      </w:r>
      <w:proofErr w:type="spellEnd"/>
      <w:r w:rsidRPr="00450F37">
        <w:rPr>
          <w:color w:val="auto"/>
          <w:kern w:val="0"/>
          <w:lang w:val="en-US" w:eastAsia="en-US"/>
        </w:rPr>
        <w:t xml:space="preserve"> provides a clear example of why continuity matters. Pregnancy does not eliminate the need for ongoing recognition and management of lichen </w:t>
      </w:r>
      <w:proofErr w:type="spellStart"/>
      <w:r w:rsidRPr="00450F37">
        <w:rPr>
          <w:color w:val="auto"/>
          <w:kern w:val="0"/>
          <w:lang w:val="en-US" w:eastAsia="en-US"/>
        </w:rPr>
        <w:t>sclerosus</w:t>
      </w:r>
      <w:proofErr w:type="spellEnd"/>
      <w:r w:rsidRPr="00450F37">
        <w:rPr>
          <w:color w:val="auto"/>
          <w:kern w:val="0"/>
          <w:lang w:val="en-US" w:eastAsia="en-US"/>
        </w:rPr>
        <w:t xml:space="preserve">; untreated or undertreated disease can continue to drive pruritus, fissuring, and tissue vulnerability, which may be particularly problematic in a period when the vulvar and perineal unit is already under mechanical stress. Evidence-informed guidance emphasizes that lichen </w:t>
      </w:r>
      <w:proofErr w:type="spellStart"/>
      <w:r w:rsidRPr="00450F37">
        <w:rPr>
          <w:color w:val="auto"/>
          <w:kern w:val="0"/>
          <w:lang w:val="en-US" w:eastAsia="en-US"/>
        </w:rPr>
        <w:t>sclerosus</w:t>
      </w:r>
      <w:proofErr w:type="spellEnd"/>
      <w:r w:rsidRPr="00450F37">
        <w:rPr>
          <w:color w:val="auto"/>
          <w:kern w:val="0"/>
          <w:lang w:val="en-US" w:eastAsia="en-US"/>
        </w:rPr>
        <w:t xml:space="preserve"> is fundamentally a chronic inflammatory condition for which appropriate high-potency topical corticosteroid therapy is the cornerstone, and that individualized maintenance regimens are </w:t>
      </w:r>
      <w:r w:rsidRPr="00450F37">
        <w:rPr>
          <w:color w:val="auto"/>
          <w:kern w:val="0"/>
          <w:lang w:val="en-US" w:eastAsia="en-US"/>
        </w:rPr>
        <w:lastRenderedPageBreak/>
        <w:t>often required to prevent relapse and limit progression (Lee &amp; Fischer, 2018). This principle remains relevant in pregnancy because the clinical harms of uncontrolled inflammation—pain, fissures, sleep disruption, and potential scarring trajectory—often outweigh the risks of appropriate topical therapy when used correctly and monitored.</w:t>
      </w:r>
    </w:p>
    <w:p w14:paraId="2AF25590"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The postpartum period adds a second set of modifiers: tissue healing after delivery, perineal trauma or episiotomy in some patients, and exposure to blood, lochia, pads, topical anesthetics, witch hazel products, and cleansing routines that are often intensified during recovery. These exposures are not trivial; postpartum care commonly includes repeated pad use, frequent cleaning, and application of multiple topical products aimed at soothing pain. While these measures may be helpful, they can also trigger irritant dermatitis or, in susceptible individuals, contribute to sensitization and persistent inflammation. Clinically, this can create a confusing picture in which pain and burning persist beyond expected healing timelines, leading to repeated empirical treatment without a careful reassessment of the vulvar surface and exposures. A useful approach is to reframe persistent postpartum vulvar symptoms as a prompt to (</w:t>
      </w:r>
      <w:proofErr w:type="spellStart"/>
      <w:r w:rsidRPr="00450F37">
        <w:rPr>
          <w:color w:val="auto"/>
          <w:kern w:val="0"/>
          <w:lang w:val="en-US" w:eastAsia="en-US"/>
        </w:rPr>
        <w:t>i</w:t>
      </w:r>
      <w:proofErr w:type="spellEnd"/>
      <w:r w:rsidRPr="00450F37">
        <w:rPr>
          <w:color w:val="auto"/>
          <w:kern w:val="0"/>
          <w:lang w:val="en-US" w:eastAsia="en-US"/>
        </w:rPr>
        <w:t>) examine for wound-healing complications, fissures, and dermatitis patterns, (ii) inventory all topical products and cleansing practices introduced during postpartum recovery, and (iii) evaluate whether a pre-existing dermatosis is flaring or whether a new irritant-driven dermatitis has emerged in response to postpartum exposures.</w:t>
      </w:r>
    </w:p>
    <w:p w14:paraId="2DC94FE7"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Lactation-associated hypoestrogenism can further increase dryness and epithelial fragility, which may amplify burning and fissuring and can make mild inflammatory disease feel severe. In this context, clinicians should be cautious about assuming that all postpartum vulvar discomfort is “normal recovery.” Instead, symptom persistence, functional impairment (e.g., pain with walking, sitting, urination, or intercourse after resumption), or recurrent fissuring should trigger a structured re-evaluation rather than repeated short courses of empiric therapy. This is especially important because postpartum patients may delay seeking care due to competing caregiving demands, fatigue, and normalization of suffering. A low-barrier follow-up plan can reduce delay and prevent chronicity.</w:t>
      </w:r>
    </w:p>
    <w:p w14:paraId="1F0B1B8D"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Longitudinal management principles also matter because postpartum life often sustains risk factors for recurrence: sleep deprivation, increased stress, frequent washing, and ongoing pad use for weeks can keep the barrier disrupted. For patients with known lichen </w:t>
      </w:r>
      <w:proofErr w:type="spellStart"/>
      <w:r w:rsidRPr="00450F37">
        <w:rPr>
          <w:color w:val="auto"/>
          <w:kern w:val="0"/>
          <w:lang w:val="en-US" w:eastAsia="en-US"/>
        </w:rPr>
        <w:t>sclerosus</w:t>
      </w:r>
      <w:proofErr w:type="spellEnd"/>
      <w:r w:rsidRPr="00450F37">
        <w:rPr>
          <w:color w:val="auto"/>
          <w:kern w:val="0"/>
          <w:lang w:val="en-US" w:eastAsia="en-US"/>
        </w:rPr>
        <w:t xml:space="preserve">, postpartum is a period in which adherence may drop and follow-up may be missed—yet consistent management is linked to better long-term outcomes. Cohort evidence supports the importance of long-term management strategies for vulvar lichen </w:t>
      </w:r>
      <w:proofErr w:type="spellStart"/>
      <w:r w:rsidRPr="00450F37">
        <w:rPr>
          <w:color w:val="auto"/>
          <w:kern w:val="0"/>
          <w:lang w:val="en-US" w:eastAsia="en-US"/>
        </w:rPr>
        <w:t>sclerosus</w:t>
      </w:r>
      <w:proofErr w:type="spellEnd"/>
      <w:r w:rsidRPr="00450F37">
        <w:rPr>
          <w:color w:val="auto"/>
          <w:kern w:val="0"/>
          <w:lang w:val="en-US" w:eastAsia="en-US"/>
        </w:rPr>
        <w:t>, indicating that sustained therapeutic approaches and ongoing follow-up are central to controlling disease and reducing complications over time (Lee et al., 2015). Although pregnancy and postpartum present unique constraints and priorities, these data reinforce the clinical logic of maintaining a structured regimen rather than relying on episodic, symptom-triggered treatment alone.</w:t>
      </w:r>
    </w:p>
    <w:p w14:paraId="082CA068"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From a practical standpoint, pregnancy and postpartum care benefit from anticipating flare scenarios and preparing patients with simple, consistent instructions that reduce the need for multiple topical additions. When patients understand which products are essential, which should be avoided, and when to return for reassessment, clinicians can reduce exposure-driven dermatitis and avoid prolonged symptom trajectories. In addition, postpartum sexual health deserves explicit attention: dyspareunia and fear of pain may persist even after visible inflammation improves, particularly when fissuring has occurred. Normalizing this experience, encouraging gradual return to sexual activity when desired, and reassessing persistent pain—rather than assuming it will self-resolve—can prevent chronic distress.</w:t>
      </w:r>
    </w:p>
    <w:p w14:paraId="33126164"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lastRenderedPageBreak/>
        <w:t xml:space="preserve">Overall, pregnancy and postpartum considerations are best approached as a dynamic interaction between tissue biology, wound healing, exposures, and chronic inflammatory disease control. The life-course message is that this period does not suspend chronic dermatoses; rather, it changes the conditions under which they express and the exposures that can exacerbate or sustain symptoms. Maintaining appropriate long-term management—especially for high-impact chronic disease such as lichen </w:t>
      </w:r>
      <w:proofErr w:type="spellStart"/>
      <w:r w:rsidRPr="00450F37">
        <w:rPr>
          <w:color w:val="auto"/>
          <w:kern w:val="0"/>
          <w:lang w:val="en-US" w:eastAsia="en-US"/>
        </w:rPr>
        <w:t>sclerosus</w:t>
      </w:r>
      <w:proofErr w:type="spellEnd"/>
      <w:r w:rsidRPr="00450F37">
        <w:rPr>
          <w:color w:val="auto"/>
          <w:kern w:val="0"/>
          <w:lang w:val="en-US" w:eastAsia="en-US"/>
        </w:rPr>
        <w:t>—while minimizing unnecessary topical complexity provides the best pathway to symptom control and long-term preservation of vulvar function (Lee &amp; Fischer, 2018; Lee et al., 2015).</w:t>
      </w:r>
    </w:p>
    <w:p w14:paraId="632F083A" w14:textId="77777777" w:rsidR="00DC6E1F" w:rsidRPr="00DC6E1F" w:rsidRDefault="00DC6E1F" w:rsidP="00DC6E1F">
      <w:pPr>
        <w:rPr>
          <w:lang w:val="en-GB"/>
        </w:rPr>
      </w:pPr>
    </w:p>
    <w:p w14:paraId="1E5B7D2D"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t xml:space="preserve">8. Peri- and </w:t>
      </w:r>
      <w:proofErr w:type="spellStart"/>
      <w:r w:rsidRPr="00450F37">
        <w:rPr>
          <w:b/>
          <w:bCs/>
          <w:color w:val="auto"/>
          <w:kern w:val="0"/>
          <w:sz w:val="36"/>
          <w:szCs w:val="36"/>
          <w:lang w:val="en-US" w:eastAsia="en-US"/>
        </w:rPr>
        <w:t>postmenopause</w:t>
      </w:r>
      <w:proofErr w:type="spellEnd"/>
    </w:p>
    <w:p w14:paraId="36DDF49A"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The peri- and postmenopausal years represent a convergence point for multiple vulvar and perineal symptom drivers, making this life stage one of the most diagnostically demanding in vulvar medicine. Patients frequently present with chronic pruritus, burning, soreness, fissuring, dyspareunia, or dysuria, yet these symptoms may reflect overlapping processes rather than a single diagnosis. Menopause-related estrogen decline alters epithelial thickness, hydration, collagen organization, and mechanical resilience, increasing susceptibility to </w:t>
      </w:r>
      <w:proofErr w:type="spellStart"/>
      <w:r w:rsidRPr="00450F37">
        <w:rPr>
          <w:color w:val="auto"/>
          <w:kern w:val="0"/>
          <w:lang w:val="en-US" w:eastAsia="en-US"/>
        </w:rPr>
        <w:t>microfissuring</w:t>
      </w:r>
      <w:proofErr w:type="spellEnd"/>
      <w:r w:rsidRPr="00450F37">
        <w:rPr>
          <w:color w:val="auto"/>
          <w:kern w:val="0"/>
          <w:lang w:val="en-US" w:eastAsia="en-US"/>
        </w:rPr>
        <w:t xml:space="preserve"> and irritant penetration. At the same time, the prevalence and clinical recognition of chronic inflammatory dermatoses—particularly lichen </w:t>
      </w:r>
      <w:proofErr w:type="spellStart"/>
      <w:r w:rsidRPr="00450F37">
        <w:rPr>
          <w:color w:val="auto"/>
          <w:kern w:val="0"/>
          <w:lang w:val="en-US" w:eastAsia="en-US"/>
        </w:rPr>
        <w:t>sclerosus</w:t>
      </w:r>
      <w:proofErr w:type="spellEnd"/>
      <w:r w:rsidRPr="00450F37">
        <w:rPr>
          <w:color w:val="auto"/>
          <w:kern w:val="0"/>
          <w:lang w:val="en-US" w:eastAsia="en-US"/>
        </w:rPr>
        <w:t xml:space="preserve"> and chronic dermatitis—rise in this period. The result is a common clinical scenario in which baseline hypoestrogenic vulnerability amplifies discomfort from inflammatory disease, while inflammation further disrupts barrier function and increases sensitivity to routine exposures. Contemporary reviews of menopausal genital disorders emphasize that these overlapping processes are common and that clinicians must evaluate for both vulvar dermatoses and menopause-related fragility mechanisms when patients report persistent genital symptoms (</w:t>
      </w:r>
      <w:proofErr w:type="spellStart"/>
      <w:r w:rsidRPr="00450F37">
        <w:rPr>
          <w:color w:val="auto"/>
          <w:kern w:val="0"/>
          <w:lang w:val="en-US" w:eastAsia="en-US"/>
        </w:rPr>
        <w:t>Musbahi</w:t>
      </w:r>
      <w:proofErr w:type="spellEnd"/>
      <w:r w:rsidRPr="00450F37">
        <w:rPr>
          <w:color w:val="auto"/>
          <w:kern w:val="0"/>
          <w:lang w:val="en-US" w:eastAsia="en-US"/>
        </w:rPr>
        <w:t xml:space="preserve"> et al., 2022).</w:t>
      </w:r>
    </w:p>
    <w:p w14:paraId="7BFD75D5"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The biologic changes of peri- and </w:t>
      </w:r>
      <w:proofErr w:type="spellStart"/>
      <w:r w:rsidRPr="00450F37">
        <w:rPr>
          <w:color w:val="auto"/>
          <w:kern w:val="0"/>
          <w:lang w:val="en-US" w:eastAsia="en-US"/>
        </w:rPr>
        <w:t>postmenopause</w:t>
      </w:r>
      <w:proofErr w:type="spellEnd"/>
      <w:r w:rsidRPr="00450F37">
        <w:rPr>
          <w:color w:val="auto"/>
          <w:kern w:val="0"/>
          <w:lang w:val="en-US" w:eastAsia="en-US"/>
        </w:rPr>
        <w:t xml:space="preserve"> are not limited to dryness. Reduced estrogen contributes to thinning of genital epithelium and changes in tissue elasticity, which can increase frictional injury and lead to small tears that patients experience as stinging, burning, or postcoital pain. These symptoms can mimic inflammatory dermatoses or, conversely, can cause inflammatory dermatoses to appear more severe than expected for the visible findings. This diagnostic overlap can encourage overuse of topical products—an understandable attempt by patients to find relief—which then increases irritant burden and sensitization risk. In the menopausal setting, therefore, exposure history becomes particularly important. Patients may use multiple products for dryness or irritation—cleansers, wipes, barrier creams, deodorizing preparations, topical anesthetics, or long-standing prescription agents—often without realizing that ingredients such as fragrances, preservatives, topical antibiotics, or plant extracts may worsen symptoms. Systematic synthesis underscores that vulvar contact dermatitis is common and that patch testing can help identify clinically relevant allergens and irritants, especially in persistent or treatment-resistant cases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Clinic-based review literature reinforces that allergic contact dermatitis of the vulva is frequently overlooked and that recognition often requires intentional diagnostic pursuit rather than assuming symptoms are purely menopausal or infectious (Woodruff et al., 2018).</w:t>
      </w:r>
    </w:p>
    <w:p w14:paraId="459E6DEE"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lastRenderedPageBreak/>
        <w:t xml:space="preserve">Incontinence and its management become increasingly relevant as age advances, and they can be major exposure drivers in later life. Pads and protective garments increase occlusion and humidity while exposing vulvar skin to adhesives, fragrances, and absorbent gels. Repetitive cleansing after leakage episodes adds surfactant exposure and mechanical friction. Together, these factors create a high-risk environment for irritant dermatitis and secondary </w:t>
      </w:r>
      <w:proofErr w:type="spellStart"/>
      <w:r w:rsidRPr="00450F37">
        <w:rPr>
          <w:color w:val="auto"/>
          <w:kern w:val="0"/>
          <w:lang w:val="en-US" w:eastAsia="en-US"/>
        </w:rPr>
        <w:t>lichenification</w:t>
      </w:r>
      <w:proofErr w:type="spellEnd"/>
      <w:r w:rsidRPr="00450F37">
        <w:rPr>
          <w:color w:val="auto"/>
          <w:kern w:val="0"/>
          <w:lang w:val="en-US" w:eastAsia="en-US"/>
        </w:rPr>
        <w:t>. When such exposure-driven dermatitis develops in thin, hypoestrogenic tissue, symptoms may be intense and disproportionate. The clinical implication is that symptom control often requires both anti-inflammatory therapy and a structured plan to reduce ongoing exposure, including product substitution, reduced washing intensity, and barrier-protective strategies. Evidence supporting the role of allergen/irritant identification and patch testing strengthens the rationale for this dual approach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Woodruff et al., 2018).</w:t>
      </w:r>
    </w:p>
    <w:p w14:paraId="69EC1F8C"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Among inflammatory vulvar dermatoses, lichen </w:t>
      </w:r>
      <w:proofErr w:type="spellStart"/>
      <w:r w:rsidRPr="00450F37">
        <w:rPr>
          <w:color w:val="auto"/>
          <w:kern w:val="0"/>
          <w:lang w:val="en-US" w:eastAsia="en-US"/>
        </w:rPr>
        <w:t>sclerosus</w:t>
      </w:r>
      <w:proofErr w:type="spellEnd"/>
      <w:r w:rsidRPr="00450F37">
        <w:rPr>
          <w:color w:val="auto"/>
          <w:kern w:val="0"/>
          <w:lang w:val="en-US" w:eastAsia="en-US"/>
        </w:rPr>
        <w:t xml:space="preserve"> is particularly central in peri- and </w:t>
      </w:r>
      <w:proofErr w:type="spellStart"/>
      <w:r w:rsidRPr="00450F37">
        <w:rPr>
          <w:color w:val="auto"/>
          <w:kern w:val="0"/>
          <w:lang w:val="en-US" w:eastAsia="en-US"/>
        </w:rPr>
        <w:t>postmenopause</w:t>
      </w:r>
      <w:proofErr w:type="spellEnd"/>
      <w:r w:rsidRPr="00450F37">
        <w:rPr>
          <w:color w:val="auto"/>
          <w:kern w:val="0"/>
          <w:lang w:val="en-US" w:eastAsia="en-US"/>
        </w:rPr>
        <w:t xml:space="preserve"> because of its prevalence, potential for progressive scarring, and association with malignant risk. Clinically, lichen </w:t>
      </w:r>
      <w:proofErr w:type="spellStart"/>
      <w:r w:rsidRPr="00450F37">
        <w:rPr>
          <w:color w:val="auto"/>
          <w:kern w:val="0"/>
          <w:lang w:val="en-US" w:eastAsia="en-US"/>
        </w:rPr>
        <w:t>sclerosus</w:t>
      </w:r>
      <w:proofErr w:type="spellEnd"/>
      <w:r w:rsidRPr="00450F37">
        <w:rPr>
          <w:color w:val="auto"/>
          <w:kern w:val="0"/>
          <w:lang w:val="en-US" w:eastAsia="en-US"/>
        </w:rPr>
        <w:t xml:space="preserve"> may present with pruritus, burning, fissuring, and dyspareunia, along with characteristic pallor or white plaques and, over time, architectural changes such as loss of labia minora or clitoral hood fusion. Modern dermatologic updates emphasize that ultra-potent topical corticosteroids are first-line therapy and that individualized maintenance regimens are often required to sustain remission, protect architecture, and reduce relapse (Lee &amp; Fischer, 2018). The need for long-term strategy is reinforced by prospective cohort evidence demonstrating the importance of sustained management in adult vulvar lichen </w:t>
      </w:r>
      <w:proofErr w:type="spellStart"/>
      <w:r w:rsidRPr="00450F37">
        <w:rPr>
          <w:color w:val="auto"/>
          <w:kern w:val="0"/>
          <w:lang w:val="en-US" w:eastAsia="en-US"/>
        </w:rPr>
        <w:t>sclerosus</w:t>
      </w:r>
      <w:proofErr w:type="spellEnd"/>
      <w:r w:rsidRPr="00450F37">
        <w:rPr>
          <w:color w:val="auto"/>
          <w:kern w:val="0"/>
          <w:lang w:val="en-US" w:eastAsia="en-US"/>
        </w:rPr>
        <w:t>, supporting follow-up and maintenance approaches rather than episodic treatment based solely on symptoms (Lee et al., 2015).</w:t>
      </w:r>
    </w:p>
    <w:p w14:paraId="228320C4"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The long-term implications of lichen </w:t>
      </w:r>
      <w:proofErr w:type="spellStart"/>
      <w:r w:rsidRPr="00450F37">
        <w:rPr>
          <w:color w:val="auto"/>
          <w:kern w:val="0"/>
          <w:lang w:val="en-US" w:eastAsia="en-US"/>
        </w:rPr>
        <w:t>sclerosus</w:t>
      </w:r>
      <w:proofErr w:type="spellEnd"/>
      <w:r w:rsidRPr="00450F37">
        <w:rPr>
          <w:color w:val="auto"/>
          <w:kern w:val="0"/>
          <w:lang w:val="en-US" w:eastAsia="en-US"/>
        </w:rPr>
        <w:t xml:space="preserve"> are further heightened by its association with vulvar squamous cell carcinoma. Epidemiologic evidence supports an increased risk of vulvar squamous cell carcinoma in individuals with lichen </w:t>
      </w:r>
      <w:proofErr w:type="spellStart"/>
      <w:r w:rsidRPr="00450F37">
        <w:rPr>
          <w:color w:val="auto"/>
          <w:kern w:val="0"/>
          <w:lang w:val="en-US" w:eastAsia="en-US"/>
        </w:rPr>
        <w:t>sclerosus</w:t>
      </w:r>
      <w:proofErr w:type="spellEnd"/>
      <w:r w:rsidRPr="00450F37">
        <w:rPr>
          <w:color w:val="auto"/>
          <w:kern w:val="0"/>
          <w:lang w:val="en-US" w:eastAsia="en-US"/>
        </w:rPr>
        <w:t xml:space="preserve">, reinforcing the need for ongoing surveillance and a low threshold for biopsy of new, focal, persistent, hyperkeratotic, ulcerated, or otherwise evolving lesions (Bleeker et al., 2016). This surveillance principle is particularly important in </w:t>
      </w:r>
      <w:proofErr w:type="spellStart"/>
      <w:r w:rsidRPr="00450F37">
        <w:rPr>
          <w:color w:val="auto"/>
          <w:kern w:val="0"/>
          <w:lang w:val="en-US" w:eastAsia="en-US"/>
        </w:rPr>
        <w:t>postmenopause</w:t>
      </w:r>
      <w:proofErr w:type="spellEnd"/>
      <w:r w:rsidRPr="00450F37">
        <w:rPr>
          <w:color w:val="auto"/>
          <w:kern w:val="0"/>
          <w:lang w:val="en-US" w:eastAsia="en-US"/>
        </w:rPr>
        <w:t>, when baseline cancer risk also increases with age. Clinically, active inflammation can obscure early neoplastic change, and patients may attribute new symptoms to “normal aging,” delaying reassessment. A structured follow-up plan—with explicit patient education about what changes should trigger prompt review—can reduce delayed detection. In this life stage, therefore, management goals expand beyond symptom control to include architecture preservation, functional maintenance, and cancer risk mitigation (Bleeker et al., 2016; Lee &amp; Fischer, 2018).</w:t>
      </w:r>
    </w:p>
    <w:p w14:paraId="1B8CD00E"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Peri- and postmenopausal care must also explicitly address quality of life. Chronic pruritus disrupts sleep, persistent burning and fissures reduce daily comfort, and dyspareunia can contribute to avoidance and relationship stress. Because symptoms may have multiple interacting drivers—hypoestrogenic fragility, inflammatory dermatoses, and exposure-driven dermatitis—patients may experience frustration after repeated unsuccessful treatments. Clinicians can reduce this burden by naming the layered contributors, simplifying topical regimens, and setting expectations for chronicity when appropriate. The evidence base on vulvar dermatoses supports this approach: long-term lichen </w:t>
      </w:r>
      <w:proofErr w:type="spellStart"/>
      <w:r w:rsidRPr="00450F37">
        <w:rPr>
          <w:color w:val="auto"/>
          <w:kern w:val="0"/>
          <w:lang w:val="en-US" w:eastAsia="en-US"/>
        </w:rPr>
        <w:t>sclerosus</w:t>
      </w:r>
      <w:proofErr w:type="spellEnd"/>
      <w:r w:rsidRPr="00450F37">
        <w:rPr>
          <w:color w:val="auto"/>
          <w:kern w:val="0"/>
          <w:lang w:val="en-US" w:eastAsia="en-US"/>
        </w:rPr>
        <w:t xml:space="preserve"> management is a chronic-care model rather than a one-time cure (Lee et al., 2015), and contact dermatitis often improves only when exposure drivers are explicitly identified and removed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Woodruff et al., 2018).</w:t>
      </w:r>
    </w:p>
    <w:p w14:paraId="04165C31"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lastRenderedPageBreak/>
        <w:t xml:space="preserve">In summary, peri- and </w:t>
      </w:r>
      <w:proofErr w:type="spellStart"/>
      <w:r w:rsidRPr="00450F37">
        <w:rPr>
          <w:color w:val="auto"/>
          <w:kern w:val="0"/>
          <w:lang w:val="en-US" w:eastAsia="en-US"/>
        </w:rPr>
        <w:t>postmenopause</w:t>
      </w:r>
      <w:proofErr w:type="spellEnd"/>
      <w:r w:rsidRPr="00450F37">
        <w:rPr>
          <w:color w:val="auto"/>
          <w:kern w:val="0"/>
          <w:lang w:val="en-US" w:eastAsia="en-US"/>
        </w:rPr>
        <w:t xml:space="preserve"> are characterized by increased epithelial vulnerability, intensified exposure risks, and heightened prominence of chronic inflammatory dermatoses—especially lichen </w:t>
      </w:r>
      <w:proofErr w:type="spellStart"/>
      <w:r w:rsidRPr="00450F37">
        <w:rPr>
          <w:color w:val="auto"/>
          <w:kern w:val="0"/>
          <w:lang w:val="en-US" w:eastAsia="en-US"/>
        </w:rPr>
        <w:t>sclerosus</w:t>
      </w:r>
      <w:proofErr w:type="spellEnd"/>
      <w:r w:rsidRPr="00450F37">
        <w:rPr>
          <w:color w:val="auto"/>
          <w:kern w:val="0"/>
          <w:lang w:val="en-US" w:eastAsia="en-US"/>
        </w:rPr>
        <w:t>—alongside a clinically important neoplasia risk context. Effective care requires a life-course framework that integrates menopause-related tissue changes, careful exposure analysis, evidence-based anti-inflammatory therapy, and vigilant long-term surveillance for suspicious evolution (</w:t>
      </w:r>
      <w:proofErr w:type="spellStart"/>
      <w:r w:rsidRPr="00450F37">
        <w:rPr>
          <w:color w:val="auto"/>
          <w:kern w:val="0"/>
          <w:lang w:val="en-US" w:eastAsia="en-US"/>
        </w:rPr>
        <w:t>Musbahi</w:t>
      </w:r>
      <w:proofErr w:type="spellEnd"/>
      <w:r w:rsidRPr="00450F37">
        <w:rPr>
          <w:color w:val="auto"/>
          <w:kern w:val="0"/>
          <w:lang w:val="en-US" w:eastAsia="en-US"/>
        </w:rPr>
        <w:t xml:space="preserve"> et al., 2022; Bleeker et al., 2016; Lee &amp; Fischer, 2018; Lee et al., 2015;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Woodruff et al., 2018).</w:t>
      </w:r>
    </w:p>
    <w:p w14:paraId="68DB72A1" w14:textId="77777777" w:rsidR="00DC6E1F" w:rsidRPr="00DC6E1F" w:rsidRDefault="00DC6E1F" w:rsidP="00DC6E1F">
      <w:pPr>
        <w:rPr>
          <w:lang w:val="en-GB"/>
        </w:rPr>
      </w:pPr>
    </w:p>
    <w:p w14:paraId="45C9787C"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t>9. Premalignant and malignant mimickers across the life course</w:t>
      </w:r>
    </w:p>
    <w:p w14:paraId="5D1FF966"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A defining diagnostic challenge in vulvar and perineal medicine is the extensive clinical overlap between benign inflammatory dermatoses and premalignant or malignant disease. The symptom pathways that bring patients to care—pruritus, burning, pain, dyspareunia, dysuria, fissuring, and chronic irritation—are shared across eczema/contact dermatitis, psoriasis, lichenoid disease, and neoplasia. This overlap is particularly consequential because inflammatory dermatoses can both mimic neoplasia and coexist with it, and because visible morphology in the vulvar region is often modified by occlusion, friction, and maceration, reducing the reliability of “classic” visual cues. A life-course perspective strengthens clinical reasoning by aligning morphologic suspicion with age-related risk patterns: some precursor pathways cluster in midlife, whereas others become more prominent in older age, and both may occur against a background of chronic inflammation that alters appearance and symptom intensity.</w:t>
      </w:r>
    </w:p>
    <w:p w14:paraId="2EAF9B6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Across the life course, the most important practical principle is that persistent, focal, or evolving lesions must be approached as “neoplasia until proven otherwise,” especially when they fail to respond to diagnosis-appropriate therapy. Hyperkeratosis, induration, ulceration, persistent erosion, new nodularity, or an area of disproportionate pain relative to visible inflammation should prompt biopsy rather than continued empiricism. This is especially relevant in the context of chronic lichenoid disease. Lichen </w:t>
      </w:r>
      <w:proofErr w:type="spellStart"/>
      <w:r w:rsidRPr="00450F37">
        <w:rPr>
          <w:color w:val="auto"/>
          <w:kern w:val="0"/>
          <w:lang w:val="en-US" w:eastAsia="en-US"/>
        </w:rPr>
        <w:t>sclerosus</w:t>
      </w:r>
      <w:proofErr w:type="spellEnd"/>
      <w:r w:rsidRPr="00450F37">
        <w:rPr>
          <w:color w:val="auto"/>
          <w:kern w:val="0"/>
          <w:lang w:val="en-US" w:eastAsia="en-US"/>
        </w:rPr>
        <w:t xml:space="preserve"> is a central example because it is associated with an increased risk of vulvar squamous cell carcinoma and can evolve with architectural change and chronic inflammation that obscures emerging neoplasia (Bleeker et al., 2016; Lee &amp; Fischer, 2018). In practice, stable long-term control of inflammation improves surveillance quality: when baseline disease is controlled, a new focal thickened plaque, persistent ulcer, or changing area becomes easier to recognize as atypical rather than “just another flare” (Lee &amp; Fischer, 2018). Epidemiologic evidence supporting the association between lichen </w:t>
      </w:r>
      <w:proofErr w:type="spellStart"/>
      <w:r w:rsidRPr="00450F37">
        <w:rPr>
          <w:color w:val="auto"/>
          <w:kern w:val="0"/>
          <w:lang w:val="en-US" w:eastAsia="en-US"/>
        </w:rPr>
        <w:t>sclerosus</w:t>
      </w:r>
      <w:proofErr w:type="spellEnd"/>
      <w:r w:rsidRPr="00450F37">
        <w:rPr>
          <w:color w:val="auto"/>
          <w:kern w:val="0"/>
          <w:lang w:val="en-US" w:eastAsia="en-US"/>
        </w:rPr>
        <w:t xml:space="preserve"> and vulvar squamous cell carcinoma further reinforces that vigilance is not optional, particularly in peri- and postmenopausal patients where background cancer risk increases with age (Bleeker et al., 2016).</w:t>
      </w:r>
    </w:p>
    <w:p w14:paraId="21EA17C9" w14:textId="77777777" w:rsidR="00450F37" w:rsidRPr="00450F37" w:rsidRDefault="00450F37" w:rsidP="00450F37">
      <w:pPr>
        <w:spacing w:before="100" w:beforeAutospacing="1" w:after="100" w:afterAutospacing="1" w:line="240" w:lineRule="auto"/>
        <w:ind w:left="0" w:right="0" w:firstLine="0"/>
        <w:jc w:val="left"/>
        <w:outlineLvl w:val="2"/>
        <w:rPr>
          <w:b/>
          <w:bCs/>
          <w:color w:val="auto"/>
          <w:kern w:val="0"/>
          <w:sz w:val="27"/>
          <w:szCs w:val="27"/>
          <w:lang w:val="en-US" w:eastAsia="en-US"/>
        </w:rPr>
      </w:pPr>
      <w:r w:rsidRPr="00450F37">
        <w:rPr>
          <w:b/>
          <w:bCs/>
          <w:color w:val="auto"/>
          <w:kern w:val="0"/>
          <w:sz w:val="27"/>
          <w:szCs w:val="27"/>
          <w:lang w:val="en-US" w:eastAsia="en-US"/>
        </w:rPr>
        <w:t>9.1. Vulvar intraepithelial neoplasia and pathway distinctions</w:t>
      </w:r>
    </w:p>
    <w:p w14:paraId="2C9F518A"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Vulvar intraepithelial neoplasia (VIN) is not a single entity but a set of precursor lesions with distinct etiologic pathways, clinical behaviors, and age distributions. This heterogeneity is clinically meaningful because it determines not only recurrence patterns and progression risk but also how aggressively clinicians must exclude invasion and how surveillance is structured </w:t>
      </w:r>
      <w:r w:rsidRPr="00450F37">
        <w:rPr>
          <w:color w:val="auto"/>
          <w:kern w:val="0"/>
          <w:lang w:val="en-US" w:eastAsia="en-US"/>
        </w:rPr>
        <w:lastRenderedPageBreak/>
        <w:t>over time. Contemporary reviews emphasize the importance of distinguishing HPV-associated lesions from HPV-independent squamous precursors, particularly differentiated VIN, which is more often linked to chronic dermatoses and is considered to have higher malignant potential and a tendency toward more rapid progression (Lebreton et al., 2020; Watkins, 2019).</w:t>
      </w:r>
    </w:p>
    <w:p w14:paraId="7707D49A"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The life-course relevance of this distinction is substantial. HPV-associated VIN may present earlier and may coexist with multifocal lower genital tract disease, whereas HPV-independent pathways become increasingly important with advancing age and often arise in the setting of chronic inflammatory dermatoses. When patients present with longstanding vulvar symptoms and background inflammatory disease, a key diagnostic trap is to attribute all new discomfort or visual change to the known dermatosis. Instead, clinicians should be alert to focal lesions that are new, persistent, or morphologically discordant with the baseline pattern—particularly thickened plaques, persistent erosions, or localized hyperkeratosis—because these may represent VIN or early invasive carcinoma. Reviews of VIN underscore that classification, careful clinicopathologic correlation, and biopsy are central to appropriate management, precisely because visual inspection alone is insufficient in many cases (Lebreton et al., 2020; Watkins, 2019).</w:t>
      </w:r>
    </w:p>
    <w:p w14:paraId="0273FE00"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The relationship between chronic inflammatory dermatoses and HPV-independent precursor pathways is especially important in lichen </w:t>
      </w:r>
      <w:proofErr w:type="spellStart"/>
      <w:r w:rsidRPr="00450F37">
        <w:rPr>
          <w:color w:val="auto"/>
          <w:kern w:val="0"/>
          <w:lang w:val="en-US" w:eastAsia="en-US"/>
        </w:rPr>
        <w:t>sclerosus</w:t>
      </w:r>
      <w:proofErr w:type="spellEnd"/>
      <w:r w:rsidRPr="00450F37">
        <w:rPr>
          <w:color w:val="auto"/>
          <w:kern w:val="0"/>
          <w:lang w:val="en-US" w:eastAsia="en-US"/>
        </w:rPr>
        <w:t xml:space="preserve">–associated disease contexts. Given the documented association between lichen </w:t>
      </w:r>
      <w:proofErr w:type="spellStart"/>
      <w:r w:rsidRPr="00450F37">
        <w:rPr>
          <w:color w:val="auto"/>
          <w:kern w:val="0"/>
          <w:lang w:val="en-US" w:eastAsia="en-US"/>
        </w:rPr>
        <w:t>sclerosus</w:t>
      </w:r>
      <w:proofErr w:type="spellEnd"/>
      <w:r w:rsidRPr="00450F37">
        <w:rPr>
          <w:color w:val="auto"/>
          <w:kern w:val="0"/>
          <w:lang w:val="en-US" w:eastAsia="en-US"/>
        </w:rPr>
        <w:t xml:space="preserve"> and vulvar squamous cell carcinoma, the appearance of VIN-like change or early carcinoma may be clinically subtle and symptomatically similar to inflammatory activity (Bleeker et al., 2016; Lee &amp; Fischer, 2018). This reinforces the need for a low threshold for biopsy of suspicious areas and for longitudinal follow-up that treats symptom change and morphologic evolution as key surveillance signals rather than as expected variability.</w:t>
      </w:r>
    </w:p>
    <w:p w14:paraId="36E408C3" w14:textId="77777777" w:rsidR="00450F37" w:rsidRPr="00450F37" w:rsidRDefault="00450F37" w:rsidP="00450F37">
      <w:pPr>
        <w:spacing w:before="100" w:beforeAutospacing="1" w:after="100" w:afterAutospacing="1" w:line="240" w:lineRule="auto"/>
        <w:ind w:left="0" w:right="0" w:firstLine="0"/>
        <w:jc w:val="left"/>
        <w:outlineLvl w:val="2"/>
        <w:rPr>
          <w:b/>
          <w:bCs/>
          <w:color w:val="auto"/>
          <w:kern w:val="0"/>
          <w:sz w:val="27"/>
          <w:szCs w:val="27"/>
          <w:lang w:val="en-US" w:eastAsia="en-US"/>
        </w:rPr>
      </w:pPr>
      <w:r w:rsidRPr="00450F37">
        <w:rPr>
          <w:b/>
          <w:bCs/>
          <w:color w:val="auto"/>
          <w:kern w:val="0"/>
          <w:sz w:val="27"/>
          <w:szCs w:val="27"/>
          <w:lang w:val="en-US" w:eastAsia="en-US"/>
        </w:rPr>
        <w:t>9.2. Vulvar melanoma and pigmented lesions</w:t>
      </w:r>
    </w:p>
    <w:p w14:paraId="6530F49C"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Pigmented vulvar lesions are common and encompass benign melanosis, nevi, post-inflammatory dyspigmentation, and vascular or keratotic lesions that can appear dark. The clinical dilemma is that vulvar melanoma is rare but high-impact, and delayed diagnosis is common when pigmentation is assumed benign or attributed to friction-related color change. A life-course framing helps by aligning vigilance with epidemiology: vulvar melanoma is more frequently diagnosed in older adults, but it can occur across ages, so clinicians should not dismiss concerning features in younger patients (Wohlmuth &amp; Wohlmuth-Wieser, 2021).</w:t>
      </w:r>
    </w:p>
    <w:p w14:paraId="2224F85D"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Modern reviews emphasize that careful evaluation of pigmented vulvar lesions is essential and that biopsy is warranted for lesions with suspicious clinical evolution or atypical features, rather than attempting prolonged observation in the setting of uncertainty (Wohlmuth &amp; Wohlmuth-Wieser, 2021). In practice, suspicion increases with new or changing pigmentation, asymmetry, border irregularity, variegated color, nodularity, ulceration, bleeding, or persistent localized pain. Importantly, melanoma and other malignancies may present with symptoms that mimic inflammatory disease—itch, burning, or soreness—particularly when lesions are small or located in high-friction zones. This symptom overlap underscores why vulvar examination should prioritize not only “what diagnosis fits the symptoms” but also “what diagnosis must not be missed,” a framing that is particularly relevant when lesions are focal, persistent, and out of proportion to surrounding inflammation.</w:t>
      </w:r>
    </w:p>
    <w:p w14:paraId="7F58CCA4" w14:textId="77777777" w:rsidR="00450F37" w:rsidRPr="00450F37" w:rsidRDefault="00450F37" w:rsidP="00450F37">
      <w:pPr>
        <w:spacing w:before="100" w:beforeAutospacing="1" w:after="100" w:afterAutospacing="1" w:line="240" w:lineRule="auto"/>
        <w:ind w:left="0" w:right="0" w:firstLine="0"/>
        <w:jc w:val="left"/>
        <w:outlineLvl w:val="2"/>
        <w:rPr>
          <w:b/>
          <w:bCs/>
          <w:color w:val="auto"/>
          <w:kern w:val="0"/>
          <w:sz w:val="27"/>
          <w:szCs w:val="27"/>
          <w:lang w:val="en-US" w:eastAsia="en-US"/>
        </w:rPr>
      </w:pPr>
      <w:r w:rsidRPr="00450F37">
        <w:rPr>
          <w:b/>
          <w:bCs/>
          <w:color w:val="auto"/>
          <w:kern w:val="0"/>
          <w:sz w:val="27"/>
          <w:szCs w:val="27"/>
          <w:lang w:val="en-US" w:eastAsia="en-US"/>
        </w:rPr>
        <w:lastRenderedPageBreak/>
        <w:t>9.3. Integrating life-course risk into biopsy strategy</w:t>
      </w:r>
    </w:p>
    <w:p w14:paraId="0CAFAD03"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 life-course approach does not replace morphology; it calibrates the threshold for action. In younger patients, persistent focal lesions still warrant biopsy when atypical or unresponsive, because precursor lesions and malignancies can occur outside their most common age ranges (Wohlmuth &amp; Wohlmuth-Wieser, 2021). In older patients, the biopsy threshold should be even lower because baseline risk is higher and because background dermatoses—especially lichen </w:t>
      </w:r>
      <w:proofErr w:type="spellStart"/>
      <w:r w:rsidRPr="00450F37">
        <w:rPr>
          <w:color w:val="auto"/>
          <w:kern w:val="0"/>
          <w:lang w:val="en-US" w:eastAsia="en-US"/>
        </w:rPr>
        <w:t>sclerosus</w:t>
      </w:r>
      <w:proofErr w:type="spellEnd"/>
      <w:r w:rsidRPr="00450F37">
        <w:rPr>
          <w:color w:val="auto"/>
          <w:kern w:val="0"/>
          <w:lang w:val="en-US" w:eastAsia="en-US"/>
        </w:rPr>
        <w:t>—are more prevalent and may both mimic and facilitate malignant pathways (Bleeker et al., 2016; Lee &amp; Fischer, 2018). Across all ages, the unifying principle is that chronicity and focality are risk signals: a lesion that remains in the same spot, evolves in texture or color, or resists appropriate therapy should be sampled to achieve diagnostic certainty and to prevent delayed identification of VIN, carcinoma, or melanoma (Lebreton et al., 2020; Watkins, 2019; Wohlmuth &amp; Wohlmuth-Wieser, 2021).</w:t>
      </w:r>
    </w:p>
    <w:p w14:paraId="4A8D0243" w14:textId="77777777" w:rsidR="00DC6E1F" w:rsidRPr="00DC6E1F" w:rsidRDefault="00DC6E1F" w:rsidP="00DC6E1F">
      <w:pPr>
        <w:rPr>
          <w:lang w:val="en-GB"/>
        </w:rPr>
      </w:pPr>
    </w:p>
    <w:p w14:paraId="1E9CAAB2"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t>10. Long-term management principles across life stages</w:t>
      </w:r>
    </w:p>
    <w:p w14:paraId="7B4D26C8"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Long-term outcomes in vulvar and perineal dermatoses depend less on the intensity of any single flare and more on the consistency and precision of longitudinal care. Across life stages, patients frequently move through cycles of symptoms, self-treatment, partial relief, recurrence, and escalating product use. This pattern can entrench chronicity by perpetuating barrier disruption and sensitization, and it can also delay recognition of high-risk disease evolution. Clinical guidance emphasizes that management should be diagnosis-specific, anatomy-aware, and sustained over time, rather than episodic and symptom-only (American College of Obstetricians and Gynecologists’ Committee on Practice Bulletins—Gynecology, 2020). A life-course framework supports this approach by aligning therapy with age-related vulnerability, exposures, and risk profiles, while maintaining core management pillars that apply across the lifespan.</w:t>
      </w:r>
    </w:p>
    <w:p w14:paraId="59D5C8B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A foundational principle in long-term management is barrier restoration paired with exposure rationalization. The vulvar–perineal region is uniquely vulnerable to irritant injury because occlusion and moisture increase permeability, and repeated friction promotes fissuring and inflammation. Patients often respond to symptoms by increasing washing frequency or applying multiple over-the-counter preparations, inadvertently adding surfactants, fragrances, preservatives, topical anesthetics, and other sensitizing ingredients. Evidence synthesis underscores that allergic and irritant contact dermatitis are common contributors to vulvar symptoms, that clinically relevant allergens/irritants can be identified, and that patch testing plays an important role in persistent or refractory disease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Clinic-based review literature similarly emphasizes that allergic contact dermatitis of the vulva is frequently underdiagnosed and that improvement often requires deliberate identification and removal of culprit exposures rather than simply intensifying anti-inflammatory medication (Woodruff et al., 2018). In long-term care, therefore, “doing less” with products is often therapeutic. Management plans are strengthened when clinicians provide explicit, simple instructions about which products are permitted, which should be avoided, and how to maintain gentle hygiene without repeated wet wiping or aggressive cleansing.</w:t>
      </w:r>
    </w:p>
    <w:p w14:paraId="7982945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Anti-inflammatory therapy must be tailored to diagnosis and to genital anatomy. Thin genital skin and mucosal surfaces are more sensitive to irritation and may absorb topicals differently </w:t>
      </w:r>
      <w:r w:rsidRPr="00450F37">
        <w:rPr>
          <w:color w:val="auto"/>
          <w:kern w:val="0"/>
          <w:lang w:val="en-US" w:eastAsia="en-US"/>
        </w:rPr>
        <w:lastRenderedPageBreak/>
        <w:t xml:space="preserve">than extragenital skin, which increases the importance of choosing appropriate vehicles, dosing strategies, and follow-up intervals. For lichen </w:t>
      </w:r>
      <w:proofErr w:type="spellStart"/>
      <w:r w:rsidRPr="00450F37">
        <w:rPr>
          <w:color w:val="auto"/>
          <w:kern w:val="0"/>
          <w:lang w:val="en-US" w:eastAsia="en-US"/>
        </w:rPr>
        <w:t>sclerosus</w:t>
      </w:r>
      <w:proofErr w:type="spellEnd"/>
      <w:r w:rsidRPr="00450F37">
        <w:rPr>
          <w:color w:val="auto"/>
          <w:kern w:val="0"/>
          <w:lang w:val="en-US" w:eastAsia="en-US"/>
        </w:rPr>
        <w:t xml:space="preserve">, the long-term management paradigm is particularly well-established. Evidence-informed dermatologic updates recommend ultra-potent topical corticosteroids as first-line therapy with structured induction followed by individualized maintenance, emphasizing that sustained control is necessary to prevent relapse, limit scarring, and preserve vulvar architecture (Lee &amp; Fischer, 2018). Prospective cohort evidence supports the clinical importance of long-term management strategies in adult vulvar lichen </w:t>
      </w:r>
      <w:proofErr w:type="spellStart"/>
      <w:r w:rsidRPr="00450F37">
        <w:rPr>
          <w:color w:val="auto"/>
          <w:kern w:val="0"/>
          <w:lang w:val="en-US" w:eastAsia="en-US"/>
        </w:rPr>
        <w:t>sclerosus</w:t>
      </w:r>
      <w:proofErr w:type="spellEnd"/>
      <w:r w:rsidRPr="00450F37">
        <w:rPr>
          <w:color w:val="auto"/>
          <w:kern w:val="0"/>
          <w:lang w:val="en-US" w:eastAsia="en-US"/>
        </w:rPr>
        <w:t>, demonstrating that ongoing treatment and follow-up are central to favorable trajectories rather than short, episodic courses that allow chronic inflammation to persist (Lee et al., 2015). This chronic-care model is relevant across life stages, including pregnancy and postpartum, where maintaining disease control can prevent fissuring and pain while supporting surveillance continuity (Lee &amp; Fischer, 2018; Lee et al., 2015).</w:t>
      </w:r>
    </w:p>
    <w:p w14:paraId="218272E1"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Long-term management for genital and inverse psoriasis similarly requires site-specific adaptation. Genital psoriasis often appears less scaly and more fissured because occlusion modifies morphology, and treatment must balance efficacy with local tolerability and the risk of irritation from topical vehicles. Updated therapeutic reviews emphasize practical approaches for genital and inverse psoriasis that recognize the sensitivity of the area and the need for regimens that patients can sustain without causing further irritation (Hong et al., 2021). In a life-course context, this matters because the pattern of friction and occlusion can change with weight fluctuations, pregnancy, postpartum recovery, athletic activity, and menopause-related tissue fragility, meaning that a regimen that was tolerable at one life stage may require adjustment later.</w:t>
      </w:r>
    </w:p>
    <w:p w14:paraId="247DD31E"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Vulvovaginal lichen planus illustrates why long-term management must integrate symptom control with function and quality of life. Erosive disease can cause persistent burning, dyspareunia, and mucosal erosions, and it may require prolonged therapy and careful monitoring to prevent scarring or adhesions. Focused reviews underscore that sustained recognition and management planning are essential, because short empirical treatment cycles often fail and can delay appropriate care (Dubey &amp; Fischer, 2019). Controlled trial evidence exploring photodynamic approaches compared with topical corticosteroid regimens reflects the ongoing clinical need for durable strategies in severe disease, even though long-term management remains individualized and often complex (Helgesen et al., 2015). Across life stages, the implication is that clinicians should normalize the chronicity of vulvovaginal lichen planus and proactively address sexual pain, avoidance, and psychosocial burden as part of the management plan, rather than treating inflammation alone.</w:t>
      </w:r>
    </w:p>
    <w:p w14:paraId="0A18F447"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Surveillance is an integral component of long-term management, particularly for conditions linked to malignancy risk. Lichen </w:t>
      </w:r>
      <w:proofErr w:type="spellStart"/>
      <w:r w:rsidRPr="00450F37">
        <w:rPr>
          <w:color w:val="auto"/>
          <w:kern w:val="0"/>
          <w:lang w:val="en-US" w:eastAsia="en-US"/>
        </w:rPr>
        <w:t>sclerosus</w:t>
      </w:r>
      <w:proofErr w:type="spellEnd"/>
      <w:r w:rsidRPr="00450F37">
        <w:rPr>
          <w:color w:val="auto"/>
          <w:kern w:val="0"/>
          <w:lang w:val="en-US" w:eastAsia="en-US"/>
        </w:rPr>
        <w:t xml:space="preserve"> is associated with an increased risk of vulvar squamous cell carcinoma, strengthening the argument for periodic reassessment and a low threshold for biopsy of new, focal, persistent, hyperkeratotic, ulcerated, or otherwise evolving lesions (Bleeker et al., 2016; Lee &amp; Fischer, 2018). Life-stage considerations influence how surveillance is operationalized: in older adults, baseline cancer risk is higher and lichen </w:t>
      </w:r>
      <w:proofErr w:type="spellStart"/>
      <w:r w:rsidRPr="00450F37">
        <w:rPr>
          <w:color w:val="auto"/>
          <w:kern w:val="0"/>
          <w:lang w:val="en-US" w:eastAsia="en-US"/>
        </w:rPr>
        <w:t>sclerosus</w:t>
      </w:r>
      <w:proofErr w:type="spellEnd"/>
      <w:r w:rsidRPr="00450F37">
        <w:rPr>
          <w:color w:val="auto"/>
          <w:kern w:val="0"/>
          <w:lang w:val="en-US" w:eastAsia="en-US"/>
        </w:rPr>
        <w:t xml:space="preserve"> is more prevalent, so clinicians should be especially vigilant about morphologic change; in younger patients, surveillance is still important because scarring trajectories and functional impacts accumulate over time. Longitudinal follow-up also helps clinicians distinguish “expected variability” from true change, which is particularly relevant in patients with layered etiologies such as lichen </w:t>
      </w:r>
      <w:proofErr w:type="spellStart"/>
      <w:r w:rsidRPr="00450F37">
        <w:rPr>
          <w:color w:val="auto"/>
          <w:kern w:val="0"/>
          <w:lang w:val="en-US" w:eastAsia="en-US"/>
        </w:rPr>
        <w:t>sclerosus</w:t>
      </w:r>
      <w:proofErr w:type="spellEnd"/>
      <w:r w:rsidRPr="00450F37">
        <w:rPr>
          <w:color w:val="auto"/>
          <w:kern w:val="0"/>
          <w:lang w:val="en-US" w:eastAsia="en-US"/>
        </w:rPr>
        <w:t xml:space="preserve"> complicated by contact dermatitis or psoriasis complicated by irritant exposure.</w:t>
      </w:r>
    </w:p>
    <w:p w14:paraId="7A5FFB1E"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lastRenderedPageBreak/>
        <w:t>Education and adherence support are themselves therapeutic interventions in vulvar medicine. Patients may underuse prescribed anti-inflammatory therapy due to fear of potent topicals, inconsistent instructions, or uncertainty about maintenance needs. Others may overuse a broad array of products in search of relief. Clear counseling—about correct dosing, safe long-term maintenance, warning signs that require review, and the rationale for minimizing product exposure—improves adherence and reduces recurrence driven by exposure or undertreatment. Guideline-based recommendations support this structured approach, emphasizing that chronic vulvar disorders should be managed with clear diagnosis-based plans and follow-up rather than repeated empiricism (American College of Obstetricians and Gynecologists’ Committee on Practice Bulletins—Gynecology, 2020).</w:t>
      </w:r>
    </w:p>
    <w:p w14:paraId="4F3197FF"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In sum, long-term management across life stages rests on a small set of high-yield principles: restore and protect the barrier while rationalizing exposures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Woodruff et al., 2018); match anti-inflammatory therapy to diagnosis and anatomy with an expectation of maintenance for chronic disorders, particularly lichen </w:t>
      </w:r>
      <w:proofErr w:type="spellStart"/>
      <w:r w:rsidRPr="00450F37">
        <w:rPr>
          <w:color w:val="auto"/>
          <w:kern w:val="0"/>
          <w:lang w:val="en-US" w:eastAsia="en-US"/>
        </w:rPr>
        <w:t>sclerosus</w:t>
      </w:r>
      <w:proofErr w:type="spellEnd"/>
      <w:r w:rsidRPr="00450F37">
        <w:rPr>
          <w:color w:val="auto"/>
          <w:kern w:val="0"/>
          <w:lang w:val="en-US" w:eastAsia="en-US"/>
        </w:rPr>
        <w:t xml:space="preserve"> (Lee &amp; Fischer, 2018; Lee et al., 2015); tailor regimens for genital psoriasis to maximize sustainability and minimize irritation (Hong et al., 2021); plan sustained management for vulvovaginal lichen planus with attention to pain and function (Dubey &amp; Fischer, 2019; Helgesen et al., 2015); and embed surveillance into care for conditions linked to malignant risk, especially lichen </w:t>
      </w:r>
      <w:proofErr w:type="spellStart"/>
      <w:r w:rsidRPr="00450F37">
        <w:rPr>
          <w:color w:val="auto"/>
          <w:kern w:val="0"/>
          <w:lang w:val="en-US" w:eastAsia="en-US"/>
        </w:rPr>
        <w:t>sclerosus</w:t>
      </w:r>
      <w:proofErr w:type="spellEnd"/>
      <w:r w:rsidRPr="00450F37">
        <w:rPr>
          <w:color w:val="auto"/>
          <w:kern w:val="0"/>
          <w:lang w:val="en-US" w:eastAsia="en-US"/>
        </w:rPr>
        <w:t xml:space="preserve"> (Bleeker et al., 2016). When these principles are applied consistently, clinicians can reduce symptom burden, prevent avoidable scarring, and improve long-term quality of life.</w:t>
      </w:r>
    </w:p>
    <w:p w14:paraId="3CA0F345" w14:textId="77777777" w:rsidR="00DC6E1F" w:rsidRPr="00DC6E1F" w:rsidRDefault="00DC6E1F" w:rsidP="00DC6E1F">
      <w:pPr>
        <w:rPr>
          <w:lang w:val="en-GB"/>
        </w:rPr>
      </w:pPr>
    </w:p>
    <w:p w14:paraId="05A16B8C" w14:textId="77777777" w:rsidR="00450F37" w:rsidRPr="00450F37" w:rsidRDefault="00450F37" w:rsidP="00450F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450F37">
        <w:rPr>
          <w:b/>
          <w:bCs/>
          <w:color w:val="auto"/>
          <w:kern w:val="0"/>
          <w:sz w:val="36"/>
          <w:szCs w:val="36"/>
          <w:lang w:val="en-US" w:eastAsia="en-US"/>
        </w:rPr>
        <w:t>11. Future directions and research priorities</w:t>
      </w:r>
    </w:p>
    <w:p w14:paraId="1CA7864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Despite notable advances in the recognition and management of vulvar and perineal dermatoses, several gaps continue to limit diagnostic timeliness, therapeutic durability, and patient-centered outcomes. The next phase of progress is likely to come less from discovering entirely new disease entities and more from improving the quality and applicability of evidence in real-world vulvar care. Across life stages, the most persistent problems are under-recognition, conflation of symptom pathways with diagnosis, and fragmented longitudinal follow-up. These issues are repeatedly emphasized in clinical guidance and contemporary reviews, which call for structured assessment, diagnosis-specific therapy, and sustained management rather than repeated empiricism (American College of Obstetricians and Gynecologists’ Committee on Practice Bulletins—Gynecology, 2020). Research priorities should therefore address both biology and implementation, aiming to reduce delays, improve therapeutic adherence, and strengthen surveillance for high-risk disease evolution.</w:t>
      </w:r>
    </w:p>
    <w:p w14:paraId="61D7BA12"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One major priority is the development and validation of standardized, vulvar-specific outcome measures. Many studies still rely on clinician-reported global assessments or extrapolate dermatology scales designed for extragenital sites, which may not capture the lived burden of vulvar disease. Vulvar symptoms such as itch, burning, fissuring, urinary discomfort, and dyspareunia are disproportionately disruptive to sleep, mobility, and sexual well-being, yet sexual function and pain outcomes are inconsistently incorporated into trials. This gap is particularly evident in severe mucosal disease such as erosive vulvovaginal lichen planus, where symptom burden can be profound and where durable control remains challenging. Focused clinical review literature underscores the need for sustained, function-</w:t>
      </w:r>
      <w:r w:rsidRPr="00450F37">
        <w:rPr>
          <w:color w:val="auto"/>
          <w:kern w:val="0"/>
          <w:lang w:val="en-US" w:eastAsia="en-US"/>
        </w:rPr>
        <w:lastRenderedPageBreak/>
        <w:t>aware management strategies in vulvovaginal lichen planus, suggesting that future research should prioritize outcomes that align with patient priorities rather than only visible inflammation (Dubey &amp; Fischer, 2019). The existence of randomized trial work evaluating photodynamic approaches compared with topical corticosteroid regimens also suggests an opportunity: future trials should incorporate longer follow-up horizons and standardized measures of pain, sexual function, and scarring endpoints to determine whether short-term improvements translate into meaningful, durable benefit (Helgesen et al., 2015).</w:t>
      </w:r>
    </w:p>
    <w:p w14:paraId="2C0A21AD"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A second priority concerns the exposure ecology of the vulvar region and the optimization of diagnostic pathways for contact dermatitis. Vulvar contact dermatitis remains common and underdiagnosed, and it is sustained by a high density of product exposures that change across the life course. A systematic review highlights that clinically relevant allergens and irritants can be identified and that patch testing plays an important role in persistent or refractory vulvar dermatitis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However, patch testing protocols, allergen series selection, and post-test counseling vary widely, and patients often re-expose themselves inadvertently even after an allergen is identified. Future research should therefore focus on pragmatic implementation: how to standardize vulvar-relevant patch testing approaches, how to integrate exposure inventories into routine care, and how to deliver avoidance counseling in ways that patients can realistically follow. Clinic-based review literature similarly emphasizes allergic contact dermatitis as frequently missed and implies that improving diagnostic capture will require workflow changes, education, and patient-facing tools rather than only additional pharmacotherapy (Woodruff et al., 2018).</w:t>
      </w:r>
    </w:p>
    <w:p w14:paraId="1BBABB39"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A third priority is improving long-term management models for chronic inflammatory dermatoses, particularly lichen </w:t>
      </w:r>
      <w:proofErr w:type="spellStart"/>
      <w:r w:rsidRPr="00450F37">
        <w:rPr>
          <w:color w:val="auto"/>
          <w:kern w:val="0"/>
          <w:lang w:val="en-US" w:eastAsia="en-US"/>
        </w:rPr>
        <w:t>sclerosus</w:t>
      </w:r>
      <w:proofErr w:type="spellEnd"/>
      <w:r w:rsidRPr="00450F37">
        <w:rPr>
          <w:color w:val="auto"/>
          <w:kern w:val="0"/>
          <w:lang w:val="en-US" w:eastAsia="en-US"/>
        </w:rPr>
        <w:t xml:space="preserve">, where evidence suggests that outcomes are strongly influenced by adherence and maintenance strategies. Contemporary updates emphasize that ultra-potent topical corticosteroids are first-line therapy and that individualized maintenance is often required (Lee &amp; Fischer, 2018). Prospective cohort evidence supports the centrality of long-term management and follow-up in adult vulvar lichen </w:t>
      </w:r>
      <w:proofErr w:type="spellStart"/>
      <w:r w:rsidRPr="00450F37">
        <w:rPr>
          <w:color w:val="auto"/>
          <w:kern w:val="0"/>
          <w:lang w:val="en-US" w:eastAsia="en-US"/>
        </w:rPr>
        <w:t>sclerosus</w:t>
      </w:r>
      <w:proofErr w:type="spellEnd"/>
      <w:r w:rsidRPr="00450F37">
        <w:rPr>
          <w:color w:val="auto"/>
          <w:kern w:val="0"/>
          <w:lang w:val="en-US" w:eastAsia="en-US"/>
        </w:rPr>
        <w:t>, indicating that consistent, sustained strategies are associated with improved trajectories compared with episodic treatment (Lee et al., 2015). Yet in practice, many patients underuse medication due to fear of potent steroids, confusion about maintenance dosing, or inconsistent clinician messaging. Research priorities should therefore include interventions that improve adherence and persistence, such as structured education programs, simplified dosing instructions, digital reminders, and follow-up models that reduce barriers to long-term care. Trials that compare different maintenance schedules, vehicles, and patient education approaches would be particularly valuable because they could directly inform practice and reduce real-world undertreatment.</w:t>
      </w:r>
    </w:p>
    <w:p w14:paraId="65AD3739"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 xml:space="preserve">Closely linked is the need for better risk stratification and surveillance frameworks, especially for conditions associated with malignant transformation. Epidemiologic evidence supports an increased risk of vulvar squamous cell carcinoma in patients with lichen </w:t>
      </w:r>
      <w:proofErr w:type="spellStart"/>
      <w:r w:rsidRPr="00450F37">
        <w:rPr>
          <w:color w:val="auto"/>
          <w:kern w:val="0"/>
          <w:lang w:val="en-US" w:eastAsia="en-US"/>
        </w:rPr>
        <w:t>sclerosus</w:t>
      </w:r>
      <w:proofErr w:type="spellEnd"/>
      <w:r w:rsidRPr="00450F37">
        <w:rPr>
          <w:color w:val="auto"/>
          <w:kern w:val="0"/>
          <w:lang w:val="en-US" w:eastAsia="en-US"/>
        </w:rPr>
        <w:t xml:space="preserve">, reinforcing the importance of surveillance and timely biopsy of suspicious change (Bleeker et al., 2016). However, the field still lacks widely adopted tools that stratify risk based on disease phenotype, treatment adherence, and longitudinal clinical features. Future research should aim to identify which clinical markers—such as persistent hyperkeratosis, recurrent fissuring in the same site, or new focal induration—most strongly predict progression and should inform biopsy thresholds. In parallel, precursor lesion biology remains an evolving area. Reviews of VIN emphasize important distinctions between HPV-associated and HPV-independent pathways, including differentiated precursor lesions that </w:t>
      </w:r>
      <w:r w:rsidRPr="00450F37">
        <w:rPr>
          <w:color w:val="auto"/>
          <w:kern w:val="0"/>
          <w:lang w:val="en-US" w:eastAsia="en-US"/>
        </w:rPr>
        <w:lastRenderedPageBreak/>
        <w:t>may have higher malignant potential and stronger links with chronic inflammatory dermatoses (Lebreton et al., 2020; Watkins, 2019). Research that improves clinicopathologic correlation and clarifies which surveillance intervals and diagnostic triggers optimize early detection without excessive biopsy burden would directly address a high-stakes clinical problem.</w:t>
      </w:r>
    </w:p>
    <w:p w14:paraId="412C646B"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Vulvar melanoma, although rare, is another area where improved diagnostic pathways could reduce delayed diagnosis and improve outcomes. Modern reviews highlight the importance of careful evaluation and timely biopsy of atypical pigmented lesions and emphasize that vulvar melanoma has distinct clinical and molecular characteristics and requires multidisciplinary management (Wohlmuth &amp; Wohlmuth-Wieser, 2021). Future work should focus on improving clinician recognition of suspicious pigmented lesions in vulvar contexts where benign pigmentation is common, and on developing patient education strategies that encourage early presentation for changing lesions without generating excessive anxiety.</w:t>
      </w:r>
    </w:p>
    <w:p w14:paraId="5F152720"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Finally, future directions should include workforce and systems-level research. The consistent thread across guidance and reviews is that structured evaluation, appropriate targeted testing, and sustained follow-up improve outcomes, yet access to trained vulvar specialists is uneven and many patients are managed in settings with limited time and variable clinician comfort with genital examination (American College of Obstetricians and Gynecologists’ Committee on Practice Bulletins—Gynecology, 2020). Implementation research that tests scalable care pathways—triage algorithms for biopsy, standardized exposure inventories, patch testing referral criteria, and longitudinal follow-up models—may yield larger population-level benefits than incremental therapeutic innovations alone.</w:t>
      </w:r>
    </w:p>
    <w:p w14:paraId="498AD0B0" w14:textId="77777777" w:rsidR="00450F37" w:rsidRPr="00450F37" w:rsidRDefault="00450F37" w:rsidP="00450F37">
      <w:pPr>
        <w:spacing w:before="100" w:beforeAutospacing="1" w:after="100" w:afterAutospacing="1" w:line="240" w:lineRule="auto"/>
        <w:ind w:left="0" w:right="0" w:firstLine="0"/>
        <w:jc w:val="left"/>
        <w:rPr>
          <w:color w:val="auto"/>
          <w:kern w:val="0"/>
          <w:lang w:val="en-US" w:eastAsia="en-US"/>
        </w:rPr>
      </w:pPr>
      <w:r w:rsidRPr="00450F37">
        <w:rPr>
          <w:color w:val="auto"/>
          <w:kern w:val="0"/>
          <w:lang w:val="en-US" w:eastAsia="en-US"/>
        </w:rPr>
        <w:t>In summary, the most urgent research priorities are to (</w:t>
      </w:r>
      <w:proofErr w:type="spellStart"/>
      <w:r w:rsidRPr="00450F37">
        <w:rPr>
          <w:color w:val="auto"/>
          <w:kern w:val="0"/>
          <w:lang w:val="en-US" w:eastAsia="en-US"/>
        </w:rPr>
        <w:t>i</w:t>
      </w:r>
      <w:proofErr w:type="spellEnd"/>
      <w:r w:rsidRPr="00450F37">
        <w:rPr>
          <w:color w:val="auto"/>
          <w:kern w:val="0"/>
          <w:lang w:val="en-US" w:eastAsia="en-US"/>
        </w:rPr>
        <w:t>) standardize vulvar-specific patient-centered outcome measures and incorporate longer-term endpoints, (ii) improve diagnostic capture and implementation of patch testing and exposure reduction for vulvar contact dermatitis (</w:t>
      </w:r>
      <w:proofErr w:type="spellStart"/>
      <w:r w:rsidRPr="00450F37">
        <w:rPr>
          <w:color w:val="auto"/>
          <w:kern w:val="0"/>
          <w:lang w:val="en-US" w:eastAsia="en-US"/>
        </w:rPr>
        <w:t>Vandeweege</w:t>
      </w:r>
      <w:proofErr w:type="spellEnd"/>
      <w:r w:rsidRPr="00450F37">
        <w:rPr>
          <w:color w:val="auto"/>
          <w:kern w:val="0"/>
          <w:lang w:val="en-US" w:eastAsia="en-US"/>
        </w:rPr>
        <w:t xml:space="preserve"> et al., 2023; Woodruff et al., 2018), (iii) strengthen adherence-supporting chronic-care models for lichen </w:t>
      </w:r>
      <w:proofErr w:type="spellStart"/>
      <w:r w:rsidRPr="00450F37">
        <w:rPr>
          <w:color w:val="auto"/>
          <w:kern w:val="0"/>
          <w:lang w:val="en-US" w:eastAsia="en-US"/>
        </w:rPr>
        <w:t>sclerosus</w:t>
      </w:r>
      <w:proofErr w:type="spellEnd"/>
      <w:r w:rsidRPr="00450F37">
        <w:rPr>
          <w:color w:val="auto"/>
          <w:kern w:val="0"/>
          <w:lang w:val="en-US" w:eastAsia="en-US"/>
        </w:rPr>
        <w:t xml:space="preserve"> (Lee &amp; Fischer, 2018; Lee et al., 2015), and (iv) refine surveillance and risk stratification for malignancy pathways, including lichen </w:t>
      </w:r>
      <w:proofErr w:type="spellStart"/>
      <w:r w:rsidRPr="00450F37">
        <w:rPr>
          <w:color w:val="auto"/>
          <w:kern w:val="0"/>
          <w:lang w:val="en-US" w:eastAsia="en-US"/>
        </w:rPr>
        <w:t>sclerosus</w:t>
      </w:r>
      <w:proofErr w:type="spellEnd"/>
      <w:r w:rsidRPr="00450F37">
        <w:rPr>
          <w:color w:val="auto"/>
          <w:kern w:val="0"/>
          <w:lang w:val="en-US" w:eastAsia="en-US"/>
        </w:rPr>
        <w:t>–associated carcinoma risk, VIN pathway distinctions, and rare but high-impact vulvar melanoma (Bleeker et al., 2016; Lebreton et al., 2020; Watkins, 2019; Wohlmuth &amp; Wohlmuth-Wieser, 2021).</w:t>
      </w:r>
    </w:p>
    <w:p w14:paraId="6D74D683" w14:textId="77777777" w:rsidR="00DC6E1F" w:rsidRPr="00DC6E1F" w:rsidRDefault="00DC6E1F" w:rsidP="00DC6E1F">
      <w:pPr>
        <w:rPr>
          <w:lang w:val="en-GB"/>
        </w:rPr>
      </w:pPr>
    </w:p>
    <w:p w14:paraId="365652FB" w14:textId="77777777" w:rsidR="00DC6E1F" w:rsidRPr="00DC6E1F" w:rsidRDefault="00DC6E1F" w:rsidP="00DC6E1F">
      <w:pPr>
        <w:pStyle w:val="Heading2"/>
        <w:rPr>
          <w:lang w:val="en-GB"/>
        </w:rPr>
      </w:pPr>
      <w:r w:rsidRPr="00DC6E1F">
        <w:rPr>
          <w:lang w:val="en-GB"/>
        </w:rPr>
        <w:t>12. Conclusions</w:t>
      </w:r>
    </w:p>
    <w:p w14:paraId="28BA3689" w14:textId="77777777" w:rsidR="00DC6E1F" w:rsidRPr="00DC6E1F" w:rsidRDefault="00DC6E1F" w:rsidP="00DC6E1F">
      <w:pPr>
        <w:pStyle w:val="NormalWeb"/>
        <w:rPr>
          <w:lang w:val="en-GB"/>
        </w:rPr>
      </w:pPr>
      <w:r w:rsidRPr="00DC6E1F">
        <w:rPr>
          <w:lang w:val="en-GB"/>
        </w:rPr>
        <w:t>Vulvar and perineal dermatoses require life-course-informed clinical reasoning that integrates anatomy, hormonal transitions, exposures, and evolving neoplasia risk. The most persistent clinical error is symptom-based anchoring, where itch or burning is treated empirically without morphology-guided diagnosis and without targeted testing when indicated. Better outcomes depend on consistent genital examination, careful exposure history, timely biopsy of suspicious or therapy-resistant focal lesions, and patch testing in chronic or recurrent dermatitis phenotypes. Longitudinal, diagnosis-specific management—supported by barrier restoration and tailored anti-inflammatory therapy—reduces morbidity, preserves vulvar architecture, and improves quality of life.</w:t>
      </w:r>
    </w:p>
    <w:p w14:paraId="0ACAE6F6" w14:textId="77777777" w:rsidR="00DC6E1F" w:rsidRPr="00DC6E1F" w:rsidRDefault="00DC6E1F" w:rsidP="00DC6E1F">
      <w:pPr>
        <w:rPr>
          <w:lang w:val="en-GB"/>
        </w:rPr>
      </w:pPr>
    </w:p>
    <w:p w14:paraId="250B1FE5" w14:textId="77777777" w:rsidR="00DC6E1F" w:rsidRPr="00DC6E1F" w:rsidRDefault="00DC6E1F" w:rsidP="00DC6E1F">
      <w:pPr>
        <w:pStyle w:val="Heading2"/>
        <w:rPr>
          <w:lang w:val="en-GB"/>
        </w:rPr>
      </w:pPr>
      <w:r w:rsidRPr="00DC6E1F">
        <w:rPr>
          <w:lang w:val="en-GB"/>
        </w:rPr>
        <w:t>13. Limitations</w:t>
      </w:r>
    </w:p>
    <w:p w14:paraId="36D35455" w14:textId="77777777" w:rsidR="00DC6E1F" w:rsidRDefault="00DC6E1F" w:rsidP="00DC6E1F">
      <w:pPr>
        <w:pStyle w:val="NormalWeb"/>
        <w:rPr>
          <w:lang w:val="en-GB"/>
        </w:rPr>
      </w:pPr>
      <w:r w:rsidRPr="00DC6E1F">
        <w:rPr>
          <w:lang w:val="en-GB"/>
        </w:rPr>
        <w:t>This review is a narrative synthesis rather than a meta-analysis, and it prioritizes clinically actionable evidence over exhaustive coverage of every vulvar and perineal disorder. Some life-stage interpretations rely on indirect evidence where vulvar-specific trials are sparse. Variability in terminology and diagnostic criteria across studies also limits direct comparability, particularly for mixed vulvar dermatitis phenotypes and VIN pathway classification in clinical practice.</w:t>
      </w:r>
    </w:p>
    <w:p w14:paraId="18B28CEC" w14:textId="77777777" w:rsidR="00534891" w:rsidRDefault="00534891" w:rsidP="00DC6E1F">
      <w:pPr>
        <w:pStyle w:val="NormalWeb"/>
        <w:rPr>
          <w:lang w:val="en-GB"/>
        </w:rPr>
      </w:pPr>
    </w:p>
    <w:p w14:paraId="1C0A57FE" w14:textId="77777777" w:rsidR="00534891" w:rsidRPr="00534891" w:rsidRDefault="00534891" w:rsidP="00534891">
      <w:pPr>
        <w:pStyle w:val="NormalWeb"/>
        <w:rPr>
          <w:lang w:val="en-GB"/>
        </w:rPr>
      </w:pPr>
      <w:r w:rsidRPr="00534891">
        <w:rPr>
          <w:lang w:val="en-GB"/>
        </w:rPr>
        <w:t>COMPETING INTERESTS DISCLAIMER:</w:t>
      </w:r>
    </w:p>
    <w:p w14:paraId="47D95F93" w14:textId="53DE65A4" w:rsidR="00534891" w:rsidRPr="00DC6E1F" w:rsidRDefault="00534891" w:rsidP="00534891">
      <w:pPr>
        <w:pStyle w:val="NormalWeb"/>
        <w:rPr>
          <w:lang w:val="en-GB"/>
        </w:rPr>
      </w:pPr>
      <w:r w:rsidRPr="00534891">
        <w:rPr>
          <w:lang w:val="en-GB"/>
        </w:rPr>
        <w:t>Authors have declared that they have no known competing financial interests OR non-financial interests OR personal relationships that could have appeared to influence the work reported in this paper.</w:t>
      </w:r>
    </w:p>
    <w:p w14:paraId="645706EF" w14:textId="77777777" w:rsidR="00DC6E1F" w:rsidRPr="00DC6E1F" w:rsidRDefault="00DC6E1F" w:rsidP="00DC6E1F">
      <w:pPr>
        <w:rPr>
          <w:lang w:val="en-GB"/>
        </w:rPr>
      </w:pPr>
    </w:p>
    <w:p w14:paraId="79B1F8A8" w14:textId="77777777" w:rsidR="00DC6E1F" w:rsidRPr="00DC6E1F" w:rsidRDefault="00DC6E1F" w:rsidP="00DC6E1F">
      <w:pPr>
        <w:pStyle w:val="Heading2"/>
        <w:rPr>
          <w:lang w:val="en-GB"/>
        </w:rPr>
      </w:pPr>
      <w:r w:rsidRPr="00DC6E1F">
        <w:rPr>
          <w:lang w:val="en-GB"/>
        </w:rPr>
        <w:t xml:space="preserve">References </w:t>
      </w:r>
    </w:p>
    <w:p w14:paraId="3B9D2C35" w14:textId="77777777" w:rsidR="00DC6E1F" w:rsidRPr="00DC6E1F" w:rsidRDefault="00DC6E1F" w:rsidP="003367F2">
      <w:pPr>
        <w:pStyle w:val="NormalWeb"/>
        <w:ind w:left="360"/>
        <w:rPr>
          <w:lang w:val="en-GB"/>
        </w:rPr>
      </w:pPr>
      <w:r w:rsidRPr="00DC6E1F">
        <w:rPr>
          <w:lang w:val="en-GB"/>
        </w:rPr>
        <w:t xml:space="preserve">American College of Obstetricians and </w:t>
      </w:r>
      <w:proofErr w:type="spellStart"/>
      <w:r w:rsidRPr="00DC6E1F">
        <w:rPr>
          <w:lang w:val="en-GB"/>
        </w:rPr>
        <w:t>Gynecologists’</w:t>
      </w:r>
      <w:proofErr w:type="spellEnd"/>
      <w:r w:rsidRPr="00DC6E1F">
        <w:rPr>
          <w:lang w:val="en-GB"/>
        </w:rPr>
        <w:t xml:space="preserve"> Committee on Practice Bulletins—</w:t>
      </w:r>
      <w:proofErr w:type="spellStart"/>
      <w:r w:rsidRPr="00DC6E1F">
        <w:rPr>
          <w:lang w:val="en-GB"/>
        </w:rPr>
        <w:t>Gynecology</w:t>
      </w:r>
      <w:proofErr w:type="spellEnd"/>
      <w:r w:rsidRPr="00DC6E1F">
        <w:rPr>
          <w:lang w:val="en-GB"/>
        </w:rPr>
        <w:t xml:space="preserve">. (2020). Diagnosis and management of vulvar skin disorders: ACOG Practice Bulletin, Number 224. </w:t>
      </w:r>
      <w:r w:rsidRPr="00DC6E1F">
        <w:rPr>
          <w:rStyle w:val="Emphasis"/>
          <w:lang w:val="en-GB"/>
        </w:rPr>
        <w:t xml:space="preserve">Obstetrics &amp; </w:t>
      </w:r>
      <w:proofErr w:type="spellStart"/>
      <w:r w:rsidRPr="00DC6E1F">
        <w:rPr>
          <w:rStyle w:val="Emphasis"/>
          <w:lang w:val="en-GB"/>
        </w:rPr>
        <w:t>Gynecology</w:t>
      </w:r>
      <w:proofErr w:type="spellEnd"/>
      <w:r w:rsidRPr="00DC6E1F">
        <w:rPr>
          <w:rStyle w:val="Emphasis"/>
          <w:lang w:val="en-GB"/>
        </w:rPr>
        <w:t>, 136</w:t>
      </w:r>
      <w:r w:rsidRPr="00DC6E1F">
        <w:rPr>
          <w:lang w:val="en-GB"/>
        </w:rPr>
        <w:t xml:space="preserve">(1), e1–e14. </w:t>
      </w:r>
      <w:hyperlink r:id="rId7" w:history="1">
        <w:r w:rsidR="003367F2" w:rsidRPr="00DE6166">
          <w:rPr>
            <w:rStyle w:val="Hyperlink"/>
            <w:lang w:val="en-GB"/>
          </w:rPr>
          <w:t>https://doi.org/10.1097/AOG.0000000000003944</w:t>
        </w:r>
      </w:hyperlink>
      <w:r w:rsidR="003367F2">
        <w:rPr>
          <w:lang w:val="en-GB"/>
        </w:rPr>
        <w:t xml:space="preserve"> </w:t>
      </w:r>
    </w:p>
    <w:p w14:paraId="17B5CBBE" w14:textId="77777777" w:rsidR="00DC6E1F" w:rsidRPr="00DC6E1F" w:rsidRDefault="00DC6E1F" w:rsidP="003367F2">
      <w:pPr>
        <w:pStyle w:val="NormalWeb"/>
        <w:ind w:left="360"/>
        <w:rPr>
          <w:lang w:val="en-GB"/>
        </w:rPr>
      </w:pPr>
      <w:r w:rsidRPr="00DC6E1F">
        <w:rPr>
          <w:lang w:val="en-GB"/>
        </w:rPr>
        <w:t xml:space="preserve">Bleeker, M. C. G., Visser, P. J., Overbeek, L. I. H., van Beurden, M., &amp; </w:t>
      </w:r>
      <w:proofErr w:type="spellStart"/>
      <w:r w:rsidRPr="00DC6E1F">
        <w:rPr>
          <w:lang w:val="en-GB"/>
        </w:rPr>
        <w:t>Berkhof</w:t>
      </w:r>
      <w:proofErr w:type="spellEnd"/>
      <w:r w:rsidRPr="00DC6E1F">
        <w:rPr>
          <w:lang w:val="en-GB"/>
        </w:rPr>
        <w:t xml:space="preserve">, J. (2016). Lichen </w:t>
      </w:r>
      <w:proofErr w:type="spellStart"/>
      <w:r w:rsidRPr="00DC6E1F">
        <w:rPr>
          <w:lang w:val="en-GB"/>
        </w:rPr>
        <w:t>sclerosus</w:t>
      </w:r>
      <w:proofErr w:type="spellEnd"/>
      <w:r w:rsidRPr="00DC6E1F">
        <w:rPr>
          <w:lang w:val="en-GB"/>
        </w:rPr>
        <w:t xml:space="preserve">: Incidence and risk of vulvar squamous cell carcinoma. </w:t>
      </w:r>
      <w:r w:rsidRPr="00DC6E1F">
        <w:rPr>
          <w:rStyle w:val="Emphasis"/>
          <w:lang w:val="en-GB"/>
        </w:rPr>
        <w:t>Cancer Epidemiology, Biomarkers &amp; Prevention, 25</w:t>
      </w:r>
      <w:r w:rsidRPr="00DC6E1F">
        <w:rPr>
          <w:lang w:val="en-GB"/>
        </w:rPr>
        <w:t xml:space="preserve">(8), 1224–1230. </w:t>
      </w:r>
      <w:hyperlink r:id="rId8" w:history="1">
        <w:r w:rsidR="003367F2" w:rsidRPr="00DE6166">
          <w:rPr>
            <w:rStyle w:val="Hyperlink"/>
            <w:lang w:val="en-GB"/>
          </w:rPr>
          <w:t>https://doi.org/10.1158/1055-9965.EPI-16-0019</w:t>
        </w:r>
      </w:hyperlink>
      <w:r w:rsidR="003367F2">
        <w:rPr>
          <w:lang w:val="en-GB"/>
        </w:rPr>
        <w:t xml:space="preserve"> </w:t>
      </w:r>
    </w:p>
    <w:p w14:paraId="3455ED60" w14:textId="77777777" w:rsidR="00DC6E1F" w:rsidRPr="00DC6E1F" w:rsidRDefault="00DC6E1F" w:rsidP="003367F2">
      <w:pPr>
        <w:pStyle w:val="NormalWeb"/>
        <w:ind w:left="360"/>
        <w:rPr>
          <w:lang w:val="en-GB"/>
        </w:rPr>
      </w:pPr>
      <w:r w:rsidRPr="00DC6E1F">
        <w:rPr>
          <w:lang w:val="en-GB"/>
        </w:rPr>
        <w:t xml:space="preserve">Dubey, R., &amp; Fischer, G. (2019). </w:t>
      </w:r>
      <w:proofErr w:type="spellStart"/>
      <w:r w:rsidRPr="00DC6E1F">
        <w:rPr>
          <w:lang w:val="en-GB"/>
        </w:rPr>
        <w:t>Vulvo</w:t>
      </w:r>
      <w:proofErr w:type="spellEnd"/>
      <w:r w:rsidRPr="00DC6E1F">
        <w:rPr>
          <w:lang w:val="en-GB"/>
        </w:rPr>
        <w:t xml:space="preserve">-vaginal lichen planus: A focused review for the clinician. </w:t>
      </w:r>
      <w:r w:rsidRPr="00DC6E1F">
        <w:rPr>
          <w:rStyle w:val="Emphasis"/>
          <w:lang w:val="en-GB"/>
        </w:rPr>
        <w:t>Australasian Journal of Dermatology, 60</w:t>
      </w:r>
      <w:r w:rsidRPr="00DC6E1F">
        <w:rPr>
          <w:lang w:val="en-GB"/>
        </w:rPr>
        <w:t xml:space="preserve">(1), 7–11. </w:t>
      </w:r>
      <w:hyperlink r:id="rId9" w:history="1">
        <w:r w:rsidR="003367F2" w:rsidRPr="00DE6166">
          <w:rPr>
            <w:rStyle w:val="Hyperlink"/>
            <w:lang w:val="en-GB"/>
          </w:rPr>
          <w:t>https://doi.org/10.1111/ajd.12875</w:t>
        </w:r>
      </w:hyperlink>
      <w:r w:rsidR="003367F2">
        <w:rPr>
          <w:lang w:val="en-GB"/>
        </w:rPr>
        <w:t xml:space="preserve"> </w:t>
      </w:r>
    </w:p>
    <w:p w14:paraId="5F803BF0" w14:textId="77777777" w:rsidR="00DC6E1F" w:rsidRPr="00DC6E1F" w:rsidRDefault="00DC6E1F" w:rsidP="003367F2">
      <w:pPr>
        <w:pStyle w:val="NormalWeb"/>
        <w:ind w:left="360"/>
        <w:rPr>
          <w:lang w:val="en-GB"/>
        </w:rPr>
      </w:pPr>
      <w:r w:rsidRPr="00DC6E1F">
        <w:rPr>
          <w:lang w:val="en-GB"/>
        </w:rPr>
        <w:t xml:space="preserve">Fruchter, R., Melnick, L., &amp; Pomeranz, M. K. (2017). Lichenoid vulvar disease: A review. </w:t>
      </w:r>
      <w:r w:rsidRPr="00DC6E1F">
        <w:rPr>
          <w:rStyle w:val="Emphasis"/>
          <w:lang w:val="en-GB"/>
        </w:rPr>
        <w:t>International Journal of Women’s Dermatology, 3</w:t>
      </w:r>
      <w:r w:rsidRPr="00DC6E1F">
        <w:rPr>
          <w:lang w:val="en-GB"/>
        </w:rPr>
        <w:t xml:space="preserve">(1), 58–64. </w:t>
      </w:r>
      <w:hyperlink r:id="rId10" w:history="1">
        <w:r w:rsidR="003367F2" w:rsidRPr="00DE6166">
          <w:rPr>
            <w:rStyle w:val="Hyperlink"/>
            <w:lang w:val="en-GB"/>
          </w:rPr>
          <w:t>https://doi.org/10.1016/j.ijwd.2017.02.017</w:t>
        </w:r>
      </w:hyperlink>
      <w:r w:rsidR="003367F2">
        <w:rPr>
          <w:lang w:val="en-GB"/>
        </w:rPr>
        <w:t xml:space="preserve"> </w:t>
      </w:r>
    </w:p>
    <w:p w14:paraId="55884BA4" w14:textId="77777777" w:rsidR="00DC6E1F" w:rsidRPr="00DC6E1F" w:rsidRDefault="00DC6E1F" w:rsidP="003367F2">
      <w:pPr>
        <w:pStyle w:val="NormalWeb"/>
        <w:ind w:left="360"/>
        <w:rPr>
          <w:lang w:val="en-GB"/>
        </w:rPr>
      </w:pPr>
      <w:r w:rsidRPr="00DC6E1F">
        <w:rPr>
          <w:lang w:val="en-GB"/>
        </w:rPr>
        <w:t xml:space="preserve">Gualtieri, R., Bronz, G., Bianchetti, M. G., Lava, S. A. G., Giuliano, E., Milani, G. P., &amp; </w:t>
      </w:r>
      <w:proofErr w:type="spellStart"/>
      <w:r w:rsidRPr="00DC6E1F">
        <w:rPr>
          <w:lang w:val="en-GB"/>
        </w:rPr>
        <w:t>Jermini</w:t>
      </w:r>
      <w:proofErr w:type="spellEnd"/>
      <w:r w:rsidRPr="00DC6E1F">
        <w:rPr>
          <w:lang w:val="en-GB"/>
        </w:rPr>
        <w:t xml:space="preserve">, L. M. M. (2021). Perianal streptococcal disease in childhood: Systematic literature review. </w:t>
      </w:r>
      <w:r w:rsidRPr="00DC6E1F">
        <w:rPr>
          <w:rStyle w:val="Emphasis"/>
          <w:lang w:val="en-GB"/>
        </w:rPr>
        <w:t xml:space="preserve">European Journal of </w:t>
      </w:r>
      <w:proofErr w:type="spellStart"/>
      <w:r w:rsidRPr="00DC6E1F">
        <w:rPr>
          <w:rStyle w:val="Emphasis"/>
          <w:lang w:val="en-GB"/>
        </w:rPr>
        <w:t>Pediatrics</w:t>
      </w:r>
      <w:proofErr w:type="spellEnd"/>
      <w:r w:rsidRPr="00DC6E1F">
        <w:rPr>
          <w:rStyle w:val="Emphasis"/>
          <w:lang w:val="en-GB"/>
        </w:rPr>
        <w:t>, 180</w:t>
      </w:r>
      <w:r w:rsidRPr="00DC6E1F">
        <w:rPr>
          <w:lang w:val="en-GB"/>
        </w:rPr>
        <w:t xml:space="preserve">(6), 1867–1874. </w:t>
      </w:r>
      <w:hyperlink r:id="rId11" w:history="1">
        <w:r w:rsidR="003367F2" w:rsidRPr="00DE6166">
          <w:rPr>
            <w:rStyle w:val="Hyperlink"/>
            <w:lang w:val="en-GB"/>
          </w:rPr>
          <w:t>https://doi.org/10.1007/s00431-021-03965-9</w:t>
        </w:r>
      </w:hyperlink>
      <w:r w:rsidR="003367F2">
        <w:rPr>
          <w:lang w:val="en-GB"/>
        </w:rPr>
        <w:t xml:space="preserve"> </w:t>
      </w:r>
    </w:p>
    <w:p w14:paraId="68CAAA2B" w14:textId="77777777" w:rsidR="00DC6E1F" w:rsidRPr="00DC6E1F" w:rsidRDefault="00DC6E1F" w:rsidP="003367F2">
      <w:pPr>
        <w:pStyle w:val="NormalWeb"/>
        <w:ind w:left="360"/>
        <w:rPr>
          <w:lang w:val="en-GB"/>
        </w:rPr>
      </w:pPr>
      <w:r w:rsidRPr="00DC6E1F">
        <w:rPr>
          <w:lang w:val="en-GB"/>
        </w:rPr>
        <w:t xml:space="preserve">Helgesen, A. L. O., Warloe, T., </w:t>
      </w:r>
      <w:proofErr w:type="spellStart"/>
      <w:r w:rsidRPr="00DC6E1F">
        <w:rPr>
          <w:lang w:val="en-GB"/>
        </w:rPr>
        <w:t>Pripp</w:t>
      </w:r>
      <w:proofErr w:type="spellEnd"/>
      <w:r w:rsidRPr="00DC6E1F">
        <w:rPr>
          <w:lang w:val="en-GB"/>
        </w:rPr>
        <w:t xml:space="preserve">, A. H., Kirschner, R., Peng, Q., </w:t>
      </w:r>
      <w:proofErr w:type="spellStart"/>
      <w:r w:rsidRPr="00DC6E1F">
        <w:rPr>
          <w:lang w:val="en-GB"/>
        </w:rPr>
        <w:t>Tanbo</w:t>
      </w:r>
      <w:proofErr w:type="spellEnd"/>
      <w:r w:rsidRPr="00DC6E1F">
        <w:rPr>
          <w:lang w:val="en-GB"/>
        </w:rPr>
        <w:t xml:space="preserve">, T., &amp; Gjersvik, P. (2015). Vulvovaginal photodynamic therapy vs. topical corticosteroids in </w:t>
      </w:r>
      <w:r w:rsidRPr="00DC6E1F">
        <w:rPr>
          <w:lang w:val="en-GB"/>
        </w:rPr>
        <w:lastRenderedPageBreak/>
        <w:t xml:space="preserve">genital erosive lichen planus: A randomized controlled trial. </w:t>
      </w:r>
      <w:r w:rsidRPr="00DC6E1F">
        <w:rPr>
          <w:rStyle w:val="Emphasis"/>
          <w:lang w:val="en-GB"/>
        </w:rPr>
        <w:t>British Journal of Dermatology, 173</w:t>
      </w:r>
      <w:r w:rsidRPr="00DC6E1F">
        <w:rPr>
          <w:lang w:val="en-GB"/>
        </w:rPr>
        <w:t xml:space="preserve">(5), 1156–1162. </w:t>
      </w:r>
      <w:hyperlink r:id="rId12" w:history="1">
        <w:r w:rsidR="003367F2" w:rsidRPr="00DE6166">
          <w:rPr>
            <w:rStyle w:val="Hyperlink"/>
            <w:lang w:val="en-GB"/>
          </w:rPr>
          <w:t>https://doi.org/10.1111/bjd.14033</w:t>
        </w:r>
      </w:hyperlink>
      <w:r w:rsidR="003367F2">
        <w:rPr>
          <w:lang w:val="en-GB"/>
        </w:rPr>
        <w:t xml:space="preserve"> </w:t>
      </w:r>
    </w:p>
    <w:p w14:paraId="41EF1A6C" w14:textId="77777777" w:rsidR="00DC6E1F" w:rsidRPr="00DC6E1F" w:rsidRDefault="00DC6E1F" w:rsidP="003367F2">
      <w:pPr>
        <w:pStyle w:val="NormalWeb"/>
        <w:ind w:left="360"/>
        <w:rPr>
          <w:lang w:val="en-GB"/>
        </w:rPr>
      </w:pPr>
      <w:r w:rsidRPr="00DC6E1F">
        <w:rPr>
          <w:lang w:val="en-GB"/>
        </w:rPr>
        <w:t xml:space="preserve">Hong, J. J., Mosca, M. L., </w:t>
      </w:r>
      <w:proofErr w:type="spellStart"/>
      <w:r w:rsidRPr="00DC6E1F">
        <w:rPr>
          <w:lang w:val="en-GB"/>
        </w:rPr>
        <w:t>Hadeler</w:t>
      </w:r>
      <w:proofErr w:type="spellEnd"/>
      <w:r w:rsidRPr="00DC6E1F">
        <w:rPr>
          <w:lang w:val="en-GB"/>
        </w:rPr>
        <w:t xml:space="preserve">, E. K., Brownstone, N. D., Bhutani, T., &amp; Liao, W. J. (2021). Genital and inverse/intertriginous psoriasis: An updated review of therapies and recommendations for practical management. </w:t>
      </w:r>
      <w:r w:rsidRPr="00DC6E1F">
        <w:rPr>
          <w:rStyle w:val="Emphasis"/>
          <w:lang w:val="en-GB"/>
        </w:rPr>
        <w:t>Dermatology and Therapy, 11</w:t>
      </w:r>
      <w:r w:rsidRPr="00DC6E1F">
        <w:rPr>
          <w:lang w:val="en-GB"/>
        </w:rPr>
        <w:t xml:space="preserve">, 833–844. </w:t>
      </w:r>
      <w:hyperlink r:id="rId13" w:tgtFrame="_new" w:history="1">
        <w:r w:rsidRPr="00DC6E1F">
          <w:rPr>
            <w:rStyle w:val="Hyperlink"/>
            <w:lang w:val="en-GB"/>
          </w:rPr>
          <w:t>https://doi.org/10.1007/s13555-021-00536-6</w:t>
        </w:r>
      </w:hyperlink>
    </w:p>
    <w:p w14:paraId="0CD5832B" w14:textId="77777777" w:rsidR="00DC6E1F" w:rsidRPr="00DC6E1F" w:rsidRDefault="00DC6E1F" w:rsidP="003367F2">
      <w:pPr>
        <w:pStyle w:val="NormalWeb"/>
        <w:ind w:left="360"/>
        <w:rPr>
          <w:lang w:val="en-GB"/>
        </w:rPr>
      </w:pPr>
      <w:r w:rsidRPr="00DC6E1F">
        <w:rPr>
          <w:lang w:val="en-GB"/>
        </w:rPr>
        <w:t xml:space="preserve">Lebreton, M., Carton, I., Brousse, S., </w:t>
      </w:r>
      <w:proofErr w:type="spellStart"/>
      <w:r w:rsidRPr="00DC6E1F">
        <w:rPr>
          <w:lang w:val="en-GB"/>
        </w:rPr>
        <w:t>Lavoué</w:t>
      </w:r>
      <w:proofErr w:type="spellEnd"/>
      <w:r w:rsidRPr="00DC6E1F">
        <w:rPr>
          <w:lang w:val="en-GB"/>
        </w:rPr>
        <w:t xml:space="preserve">, V., Body, G., </w:t>
      </w:r>
      <w:proofErr w:type="spellStart"/>
      <w:r w:rsidRPr="00DC6E1F">
        <w:rPr>
          <w:lang w:val="en-GB"/>
        </w:rPr>
        <w:t>Levêque</w:t>
      </w:r>
      <w:proofErr w:type="spellEnd"/>
      <w:r w:rsidRPr="00DC6E1F">
        <w:rPr>
          <w:lang w:val="en-GB"/>
        </w:rPr>
        <w:t xml:space="preserve">, J., &amp; </w:t>
      </w:r>
      <w:proofErr w:type="spellStart"/>
      <w:r w:rsidRPr="00DC6E1F">
        <w:rPr>
          <w:lang w:val="en-GB"/>
        </w:rPr>
        <w:t>Nyangoh-Timoh</w:t>
      </w:r>
      <w:proofErr w:type="spellEnd"/>
      <w:r w:rsidRPr="00DC6E1F">
        <w:rPr>
          <w:lang w:val="en-GB"/>
        </w:rPr>
        <w:t xml:space="preserve">, K. J. (2020). Vulvar intraepithelial neoplasia: Classification, epidemiology, diagnosis, and management. </w:t>
      </w:r>
      <w:r w:rsidRPr="00DC6E1F">
        <w:rPr>
          <w:rStyle w:val="Emphasis"/>
          <w:lang w:val="en-GB"/>
        </w:rPr>
        <w:t xml:space="preserve">Journal of </w:t>
      </w:r>
      <w:proofErr w:type="spellStart"/>
      <w:r w:rsidRPr="00DC6E1F">
        <w:rPr>
          <w:rStyle w:val="Emphasis"/>
          <w:lang w:val="en-GB"/>
        </w:rPr>
        <w:t>Gynecology</w:t>
      </w:r>
      <w:proofErr w:type="spellEnd"/>
      <w:r w:rsidRPr="00DC6E1F">
        <w:rPr>
          <w:rStyle w:val="Emphasis"/>
          <w:lang w:val="en-GB"/>
        </w:rPr>
        <w:t xml:space="preserve"> Obstetrics and Human Reproduction, 49</w:t>
      </w:r>
      <w:r w:rsidRPr="00DC6E1F">
        <w:rPr>
          <w:lang w:val="en-GB"/>
        </w:rPr>
        <w:t xml:space="preserve">(9), 101801. </w:t>
      </w:r>
      <w:hyperlink r:id="rId14" w:history="1">
        <w:r w:rsidR="003367F2" w:rsidRPr="00DE6166">
          <w:rPr>
            <w:rStyle w:val="Hyperlink"/>
            <w:lang w:val="en-GB"/>
          </w:rPr>
          <w:t>https://doi.org/10.1016/j.jogoh.2020.101801</w:t>
        </w:r>
      </w:hyperlink>
      <w:r w:rsidR="003367F2">
        <w:rPr>
          <w:lang w:val="en-GB"/>
        </w:rPr>
        <w:t xml:space="preserve"> </w:t>
      </w:r>
    </w:p>
    <w:p w14:paraId="7615CB9B" w14:textId="77777777" w:rsidR="00DC6E1F" w:rsidRPr="00DC6E1F" w:rsidRDefault="00DC6E1F" w:rsidP="003367F2">
      <w:pPr>
        <w:pStyle w:val="NormalWeb"/>
        <w:ind w:left="360"/>
        <w:rPr>
          <w:lang w:val="en-GB"/>
        </w:rPr>
      </w:pPr>
      <w:r w:rsidRPr="00DC6E1F">
        <w:rPr>
          <w:lang w:val="en-GB"/>
        </w:rPr>
        <w:t xml:space="preserve">Lee, A., Bradford, J., &amp; Fischer, G. (2015). Long-term management of adult vulvar lichen </w:t>
      </w:r>
      <w:proofErr w:type="spellStart"/>
      <w:r w:rsidRPr="00DC6E1F">
        <w:rPr>
          <w:lang w:val="en-GB"/>
        </w:rPr>
        <w:t>sclerosus</w:t>
      </w:r>
      <w:proofErr w:type="spellEnd"/>
      <w:r w:rsidRPr="00DC6E1F">
        <w:rPr>
          <w:lang w:val="en-GB"/>
        </w:rPr>
        <w:t xml:space="preserve">: A prospective cohort study of 507 women. </w:t>
      </w:r>
      <w:r w:rsidRPr="00DC6E1F">
        <w:rPr>
          <w:rStyle w:val="Emphasis"/>
          <w:lang w:val="en-GB"/>
        </w:rPr>
        <w:t>JAMA Dermatology, 151</w:t>
      </w:r>
      <w:r w:rsidRPr="00DC6E1F">
        <w:rPr>
          <w:lang w:val="en-GB"/>
        </w:rPr>
        <w:t xml:space="preserve">(10), 1061–1067. </w:t>
      </w:r>
      <w:hyperlink r:id="rId15" w:history="1">
        <w:r w:rsidR="003367F2" w:rsidRPr="00DE6166">
          <w:rPr>
            <w:rStyle w:val="Hyperlink"/>
            <w:lang w:val="en-GB"/>
          </w:rPr>
          <w:t>https://doi.org/10.1001/jamadermatol.2015.0643</w:t>
        </w:r>
      </w:hyperlink>
      <w:r w:rsidR="003367F2">
        <w:rPr>
          <w:lang w:val="en-GB"/>
        </w:rPr>
        <w:t xml:space="preserve"> </w:t>
      </w:r>
    </w:p>
    <w:p w14:paraId="3D30E1FC" w14:textId="77777777" w:rsidR="00DC6E1F" w:rsidRPr="00DC6E1F" w:rsidRDefault="00DC6E1F" w:rsidP="003367F2">
      <w:pPr>
        <w:pStyle w:val="NormalWeb"/>
        <w:ind w:left="360"/>
        <w:rPr>
          <w:lang w:val="en-GB"/>
        </w:rPr>
      </w:pPr>
      <w:r w:rsidRPr="00DC6E1F">
        <w:rPr>
          <w:lang w:val="en-GB"/>
        </w:rPr>
        <w:t xml:space="preserve">Lee, A., &amp; Fischer, G. (2018). Diagnosis and treatment of vulvar lichen </w:t>
      </w:r>
      <w:proofErr w:type="spellStart"/>
      <w:r w:rsidRPr="00DC6E1F">
        <w:rPr>
          <w:lang w:val="en-GB"/>
        </w:rPr>
        <w:t>sclerosus</w:t>
      </w:r>
      <w:proofErr w:type="spellEnd"/>
      <w:r w:rsidRPr="00DC6E1F">
        <w:rPr>
          <w:lang w:val="en-GB"/>
        </w:rPr>
        <w:t xml:space="preserve">: An update for dermatologists. </w:t>
      </w:r>
      <w:r w:rsidRPr="00DC6E1F">
        <w:rPr>
          <w:rStyle w:val="Emphasis"/>
          <w:lang w:val="en-GB"/>
        </w:rPr>
        <w:t>American Journal of Clinical Dermatology, 19</w:t>
      </w:r>
      <w:r w:rsidRPr="00DC6E1F">
        <w:rPr>
          <w:lang w:val="en-GB"/>
        </w:rPr>
        <w:t xml:space="preserve">(5), 695–706. </w:t>
      </w:r>
      <w:hyperlink r:id="rId16" w:history="1">
        <w:r w:rsidR="003367F2" w:rsidRPr="00DE6166">
          <w:rPr>
            <w:rStyle w:val="Hyperlink"/>
            <w:lang w:val="en-GB"/>
          </w:rPr>
          <w:t>https://doi.org/10.1007/s40257-018-0364-7</w:t>
        </w:r>
      </w:hyperlink>
      <w:r w:rsidR="003367F2">
        <w:rPr>
          <w:lang w:val="en-GB"/>
        </w:rPr>
        <w:t xml:space="preserve"> </w:t>
      </w:r>
    </w:p>
    <w:p w14:paraId="175A50F3" w14:textId="77777777" w:rsidR="00DC6E1F" w:rsidRPr="00DC6E1F" w:rsidRDefault="00DC6E1F" w:rsidP="003367F2">
      <w:pPr>
        <w:pStyle w:val="NormalWeb"/>
        <w:ind w:left="360"/>
        <w:rPr>
          <w:lang w:val="en-GB"/>
        </w:rPr>
      </w:pPr>
      <w:proofErr w:type="spellStart"/>
      <w:r w:rsidRPr="00DC6E1F">
        <w:rPr>
          <w:lang w:val="en-GB"/>
        </w:rPr>
        <w:t>Musbahi</w:t>
      </w:r>
      <w:proofErr w:type="spellEnd"/>
      <w:r w:rsidRPr="00DC6E1F">
        <w:rPr>
          <w:lang w:val="en-GB"/>
        </w:rPr>
        <w:t xml:space="preserve">, E., Kamp, E., Ashraf, M., &amp; </w:t>
      </w:r>
      <w:proofErr w:type="spellStart"/>
      <w:r w:rsidRPr="00DC6E1F">
        <w:rPr>
          <w:lang w:val="en-GB"/>
        </w:rPr>
        <w:t>DeGiovanni</w:t>
      </w:r>
      <w:proofErr w:type="spellEnd"/>
      <w:r w:rsidRPr="00DC6E1F">
        <w:rPr>
          <w:lang w:val="en-GB"/>
        </w:rPr>
        <w:t xml:space="preserve">, C. (2022). Menopause, skin and common dermatosis. Part 3: Genital disorders. </w:t>
      </w:r>
      <w:r w:rsidRPr="00DC6E1F">
        <w:rPr>
          <w:rStyle w:val="Emphasis"/>
          <w:lang w:val="en-GB"/>
        </w:rPr>
        <w:t>Clinical and Experimental Dermatology, 47</w:t>
      </w:r>
      <w:r w:rsidRPr="00DC6E1F">
        <w:rPr>
          <w:lang w:val="en-GB"/>
        </w:rPr>
        <w:t xml:space="preserve">(12), 2123–2129. </w:t>
      </w:r>
      <w:hyperlink r:id="rId17" w:history="1">
        <w:r w:rsidR="003367F2" w:rsidRPr="00DE6166">
          <w:rPr>
            <w:rStyle w:val="Hyperlink"/>
            <w:lang w:val="en-GB"/>
          </w:rPr>
          <w:t>https://doi.org/10.1111/ced.15400</w:t>
        </w:r>
      </w:hyperlink>
      <w:r w:rsidR="003367F2">
        <w:rPr>
          <w:lang w:val="en-GB"/>
        </w:rPr>
        <w:t xml:space="preserve"> </w:t>
      </w:r>
    </w:p>
    <w:p w14:paraId="7EE029EE" w14:textId="77777777" w:rsidR="00DC6E1F" w:rsidRPr="00DC6E1F" w:rsidRDefault="00DC6E1F" w:rsidP="003367F2">
      <w:pPr>
        <w:pStyle w:val="NormalWeb"/>
        <w:ind w:left="360"/>
        <w:rPr>
          <w:lang w:val="en-GB"/>
        </w:rPr>
      </w:pPr>
      <w:proofErr w:type="spellStart"/>
      <w:r w:rsidRPr="00DC6E1F">
        <w:rPr>
          <w:lang w:val="en-GB"/>
        </w:rPr>
        <w:t>Vandeweege</w:t>
      </w:r>
      <w:proofErr w:type="spellEnd"/>
      <w:r w:rsidRPr="00DC6E1F">
        <w:rPr>
          <w:lang w:val="en-GB"/>
        </w:rPr>
        <w:t xml:space="preserve">, S., Debaene, B., </w:t>
      </w:r>
      <w:proofErr w:type="spellStart"/>
      <w:r w:rsidRPr="00DC6E1F">
        <w:rPr>
          <w:lang w:val="en-GB"/>
        </w:rPr>
        <w:t>Lapeere</w:t>
      </w:r>
      <w:proofErr w:type="spellEnd"/>
      <w:r w:rsidRPr="00DC6E1F">
        <w:rPr>
          <w:lang w:val="en-GB"/>
        </w:rPr>
        <w:t xml:space="preserve">, H., &amp; </w:t>
      </w:r>
      <w:proofErr w:type="spellStart"/>
      <w:r w:rsidRPr="00DC6E1F">
        <w:rPr>
          <w:lang w:val="en-GB"/>
        </w:rPr>
        <w:t>Verstraelen</w:t>
      </w:r>
      <w:proofErr w:type="spellEnd"/>
      <w:r w:rsidRPr="00DC6E1F">
        <w:rPr>
          <w:lang w:val="en-GB"/>
        </w:rPr>
        <w:t xml:space="preserve">, H. (2023). A systematic review of allergic and irritant contact dermatitis of the vulva: The most important allergens/irritants and the role of patch testing. </w:t>
      </w:r>
      <w:r w:rsidRPr="00DC6E1F">
        <w:rPr>
          <w:rStyle w:val="Emphasis"/>
          <w:lang w:val="en-GB"/>
        </w:rPr>
        <w:t>Contact Dermatitis, 88</w:t>
      </w:r>
      <w:r w:rsidRPr="00DC6E1F">
        <w:rPr>
          <w:lang w:val="en-GB"/>
        </w:rPr>
        <w:t xml:space="preserve">(4), 249–262. </w:t>
      </w:r>
      <w:hyperlink r:id="rId18" w:history="1">
        <w:r w:rsidR="003367F2" w:rsidRPr="00DE6166">
          <w:rPr>
            <w:rStyle w:val="Hyperlink"/>
            <w:lang w:val="en-GB"/>
          </w:rPr>
          <w:t>https://doi.org/10.1111/cod.14258</w:t>
        </w:r>
      </w:hyperlink>
      <w:r w:rsidR="003367F2">
        <w:rPr>
          <w:lang w:val="en-GB"/>
        </w:rPr>
        <w:t xml:space="preserve"> </w:t>
      </w:r>
    </w:p>
    <w:p w14:paraId="78B57D61" w14:textId="77777777" w:rsidR="00DC6E1F" w:rsidRPr="00DC6E1F" w:rsidRDefault="00DC6E1F" w:rsidP="003367F2">
      <w:pPr>
        <w:pStyle w:val="NormalWeb"/>
        <w:ind w:left="360"/>
        <w:rPr>
          <w:lang w:val="en-GB"/>
        </w:rPr>
      </w:pPr>
      <w:r w:rsidRPr="00DC6E1F">
        <w:rPr>
          <w:lang w:val="en-GB"/>
        </w:rPr>
        <w:t xml:space="preserve">Watkins, J. C. (2019). Human papillomavirus–independent squamous lesions of the vulva. </w:t>
      </w:r>
      <w:r w:rsidRPr="00DC6E1F">
        <w:rPr>
          <w:rStyle w:val="Emphasis"/>
          <w:lang w:val="en-GB"/>
        </w:rPr>
        <w:t>Surgical Pathology Clinics, 12</w:t>
      </w:r>
      <w:r w:rsidRPr="00DC6E1F">
        <w:rPr>
          <w:lang w:val="en-GB"/>
        </w:rPr>
        <w:t xml:space="preserve">(2), 249–261. </w:t>
      </w:r>
      <w:hyperlink r:id="rId19" w:history="1">
        <w:r w:rsidR="003367F2" w:rsidRPr="00DE6166">
          <w:rPr>
            <w:rStyle w:val="Hyperlink"/>
            <w:lang w:val="en-GB"/>
          </w:rPr>
          <w:t>https://doi.org/10.1016/j.path.2019.01.001</w:t>
        </w:r>
      </w:hyperlink>
      <w:r w:rsidR="003367F2">
        <w:rPr>
          <w:lang w:val="en-GB"/>
        </w:rPr>
        <w:t xml:space="preserve"> </w:t>
      </w:r>
    </w:p>
    <w:p w14:paraId="6597DE0F" w14:textId="77777777" w:rsidR="00DC6E1F" w:rsidRPr="00DC6E1F" w:rsidRDefault="00DC6E1F" w:rsidP="003367F2">
      <w:pPr>
        <w:pStyle w:val="NormalWeb"/>
        <w:ind w:left="360"/>
        <w:rPr>
          <w:lang w:val="en-GB"/>
        </w:rPr>
      </w:pPr>
      <w:r w:rsidRPr="00DC6E1F">
        <w:rPr>
          <w:lang w:val="en-GB"/>
        </w:rPr>
        <w:t xml:space="preserve">Wohlmuth, C., &amp; Wohlmuth-Wieser, I. (2021). Vulvar melanoma: Molecular characteristics, diagnosis, surgical management, and medical treatment. </w:t>
      </w:r>
      <w:r w:rsidRPr="00DC6E1F">
        <w:rPr>
          <w:rStyle w:val="Emphasis"/>
          <w:lang w:val="en-GB"/>
        </w:rPr>
        <w:t>American Journal of Clinical Dermatology, 22</w:t>
      </w:r>
      <w:r w:rsidRPr="00DC6E1F">
        <w:rPr>
          <w:lang w:val="en-GB"/>
        </w:rPr>
        <w:t xml:space="preserve">(5), 639–651. </w:t>
      </w:r>
      <w:hyperlink r:id="rId20" w:tgtFrame="_new" w:history="1">
        <w:r w:rsidRPr="00DC6E1F">
          <w:rPr>
            <w:rStyle w:val="Hyperlink"/>
            <w:lang w:val="en-GB"/>
          </w:rPr>
          <w:t>https://doi.org/10.1007/s40257-021-00614-7</w:t>
        </w:r>
      </w:hyperlink>
    </w:p>
    <w:p w14:paraId="0E2ECDFA" w14:textId="77777777" w:rsidR="00DC6E1F" w:rsidRPr="00DC6E1F" w:rsidRDefault="00DC6E1F" w:rsidP="003367F2">
      <w:pPr>
        <w:pStyle w:val="NormalWeb"/>
        <w:ind w:left="360"/>
        <w:rPr>
          <w:lang w:val="en-GB"/>
        </w:rPr>
      </w:pPr>
      <w:r w:rsidRPr="00DC6E1F">
        <w:rPr>
          <w:lang w:val="en-GB"/>
        </w:rPr>
        <w:t xml:space="preserve">Woodruff, C. M., Trivedi, M. K., Botto, N. C., &amp; </w:t>
      </w:r>
      <w:proofErr w:type="spellStart"/>
      <w:r w:rsidRPr="00DC6E1F">
        <w:rPr>
          <w:lang w:val="en-GB"/>
        </w:rPr>
        <w:t>Kornik</w:t>
      </w:r>
      <w:proofErr w:type="spellEnd"/>
      <w:r w:rsidRPr="00DC6E1F">
        <w:rPr>
          <w:lang w:val="en-GB"/>
        </w:rPr>
        <w:t xml:space="preserve">, R. I. (2018). Allergic contact dermatitis of the vulva. </w:t>
      </w:r>
      <w:r w:rsidRPr="00DC6E1F">
        <w:rPr>
          <w:rStyle w:val="Emphasis"/>
          <w:lang w:val="en-GB"/>
        </w:rPr>
        <w:t>Dermatitis, 29</w:t>
      </w:r>
      <w:r w:rsidRPr="00DC6E1F">
        <w:rPr>
          <w:lang w:val="en-GB"/>
        </w:rPr>
        <w:t xml:space="preserve">(5), 233–243. </w:t>
      </w:r>
      <w:hyperlink r:id="rId21" w:history="1">
        <w:r w:rsidR="003367F2" w:rsidRPr="00DE6166">
          <w:rPr>
            <w:rStyle w:val="Hyperlink"/>
            <w:lang w:val="en-GB"/>
          </w:rPr>
          <w:t>https://doi.org/10.1097/DER.0000000000000339</w:t>
        </w:r>
      </w:hyperlink>
      <w:r w:rsidR="003367F2">
        <w:rPr>
          <w:lang w:val="en-GB"/>
        </w:rPr>
        <w:t xml:space="preserve"> </w:t>
      </w:r>
    </w:p>
    <w:p w14:paraId="34A0B235" w14:textId="77777777" w:rsidR="000C411D" w:rsidRPr="00DC6E1F" w:rsidRDefault="000C411D" w:rsidP="003367F2">
      <w:pPr>
        <w:ind w:left="0" w:firstLine="0"/>
        <w:rPr>
          <w:lang w:val="en-GB"/>
        </w:rPr>
      </w:pPr>
    </w:p>
    <w:sectPr w:rsidR="000C411D" w:rsidRPr="00DC6E1F" w:rsidSect="00CB6EB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1EF4" w14:textId="77777777" w:rsidR="00343370" w:rsidRDefault="00343370" w:rsidP="00EB3595">
      <w:pPr>
        <w:spacing w:after="0" w:line="240" w:lineRule="auto"/>
      </w:pPr>
      <w:r>
        <w:separator/>
      </w:r>
    </w:p>
  </w:endnote>
  <w:endnote w:type="continuationSeparator" w:id="0">
    <w:p w14:paraId="34EA8A5A" w14:textId="77777777" w:rsidR="00343370" w:rsidRDefault="00343370" w:rsidP="00EB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B79A" w14:textId="77777777" w:rsidR="00EB3595" w:rsidRDefault="00EB3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F1B5" w14:textId="77777777" w:rsidR="00EB3595" w:rsidRDefault="00EB3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B00A" w14:textId="77777777" w:rsidR="00EB3595" w:rsidRDefault="00EB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43206" w14:textId="77777777" w:rsidR="00343370" w:rsidRDefault="00343370" w:rsidP="00EB3595">
      <w:pPr>
        <w:spacing w:after="0" w:line="240" w:lineRule="auto"/>
      </w:pPr>
      <w:r>
        <w:separator/>
      </w:r>
    </w:p>
  </w:footnote>
  <w:footnote w:type="continuationSeparator" w:id="0">
    <w:p w14:paraId="795D1F45" w14:textId="77777777" w:rsidR="00343370" w:rsidRDefault="00343370" w:rsidP="00EB3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A379D" w14:textId="458CD8AB" w:rsidR="00EB3595" w:rsidRDefault="00EB3595">
    <w:pPr>
      <w:pStyle w:val="Header"/>
    </w:pPr>
    <w:r>
      <w:rPr>
        <w:noProof/>
      </w:rPr>
      <w:pict w14:anchorId="5CEB2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2772" w14:textId="7FCB39AF" w:rsidR="00EB3595" w:rsidRDefault="00EB3595">
    <w:pPr>
      <w:pStyle w:val="Header"/>
    </w:pPr>
    <w:r>
      <w:rPr>
        <w:noProof/>
      </w:rPr>
      <w:pict w14:anchorId="3456C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3A7A" w14:textId="6D6F9D9C" w:rsidR="00EB3595" w:rsidRDefault="00EB3595">
    <w:pPr>
      <w:pStyle w:val="Header"/>
    </w:pPr>
    <w:r>
      <w:rPr>
        <w:noProof/>
      </w:rPr>
      <w:pict w14:anchorId="20FEE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24164"/>
    <w:rsid w:val="00332243"/>
    <w:rsid w:val="003367F2"/>
    <w:rsid w:val="0033735F"/>
    <w:rsid w:val="00343370"/>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3B5D"/>
    <w:rsid w:val="00445A92"/>
    <w:rsid w:val="00450568"/>
    <w:rsid w:val="00450F37"/>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516AA1"/>
    <w:rsid w:val="00523936"/>
    <w:rsid w:val="0052448D"/>
    <w:rsid w:val="00534891"/>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1EE8"/>
    <w:rsid w:val="00904403"/>
    <w:rsid w:val="00916DED"/>
    <w:rsid w:val="00921557"/>
    <w:rsid w:val="00925CAF"/>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9F36D4"/>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651D"/>
    <w:rsid w:val="00AE79C2"/>
    <w:rsid w:val="00AF279A"/>
    <w:rsid w:val="00AF7425"/>
    <w:rsid w:val="00B06888"/>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828A1"/>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1E16"/>
    <w:rsid w:val="00E6358B"/>
    <w:rsid w:val="00E643E8"/>
    <w:rsid w:val="00E6564A"/>
    <w:rsid w:val="00E7044C"/>
    <w:rsid w:val="00E76785"/>
    <w:rsid w:val="00E84B62"/>
    <w:rsid w:val="00E87D5B"/>
    <w:rsid w:val="00E93BAE"/>
    <w:rsid w:val="00E94F6F"/>
    <w:rsid w:val="00E97626"/>
    <w:rsid w:val="00E97CB8"/>
    <w:rsid w:val="00E97F4E"/>
    <w:rsid w:val="00EA45FD"/>
    <w:rsid w:val="00EA7C0C"/>
    <w:rsid w:val="00EB3595"/>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B49E2E"/>
  <w15:docId w15:val="{3BD27C46-9D6A-4165-96B5-F3CBABD7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595"/>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B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95"/>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5009">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0799327">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615045">
      <w:bodyDiv w:val="1"/>
      <w:marLeft w:val="0"/>
      <w:marRight w:val="0"/>
      <w:marTop w:val="0"/>
      <w:marBottom w:val="0"/>
      <w:divBdr>
        <w:top w:val="none" w:sz="0" w:space="0" w:color="auto"/>
        <w:left w:val="none" w:sz="0" w:space="0" w:color="auto"/>
        <w:bottom w:val="none" w:sz="0" w:space="0" w:color="auto"/>
        <w:right w:val="none" w:sz="0" w:space="0" w:color="auto"/>
      </w:divBdr>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09925236">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5393713">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0781881">
      <w:bodyDiv w:val="1"/>
      <w:marLeft w:val="0"/>
      <w:marRight w:val="0"/>
      <w:marTop w:val="0"/>
      <w:marBottom w:val="0"/>
      <w:divBdr>
        <w:top w:val="none" w:sz="0" w:space="0" w:color="auto"/>
        <w:left w:val="none" w:sz="0" w:space="0" w:color="auto"/>
        <w:bottom w:val="none" w:sz="0" w:space="0" w:color="auto"/>
        <w:right w:val="none" w:sz="0" w:space="0" w:color="auto"/>
      </w:divBdr>
    </w:div>
    <w:div w:id="154652379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8634678">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47438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5235179">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8/1055-9965.EPI-16-0019" TargetMode="External"/><Relationship Id="rId13" Type="http://schemas.openxmlformats.org/officeDocument/2006/relationships/hyperlink" Target="https://doi.org/10.1007/s13555-021-00536-6" TargetMode="External"/><Relationship Id="rId18" Type="http://schemas.openxmlformats.org/officeDocument/2006/relationships/hyperlink" Target="https://doi.org/10.1111/cod.1425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97/DER.0000000000000339" TargetMode="External"/><Relationship Id="rId7" Type="http://schemas.openxmlformats.org/officeDocument/2006/relationships/hyperlink" Target="https://doi.org/10.1097/AOG.0000000000003944" TargetMode="External"/><Relationship Id="rId12" Type="http://schemas.openxmlformats.org/officeDocument/2006/relationships/hyperlink" Target="https://doi.org/10.1111/bjd.14033" TargetMode="External"/><Relationship Id="rId17" Type="http://schemas.openxmlformats.org/officeDocument/2006/relationships/hyperlink" Target="https://doi.org/10.1111/ced.1540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40257-018-0364-7" TargetMode="External"/><Relationship Id="rId20" Type="http://schemas.openxmlformats.org/officeDocument/2006/relationships/hyperlink" Target="https://doi.org/10.1007/s40257-021-0061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00431-021-03965-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1/jamadermatol.2015.064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ijwd.2017.02.017" TargetMode="External"/><Relationship Id="rId19" Type="http://schemas.openxmlformats.org/officeDocument/2006/relationships/hyperlink" Target="https://doi.org/10.1016/j.path.2019.01.001" TargetMode="External"/><Relationship Id="rId4" Type="http://schemas.openxmlformats.org/officeDocument/2006/relationships/webSettings" Target="webSettings.xml"/><Relationship Id="rId9" Type="http://schemas.openxmlformats.org/officeDocument/2006/relationships/hyperlink" Target="https://doi.org/10.1111/ajd.12875" TargetMode="External"/><Relationship Id="rId14" Type="http://schemas.openxmlformats.org/officeDocument/2006/relationships/hyperlink" Target="https://doi.org/10.1016/j.jogoh.2020.10180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CFC62-3ABD-4024-B1B0-E3536995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9121</TotalTime>
  <Pages>24</Pages>
  <Words>13051</Words>
  <Characters>74394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111</cp:revision>
  <cp:lastPrinted>2025-12-13T07:14:00Z</cp:lastPrinted>
  <dcterms:created xsi:type="dcterms:W3CDTF">2025-09-24T12:44:00Z</dcterms:created>
  <dcterms:modified xsi:type="dcterms:W3CDTF">2026-02-07T13:33:00Z</dcterms:modified>
</cp:coreProperties>
</file>