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92775" w14:textId="77777777" w:rsidR="004C7E22" w:rsidRDefault="004C7E22" w:rsidP="00441B6F">
      <w:pPr>
        <w:pStyle w:val="Author"/>
        <w:spacing w:line="240" w:lineRule="auto"/>
        <w:rPr>
          <w:rFonts w:ascii="Arial" w:hAnsi="Arial" w:cs="Arial"/>
          <w:bCs/>
          <w:iCs/>
          <w:kern w:val="28"/>
          <w:sz w:val="36"/>
        </w:rPr>
      </w:pPr>
      <w:r w:rsidRPr="004C7E22">
        <w:rPr>
          <w:rFonts w:ascii="Arial" w:hAnsi="Arial" w:cs="Arial"/>
          <w:bCs/>
          <w:iCs/>
          <w:kern w:val="28"/>
          <w:sz w:val="36"/>
        </w:rPr>
        <w:t xml:space="preserve">Case report </w:t>
      </w:r>
    </w:p>
    <w:p w14:paraId="0DB0C1B1" w14:textId="77777777" w:rsidR="004C7E22" w:rsidRDefault="004C7E22" w:rsidP="00441B6F">
      <w:pPr>
        <w:pStyle w:val="Author"/>
        <w:spacing w:line="240" w:lineRule="auto"/>
        <w:rPr>
          <w:rFonts w:ascii="Arial" w:hAnsi="Arial" w:cs="Arial"/>
          <w:bCs/>
          <w:iCs/>
          <w:kern w:val="28"/>
          <w:sz w:val="36"/>
        </w:rPr>
      </w:pPr>
    </w:p>
    <w:p w14:paraId="14857A14" w14:textId="161A6566" w:rsidR="00163BC4" w:rsidRPr="00163BC4" w:rsidRDefault="004C1CF3" w:rsidP="00441B6F">
      <w:pPr>
        <w:pStyle w:val="Author"/>
        <w:spacing w:line="240" w:lineRule="auto"/>
        <w:rPr>
          <w:rFonts w:ascii="Arial" w:hAnsi="Arial" w:cs="Arial"/>
          <w:bCs/>
          <w:iCs/>
          <w:kern w:val="28"/>
          <w:sz w:val="36"/>
        </w:rPr>
      </w:pPr>
      <w:r w:rsidRPr="004C1CF3">
        <w:rPr>
          <w:rFonts w:ascii="Arial" w:hAnsi="Arial" w:cs="Arial"/>
          <w:bCs/>
          <w:iCs/>
          <w:kern w:val="28"/>
          <w:sz w:val="36"/>
        </w:rPr>
        <w:t xml:space="preserve">Successful Management of </w:t>
      </w:r>
      <w:r w:rsidR="00B917BB">
        <w:rPr>
          <w:rFonts w:ascii="Arial" w:hAnsi="Arial" w:cs="Arial"/>
          <w:bCs/>
          <w:iCs/>
          <w:kern w:val="28"/>
          <w:sz w:val="36"/>
        </w:rPr>
        <w:t>R</w:t>
      </w:r>
      <w:r w:rsidR="00B917BB" w:rsidRPr="00B917BB">
        <w:rPr>
          <w:rFonts w:ascii="Arial" w:hAnsi="Arial" w:cs="Arial"/>
          <w:bCs/>
          <w:iCs/>
          <w:kern w:val="28"/>
          <w:sz w:val="36"/>
        </w:rPr>
        <w:t xml:space="preserve">efractory </w:t>
      </w:r>
      <w:r w:rsidR="00B917BB">
        <w:rPr>
          <w:rFonts w:ascii="Arial" w:hAnsi="Arial" w:cs="Arial"/>
          <w:bCs/>
          <w:iCs/>
          <w:kern w:val="28"/>
          <w:sz w:val="36"/>
        </w:rPr>
        <w:t>O</w:t>
      </w:r>
      <w:r w:rsidR="00B917BB" w:rsidRPr="00B917BB">
        <w:rPr>
          <w:rFonts w:ascii="Arial" w:hAnsi="Arial" w:cs="Arial"/>
          <w:bCs/>
          <w:iCs/>
          <w:kern w:val="28"/>
          <w:sz w:val="36"/>
        </w:rPr>
        <w:t xml:space="preserve">bstetric </w:t>
      </w:r>
      <w:r w:rsidRPr="004C1CF3">
        <w:rPr>
          <w:rFonts w:ascii="Arial" w:hAnsi="Arial" w:cs="Arial"/>
          <w:bCs/>
          <w:iCs/>
          <w:kern w:val="28"/>
          <w:sz w:val="36"/>
        </w:rPr>
        <w:t>Antiphospholipid Syndrome in a Pregnant Woman with Homozygous MTHFR Mutation: A Case Report and Literature Review</w:t>
      </w:r>
      <w:r w:rsidR="00231920">
        <w:rPr>
          <w:rFonts w:ascii="Arial" w:hAnsi="Arial" w:cs="Arial"/>
          <w:bCs/>
          <w:iCs/>
          <w:kern w:val="28"/>
          <w:sz w:val="36"/>
        </w:rPr>
        <w:t xml:space="preserve"> </w:t>
      </w:r>
    </w:p>
    <w:p w14:paraId="5FA90244" w14:textId="77777777" w:rsidR="00A258C3" w:rsidRPr="00790ADA" w:rsidRDefault="00A258C3" w:rsidP="00441B6F">
      <w:pPr>
        <w:pStyle w:val="Author"/>
        <w:spacing w:line="240" w:lineRule="auto"/>
        <w:jc w:val="both"/>
        <w:rPr>
          <w:rFonts w:ascii="Arial" w:hAnsi="Arial" w:cs="Arial"/>
          <w:sz w:val="36"/>
        </w:rPr>
      </w:pPr>
    </w:p>
    <w:p w14:paraId="583819B4" w14:textId="77777777" w:rsidR="00790ADA" w:rsidRDefault="00790ADA" w:rsidP="00441B6F">
      <w:pPr>
        <w:pStyle w:val="Affiliation"/>
        <w:spacing w:after="0" w:line="240" w:lineRule="auto"/>
        <w:jc w:val="both"/>
        <w:rPr>
          <w:rFonts w:ascii="Arial" w:hAnsi="Arial" w:cs="Arial"/>
        </w:rPr>
      </w:pPr>
    </w:p>
    <w:p w14:paraId="7B3EE887" w14:textId="77777777" w:rsidR="002C57D2" w:rsidRPr="00FB3A86" w:rsidRDefault="002C57D2" w:rsidP="00441B6F">
      <w:pPr>
        <w:pStyle w:val="Affiliation"/>
        <w:spacing w:after="0" w:line="240" w:lineRule="auto"/>
        <w:jc w:val="both"/>
        <w:rPr>
          <w:rFonts w:ascii="Arial" w:hAnsi="Arial" w:cs="Arial"/>
        </w:rPr>
      </w:pPr>
    </w:p>
    <w:p w14:paraId="376B7097" w14:textId="77777777" w:rsidR="00B01FCD" w:rsidRPr="00FB3A86" w:rsidRDefault="009C68B5" w:rsidP="00441B6F">
      <w:pPr>
        <w:pStyle w:val="Copyright"/>
        <w:spacing w:after="0" w:line="240" w:lineRule="auto"/>
        <w:jc w:val="both"/>
        <w:rPr>
          <w:rFonts w:ascii="Arial" w:hAnsi="Arial" w:cs="Arial"/>
        </w:rPr>
        <w:sectPr w:rsidR="00B01FCD" w:rsidRPr="00FB3A86" w:rsidSect="004F1D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61CEB7C">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FCB19E9" w14:textId="5849E1E2" w:rsidR="00B01FCD" w:rsidRDefault="00B01FCD" w:rsidP="00441B6F">
      <w:pPr>
        <w:pStyle w:val="AbstHead"/>
        <w:spacing w:after="0"/>
        <w:jc w:val="both"/>
        <w:rPr>
          <w:rFonts w:ascii="Arial" w:hAnsi="Arial" w:cs="Arial"/>
        </w:rPr>
      </w:pPr>
      <w:r w:rsidRPr="00FB3A86">
        <w:rPr>
          <w:rFonts w:ascii="Arial" w:hAnsi="Arial" w:cs="Arial"/>
        </w:rPr>
        <w:t>ABSTRACT</w:t>
      </w:r>
    </w:p>
    <w:p w14:paraId="1DADDD4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FF97883" w14:textId="77777777" w:rsidTr="001E44FE">
        <w:tc>
          <w:tcPr>
            <w:tcW w:w="9576" w:type="dxa"/>
            <w:shd w:val="clear" w:color="auto" w:fill="F2F2F2"/>
          </w:tcPr>
          <w:p w14:paraId="051B7EB0" w14:textId="3C7AE54D" w:rsidR="008310CA" w:rsidRPr="008310CA" w:rsidRDefault="008310CA" w:rsidP="008310CA">
            <w:pPr>
              <w:pStyle w:val="Body"/>
              <w:rPr>
                <w:rFonts w:ascii="Arial" w:eastAsia="Calibri" w:hAnsi="Arial" w:cs="Arial"/>
                <w:szCs w:val="22"/>
              </w:rPr>
            </w:pPr>
            <w:r w:rsidRPr="00BB103C">
              <w:rPr>
                <w:rFonts w:ascii="Arial" w:eastAsia="Calibri" w:hAnsi="Arial" w:cs="Arial"/>
                <w:b/>
                <w:bCs/>
                <w:szCs w:val="22"/>
              </w:rPr>
              <w:t>Aims</w:t>
            </w:r>
            <w:r w:rsidR="00BB103C" w:rsidRPr="00BB103C">
              <w:rPr>
                <w:rFonts w:ascii="Arial" w:eastAsia="Calibri" w:hAnsi="Arial" w:cs="Arial"/>
                <w:b/>
                <w:bCs/>
                <w:szCs w:val="22"/>
              </w:rPr>
              <w:t>:</w:t>
            </w:r>
            <w:r w:rsidRPr="008310CA">
              <w:rPr>
                <w:rFonts w:ascii="Arial" w:eastAsia="Calibri" w:hAnsi="Arial" w:cs="Arial"/>
                <w:szCs w:val="22"/>
              </w:rPr>
              <w:t xml:space="preserve"> To report the successful management and perinatal outcome of a high-risk pregnancy in a patient with</w:t>
            </w:r>
            <w:r w:rsidR="00995EA0">
              <w:rPr>
                <w:rFonts w:ascii="Arial" w:eastAsia="Calibri" w:hAnsi="Arial" w:cs="Arial"/>
                <w:szCs w:val="22"/>
              </w:rPr>
              <w:t xml:space="preserve"> </w:t>
            </w:r>
            <w:r w:rsidRPr="008310CA">
              <w:rPr>
                <w:rFonts w:ascii="Arial" w:eastAsia="Calibri" w:hAnsi="Arial" w:cs="Arial"/>
                <w:szCs w:val="22"/>
              </w:rPr>
              <w:t>Antiphospholipid Syndrome (APS) and a homozygous MTHFR mutation utilizing Enoxaparin therapy.</w:t>
            </w:r>
          </w:p>
          <w:p w14:paraId="14411A41" w14:textId="48F88145" w:rsidR="008310CA" w:rsidRPr="008310CA" w:rsidRDefault="008310CA" w:rsidP="008310CA">
            <w:pPr>
              <w:pStyle w:val="Body"/>
              <w:rPr>
                <w:rFonts w:ascii="Arial" w:eastAsia="Calibri" w:hAnsi="Arial" w:cs="Arial"/>
                <w:szCs w:val="22"/>
              </w:rPr>
            </w:pPr>
            <w:r w:rsidRPr="00BB103C">
              <w:rPr>
                <w:rFonts w:ascii="Arial" w:eastAsia="Calibri" w:hAnsi="Arial" w:cs="Arial"/>
                <w:b/>
                <w:bCs/>
                <w:szCs w:val="22"/>
              </w:rPr>
              <w:t>Presentation of Case</w:t>
            </w:r>
            <w:r w:rsidR="00BB103C" w:rsidRPr="00BB103C">
              <w:rPr>
                <w:rFonts w:ascii="Arial" w:eastAsia="Calibri" w:hAnsi="Arial" w:cs="Arial"/>
                <w:b/>
                <w:bCs/>
                <w:szCs w:val="22"/>
              </w:rPr>
              <w:t>:</w:t>
            </w:r>
            <w:r w:rsidRPr="008310CA">
              <w:rPr>
                <w:rFonts w:ascii="Arial" w:eastAsia="Calibri" w:hAnsi="Arial" w:cs="Arial"/>
                <w:szCs w:val="22"/>
              </w:rPr>
              <w:t xml:space="preserve"> A 35-year-old primipara with a history of five recurrent miscarriages presented with positive Cardiolipin IgM and a homozygous MTHFR mutation. The patient was managed with daily subcutaneous Enoxaparin (4000 UI) and low-dose aspirin. The pregnancy was complicated by Gestational Diabetes Mellitus and placental insufficiency, manifesting as severe Fetal Growth Restriction (FGR</w:t>
            </w:r>
            <w:r w:rsidR="00CA222F">
              <w:rPr>
                <w:rFonts w:ascii="Arial" w:eastAsia="Calibri" w:hAnsi="Arial" w:cs="Arial"/>
                <w:szCs w:val="22"/>
              </w:rPr>
              <w:t>)</w:t>
            </w:r>
            <w:r w:rsidRPr="008310CA">
              <w:rPr>
                <w:rFonts w:ascii="Arial" w:eastAsia="Calibri" w:hAnsi="Arial" w:cs="Arial"/>
                <w:szCs w:val="22"/>
              </w:rPr>
              <w:t xml:space="preserve"> and oligohydramnios. Due to breech presentation and fetal compromise, a cesarean section was performed at 35 weeks and 2 days, resulting in the delivery of a live female infant weighing 1800g.</w:t>
            </w:r>
          </w:p>
          <w:p w14:paraId="2543EFE8" w14:textId="69FC884D" w:rsidR="008310CA" w:rsidRPr="008310CA" w:rsidRDefault="008310CA" w:rsidP="008310CA">
            <w:pPr>
              <w:pStyle w:val="Body"/>
              <w:rPr>
                <w:rFonts w:ascii="Arial" w:eastAsia="Calibri" w:hAnsi="Arial" w:cs="Arial"/>
                <w:szCs w:val="22"/>
              </w:rPr>
            </w:pPr>
            <w:r w:rsidRPr="00BB103C">
              <w:rPr>
                <w:rFonts w:ascii="Arial" w:eastAsia="Calibri" w:hAnsi="Arial" w:cs="Arial"/>
                <w:b/>
                <w:bCs/>
                <w:szCs w:val="22"/>
              </w:rPr>
              <w:t>Discussion</w:t>
            </w:r>
            <w:r w:rsidR="00BB103C" w:rsidRPr="00BB103C">
              <w:rPr>
                <w:rFonts w:ascii="Arial" w:eastAsia="Calibri" w:hAnsi="Arial" w:cs="Arial"/>
                <w:b/>
                <w:bCs/>
                <w:szCs w:val="22"/>
              </w:rPr>
              <w:t>:</w:t>
            </w:r>
            <w:r w:rsidRPr="008310CA">
              <w:rPr>
                <w:rFonts w:ascii="Arial" w:eastAsia="Calibri" w:hAnsi="Arial" w:cs="Arial"/>
                <w:szCs w:val="22"/>
              </w:rPr>
              <w:t xml:space="preserve"> This case illustrates the complexity of thrombophilia involving APS and MTHFR mutations. While Enoxaparin played a pivotal role in prolonging the pregnancy, the development of severe FGR indicates that </w:t>
            </w:r>
            <w:proofErr w:type="spellStart"/>
            <w:r w:rsidRPr="008310CA">
              <w:rPr>
                <w:rFonts w:ascii="Arial" w:eastAsia="Calibri" w:hAnsi="Arial" w:cs="Arial"/>
                <w:szCs w:val="22"/>
              </w:rPr>
              <w:t>microthrombosis</w:t>
            </w:r>
            <w:proofErr w:type="spellEnd"/>
            <w:r w:rsidRPr="008310CA">
              <w:rPr>
                <w:rFonts w:ascii="Arial" w:eastAsia="Calibri" w:hAnsi="Arial" w:cs="Arial"/>
                <w:szCs w:val="22"/>
              </w:rPr>
              <w:t xml:space="preserve"> or placental inflammation persisted despite anticoagulation. The patient required intensive monitoring to balance the risks of placental failure against prematurity.</w:t>
            </w:r>
          </w:p>
          <w:p w14:paraId="3327FBF3" w14:textId="225865FA" w:rsidR="00505F06" w:rsidRPr="00BA1B01" w:rsidRDefault="008310CA" w:rsidP="008310CA">
            <w:pPr>
              <w:pStyle w:val="Body"/>
              <w:rPr>
                <w:rFonts w:ascii="Arial" w:eastAsia="Calibri" w:hAnsi="Arial" w:cs="Arial"/>
                <w:szCs w:val="22"/>
              </w:rPr>
            </w:pPr>
            <w:r w:rsidRPr="00BB103C">
              <w:rPr>
                <w:rFonts w:ascii="Arial" w:eastAsia="Calibri" w:hAnsi="Arial" w:cs="Arial"/>
                <w:b/>
                <w:bCs/>
                <w:szCs w:val="22"/>
              </w:rPr>
              <w:t>Conclusion</w:t>
            </w:r>
            <w:r w:rsidR="00BB103C" w:rsidRPr="00BB103C">
              <w:rPr>
                <w:rFonts w:ascii="Arial" w:eastAsia="Calibri" w:hAnsi="Arial" w:cs="Arial"/>
                <w:b/>
                <w:bCs/>
                <w:szCs w:val="22"/>
              </w:rPr>
              <w:t>:</w:t>
            </w:r>
            <w:r w:rsidRPr="008310CA">
              <w:rPr>
                <w:rFonts w:ascii="Arial" w:eastAsia="Calibri" w:hAnsi="Arial" w:cs="Arial"/>
                <w:szCs w:val="22"/>
              </w:rPr>
              <w:t xml:space="preserve"> Enoxaparin therapy can successfully achieve a live birth in women with APS and MTHFR mutations. However, these pregnancies remain at high risk for placental insufficiency, necessitating strict surveillance and timely intervention to ensure optimal outcomes.</w:t>
            </w:r>
          </w:p>
        </w:tc>
      </w:tr>
    </w:tbl>
    <w:p w14:paraId="40910E42" w14:textId="77777777" w:rsidR="00636EB2" w:rsidRDefault="00636EB2" w:rsidP="00441B6F">
      <w:pPr>
        <w:pStyle w:val="Body"/>
        <w:spacing w:after="0"/>
        <w:rPr>
          <w:rFonts w:ascii="Arial" w:hAnsi="Arial" w:cs="Arial"/>
          <w:i/>
        </w:rPr>
      </w:pPr>
    </w:p>
    <w:p w14:paraId="6D558354" w14:textId="7A84BED1" w:rsidR="0024282C" w:rsidRPr="006D39DE" w:rsidRDefault="00A24E7E" w:rsidP="00441B6F">
      <w:pPr>
        <w:pStyle w:val="Body"/>
        <w:spacing w:after="0"/>
        <w:rPr>
          <w:rFonts w:ascii="Arial" w:hAnsi="Arial" w:cs="Arial"/>
          <w:i/>
        </w:rPr>
      </w:pPr>
      <w:r>
        <w:rPr>
          <w:rFonts w:ascii="Arial" w:hAnsi="Arial" w:cs="Arial"/>
          <w:i/>
        </w:rPr>
        <w:t>Keywords:</w:t>
      </w:r>
      <w:r w:rsidR="00F96188">
        <w:t xml:space="preserve"> </w:t>
      </w:r>
      <w:r w:rsidR="00F96188" w:rsidRPr="00F96188">
        <w:rPr>
          <w:rFonts w:ascii="Arial" w:hAnsi="Arial" w:cs="Arial"/>
          <w:i/>
        </w:rPr>
        <w:t>Antiphospholipid Syndrome, Recurrent Pregnancy Loss, Fetal Growth Restriction, Enoxaparin, High-risk Pregnancy.</w:t>
      </w:r>
    </w:p>
    <w:p w14:paraId="049C1BBD" w14:textId="77777777" w:rsidR="00505F06" w:rsidRPr="00A24E7E" w:rsidRDefault="00505F06" w:rsidP="00441B6F">
      <w:pPr>
        <w:pStyle w:val="Body"/>
        <w:spacing w:after="0"/>
        <w:rPr>
          <w:rFonts w:ascii="Arial" w:hAnsi="Arial" w:cs="Arial"/>
          <w:i/>
        </w:rPr>
      </w:pPr>
    </w:p>
    <w:p w14:paraId="73E0DCA0" w14:textId="7C1DEE8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47CE475" w14:textId="77777777" w:rsidR="00790ADA" w:rsidRPr="00FB3A86" w:rsidRDefault="00790ADA" w:rsidP="00441B6F">
      <w:pPr>
        <w:pStyle w:val="AbstHead"/>
        <w:spacing w:after="0"/>
        <w:jc w:val="both"/>
        <w:rPr>
          <w:rFonts w:ascii="Arial" w:hAnsi="Arial" w:cs="Arial"/>
        </w:rPr>
      </w:pPr>
    </w:p>
    <w:p w14:paraId="5A050D2F" w14:textId="4BAA466E" w:rsidR="00A332E6" w:rsidRDefault="002E45A2" w:rsidP="00A332E6">
      <w:pPr>
        <w:pStyle w:val="Body"/>
        <w:rPr>
          <w:rFonts w:ascii="Arial" w:hAnsi="Arial" w:cs="Arial"/>
        </w:rPr>
      </w:pPr>
      <w:r w:rsidRPr="002E45A2">
        <w:rPr>
          <w:rFonts w:ascii="Arial" w:hAnsi="Arial" w:cs="Arial"/>
        </w:rPr>
        <w:t>Antiphospholipid Syndrome (APS) is a leading treatable cause of recurrent pregnancy loss</w:t>
      </w:r>
      <w:r w:rsidR="0010750C">
        <w:rPr>
          <w:rFonts w:ascii="Arial" w:hAnsi="Arial" w:cs="Arial"/>
        </w:rPr>
        <w:fldChar w:fldCharType="begin"/>
      </w:r>
      <w:r w:rsidR="0010750C">
        <w:rPr>
          <w:rFonts w:ascii="Arial" w:hAnsi="Arial" w:cs="Arial"/>
        </w:rPr>
        <w:instrText xml:space="preserve"> ADDIN ZOTERO_ITEM CSL_CITATION {"citationID":"UVP62Ngc","properties":{"formattedCitation":"(Garcia &amp; Erkan, 2018)","plainCitation":"(Garcia &amp; Erkan, 2018)","noteIndex":0},"citationItems":[{"id":179,"uris":["http://zotero.org/users/18792264/items/VWJDCEZR"],"itemData":{"id":179,"type":"article-journal","container-title":"New England Journal of Medicine","DOI":"10.1056/NEJMra1705454","ISSN":"0028-4793, 1533-4406","issue":"21","journalAbbreviation":"N Engl J Med","language":"en","page":"2010-2021","source":"DOI.org (Crossref)","title":"Diagnosis and Management of the Antiphospholipid Syndrome","URL":"http://www.nejm.org/doi/10.1056/NEJMra1705454","volume":"378","editor":[{"family":"Longo","given":"Dan L."}],"author":[{"family":"Garcia","given":"David"},{"family":"Erkan","given":"Doruk"}],"accessed":{"date-parts":[["2026",1,27]]},"issued":{"date-parts":[["2018",5,24]]}}}],"schema":"https://github.com/citation-style-language/schema/raw/master/csl-citation.json"} </w:instrText>
      </w:r>
      <w:r w:rsidR="0010750C">
        <w:rPr>
          <w:rFonts w:ascii="Arial" w:hAnsi="Arial" w:cs="Arial"/>
        </w:rPr>
        <w:fldChar w:fldCharType="separate"/>
      </w:r>
      <w:r w:rsidR="0010750C">
        <w:rPr>
          <w:rFonts w:ascii="Arial" w:hAnsi="Arial" w:cs="Arial"/>
          <w:noProof/>
        </w:rPr>
        <w:t>(Garcia &amp; Erkan, 2018)</w:t>
      </w:r>
      <w:r w:rsidR="0010750C">
        <w:rPr>
          <w:rFonts w:ascii="Arial" w:hAnsi="Arial" w:cs="Arial"/>
        </w:rPr>
        <w:fldChar w:fldCharType="end"/>
      </w:r>
      <w:r w:rsidRPr="002E45A2">
        <w:rPr>
          <w:rFonts w:ascii="Arial" w:hAnsi="Arial" w:cs="Arial"/>
        </w:rPr>
        <w:t>. The standard of care involves Low-Dose Aspirin combined with Low-Molecular-Weight Heparin (LMWH)</w:t>
      </w:r>
      <w:r w:rsidR="0010750C">
        <w:rPr>
          <w:rFonts w:ascii="Arial" w:hAnsi="Arial" w:cs="Arial"/>
        </w:rPr>
        <w:t xml:space="preserve"> </w:t>
      </w:r>
      <w:r w:rsidR="0010750C">
        <w:rPr>
          <w:rFonts w:ascii="Arial" w:hAnsi="Arial" w:cs="Arial"/>
        </w:rPr>
        <w:fldChar w:fldCharType="begin"/>
      </w:r>
      <w:r w:rsidR="0010750C">
        <w:rPr>
          <w:rFonts w:ascii="Arial" w:hAnsi="Arial" w:cs="Arial"/>
        </w:rPr>
        <w:instrText xml:space="preserve"> ADDIN ZOTERO_ITEM CSL_CITATION {"citationID":"Co3RmJwC","properties":{"formattedCitation":"(The ESHRE Guideline Group on RPL et al., 2022)","plainCitation":"(The ESHRE Guideline Group on RPL et al., 2022)","noteIndex":0},"citationItems":[{"id":177,"uris":["http://zotero.org/users/18792264/items/TPAIRPQA"],"itemData":{"id":177,"type":"article-journal","abstract":"Abstract\n            \n              STUDY QUESTION\n              What are the updates for the recommended management of women with recurrent pregnancy loss (RPL) based on the best available evidence in the literature from 2017 to 2022?\n            \n            \n              SUMMARY ANSWER\n              The guideline development group (GDG) updated 11 existing recommendations on investigations and treatments for RPL, and how care should be organized, and added one new recommendation on adenomyosis investigation in women with RPL.\n            \n            \n              WHAT IS KNOWN ALREADY\n              A previous ESHRE guideline on RPL was published in 2017 and needs to be updated.\n            \n            \n              STUDY DESIGN, SIZE, DURATION\n              The guideline was developed and updated according to the structured methodology for development and update of ESHRE guidelines. The literature searches were updated, and assessments of relevant new evidence were performed. Relevant papers published between 31 March 2017 and 28 February 2022 and written in English were included. Cumulative live birth rate, live birth rate, and pregnancy loss rate (or miscarriage rate) were considered the critical outcomes.\n            \n            \n              PARTICIPANTS/MATERIALS, SETTING, METHODS\n              Based on the collected evidence, recommendations were updated and discussed until consensus was reached within the GDG. A stakeholder review was organized after the updated draft was finalized. The final version was approved by the GDG and the ESHRE Executive Committee.\n            \n            \n              MAIN RESULTS AND THE ROLE OF CHANCE\n              The new version of the guideline provides 39 recommendations on risk factors, prevention, and investigation in couples with RPL, and 38 recommendations on treatments. These includes 62 evidence-based recommendations—of which 33 were formulated as strong recommendations and 29 as conditional—and 15 good practice points. Of the evidence-based recommendations, 12 (19.4%) were supported by moderate-quality evidence. The remaining recommendations were supported by low (34 recommendations; 54.8%), or very low-quality evidence (16 recommendations; 25.8%). Owing to the lack of evidence-based investigations and treatments in RPL care, the guideline also clearly mentions those investigations and treatments that should not be used for couples with RPL.\n            \n            \n              LIMITATIONS, REASONS FOR CAUTION\n              The guidelines have been updated; however, several investigations and treatments currently offered to couples with RPL have not been well studied; for most of these investigations and treatments, a recommendation against using the intervention or treatment was formulated based on insufficient evidence. Future studies may require these recommendations to be revised.\n            \n            \n              WIDER IMPLICATIONS OF THE FINDINGS\n              The guideline provides clinicians with clear advice on best practice in RPL, based on the best and most recent evidence available. In addition, a list of research recommendations is provided to stimulate further studies in RPL. Still, the absence of a unified definition of RPL is one of the most critical consequences of the limited scientific evidence in the field.\n            \n            \n              STUDY FUNDING/COMPETING INTEREST(S)\n              The guideline was developed and funded by ESHRE, covering expenses associated with the guideline meetings, with the literature searches and with the dissemination of the guideline. The guideline group members did not receive payment.\n              O.B.C. reports being a member of the executive board of the European Society for Reproductive Immunology and has received payment for honoraria for giving lectures about RPL in Australia in 2020. M.G. reports unconditional research and educational grant received by the Centre for Reproductive Medicine, Amsterdam UMC from Guerbet, Merck and Ferring, not related to the presented work. S.L. reports position funding from EXAMENLAB Ltd. and ownership interest by stock or partnership of EXAMENLAB Ltd (CEO). S.Q. reports being a deputy director of Tommy’s National centre for miscarriage research, with payment received by the institution for research, staff time, and consumables for research. H.S.N. reports grants with payment to institution from Freya Biosciences ApS, Ferring Pharmaceuticals, BioInnovation Institute, the Danish ministry of Education, Novo Nordic Foundation, Augustinus Fonden, Oda og Hans Svenningsens Fond, Demant Fonden, Ole Kirks Fond, and Independent Research Fund Denmark and speakers’ fees for lectures from Ferring Pharmaceuticals, Merck A/S, Astra Zeneca, IBSA Nordic and Cook Medical. She also reports to be an unpaid founder and chairman of a maternity foundation. M.-L.v.d.H. received small honoraria for lectures on RPL care. The other authors have no conflicts of interest to declare.\n            \n            \n              DISCLAIMER\n              This guideline represents the views of ESHRE, which were achieved after careful consideration of the scientific evidence available at the time of preparation. In the absence of scientific evidence on certain aspects, a consensus between the relevant ESHRE stakeholders has been obtained.\n              Adherence to these clinical practice guidelines does not guarantee a successful or specific outcome, nor does it establish a standard of care. Clinical practice guidelines do not replace the need for application of clinical judgment to each individual presentation, nor variations based on locality and facility type.\n              ESHRE makes no warranty, express or implied, regarding the clinical practice guidelines and specifically excludes any warranties of merchantability and fitness for a particular use or purpose. (Full disclaimer available at www.eshre.eu/guidelines.)","container-title":"Human Reproduction Open","DOI":"10.1093/hropen/hoad002","ISSN":"2399-3529","issue":"1","language":"en","license":"https://creativecommons.org/licenses/by-nc/4.0/","page":"hoad002","source":"DOI.org (Crossref)","title":"ESHRE guideline: recurrent pregnancy loss: an update in 2022","title-short":"ESHRE guideline","URL":"https://academic.oup.com/hropen/article/doi/10.1093/hropen/hoad002/7068067","volume":"2023","author":[{"literal":"The ESHRE Guideline Group on RPL"},{"family":"Bender Atik","given":"Ruth"},{"family":"Christiansen","given":"Ole Bjarne"},{"family":"Elson","given":"Janine"},{"family":"Kolte","given":"Astrid Marie"},{"family":"Lewis","given":"Sheena"},{"family":"Middeldorp","given":"Saskia"},{"family":"Mcheik","given":"Saria"},{"family":"Peramo","given":"Braulio"},{"family":"Quenby","given":"Siobhan"},{"family":"Nielsen","given":"Henriette Svarre"},{"family":"Van Der Hoorn","given":"Marie-Louise"},{"family":"Vermeulen","given":"Nathalie"},{"family":"Goddijn","given":"Mariëtte"}],"accessed":{"date-parts":[["2026",1,27]]},"issued":{"date-parts":[["2022",12,13]]}}}],"schema":"https://github.com/citation-style-language/schema/raw/master/csl-citation.json"} </w:instrText>
      </w:r>
      <w:r w:rsidR="0010750C">
        <w:rPr>
          <w:rFonts w:ascii="Arial" w:hAnsi="Arial" w:cs="Arial"/>
        </w:rPr>
        <w:fldChar w:fldCharType="separate"/>
      </w:r>
      <w:r w:rsidR="0010750C">
        <w:rPr>
          <w:rFonts w:ascii="Arial" w:hAnsi="Arial" w:cs="Arial"/>
          <w:noProof/>
        </w:rPr>
        <w:t>(The ESHRE Guideline Group on RPL et al., 2022)</w:t>
      </w:r>
      <w:r w:rsidR="0010750C">
        <w:rPr>
          <w:rFonts w:ascii="Arial" w:hAnsi="Arial" w:cs="Arial"/>
        </w:rPr>
        <w:fldChar w:fldCharType="end"/>
      </w:r>
      <w:r w:rsidRPr="002E45A2">
        <w:rPr>
          <w:rFonts w:ascii="Arial" w:hAnsi="Arial" w:cs="Arial"/>
        </w:rPr>
        <w:t>. However, treatment failure occurs in 20-30% of cases, termed Refractory Obstetric APS</w:t>
      </w:r>
      <w:r w:rsidR="00061C45">
        <w:rPr>
          <w:rFonts w:ascii="Arial" w:hAnsi="Arial" w:cs="Arial"/>
        </w:rPr>
        <w:t xml:space="preserve"> </w:t>
      </w:r>
      <w:r w:rsidR="0010750C">
        <w:rPr>
          <w:rFonts w:ascii="Arial" w:hAnsi="Arial" w:cs="Arial"/>
        </w:rPr>
        <w:fldChar w:fldCharType="begin"/>
      </w:r>
      <w:r w:rsidR="0010750C">
        <w:rPr>
          <w:rFonts w:ascii="Arial" w:hAnsi="Arial" w:cs="Arial"/>
        </w:rPr>
        <w:instrText xml:space="preserve"> ADDIN ZOTERO_ITEM CSL_CITATION {"citationID":"L9AxCSBl","properties":{"formattedCitation":"(Beltagy et al., 2021)","plainCitation":"(Beltagy et al., 2021)","noteIndex":0},"citationItems":[{"id":180,"uris":["http://zotero.org/users/18792264/items/3P9356NC"],"itemData":{"id":180,"type":"article-journal","abstract":"Abstract\n            Anti</w:instrText>
      </w:r>
      <w:r w:rsidR="0010750C">
        <w:rPr>
          <w:rFonts w:ascii="Cambria Math" w:hAnsi="Cambria Math" w:cs="Cambria Math"/>
        </w:rPr>
        <w:instrText>‐</w:instrText>
      </w:r>
      <w:r w:rsidR="0010750C">
        <w:rPr>
          <w:rFonts w:ascii="Arial" w:hAnsi="Arial" w:cs="Arial"/>
        </w:rPr>
        <w:instrText>phospholipid syndrome (APS) recapitulates the link between autoimmunity and pregnancy failure: Acquired anti</w:instrText>
      </w:r>
      <w:r w:rsidR="0010750C">
        <w:rPr>
          <w:rFonts w:ascii="Cambria Math" w:hAnsi="Cambria Math" w:cs="Cambria Math"/>
        </w:rPr>
        <w:instrText>‐</w:instrText>
      </w:r>
      <w:r w:rsidR="0010750C">
        <w:rPr>
          <w:rFonts w:ascii="Arial" w:hAnsi="Arial" w:cs="Arial"/>
        </w:rPr>
        <w:instrText>phospholipid antibodies (aPL) play a pathogenic role in pregnancy complications. The diagnosis of obstetric APS can easily be pursued when women present with laboratory and clinical features fulfilling the international classification criteria. Standard therapeutic approach to obstetric APS consists in the association of anti</w:instrText>
      </w:r>
      <w:r w:rsidR="0010750C">
        <w:rPr>
          <w:rFonts w:ascii="Cambria Math" w:hAnsi="Cambria Math" w:cs="Cambria Math"/>
        </w:rPr>
        <w:instrText>‐</w:instrText>
      </w:r>
      <w:r w:rsidR="0010750C">
        <w:rPr>
          <w:rFonts w:ascii="Arial" w:hAnsi="Arial" w:cs="Arial"/>
        </w:rPr>
        <w:instrText>platelet agents and anticoagulants. Most patients achieve a live birth thanks to conventional treatment; however, approximately 20% fail to respond and are managed with additional therapeutic tools added on the top of conventional treatment. Surely, a refinement of risk stratification tools would allow early identification of high</w:instrText>
      </w:r>
      <w:r w:rsidR="0010750C">
        <w:rPr>
          <w:rFonts w:ascii="Cambria Math" w:hAnsi="Cambria Math" w:cs="Cambria Math"/>
        </w:rPr>
        <w:instrText>‐</w:instrText>
      </w:r>
      <w:r w:rsidR="0010750C">
        <w:rPr>
          <w:rFonts w:ascii="Arial" w:hAnsi="Arial" w:cs="Arial"/>
        </w:rPr>
        <w:instrText>risk pregnancies that warrant tailored treatment. In real life, obstetricians and rheumatologists face complex diagnostic scenarios including women with pregnancy morbidities other than those mentioned in classification criteria such as one or two early losses and premature birth after 34 weeks due to preeclampsia or placental insufficiency, women with low</w:instrText>
      </w:r>
      <w:r w:rsidR="0010750C">
        <w:rPr>
          <w:rFonts w:ascii="Cambria Math" w:hAnsi="Cambria Math" w:cs="Cambria Math"/>
        </w:rPr>
        <w:instrText>‐</w:instrText>
      </w:r>
      <w:r w:rsidR="0010750C">
        <w:rPr>
          <w:rFonts w:ascii="Arial" w:hAnsi="Arial" w:cs="Arial"/>
        </w:rPr>
        <w:instrText>titer aPL not fulfilling criteria laboratory requirements, women with positive non</w:instrText>
      </w:r>
      <w:r w:rsidR="0010750C">
        <w:rPr>
          <w:rFonts w:ascii="Cambria Math" w:hAnsi="Cambria Math" w:cs="Cambria Math"/>
        </w:rPr>
        <w:instrText>‐</w:instrText>
      </w:r>
      <w:r w:rsidR="0010750C">
        <w:rPr>
          <w:rFonts w:ascii="Arial" w:hAnsi="Arial" w:cs="Arial"/>
        </w:rPr>
        <w:instrText>criteria aPL, asymptomatic aPL carriers, and infertile women found to be aPL</w:instrText>
      </w:r>
      <w:r w:rsidR="0010750C">
        <w:rPr>
          <w:rFonts w:ascii="Cambria Math" w:hAnsi="Cambria Math" w:cs="Cambria Math"/>
        </w:rPr>
        <w:instrText>‐</w:instrText>
      </w:r>
      <w:r w:rsidR="0010750C">
        <w:rPr>
          <w:rFonts w:ascii="Arial" w:hAnsi="Arial" w:cs="Arial"/>
        </w:rPr>
        <w:instrText>positive. This review focuses on some of the several unanswered questions related to diagnostic, prognostic, and therapeutic aspects in obstetric APS.","container-title":"American Journal of Reproductive Immunology","DOI":"10.1111/aji.13258","ISSN":"1046-7408, 1600-0897","issue":"4","journalAbbreviation":"American J Rep Immunol","language":"en","page":"e13258","source":"DOI.org (Crossref)","title":"Anti</w:instrText>
      </w:r>
      <w:r w:rsidR="0010750C">
        <w:rPr>
          <w:rFonts w:ascii="Cambria Math" w:hAnsi="Cambria Math" w:cs="Cambria Math"/>
        </w:rPr>
        <w:instrText>‐</w:instrText>
      </w:r>
      <w:r w:rsidR="0010750C">
        <w:rPr>
          <w:rFonts w:ascii="Arial" w:hAnsi="Arial" w:cs="Arial"/>
        </w:rPr>
        <w:instrText xml:space="preserve">phospholipid antibodies and reproductive failures","URL":"https://onlinelibrary.wiley.com/doi/10.1111/aji.13258","volume":"85","author":[{"family":"Beltagy","given":"Asmaa"},{"family":"Trespidi","given":"Laura"},{"family":"Gerosa","given":"Maria"},{"family":"Ossola","given":"Manuela Wally"},{"family":"Meroni","given":"Pier Luigi"},{"family":"Chighizola","given":"Cecilia B."}],"accessed":{"date-parts":[["2026",1,27]]},"issued":{"date-parts":[["2021",4]]}}}],"schema":"https://github.com/citation-style-language/schema/raw/master/csl-citation.json"} </w:instrText>
      </w:r>
      <w:r w:rsidR="0010750C">
        <w:rPr>
          <w:rFonts w:ascii="Arial" w:hAnsi="Arial" w:cs="Arial"/>
        </w:rPr>
        <w:fldChar w:fldCharType="separate"/>
      </w:r>
      <w:r w:rsidR="0010750C">
        <w:rPr>
          <w:rFonts w:ascii="Arial" w:hAnsi="Arial" w:cs="Arial"/>
          <w:noProof/>
        </w:rPr>
        <w:t>(Beltagy et al., 2021)</w:t>
      </w:r>
      <w:r w:rsidR="0010750C">
        <w:rPr>
          <w:rFonts w:ascii="Arial" w:hAnsi="Arial" w:cs="Arial"/>
        </w:rPr>
        <w:fldChar w:fldCharType="end"/>
      </w:r>
      <w:r w:rsidRPr="002E45A2">
        <w:rPr>
          <w:rFonts w:ascii="Arial" w:hAnsi="Arial" w:cs="Arial"/>
        </w:rPr>
        <w:t>.</w:t>
      </w:r>
    </w:p>
    <w:p w14:paraId="367A26C0" w14:textId="0437D089" w:rsidR="00A332E6" w:rsidRDefault="002E45A2" w:rsidP="00D51D2A">
      <w:pPr>
        <w:pStyle w:val="Body"/>
        <w:rPr>
          <w:rFonts w:ascii="Arial" w:hAnsi="Arial" w:cs="Arial"/>
        </w:rPr>
      </w:pPr>
      <w:r w:rsidRPr="002E45A2">
        <w:rPr>
          <w:rFonts w:ascii="Arial" w:hAnsi="Arial" w:cs="Arial"/>
        </w:rPr>
        <w:t xml:space="preserve">The management becomes increasingly complex when co-occurring with Homozygous MTHFR C677T mutation. While the independent role of MTHFR in adverse pregnancy outcomes remains debated by ACOG </w:t>
      </w:r>
      <w:r w:rsidR="007A03C7">
        <w:rPr>
          <w:rFonts w:ascii="Arial" w:hAnsi="Arial" w:cs="Arial"/>
        </w:rPr>
        <w:fldChar w:fldCharType="begin"/>
      </w:r>
      <w:r w:rsidR="007A03C7">
        <w:rPr>
          <w:rFonts w:ascii="Arial" w:hAnsi="Arial" w:cs="Arial"/>
        </w:rPr>
        <w:instrText xml:space="preserve"> ADDIN ZOTERO_ITEM CSL_CITATION {"citationID":"CEyxdM1B","properties":{"formattedCitation":"(\\uc0\\u8220{}ACOG Practice Bulletin No. 197,\\uc0\\u8221{} 2018)","plainCitation":"(“ACOG Practice Bulletin No. 197,” 2018)","noteIndex":0},"citationItems":[{"id":181,"uris":["http://zotero.org/users/18792264/items/KH7CBR8E"],"itemData":{"id":181,"type":"article-journal","abstract":"Inherited thrombophilias are associated with an increased risk of venous thromboembolism and have been linked to adverse outcomes in pregnancy. However, there is limited evidence to guide screening for and management of these conditions in pregnancy. The purpose of this document is to review common thrombophilias and their association with maternal venous thromboembolism risk and adverse pregnancy outcomes, indications for screening to detect these conditions, and management options in pregnancy. This Practice Bulletin has been revised to provide additional information on recommendations for candidates for thrombophilia evaluation, updated consensus guidelines regarding the need for prophylaxis in women with an inherited thrombophilia during pregnancy and the postpartum period, and discussion of new published consensus guidelines from the Society for Obstetric Anesthesia and Perinatology addressing thromboprophylaxis and neuraxial anesthetic considerations in the obstetric population.","container-title":"Obstetrics &amp; Gynecology","DOI":"10.1097/AOG.0000000000002703","ISSN":"0029-7844","issue":"1","language":"en","page":"e18-e34","source":"DOI.org (Crossref)","title":"ACOG Practice Bulletin No. 197: Inherited Thrombophilias in Pregnancy","title-short":"ACOG Practice Bulletin No. 197","URL":"https://journals.lww.com/00006250-201807000-00055","volume":"132","accessed":{"date-parts":[["2026",1,27]]},"issued":{"date-parts":[["2018",7]]}}}],"schema":"https://github.com/citation-style-language/schema/raw/master/csl-citation.json"} </w:instrText>
      </w:r>
      <w:r w:rsidR="007A03C7">
        <w:rPr>
          <w:rFonts w:ascii="Arial" w:hAnsi="Arial" w:cs="Arial"/>
        </w:rPr>
        <w:fldChar w:fldCharType="separate"/>
      </w:r>
      <w:r w:rsidR="007A03C7" w:rsidRPr="007A03C7">
        <w:rPr>
          <w:rFonts w:ascii="Arial" w:hAnsi="Arial" w:cs="Arial"/>
          <w:szCs w:val="24"/>
        </w:rPr>
        <w:t>(“ACOG Practice Bulletin No. 197,” 2018)</w:t>
      </w:r>
      <w:r w:rsidR="007A03C7">
        <w:rPr>
          <w:rFonts w:ascii="Arial" w:hAnsi="Arial" w:cs="Arial"/>
        </w:rPr>
        <w:fldChar w:fldCharType="end"/>
      </w:r>
      <w:r w:rsidRPr="002E45A2">
        <w:rPr>
          <w:rFonts w:ascii="Arial" w:hAnsi="Arial" w:cs="Arial"/>
        </w:rPr>
        <w:t xml:space="preserve">, in the context of APS, </w:t>
      </w:r>
      <w:proofErr w:type="spellStart"/>
      <w:r w:rsidRPr="002E45A2">
        <w:rPr>
          <w:rFonts w:ascii="Arial" w:hAnsi="Arial" w:cs="Arial"/>
        </w:rPr>
        <w:t>hyperhomocysteinemia</w:t>
      </w:r>
      <w:proofErr w:type="spellEnd"/>
      <w:r w:rsidRPr="002E45A2">
        <w:rPr>
          <w:rFonts w:ascii="Arial" w:hAnsi="Arial" w:cs="Arial"/>
        </w:rPr>
        <w:t xml:space="preserve"> acts as a second hit. It exacerbates endothelial dysfunction already compromised by antiphospholipid antibodies (</w:t>
      </w:r>
      <w:proofErr w:type="spellStart"/>
      <w:r w:rsidRPr="002E45A2">
        <w:rPr>
          <w:rFonts w:ascii="Arial" w:hAnsi="Arial" w:cs="Arial"/>
        </w:rPr>
        <w:t>aPL</w:t>
      </w:r>
      <w:proofErr w:type="spellEnd"/>
      <w:r w:rsidRPr="002E45A2">
        <w:rPr>
          <w:rFonts w:ascii="Arial" w:hAnsi="Arial" w:cs="Arial"/>
        </w:rPr>
        <w:t>), creating a hypercoagulable state at the maternal-fetal interface</w:t>
      </w:r>
      <w:r w:rsidR="00A4222C">
        <w:rPr>
          <w:rFonts w:ascii="Arial" w:hAnsi="Arial" w:cs="Arial"/>
        </w:rPr>
        <w:t xml:space="preserve"> </w:t>
      </w:r>
      <w:r w:rsidR="00A4222C">
        <w:rPr>
          <w:rFonts w:ascii="Arial" w:hAnsi="Arial" w:cs="Arial"/>
        </w:rPr>
        <w:fldChar w:fldCharType="begin"/>
      </w:r>
      <w:r w:rsidR="00A4222C">
        <w:rPr>
          <w:rFonts w:ascii="Arial" w:hAnsi="Arial" w:cs="Arial"/>
        </w:rPr>
        <w:instrText xml:space="preserve"> ADDIN ZOTERO_ITEM CSL_CITATION {"citationID":"VBr7pHjg","properties":{"formattedCitation":"(Aldabie et al., 2026)","plainCitation":"(Aldabie et al., 2026)","noteIndex":0},"citationItems":[{"id":183,"uris":["http://zotero.org/users/18792264/items/GASZX89A"],"itemData":{"id":183,"type":"article-journal","container-title":"Expert Review of Clinical Immunology","DOI":"10.1080/1744666X.2025.2612589","ISSN":"1744-666X, 1744-8409","journalAbbreviation":"Expert Review of Clinical Immunology","language":"en","page":"1-12","source":"DOI.org (Crossref)","title":"Navigating obstetric antiphospholipid syndrome: pathophysiology, diagnosis, and therapeutic advances","title-short":"Navigating obstetric antiphospholipid syndrome","URL":"https://www.tandfonline.com/doi/full/10.1080/1744666X.2025.2612589","author":[{"family":"Aldabie","given":"Ghaydaa"},{"family":"Almarzooqi","given":"Ahlam"},{"family":"Aljohani","given":"Roaa"},{"family":"Altawash","given":"Manar"},{"family":"Alkadi","given":"Amjad"},{"family":"Khamashta","given":"Munther"}],"accessed":{"date-parts":[["2026",1,27]]},"issued":{"date-parts":[["2026",1,11]]}}}],"schema":"https://github.com/citation-style-language/schema/raw/master/csl-citation.json"} </w:instrText>
      </w:r>
      <w:r w:rsidR="00A4222C">
        <w:rPr>
          <w:rFonts w:ascii="Arial" w:hAnsi="Arial" w:cs="Arial"/>
        </w:rPr>
        <w:fldChar w:fldCharType="separate"/>
      </w:r>
      <w:r w:rsidR="00A4222C">
        <w:rPr>
          <w:rFonts w:ascii="Arial" w:hAnsi="Arial" w:cs="Arial"/>
          <w:noProof/>
        </w:rPr>
        <w:t>(Aldabie et al., 2026)</w:t>
      </w:r>
      <w:r w:rsidR="00A4222C">
        <w:rPr>
          <w:rFonts w:ascii="Arial" w:hAnsi="Arial" w:cs="Arial"/>
        </w:rPr>
        <w:fldChar w:fldCharType="end"/>
      </w:r>
      <w:r w:rsidRPr="002E45A2">
        <w:rPr>
          <w:rFonts w:ascii="Arial" w:hAnsi="Arial" w:cs="Arial"/>
        </w:rPr>
        <w:t>.</w:t>
      </w:r>
      <w:r w:rsidR="00512850">
        <w:rPr>
          <w:rFonts w:ascii="Arial" w:hAnsi="Arial" w:cs="Arial"/>
        </w:rPr>
        <w:t xml:space="preserve"> </w:t>
      </w:r>
      <w:proofErr w:type="spellStart"/>
      <w:r w:rsidR="00A332E6" w:rsidRPr="00A332E6">
        <w:rPr>
          <w:rFonts w:ascii="Arial" w:hAnsi="Arial" w:cs="Arial"/>
        </w:rPr>
        <w:t>aPL</w:t>
      </w:r>
      <w:proofErr w:type="spellEnd"/>
      <w:r w:rsidR="00A332E6" w:rsidRPr="00A332E6">
        <w:rPr>
          <w:rFonts w:ascii="Arial" w:hAnsi="Arial" w:cs="Arial"/>
        </w:rPr>
        <w:t xml:space="preserve"> antibodies activate endothelial cells, monocytes, and platelets, leading to thrombosis </w:t>
      </w:r>
      <w:r w:rsidR="00A332E6" w:rsidRPr="00A332E6">
        <w:rPr>
          <w:rFonts w:ascii="Arial" w:hAnsi="Arial" w:cs="Arial"/>
        </w:rPr>
        <w:lastRenderedPageBreak/>
        <w:t>and complement activation which damages the trophoblast</w:t>
      </w:r>
      <w:r w:rsidR="007A03C7">
        <w:rPr>
          <w:rFonts w:ascii="Arial" w:hAnsi="Arial" w:cs="Arial"/>
        </w:rPr>
        <w:t xml:space="preserve"> </w:t>
      </w:r>
      <w:r w:rsidR="007A03C7">
        <w:rPr>
          <w:rFonts w:ascii="Arial" w:hAnsi="Arial" w:cs="Arial"/>
        </w:rPr>
        <w:fldChar w:fldCharType="begin"/>
      </w:r>
      <w:r w:rsidR="007A03C7">
        <w:rPr>
          <w:rFonts w:ascii="Arial" w:hAnsi="Arial" w:cs="Arial"/>
        </w:rPr>
        <w:instrText xml:space="preserve"> ADDIN ZOTERO_ITEM CSL_CITATION {"citationID":"GZcqFULg","properties":{"formattedCitation":"(Ma et al., 2025)","plainCitation":"(Ma et al., 2025)","noteIndex":0},"citationItems":[{"id":182,"uris":["http://zotero.org/users/18792264/items/8ZATYM7L"],"itemData":{"id":182,"type":"article-journal","abstract":"Obstetric antiphospholipid syndrome (OAPS) is a complex autoimmune disorder that significantly compromises pregnancy, manifesting as recurrent miscarriage, stillbirth, placental insufficiency, and preeclampsia. Its increasing prevalence underscores the pressing need to elucidate its multifaceted pathogenic mechanisms to improve maternal and fetal outcomes. While traditionally attributed to thrombosis driven by antiphospholipid antibodies (aPL), emerging evidence indicates that OAPS can disrupt placental perfusion, impair trophoblast proliferation and invasion, and compromise placental angiogenesis even in the absence of overt thrombotic events. Beyond direct effects on trophoblasts and vascular remodeling, aPLs profoundly perturb the immune milieu at the maternal–fetal interface, encompassing complement activation, excessive formation of neutrophil extracellular traps (NETs), dysfunction of decidual natural killer cells and macrophages, and dysregulated B cell responses. These immune-mediated alterations collectively establish a sustained pro-inflammatory environment that undermines placental development and predisposes to adverse pregnancy outcomes. This review provides a comprehensive synthesis of the immunopathogenic mechanisms of OAPS that extend beyond thrombosis, and emphasizes the intricate crosstalk between immune cells and the complement-NET axis. A deeper understanding of these immune-mediated pathways may inform the development of targeted therapeutic strategies to optimize maternal and fetal outcomes in affected pregnancies.","container-title":"Frontiers in Immunology","DOI":"10.3389/fimmu.2025.1722080","ISSN":"1664-3224","journalAbbreviation":"Front. Immunol.","page":"1722080","source":"DOI.org (Crossref)","title":"Immune-mediated mechanisms and maternal-fetal interface dysfunction in obstetric antiphospholipid syndrome","URL":"https://www.frontiersin.org/articles/10.3389/fimmu.2025.1722080/full","volume":"16","author":[{"family":"Ma","given":"Guangyu"},{"family":"Han","given":"Jinbiao"},{"family":"Gao","given":"Rui"},{"family":"Qin","given":"Lang"}],"accessed":{"date-parts":[["2026",1,27]]},"issued":{"date-parts":[["2025",11,26]]}}}],"schema":"https://github.com/citation-style-language/schema/raw/master/csl-citation.json"} </w:instrText>
      </w:r>
      <w:r w:rsidR="007A03C7">
        <w:rPr>
          <w:rFonts w:ascii="Arial" w:hAnsi="Arial" w:cs="Arial"/>
        </w:rPr>
        <w:fldChar w:fldCharType="separate"/>
      </w:r>
      <w:r w:rsidR="007A03C7">
        <w:rPr>
          <w:rFonts w:ascii="Arial" w:hAnsi="Arial" w:cs="Arial"/>
          <w:noProof/>
        </w:rPr>
        <w:t>(Ma et al., 2025)</w:t>
      </w:r>
      <w:r w:rsidR="007A03C7">
        <w:rPr>
          <w:rFonts w:ascii="Arial" w:hAnsi="Arial" w:cs="Arial"/>
        </w:rPr>
        <w:fldChar w:fldCharType="end"/>
      </w:r>
      <w:r w:rsidR="00A332E6" w:rsidRPr="00A332E6">
        <w:rPr>
          <w:rFonts w:ascii="Arial" w:hAnsi="Arial" w:cs="Arial"/>
        </w:rPr>
        <w:t>.</w:t>
      </w:r>
      <w:r w:rsidR="00D51D2A">
        <w:rPr>
          <w:rFonts w:ascii="Arial" w:hAnsi="Arial" w:cs="Arial"/>
        </w:rPr>
        <w:t xml:space="preserve"> </w:t>
      </w:r>
      <w:r w:rsidR="00A332E6" w:rsidRPr="00A332E6">
        <w:rPr>
          <w:rFonts w:ascii="Arial" w:hAnsi="Arial" w:cs="Arial"/>
        </w:rPr>
        <w:t xml:space="preserve">The homozygous C677T mutation significantly reduces MTHFR enzyme activity, leading to elevated homocysteine. </w:t>
      </w:r>
      <w:proofErr w:type="spellStart"/>
      <w:r w:rsidR="00A332E6" w:rsidRPr="00A332E6">
        <w:rPr>
          <w:rFonts w:ascii="Arial" w:hAnsi="Arial" w:cs="Arial"/>
        </w:rPr>
        <w:t>Hyperhomocysteinemia</w:t>
      </w:r>
      <w:proofErr w:type="spellEnd"/>
      <w:r w:rsidR="00A332E6" w:rsidRPr="00A332E6">
        <w:rPr>
          <w:rFonts w:ascii="Arial" w:hAnsi="Arial" w:cs="Arial"/>
        </w:rPr>
        <w:t xml:space="preserve"> induces oxidative stress and reduces nitric oxide availability, further impairing placental perfusion [3].</w:t>
      </w:r>
    </w:p>
    <w:p w14:paraId="7B47AF8E" w14:textId="02342864" w:rsidR="007C08E1" w:rsidRDefault="007C08E1" w:rsidP="00D51D2A">
      <w:pPr>
        <w:pStyle w:val="Body"/>
        <w:rPr>
          <w:rFonts w:ascii="Arial" w:hAnsi="Arial" w:cs="Arial"/>
        </w:rPr>
      </w:pPr>
      <w:r w:rsidRPr="007C08E1">
        <w:rPr>
          <w:rFonts w:ascii="Arial" w:hAnsi="Arial" w:cs="Arial"/>
        </w:rPr>
        <w:t>The management of pregnant patients presenting with refractory obstetric APS and homozygous MTHFR mutations requires a stratified, multidisciplinary approach that addresses both metabolic and immunologic dysfunctions</w:t>
      </w:r>
      <w:r w:rsidR="00385AF4">
        <w:rPr>
          <w:rFonts w:ascii="Arial" w:hAnsi="Arial" w:cs="Arial"/>
        </w:rPr>
        <w:t xml:space="preserve"> </w:t>
      </w:r>
      <w:r w:rsidR="00385AF4">
        <w:rPr>
          <w:rFonts w:ascii="Arial" w:hAnsi="Arial" w:cs="Arial"/>
        </w:rPr>
        <w:fldChar w:fldCharType="begin"/>
      </w:r>
      <w:r w:rsidR="00385AF4">
        <w:rPr>
          <w:rFonts w:ascii="Arial" w:hAnsi="Arial" w:cs="Arial"/>
        </w:rPr>
        <w:instrText xml:space="preserve"> ADDIN ZOTERO_ITEM CSL_CITATION {"citationID":"uISrZ67E","properties":{"formattedCitation":"(Moll &amp; Varga, 2015)","plainCitation":"(Moll &amp; Varga, 2015)","noteIndex":0},"citationItems":[{"id":184,"uris":["http://zotero.org/users/18792264/items/KVI7WGGJ"],"itemData":{"id":184,"type":"article-journal","container-title":"Circulation","DOI":"10.1161/CIRCULATIONAHA.114.013311","ISSN":"0009-7322, 1524-4539","issue":"1","journalAbbreviation":"Circulation","language":"en","source":"DOI.org (Crossref)","title":"Homocysteine and &lt;i&gt;MTHFR&lt;/i&gt; Mutations","URL":"https://www.ahajournals.org/doi/10.1161/CIRCULATIONAHA.114.013311","volume":"132","author":[{"family":"Moll","given":"Stephan"},{"family":"Varga","given":"Elizabeth A."}],"accessed":{"date-parts":[["2026",1,27]]},"issued":{"date-parts":[["2015",7,7]]}}}],"schema":"https://github.com/citation-style-language/schema/raw/master/csl-citation.json"} </w:instrText>
      </w:r>
      <w:r w:rsidR="00385AF4">
        <w:rPr>
          <w:rFonts w:ascii="Arial" w:hAnsi="Arial" w:cs="Arial"/>
        </w:rPr>
        <w:fldChar w:fldCharType="separate"/>
      </w:r>
      <w:r w:rsidR="00385AF4">
        <w:rPr>
          <w:rFonts w:ascii="Arial" w:hAnsi="Arial" w:cs="Arial"/>
          <w:noProof/>
        </w:rPr>
        <w:t>(Moll &amp; Varga, 2015)</w:t>
      </w:r>
      <w:r w:rsidR="00385AF4">
        <w:rPr>
          <w:rFonts w:ascii="Arial" w:hAnsi="Arial" w:cs="Arial"/>
        </w:rPr>
        <w:fldChar w:fldCharType="end"/>
      </w:r>
      <w:r w:rsidRPr="007C08E1">
        <w:rPr>
          <w:rFonts w:ascii="Arial" w:hAnsi="Arial" w:cs="Arial"/>
        </w:rPr>
        <w:t>. Regarding metabolic optimization, standard folic acid may be insufficient due to the enzymatic bottleneck associated with the MTHFR mutation; therefore, supplementation with L-5-Methyltetrahydrofolate is preferred to bypass this defect, directly lower homocysteine levels, and reduce the</w:t>
      </w:r>
      <w:r w:rsidR="00A835B2">
        <w:rPr>
          <w:rFonts w:ascii="Arial" w:hAnsi="Arial" w:cs="Arial"/>
        </w:rPr>
        <w:t xml:space="preserve"> </w:t>
      </w:r>
      <w:r w:rsidRPr="007C08E1">
        <w:rPr>
          <w:rFonts w:ascii="Arial" w:hAnsi="Arial" w:cs="Arial"/>
        </w:rPr>
        <w:t>thrombotic risk</w:t>
      </w:r>
      <w:r w:rsidR="00FD391A">
        <w:rPr>
          <w:rFonts w:ascii="Arial" w:hAnsi="Arial" w:cs="Arial"/>
        </w:rPr>
        <w:t xml:space="preserve"> </w:t>
      </w:r>
      <w:r w:rsidR="00FD391A">
        <w:rPr>
          <w:rFonts w:ascii="Arial" w:hAnsi="Arial" w:cs="Arial"/>
        </w:rPr>
        <w:fldChar w:fldCharType="begin"/>
      </w:r>
      <w:r w:rsidR="00FD391A">
        <w:rPr>
          <w:rFonts w:ascii="Arial" w:hAnsi="Arial" w:cs="Arial"/>
        </w:rPr>
        <w:instrText xml:space="preserve"> ADDIN ZOTERO_ITEM CSL_CITATION {"citationID":"LunPwYJv","properties":{"formattedCitation":"(He &amp; Li, 2023)","plainCitation":"(He &amp; Li, 2023)","noteIndex":0},"citationItems":[{"id":185,"uris":["http://zotero.org/users/18792264/items/ML85T6D7"],"itemData":{"id":185,"type":"article-journal","abstract":"Abstract\n            \n              Folate is a crucial nutrient that supports physiological functions. Low folate levels is a risk factor for several diseases, including cardiovascular diseases and neural tube defects. The most used folate supplement is folic acid, a synthetic oxidative form, and folic acid grain fortification is a success story of public health. However, the metabolic conversion of folic acid to bioactive tetrahydrofolate requires several enzymes and cofactors. Therefore, these factors influence its bioavailability and efficacy. In contrast, 5-methyltetrahydrofolate is used directly and participates in one-carbon metabolism, and the use of 5-methyltetrahydrofolate as an alternative folate supplement has increased. The metabolism of 5-methyltetrahydrofolate is primarily dependent on the transmembrane transporter, reduced folate carrier (\n              RFC\n              ), and the\n              RFC\n              gene\n              SLC19A1\n              variant is a functional polymorphism that affects folate status indexes. Recent studies demonstrated that the expression of\n              RFC\n              and cystathionine β-synthase, another enzyme required for homocysteine clearance, increases significantly by supplementation with calcitriol (vitamin D3), suggesting that calcitriol intake promotes the bioavailability of folate and has synergistic effects in homocysteine clearance. The advancements in biomedical and cohort studies and clinical trials have enhanced our understanding of the critical roles of folate and the regulation of one-carbon metabolism. We anticipate that the field of folate supplementation is poised to evolve from one size for all to personalized, precision, poly-paths (3Ps), which is a critical measure to meet individual needs, maximize health benefits, and minimize side effects.","container-title":"Journal of Translational Internal Medicine","DOI":"10.2478/jtim-2023-0087","ISSN":"2224-4018","issue":"2","language":"en","license":"http://creativecommons.org/licenses/by/4.0","page":"128-137","source":"DOI.org (Crossref)","title":"The evolution of folate supplementation – from one size for all to personalized, precision, poly-paths","URL":"https://www.degruyter.com/document/doi/10.2478/jtim-2023-0087/html","volume":"11","author":[{"family":"He","given":"Qiangqiang"},{"family":"Li","given":"Jianping"}],"accessed":{"date-parts":[["2026",1,27]]},"issued":{"date-parts":[["2023",7,5]]}}}],"schema":"https://github.com/citation-style-language/schema/raw/master/csl-citation.json"} </w:instrText>
      </w:r>
      <w:r w:rsidR="00FD391A">
        <w:rPr>
          <w:rFonts w:ascii="Arial" w:hAnsi="Arial" w:cs="Arial"/>
        </w:rPr>
        <w:fldChar w:fldCharType="separate"/>
      </w:r>
      <w:r w:rsidR="00FD391A">
        <w:rPr>
          <w:rFonts w:ascii="Arial" w:hAnsi="Arial" w:cs="Arial"/>
          <w:noProof/>
        </w:rPr>
        <w:t>(He &amp; Li, 2023)</w:t>
      </w:r>
      <w:r w:rsidR="00FD391A">
        <w:rPr>
          <w:rFonts w:ascii="Arial" w:hAnsi="Arial" w:cs="Arial"/>
        </w:rPr>
        <w:fldChar w:fldCharType="end"/>
      </w:r>
      <w:r w:rsidRPr="007C08E1">
        <w:rPr>
          <w:rFonts w:ascii="Arial" w:hAnsi="Arial" w:cs="Arial"/>
        </w:rPr>
        <w:t>. When the standard regimen of low-dose aspirin and LMWH fails, current literature supports the integration of immunomodulatory therapies</w:t>
      </w:r>
      <w:r w:rsidR="00025EA5">
        <w:rPr>
          <w:rFonts w:ascii="Arial" w:hAnsi="Arial" w:cs="Arial"/>
        </w:rPr>
        <w:t xml:space="preserve"> </w:t>
      </w:r>
      <w:r w:rsidR="00025EA5">
        <w:rPr>
          <w:rFonts w:ascii="Arial" w:hAnsi="Arial" w:cs="Arial"/>
        </w:rPr>
        <w:fldChar w:fldCharType="begin"/>
      </w:r>
      <w:r w:rsidR="00025EA5">
        <w:rPr>
          <w:rFonts w:ascii="Arial" w:hAnsi="Arial" w:cs="Arial"/>
        </w:rPr>
        <w:instrText xml:space="preserve"> ADDIN ZOTERO_ITEM CSL_CITATION {"citationID":"uf6pSGf6","properties":{"formattedCitation":"(Siniscalchi et al., 2024)","plainCitation":"(Siniscalchi et al., 2024)","noteIndex":0},"citationItems":[{"id":186,"uris":["http://zotero.org/users/18792264/items/JFLUBS78"],"itemData":{"id":186,"type":"article-journal","abstract":"Antiphospholipid syndrome (APS) is a thrombo-inflammatory disease propelled by circulating autoantibodies that recognize cell surface phospholipids and phospholipid-binding proteins. APS is an autoimmune disorder associated with recurrent thrombosis of arterial or venous vessels and/or recurrent obstetric complications as miscarriages. APS can be divided into primary or secondary clinical syndrome because of the possible association with other autoimmune systemic diseases as systemic lupus erythematosus (SLE). Vitamin K antagonists remain the mainstay of treatment for most patients with APS and, based on current data, appear superior to the more targeted direct oral anticoagulants. However, the choice of the type of antithrombotic drug is based on the anamnesis of affected patients: patients with previous arterial or venous thrombosis may benefit from anticoagulants, while patients with previous obstetric diseases may benefit from aspirin, but several clinical exceptions may be evaluated. This short review is dedicated to underlining the main clinical evidence for patients affected by APS or CAPS (catastrophic antiphospholipid syndrome) in order to prevent recurrent thrombosis.","container-title":"Immuno","DOI":"10.3390/immuno4040036","ISSN":"2673-5601","issue":"4","journalAbbreviation":"Immuno","language":"en","page":"620-628","source":"DOI.org (Crossref)","title":"Antithrombotic Treatment in Antiphospholipid Syndrome: A Review","title-short":"Antithrombotic Treatment in Antiphospholipid Syndrome","URL":"https://www.mdpi.com/2673-5601/4/4/36","volume":"4","author":[{"family":"Siniscalchi","given":"Carmine"},{"family":"Bernardi","given":"Francesca Futura"},{"family":"Di Micco","given":"Pierpaolo"},{"family":"Perrella","given":"Alessandro"},{"family":"Meschi","given":"Tiziana"},{"family":"Trama","given":"Ugo"}],"accessed":{"date-parts":[["2026",1,27]]},"issued":{"date-parts":[["2024",12,11]]}}}],"schema":"https://github.com/citation-style-language/schema/raw/master/csl-citation.json"} </w:instrText>
      </w:r>
      <w:r w:rsidR="00025EA5">
        <w:rPr>
          <w:rFonts w:ascii="Arial" w:hAnsi="Arial" w:cs="Arial"/>
        </w:rPr>
        <w:fldChar w:fldCharType="separate"/>
      </w:r>
      <w:r w:rsidR="00025EA5">
        <w:rPr>
          <w:rFonts w:ascii="Arial" w:hAnsi="Arial" w:cs="Arial"/>
          <w:noProof/>
        </w:rPr>
        <w:t>(Siniscalchi et al., 2024)</w:t>
      </w:r>
      <w:r w:rsidR="00025EA5">
        <w:rPr>
          <w:rFonts w:ascii="Arial" w:hAnsi="Arial" w:cs="Arial"/>
        </w:rPr>
        <w:fldChar w:fldCharType="end"/>
      </w:r>
      <w:r w:rsidRPr="007C08E1">
        <w:rPr>
          <w:rFonts w:ascii="Arial" w:hAnsi="Arial" w:cs="Arial"/>
        </w:rPr>
        <w:t>. Hydroxychloroquine (HCQ) is currently regarded as the primary evidence-based add-on intervention</w:t>
      </w:r>
      <w:r w:rsidR="000B1C49">
        <w:rPr>
          <w:rFonts w:ascii="Arial" w:hAnsi="Arial" w:cs="Arial"/>
        </w:rPr>
        <w:fldChar w:fldCharType="begin"/>
      </w:r>
      <w:r w:rsidR="000B1C49">
        <w:rPr>
          <w:rFonts w:ascii="Arial" w:hAnsi="Arial" w:cs="Arial"/>
        </w:rPr>
        <w:instrText xml:space="preserve"> ADDIN ZOTERO_ITEM CSL_CITATION {"citationID":"UyRSlMB6","properties":{"formattedCitation":"(Ghembaza &amp; Saadoun, 2020)","plainCitation":"(Ghembaza &amp; Saadoun, 2020)","noteIndex":0},"citationItems":[{"id":187,"uris":["http://zotero.org/users/18792264/items/FJ2K4KYG"],"itemData":{"id":187,"type":"article-journal","abstract":"Antiphospholipid syndrome (APS), is an acquired autoimmune disorder characterised by thrombosis, pregnancy morbidity, and the presence of antiphospholipid antibodies (aPL). Although venous thromboembolism is the most common manifestation, thrombotic events in APS may also occur in virtually any vascular bed, with cerebral circulation being the arterial territory most commonly affected. As APS is a heterogeneous condition, its management should be tailored with a patient-centred approach based on individual risk assessment, which includes the aPL profile, concomitant auto-immune diseases, and traditional cardiovascular risk factors. Although literature data are conflicting regarding primary prophylaxis, there is some evidence indicating that antiplatelet agents may reduce the risk of a first thrombotic event in individuals with a high-risk profile. In patients with thrombotic APS, current evidence-based guidelines recommend lifelong vitamin K antagonists (VKAs), preferably warfarin. The optimal intensity of anticoagulation following arterial thrombosis remains controversial. Arterial thrombosis should be treated either with high-intensity warfarin at a target INR &gt; 3.0, or low-dose aspirin (LDA) combined with moderate-intensity warfarin (INR 2.0–3.0). It is recommended to avoid direct oral anticoagulants (DOACs) in patients with high-risk APS, mainly those with triple-positive PL and previous arterial events. They would only be used exceptionally in selected patients with low-risk venous thromboembolism (VTE). In low-risk VTE patients currently treated with a DOAC due to warfarin intolerance or a previous unstable International Normalized Ratio on warfarin, the decision of continuing DOACs would be taken in carefully selected patients. In women with obstetric APS, the combination therapy with LDA plus heparin remains the conventional strategy.","container-title":"Biomedicines","DOI":"10.3390/biomedicines8110508","ISSN":"2227-9059","issue":"11","journalAbbreviation":"Biomedicines","language":"en","page":"508","source":"DOI.org (Crossref)","title":"Management of Antiphospholipid Syndrome","URL":"https://www.mdpi.com/2227-9059/8/11/508","volume":"8","author":[{"family":"Ghembaza","given":"Amine"},{"family":"Saadoun","given":"David"}],"accessed":{"date-parts":[["2026",1,27]]},"issued":{"date-parts":[["2020",11,17]]}}}],"schema":"https://github.com/citation-style-language/schema/raw/master/csl-citation.json"} </w:instrText>
      </w:r>
      <w:r w:rsidR="000B1C49">
        <w:rPr>
          <w:rFonts w:ascii="Arial" w:hAnsi="Arial" w:cs="Arial"/>
        </w:rPr>
        <w:fldChar w:fldCharType="separate"/>
      </w:r>
      <w:r w:rsidR="000B1C49">
        <w:rPr>
          <w:rFonts w:ascii="Arial" w:hAnsi="Arial" w:cs="Arial"/>
          <w:noProof/>
        </w:rPr>
        <w:t>(Ghembaza &amp; Saadoun, 2020)</w:t>
      </w:r>
      <w:r w:rsidR="000B1C49">
        <w:rPr>
          <w:rFonts w:ascii="Arial" w:hAnsi="Arial" w:cs="Arial"/>
        </w:rPr>
        <w:fldChar w:fldCharType="end"/>
      </w:r>
      <w:r w:rsidRPr="007C08E1">
        <w:rPr>
          <w:rFonts w:ascii="Arial" w:hAnsi="Arial" w:cs="Arial"/>
        </w:rPr>
        <w:t xml:space="preserve">. Mechanistically, HCQ inhibits Toll-like receptor signaling and restores the protective Annexin A5 shield on the trophoblast </w:t>
      </w:r>
      <w:r w:rsidR="000B1C49" w:rsidRPr="00F20BD5">
        <w:rPr>
          <w:rFonts w:ascii="Arial" w:hAnsi="Arial" w:cs="Arial"/>
        </w:rPr>
        <w:fldChar w:fldCharType="begin"/>
      </w:r>
      <w:r w:rsidR="000B1C49" w:rsidRPr="00F20BD5">
        <w:rPr>
          <w:rFonts w:ascii="Arial" w:hAnsi="Arial" w:cs="Arial"/>
        </w:rPr>
        <w:instrText xml:space="preserve"> ADDIN ZOTERO_ITEM CSL_CITATION {"citationID":"B08frNKo","properties":{"formattedCitation":"(Schreiber et al., 2018)","plainCitation":"(Schreiber et al., 2018)","noteIndex":0},"citationItems":[{"id":189,"uris":["http://zotero.org/users/18792264/items/SGJJ62TL"],"itemData":{"id":189,"type":"article-journal","container-title":"Nature Reviews Disease Primers","DOI":"10.1038/nrdp.2017.103","ISSN":"2056-676X","issue":"1","journalAbbreviation":"Nat Rev Dis Primers","language":"en","page":"17103","source":"DOI.org (Crossref)","title":"Antiphospholipid syndrome","URL":"https://www.nature.com/articles/nrdp2017103","volume":"4","author":[{"family":"Schreiber","given":"Karen"},{"family":"Sciascia","given":"Savino"},{"family":"De Groot","given":"Philip G."},{"family":"Devreese","given":"Katrien"},{"family":"Jacobsen","given":"Soren"},{"family":"Ruiz-Irastorza","given":"Guillermo"},{"family":"Salmon","given":"Jane E."},{"family":"Shoenfeld","given":"Yehuda"},{"family":"Shovman","given":"Ora"},{"family":"Hunt","given":"Beverley J."}],"accessed":{"date-parts":[["2026",1,27]]},"issued":{"date-parts":[["2018",1,11]]}}}],"schema":"https://github.com/citation-style-language/schema/raw/master/csl-citation.json"} </w:instrText>
      </w:r>
      <w:r w:rsidR="000B1C49" w:rsidRPr="00F20BD5">
        <w:rPr>
          <w:rFonts w:ascii="Arial" w:hAnsi="Arial" w:cs="Arial"/>
        </w:rPr>
        <w:fldChar w:fldCharType="separate"/>
      </w:r>
      <w:r w:rsidR="000B1C49" w:rsidRPr="00F20BD5">
        <w:rPr>
          <w:rFonts w:ascii="Arial" w:hAnsi="Arial" w:cs="Arial"/>
          <w:noProof/>
        </w:rPr>
        <w:t>(Schreiber et al., 2018)</w:t>
      </w:r>
      <w:r w:rsidR="000B1C49" w:rsidRPr="00F20BD5">
        <w:rPr>
          <w:rFonts w:ascii="Arial" w:hAnsi="Arial" w:cs="Arial"/>
        </w:rPr>
        <w:fldChar w:fldCharType="end"/>
      </w:r>
      <w:r w:rsidR="00F20BD5" w:rsidRPr="00F20BD5">
        <w:rPr>
          <w:rFonts w:ascii="Arial" w:hAnsi="Arial" w:cs="Arial"/>
        </w:rPr>
        <w:t xml:space="preserve">. </w:t>
      </w:r>
      <w:r w:rsidRPr="00F20BD5">
        <w:rPr>
          <w:rFonts w:ascii="Arial" w:hAnsi="Arial" w:cs="Arial"/>
        </w:rPr>
        <w:t>Other</w:t>
      </w:r>
      <w:r w:rsidRPr="007C08E1">
        <w:rPr>
          <w:rFonts w:ascii="Arial" w:hAnsi="Arial" w:cs="Arial"/>
        </w:rPr>
        <w:t xml:space="preserve"> second-line options include low-dose corticosteroids, particularly in lupus anticoagulant-positive cases, though this requires careful monitoring for complications such as gestational diabetes</w:t>
      </w:r>
      <w:r w:rsidR="00F20BD5">
        <w:rPr>
          <w:rFonts w:ascii="Arial" w:hAnsi="Arial" w:cs="Arial"/>
        </w:rPr>
        <w:t xml:space="preserve"> </w:t>
      </w:r>
      <w:r w:rsidR="00F20BD5">
        <w:rPr>
          <w:rFonts w:ascii="Arial" w:hAnsi="Arial" w:cs="Arial"/>
        </w:rPr>
        <w:fldChar w:fldCharType="begin"/>
      </w:r>
      <w:r w:rsidR="00F20BD5">
        <w:rPr>
          <w:rFonts w:ascii="Arial" w:hAnsi="Arial" w:cs="Arial"/>
        </w:rPr>
        <w:instrText xml:space="preserve"> ADDIN ZOTERO_ITEM CSL_CITATION {"citationID":"b9IVqXDr","properties":{"formattedCitation":"(Riancho-Zarrabeitia et al., 2022)","plainCitation":"(Riancho-Zarrabeitia et al., 2022)","noteIndex":0},"citationItems":[{"id":190,"uris":["http://zotero.org/users/18792264/items/DJQ6HCIP"],"itemData":{"id":190,"type":"article-journal","abstract":"Background\n              Glucocorticoids have been suggested as a potential therapy in refractory obstetric antiphospholipid syndrome (oAPS). Our aims were to describe a cohort of patients with oAPS treated with low-dose glucocorticoids and to perform a systematic review and meta-analysis evaluating the effects of additional glucocorticoids on the pregnancy outcomes in oAPS patients.\n            \n            \n              Methods\n              Retrospective study that included 11 women diagnosed with primary antiphospholipid syndrome. The meta-analysis was conducted by fitting random effects models and was checked for heterogeneity.\n            \n            \n              Results\n              All women had suffered from early pregnancy losses and two also had a history of fetal deaths. We studied 47 pregnancies that resulted in 32 abortions (68.1%) and 3 fetal deaths (6.4%). Twenty-six pregnancies were under treatment, mainly LDA and LMWH. Low-dose glucocorticoids were indicated in 13 pregnancies (always in association with LDA and LMWH). There was a decrease in pregnancy loss in those patients treated with LDA and LMWH. Treatment with glucocorticoids significantly increased the rate of successful pregnancy (38.5% abortions in treated vs 85.3% abortions in non-treated pregnancies; p=0.003). After multivariate GEE analysis, only glucocorticoids remained inversely associated with pregnancy loss (OR=0.157, (CI 0.025–0.968, p=0.046)). The meta-analysis showed that glucocorticoids tended to improve the frequency of successful pregnancy (OR= 0.509 (0.252–1.028), p=0.06). Three cases of gestational diabetes and one of preeclampsia were observed in our cohort. The meta-analysis, which mostly included studies using high-dose steroids, showed that glucocorticoids increased not only the frequency of preeclampsia and gestational diabetes, but also the rate of pre-term birth.\n            \n            \n              Conclusions\n              The efficacy of low-dose glucocorticoids in addition to the standard therapy in patients with refractory oAPS should be confirmed in well-designed clinical trials. However, high doses of steroids significantly increase the frequency of maternal and fetal morbidities, making their use strongly inadvisable.","container-title":"Lupus","DOI":"10.1177/09612033221091401","ISSN":"0961-2033, 1477-0962","issue":"7","journalAbbreviation":"Lupus","language":"en","page":"808-819","source":"DOI.org (Crossref)","title":"Treatment with low-dose prednisone in refractory obstetric antiphospholipid syndrome: A retrospective cohort study and meta-analysis","title-short":"Treatment with low-dose prednisone in refractory obstetric antiphospholipid syndrome","URL":"https://journals.sagepub.com/doi/10.1177/09612033221091401","volume":"31","author":[{"family":"Riancho-Zarrabeitia","given":"Leyre"},{"family":"Lopez-Marin","given":"Laura"},{"family":"Cacho","given":"Pedro Muñoz"},{"family":"López-Hoyos","given":"Marcos"},{"family":"Barrio","given":"Rafael Del"},{"family":"Haya","given":"Ana"},{"family":"Martínez-Taboada","given":"Víctor M"}],"accessed":{"date-parts":[["2026",1,27]]},"issued":{"date-parts":[["2022",6]]}}}],"schema":"https://github.com/citation-style-language/schema/raw/master/csl-citation.json"} </w:instrText>
      </w:r>
      <w:r w:rsidR="00F20BD5">
        <w:rPr>
          <w:rFonts w:ascii="Arial" w:hAnsi="Arial" w:cs="Arial"/>
        </w:rPr>
        <w:fldChar w:fldCharType="separate"/>
      </w:r>
      <w:r w:rsidR="00F20BD5">
        <w:rPr>
          <w:rFonts w:ascii="Arial" w:hAnsi="Arial" w:cs="Arial"/>
          <w:noProof/>
        </w:rPr>
        <w:t>(Riancho-Zarrabeitia et al., 2022)</w:t>
      </w:r>
      <w:r w:rsidR="00F20BD5">
        <w:rPr>
          <w:rFonts w:ascii="Arial" w:hAnsi="Arial" w:cs="Arial"/>
        </w:rPr>
        <w:fldChar w:fldCharType="end"/>
      </w:r>
      <w:r w:rsidRPr="007C08E1">
        <w:rPr>
          <w:rFonts w:ascii="Arial" w:hAnsi="Arial" w:cs="Arial"/>
        </w:rPr>
        <w:t>. Finally, Intravenous Immunoglobulin is generally reserved for super-refractory cases to downregulate the autoimmune response when HCQ or steroids have failed</w:t>
      </w:r>
      <w:r w:rsidR="007217F1">
        <w:rPr>
          <w:rFonts w:ascii="Arial" w:hAnsi="Arial" w:cs="Arial"/>
        </w:rPr>
        <w:t xml:space="preserve"> </w:t>
      </w:r>
      <w:r w:rsidR="007217F1">
        <w:rPr>
          <w:rFonts w:ascii="Arial" w:hAnsi="Arial" w:cs="Arial"/>
        </w:rPr>
        <w:fldChar w:fldCharType="begin"/>
      </w:r>
      <w:r w:rsidR="007217F1">
        <w:rPr>
          <w:rFonts w:ascii="Arial" w:hAnsi="Arial" w:cs="Arial"/>
        </w:rPr>
        <w:instrText xml:space="preserve"> ADDIN ZOTERO_ITEM CSL_CITATION {"citationID":"USo3Qpb1","properties":{"formattedCitation":"(Carp et al., 2005)","plainCitation":"(Carp et al., 2005)","noteIndex":0},"citationItems":[{"id":191,"uris":["http://zotero.org/users/18792264/items/8MGL7CES"],"itemData":{"id":191,"type":"article-journal","container-title":"Clinical Reviews in Allergy &amp; Immunology","DOI":"10.1385/CRIAI:29:3:327","ISSN":"1080-0549","issue":"3","journalAbbreviation":"CRIAI","language":"en","page":"327-332","source":"DOI.org (Crossref)","title":"Intravenous Immunoglobulin and Recurrent Pregnancy Loss","URL":"http://link.springer.com/10.1385/CRIAI:29:3:327","volume":"29","author":[{"family":"Carp","given":"Howard J. A."},{"family":"Sapir","given":"Tal"},{"family":"Shoenfeld","given":"Yehuda"}],"accessed":{"date-parts":[["2026",1,27]]},"issued":{"date-parts":[["2005"]]}}}],"schema":"https://github.com/citation-style-language/schema/raw/master/csl-citation.json"} </w:instrText>
      </w:r>
      <w:r w:rsidR="007217F1">
        <w:rPr>
          <w:rFonts w:ascii="Arial" w:hAnsi="Arial" w:cs="Arial"/>
        </w:rPr>
        <w:fldChar w:fldCharType="separate"/>
      </w:r>
      <w:r w:rsidR="007217F1">
        <w:rPr>
          <w:rFonts w:ascii="Arial" w:hAnsi="Arial" w:cs="Arial"/>
          <w:noProof/>
        </w:rPr>
        <w:t>(Carp et al., 2005)</w:t>
      </w:r>
      <w:r w:rsidR="007217F1">
        <w:rPr>
          <w:rFonts w:ascii="Arial" w:hAnsi="Arial" w:cs="Arial"/>
        </w:rPr>
        <w:fldChar w:fldCharType="end"/>
      </w:r>
      <w:r w:rsidRPr="007C08E1">
        <w:rPr>
          <w:rFonts w:ascii="Arial" w:hAnsi="Arial" w:cs="Arial"/>
        </w:rPr>
        <w:t>.</w:t>
      </w:r>
    </w:p>
    <w:p w14:paraId="505BBD75" w14:textId="77777777" w:rsidR="00790ADA" w:rsidRPr="00FB3A86" w:rsidRDefault="00790ADA" w:rsidP="00441B6F">
      <w:pPr>
        <w:pStyle w:val="Body"/>
        <w:spacing w:after="0"/>
        <w:rPr>
          <w:rFonts w:ascii="Arial" w:hAnsi="Arial" w:cs="Arial"/>
        </w:rPr>
      </w:pPr>
    </w:p>
    <w:p w14:paraId="6A8006D8" w14:textId="0AD3AB76" w:rsidR="007F7B32" w:rsidRDefault="00902823" w:rsidP="00441B6F">
      <w:pPr>
        <w:pStyle w:val="AbstHead"/>
        <w:spacing w:after="0"/>
        <w:jc w:val="both"/>
        <w:rPr>
          <w:rFonts w:ascii="Arial" w:hAnsi="Arial" w:cs="Arial"/>
        </w:rPr>
      </w:pPr>
      <w:r>
        <w:rPr>
          <w:rFonts w:ascii="Arial" w:hAnsi="Arial" w:cs="Arial"/>
        </w:rPr>
        <w:t xml:space="preserve">2. </w:t>
      </w:r>
      <w:r w:rsidR="00A671EA" w:rsidRPr="00A671EA">
        <w:rPr>
          <w:rFonts w:ascii="Arial" w:hAnsi="Arial" w:cs="Arial"/>
        </w:rPr>
        <w:t>Presentation of Case</w:t>
      </w:r>
    </w:p>
    <w:p w14:paraId="4C938866" w14:textId="77777777" w:rsidR="00790ADA" w:rsidRPr="00FB3A86" w:rsidRDefault="00790ADA" w:rsidP="00441B6F">
      <w:pPr>
        <w:pStyle w:val="AbstHead"/>
        <w:spacing w:after="0"/>
        <w:jc w:val="both"/>
        <w:rPr>
          <w:rFonts w:ascii="Arial" w:hAnsi="Arial" w:cs="Arial"/>
        </w:rPr>
      </w:pPr>
    </w:p>
    <w:p w14:paraId="14206B0D" w14:textId="2CEA6321" w:rsidR="00893B30" w:rsidRPr="00893B30" w:rsidRDefault="00893B30" w:rsidP="00893B30">
      <w:pPr>
        <w:pStyle w:val="Body"/>
        <w:rPr>
          <w:rFonts w:ascii="Arial" w:hAnsi="Arial" w:cs="Arial"/>
        </w:rPr>
      </w:pPr>
      <w:r w:rsidRPr="00893B30">
        <w:rPr>
          <w:rFonts w:ascii="Arial" w:hAnsi="Arial" w:cs="Arial"/>
        </w:rPr>
        <w:t>A 35-year-old primigravida of advanced maternal age presented with a significant obstetric history of five prior miscarriages. Her medical, surgical, and family histories were otherwise unremarkable. Pre-conception thrombophilia screening identified a positive titer for Cardiolipin IgM (32.6 CU) alongside a homozygous MTHFR mutation, while testing for Lupus Anticoagulant and Beta-2 Glycoprotein antibodies (IgM and IgG) yielded negative results. The patient was subsequently managed with a therapeutic regimen of daily subcutaneous Enoxaparin (4000 UI) combined with low-dose aspirin.</w:t>
      </w:r>
    </w:p>
    <w:p w14:paraId="30FBBEFB" w14:textId="5E9E164F" w:rsidR="00893B30" w:rsidRPr="00893B30" w:rsidRDefault="00893B30" w:rsidP="00893B30">
      <w:pPr>
        <w:pStyle w:val="Body"/>
        <w:rPr>
          <w:rFonts w:ascii="Arial" w:hAnsi="Arial" w:cs="Arial"/>
        </w:rPr>
      </w:pPr>
      <w:r w:rsidRPr="00893B30">
        <w:rPr>
          <w:rFonts w:ascii="Arial" w:hAnsi="Arial" w:cs="Arial"/>
        </w:rPr>
        <w:t xml:space="preserve">The antenatal course was complicated by the development of Gestational Diabetes Mellitus (GDM), which was successfully controlled through dietary restriction and verified by stable home glucose monitoring. However, at 35 weeks and 2 days of gestation, ultrasound evaluation revealed signs of placental insufficiency, including a thickened placenta and severe Fetal Growth Restriction (FGR) with an estimated fetal weight of 1840g (&lt;1st percentile). This was accompanied by oligohydramnios, evidenced by an Amniotic Fluid Index of 4.5 cm and a maximum vertical pocket of 1.6 cm. Doppler velocimetry indicated compensated fetal circulation, showing an Umbilical Artery </w:t>
      </w:r>
      <w:proofErr w:type="spellStart"/>
      <w:r w:rsidRPr="00893B30">
        <w:rPr>
          <w:rFonts w:ascii="Arial" w:hAnsi="Arial" w:cs="Arial"/>
        </w:rPr>
        <w:t>Pulsatility</w:t>
      </w:r>
      <w:proofErr w:type="spellEnd"/>
      <w:r w:rsidRPr="00893B30">
        <w:rPr>
          <w:rFonts w:ascii="Arial" w:hAnsi="Arial" w:cs="Arial"/>
        </w:rPr>
        <w:t xml:space="preserve"> Index (PI) of 1.09, a Middle Cerebral Artery PI of 1.94, and a Cerebroplacental Ratio of 1.7 (31st percentile).</w:t>
      </w:r>
    </w:p>
    <w:p w14:paraId="018199E3" w14:textId="44DA6CEA" w:rsidR="00A03B96" w:rsidRDefault="00893B30" w:rsidP="00893B30">
      <w:pPr>
        <w:pStyle w:val="Body"/>
        <w:spacing w:after="0"/>
        <w:rPr>
          <w:rFonts w:ascii="Arial" w:hAnsi="Arial" w:cs="Arial"/>
        </w:rPr>
      </w:pPr>
      <w:r w:rsidRPr="00893B30">
        <w:rPr>
          <w:rFonts w:ascii="Arial" w:hAnsi="Arial" w:cs="Arial"/>
        </w:rPr>
        <w:t>Given the complex clinical picture involving breech presentation, severe FGR, oligohydramnios, and a refractory obstetric history, the patient was admitted for pregnancy termination. Enoxaparin was discontinued 24 hours prior to surgery. A cesarean section was performed successfully, resulting in the delivery of a female infant weighing 1800g with Apgar scores of 5 and 7 at 1 and 5 minutes, respectively. The procedure resulted in an intraoperative blood loss of 400 ml; the patient had a stable postoperative recovery and was discharged on the fifth day.</w:t>
      </w:r>
    </w:p>
    <w:p w14:paraId="2BA3D3E4" w14:textId="130A123F" w:rsidR="00AA74E0" w:rsidRDefault="00AA74E0" w:rsidP="00441B6F">
      <w:pPr>
        <w:pStyle w:val="Body"/>
        <w:spacing w:after="0"/>
        <w:rPr>
          <w:rFonts w:ascii="Arial" w:hAnsi="Arial" w:cs="Arial"/>
        </w:rPr>
      </w:pPr>
      <w:r w:rsidRPr="00FB3A86">
        <w:rPr>
          <w:rFonts w:ascii="Arial" w:hAnsi="Arial" w:cs="Arial"/>
        </w:rPr>
        <w:t xml:space="preserve"> </w:t>
      </w:r>
    </w:p>
    <w:p w14:paraId="4704A90B" w14:textId="77777777" w:rsidR="00790ADA" w:rsidRPr="00FB3A86" w:rsidRDefault="00790ADA" w:rsidP="00441B6F">
      <w:pPr>
        <w:pStyle w:val="Body"/>
        <w:spacing w:after="0"/>
        <w:rPr>
          <w:rFonts w:ascii="Arial" w:hAnsi="Arial" w:cs="Arial"/>
        </w:rPr>
      </w:pPr>
    </w:p>
    <w:p w14:paraId="18D5F552" w14:textId="3F7C815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3311AF6" w14:textId="77777777" w:rsidR="00790ADA" w:rsidRPr="00FB3A86" w:rsidRDefault="00790ADA" w:rsidP="00441B6F">
      <w:pPr>
        <w:pStyle w:val="Head1"/>
        <w:spacing w:after="0"/>
        <w:jc w:val="both"/>
        <w:rPr>
          <w:rFonts w:ascii="Arial" w:hAnsi="Arial" w:cs="Arial"/>
        </w:rPr>
      </w:pPr>
    </w:p>
    <w:p w14:paraId="1B14ED7B" w14:textId="702354F1" w:rsidR="007519D8" w:rsidRPr="007519D8" w:rsidRDefault="007519D8" w:rsidP="007519D8">
      <w:pPr>
        <w:pStyle w:val="Body"/>
        <w:rPr>
          <w:rFonts w:ascii="Arial" w:hAnsi="Arial" w:cs="Arial"/>
        </w:rPr>
      </w:pPr>
      <w:r w:rsidRPr="007519D8">
        <w:rPr>
          <w:rFonts w:ascii="Arial" w:hAnsi="Arial" w:cs="Arial"/>
        </w:rPr>
        <w:t xml:space="preserve">This case illustrates the complexities inherent in managing refractory obstetric APS. A history of five pregnancy losses places the patient in an extremely high-risk category. The presence of a homozygous MTHFR mutation may contribute to a prothrombotic state, although its independent role is less definitive than that of </w:t>
      </w:r>
      <w:proofErr w:type="spellStart"/>
      <w:r w:rsidRPr="007519D8">
        <w:rPr>
          <w:rFonts w:ascii="Arial" w:hAnsi="Arial" w:cs="Arial"/>
        </w:rPr>
        <w:t>aPL</w:t>
      </w:r>
      <w:proofErr w:type="spellEnd"/>
      <w:r w:rsidRPr="007519D8">
        <w:rPr>
          <w:rFonts w:ascii="Arial" w:hAnsi="Arial" w:cs="Arial"/>
        </w:rPr>
        <w:t xml:space="preserve"> antibodies.</w:t>
      </w:r>
    </w:p>
    <w:p w14:paraId="1FFA6CDE" w14:textId="3D058CC3" w:rsidR="007519D8" w:rsidRPr="007519D8" w:rsidRDefault="007519D8" w:rsidP="007519D8">
      <w:pPr>
        <w:pStyle w:val="Body"/>
        <w:rPr>
          <w:rFonts w:ascii="Arial" w:hAnsi="Arial" w:cs="Arial"/>
        </w:rPr>
      </w:pPr>
      <w:r w:rsidRPr="007519D8">
        <w:rPr>
          <w:rFonts w:ascii="Arial" w:hAnsi="Arial" w:cs="Arial"/>
        </w:rPr>
        <w:t xml:space="preserve">The use of LMWH, specifically Enoxaparin 4000 UI/day, played a pivotal role in successfully prolonging the pregnancy to 35 weeks. However, the development of severe FGR (&lt; 1st percentile) and oligohydramnios suggests that despite anticoagulation, </w:t>
      </w:r>
      <w:proofErr w:type="spellStart"/>
      <w:r w:rsidRPr="007519D8">
        <w:rPr>
          <w:rFonts w:ascii="Arial" w:hAnsi="Arial" w:cs="Arial"/>
        </w:rPr>
        <w:t>microthrombosis</w:t>
      </w:r>
      <w:proofErr w:type="spellEnd"/>
      <w:r w:rsidRPr="007519D8">
        <w:rPr>
          <w:rFonts w:ascii="Arial" w:hAnsi="Arial" w:cs="Arial"/>
        </w:rPr>
        <w:t xml:space="preserve"> or placental insufficiency persisted</w:t>
      </w:r>
      <w:r w:rsidR="00B907CC">
        <w:rPr>
          <w:rFonts w:ascii="Arial" w:hAnsi="Arial" w:cs="Arial"/>
        </w:rPr>
        <w:t xml:space="preserve">, </w:t>
      </w:r>
      <w:r w:rsidRPr="007519D8">
        <w:rPr>
          <w:rFonts w:ascii="Arial" w:hAnsi="Arial" w:cs="Arial"/>
        </w:rPr>
        <w:t>a known phenomenon in APS pregnancies. The ultrasound finding of a thickened placenta is also characteristic of placental inflammation or insufficiency. Comorbid GDM further complicated management, necessitating strict dietary control.</w:t>
      </w:r>
    </w:p>
    <w:p w14:paraId="27EBBA92" w14:textId="4DE42F5B" w:rsidR="00E053D0" w:rsidRDefault="007519D8" w:rsidP="00441B6F">
      <w:pPr>
        <w:pStyle w:val="Body"/>
        <w:spacing w:after="0"/>
        <w:rPr>
          <w:rFonts w:ascii="Arial" w:hAnsi="Arial" w:cs="Arial"/>
        </w:rPr>
      </w:pPr>
      <w:r w:rsidRPr="007519D8">
        <w:rPr>
          <w:rFonts w:ascii="Arial" w:hAnsi="Arial" w:cs="Arial"/>
        </w:rPr>
        <w:t>The decision to terminate the pregnancy at 35 weeks via cesarean section was appropriate given the severe growth restriction, breech presentation, and oligohydramnios, with the objective of preventing intrauterine fetal death.</w:t>
      </w:r>
    </w:p>
    <w:p w14:paraId="19612D43" w14:textId="77777777" w:rsidR="00790ADA" w:rsidRPr="00FB3A86" w:rsidRDefault="00790ADA" w:rsidP="00441B6F">
      <w:pPr>
        <w:pStyle w:val="Body"/>
        <w:spacing w:after="0"/>
        <w:rPr>
          <w:rFonts w:ascii="Arial" w:hAnsi="Arial" w:cs="Arial"/>
        </w:rPr>
      </w:pPr>
    </w:p>
    <w:p w14:paraId="40121BFC"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1C878AD" w14:textId="77777777" w:rsidR="00790ADA" w:rsidRPr="00FB3A86" w:rsidRDefault="00790ADA" w:rsidP="00441B6F">
      <w:pPr>
        <w:pStyle w:val="ConcHead"/>
        <w:spacing w:after="0"/>
        <w:jc w:val="both"/>
        <w:rPr>
          <w:rFonts w:ascii="Arial" w:hAnsi="Arial" w:cs="Arial"/>
        </w:rPr>
      </w:pPr>
    </w:p>
    <w:p w14:paraId="52CA4E6D" w14:textId="1B2C67D0" w:rsidR="00B01FCD" w:rsidRDefault="004F7E15" w:rsidP="00441B6F">
      <w:pPr>
        <w:pStyle w:val="Body"/>
        <w:spacing w:after="0"/>
        <w:rPr>
          <w:rFonts w:ascii="Arial" w:hAnsi="Arial" w:cs="Arial"/>
        </w:rPr>
      </w:pPr>
      <w:r w:rsidRPr="004F7E15">
        <w:rPr>
          <w:rFonts w:ascii="Arial" w:hAnsi="Arial" w:cs="Arial"/>
        </w:rPr>
        <w:t>In women with recurrent pregnancy loss due to Antiphospholipid Syndrome and MTHFR mutations, Enoxaparin therapy can achieve a live birth. Nevertheless, these pregnancies remain at high risk for placental insufficiency, manifested as FGR and oligohydramnios. Strict surveillance and timely intervention, as demonstrated by the cesarean section at 35 weeks in this case, are essential for ensuring optimal perinatal outcomes.</w:t>
      </w:r>
    </w:p>
    <w:p w14:paraId="53A606FB" w14:textId="77777777" w:rsidR="00315186" w:rsidRPr="00315186" w:rsidRDefault="00315186" w:rsidP="00441B6F"/>
    <w:p w14:paraId="135E1FC1"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1CF4EAC2" w14:textId="0E3D28C5" w:rsidR="002B685A" w:rsidRDefault="002B685A" w:rsidP="00441B6F">
      <w:pPr>
        <w:pStyle w:val="ReferHead"/>
        <w:spacing w:after="0"/>
        <w:jc w:val="both"/>
        <w:rPr>
          <w:rFonts w:ascii="Arial" w:hAnsi="Arial" w:cs="Arial"/>
          <w:bCs/>
        </w:rPr>
      </w:pPr>
      <w:r w:rsidRPr="002B685A">
        <w:rPr>
          <w:rFonts w:ascii="Arial" w:hAnsi="Arial" w:cs="Arial"/>
          <w:bCs/>
        </w:rPr>
        <w:t>Consent</w:t>
      </w:r>
    </w:p>
    <w:p w14:paraId="7ADEDE6D" w14:textId="77777777" w:rsidR="002B685A" w:rsidRPr="002B685A" w:rsidRDefault="002B685A" w:rsidP="00441B6F">
      <w:pPr>
        <w:pStyle w:val="ReferHead"/>
        <w:spacing w:after="0"/>
        <w:jc w:val="both"/>
        <w:rPr>
          <w:rFonts w:ascii="Arial" w:hAnsi="Arial" w:cs="Arial"/>
          <w:bCs/>
        </w:rPr>
      </w:pPr>
    </w:p>
    <w:p w14:paraId="70E0BEFD" w14:textId="630F187F" w:rsidR="001A29D8" w:rsidRDefault="00393B30" w:rsidP="00393B30">
      <w:pPr>
        <w:pStyle w:val="ReferHead"/>
        <w:jc w:val="both"/>
        <w:rPr>
          <w:rFonts w:ascii="Arial" w:hAnsi="Arial" w:cs="Arial"/>
          <w:b w:val="0"/>
          <w:caps w:val="0"/>
          <w:sz w:val="20"/>
        </w:rPr>
      </w:pPr>
      <w:r w:rsidRPr="00393B30">
        <w:rPr>
          <w:rFonts w:ascii="Arial" w:hAnsi="Arial" w:cs="Arial"/>
          <w:b w:val="0"/>
          <w:caps w:val="0"/>
          <w:sz w:val="20"/>
        </w:rPr>
        <w:t>Written informed consent was obtained from the</w:t>
      </w:r>
      <w:r>
        <w:rPr>
          <w:rFonts w:ascii="Arial" w:hAnsi="Arial" w:cs="Arial"/>
          <w:b w:val="0"/>
          <w:caps w:val="0"/>
          <w:sz w:val="20"/>
        </w:rPr>
        <w:t xml:space="preserve"> </w:t>
      </w:r>
      <w:r w:rsidRPr="00393B30">
        <w:rPr>
          <w:rFonts w:ascii="Arial" w:hAnsi="Arial" w:cs="Arial"/>
          <w:b w:val="0"/>
          <w:caps w:val="0"/>
          <w:sz w:val="20"/>
        </w:rPr>
        <w:t>patient for publication of this case report</w:t>
      </w:r>
      <w:r>
        <w:rPr>
          <w:rFonts w:ascii="Arial" w:hAnsi="Arial" w:cs="Arial"/>
          <w:b w:val="0"/>
          <w:caps w:val="0"/>
          <w:sz w:val="20"/>
        </w:rPr>
        <w:t xml:space="preserve">. </w:t>
      </w:r>
      <w:r w:rsidRPr="00393B30">
        <w:rPr>
          <w:rFonts w:ascii="Arial" w:hAnsi="Arial" w:cs="Arial"/>
          <w:b w:val="0"/>
          <w:caps w:val="0"/>
          <w:sz w:val="20"/>
        </w:rPr>
        <w:t>A copy of the written</w:t>
      </w:r>
      <w:r>
        <w:rPr>
          <w:rFonts w:ascii="Arial" w:hAnsi="Arial" w:cs="Arial"/>
          <w:b w:val="0"/>
          <w:caps w:val="0"/>
          <w:sz w:val="20"/>
        </w:rPr>
        <w:t xml:space="preserve"> </w:t>
      </w:r>
      <w:r w:rsidRPr="00393B30">
        <w:rPr>
          <w:rFonts w:ascii="Arial" w:hAnsi="Arial" w:cs="Arial"/>
          <w:b w:val="0"/>
          <w:caps w:val="0"/>
          <w:sz w:val="20"/>
        </w:rPr>
        <w:t>consent is available upon request.</w:t>
      </w:r>
    </w:p>
    <w:p w14:paraId="790BD3DD" w14:textId="77777777" w:rsidR="005C784C" w:rsidRDefault="005C784C" w:rsidP="00441B6F">
      <w:pPr>
        <w:pStyle w:val="ReferHead"/>
        <w:spacing w:after="0"/>
        <w:jc w:val="both"/>
        <w:rPr>
          <w:rFonts w:ascii="Arial" w:hAnsi="Arial" w:cs="Arial"/>
          <w:b w:val="0"/>
          <w:caps w:val="0"/>
          <w:sz w:val="20"/>
        </w:rPr>
      </w:pPr>
    </w:p>
    <w:p w14:paraId="55CBAB1D" w14:textId="64EF19B4" w:rsidR="005C784C" w:rsidRDefault="005C784C" w:rsidP="00441B6F">
      <w:pPr>
        <w:pStyle w:val="ReferHead"/>
        <w:spacing w:after="0"/>
        <w:jc w:val="both"/>
        <w:rPr>
          <w:rFonts w:ascii="Arial" w:hAnsi="Arial" w:cs="Arial"/>
          <w:bCs/>
        </w:rPr>
      </w:pPr>
      <w:r>
        <w:rPr>
          <w:rFonts w:ascii="Arial" w:hAnsi="Arial" w:cs="Arial"/>
          <w:bCs/>
        </w:rPr>
        <w:t>Ethical approval</w:t>
      </w:r>
    </w:p>
    <w:p w14:paraId="01704BAF" w14:textId="77777777" w:rsidR="005C784C" w:rsidRPr="002B685A" w:rsidRDefault="005C784C" w:rsidP="00441B6F">
      <w:pPr>
        <w:pStyle w:val="ReferHead"/>
        <w:spacing w:after="0"/>
        <w:jc w:val="both"/>
        <w:rPr>
          <w:rFonts w:ascii="Arial" w:hAnsi="Arial" w:cs="Arial"/>
          <w:bCs/>
        </w:rPr>
      </w:pPr>
    </w:p>
    <w:p w14:paraId="3B12B7FB" w14:textId="4991F811" w:rsidR="00860000" w:rsidRDefault="002D3BA5" w:rsidP="00441B6F">
      <w:pPr>
        <w:pStyle w:val="ReferHead"/>
        <w:spacing w:after="0"/>
        <w:jc w:val="both"/>
        <w:rPr>
          <w:rFonts w:ascii="Arial" w:hAnsi="Arial" w:cs="Arial"/>
          <w:b w:val="0"/>
          <w:caps w:val="0"/>
          <w:sz w:val="20"/>
        </w:rPr>
      </w:pPr>
      <w:r w:rsidRPr="002D3BA5">
        <w:rPr>
          <w:rFonts w:ascii="Arial" w:hAnsi="Arial" w:cs="Arial"/>
          <w:b w:val="0"/>
          <w:caps w:val="0"/>
          <w:sz w:val="20"/>
        </w:rPr>
        <w:t>It is not applicable.</w:t>
      </w:r>
    </w:p>
    <w:p w14:paraId="28FF133F" w14:textId="77777777" w:rsidR="00203ABD" w:rsidRDefault="00203ABD" w:rsidP="00441B6F">
      <w:pPr>
        <w:pStyle w:val="ReferHead"/>
        <w:spacing w:after="0"/>
        <w:jc w:val="both"/>
        <w:rPr>
          <w:rFonts w:ascii="Arial" w:hAnsi="Arial" w:cs="Arial"/>
          <w:b w:val="0"/>
          <w:caps w:val="0"/>
          <w:sz w:val="20"/>
        </w:rPr>
      </w:pPr>
    </w:p>
    <w:p w14:paraId="052F375C" w14:textId="77777777" w:rsidR="00203ABD" w:rsidRDefault="00203ABD" w:rsidP="00441B6F">
      <w:pPr>
        <w:pStyle w:val="ReferHead"/>
        <w:spacing w:after="0"/>
        <w:jc w:val="both"/>
        <w:rPr>
          <w:rFonts w:ascii="Arial" w:hAnsi="Arial" w:cs="Arial"/>
          <w:b w:val="0"/>
          <w:caps w:val="0"/>
          <w:sz w:val="20"/>
        </w:rPr>
      </w:pPr>
    </w:p>
    <w:p w14:paraId="5B89A1F0" w14:textId="77777777" w:rsidR="00203ABD" w:rsidRPr="002B685A" w:rsidRDefault="00203ABD" w:rsidP="00203ABD">
      <w:pPr>
        <w:pStyle w:val="ReferHead"/>
        <w:spacing w:after="0"/>
        <w:jc w:val="both"/>
        <w:rPr>
          <w:rFonts w:ascii="Arial" w:hAnsi="Arial" w:cs="Arial"/>
          <w:bCs/>
        </w:rPr>
      </w:pPr>
      <w:r w:rsidRPr="0024739F">
        <w:rPr>
          <w:rFonts w:ascii="Arial" w:hAnsi="Arial" w:cs="Arial"/>
          <w:bCs/>
        </w:rPr>
        <w:t>ABBREVIATIONS</w:t>
      </w:r>
    </w:p>
    <w:p w14:paraId="4A166B9F" w14:textId="77777777" w:rsidR="00203ABD" w:rsidRDefault="00203ABD" w:rsidP="00203ABD">
      <w:pPr>
        <w:pStyle w:val="ReferHead"/>
        <w:spacing w:after="0"/>
        <w:jc w:val="both"/>
        <w:rPr>
          <w:rFonts w:ascii="Arial" w:hAnsi="Arial" w:cs="Arial"/>
          <w:b w:val="0"/>
          <w:caps w:val="0"/>
          <w:sz w:val="20"/>
        </w:rPr>
      </w:pPr>
    </w:p>
    <w:p w14:paraId="592BA121" w14:textId="77777777" w:rsidR="00203ABD" w:rsidRDefault="00203ABD" w:rsidP="00203ABD">
      <w:pPr>
        <w:pStyle w:val="DefAcrHead"/>
        <w:spacing w:after="0"/>
        <w:jc w:val="both"/>
        <w:rPr>
          <w:rFonts w:ascii="Arial" w:hAnsi="Arial" w:cs="Arial"/>
          <w:b w:val="0"/>
          <w:caps w:val="0"/>
          <w:sz w:val="20"/>
        </w:rPr>
      </w:pPr>
      <w:proofErr w:type="spellStart"/>
      <w:r w:rsidRPr="0024739F">
        <w:rPr>
          <w:rFonts w:ascii="Arial" w:hAnsi="Arial" w:cs="Arial"/>
          <w:b w:val="0"/>
          <w:caps w:val="0"/>
          <w:sz w:val="20"/>
        </w:rPr>
        <w:t>aPL</w:t>
      </w:r>
      <w:proofErr w:type="spellEnd"/>
      <w:r w:rsidRPr="0024739F">
        <w:rPr>
          <w:rFonts w:ascii="Arial" w:hAnsi="Arial" w:cs="Arial"/>
          <w:b w:val="0"/>
          <w:caps w:val="0"/>
          <w:sz w:val="20"/>
        </w:rPr>
        <w:t>: Antiphospholipid antibodies</w:t>
      </w:r>
    </w:p>
    <w:p w14:paraId="79D15E2E"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APS: Antiphospholipid Syndrome</w:t>
      </w:r>
    </w:p>
    <w:p w14:paraId="7016F9D4"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FGR: Fetal Growth Restriction</w:t>
      </w:r>
    </w:p>
    <w:p w14:paraId="3C7B223E"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GDM: Gestational Diabetes Mellitus</w:t>
      </w:r>
    </w:p>
    <w:p w14:paraId="5ADD7179"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HCQ: Hydroxychloroquine</w:t>
      </w:r>
    </w:p>
    <w:p w14:paraId="7C571DB3"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IgG: Immunoglobulin G</w:t>
      </w:r>
    </w:p>
    <w:p w14:paraId="351B47B3"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IgM: Immunoglobulin M</w:t>
      </w:r>
    </w:p>
    <w:p w14:paraId="729A789D"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LMWH: Low-Molecular-Weight Heparin</w:t>
      </w:r>
    </w:p>
    <w:p w14:paraId="2B121007"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MTHFR: Methylenetetrahydrofolate Reductase</w:t>
      </w:r>
    </w:p>
    <w:p w14:paraId="6EFDB315"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 xml:space="preserve">PI: </w:t>
      </w:r>
      <w:proofErr w:type="spellStart"/>
      <w:r w:rsidRPr="0024739F">
        <w:rPr>
          <w:rFonts w:ascii="Arial" w:hAnsi="Arial" w:cs="Arial"/>
          <w:b w:val="0"/>
          <w:caps w:val="0"/>
          <w:sz w:val="20"/>
        </w:rPr>
        <w:t>Pulsatility</w:t>
      </w:r>
      <w:proofErr w:type="spellEnd"/>
      <w:r w:rsidRPr="0024739F">
        <w:rPr>
          <w:rFonts w:ascii="Arial" w:hAnsi="Arial" w:cs="Arial"/>
          <w:b w:val="0"/>
          <w:caps w:val="0"/>
          <w:sz w:val="20"/>
        </w:rPr>
        <w:t xml:space="preserve"> Index</w:t>
      </w:r>
    </w:p>
    <w:p w14:paraId="46E560FA" w14:textId="77777777" w:rsidR="001B2EEF" w:rsidRDefault="001B2EEF" w:rsidP="00203ABD">
      <w:pPr>
        <w:pStyle w:val="DefAcrHead"/>
        <w:spacing w:after="0"/>
        <w:jc w:val="both"/>
        <w:rPr>
          <w:rFonts w:ascii="Arial" w:hAnsi="Arial" w:cs="Arial"/>
          <w:b w:val="0"/>
          <w:caps w:val="0"/>
          <w:sz w:val="20"/>
        </w:rPr>
      </w:pPr>
    </w:p>
    <w:p w14:paraId="71FC41BC" w14:textId="77777777" w:rsidR="001B2EEF" w:rsidRPr="001B2EEF" w:rsidRDefault="001B2EEF" w:rsidP="001B2EEF">
      <w:pPr>
        <w:pStyle w:val="DefAcrHead"/>
        <w:jc w:val="both"/>
        <w:rPr>
          <w:rFonts w:ascii="Arial" w:hAnsi="Arial" w:cs="Arial"/>
          <w:b w:val="0"/>
          <w:caps w:val="0"/>
          <w:sz w:val="20"/>
        </w:rPr>
      </w:pPr>
      <w:r w:rsidRPr="001B2EEF">
        <w:rPr>
          <w:rFonts w:ascii="Arial" w:hAnsi="Arial" w:cs="Arial"/>
          <w:b w:val="0"/>
          <w:caps w:val="0"/>
          <w:sz w:val="20"/>
        </w:rPr>
        <w:t>COMPETING INTERESTS DISCLAIMER:</w:t>
      </w:r>
    </w:p>
    <w:p w14:paraId="7572B1AB" w14:textId="77777777" w:rsidR="001B2EEF" w:rsidRPr="001B2EEF" w:rsidRDefault="001B2EEF" w:rsidP="001B2EEF">
      <w:pPr>
        <w:pStyle w:val="DefAcrHead"/>
        <w:jc w:val="both"/>
        <w:rPr>
          <w:rFonts w:ascii="Arial" w:hAnsi="Arial" w:cs="Arial"/>
          <w:b w:val="0"/>
          <w:caps w:val="0"/>
          <w:sz w:val="20"/>
        </w:rPr>
      </w:pPr>
      <w:r w:rsidRPr="001B2EE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C16EE5F" w14:textId="77777777" w:rsidR="001B2EEF" w:rsidRPr="001B2EEF" w:rsidRDefault="001B2EEF" w:rsidP="001B2EEF">
      <w:pPr>
        <w:pStyle w:val="DefAcrHead"/>
        <w:jc w:val="both"/>
        <w:rPr>
          <w:rFonts w:ascii="Arial" w:hAnsi="Arial" w:cs="Arial"/>
          <w:b w:val="0"/>
          <w:caps w:val="0"/>
          <w:sz w:val="20"/>
        </w:rPr>
      </w:pPr>
    </w:p>
    <w:p w14:paraId="19A1C8B4" w14:textId="77777777" w:rsidR="001B2EEF" w:rsidRPr="0024739F" w:rsidRDefault="001B2EEF" w:rsidP="00203ABD">
      <w:pPr>
        <w:pStyle w:val="DefAcrHead"/>
        <w:spacing w:after="0"/>
        <w:jc w:val="both"/>
        <w:rPr>
          <w:rFonts w:ascii="Arial" w:hAnsi="Arial" w:cs="Arial"/>
          <w:b w:val="0"/>
          <w:caps w:val="0"/>
          <w:sz w:val="20"/>
        </w:rPr>
      </w:pPr>
    </w:p>
    <w:p w14:paraId="15FF6804" w14:textId="77777777" w:rsidR="00203ABD" w:rsidRDefault="00203ABD" w:rsidP="00441B6F">
      <w:pPr>
        <w:pStyle w:val="ReferHead"/>
        <w:spacing w:after="0"/>
        <w:jc w:val="both"/>
        <w:rPr>
          <w:rFonts w:ascii="Arial" w:hAnsi="Arial" w:cs="Arial"/>
          <w:b w:val="0"/>
          <w:caps w:val="0"/>
          <w:sz w:val="20"/>
        </w:rPr>
      </w:pPr>
    </w:p>
    <w:p w14:paraId="2558B357" w14:textId="77777777" w:rsidR="002D3BA5" w:rsidRDefault="002D3BA5" w:rsidP="00441B6F">
      <w:pPr>
        <w:pStyle w:val="ReferHead"/>
        <w:spacing w:after="0"/>
        <w:jc w:val="both"/>
        <w:rPr>
          <w:rFonts w:ascii="Arial" w:hAnsi="Arial" w:cs="Arial"/>
        </w:rPr>
      </w:pPr>
    </w:p>
    <w:p w14:paraId="5828E92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86711D" w14:textId="034EE3AE" w:rsidR="00790ADA" w:rsidRDefault="00790ADA" w:rsidP="00441B6F">
      <w:pPr>
        <w:pStyle w:val="ReferHead"/>
        <w:spacing w:after="0"/>
        <w:jc w:val="both"/>
        <w:rPr>
          <w:rFonts w:ascii="Arial" w:hAnsi="Arial" w:cs="Arial"/>
        </w:rPr>
      </w:pPr>
    </w:p>
    <w:p w14:paraId="71AA3E17" w14:textId="77777777" w:rsidR="00E44B82" w:rsidRPr="00E44B82" w:rsidRDefault="00E44B82" w:rsidP="00E44B82">
      <w:pPr>
        <w:pStyle w:val="Bibliography"/>
        <w:rPr>
          <w:rFonts w:ascii="Arial" w:hAnsi="Arial" w:cs="Arial"/>
          <w:sz w:val="22"/>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Pr="00E44B82">
        <w:rPr>
          <w:rFonts w:ascii="Arial" w:hAnsi="Arial" w:cs="Arial"/>
          <w:sz w:val="22"/>
        </w:rPr>
        <w:t xml:space="preserve">ACOG Practice Bulletin No. 197: Inherited Thrombophilias in Pregnancy. (2018). </w:t>
      </w:r>
      <w:r w:rsidRPr="00E44B82">
        <w:rPr>
          <w:rFonts w:ascii="Arial" w:hAnsi="Arial" w:cs="Arial"/>
          <w:i/>
          <w:iCs/>
          <w:sz w:val="22"/>
        </w:rPr>
        <w:t>Obstetrics &amp; Gynecology</w:t>
      </w:r>
      <w:r w:rsidRPr="00E44B82">
        <w:rPr>
          <w:rFonts w:ascii="Arial" w:hAnsi="Arial" w:cs="Arial"/>
          <w:sz w:val="22"/>
        </w:rPr>
        <w:t xml:space="preserve">, </w:t>
      </w:r>
      <w:r w:rsidRPr="00E44B82">
        <w:rPr>
          <w:rFonts w:ascii="Arial" w:hAnsi="Arial" w:cs="Arial"/>
          <w:i/>
          <w:iCs/>
          <w:sz w:val="22"/>
        </w:rPr>
        <w:t>132</w:t>
      </w:r>
      <w:r w:rsidRPr="00E44B82">
        <w:rPr>
          <w:rFonts w:ascii="Arial" w:hAnsi="Arial" w:cs="Arial"/>
          <w:sz w:val="22"/>
        </w:rPr>
        <w:t>(1), e18–e34. https://doi.org/10.1097/AOG.0000000000002703</w:t>
      </w:r>
    </w:p>
    <w:p w14:paraId="2B1CE65A"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Aldabie, G., Almarzooqi, A., Aljohani, R., Altawash, M., Alkadi, A., &amp; Khamashta, M. (2026). Navigating obstetric antiphospholipid syndrome: Pathophysiology, diagnosis, and therapeutic advances. </w:t>
      </w:r>
      <w:r w:rsidRPr="00E44B82">
        <w:rPr>
          <w:rFonts w:ascii="Arial" w:hAnsi="Arial" w:cs="Arial"/>
          <w:i/>
          <w:iCs/>
          <w:sz w:val="22"/>
        </w:rPr>
        <w:t>Expert Review of Clinical Immunology</w:t>
      </w:r>
      <w:r w:rsidRPr="00E44B82">
        <w:rPr>
          <w:rFonts w:ascii="Arial" w:hAnsi="Arial" w:cs="Arial"/>
          <w:sz w:val="22"/>
        </w:rPr>
        <w:t>, 1–12. https://doi.org/10.1080/1744666X.2025.2612589</w:t>
      </w:r>
    </w:p>
    <w:p w14:paraId="0EBDD70D" w14:textId="77777777" w:rsidR="00E44B82" w:rsidRPr="00E44B82" w:rsidRDefault="00E44B82" w:rsidP="00E44B82">
      <w:pPr>
        <w:pStyle w:val="Bibliography"/>
        <w:rPr>
          <w:rFonts w:ascii="Arial" w:hAnsi="Arial" w:cs="Arial"/>
          <w:sz w:val="22"/>
        </w:rPr>
      </w:pPr>
      <w:r w:rsidRPr="00E44B82">
        <w:rPr>
          <w:rFonts w:ascii="Arial" w:hAnsi="Arial" w:cs="Arial"/>
          <w:sz w:val="22"/>
        </w:rPr>
        <w:lastRenderedPageBreak/>
        <w:t xml:space="preserve">Beltagy, A., Trespidi, L., Gerosa, M., Ossola, M. W., Meroni, P. L., &amp; Chighizola, C. B. (2021). Anti‐phospholipid antibodies and reproductive failures. </w:t>
      </w:r>
      <w:r w:rsidRPr="00E44B82">
        <w:rPr>
          <w:rFonts w:ascii="Arial" w:hAnsi="Arial" w:cs="Arial"/>
          <w:i/>
          <w:iCs/>
          <w:sz w:val="22"/>
        </w:rPr>
        <w:t>American Journal of Reproductive Immunology</w:t>
      </w:r>
      <w:r w:rsidRPr="00E44B82">
        <w:rPr>
          <w:rFonts w:ascii="Arial" w:hAnsi="Arial" w:cs="Arial"/>
          <w:sz w:val="22"/>
        </w:rPr>
        <w:t xml:space="preserve">, </w:t>
      </w:r>
      <w:r w:rsidRPr="00E44B82">
        <w:rPr>
          <w:rFonts w:ascii="Arial" w:hAnsi="Arial" w:cs="Arial"/>
          <w:i/>
          <w:iCs/>
          <w:sz w:val="22"/>
        </w:rPr>
        <w:t>85</w:t>
      </w:r>
      <w:r w:rsidRPr="00E44B82">
        <w:rPr>
          <w:rFonts w:ascii="Arial" w:hAnsi="Arial" w:cs="Arial"/>
          <w:sz w:val="22"/>
        </w:rPr>
        <w:t>(4), e13258. https://doi.org/10.1111/aji.13258</w:t>
      </w:r>
    </w:p>
    <w:p w14:paraId="23EFC4B9"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Carp, H. J. A., Sapir, T., &amp; Shoenfeld, Y. (2005). Intravenous Immunoglobulin and Recurrent Pregnancy Loss. </w:t>
      </w:r>
      <w:r w:rsidRPr="00E44B82">
        <w:rPr>
          <w:rFonts w:ascii="Arial" w:hAnsi="Arial" w:cs="Arial"/>
          <w:i/>
          <w:iCs/>
          <w:sz w:val="22"/>
        </w:rPr>
        <w:t>Clinical Reviews in Allergy &amp; Immunology</w:t>
      </w:r>
      <w:r w:rsidRPr="00E44B82">
        <w:rPr>
          <w:rFonts w:ascii="Arial" w:hAnsi="Arial" w:cs="Arial"/>
          <w:sz w:val="22"/>
        </w:rPr>
        <w:t xml:space="preserve">, </w:t>
      </w:r>
      <w:r w:rsidRPr="00E44B82">
        <w:rPr>
          <w:rFonts w:ascii="Arial" w:hAnsi="Arial" w:cs="Arial"/>
          <w:i/>
          <w:iCs/>
          <w:sz w:val="22"/>
        </w:rPr>
        <w:t>29</w:t>
      </w:r>
      <w:r w:rsidRPr="00E44B82">
        <w:rPr>
          <w:rFonts w:ascii="Arial" w:hAnsi="Arial" w:cs="Arial"/>
          <w:sz w:val="22"/>
        </w:rPr>
        <w:t>(3), 327–332. https://doi.org/10.1385/CRIAI:29:3:327</w:t>
      </w:r>
    </w:p>
    <w:p w14:paraId="405AAD1F"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Garcia, D., &amp; Erkan, D. (2018). Diagnosis and Management of the Antiphospholipid Syndrome. </w:t>
      </w:r>
      <w:r w:rsidRPr="00E44B82">
        <w:rPr>
          <w:rFonts w:ascii="Arial" w:hAnsi="Arial" w:cs="Arial"/>
          <w:i/>
          <w:iCs/>
          <w:sz w:val="22"/>
        </w:rPr>
        <w:t>New England Journal of Medicine</w:t>
      </w:r>
      <w:r w:rsidRPr="00E44B82">
        <w:rPr>
          <w:rFonts w:ascii="Arial" w:hAnsi="Arial" w:cs="Arial"/>
          <w:sz w:val="22"/>
        </w:rPr>
        <w:t xml:space="preserve">, </w:t>
      </w:r>
      <w:r w:rsidRPr="00E44B82">
        <w:rPr>
          <w:rFonts w:ascii="Arial" w:hAnsi="Arial" w:cs="Arial"/>
          <w:i/>
          <w:iCs/>
          <w:sz w:val="22"/>
        </w:rPr>
        <w:t>378</w:t>
      </w:r>
      <w:r w:rsidRPr="00E44B82">
        <w:rPr>
          <w:rFonts w:ascii="Arial" w:hAnsi="Arial" w:cs="Arial"/>
          <w:sz w:val="22"/>
        </w:rPr>
        <w:t>(21), 2010–2021. https://doi.org/10.1056/NEJMra1705454</w:t>
      </w:r>
    </w:p>
    <w:p w14:paraId="71B055C6"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Ghembaza, A., &amp; Saadoun, D. (2020). Management of Antiphospholipid Syndrome. </w:t>
      </w:r>
      <w:r w:rsidRPr="00E44B82">
        <w:rPr>
          <w:rFonts w:ascii="Arial" w:hAnsi="Arial" w:cs="Arial"/>
          <w:i/>
          <w:iCs/>
          <w:sz w:val="22"/>
        </w:rPr>
        <w:t>Biomedicines</w:t>
      </w:r>
      <w:r w:rsidRPr="00E44B82">
        <w:rPr>
          <w:rFonts w:ascii="Arial" w:hAnsi="Arial" w:cs="Arial"/>
          <w:sz w:val="22"/>
        </w:rPr>
        <w:t xml:space="preserve">, </w:t>
      </w:r>
      <w:r w:rsidRPr="00E44B82">
        <w:rPr>
          <w:rFonts w:ascii="Arial" w:hAnsi="Arial" w:cs="Arial"/>
          <w:i/>
          <w:iCs/>
          <w:sz w:val="22"/>
        </w:rPr>
        <w:t>8</w:t>
      </w:r>
      <w:r w:rsidRPr="00E44B82">
        <w:rPr>
          <w:rFonts w:ascii="Arial" w:hAnsi="Arial" w:cs="Arial"/>
          <w:sz w:val="22"/>
        </w:rPr>
        <w:t>(11), 508. https://doi.org/10.3390/biomedicines8110508</w:t>
      </w:r>
    </w:p>
    <w:p w14:paraId="14D79321"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He, Q., &amp; Li, J. (2023). The evolution of folate supplementation – from one size for all to personalized, precision, poly-paths. </w:t>
      </w:r>
      <w:r w:rsidRPr="00E44B82">
        <w:rPr>
          <w:rFonts w:ascii="Arial" w:hAnsi="Arial" w:cs="Arial"/>
          <w:i/>
          <w:iCs/>
          <w:sz w:val="22"/>
        </w:rPr>
        <w:t>Journal of Translational Internal Medicine</w:t>
      </w:r>
      <w:r w:rsidRPr="00E44B82">
        <w:rPr>
          <w:rFonts w:ascii="Arial" w:hAnsi="Arial" w:cs="Arial"/>
          <w:sz w:val="22"/>
        </w:rPr>
        <w:t xml:space="preserve">, </w:t>
      </w:r>
      <w:r w:rsidRPr="00E44B82">
        <w:rPr>
          <w:rFonts w:ascii="Arial" w:hAnsi="Arial" w:cs="Arial"/>
          <w:i/>
          <w:iCs/>
          <w:sz w:val="22"/>
        </w:rPr>
        <w:t>11</w:t>
      </w:r>
      <w:r w:rsidRPr="00E44B82">
        <w:rPr>
          <w:rFonts w:ascii="Arial" w:hAnsi="Arial" w:cs="Arial"/>
          <w:sz w:val="22"/>
        </w:rPr>
        <w:t>(2), 128–137. https://doi.org/10.2478/jtim-2023-0087</w:t>
      </w:r>
    </w:p>
    <w:p w14:paraId="2D3418C1"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Ma, G., Han, J., Gao, R., &amp; Qin, L. (2025). Immune-mediated mechanisms and maternal-fetal interface dysfunction in obstetric antiphospholipid syndrome. </w:t>
      </w:r>
      <w:r w:rsidRPr="00E44B82">
        <w:rPr>
          <w:rFonts w:ascii="Arial" w:hAnsi="Arial" w:cs="Arial"/>
          <w:i/>
          <w:iCs/>
          <w:sz w:val="22"/>
        </w:rPr>
        <w:t>Frontiers in Immunology</w:t>
      </w:r>
      <w:r w:rsidRPr="00E44B82">
        <w:rPr>
          <w:rFonts w:ascii="Arial" w:hAnsi="Arial" w:cs="Arial"/>
          <w:sz w:val="22"/>
        </w:rPr>
        <w:t xml:space="preserve">, </w:t>
      </w:r>
      <w:r w:rsidRPr="00E44B82">
        <w:rPr>
          <w:rFonts w:ascii="Arial" w:hAnsi="Arial" w:cs="Arial"/>
          <w:i/>
          <w:iCs/>
          <w:sz w:val="22"/>
        </w:rPr>
        <w:t>16</w:t>
      </w:r>
      <w:r w:rsidRPr="00E44B82">
        <w:rPr>
          <w:rFonts w:ascii="Arial" w:hAnsi="Arial" w:cs="Arial"/>
          <w:sz w:val="22"/>
        </w:rPr>
        <w:t>, 1722080. https://doi.org/10.3389/fimmu.2025.1722080</w:t>
      </w:r>
    </w:p>
    <w:p w14:paraId="42A66DB1"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Moll, S., &amp; Varga, E. A. (2015). Homocysteine and </w:t>
      </w:r>
      <w:r w:rsidRPr="00E44B82">
        <w:rPr>
          <w:rFonts w:ascii="Arial" w:hAnsi="Arial" w:cs="Arial"/>
          <w:i/>
          <w:iCs/>
          <w:sz w:val="22"/>
        </w:rPr>
        <w:t>MTHFR</w:t>
      </w:r>
      <w:r w:rsidRPr="00E44B82">
        <w:rPr>
          <w:rFonts w:ascii="Arial" w:hAnsi="Arial" w:cs="Arial"/>
          <w:sz w:val="22"/>
        </w:rPr>
        <w:t xml:space="preserve"> Mutations. </w:t>
      </w:r>
      <w:r w:rsidRPr="00E44B82">
        <w:rPr>
          <w:rFonts w:ascii="Arial" w:hAnsi="Arial" w:cs="Arial"/>
          <w:i/>
          <w:iCs/>
          <w:sz w:val="22"/>
        </w:rPr>
        <w:t>Circulation</w:t>
      </w:r>
      <w:r w:rsidRPr="00E44B82">
        <w:rPr>
          <w:rFonts w:ascii="Arial" w:hAnsi="Arial" w:cs="Arial"/>
          <w:sz w:val="22"/>
        </w:rPr>
        <w:t xml:space="preserve">, </w:t>
      </w:r>
      <w:r w:rsidRPr="00E44B82">
        <w:rPr>
          <w:rFonts w:ascii="Arial" w:hAnsi="Arial" w:cs="Arial"/>
          <w:i/>
          <w:iCs/>
          <w:sz w:val="22"/>
        </w:rPr>
        <w:t>132</w:t>
      </w:r>
      <w:r w:rsidRPr="00E44B82">
        <w:rPr>
          <w:rFonts w:ascii="Arial" w:hAnsi="Arial" w:cs="Arial"/>
          <w:sz w:val="22"/>
        </w:rPr>
        <w:t>(1). https://doi.org/10.1161/CIRCULATIONAHA.114.013311</w:t>
      </w:r>
    </w:p>
    <w:p w14:paraId="05CB0761"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Riancho-Zarrabeitia, L., Lopez-Marin, L., Cacho, P. M., López-Hoyos, M., Barrio, R. D., Haya, A., &amp; Martínez-Taboada, V. M. (2022). Treatment with low-dose prednisone in refractory obstetric antiphospholipid syndrome: A retrospective cohort study and meta-analysis. </w:t>
      </w:r>
      <w:r w:rsidRPr="00E44B82">
        <w:rPr>
          <w:rFonts w:ascii="Arial" w:hAnsi="Arial" w:cs="Arial"/>
          <w:i/>
          <w:iCs/>
          <w:sz w:val="22"/>
        </w:rPr>
        <w:t>Lupus</w:t>
      </w:r>
      <w:r w:rsidRPr="00E44B82">
        <w:rPr>
          <w:rFonts w:ascii="Arial" w:hAnsi="Arial" w:cs="Arial"/>
          <w:sz w:val="22"/>
        </w:rPr>
        <w:t xml:space="preserve">, </w:t>
      </w:r>
      <w:r w:rsidRPr="00E44B82">
        <w:rPr>
          <w:rFonts w:ascii="Arial" w:hAnsi="Arial" w:cs="Arial"/>
          <w:i/>
          <w:iCs/>
          <w:sz w:val="22"/>
        </w:rPr>
        <w:t>31</w:t>
      </w:r>
      <w:r w:rsidRPr="00E44B82">
        <w:rPr>
          <w:rFonts w:ascii="Arial" w:hAnsi="Arial" w:cs="Arial"/>
          <w:sz w:val="22"/>
        </w:rPr>
        <w:t>(7), 808–819. https://doi.org/10.1177/09612033221091401</w:t>
      </w:r>
    </w:p>
    <w:p w14:paraId="58E6D32D"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Schreiber, K., Sciascia, S., De Groot, P. G., Devreese, K., Jacobsen, S., Ruiz-Irastorza, G., Salmon, J. E., Shoenfeld, Y., Shovman, O., &amp; Hunt, B. J. (2018). Antiphospholipid syndrome. </w:t>
      </w:r>
      <w:r w:rsidRPr="00E44B82">
        <w:rPr>
          <w:rFonts w:ascii="Arial" w:hAnsi="Arial" w:cs="Arial"/>
          <w:i/>
          <w:iCs/>
          <w:sz w:val="22"/>
        </w:rPr>
        <w:t>Nature Reviews Disease Primers</w:t>
      </w:r>
      <w:r w:rsidRPr="00E44B82">
        <w:rPr>
          <w:rFonts w:ascii="Arial" w:hAnsi="Arial" w:cs="Arial"/>
          <w:sz w:val="22"/>
        </w:rPr>
        <w:t xml:space="preserve">, </w:t>
      </w:r>
      <w:r w:rsidRPr="00E44B82">
        <w:rPr>
          <w:rFonts w:ascii="Arial" w:hAnsi="Arial" w:cs="Arial"/>
          <w:i/>
          <w:iCs/>
          <w:sz w:val="22"/>
        </w:rPr>
        <w:t>4</w:t>
      </w:r>
      <w:r w:rsidRPr="00E44B82">
        <w:rPr>
          <w:rFonts w:ascii="Arial" w:hAnsi="Arial" w:cs="Arial"/>
          <w:sz w:val="22"/>
        </w:rPr>
        <w:t>(1), 17103. https://doi.org/10.1038/nrdp.2017.103</w:t>
      </w:r>
    </w:p>
    <w:p w14:paraId="2A40555E"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Siniscalchi, C., Bernardi, F. F., Di Micco, P., Perrella, A., Meschi, T., &amp; Trama, U. (2024). Antithrombotic Treatment in Antiphospholipid Syndrome: A Review. </w:t>
      </w:r>
      <w:r w:rsidRPr="00E44B82">
        <w:rPr>
          <w:rFonts w:ascii="Arial" w:hAnsi="Arial" w:cs="Arial"/>
          <w:i/>
          <w:iCs/>
          <w:sz w:val="22"/>
        </w:rPr>
        <w:t>Immuno</w:t>
      </w:r>
      <w:r w:rsidRPr="00E44B82">
        <w:rPr>
          <w:rFonts w:ascii="Arial" w:hAnsi="Arial" w:cs="Arial"/>
          <w:sz w:val="22"/>
        </w:rPr>
        <w:t xml:space="preserve">, </w:t>
      </w:r>
      <w:r w:rsidRPr="00E44B82">
        <w:rPr>
          <w:rFonts w:ascii="Arial" w:hAnsi="Arial" w:cs="Arial"/>
          <w:i/>
          <w:iCs/>
          <w:sz w:val="22"/>
        </w:rPr>
        <w:t>4</w:t>
      </w:r>
      <w:r w:rsidRPr="00E44B82">
        <w:rPr>
          <w:rFonts w:ascii="Arial" w:hAnsi="Arial" w:cs="Arial"/>
          <w:sz w:val="22"/>
        </w:rPr>
        <w:t>(4), 620–628. https://doi.org/10.3390/immuno4040036</w:t>
      </w:r>
    </w:p>
    <w:p w14:paraId="0117BFD5" w14:textId="77777777" w:rsidR="00E44B82" w:rsidRPr="00E44B82" w:rsidRDefault="00E44B82" w:rsidP="00E44B82">
      <w:pPr>
        <w:pStyle w:val="Bibliography"/>
        <w:rPr>
          <w:rFonts w:ascii="Arial" w:hAnsi="Arial" w:cs="Arial"/>
          <w:sz w:val="22"/>
        </w:rPr>
      </w:pPr>
      <w:r w:rsidRPr="00E44B82">
        <w:rPr>
          <w:rFonts w:ascii="Arial" w:hAnsi="Arial" w:cs="Arial"/>
          <w:sz w:val="22"/>
        </w:rPr>
        <w:lastRenderedPageBreak/>
        <w:t xml:space="preserve">The ESHRE Guideline Group on RPL, Bender Atik, R., Christiansen, O. B., Elson, J., Kolte, A. M., Lewis, S., Middeldorp, S., Mcheik, S., Peramo, B., Quenby, S., Nielsen, H. S., Van Der Hoorn, M.-L., Vermeulen, N., &amp; Goddijn, M. (2022). ESHRE guideline: Recurrent pregnancy loss: an update in 2022. </w:t>
      </w:r>
      <w:r w:rsidRPr="00E44B82">
        <w:rPr>
          <w:rFonts w:ascii="Arial" w:hAnsi="Arial" w:cs="Arial"/>
          <w:i/>
          <w:iCs/>
          <w:sz w:val="22"/>
        </w:rPr>
        <w:t>Human Reproduction Open</w:t>
      </w:r>
      <w:r w:rsidRPr="00E44B82">
        <w:rPr>
          <w:rFonts w:ascii="Arial" w:hAnsi="Arial" w:cs="Arial"/>
          <w:sz w:val="22"/>
        </w:rPr>
        <w:t xml:space="preserve">, </w:t>
      </w:r>
      <w:r w:rsidRPr="00E44B82">
        <w:rPr>
          <w:rFonts w:ascii="Arial" w:hAnsi="Arial" w:cs="Arial"/>
          <w:i/>
          <w:iCs/>
          <w:sz w:val="22"/>
        </w:rPr>
        <w:t>2023</w:t>
      </w:r>
      <w:r w:rsidRPr="00E44B82">
        <w:rPr>
          <w:rFonts w:ascii="Arial" w:hAnsi="Arial" w:cs="Arial"/>
          <w:sz w:val="22"/>
        </w:rPr>
        <w:t>(1), hoad002. https://doi.org/10.1093/hropen/hoad002</w:t>
      </w:r>
    </w:p>
    <w:p w14:paraId="04813526" w14:textId="07270934" w:rsidR="009A20F5" w:rsidRPr="00FB3A86" w:rsidRDefault="00E44B82" w:rsidP="00441B6F">
      <w:pPr>
        <w:pStyle w:val="ReferHead"/>
        <w:spacing w:after="0"/>
        <w:jc w:val="both"/>
        <w:rPr>
          <w:rFonts w:ascii="Arial" w:hAnsi="Arial" w:cs="Arial"/>
        </w:rPr>
      </w:pPr>
      <w:r>
        <w:rPr>
          <w:rFonts w:ascii="Arial" w:hAnsi="Arial" w:cs="Arial"/>
        </w:rPr>
        <w:fldChar w:fldCharType="end"/>
      </w:r>
    </w:p>
    <w:p w14:paraId="5924330E"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4F1D47">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CE5B" w14:textId="77777777" w:rsidR="009C68B5" w:rsidRDefault="009C68B5" w:rsidP="00C37E61">
      <w:r>
        <w:separator/>
      </w:r>
    </w:p>
  </w:endnote>
  <w:endnote w:type="continuationSeparator" w:id="0">
    <w:p w14:paraId="792A25CA" w14:textId="77777777" w:rsidR="009C68B5" w:rsidRDefault="009C68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819AC" w14:textId="77777777" w:rsidR="004F1D47" w:rsidRDefault="004F1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D245" w14:textId="77777777" w:rsidR="004F1D47" w:rsidRDefault="004F1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E77F" w14:textId="77777777" w:rsidR="009E048A" w:rsidRDefault="009E048A">
    <w:pPr>
      <w:pStyle w:val="Footer"/>
      <w:rPr>
        <w:rFonts w:ascii="Arial" w:hAnsi="Arial" w:cs="Arial"/>
        <w:sz w:val="16"/>
      </w:rPr>
    </w:pPr>
  </w:p>
  <w:p w14:paraId="1F96EEB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4FEA5E" w14:textId="77777777" w:rsidR="009E048A" w:rsidRDefault="009E048A">
    <w:pPr>
      <w:pStyle w:val="Footer"/>
      <w:rPr>
        <w:rFonts w:ascii="Arial" w:hAnsi="Arial" w:cs="Arial"/>
        <w:sz w:val="16"/>
      </w:rPr>
    </w:pPr>
  </w:p>
  <w:p w14:paraId="20DF11D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21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8417E" w14:textId="77777777" w:rsidR="009C68B5" w:rsidRDefault="009C68B5" w:rsidP="00C37E61">
      <w:r>
        <w:separator/>
      </w:r>
    </w:p>
  </w:footnote>
  <w:footnote w:type="continuationSeparator" w:id="0">
    <w:p w14:paraId="119FEE24" w14:textId="77777777" w:rsidR="009C68B5" w:rsidRDefault="009C68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5A41" w14:textId="64EAD55F" w:rsidR="004F1D47" w:rsidRDefault="004F1D47">
    <w:pPr>
      <w:pStyle w:val="Header"/>
    </w:pPr>
    <w:r>
      <w:rPr>
        <w:noProof/>
      </w:rPr>
      <w:pict w14:anchorId="445AA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5477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F0D9" w14:textId="1A4EA270" w:rsidR="004F1D47" w:rsidRDefault="004F1D47">
    <w:pPr>
      <w:pStyle w:val="Header"/>
    </w:pPr>
    <w:r>
      <w:rPr>
        <w:noProof/>
      </w:rPr>
      <w:pict w14:anchorId="441CA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5477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6B93" w14:textId="17C1841A" w:rsidR="00296529" w:rsidRPr="00296529" w:rsidRDefault="004F1D47" w:rsidP="00296529">
    <w:pPr>
      <w:ind w:left="2160"/>
      <w:jc w:val="center"/>
      <w:rPr>
        <w:rFonts w:ascii="Times New Roman" w:eastAsia="Calibri" w:hAnsi="Times New Roman"/>
        <w:i/>
        <w:sz w:val="18"/>
        <w:szCs w:val="22"/>
      </w:rPr>
    </w:pPr>
    <w:r>
      <w:rPr>
        <w:noProof/>
      </w:rPr>
      <w:pict w14:anchorId="63498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5477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A69D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00557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F7E8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A4683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3FEE9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B1B99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DB7C" w14:textId="6A85136C" w:rsidR="004F1D47" w:rsidRDefault="004F1D47">
    <w:pPr>
      <w:pStyle w:val="Header"/>
    </w:pPr>
    <w:r>
      <w:rPr>
        <w:noProof/>
      </w:rPr>
      <w:pict w14:anchorId="20A4B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5477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FEE6" w14:textId="5920836E" w:rsidR="004F1D47" w:rsidRDefault="004F1D47">
    <w:pPr>
      <w:pStyle w:val="Header"/>
    </w:pPr>
    <w:r>
      <w:rPr>
        <w:noProof/>
      </w:rPr>
      <w:pict w14:anchorId="647AE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5477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5E16" w14:textId="244A23F1" w:rsidR="004F1D47" w:rsidRDefault="004F1D47">
    <w:pPr>
      <w:pStyle w:val="Header"/>
    </w:pPr>
    <w:r>
      <w:rPr>
        <w:noProof/>
      </w:rPr>
      <w:pict w14:anchorId="5B0D3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5477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90F"/>
    <w:rsid w:val="00024294"/>
    <w:rsid w:val="00025EA5"/>
    <w:rsid w:val="00030174"/>
    <w:rsid w:val="0004579C"/>
    <w:rsid w:val="000606DC"/>
    <w:rsid w:val="00061C45"/>
    <w:rsid w:val="00064A16"/>
    <w:rsid w:val="000A47FA"/>
    <w:rsid w:val="000A65D3"/>
    <w:rsid w:val="000B1C49"/>
    <w:rsid w:val="000B1E33"/>
    <w:rsid w:val="000D689F"/>
    <w:rsid w:val="000E2ED6"/>
    <w:rsid w:val="000E6557"/>
    <w:rsid w:val="000E7B7B"/>
    <w:rsid w:val="000E7D62"/>
    <w:rsid w:val="00103357"/>
    <w:rsid w:val="0010750C"/>
    <w:rsid w:val="00123C9F"/>
    <w:rsid w:val="00126190"/>
    <w:rsid w:val="00130F17"/>
    <w:rsid w:val="001320BF"/>
    <w:rsid w:val="00163BC4"/>
    <w:rsid w:val="00191062"/>
    <w:rsid w:val="00192B72"/>
    <w:rsid w:val="001A29D8"/>
    <w:rsid w:val="001A5CAA"/>
    <w:rsid w:val="001B0427"/>
    <w:rsid w:val="001B2EEF"/>
    <w:rsid w:val="001C623C"/>
    <w:rsid w:val="001D3A51"/>
    <w:rsid w:val="001E10D2"/>
    <w:rsid w:val="001E25B4"/>
    <w:rsid w:val="001E44FE"/>
    <w:rsid w:val="001E6061"/>
    <w:rsid w:val="00200595"/>
    <w:rsid w:val="00203ABD"/>
    <w:rsid w:val="00204835"/>
    <w:rsid w:val="00231920"/>
    <w:rsid w:val="0023195C"/>
    <w:rsid w:val="0024282C"/>
    <w:rsid w:val="00245D17"/>
    <w:rsid w:val="002460DC"/>
    <w:rsid w:val="0024739F"/>
    <w:rsid w:val="00250985"/>
    <w:rsid w:val="002556F6"/>
    <w:rsid w:val="00255752"/>
    <w:rsid w:val="00283105"/>
    <w:rsid w:val="00284C4C"/>
    <w:rsid w:val="00287E68"/>
    <w:rsid w:val="00296529"/>
    <w:rsid w:val="002A50ED"/>
    <w:rsid w:val="002B27FB"/>
    <w:rsid w:val="002B4995"/>
    <w:rsid w:val="002B685A"/>
    <w:rsid w:val="002C57D2"/>
    <w:rsid w:val="002D3BA5"/>
    <w:rsid w:val="002E0D56"/>
    <w:rsid w:val="002E45A2"/>
    <w:rsid w:val="00303255"/>
    <w:rsid w:val="00310EAC"/>
    <w:rsid w:val="00315186"/>
    <w:rsid w:val="00332218"/>
    <w:rsid w:val="0033343E"/>
    <w:rsid w:val="00347035"/>
    <w:rsid w:val="003512C2"/>
    <w:rsid w:val="00371FB6"/>
    <w:rsid w:val="003763C1"/>
    <w:rsid w:val="00376BBE"/>
    <w:rsid w:val="00385AF4"/>
    <w:rsid w:val="0039224F"/>
    <w:rsid w:val="00393B30"/>
    <w:rsid w:val="003A43A4"/>
    <w:rsid w:val="003A7E18"/>
    <w:rsid w:val="003B4B9A"/>
    <w:rsid w:val="003C4C86"/>
    <w:rsid w:val="003C6258"/>
    <w:rsid w:val="003E2904"/>
    <w:rsid w:val="00401927"/>
    <w:rsid w:val="0040643F"/>
    <w:rsid w:val="0041027F"/>
    <w:rsid w:val="00410D06"/>
    <w:rsid w:val="00412475"/>
    <w:rsid w:val="00417351"/>
    <w:rsid w:val="00423789"/>
    <w:rsid w:val="00440F43"/>
    <w:rsid w:val="00441B6F"/>
    <w:rsid w:val="00446221"/>
    <w:rsid w:val="00450E62"/>
    <w:rsid w:val="004539DB"/>
    <w:rsid w:val="00471A80"/>
    <w:rsid w:val="004764E6"/>
    <w:rsid w:val="004C1CF3"/>
    <w:rsid w:val="004C7E22"/>
    <w:rsid w:val="004D305E"/>
    <w:rsid w:val="004D4277"/>
    <w:rsid w:val="004F1D47"/>
    <w:rsid w:val="004F7E15"/>
    <w:rsid w:val="00502516"/>
    <w:rsid w:val="00502BB3"/>
    <w:rsid w:val="00505F06"/>
    <w:rsid w:val="00506828"/>
    <w:rsid w:val="00512850"/>
    <w:rsid w:val="0053056E"/>
    <w:rsid w:val="00554FDA"/>
    <w:rsid w:val="005734A5"/>
    <w:rsid w:val="005A0C10"/>
    <w:rsid w:val="005A230F"/>
    <w:rsid w:val="005C784C"/>
    <w:rsid w:val="005D17F6"/>
    <w:rsid w:val="005D1A79"/>
    <w:rsid w:val="005D22EE"/>
    <w:rsid w:val="005E5539"/>
    <w:rsid w:val="00602BF5"/>
    <w:rsid w:val="006051B5"/>
    <w:rsid w:val="00617FDD"/>
    <w:rsid w:val="00633614"/>
    <w:rsid w:val="00633F68"/>
    <w:rsid w:val="00634C7D"/>
    <w:rsid w:val="00636EB2"/>
    <w:rsid w:val="006375B8"/>
    <w:rsid w:val="0066510A"/>
    <w:rsid w:val="00673F9F"/>
    <w:rsid w:val="00686953"/>
    <w:rsid w:val="00687DEA"/>
    <w:rsid w:val="00687E67"/>
    <w:rsid w:val="006967F7"/>
    <w:rsid w:val="006A250C"/>
    <w:rsid w:val="006B21D3"/>
    <w:rsid w:val="006B57D0"/>
    <w:rsid w:val="006D30FF"/>
    <w:rsid w:val="006D39DE"/>
    <w:rsid w:val="006D6940"/>
    <w:rsid w:val="006E3C77"/>
    <w:rsid w:val="006E6019"/>
    <w:rsid w:val="006F11EC"/>
    <w:rsid w:val="0070082C"/>
    <w:rsid w:val="00705C44"/>
    <w:rsid w:val="007217F1"/>
    <w:rsid w:val="007369E6"/>
    <w:rsid w:val="00746E59"/>
    <w:rsid w:val="007519D8"/>
    <w:rsid w:val="00754C9A"/>
    <w:rsid w:val="0075599A"/>
    <w:rsid w:val="007619B9"/>
    <w:rsid w:val="00761D52"/>
    <w:rsid w:val="0076566B"/>
    <w:rsid w:val="0077749E"/>
    <w:rsid w:val="0078426A"/>
    <w:rsid w:val="00790ADA"/>
    <w:rsid w:val="007A03C7"/>
    <w:rsid w:val="007B360D"/>
    <w:rsid w:val="007C05D7"/>
    <w:rsid w:val="007C08E1"/>
    <w:rsid w:val="007D2288"/>
    <w:rsid w:val="007E088F"/>
    <w:rsid w:val="007F7B32"/>
    <w:rsid w:val="00804BC2"/>
    <w:rsid w:val="0081431A"/>
    <w:rsid w:val="008310CA"/>
    <w:rsid w:val="0083216F"/>
    <w:rsid w:val="00860000"/>
    <w:rsid w:val="00863BD3"/>
    <w:rsid w:val="008641ED"/>
    <w:rsid w:val="00866D66"/>
    <w:rsid w:val="008671C6"/>
    <w:rsid w:val="00875803"/>
    <w:rsid w:val="00893B30"/>
    <w:rsid w:val="008B459E"/>
    <w:rsid w:val="008E13AE"/>
    <w:rsid w:val="008E1506"/>
    <w:rsid w:val="008E3959"/>
    <w:rsid w:val="008E710C"/>
    <w:rsid w:val="008F69D6"/>
    <w:rsid w:val="00902823"/>
    <w:rsid w:val="00915CA6"/>
    <w:rsid w:val="00927834"/>
    <w:rsid w:val="00944B17"/>
    <w:rsid w:val="009500A6"/>
    <w:rsid w:val="009548B9"/>
    <w:rsid w:val="00957C18"/>
    <w:rsid w:val="009659BA"/>
    <w:rsid w:val="00983040"/>
    <w:rsid w:val="00990573"/>
    <w:rsid w:val="00995EA0"/>
    <w:rsid w:val="009A06B1"/>
    <w:rsid w:val="009A20F5"/>
    <w:rsid w:val="009B3FB9"/>
    <w:rsid w:val="009C2465"/>
    <w:rsid w:val="009C68B5"/>
    <w:rsid w:val="009D35A0"/>
    <w:rsid w:val="009D7EB7"/>
    <w:rsid w:val="009E048A"/>
    <w:rsid w:val="009E08E9"/>
    <w:rsid w:val="009E31E0"/>
    <w:rsid w:val="009E3DB9"/>
    <w:rsid w:val="009E6E35"/>
    <w:rsid w:val="009F0EDA"/>
    <w:rsid w:val="00A03B96"/>
    <w:rsid w:val="00A05B19"/>
    <w:rsid w:val="00A061FE"/>
    <w:rsid w:val="00A1134E"/>
    <w:rsid w:val="00A24E7E"/>
    <w:rsid w:val="00A258C3"/>
    <w:rsid w:val="00A332E6"/>
    <w:rsid w:val="00A347C0"/>
    <w:rsid w:val="00A4222C"/>
    <w:rsid w:val="00A51431"/>
    <w:rsid w:val="00A539AD"/>
    <w:rsid w:val="00A57584"/>
    <w:rsid w:val="00A671EA"/>
    <w:rsid w:val="00A835B2"/>
    <w:rsid w:val="00A94063"/>
    <w:rsid w:val="00AA6219"/>
    <w:rsid w:val="00AA74E0"/>
    <w:rsid w:val="00AB703F"/>
    <w:rsid w:val="00AC6BB8"/>
    <w:rsid w:val="00AE008F"/>
    <w:rsid w:val="00B001CB"/>
    <w:rsid w:val="00B01FCD"/>
    <w:rsid w:val="00B06EDE"/>
    <w:rsid w:val="00B1776C"/>
    <w:rsid w:val="00B52583"/>
    <w:rsid w:val="00B52896"/>
    <w:rsid w:val="00B6250D"/>
    <w:rsid w:val="00B83191"/>
    <w:rsid w:val="00B83E2F"/>
    <w:rsid w:val="00B84473"/>
    <w:rsid w:val="00B86A46"/>
    <w:rsid w:val="00B907CC"/>
    <w:rsid w:val="00B917BB"/>
    <w:rsid w:val="00B95236"/>
    <w:rsid w:val="00B96BD9"/>
    <w:rsid w:val="00BA1B01"/>
    <w:rsid w:val="00BA2641"/>
    <w:rsid w:val="00BA618D"/>
    <w:rsid w:val="00BB103C"/>
    <w:rsid w:val="00BB37AA"/>
    <w:rsid w:val="00BC53A0"/>
    <w:rsid w:val="00BC74D1"/>
    <w:rsid w:val="00BE2B36"/>
    <w:rsid w:val="00BE62AD"/>
    <w:rsid w:val="00BF121F"/>
    <w:rsid w:val="00BF1F80"/>
    <w:rsid w:val="00BF5BFD"/>
    <w:rsid w:val="00C04C53"/>
    <w:rsid w:val="00C058E0"/>
    <w:rsid w:val="00C05D22"/>
    <w:rsid w:val="00C166EF"/>
    <w:rsid w:val="00C17EB0"/>
    <w:rsid w:val="00C21565"/>
    <w:rsid w:val="00C27F5F"/>
    <w:rsid w:val="00C30A0F"/>
    <w:rsid w:val="00C37E61"/>
    <w:rsid w:val="00C70F1B"/>
    <w:rsid w:val="00C71A47"/>
    <w:rsid w:val="00C7464C"/>
    <w:rsid w:val="00C77B97"/>
    <w:rsid w:val="00C844E9"/>
    <w:rsid w:val="00C84CEC"/>
    <w:rsid w:val="00C85588"/>
    <w:rsid w:val="00CA222F"/>
    <w:rsid w:val="00CA2D48"/>
    <w:rsid w:val="00CD6755"/>
    <w:rsid w:val="00CD6856"/>
    <w:rsid w:val="00CE0089"/>
    <w:rsid w:val="00CE793C"/>
    <w:rsid w:val="00CF193C"/>
    <w:rsid w:val="00D02853"/>
    <w:rsid w:val="00D052A4"/>
    <w:rsid w:val="00D1041D"/>
    <w:rsid w:val="00D173F1"/>
    <w:rsid w:val="00D24ADB"/>
    <w:rsid w:val="00D44D07"/>
    <w:rsid w:val="00D51D2A"/>
    <w:rsid w:val="00D70FE5"/>
    <w:rsid w:val="00D74CB0"/>
    <w:rsid w:val="00D8295D"/>
    <w:rsid w:val="00DC2A65"/>
    <w:rsid w:val="00DE15F0"/>
    <w:rsid w:val="00DE5663"/>
    <w:rsid w:val="00DE78AA"/>
    <w:rsid w:val="00E053D0"/>
    <w:rsid w:val="00E15994"/>
    <w:rsid w:val="00E3114E"/>
    <w:rsid w:val="00E31A70"/>
    <w:rsid w:val="00E3223F"/>
    <w:rsid w:val="00E35B02"/>
    <w:rsid w:val="00E36A0B"/>
    <w:rsid w:val="00E3725B"/>
    <w:rsid w:val="00E44B82"/>
    <w:rsid w:val="00E47515"/>
    <w:rsid w:val="00E66496"/>
    <w:rsid w:val="00E66569"/>
    <w:rsid w:val="00E66B35"/>
    <w:rsid w:val="00E66E10"/>
    <w:rsid w:val="00E769F6"/>
    <w:rsid w:val="00E8407C"/>
    <w:rsid w:val="00E84F3C"/>
    <w:rsid w:val="00EA012C"/>
    <w:rsid w:val="00EA79B7"/>
    <w:rsid w:val="00EB2E4E"/>
    <w:rsid w:val="00EC58F6"/>
    <w:rsid w:val="00EC6A55"/>
    <w:rsid w:val="00ED0288"/>
    <w:rsid w:val="00ED18BD"/>
    <w:rsid w:val="00EE1B04"/>
    <w:rsid w:val="00EE52CB"/>
    <w:rsid w:val="00EE63A2"/>
    <w:rsid w:val="00EF581D"/>
    <w:rsid w:val="00EF7FD8"/>
    <w:rsid w:val="00F06F59"/>
    <w:rsid w:val="00F17988"/>
    <w:rsid w:val="00F20BD5"/>
    <w:rsid w:val="00F43747"/>
    <w:rsid w:val="00F469F0"/>
    <w:rsid w:val="00F51ABC"/>
    <w:rsid w:val="00F53273"/>
    <w:rsid w:val="00F755E4"/>
    <w:rsid w:val="00F77D02"/>
    <w:rsid w:val="00F851D7"/>
    <w:rsid w:val="00F86380"/>
    <w:rsid w:val="00F96188"/>
    <w:rsid w:val="00FB3A86"/>
    <w:rsid w:val="00FC1FB8"/>
    <w:rsid w:val="00FC3ED6"/>
    <w:rsid w:val="00FD36C8"/>
    <w:rsid w:val="00FD391A"/>
    <w:rsid w:val="00FE2B49"/>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01A3B9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E44B82"/>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6BD30-1333-49ED-93A3-7292BA49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TotalTime>
  <Pages>5</Pages>
  <Words>6485</Words>
  <Characters>36969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43368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206</cp:revision>
  <cp:lastPrinted>1999-07-06T11:00:00Z</cp:lastPrinted>
  <dcterms:created xsi:type="dcterms:W3CDTF">2014-10-25T14:34:00Z</dcterms:created>
  <dcterms:modified xsi:type="dcterms:W3CDTF">2026-01-27T10:17:00Z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id="hatwIMPY"/&gt;&lt;style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