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73F42" w14:textId="77777777" w:rsidR="000E1A6B" w:rsidRDefault="00175F13">
      <w:pPr>
        <w:spacing w:line="276" w:lineRule="auto"/>
        <w:jc w:val="right"/>
        <w:rPr>
          <w:rFonts w:ascii="Arial" w:eastAsia="Arial" w:hAnsi="Arial" w:cs="Arial"/>
          <w:b/>
          <w:bCs/>
          <w:sz w:val="36"/>
          <w:szCs w:val="36"/>
        </w:rPr>
      </w:pPr>
      <w:r>
        <w:rPr>
          <w:rFonts w:ascii="Arial" w:eastAsia="Arial" w:hAnsi="Arial" w:cs="Arial"/>
          <w:b/>
          <w:bCs/>
          <w:sz w:val="36"/>
          <w:szCs w:val="36"/>
        </w:rPr>
        <w:t>DIGITAL MENTAL HEALTH TOOLS AND THEIR ROLE IN ENHANCING ACADEMIC PERFORMANCE AND WELL-BEING</w:t>
      </w:r>
    </w:p>
    <w:p w14:paraId="19E6FED3" w14:textId="63367EF1" w:rsidR="00175F13" w:rsidRPr="00DC6C86" w:rsidRDefault="00175F13" w:rsidP="00DC6C86">
      <w:pPr>
        <w:spacing w:line="276" w:lineRule="auto"/>
        <w:jc w:val="right"/>
        <w:rPr>
          <w:rFonts w:ascii="Arial" w:eastAsia="Arial" w:hAnsi="Arial" w:cs="Arial"/>
          <w:b/>
          <w:bCs/>
          <w:sz w:val="24"/>
          <w:szCs w:val="24"/>
        </w:rPr>
      </w:pPr>
      <w:bookmarkStart w:id="0" w:name="_GoBack"/>
      <w:bookmarkEnd w:id="0"/>
    </w:p>
    <w:p w14:paraId="1AA266C7" w14:textId="3F4A66AD" w:rsidR="000E1A6B" w:rsidRDefault="000E1A6B" w:rsidP="002C0ACE">
      <w:pPr>
        <w:spacing w:after="226" w:line="276" w:lineRule="auto"/>
        <w:rPr>
          <w:rFonts w:ascii="Arial" w:eastAsia="Arial" w:hAnsi="Arial" w:cs="Arial"/>
          <w:sz w:val="20"/>
          <w:szCs w:val="20"/>
        </w:rPr>
      </w:pPr>
    </w:p>
    <w:p w14:paraId="634D9BB6" w14:textId="77777777" w:rsidR="000E1A6B" w:rsidRDefault="000E1A6B">
      <w:pPr>
        <w:spacing w:after="226" w:line="276" w:lineRule="auto"/>
        <w:ind w:left="-5"/>
        <w:rPr>
          <w:rFonts w:ascii="Arial" w:eastAsia="Arial" w:hAnsi="Arial" w:cs="Arial"/>
          <w:sz w:val="20"/>
          <w:szCs w:val="20"/>
        </w:rPr>
      </w:pPr>
    </w:p>
    <w:p w14:paraId="335B7088" w14:textId="77777777" w:rsidR="000E1A6B" w:rsidRDefault="00175F13">
      <w:pPr>
        <w:spacing w:after="226" w:line="276" w:lineRule="auto"/>
        <w:ind w:left="-5"/>
        <w:rPr>
          <w:rFonts w:ascii="Arial" w:eastAsia="Arial" w:hAnsi="Arial" w:cs="Arial"/>
          <w:b/>
          <w:bCs/>
        </w:rPr>
      </w:pPr>
      <w:r>
        <w:rPr>
          <w:rFonts w:ascii="Arial" w:eastAsia="Arial" w:hAnsi="Arial" w:cs="Arial"/>
          <w:b/>
          <w:bCs/>
        </w:rPr>
        <w:t>ABSTRACT</w:t>
      </w:r>
    </w:p>
    <w:p w14:paraId="55F8DBF5" w14:textId="77777777" w:rsidR="000E1A6B" w:rsidRDefault="00175F13">
      <w:pPr>
        <w:spacing w:after="226" w:line="276" w:lineRule="auto"/>
        <w:ind w:left="-5"/>
        <w:jc w:val="both"/>
        <w:rPr>
          <w:rFonts w:ascii="Arial" w:eastAsia="Arial" w:hAnsi="Arial" w:cs="Arial"/>
          <w:sz w:val="20"/>
          <w:szCs w:val="20"/>
        </w:rPr>
      </w:pPr>
      <w:r>
        <w:rPr>
          <w:rFonts w:ascii="Arial" w:eastAsia="Arial" w:hAnsi="Arial" w:cs="Arial"/>
          <w:b/>
          <w:bCs/>
          <w:sz w:val="20"/>
          <w:szCs w:val="20"/>
        </w:rPr>
        <w:t>Objective:</w:t>
      </w:r>
      <w:r>
        <w:rPr>
          <w:rFonts w:ascii="Arial" w:eastAsia="Arial" w:hAnsi="Arial" w:cs="Arial"/>
          <w:color w:val="3B3A3B"/>
          <w:sz w:val="20"/>
          <w:szCs w:val="20"/>
        </w:rPr>
        <w:t xml:space="preserve"> There are serious mental health challenges which university students are confronted with, which in turns affect their success and overall well-being</w:t>
      </w:r>
      <w:r>
        <w:rPr>
          <w:rFonts w:ascii="Arial" w:eastAsia="Arial" w:hAnsi="Arial" w:cs="Arial"/>
          <w:sz w:val="20"/>
          <w:szCs w:val="20"/>
        </w:rPr>
        <w:t>. This paper explores various digital mental health tools and their respective roles to improve students’ academic performance and well-being.</w:t>
      </w:r>
    </w:p>
    <w:p w14:paraId="471B3BF1" w14:textId="77777777" w:rsidR="000E1A6B" w:rsidRDefault="00175F13">
      <w:pPr>
        <w:spacing w:after="226" w:line="276" w:lineRule="auto"/>
        <w:ind w:left="-5"/>
        <w:jc w:val="both"/>
        <w:rPr>
          <w:rFonts w:ascii="Arial" w:eastAsia="Arial" w:hAnsi="Arial" w:cs="Arial"/>
          <w:sz w:val="20"/>
          <w:szCs w:val="20"/>
        </w:rPr>
      </w:pPr>
      <w:r>
        <w:rPr>
          <w:rFonts w:ascii="Arial" w:eastAsia="Arial" w:hAnsi="Arial" w:cs="Arial"/>
          <w:b/>
          <w:bCs/>
          <w:sz w:val="20"/>
          <w:szCs w:val="20"/>
        </w:rPr>
        <w:t>Methodology</w:t>
      </w:r>
      <w:r>
        <w:rPr>
          <w:rFonts w:ascii="Arial" w:eastAsia="Arial" w:hAnsi="Arial" w:cs="Arial"/>
          <w:sz w:val="20"/>
          <w:szCs w:val="20"/>
        </w:rPr>
        <w:t>: The research follows a systematic review methodology in evaluating the impact of digital mental health tools for the enhancement of academic performance and well-being among students. Using PRISMA guidelines and Boolean operation, attention was given to information based on relevance, methodology and attention to digital intervention, including mobile apps, online platforms, and AI-driven tools which were retrieved from popular database including Semantic Scholar, PubMed, Scopus, Web of Science, and JMIR.</w:t>
      </w:r>
    </w:p>
    <w:p w14:paraId="7AD762A4" w14:textId="77777777" w:rsidR="000E1A6B" w:rsidRDefault="00175F13">
      <w:pPr>
        <w:spacing w:after="226" w:line="276" w:lineRule="auto"/>
        <w:ind w:left="-5"/>
        <w:jc w:val="both"/>
        <w:rPr>
          <w:rFonts w:ascii="Arial" w:eastAsia="Arial" w:hAnsi="Arial" w:cs="Arial"/>
          <w:sz w:val="20"/>
          <w:szCs w:val="20"/>
        </w:rPr>
      </w:pPr>
      <w:r>
        <w:rPr>
          <w:rFonts w:ascii="Arial" w:eastAsia="Arial" w:hAnsi="Arial" w:cs="Arial"/>
          <w:b/>
          <w:bCs/>
          <w:sz w:val="20"/>
          <w:szCs w:val="20"/>
        </w:rPr>
        <w:t xml:space="preserve">Findings: </w:t>
      </w:r>
      <w:r>
        <w:rPr>
          <w:rFonts w:ascii="Arial" w:eastAsia="Arial" w:hAnsi="Arial" w:cs="Arial"/>
          <w:sz w:val="20"/>
          <w:szCs w:val="20"/>
        </w:rPr>
        <w:t>The findings revealed that digital mental health practices, including mobile applications, Cognitive Behavioural Therapy (CBT), and mindfulness interventions, have significant positive impact on students’ mental health through reduction anxiety, stress and depression. These tools also significantly improve academic performance through the improvement of cognitive function, focus, and time management. The personal characteristic traits component for engagement and effectiveness identified were mood monitoring and goal-setting. The integration of these tools in educational settings and mental health services provides students with continuous access to support their academic. However, barriers including technological limitations, privacy concerns and stigma exist against the adoption and continued use of the digital tools. Also, the ability to customize tools hinders its effectiveness, as students are likely to be interested in tools that best suited each individual’s needs. As part of the findings, it was noted that the need for longitudinal studies to assess long-run effects of these interventions, integration analysis of the digital tools into multi-system support systems for universities should be done.</w:t>
      </w:r>
    </w:p>
    <w:p w14:paraId="33F02278" w14:textId="77777777" w:rsidR="000E1A6B" w:rsidRDefault="00175F13">
      <w:pPr>
        <w:spacing w:after="226" w:line="276" w:lineRule="auto"/>
        <w:ind w:left="-5"/>
        <w:jc w:val="both"/>
        <w:rPr>
          <w:rFonts w:ascii="Arial" w:eastAsia="Arial" w:hAnsi="Arial" w:cs="Arial"/>
          <w:sz w:val="20"/>
          <w:szCs w:val="20"/>
        </w:rPr>
      </w:pPr>
      <w:r>
        <w:rPr>
          <w:rFonts w:ascii="Arial" w:eastAsia="Arial" w:hAnsi="Arial" w:cs="Arial"/>
          <w:b/>
          <w:bCs/>
          <w:sz w:val="20"/>
          <w:szCs w:val="20"/>
        </w:rPr>
        <w:t xml:space="preserve">Conclusion and Recommendation: </w:t>
      </w:r>
      <w:r>
        <w:rPr>
          <w:rFonts w:ascii="Arial" w:eastAsia="Arial" w:hAnsi="Arial" w:cs="Arial"/>
          <w:sz w:val="20"/>
          <w:szCs w:val="20"/>
        </w:rPr>
        <w:t>Digital mental health tools unarguably improve the academic life and well-being of university students. But, tackling obstacles to involvement, personalisation, and integrated inclusion of these tools in existing learning practices are important. Future studies should be focused on long-term effectiveness and a more efficient digital approach to larger student populations.</w:t>
      </w:r>
    </w:p>
    <w:p w14:paraId="1E6716DC" w14:textId="77777777" w:rsidR="000E1A6B" w:rsidRDefault="000E1A6B">
      <w:pPr>
        <w:spacing w:after="226" w:line="276" w:lineRule="auto"/>
        <w:rPr>
          <w:rFonts w:ascii="Arial" w:eastAsia="Arial" w:hAnsi="Arial" w:cs="Arial"/>
          <w:sz w:val="20"/>
          <w:szCs w:val="20"/>
        </w:rPr>
      </w:pPr>
    </w:p>
    <w:p w14:paraId="73E4B169" w14:textId="77777777" w:rsidR="000E1A6B" w:rsidRDefault="00175F13">
      <w:pPr>
        <w:spacing w:after="226" w:line="276" w:lineRule="auto"/>
        <w:rPr>
          <w:rFonts w:ascii="Arial" w:eastAsia="Arial" w:hAnsi="Arial" w:cs="Arial"/>
          <w:sz w:val="20"/>
          <w:szCs w:val="20"/>
        </w:rPr>
      </w:pPr>
      <w:r>
        <w:rPr>
          <w:rFonts w:ascii="Arial" w:eastAsia="Arial" w:hAnsi="Arial" w:cs="Arial"/>
          <w:b/>
          <w:bCs/>
          <w:sz w:val="20"/>
          <w:szCs w:val="20"/>
        </w:rPr>
        <w:t>KEYWORDS:</w:t>
      </w:r>
      <w:r>
        <w:rPr>
          <w:rFonts w:ascii="Arial" w:eastAsia="Arial" w:hAnsi="Arial" w:cs="Arial"/>
          <w:sz w:val="20"/>
          <w:szCs w:val="20"/>
        </w:rPr>
        <w:t xml:space="preserve"> Digital Mental Health Tools, Academic Performance, Student Well-Being, Cognitive Behavioural Therapy (CBT), Mobile Apps, Stress Management</w:t>
      </w:r>
    </w:p>
    <w:p w14:paraId="277711E4" w14:textId="77777777" w:rsidR="000E1A6B" w:rsidRDefault="000E1A6B">
      <w:pPr>
        <w:spacing w:after="226" w:line="276" w:lineRule="auto"/>
        <w:ind w:left="-5"/>
        <w:rPr>
          <w:rFonts w:ascii="Arial" w:eastAsia="Arial" w:hAnsi="Arial" w:cs="Arial"/>
          <w:b/>
          <w:bCs/>
          <w:sz w:val="20"/>
          <w:szCs w:val="20"/>
        </w:rPr>
      </w:pPr>
    </w:p>
    <w:p w14:paraId="1DF61E57" w14:textId="77777777" w:rsidR="000E1A6B" w:rsidRDefault="000E1A6B">
      <w:pPr>
        <w:spacing w:after="226" w:line="276" w:lineRule="auto"/>
        <w:ind w:left="-5"/>
        <w:rPr>
          <w:rFonts w:ascii="Arial" w:eastAsia="Arial" w:hAnsi="Arial" w:cs="Arial"/>
          <w:b/>
          <w:bCs/>
          <w:sz w:val="20"/>
          <w:szCs w:val="20"/>
        </w:rPr>
      </w:pPr>
    </w:p>
    <w:p w14:paraId="05F6A02A" w14:textId="77777777" w:rsidR="000E1A6B" w:rsidRDefault="00175F13">
      <w:pPr>
        <w:spacing w:after="226" w:line="276" w:lineRule="auto"/>
        <w:ind w:left="-5"/>
        <w:rPr>
          <w:rFonts w:ascii="Arial" w:eastAsia="Arial" w:hAnsi="Arial" w:cs="Arial"/>
        </w:rPr>
      </w:pPr>
      <w:r>
        <w:rPr>
          <w:rFonts w:ascii="Arial" w:eastAsia="Arial" w:hAnsi="Arial" w:cs="Arial"/>
          <w:b/>
          <w:bCs/>
        </w:rPr>
        <w:t>1. INTRODUCTION</w:t>
      </w:r>
    </w:p>
    <w:p w14:paraId="616B1358" w14:textId="77777777" w:rsidR="000E1A6B" w:rsidRDefault="00175F13">
      <w:pPr>
        <w:spacing w:line="276" w:lineRule="auto"/>
        <w:rPr>
          <w:rFonts w:ascii="Arial" w:eastAsia="Arial" w:hAnsi="Arial" w:cs="Arial"/>
          <w:b/>
          <w:bCs/>
        </w:rPr>
      </w:pPr>
      <w:r>
        <w:rPr>
          <w:rFonts w:ascii="Arial" w:eastAsia="Arial" w:hAnsi="Arial" w:cs="Arial"/>
          <w:b/>
          <w:bCs/>
        </w:rPr>
        <w:t>1.1 Problem Statement</w:t>
      </w:r>
    </w:p>
    <w:p w14:paraId="63D1F7A0"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 xml:space="preserve">Students are more likely to begin </w:t>
      </w:r>
      <w:r>
        <w:rPr>
          <w:rFonts w:ascii="Arial" w:eastAsia="Arial" w:hAnsi="Arial" w:cs="Arial"/>
          <w:sz w:val="20"/>
          <w:szCs w:val="20"/>
          <w:u w:val="single"/>
        </w:rPr>
        <w:t>to experience</w:t>
      </w:r>
      <w:r>
        <w:rPr>
          <w:rFonts w:ascii="Arial" w:eastAsia="Arial" w:hAnsi="Arial" w:cs="Arial"/>
          <w:sz w:val="20"/>
          <w:szCs w:val="20"/>
        </w:rPr>
        <w:t xml:space="preserve"> mental health issues as the need for their safe treatment continues to rise. This may be due to social pressures, changes in lifestyle, and socially and culturally related changes, as anxiety, stress, and depression start to increase as they enter the University life (</w:t>
      </w:r>
      <w:proofErr w:type="spellStart"/>
      <w:r>
        <w:rPr>
          <w:rFonts w:ascii="Arial" w:eastAsia="Arial" w:hAnsi="Arial" w:cs="Arial"/>
          <w:sz w:val="20"/>
          <w:szCs w:val="20"/>
        </w:rPr>
        <w:t>Nosè</w:t>
      </w:r>
      <w:proofErr w:type="spellEnd"/>
      <w:r>
        <w:rPr>
          <w:rFonts w:ascii="Arial" w:eastAsia="Arial" w:hAnsi="Arial" w:cs="Arial"/>
          <w:sz w:val="20"/>
          <w:szCs w:val="20"/>
        </w:rPr>
        <w:t xml:space="preserve"> et al., 2025; Rashid et al., 2025). As reported by Ferrari et al. (2022), over 31% of students attending the University suffer depression and anxiety as one of the most frequently characterized mental health issues. The assessment of academic achievement is more than an intellectual objective, but also important to the mental health, and social well-being of the students. The problem is that this process creates a cycle in which poor mental health intensifies academic challenges, worsens mental health, and is a huge barrier to student success and retention (Sarafraz et al., 2019).</w:t>
      </w:r>
    </w:p>
    <w:p w14:paraId="09159B1B"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In response to these challenges, new digital mental health tools have emerged to provide students with access to the most reliable and effective interventions to combat stress, anxiety, and depression. These devices, such as mobile apps, online platforms, and AI-driven interventions—or “few”—will be viable, cost-effective, and potentially more affordable than traditional face-to-face counselling (Fernández-</w:t>
      </w:r>
      <w:proofErr w:type="spellStart"/>
      <w:r>
        <w:rPr>
          <w:rFonts w:ascii="Arial" w:eastAsia="Arial" w:hAnsi="Arial" w:cs="Arial"/>
          <w:sz w:val="20"/>
          <w:szCs w:val="20"/>
        </w:rPr>
        <w:t>Batanero</w:t>
      </w:r>
      <w:proofErr w:type="spellEnd"/>
      <w:r>
        <w:rPr>
          <w:rFonts w:ascii="Arial" w:eastAsia="Arial" w:hAnsi="Arial" w:cs="Arial"/>
          <w:sz w:val="20"/>
          <w:szCs w:val="20"/>
        </w:rPr>
        <w:t xml:space="preserve"> et al., 2025; </w:t>
      </w:r>
      <w:proofErr w:type="spellStart"/>
      <w:r>
        <w:rPr>
          <w:rFonts w:ascii="Arial" w:eastAsia="Arial" w:hAnsi="Arial" w:cs="Arial"/>
          <w:sz w:val="20"/>
          <w:szCs w:val="20"/>
        </w:rPr>
        <w:t>Löchner</w:t>
      </w:r>
      <w:proofErr w:type="spellEnd"/>
      <w:r>
        <w:rPr>
          <w:rFonts w:ascii="Arial" w:eastAsia="Arial" w:hAnsi="Arial" w:cs="Arial"/>
          <w:sz w:val="20"/>
          <w:szCs w:val="20"/>
        </w:rPr>
        <w:t xml:space="preserve"> et al., 2025; Rashid et al., 2025). Digital interventions have been shown to significantly reduce symptoms of anxiety and depression as well as psychological wellbeing (Ponzo et al., 2020; Ferrari et al., 2022). Other ways of using therapeutic content combined with behavioural monitoring instruments can include using software such as biofeedback apps to improve student behaviour in order to improve emotional regulation and stress management at higher levels of achievement (</w:t>
      </w:r>
      <w:proofErr w:type="spellStart"/>
      <w:r>
        <w:rPr>
          <w:rFonts w:ascii="Arial" w:eastAsia="Arial" w:hAnsi="Arial" w:cs="Arial"/>
          <w:sz w:val="20"/>
          <w:szCs w:val="20"/>
        </w:rPr>
        <w:t>Jadhakhan</w:t>
      </w:r>
      <w:proofErr w:type="spellEnd"/>
      <w:r>
        <w:rPr>
          <w:rFonts w:ascii="Arial" w:eastAsia="Arial" w:hAnsi="Arial" w:cs="Arial"/>
          <w:sz w:val="20"/>
          <w:szCs w:val="20"/>
        </w:rPr>
        <w:t xml:space="preserve"> et al., 2022; Ponzo et al., 2020).</w:t>
      </w:r>
    </w:p>
    <w:p w14:paraId="1CEC1674"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Although these interventions have recorded success, many students simply do not engage with these digital tools, either because they are poorly aware, perceive stigma, or do not have the ability to make do of them (Dekker et al., 2020). This means that both academic institutions and mental health professionals need to consider making their digital inclusion work in the manner that maximizes effectiveness, accessibility, and participation as part of existing support systems.</w:t>
      </w:r>
    </w:p>
    <w:p w14:paraId="28262A19" w14:textId="77777777" w:rsidR="000E1A6B" w:rsidRDefault="00175F13">
      <w:pPr>
        <w:spacing w:line="276" w:lineRule="auto"/>
        <w:rPr>
          <w:rFonts w:ascii="Arial" w:eastAsia="Arial" w:hAnsi="Arial" w:cs="Arial"/>
          <w:b/>
          <w:bCs/>
        </w:rPr>
      </w:pPr>
      <w:r>
        <w:rPr>
          <w:rFonts w:ascii="Arial" w:eastAsia="Arial" w:hAnsi="Arial" w:cs="Arial"/>
          <w:b/>
          <w:bCs/>
        </w:rPr>
        <w:t>1.2 Research Gap</w:t>
      </w:r>
    </w:p>
    <w:p w14:paraId="5B29BF45"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While a recent survey of the effects of digital mental health tools to the mental health of undergraduate students has shown a wide-ranging merit (</w:t>
      </w:r>
      <w:proofErr w:type="spellStart"/>
      <w:r>
        <w:rPr>
          <w:rFonts w:ascii="Arial" w:eastAsia="Arial" w:hAnsi="Arial" w:cs="Arial"/>
          <w:sz w:val="20"/>
          <w:szCs w:val="20"/>
        </w:rPr>
        <w:t>Nosè</w:t>
      </w:r>
      <w:proofErr w:type="spellEnd"/>
      <w:r>
        <w:rPr>
          <w:rFonts w:ascii="Arial" w:eastAsia="Arial" w:hAnsi="Arial" w:cs="Arial"/>
          <w:sz w:val="20"/>
          <w:szCs w:val="20"/>
        </w:rPr>
        <w:t xml:space="preserve"> et al., 2025) one major hurdle currently cited in research is that studies in the past have not been adequately considered how the technologies can also be directly beneficial to academic performance. Online cognitive behavioural therapy (CBT) and biofeedback have shown significant improvement in mental health outcomes (Ponzo et al., 2020; Ferrari et al., 2022; Ferrari et al., 2022); only a few studies examine how these improvements can translate into real-life learning benefits, such as GPA improvement, retention, or overall student success. Also, studies have already focused on short-term impacts, with little understanding of the long-term impact that these digital tools will have on student well-being and academic achievement (Dekker et al., 2020).</w:t>
      </w:r>
    </w:p>
    <w:p w14:paraId="6B9BB120"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It is important to note that there is also a research question whether these tools are integrated in larger support systems in the academic community. While some studies have evaluated the efficacy of digital mental health tools, such as Rasid et al. (2025) on current educational environments, others have examined how these instruments can be automatically incorporated into existing educational settings to maximise learning and outcomes and avoid barriers to the use. But that problem must be addressed to make digital interventions significant to mental health and college graduation.</w:t>
      </w:r>
    </w:p>
    <w:p w14:paraId="4EE70A84" w14:textId="77777777" w:rsidR="000E1A6B" w:rsidRDefault="000E1A6B">
      <w:pPr>
        <w:spacing w:line="276" w:lineRule="auto"/>
        <w:jc w:val="both"/>
        <w:rPr>
          <w:rFonts w:ascii="Arial" w:eastAsia="Arial" w:hAnsi="Arial" w:cs="Arial"/>
          <w:sz w:val="20"/>
          <w:szCs w:val="20"/>
        </w:rPr>
      </w:pPr>
    </w:p>
    <w:p w14:paraId="108B4764" w14:textId="77777777" w:rsidR="000E1A6B" w:rsidRDefault="00175F13">
      <w:pPr>
        <w:numPr>
          <w:ilvl w:val="1"/>
          <w:numId w:val="2"/>
        </w:numPr>
        <w:pBdr>
          <w:top w:val="nil"/>
          <w:left w:val="nil"/>
          <w:bottom w:val="nil"/>
          <w:right w:val="nil"/>
          <w:between w:val="nil"/>
        </w:pBdr>
        <w:spacing w:line="276" w:lineRule="auto"/>
        <w:rPr>
          <w:rFonts w:ascii="Arial" w:eastAsia="Arial" w:hAnsi="Arial" w:cs="Arial"/>
          <w:b/>
          <w:bCs/>
          <w:color w:val="000000"/>
          <w:sz w:val="20"/>
          <w:szCs w:val="20"/>
        </w:rPr>
      </w:pPr>
      <w:r>
        <w:rPr>
          <w:rFonts w:ascii="Arial" w:eastAsia="Arial" w:hAnsi="Arial" w:cs="Arial"/>
          <w:b/>
          <w:bCs/>
          <w:color w:val="000000"/>
        </w:rPr>
        <w:t>Research Questions</w:t>
      </w:r>
    </w:p>
    <w:p w14:paraId="4A3E8E36"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w:t>
      </w:r>
      <w:proofErr w:type="spellStart"/>
      <w:r>
        <w:rPr>
          <w:rFonts w:ascii="Arial" w:eastAsia="Arial" w:hAnsi="Arial" w:cs="Arial"/>
          <w:sz w:val="20"/>
          <w:szCs w:val="20"/>
        </w:rPr>
        <w:t>i</w:t>
      </w:r>
      <w:proofErr w:type="spellEnd"/>
      <w:r>
        <w:rPr>
          <w:rFonts w:ascii="Arial" w:eastAsia="Arial" w:hAnsi="Arial" w:cs="Arial"/>
          <w:sz w:val="20"/>
          <w:szCs w:val="20"/>
        </w:rPr>
        <w:t>) What are the ways in which digital mental health tools impact student mental well-being and academic performance?</w:t>
      </w:r>
    </w:p>
    <w:p w14:paraId="5CE28103"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(ii) What are the main factors that influence the effectiveness of digital mental health interventions in the academic settings?</w:t>
      </w:r>
    </w:p>
    <w:p w14:paraId="787C304B"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(iii) What challenges do students face in engaging with digital mental health tools, and how can these barriers be dealt with?</w:t>
      </w:r>
    </w:p>
    <w:p w14:paraId="4F55B624"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(iv) How can digital mental health tools be integrated into existing academic support systems in order to maximise their effectiveness and reach?</w:t>
      </w:r>
    </w:p>
    <w:p w14:paraId="26395786" w14:textId="77777777" w:rsidR="000E1A6B" w:rsidRDefault="000E1A6B">
      <w:pPr>
        <w:spacing w:line="276" w:lineRule="auto"/>
        <w:rPr>
          <w:rFonts w:ascii="Arial" w:eastAsia="Arial" w:hAnsi="Arial" w:cs="Arial"/>
          <w:sz w:val="20"/>
          <w:szCs w:val="20"/>
        </w:rPr>
      </w:pPr>
    </w:p>
    <w:p w14:paraId="00DF7E5C" w14:textId="77777777" w:rsidR="000E1A6B" w:rsidRDefault="00175F13">
      <w:pPr>
        <w:spacing w:line="276" w:lineRule="auto"/>
        <w:rPr>
          <w:rFonts w:ascii="Arial" w:eastAsia="Arial" w:hAnsi="Arial" w:cs="Arial"/>
          <w:b/>
          <w:bCs/>
        </w:rPr>
      </w:pPr>
      <w:r>
        <w:rPr>
          <w:rFonts w:ascii="Arial" w:eastAsia="Arial" w:hAnsi="Arial" w:cs="Arial"/>
          <w:b/>
          <w:bCs/>
        </w:rPr>
        <w:t>2. BACKGROUND AND CONCEPTUAL FRAMEWORK</w:t>
      </w:r>
    </w:p>
    <w:p w14:paraId="18FF3843" w14:textId="77777777" w:rsidR="000E1A6B" w:rsidRDefault="00175F13">
      <w:pPr>
        <w:spacing w:line="276" w:lineRule="auto"/>
        <w:rPr>
          <w:rFonts w:ascii="Arial" w:eastAsia="Arial" w:hAnsi="Arial" w:cs="Arial"/>
          <w:b/>
          <w:bCs/>
        </w:rPr>
      </w:pPr>
      <w:r>
        <w:rPr>
          <w:rFonts w:ascii="Arial" w:eastAsia="Arial" w:hAnsi="Arial" w:cs="Arial"/>
          <w:b/>
          <w:bCs/>
        </w:rPr>
        <w:t>2.1 Mental Health and Well-Being in Academic Settings</w:t>
      </w:r>
    </w:p>
    <w:p w14:paraId="121E1598"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Mental health as a concept is defined as how emotional, psychological, and social functioning affects the way people think, feel, and act. The quality of life of a man extends beyond freedom from illness, but also entails life satisfaction, emotional flexibility, and the ability to cope with everyday stressors (Gautam et al., 2024). In the educational word, students are generally measured by grades, retention ability, study habits and ability to participate actively in learning activities (Dekker et al., 2020). These four constructs interact closely in the educational process of higher institutions and usually affect both short-term academic outcomes as well as longer-term development paths (DuPlooy et al., 2024; Roman et al., 2025).</w:t>
      </w:r>
    </w:p>
    <w:p w14:paraId="272F307D"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Many international studies reveal that university students exhibit heightened symptoms of anxiety, depression, academic stress and poor sleep in relation to cognitive impairment and lower school achievement (</w:t>
      </w:r>
      <w:proofErr w:type="spellStart"/>
      <w:r>
        <w:rPr>
          <w:rFonts w:ascii="Arial" w:eastAsia="Arial" w:hAnsi="Arial" w:cs="Arial"/>
          <w:sz w:val="20"/>
          <w:szCs w:val="20"/>
        </w:rPr>
        <w:t>Mofatteh</w:t>
      </w:r>
      <w:proofErr w:type="spellEnd"/>
      <w:r>
        <w:rPr>
          <w:rFonts w:ascii="Arial" w:eastAsia="Arial" w:hAnsi="Arial" w:cs="Arial"/>
          <w:sz w:val="20"/>
          <w:szCs w:val="20"/>
        </w:rPr>
        <w:t xml:space="preserve"> et al., 2020; </w:t>
      </w:r>
      <w:proofErr w:type="spellStart"/>
      <w:r>
        <w:rPr>
          <w:rFonts w:ascii="Arial" w:eastAsia="Arial" w:hAnsi="Arial" w:cs="Arial"/>
          <w:sz w:val="20"/>
          <w:szCs w:val="20"/>
        </w:rPr>
        <w:t>Sinval</w:t>
      </w:r>
      <w:proofErr w:type="spellEnd"/>
      <w:r>
        <w:rPr>
          <w:rFonts w:ascii="Arial" w:eastAsia="Arial" w:hAnsi="Arial" w:cs="Arial"/>
          <w:sz w:val="20"/>
          <w:szCs w:val="20"/>
        </w:rPr>
        <w:t xml:space="preserve"> et al., 2024). Most of the 18 countries’ first-year students screened positive for at least one mental disorder according to the World Mental Health International College Student initiative described in </w:t>
      </w:r>
      <w:proofErr w:type="spellStart"/>
      <w:r>
        <w:rPr>
          <w:rFonts w:ascii="Arial" w:eastAsia="Arial" w:hAnsi="Arial" w:cs="Arial"/>
          <w:sz w:val="20"/>
          <w:szCs w:val="20"/>
        </w:rPr>
        <w:t>Nosè</w:t>
      </w:r>
      <w:proofErr w:type="spellEnd"/>
      <w:r>
        <w:rPr>
          <w:rFonts w:ascii="Arial" w:eastAsia="Arial" w:hAnsi="Arial" w:cs="Arial"/>
          <w:sz w:val="20"/>
          <w:szCs w:val="20"/>
        </w:rPr>
        <w:t xml:space="preserve"> et al. (2025). Poor mental health predicts poor concentration, slower processing of information, and poor decision-making, which hinder academic engagement (Chu et al., 2023). Also more likely is that students with untreated psychological distress will drop out compared with students without clinically relevant symptoms, with the risk estimated as 2.5 times higher than students who do not have clinically significant symptoms (Ferrari et al., 2022). This study showed that depressive symptoms are 3.5 times more likely than students not to leave school due to their academic performance.</w:t>
      </w:r>
    </w:p>
    <w:p w14:paraId="5863F972"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Stressors such as deadlines, performance pressure, and unknown academic schedules, can trigger cycles of procrastination, decreased self-efficacy, and malnutrition (Dekker et al., 2020; Kristensen et al., 2023). These emotions such as chronic anxiety and depression correlate with low motivation, low persistence in academic tasks (McCurdy et al. 2022; Sarafraz et al., 2019). In contrast, higher psychological well-being supports goal-directed behaviour, intrinsic motivation and active learning strategies (Ferrari et al., 2022; Rezai et al., 2025). More consistently, good health has been associated with improved academic practices, better grades, and a sense of purpose in learning (Fu et al. 2025; Yu et al. 2018). This overlap also underscores the need for mental health services available in higher education systems to sustain academic success.</w:t>
      </w:r>
    </w:p>
    <w:p w14:paraId="0E657E4B" w14:textId="77777777" w:rsidR="000E1A6B" w:rsidRDefault="00175F13">
      <w:pPr>
        <w:spacing w:line="276" w:lineRule="auto"/>
        <w:rPr>
          <w:rFonts w:ascii="Arial" w:eastAsia="Arial" w:hAnsi="Arial" w:cs="Arial"/>
          <w:b/>
          <w:bCs/>
        </w:rPr>
      </w:pPr>
      <w:r>
        <w:rPr>
          <w:rFonts w:ascii="Arial" w:eastAsia="Arial" w:hAnsi="Arial" w:cs="Arial"/>
          <w:b/>
          <w:bCs/>
        </w:rPr>
        <w:t>2.2 Digital Mental Health Tools</w:t>
      </w:r>
    </w:p>
    <w:p w14:paraId="66AAC661"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lastRenderedPageBreak/>
        <w:t xml:space="preserve">Digital mental health tools are considered technology-based intervention that provides psychological support, therapy/education, self-help materials, or </w:t>
      </w:r>
      <w:proofErr w:type="spellStart"/>
      <w:r>
        <w:rPr>
          <w:rFonts w:ascii="Arial" w:eastAsia="Arial" w:hAnsi="Arial" w:cs="Arial"/>
          <w:sz w:val="20"/>
          <w:szCs w:val="20"/>
        </w:rPr>
        <w:t>behavioral</w:t>
      </w:r>
      <w:proofErr w:type="spellEnd"/>
      <w:r>
        <w:rPr>
          <w:rFonts w:ascii="Arial" w:eastAsia="Arial" w:hAnsi="Arial" w:cs="Arial"/>
          <w:sz w:val="20"/>
          <w:szCs w:val="20"/>
        </w:rPr>
        <w:t xml:space="preserve"> tracking services to users via digital environments. These include mobile apps, online programs, web-based therapy modules, tele-mental health services, AI-powered chatbots, and biofeedback-based tools (</w:t>
      </w:r>
      <w:proofErr w:type="spellStart"/>
      <w:r>
        <w:rPr>
          <w:rFonts w:ascii="Arial" w:eastAsia="Arial" w:hAnsi="Arial" w:cs="Arial"/>
          <w:sz w:val="20"/>
          <w:szCs w:val="20"/>
        </w:rPr>
        <w:t>Torous</w:t>
      </w:r>
      <w:proofErr w:type="spellEnd"/>
      <w:r>
        <w:rPr>
          <w:rFonts w:ascii="Arial" w:eastAsia="Arial" w:hAnsi="Arial" w:cs="Arial"/>
          <w:sz w:val="20"/>
          <w:szCs w:val="20"/>
        </w:rPr>
        <w:t xml:space="preserve"> et al. 2025). Increasing smartphone penetration, increased internet availability, and more mobile literacy, led to accelerated digital health growth at the hand of accelerated smartphone penetration, increasing demand for scalable mental health practices in digitally fluent populations (Abernethy et al. 2022; </w:t>
      </w:r>
      <w:proofErr w:type="spellStart"/>
      <w:r>
        <w:rPr>
          <w:rFonts w:ascii="Arial" w:eastAsia="Arial" w:hAnsi="Arial" w:cs="Arial"/>
          <w:sz w:val="20"/>
          <w:szCs w:val="20"/>
        </w:rPr>
        <w:t>Torous</w:t>
      </w:r>
      <w:proofErr w:type="spellEnd"/>
      <w:r>
        <w:rPr>
          <w:rFonts w:ascii="Arial" w:eastAsia="Arial" w:hAnsi="Arial" w:cs="Arial"/>
          <w:sz w:val="20"/>
          <w:szCs w:val="20"/>
        </w:rPr>
        <w:t xml:space="preserve"> et al. 2025).</w:t>
      </w:r>
    </w:p>
    <w:p w14:paraId="40896DDA"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Digital tools can be described as multiple intervention types. Cognitive-Behavioural Therapy (CBT) approaches are among the most highly valid applications, offering structured modules to reframe negative thoughts, reduce avoidance behaviours and improve emotional control (</w:t>
      </w:r>
      <w:proofErr w:type="spellStart"/>
      <w:r>
        <w:rPr>
          <w:rFonts w:ascii="Arial" w:eastAsia="Arial" w:hAnsi="Arial" w:cs="Arial"/>
          <w:sz w:val="20"/>
          <w:szCs w:val="20"/>
        </w:rPr>
        <w:t>Gkintoni</w:t>
      </w:r>
      <w:proofErr w:type="spellEnd"/>
      <w:r>
        <w:rPr>
          <w:rFonts w:ascii="Arial" w:eastAsia="Arial" w:hAnsi="Arial" w:cs="Arial"/>
          <w:sz w:val="20"/>
          <w:szCs w:val="20"/>
        </w:rPr>
        <w:t xml:space="preserve"> et al., 2025; Thew et al., 2022). A large number of randomized trials have shown significant reductions in depression and anxiety symptoms by web-based CBT from university students (Bantjeset al., 2025; Matsumoto et al., 2024; Watkins et al., 2025).</w:t>
      </w:r>
    </w:p>
    <w:p w14:paraId="73480C46"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 xml:space="preserve">Mindfulness and stress-management tools such as guided meditation apps and WHO’s “Doing What Matters in Times of Stress” (DWM) provide strategies for grounding, values-based action, emotional acceptance, and attention regulation (Epping-Jordan et al., 2016; Garcia-Vazquez et al., 2025; </w:t>
      </w:r>
      <w:proofErr w:type="spellStart"/>
      <w:r>
        <w:rPr>
          <w:rFonts w:ascii="Arial" w:eastAsia="Arial" w:hAnsi="Arial" w:cs="Arial"/>
          <w:sz w:val="20"/>
          <w:szCs w:val="20"/>
        </w:rPr>
        <w:t>Harerimana</w:t>
      </w:r>
      <w:proofErr w:type="spellEnd"/>
      <w:r>
        <w:rPr>
          <w:rFonts w:ascii="Arial" w:eastAsia="Arial" w:hAnsi="Arial" w:cs="Arial"/>
          <w:sz w:val="20"/>
          <w:szCs w:val="20"/>
        </w:rPr>
        <w:t xml:space="preserve"> et al., 2025; Prakash, 2021; Regmi &amp; Cohen, 2025). </w:t>
      </w:r>
      <w:proofErr w:type="spellStart"/>
      <w:r>
        <w:rPr>
          <w:rFonts w:ascii="Arial" w:eastAsia="Arial" w:hAnsi="Arial" w:cs="Arial"/>
          <w:sz w:val="20"/>
          <w:szCs w:val="20"/>
        </w:rPr>
        <w:t>Nosè</w:t>
      </w:r>
      <w:proofErr w:type="spellEnd"/>
      <w:r>
        <w:rPr>
          <w:rFonts w:ascii="Arial" w:eastAsia="Arial" w:hAnsi="Arial" w:cs="Arial"/>
          <w:sz w:val="20"/>
          <w:szCs w:val="20"/>
        </w:rPr>
        <w:t xml:space="preserve"> et al. (2025) found that digital mindfulness-based modules improved anxiety symptoms, distress and well-being indicators in a large cohort of 1,498 university students.</w:t>
      </w:r>
    </w:p>
    <w:p w14:paraId="2E0BCF98"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Biofeedback-based tools, such as app for heart rate variability or physiological stress factors allow students to monitor their stress responses in real-time (</w:t>
      </w:r>
      <w:proofErr w:type="spellStart"/>
      <w:r>
        <w:rPr>
          <w:rFonts w:ascii="Arial" w:eastAsia="Arial" w:hAnsi="Arial" w:cs="Arial"/>
          <w:sz w:val="20"/>
          <w:szCs w:val="20"/>
        </w:rPr>
        <w:t>Weerdmeester</w:t>
      </w:r>
      <w:proofErr w:type="spellEnd"/>
      <w:r>
        <w:rPr>
          <w:rFonts w:ascii="Arial" w:eastAsia="Arial" w:hAnsi="Arial" w:cs="Arial"/>
          <w:sz w:val="20"/>
          <w:szCs w:val="20"/>
        </w:rPr>
        <w:t xml:space="preserve"> et al., 2020). Ponzo et al. (2020) demonstrated that biofeedback strategies enhanced emotional awareness and stress reduction among university students during a controlled trial.</w:t>
      </w:r>
    </w:p>
    <w:p w14:paraId="1627BEEE"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 xml:space="preserve">AI-driven systems and chatbots allow therapeutic micro-interventions, goal-setting prompts, and personalised check-ins (Jelassi et al., 2024; </w:t>
      </w:r>
      <w:proofErr w:type="spellStart"/>
      <w:r>
        <w:rPr>
          <w:rFonts w:ascii="Arial" w:eastAsia="Arial" w:hAnsi="Arial" w:cs="Arial"/>
          <w:sz w:val="20"/>
          <w:szCs w:val="20"/>
        </w:rPr>
        <w:t>Spytska</w:t>
      </w:r>
      <w:proofErr w:type="spellEnd"/>
      <w:r>
        <w:rPr>
          <w:rFonts w:ascii="Arial" w:eastAsia="Arial" w:hAnsi="Arial" w:cs="Arial"/>
          <w:sz w:val="20"/>
          <w:szCs w:val="20"/>
        </w:rPr>
        <w:t>, 2025). Dekker et al. (2020) observed that AI-based “life-crafting” interventions are helpful for students to make decisions that align with their own goals, develop self-regulation skills, and maintain continuity, a goal the static digital modules often lack.</w:t>
      </w:r>
    </w:p>
    <w:p w14:paraId="0DD47998"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Web-based peer-support devices and digital literacy tools offer support to mental health awareness, help-seeking behaviour and early risk identification (Rashid et al., 2025). Digital mental health interventions are generally effective; although effect sizes for well-being improvement vary in intensity, duration, and tool type (Ferrari et al., 2022; Rashid et al., 2025).</w:t>
      </w:r>
    </w:p>
    <w:p w14:paraId="2B497A7C" w14:textId="77777777" w:rsidR="000E1A6B" w:rsidRDefault="00175F13">
      <w:pPr>
        <w:spacing w:line="276" w:lineRule="auto"/>
        <w:rPr>
          <w:rFonts w:ascii="Arial" w:eastAsia="Arial" w:hAnsi="Arial" w:cs="Arial"/>
          <w:b/>
          <w:bCs/>
        </w:rPr>
      </w:pPr>
      <w:r>
        <w:rPr>
          <w:rFonts w:ascii="Arial" w:eastAsia="Arial" w:hAnsi="Arial" w:cs="Arial"/>
          <w:b/>
          <w:bCs/>
        </w:rPr>
        <w:t>2.3 Relevance of Digital Tools in Academic Contexts</w:t>
      </w:r>
    </w:p>
    <w:p w14:paraId="3CECBEB7"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Digital technology is tied to faculty, not just academic communities, and the acceptance of digital technologies to university systems; learning management platforms; online lectures, collaboration tools. This creates an accidental extension of student learning digital habits. University students are generally technologically competent, reach at most universal access to smartphones, and prefer flexible, private, and non-cultural counselling services (</w:t>
      </w:r>
      <w:proofErr w:type="spellStart"/>
      <w:r>
        <w:rPr>
          <w:rFonts w:ascii="Arial" w:eastAsia="Arial" w:hAnsi="Arial" w:cs="Arial"/>
          <w:sz w:val="20"/>
          <w:szCs w:val="20"/>
        </w:rPr>
        <w:t>Neagu</w:t>
      </w:r>
      <w:proofErr w:type="spellEnd"/>
      <w:r>
        <w:rPr>
          <w:rFonts w:ascii="Arial" w:eastAsia="Arial" w:hAnsi="Arial" w:cs="Arial"/>
          <w:sz w:val="20"/>
          <w:szCs w:val="20"/>
        </w:rPr>
        <w:t xml:space="preserve"> &amp; </w:t>
      </w:r>
      <w:proofErr w:type="spellStart"/>
      <w:r>
        <w:rPr>
          <w:rFonts w:ascii="Arial" w:eastAsia="Arial" w:hAnsi="Arial" w:cs="Arial"/>
          <w:sz w:val="20"/>
          <w:szCs w:val="20"/>
        </w:rPr>
        <w:t>Vieriu</w:t>
      </w:r>
      <w:proofErr w:type="spellEnd"/>
      <w:r>
        <w:rPr>
          <w:rFonts w:ascii="Arial" w:eastAsia="Arial" w:hAnsi="Arial" w:cs="Arial"/>
          <w:sz w:val="20"/>
          <w:szCs w:val="20"/>
        </w:rPr>
        <w:t>, 2025; Madrid-</w:t>
      </w:r>
      <w:proofErr w:type="spellStart"/>
      <w:r>
        <w:rPr>
          <w:rFonts w:ascii="Arial" w:eastAsia="Arial" w:hAnsi="Arial" w:cs="Arial"/>
          <w:sz w:val="20"/>
          <w:szCs w:val="20"/>
        </w:rPr>
        <w:t>Cagigal</w:t>
      </w:r>
      <w:proofErr w:type="spellEnd"/>
      <w:r>
        <w:rPr>
          <w:rFonts w:ascii="Arial" w:eastAsia="Arial" w:hAnsi="Arial" w:cs="Arial"/>
          <w:sz w:val="20"/>
          <w:szCs w:val="20"/>
        </w:rPr>
        <w:t xml:space="preserve"> et al., 2025; </w:t>
      </w:r>
      <w:proofErr w:type="spellStart"/>
      <w:r>
        <w:rPr>
          <w:rFonts w:ascii="Arial" w:eastAsia="Arial" w:hAnsi="Arial" w:cs="Arial"/>
          <w:sz w:val="20"/>
          <w:szCs w:val="20"/>
        </w:rPr>
        <w:t>Uzorka</w:t>
      </w:r>
      <w:proofErr w:type="spellEnd"/>
      <w:r>
        <w:rPr>
          <w:rFonts w:ascii="Arial" w:eastAsia="Arial" w:hAnsi="Arial" w:cs="Arial"/>
          <w:sz w:val="20"/>
          <w:szCs w:val="20"/>
        </w:rPr>
        <w:t xml:space="preserve"> &amp; </w:t>
      </w:r>
      <w:proofErr w:type="spellStart"/>
      <w:r>
        <w:rPr>
          <w:rFonts w:ascii="Arial" w:eastAsia="Arial" w:hAnsi="Arial" w:cs="Arial"/>
          <w:sz w:val="20"/>
          <w:szCs w:val="20"/>
        </w:rPr>
        <w:t>Odebiyi</w:t>
      </w:r>
      <w:proofErr w:type="spellEnd"/>
      <w:r>
        <w:rPr>
          <w:rFonts w:ascii="Arial" w:eastAsia="Arial" w:hAnsi="Arial" w:cs="Arial"/>
          <w:sz w:val="20"/>
          <w:szCs w:val="20"/>
        </w:rPr>
        <w:t xml:space="preserve">, 2025; </w:t>
      </w:r>
      <w:proofErr w:type="spellStart"/>
      <w:r>
        <w:rPr>
          <w:rFonts w:ascii="Arial" w:eastAsia="Arial" w:hAnsi="Arial" w:cs="Arial"/>
          <w:sz w:val="20"/>
          <w:szCs w:val="20"/>
        </w:rPr>
        <w:t>Uzorka</w:t>
      </w:r>
      <w:proofErr w:type="spellEnd"/>
      <w:r>
        <w:rPr>
          <w:rFonts w:ascii="Arial" w:eastAsia="Arial" w:hAnsi="Arial" w:cs="Arial"/>
          <w:sz w:val="20"/>
          <w:szCs w:val="20"/>
        </w:rPr>
        <w:t xml:space="preserve"> &amp; </w:t>
      </w:r>
      <w:proofErr w:type="spellStart"/>
      <w:r>
        <w:rPr>
          <w:rFonts w:ascii="Arial" w:eastAsia="Arial" w:hAnsi="Arial" w:cs="Arial"/>
          <w:sz w:val="20"/>
          <w:szCs w:val="20"/>
        </w:rPr>
        <w:t>Odebiyi</w:t>
      </w:r>
      <w:proofErr w:type="spellEnd"/>
      <w:r>
        <w:rPr>
          <w:rFonts w:ascii="Arial" w:eastAsia="Arial" w:hAnsi="Arial" w:cs="Arial"/>
          <w:sz w:val="20"/>
          <w:szCs w:val="20"/>
        </w:rPr>
        <w:t>, 2025). Hence, digital tools can easily overcome many structural and psychological barriers to seeking assistance for students (Song et al., 2024).</w:t>
      </w:r>
    </w:p>
    <w:p w14:paraId="615D39E3"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 xml:space="preserve">Digital intervention provides scale, cost-effectiveness and continuous availability that are crucial to higher education settings where demand for counselling services exceeds supply (Li et al., 2025; </w:t>
      </w:r>
      <w:proofErr w:type="spellStart"/>
      <w:r>
        <w:rPr>
          <w:rFonts w:ascii="Arial" w:eastAsia="Arial" w:hAnsi="Arial" w:cs="Arial"/>
          <w:sz w:val="20"/>
          <w:szCs w:val="20"/>
        </w:rPr>
        <w:t>Topooco</w:t>
      </w:r>
      <w:proofErr w:type="spellEnd"/>
      <w:r>
        <w:rPr>
          <w:rFonts w:ascii="Arial" w:eastAsia="Arial" w:hAnsi="Arial" w:cs="Arial"/>
          <w:sz w:val="20"/>
          <w:szCs w:val="20"/>
        </w:rPr>
        <w:t xml:space="preserve"> et al., 2022). Students are often under pressure during early periods of school, such as exams, deadlines, transitions, during peak academic hours. Digital tools can provide real-time information support; these include; AI-chatbots, mindfulness practice, or crisis response modules, (Dekker et al., 2020). Their self-</w:t>
      </w:r>
      <w:r>
        <w:rPr>
          <w:rFonts w:ascii="Arial" w:eastAsia="Arial" w:hAnsi="Arial" w:cs="Arial"/>
          <w:sz w:val="20"/>
          <w:szCs w:val="20"/>
        </w:rPr>
        <w:lastRenderedPageBreak/>
        <w:t>guided nature allows students to work on their own accord, particularly helpful for those who maintain heavy workloads.</w:t>
      </w:r>
    </w:p>
    <w:p w14:paraId="50829746"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 xml:space="preserve">Evidence suggests that the tools can be used to improve psychological wellbeing, as well as for academic functioning. Biofeedback apps improve concentration and emotional regulation (Mercer &amp; De </w:t>
      </w:r>
      <w:proofErr w:type="spellStart"/>
      <w:r>
        <w:rPr>
          <w:rFonts w:ascii="Arial" w:eastAsia="Arial" w:hAnsi="Arial" w:cs="Arial"/>
          <w:sz w:val="20"/>
          <w:szCs w:val="20"/>
        </w:rPr>
        <w:t>Franches</w:t>
      </w:r>
      <w:proofErr w:type="spellEnd"/>
      <w:r>
        <w:rPr>
          <w:rFonts w:ascii="Arial" w:eastAsia="Arial" w:hAnsi="Arial" w:cs="Arial"/>
          <w:sz w:val="20"/>
          <w:szCs w:val="20"/>
        </w:rPr>
        <w:t xml:space="preserve">, 2025; </w:t>
      </w:r>
      <w:proofErr w:type="spellStart"/>
      <w:r>
        <w:rPr>
          <w:rFonts w:ascii="Arial" w:eastAsia="Arial" w:hAnsi="Arial" w:cs="Arial"/>
          <w:sz w:val="20"/>
          <w:szCs w:val="20"/>
        </w:rPr>
        <w:t>Ponzo</w:t>
      </w:r>
      <w:proofErr w:type="spellEnd"/>
      <w:r>
        <w:rPr>
          <w:rFonts w:ascii="Arial" w:eastAsia="Arial" w:hAnsi="Arial" w:cs="Arial"/>
          <w:sz w:val="20"/>
          <w:szCs w:val="20"/>
        </w:rPr>
        <w:t xml:space="preserve"> et al., 2020; Ter </w:t>
      </w:r>
      <w:proofErr w:type="spellStart"/>
      <w:r>
        <w:rPr>
          <w:rFonts w:ascii="Arial" w:eastAsia="Arial" w:hAnsi="Arial" w:cs="Arial"/>
          <w:sz w:val="20"/>
          <w:szCs w:val="20"/>
        </w:rPr>
        <w:t>Harmsel</w:t>
      </w:r>
      <w:proofErr w:type="spellEnd"/>
      <w:r>
        <w:rPr>
          <w:rFonts w:ascii="Arial" w:eastAsia="Arial" w:hAnsi="Arial" w:cs="Arial"/>
          <w:sz w:val="20"/>
          <w:szCs w:val="20"/>
        </w:rPr>
        <w:t xml:space="preserve"> et al., 2020) CBT-based applications reduce procrastination processes and life-crafting tools contribute to purpose, goal clarity, and engagement (Dekker et al., 2020). These mechanisms directly help to ensure the performance of the academic discipline, improving cognition, motivation, and resilience.</w:t>
      </w:r>
    </w:p>
    <w:p w14:paraId="3CF24227"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Digital platforms can be embedded within educational systems in the institution ‘s mental health ecosystems — in learning portals, linked to academic advising systems, or integrated into orientation programs. The integration of systems with mental health and academic support is integrated with the gap between mental health and student access and reduces dropout risk (Ferrari et al. 2022; Rashid et al. 2025).</w:t>
      </w:r>
    </w:p>
    <w:p w14:paraId="34E0B752"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Digital mental health tools are a useful complement of modern university wellbeing strategies, both preventative and therapeutic, and represent the central core of modern research and health policies.</w:t>
      </w:r>
    </w:p>
    <w:p w14:paraId="2BE5A6DF" w14:textId="77777777" w:rsidR="000E1A6B" w:rsidRDefault="00175F13">
      <w:pPr>
        <w:spacing w:line="276" w:lineRule="auto"/>
        <w:rPr>
          <w:rFonts w:ascii="Arial" w:eastAsia="Arial" w:hAnsi="Arial" w:cs="Arial"/>
          <w:b/>
          <w:bCs/>
          <w:sz w:val="20"/>
          <w:szCs w:val="20"/>
        </w:rPr>
      </w:pPr>
      <w:r>
        <w:rPr>
          <w:rFonts w:ascii="Arial" w:eastAsia="Arial" w:hAnsi="Arial" w:cs="Arial"/>
          <w:b/>
          <w:bCs/>
          <w:sz w:val="20"/>
          <w:szCs w:val="20"/>
        </w:rPr>
        <w:t>3. METHODOLOGY</w:t>
      </w:r>
    </w:p>
    <w:p w14:paraId="243F89F0" w14:textId="77777777" w:rsidR="000E1A6B" w:rsidRDefault="00175F13">
      <w:pPr>
        <w:spacing w:line="276" w:lineRule="auto"/>
        <w:rPr>
          <w:rFonts w:ascii="Arial" w:eastAsia="Arial" w:hAnsi="Arial" w:cs="Arial"/>
          <w:b/>
          <w:bCs/>
        </w:rPr>
      </w:pPr>
      <w:r>
        <w:rPr>
          <w:rFonts w:ascii="Arial" w:eastAsia="Arial" w:hAnsi="Arial" w:cs="Arial"/>
          <w:b/>
          <w:bCs/>
        </w:rPr>
        <w:t>3.1 Research Approach</w:t>
      </w:r>
    </w:p>
    <w:p w14:paraId="349B7642"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 xml:space="preserve">This study </w:t>
      </w:r>
      <w:r>
        <w:rPr>
          <w:rFonts w:ascii="Arial" w:eastAsia="Arial" w:hAnsi="Arial" w:cs="Arial"/>
          <w:sz w:val="20"/>
          <w:szCs w:val="20"/>
          <w:u w:val="single"/>
        </w:rPr>
        <w:t>used</w:t>
      </w:r>
      <w:r>
        <w:rPr>
          <w:rFonts w:ascii="Arial" w:eastAsia="Arial" w:hAnsi="Arial" w:cs="Arial"/>
          <w:sz w:val="20"/>
          <w:szCs w:val="20"/>
        </w:rPr>
        <w:t xml:space="preserve"> a systematic literature review (SLR) methodology. A SLR was </w:t>
      </w:r>
      <w:r>
        <w:rPr>
          <w:rFonts w:ascii="Arial" w:eastAsia="Arial" w:hAnsi="Arial" w:cs="Arial"/>
          <w:sz w:val="20"/>
          <w:szCs w:val="20"/>
          <w:u w:val="single"/>
        </w:rPr>
        <w:t>chosen</w:t>
      </w:r>
      <w:r>
        <w:rPr>
          <w:rFonts w:ascii="Arial" w:eastAsia="Arial" w:hAnsi="Arial" w:cs="Arial"/>
          <w:sz w:val="20"/>
          <w:szCs w:val="20"/>
        </w:rPr>
        <w:t xml:space="preserve"> for its impartial, replicable, and comprehensive evaluation of existing research, which </w:t>
      </w:r>
      <w:r>
        <w:rPr>
          <w:rFonts w:ascii="Arial" w:eastAsia="Arial" w:hAnsi="Arial" w:cs="Arial"/>
          <w:sz w:val="20"/>
          <w:szCs w:val="20"/>
          <w:u w:val="single"/>
        </w:rPr>
        <w:t>minimises</w:t>
      </w:r>
      <w:r>
        <w:rPr>
          <w:rFonts w:ascii="Arial" w:eastAsia="Arial" w:hAnsi="Arial" w:cs="Arial"/>
          <w:sz w:val="20"/>
          <w:szCs w:val="20"/>
        </w:rPr>
        <w:t xml:space="preserve"> bias (Mishra &amp; Mishra, 2023). Following PRISMA 2020 guidelines, the review was based on pre-defined eligibility criteria and structured search practices (Page et al., 2021).</w:t>
      </w:r>
    </w:p>
    <w:p w14:paraId="4B14930C" w14:textId="77777777" w:rsidR="000E1A6B" w:rsidRDefault="00175F13">
      <w:pPr>
        <w:numPr>
          <w:ilvl w:val="1"/>
          <w:numId w:val="1"/>
        </w:numPr>
        <w:pBdr>
          <w:top w:val="nil"/>
          <w:left w:val="nil"/>
          <w:bottom w:val="nil"/>
          <w:right w:val="nil"/>
          <w:between w:val="nil"/>
        </w:pBdr>
        <w:spacing w:line="276" w:lineRule="auto"/>
        <w:rPr>
          <w:rFonts w:ascii="Arial" w:eastAsia="Arial" w:hAnsi="Arial" w:cs="Arial"/>
          <w:b/>
          <w:bCs/>
          <w:color w:val="000000"/>
        </w:rPr>
      </w:pPr>
      <w:r>
        <w:rPr>
          <w:rFonts w:ascii="Arial" w:eastAsia="Arial" w:hAnsi="Arial" w:cs="Arial"/>
          <w:b/>
          <w:bCs/>
          <w:color w:val="000000"/>
        </w:rPr>
        <w:t>Inclusion and Exclusion Criteria</w:t>
      </w:r>
    </w:p>
    <w:p w14:paraId="6F5A21BA"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Eligible studies were selected based on the following criteria:</w:t>
      </w:r>
    </w:p>
    <w:p w14:paraId="6FCCCBC3"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w:t>
      </w:r>
      <w:proofErr w:type="spellStart"/>
      <w:r>
        <w:rPr>
          <w:rFonts w:ascii="Arial" w:eastAsia="Arial" w:hAnsi="Arial" w:cs="Arial"/>
          <w:sz w:val="20"/>
          <w:szCs w:val="20"/>
        </w:rPr>
        <w:t>i</w:t>
      </w:r>
      <w:proofErr w:type="spellEnd"/>
      <w:r>
        <w:rPr>
          <w:rFonts w:ascii="Arial" w:eastAsia="Arial" w:hAnsi="Arial" w:cs="Arial"/>
          <w:sz w:val="20"/>
          <w:szCs w:val="20"/>
        </w:rPr>
        <w:t>) Publication period: 2010 - 2025 to capture contemporary digital interventions.</w:t>
      </w:r>
    </w:p>
    <w:p w14:paraId="1EB1E6F6"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(ii) Intervention type: Any digital mental health tool, including mobile apps, web-based programs, digital CBT, AI-chatbots, online mindfulness platforms, and biofeedback tools.</w:t>
      </w:r>
    </w:p>
    <w:p w14:paraId="29F62D3B"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(iii) Outcomes: Studies reporting mental health outcomes (stress, anxiety, depression, psychological well-being), academic performance outcomes (GPA, engagement, cognitive functioning), or both.</w:t>
      </w:r>
    </w:p>
    <w:p w14:paraId="6431FD4F"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Studies were excluded if they:</w:t>
      </w:r>
    </w:p>
    <w:p w14:paraId="6CCFA779"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w:t>
      </w:r>
      <w:proofErr w:type="spellStart"/>
      <w:r>
        <w:rPr>
          <w:rFonts w:ascii="Arial" w:eastAsia="Arial" w:hAnsi="Arial" w:cs="Arial"/>
          <w:sz w:val="20"/>
          <w:szCs w:val="20"/>
        </w:rPr>
        <w:t>i</w:t>
      </w:r>
      <w:proofErr w:type="spellEnd"/>
      <w:r>
        <w:rPr>
          <w:rFonts w:ascii="Arial" w:eastAsia="Arial" w:hAnsi="Arial" w:cs="Arial"/>
          <w:sz w:val="20"/>
          <w:szCs w:val="20"/>
        </w:rPr>
        <w:t>) Focused on clinical psychiatric populations unrelated to education,</w:t>
      </w:r>
    </w:p>
    <w:p w14:paraId="7558BCBF"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(ii) Addressed non-digital interventions,</w:t>
      </w:r>
    </w:p>
    <w:p w14:paraId="684DEBE3"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(iii) Did not report empirical findings (e.g., editorials, viewpoints), or</w:t>
      </w:r>
    </w:p>
    <w:p w14:paraId="105F5117"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(iv) Targeted primary/secondary school populations or non-students.</w:t>
      </w:r>
    </w:p>
    <w:p w14:paraId="33B688DE" w14:textId="77777777" w:rsidR="000E1A6B" w:rsidRDefault="00175F13">
      <w:pPr>
        <w:spacing w:line="276" w:lineRule="auto"/>
        <w:rPr>
          <w:rFonts w:ascii="Arial" w:eastAsia="Arial" w:hAnsi="Arial" w:cs="Arial"/>
          <w:b/>
          <w:bCs/>
        </w:rPr>
      </w:pPr>
      <w:r>
        <w:rPr>
          <w:rFonts w:ascii="Arial" w:eastAsia="Arial" w:hAnsi="Arial" w:cs="Arial"/>
          <w:b/>
          <w:bCs/>
        </w:rPr>
        <w:t>3.3 Search Strategy</w:t>
      </w:r>
    </w:p>
    <w:p w14:paraId="7CAD783F"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Multiple database sources were used including Semantic Scholar, PubMed, Scopus, Web of Science, PsycINFO, Google Scholar, and JMIR. Boolean operators were used to refine the search. The core Boolean string included: “digital mental health” OR “e-mental health” OR “mobile mental health app” OR “online CBT” OR “digital well-being”. AND (“university student” OR “college student*” OR “higher education”)</w:t>
      </w:r>
      <w:r>
        <w:rPr>
          <w:rFonts w:ascii="Arial" w:eastAsia="Arial" w:hAnsi="Arial" w:cs="Arial"/>
          <w:sz w:val="20"/>
          <w:szCs w:val="20"/>
        </w:rPr>
        <w:br/>
      </w:r>
      <w:r>
        <w:rPr>
          <w:rFonts w:ascii="Arial" w:eastAsia="Arial" w:hAnsi="Arial" w:cs="Arial"/>
          <w:sz w:val="20"/>
          <w:szCs w:val="20"/>
        </w:rPr>
        <w:lastRenderedPageBreak/>
        <w:t>AND (“academic performance” OR “academic achievement” OR “student well-being” OR “psychological well-being”)</w:t>
      </w:r>
    </w:p>
    <w:p w14:paraId="25EB13A8"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Other keywords included are AI chatbot, mindfulness app, stress management app, biofeedback digital tool, mobile therapy, and digital intervention for students.</w:t>
      </w:r>
    </w:p>
    <w:p w14:paraId="465DD6CB" w14:textId="77777777" w:rsidR="000E1A6B" w:rsidRDefault="00175F13">
      <w:pPr>
        <w:spacing w:line="276" w:lineRule="auto"/>
        <w:rPr>
          <w:rFonts w:ascii="Arial" w:eastAsia="Arial" w:hAnsi="Arial" w:cs="Arial"/>
          <w:b/>
          <w:bCs/>
        </w:rPr>
      </w:pPr>
      <w:r>
        <w:rPr>
          <w:rFonts w:ascii="Arial" w:eastAsia="Arial" w:hAnsi="Arial" w:cs="Arial"/>
          <w:b/>
          <w:bCs/>
        </w:rPr>
        <w:t>3.4 Data Extraction and Synthesis</w:t>
      </w:r>
    </w:p>
    <w:p w14:paraId="1905FD85"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A structured template with study identifiers, population characteristics, intervention type, theoretical basis, duration, outcome measures, and key findings was taken to gather data. The reliability of extraction was verified by twice checking the included studies.</w:t>
      </w:r>
    </w:p>
    <w:p w14:paraId="15DB8DA4" w14:textId="77777777" w:rsidR="000E1A6B" w:rsidRDefault="00175F13">
      <w:pPr>
        <w:pBdr>
          <w:top w:val="nil"/>
          <w:left w:val="nil"/>
          <w:bottom w:val="nil"/>
          <w:right w:val="nil"/>
          <w:between w:val="nil"/>
        </w:pBdr>
        <w:spacing w:before="240" w:after="0" w:line="276" w:lineRule="auto"/>
        <w:jc w:val="both"/>
        <w:rPr>
          <w:rFonts w:ascii="Arial" w:eastAsia="Arial" w:hAnsi="Arial" w:cs="Arial"/>
          <w:color w:val="000000"/>
          <w:sz w:val="20"/>
          <w:szCs w:val="20"/>
        </w:rPr>
      </w:pPr>
      <w:r>
        <w:rPr>
          <w:rFonts w:ascii="Arial" w:eastAsia="Arial" w:hAnsi="Arial" w:cs="Arial"/>
          <w:color w:val="000000"/>
          <w:sz w:val="20"/>
          <w:szCs w:val="20"/>
        </w:rPr>
        <w:t>In total 433 articles were retrieved from the databases. After reviewing the articles, 310 articles were excluded from inclusion due to the absence or unsatisfactory inclusion. The remaining articles (123) were reviewed in full text. A total of 69 studies were included in the final review.</w:t>
      </w:r>
    </w:p>
    <w:p w14:paraId="22D59A81" w14:textId="77777777" w:rsidR="000E1A6B" w:rsidRDefault="00175F13">
      <w:pPr>
        <w:pBdr>
          <w:top w:val="nil"/>
          <w:left w:val="nil"/>
          <w:bottom w:val="nil"/>
          <w:right w:val="nil"/>
          <w:between w:val="nil"/>
        </w:pBdr>
        <w:spacing w:before="240" w:after="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A PRISMA flow diagram is given below to show screening process. </w:t>
      </w:r>
    </w:p>
    <w:p w14:paraId="77951D1A" w14:textId="77777777" w:rsidR="000E1A6B" w:rsidRDefault="00175F13">
      <w:pPr>
        <w:pBdr>
          <w:top w:val="nil"/>
          <w:left w:val="nil"/>
          <w:bottom w:val="nil"/>
          <w:right w:val="nil"/>
          <w:between w:val="nil"/>
        </w:pBdr>
        <w:spacing w:before="240" w:after="0" w:line="276" w:lineRule="auto"/>
        <w:jc w:val="both"/>
        <w:rPr>
          <w:rFonts w:ascii="Arial" w:eastAsia="Arial" w:hAnsi="Arial" w:cs="Arial"/>
          <w:color w:val="000000"/>
          <w:sz w:val="20"/>
          <w:szCs w:val="20"/>
        </w:rPr>
      </w:pPr>
      <w:r>
        <w:rPr>
          <w:rFonts w:ascii="Arial" w:eastAsia="Arial" w:hAnsi="Arial" w:cs="Arial"/>
          <w:noProof/>
          <w:color w:val="000000"/>
          <w:sz w:val="20"/>
          <w:szCs w:val="20"/>
          <w:lang w:val="en-US"/>
        </w:rPr>
        <mc:AlternateContent>
          <mc:Choice Requires="wpg">
            <w:drawing>
              <wp:inline distT="0" distB="0" distL="0" distR="0" wp14:anchorId="226F12A9" wp14:editId="1A2BA51B">
                <wp:extent cx="5486400" cy="3200400"/>
                <wp:effectExtent l="0" t="0" r="0" b="0"/>
                <wp:docPr id="1927354567" name="Group 1927354567"/>
                <wp:cNvGraphicFramePr/>
                <a:graphic xmlns:a="http://schemas.openxmlformats.org/drawingml/2006/main">
                  <a:graphicData uri="http://schemas.microsoft.com/office/word/2010/wordprocessingGroup">
                    <wpg:wgp>
                      <wpg:cNvGrpSpPr/>
                      <wpg:grpSpPr>
                        <a:xfrm>
                          <a:off x="0" y="0"/>
                          <a:ext cx="5486400" cy="3200400"/>
                          <a:chOff x="0" y="0"/>
                          <a:chExt cx="5486400" cy="3200425"/>
                        </a:xfrm>
                      </wpg:grpSpPr>
                      <wpg:grpSp>
                        <wpg:cNvPr id="1098366705" name="Group 1098366705"/>
                        <wpg:cNvGrpSpPr/>
                        <wpg:grpSpPr>
                          <a:xfrm>
                            <a:off x="0" y="0"/>
                            <a:ext cx="5486400" cy="3200400"/>
                            <a:chOff x="0" y="0"/>
                            <a:chExt cx="5486400" cy="3200400"/>
                          </a:xfrm>
                        </wpg:grpSpPr>
                        <wps:wsp>
                          <wps:cNvPr id="796887770" name="Rectangle 796887770"/>
                          <wps:cNvSpPr/>
                          <wps:spPr>
                            <a:xfrm>
                              <a:off x="0" y="0"/>
                              <a:ext cx="5486400" cy="3200400"/>
                            </a:xfrm>
                            <a:prstGeom prst="rect">
                              <a:avLst/>
                            </a:prstGeom>
                            <a:noFill/>
                            <a:ln>
                              <a:noFill/>
                            </a:ln>
                          </wps:spPr>
                          <wps:txbx>
                            <w:txbxContent>
                              <w:p w14:paraId="387EDEB4" w14:textId="77777777" w:rsidR="000E1A6B" w:rsidRDefault="000E1A6B">
                                <w:pPr>
                                  <w:spacing w:after="0" w:line="240" w:lineRule="auto"/>
                                  <w:textDirection w:val="btLr"/>
                                </w:pPr>
                              </w:p>
                            </w:txbxContent>
                          </wps:txbx>
                          <wps:bodyPr spcFirstLastPara="1" wrap="square" lIns="91425" tIns="91425" rIns="91425" bIns="91425" anchor="ctr" anchorCtr="0">
                            <a:noAutofit/>
                          </wps:bodyPr>
                        </wps:wsp>
                        <wps:wsp>
                          <wps:cNvPr id="1228086814" name="Arrow: Bent-Up 1228086814"/>
                          <wps:cNvSpPr/>
                          <wps:spPr>
                            <a:xfrm rot="5400000">
                              <a:off x="726651" y="699515"/>
                              <a:ext cx="614326" cy="699389"/>
                            </a:xfrm>
                            <a:prstGeom prst="bentUpArrow">
                              <a:avLst>
                                <a:gd name="adj1" fmla="val 32840"/>
                                <a:gd name="adj2" fmla="val 25000"/>
                                <a:gd name="adj3" fmla="val 35780"/>
                              </a:avLst>
                            </a:prstGeom>
                            <a:gradFill>
                              <a:gsLst>
                                <a:gs pos="0">
                                  <a:srgbClr val="C7CFE7"/>
                                </a:gs>
                                <a:gs pos="50000">
                                  <a:srgbClr val="BDC7E4"/>
                                </a:gs>
                                <a:gs pos="100000">
                                  <a:srgbClr val="A4AECB"/>
                                </a:gs>
                              </a:gsLst>
                              <a:lin ang="5400000" scaled="0"/>
                            </a:gradFill>
                            <a:ln>
                              <a:noFill/>
                            </a:ln>
                          </wps:spPr>
                          <wps:txbx>
                            <w:txbxContent>
                              <w:p w14:paraId="08816832" w14:textId="77777777" w:rsidR="000E1A6B" w:rsidRDefault="000E1A6B">
                                <w:pPr>
                                  <w:spacing w:after="0" w:line="240" w:lineRule="auto"/>
                                  <w:textDirection w:val="btLr"/>
                                </w:pPr>
                              </w:p>
                            </w:txbxContent>
                          </wps:txbx>
                          <wps:bodyPr spcFirstLastPara="1" wrap="square" lIns="91425" tIns="91425" rIns="91425" bIns="91425" anchor="ctr" anchorCtr="0">
                            <a:noAutofit/>
                          </wps:bodyPr>
                        </wps:wsp>
                        <wps:wsp>
                          <wps:cNvPr id="14696293" name="Rectangle: Rounded Corners 14696293"/>
                          <wps:cNvSpPr/>
                          <wps:spPr>
                            <a:xfrm>
                              <a:off x="563892" y="18522"/>
                              <a:ext cx="1034164" cy="723881"/>
                            </a:xfrm>
                            <a:prstGeom prst="roundRect">
                              <a:avLst>
                                <a:gd name="adj" fmla="val 16670"/>
                              </a:avLst>
                            </a:prstGeom>
                            <a:gradFill>
                              <a:gsLst>
                                <a:gs pos="0">
                                  <a:srgbClr val="5E81C9"/>
                                </a:gs>
                                <a:gs pos="50000">
                                  <a:srgbClr val="3B70C9"/>
                                </a:gs>
                                <a:gs pos="100000">
                                  <a:srgbClr val="2E60B8"/>
                                </a:gs>
                              </a:gsLst>
                              <a:lin ang="5400000" scaled="0"/>
                            </a:gradFill>
                            <a:ln>
                              <a:noFill/>
                            </a:ln>
                          </wps:spPr>
                          <wps:txbx>
                            <w:txbxContent>
                              <w:p w14:paraId="424041F0" w14:textId="77777777" w:rsidR="000E1A6B" w:rsidRDefault="000E1A6B">
                                <w:pPr>
                                  <w:spacing w:after="0" w:line="240" w:lineRule="auto"/>
                                  <w:textDirection w:val="btLr"/>
                                </w:pPr>
                              </w:p>
                            </w:txbxContent>
                          </wps:txbx>
                          <wps:bodyPr spcFirstLastPara="1" wrap="square" lIns="91425" tIns="91425" rIns="91425" bIns="91425" anchor="ctr" anchorCtr="0">
                            <a:noAutofit/>
                          </wps:bodyPr>
                        </wps:wsp>
                        <wps:wsp>
                          <wps:cNvPr id="234869009" name="Text Box 234869009"/>
                          <wps:cNvSpPr txBox="1"/>
                          <wps:spPr>
                            <a:xfrm>
                              <a:off x="599235" y="53865"/>
                              <a:ext cx="963478" cy="653195"/>
                            </a:xfrm>
                            <a:prstGeom prst="rect">
                              <a:avLst/>
                            </a:prstGeom>
                            <a:noFill/>
                            <a:ln>
                              <a:noFill/>
                            </a:ln>
                          </wps:spPr>
                          <wps:txbx>
                            <w:txbxContent>
                              <w:p w14:paraId="2D0F21ED" w14:textId="77777777" w:rsidR="000E1A6B" w:rsidRDefault="00175F13">
                                <w:pPr>
                                  <w:spacing w:after="0" w:line="215" w:lineRule="auto"/>
                                  <w:jc w:val="center"/>
                                  <w:textDirection w:val="btLr"/>
                                </w:pPr>
                                <w:r>
                                  <w:rPr>
                                    <w:b/>
                                    <w:color w:val="000000"/>
                                    <w:sz w:val="20"/>
                                  </w:rPr>
                                  <w:t>IDENTIFICATION</w:t>
                                </w:r>
                              </w:p>
                            </w:txbxContent>
                          </wps:txbx>
                          <wps:bodyPr spcFirstLastPara="1" wrap="square" lIns="38100" tIns="38100" rIns="38100" bIns="38100" anchor="ctr" anchorCtr="0">
                            <a:noAutofit/>
                          </wps:bodyPr>
                        </wps:wsp>
                        <wps:wsp>
                          <wps:cNvPr id="1533381156" name="Rectangle 1533381156"/>
                          <wps:cNvSpPr/>
                          <wps:spPr>
                            <a:xfrm>
                              <a:off x="1598057" y="87560"/>
                              <a:ext cx="752152" cy="585073"/>
                            </a:xfrm>
                            <a:prstGeom prst="rect">
                              <a:avLst/>
                            </a:prstGeom>
                            <a:noFill/>
                            <a:ln>
                              <a:noFill/>
                            </a:ln>
                          </wps:spPr>
                          <wps:txbx>
                            <w:txbxContent>
                              <w:p w14:paraId="5136A43E" w14:textId="77777777" w:rsidR="000E1A6B" w:rsidRDefault="000E1A6B">
                                <w:pPr>
                                  <w:spacing w:after="0" w:line="240" w:lineRule="auto"/>
                                  <w:textDirection w:val="btLr"/>
                                </w:pPr>
                              </w:p>
                            </w:txbxContent>
                          </wps:txbx>
                          <wps:bodyPr spcFirstLastPara="1" wrap="square" lIns="91425" tIns="91425" rIns="91425" bIns="91425" anchor="ctr" anchorCtr="0">
                            <a:noAutofit/>
                          </wps:bodyPr>
                        </wps:wsp>
                        <wps:wsp>
                          <wps:cNvPr id="877500115" name="Text Box 877500115"/>
                          <wps:cNvSpPr txBox="1"/>
                          <wps:spPr>
                            <a:xfrm>
                              <a:off x="1598057" y="87560"/>
                              <a:ext cx="752152" cy="585073"/>
                            </a:xfrm>
                            <a:prstGeom prst="rect">
                              <a:avLst/>
                            </a:prstGeom>
                            <a:noFill/>
                            <a:ln>
                              <a:noFill/>
                            </a:ln>
                          </wps:spPr>
                          <wps:txbx>
                            <w:txbxContent>
                              <w:p w14:paraId="348F4167" w14:textId="77777777" w:rsidR="000E1A6B" w:rsidRDefault="00175F13">
                                <w:pPr>
                                  <w:spacing w:after="0" w:line="215" w:lineRule="auto"/>
                                  <w:ind w:left="90" w:firstLine="70"/>
                                  <w:textDirection w:val="btLr"/>
                                </w:pPr>
                                <w:r>
                                  <w:rPr>
                                    <w:color w:val="000000"/>
                                    <w:sz w:val="14"/>
                                  </w:rPr>
                                  <w:t>Total articles retrieved from database = 433)</w:t>
                                </w:r>
                              </w:p>
                            </w:txbxContent>
                          </wps:txbx>
                          <wps:bodyPr spcFirstLastPara="1" wrap="square" lIns="34275" tIns="34275" rIns="34275" bIns="34275" anchor="ctr" anchorCtr="0">
                            <a:noAutofit/>
                          </wps:bodyPr>
                        </wps:wsp>
                        <wps:wsp>
                          <wps:cNvPr id="1335748473" name="Arrow: Bent-Up 1335748473"/>
                          <wps:cNvSpPr/>
                          <wps:spPr>
                            <a:xfrm rot="5400000">
                              <a:off x="1584084" y="1512673"/>
                              <a:ext cx="614326" cy="699389"/>
                            </a:xfrm>
                            <a:prstGeom prst="bentUpArrow">
                              <a:avLst>
                                <a:gd name="adj1" fmla="val 32840"/>
                                <a:gd name="adj2" fmla="val 25000"/>
                                <a:gd name="adj3" fmla="val 35780"/>
                              </a:avLst>
                            </a:prstGeom>
                            <a:gradFill>
                              <a:gsLst>
                                <a:gs pos="0">
                                  <a:srgbClr val="C7CFE7"/>
                                </a:gs>
                                <a:gs pos="50000">
                                  <a:srgbClr val="BDC7E4"/>
                                </a:gs>
                                <a:gs pos="100000">
                                  <a:srgbClr val="A4AECB"/>
                                </a:gs>
                              </a:gsLst>
                              <a:lin ang="5400000" scaled="0"/>
                            </a:gradFill>
                            <a:ln>
                              <a:noFill/>
                            </a:ln>
                          </wps:spPr>
                          <wps:txbx>
                            <w:txbxContent>
                              <w:p w14:paraId="2DB5C322" w14:textId="77777777" w:rsidR="000E1A6B" w:rsidRDefault="000E1A6B">
                                <w:pPr>
                                  <w:spacing w:after="0" w:line="240" w:lineRule="auto"/>
                                  <w:textDirection w:val="btLr"/>
                                </w:pPr>
                              </w:p>
                            </w:txbxContent>
                          </wps:txbx>
                          <wps:bodyPr spcFirstLastPara="1" wrap="square" lIns="91425" tIns="91425" rIns="91425" bIns="91425" anchor="ctr" anchorCtr="0">
                            <a:noAutofit/>
                          </wps:bodyPr>
                        </wps:wsp>
                        <wps:wsp>
                          <wps:cNvPr id="211569874" name="Rectangle: Rounded Corners 211569874"/>
                          <wps:cNvSpPr/>
                          <wps:spPr>
                            <a:xfrm>
                              <a:off x="1421325" y="831680"/>
                              <a:ext cx="1034164" cy="723881"/>
                            </a:xfrm>
                            <a:prstGeom prst="roundRect">
                              <a:avLst>
                                <a:gd name="adj" fmla="val 16670"/>
                              </a:avLst>
                            </a:prstGeom>
                            <a:gradFill>
                              <a:gsLst>
                                <a:gs pos="0">
                                  <a:srgbClr val="5E81C9"/>
                                </a:gs>
                                <a:gs pos="50000">
                                  <a:srgbClr val="3B70C9"/>
                                </a:gs>
                                <a:gs pos="100000">
                                  <a:srgbClr val="2E60B8"/>
                                </a:gs>
                              </a:gsLst>
                              <a:lin ang="5400000" scaled="0"/>
                            </a:gradFill>
                            <a:ln>
                              <a:noFill/>
                            </a:ln>
                          </wps:spPr>
                          <wps:txbx>
                            <w:txbxContent>
                              <w:p w14:paraId="29AE4B71" w14:textId="77777777" w:rsidR="000E1A6B" w:rsidRDefault="000E1A6B">
                                <w:pPr>
                                  <w:spacing w:after="0" w:line="240" w:lineRule="auto"/>
                                  <w:textDirection w:val="btLr"/>
                                </w:pPr>
                              </w:p>
                            </w:txbxContent>
                          </wps:txbx>
                          <wps:bodyPr spcFirstLastPara="1" wrap="square" lIns="91425" tIns="91425" rIns="91425" bIns="91425" anchor="ctr" anchorCtr="0">
                            <a:noAutofit/>
                          </wps:bodyPr>
                        </wps:wsp>
                        <wps:wsp>
                          <wps:cNvPr id="1456388881" name="Text Box 1456388881"/>
                          <wps:cNvSpPr txBox="1"/>
                          <wps:spPr>
                            <a:xfrm>
                              <a:off x="1456668" y="867023"/>
                              <a:ext cx="963478" cy="653195"/>
                            </a:xfrm>
                            <a:prstGeom prst="rect">
                              <a:avLst/>
                            </a:prstGeom>
                            <a:noFill/>
                            <a:ln>
                              <a:noFill/>
                            </a:ln>
                          </wps:spPr>
                          <wps:txbx>
                            <w:txbxContent>
                              <w:p w14:paraId="3D334423" w14:textId="77777777" w:rsidR="000E1A6B" w:rsidRDefault="00175F13">
                                <w:pPr>
                                  <w:spacing w:after="0" w:line="215" w:lineRule="auto"/>
                                  <w:jc w:val="center"/>
                                  <w:textDirection w:val="btLr"/>
                                </w:pPr>
                                <w:r>
                                  <w:rPr>
                                    <w:b/>
                                    <w:color w:val="000000"/>
                                    <w:sz w:val="20"/>
                                  </w:rPr>
                                  <w:t>SCREENING</w:t>
                                </w:r>
                              </w:p>
                            </w:txbxContent>
                          </wps:txbx>
                          <wps:bodyPr spcFirstLastPara="1" wrap="square" lIns="38100" tIns="38100" rIns="38100" bIns="38100" anchor="ctr" anchorCtr="0">
                            <a:noAutofit/>
                          </wps:bodyPr>
                        </wps:wsp>
                        <wps:wsp>
                          <wps:cNvPr id="1910165675" name="Rectangle 1910165675"/>
                          <wps:cNvSpPr/>
                          <wps:spPr>
                            <a:xfrm>
                              <a:off x="2455489" y="900718"/>
                              <a:ext cx="752152" cy="585073"/>
                            </a:xfrm>
                            <a:prstGeom prst="rect">
                              <a:avLst/>
                            </a:prstGeom>
                            <a:noFill/>
                            <a:ln>
                              <a:noFill/>
                            </a:ln>
                          </wps:spPr>
                          <wps:txbx>
                            <w:txbxContent>
                              <w:p w14:paraId="43D8A853" w14:textId="77777777" w:rsidR="000E1A6B" w:rsidRDefault="000E1A6B">
                                <w:pPr>
                                  <w:spacing w:after="0" w:line="240" w:lineRule="auto"/>
                                  <w:textDirection w:val="btLr"/>
                                </w:pPr>
                              </w:p>
                            </w:txbxContent>
                          </wps:txbx>
                          <wps:bodyPr spcFirstLastPara="1" wrap="square" lIns="91425" tIns="91425" rIns="91425" bIns="91425" anchor="ctr" anchorCtr="0">
                            <a:noAutofit/>
                          </wps:bodyPr>
                        </wps:wsp>
                        <wps:wsp>
                          <wps:cNvPr id="1678979258" name="Text Box 1678979258"/>
                          <wps:cNvSpPr txBox="1"/>
                          <wps:spPr>
                            <a:xfrm>
                              <a:off x="2455489" y="900718"/>
                              <a:ext cx="752152" cy="585073"/>
                            </a:xfrm>
                            <a:prstGeom prst="rect">
                              <a:avLst/>
                            </a:prstGeom>
                            <a:noFill/>
                            <a:ln>
                              <a:noFill/>
                            </a:ln>
                          </wps:spPr>
                          <wps:txbx>
                            <w:txbxContent>
                              <w:p w14:paraId="46CC3E64" w14:textId="77777777" w:rsidR="000E1A6B" w:rsidRDefault="00175F13">
                                <w:pPr>
                                  <w:spacing w:after="0" w:line="215" w:lineRule="auto"/>
                                  <w:ind w:left="90" w:firstLine="70"/>
                                  <w:textDirection w:val="btLr"/>
                                </w:pPr>
                                <w:r>
                                  <w:rPr>
                                    <w:color w:val="000000"/>
                                    <w:sz w:val="14"/>
                                  </w:rPr>
                                  <w:t>(Total number excluded after screening = 310)</w:t>
                                </w:r>
                              </w:p>
                            </w:txbxContent>
                          </wps:txbx>
                          <wps:bodyPr spcFirstLastPara="1" wrap="square" lIns="34275" tIns="34275" rIns="34275" bIns="34275" anchor="ctr" anchorCtr="0">
                            <a:noAutofit/>
                          </wps:bodyPr>
                        </wps:wsp>
                        <wps:wsp>
                          <wps:cNvPr id="82462955" name="Arrow: Bent-Up 82462955"/>
                          <wps:cNvSpPr/>
                          <wps:spPr>
                            <a:xfrm rot="5400000">
                              <a:off x="2441516" y="2325831"/>
                              <a:ext cx="614326" cy="699389"/>
                            </a:xfrm>
                            <a:prstGeom prst="bentUpArrow">
                              <a:avLst>
                                <a:gd name="adj1" fmla="val 32840"/>
                                <a:gd name="adj2" fmla="val 25000"/>
                                <a:gd name="adj3" fmla="val 35780"/>
                              </a:avLst>
                            </a:prstGeom>
                            <a:gradFill>
                              <a:gsLst>
                                <a:gs pos="0">
                                  <a:srgbClr val="C7CFE7"/>
                                </a:gs>
                                <a:gs pos="50000">
                                  <a:srgbClr val="BDC7E4"/>
                                </a:gs>
                                <a:gs pos="100000">
                                  <a:srgbClr val="A4AECB"/>
                                </a:gs>
                              </a:gsLst>
                              <a:lin ang="5400000" scaled="0"/>
                            </a:gradFill>
                            <a:ln>
                              <a:noFill/>
                            </a:ln>
                          </wps:spPr>
                          <wps:txbx>
                            <w:txbxContent>
                              <w:p w14:paraId="39755F84" w14:textId="77777777" w:rsidR="000E1A6B" w:rsidRDefault="000E1A6B">
                                <w:pPr>
                                  <w:spacing w:after="0" w:line="240" w:lineRule="auto"/>
                                  <w:textDirection w:val="btLr"/>
                                </w:pPr>
                              </w:p>
                            </w:txbxContent>
                          </wps:txbx>
                          <wps:bodyPr spcFirstLastPara="1" wrap="square" lIns="91425" tIns="91425" rIns="91425" bIns="91425" anchor="ctr" anchorCtr="0">
                            <a:noAutofit/>
                          </wps:bodyPr>
                        </wps:wsp>
                        <wps:wsp>
                          <wps:cNvPr id="944453766" name="Rectangle: Rounded Corners 944453766"/>
                          <wps:cNvSpPr/>
                          <wps:spPr>
                            <a:xfrm>
                              <a:off x="2278757" y="1644838"/>
                              <a:ext cx="1034164" cy="723881"/>
                            </a:xfrm>
                            <a:prstGeom prst="roundRect">
                              <a:avLst>
                                <a:gd name="adj" fmla="val 16670"/>
                              </a:avLst>
                            </a:prstGeom>
                            <a:gradFill>
                              <a:gsLst>
                                <a:gs pos="0">
                                  <a:srgbClr val="5E81C9"/>
                                </a:gs>
                                <a:gs pos="50000">
                                  <a:srgbClr val="3B70C9"/>
                                </a:gs>
                                <a:gs pos="100000">
                                  <a:srgbClr val="2E60B8"/>
                                </a:gs>
                              </a:gsLst>
                              <a:lin ang="5400000" scaled="0"/>
                            </a:gradFill>
                            <a:ln>
                              <a:noFill/>
                            </a:ln>
                          </wps:spPr>
                          <wps:txbx>
                            <w:txbxContent>
                              <w:p w14:paraId="7289D92D" w14:textId="77777777" w:rsidR="000E1A6B" w:rsidRDefault="000E1A6B">
                                <w:pPr>
                                  <w:spacing w:after="0" w:line="240" w:lineRule="auto"/>
                                  <w:textDirection w:val="btLr"/>
                                </w:pPr>
                              </w:p>
                            </w:txbxContent>
                          </wps:txbx>
                          <wps:bodyPr spcFirstLastPara="1" wrap="square" lIns="91425" tIns="91425" rIns="91425" bIns="91425" anchor="ctr" anchorCtr="0">
                            <a:noAutofit/>
                          </wps:bodyPr>
                        </wps:wsp>
                        <wps:wsp>
                          <wps:cNvPr id="1332094768" name="Text Box 1332094768"/>
                          <wps:cNvSpPr txBox="1"/>
                          <wps:spPr>
                            <a:xfrm>
                              <a:off x="2314100" y="1680181"/>
                              <a:ext cx="963478" cy="653195"/>
                            </a:xfrm>
                            <a:prstGeom prst="rect">
                              <a:avLst/>
                            </a:prstGeom>
                            <a:noFill/>
                            <a:ln>
                              <a:noFill/>
                            </a:ln>
                          </wps:spPr>
                          <wps:txbx>
                            <w:txbxContent>
                              <w:p w14:paraId="76B0BF79" w14:textId="77777777" w:rsidR="000E1A6B" w:rsidRDefault="00175F13">
                                <w:pPr>
                                  <w:spacing w:after="0" w:line="215" w:lineRule="auto"/>
                                  <w:jc w:val="center"/>
                                  <w:textDirection w:val="btLr"/>
                                </w:pPr>
                                <w:r>
                                  <w:rPr>
                                    <w:b/>
                                    <w:color w:val="000000"/>
                                    <w:sz w:val="20"/>
                                  </w:rPr>
                                  <w:t>ELIGIBILITY</w:t>
                                </w:r>
                              </w:p>
                              <w:p w14:paraId="75AE6B28" w14:textId="77777777" w:rsidR="000E1A6B" w:rsidRDefault="000E1A6B">
                                <w:pPr>
                                  <w:spacing w:before="70" w:after="0" w:line="215" w:lineRule="auto"/>
                                  <w:jc w:val="center"/>
                                  <w:textDirection w:val="btLr"/>
                                </w:pPr>
                              </w:p>
                            </w:txbxContent>
                          </wps:txbx>
                          <wps:bodyPr spcFirstLastPara="1" wrap="square" lIns="38100" tIns="38100" rIns="38100" bIns="38100" anchor="ctr" anchorCtr="0">
                            <a:noAutofit/>
                          </wps:bodyPr>
                        </wps:wsp>
                        <wps:wsp>
                          <wps:cNvPr id="870720592" name="Rectangle 870720592"/>
                          <wps:cNvSpPr/>
                          <wps:spPr>
                            <a:xfrm>
                              <a:off x="3312922" y="1713876"/>
                              <a:ext cx="752152" cy="585073"/>
                            </a:xfrm>
                            <a:prstGeom prst="rect">
                              <a:avLst/>
                            </a:prstGeom>
                            <a:noFill/>
                            <a:ln>
                              <a:noFill/>
                            </a:ln>
                          </wps:spPr>
                          <wps:txbx>
                            <w:txbxContent>
                              <w:p w14:paraId="414FD715" w14:textId="77777777" w:rsidR="000E1A6B" w:rsidRDefault="000E1A6B">
                                <w:pPr>
                                  <w:spacing w:after="0" w:line="240" w:lineRule="auto"/>
                                  <w:textDirection w:val="btLr"/>
                                </w:pPr>
                              </w:p>
                            </w:txbxContent>
                          </wps:txbx>
                          <wps:bodyPr spcFirstLastPara="1" wrap="square" lIns="91425" tIns="91425" rIns="91425" bIns="91425" anchor="ctr" anchorCtr="0">
                            <a:noAutofit/>
                          </wps:bodyPr>
                        </wps:wsp>
                        <wps:wsp>
                          <wps:cNvPr id="891272545" name="Text Box 891272545"/>
                          <wps:cNvSpPr txBox="1"/>
                          <wps:spPr>
                            <a:xfrm>
                              <a:off x="3312922" y="1713876"/>
                              <a:ext cx="752152" cy="585073"/>
                            </a:xfrm>
                            <a:prstGeom prst="rect">
                              <a:avLst/>
                            </a:prstGeom>
                            <a:noFill/>
                            <a:ln>
                              <a:noFill/>
                            </a:ln>
                          </wps:spPr>
                          <wps:txbx>
                            <w:txbxContent>
                              <w:p w14:paraId="6F450104" w14:textId="77777777" w:rsidR="000E1A6B" w:rsidRDefault="00175F13">
                                <w:pPr>
                                  <w:spacing w:after="0" w:line="215" w:lineRule="auto"/>
                                  <w:ind w:left="90" w:firstLine="70"/>
                                  <w:textDirection w:val="btLr"/>
                                </w:pPr>
                                <w:r>
                                  <w:rPr>
                                    <w:color w:val="000000"/>
                                    <w:sz w:val="14"/>
                                  </w:rPr>
                                  <w:t>Full-Text Articles Assessed for Eligibility = 123)</w:t>
                                </w:r>
                              </w:p>
                            </w:txbxContent>
                          </wps:txbx>
                          <wps:bodyPr spcFirstLastPara="1" wrap="square" lIns="34275" tIns="34275" rIns="34275" bIns="34275" anchor="ctr" anchorCtr="0">
                            <a:noAutofit/>
                          </wps:bodyPr>
                        </wps:wsp>
                        <wps:wsp>
                          <wps:cNvPr id="13525578" name="Rectangle: Rounded Corners 13525578"/>
                          <wps:cNvSpPr/>
                          <wps:spPr>
                            <a:xfrm>
                              <a:off x="3136189" y="2457996"/>
                              <a:ext cx="1034164" cy="723881"/>
                            </a:xfrm>
                            <a:prstGeom prst="roundRect">
                              <a:avLst>
                                <a:gd name="adj" fmla="val 16670"/>
                              </a:avLst>
                            </a:prstGeom>
                            <a:gradFill>
                              <a:gsLst>
                                <a:gs pos="0">
                                  <a:srgbClr val="5E81C9"/>
                                </a:gs>
                                <a:gs pos="50000">
                                  <a:srgbClr val="3B70C9"/>
                                </a:gs>
                                <a:gs pos="100000">
                                  <a:srgbClr val="2E60B8"/>
                                </a:gs>
                              </a:gsLst>
                              <a:lin ang="5400000" scaled="0"/>
                            </a:gradFill>
                            <a:ln>
                              <a:noFill/>
                            </a:ln>
                          </wps:spPr>
                          <wps:txbx>
                            <w:txbxContent>
                              <w:p w14:paraId="01DCBB07" w14:textId="77777777" w:rsidR="000E1A6B" w:rsidRDefault="000E1A6B">
                                <w:pPr>
                                  <w:spacing w:after="0" w:line="240" w:lineRule="auto"/>
                                  <w:textDirection w:val="btLr"/>
                                </w:pPr>
                              </w:p>
                            </w:txbxContent>
                          </wps:txbx>
                          <wps:bodyPr spcFirstLastPara="1" wrap="square" lIns="91425" tIns="91425" rIns="91425" bIns="91425" anchor="ctr" anchorCtr="0">
                            <a:noAutofit/>
                          </wps:bodyPr>
                        </wps:wsp>
                        <wps:wsp>
                          <wps:cNvPr id="2135382466" name="Text Box 2135382466"/>
                          <wps:cNvSpPr txBox="1"/>
                          <wps:spPr>
                            <a:xfrm>
                              <a:off x="3171532" y="2493339"/>
                              <a:ext cx="963478" cy="653195"/>
                            </a:xfrm>
                            <a:prstGeom prst="rect">
                              <a:avLst/>
                            </a:prstGeom>
                            <a:noFill/>
                            <a:ln>
                              <a:noFill/>
                            </a:ln>
                          </wps:spPr>
                          <wps:txbx>
                            <w:txbxContent>
                              <w:p w14:paraId="68915F84" w14:textId="77777777" w:rsidR="000E1A6B" w:rsidRDefault="00175F13">
                                <w:pPr>
                                  <w:spacing w:after="0" w:line="215" w:lineRule="auto"/>
                                  <w:jc w:val="center"/>
                                  <w:textDirection w:val="btLr"/>
                                </w:pPr>
                                <w:r>
                                  <w:rPr>
                                    <w:color w:val="000000"/>
                                    <w:sz w:val="20"/>
                                  </w:rPr>
                                  <w:t>INCLUDED</w:t>
                                </w:r>
                              </w:p>
                            </w:txbxContent>
                          </wps:txbx>
                          <wps:bodyPr spcFirstLastPara="1" wrap="square" lIns="38100" tIns="38100" rIns="38100" bIns="38100" anchor="ctr" anchorCtr="0">
                            <a:noAutofit/>
                          </wps:bodyPr>
                        </wps:wsp>
                        <wps:wsp>
                          <wps:cNvPr id="143189258" name="Rectangle 143189258"/>
                          <wps:cNvSpPr/>
                          <wps:spPr>
                            <a:xfrm>
                              <a:off x="4170354" y="2527034"/>
                              <a:ext cx="752152" cy="585073"/>
                            </a:xfrm>
                            <a:prstGeom prst="rect">
                              <a:avLst/>
                            </a:prstGeom>
                            <a:noFill/>
                            <a:ln>
                              <a:noFill/>
                            </a:ln>
                          </wps:spPr>
                          <wps:txbx>
                            <w:txbxContent>
                              <w:p w14:paraId="222B309B" w14:textId="77777777" w:rsidR="000E1A6B" w:rsidRDefault="000E1A6B">
                                <w:pPr>
                                  <w:spacing w:after="0" w:line="240" w:lineRule="auto"/>
                                  <w:textDirection w:val="btLr"/>
                                </w:pPr>
                              </w:p>
                            </w:txbxContent>
                          </wps:txbx>
                          <wps:bodyPr spcFirstLastPara="1" wrap="square" lIns="91425" tIns="91425" rIns="91425" bIns="91425" anchor="ctr" anchorCtr="0">
                            <a:noAutofit/>
                          </wps:bodyPr>
                        </wps:wsp>
                        <wps:wsp>
                          <wps:cNvPr id="829746720" name="Text Box 829746720"/>
                          <wps:cNvSpPr txBox="1"/>
                          <wps:spPr>
                            <a:xfrm>
                              <a:off x="4170354" y="2527034"/>
                              <a:ext cx="752152" cy="585073"/>
                            </a:xfrm>
                            <a:prstGeom prst="rect">
                              <a:avLst/>
                            </a:prstGeom>
                            <a:noFill/>
                            <a:ln>
                              <a:noFill/>
                            </a:ln>
                          </wps:spPr>
                          <wps:txbx>
                            <w:txbxContent>
                              <w:p w14:paraId="574245B4" w14:textId="77777777" w:rsidR="000E1A6B" w:rsidRDefault="00175F13">
                                <w:pPr>
                                  <w:spacing w:after="0" w:line="215" w:lineRule="auto"/>
                                  <w:ind w:left="90" w:firstLine="80"/>
                                  <w:textDirection w:val="btLr"/>
                                </w:pPr>
                                <w:r>
                                  <w:rPr>
                                    <w:color w:val="000000"/>
                                    <w:sz w:val="16"/>
                                  </w:rPr>
                                  <w:t>Total Studies included in the synthesis = 69)</w:t>
                                </w:r>
                              </w:p>
                            </w:txbxContent>
                          </wps:txbx>
                          <wps:bodyPr spcFirstLastPara="1" wrap="square" lIns="38100" tIns="38100" rIns="38100" bIns="38100" anchor="ctr" anchorCtr="0">
                            <a:noAutofit/>
                          </wps:bodyPr>
                        </wps:wsp>
                      </wpg:grpSp>
                    </wpg:wgp>
                  </a:graphicData>
                </a:graphic>
              </wp:inline>
            </w:drawing>
          </mc:Choice>
          <mc:Fallback>
            <w:pict>
              <v:group w14:anchorId="226F12A9" id="Group 1927354567" o:spid="_x0000_s1026"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">
                <v:group id="Group 1098366705" o:spid="_x0000_s1027"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">
                  <v:rect id="Rectangle 796887770" o:spid="_x0000_s1028"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" filled="f" stroked="f">
                    <v:textbox inset="2.53958mm,2.53958mm,2.53958mm,2.53958mm">
                      <w:txbxContent>
                        <w:p w14:paraId="387EDEB4" w14:textId="77777777" w:rsidR="000E1A6B" w:rsidRDefault="000E1A6B">
                          <w:pPr>
                            <w:spacing w:after="0" w:line="240" w:lineRule="auto"/>
                            <w:textDirection w:val="btLr"/>
                          </w:pPr>
                        </w:p>
                      </w:txbxContent>
                    </v:textbox>
                  </v:rect>
                  <v:shape id="Arrow: Bent-Up 1228086814" o:spid="_x0000_s1029" style="position:absolute;left:7266;top:6995;width:6143;height:6994;rotation:90;visibility:visible;mso-wrap-style:square;v-text-anchor:middle" coordsize="614326,699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" adj="-11796480,,5400" path="m,497644r359872,l359872,219806r-52709,l460745,,614326,219806r-52709,l561617,699389,,699389,,497644xe" fillcolor="#c7cfe7" stroked="f">
                    <v:fill color2="#a4aecb" colors="0 #c7cfe7;.5 #bdc7e4;1 #a4aecb" focus="100%" type="gradient">
                      <o:fill v:ext="view" type="gradientUnscaled"/>
                    </v:fill>
                    <v:stroke joinstyle="miter"/>
                    <v:formulas/>
                    <v:path arrowok="t" o:connecttype="custom" o:connectlocs="0,497644;359872,497644;359872,219806;307163,219806;460745,0;614326,219806;561617,219806;561617,699389;0,699389;0,497644" o:connectangles="0,0,0,0,0,0,0,0,0,0" textboxrect="0,0,614326,699389"/>
                    <v:textbox inset="2.53958mm,2.53958mm,2.53958mm,2.53958mm">
                      <w:txbxContent>
                        <w:p w14:paraId="08816832" w14:textId="77777777" w:rsidR="000E1A6B" w:rsidRDefault="000E1A6B">
                          <w:pPr>
                            <w:spacing w:after="0" w:line="240" w:lineRule="auto"/>
                            <w:textDirection w:val="btLr"/>
                          </w:pPr>
                        </w:p>
                      </w:txbxContent>
                    </v:textbox>
                  </v:shape>
                  <v:roundrect id="Rectangle: Rounded Corners 14696293" o:spid="_x0000_s1030" style="position:absolute;left:5638;top:185;width:10342;height:7239;visibility:visible;mso-wrap-style:square;v-text-anchor:midd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" fillcolor="#5e81c9" stroked="f">
                    <v:fill color2="#2e60b8" colors="0 #5e81c9;.5 #3b70c9;1 #2e60b8" focus="100%" type="gradient">
                      <o:fill v:ext="view" type="gradientUnscaled"/>
                    </v:fill>
                    <v:textbox inset="2.53958mm,2.53958mm,2.53958mm,2.53958mm">
                      <w:txbxContent>
                        <w:p w14:paraId="424041F0" w14:textId="77777777" w:rsidR="000E1A6B" w:rsidRDefault="000E1A6B">
                          <w:pPr>
                            <w:spacing w:after="0" w:line="240" w:lineRule="auto"/>
                            <w:textDirection w:val="btLr"/>
                          </w:pPr>
                        </w:p>
                      </w:txbxContent>
                    </v:textbox>
                  </v:roundrect>
                  <v:shapetype id="_x0000_t202" coordsize="21600,21600" o:spt="202" path="m,l,21600r21600,l21600,xe">
                    <v:stroke joinstyle="miter"/>
                    <v:path gradientshapeok="t" o:connecttype="rect"/>
                  </v:shapetype>
                  <v:shape id="Text Box 234869009" o:spid="_x0000_s1031" type="#_x0000_t202" style="position:absolute;left:5992;top:538;width:9635;height:6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" filled="f" stroked="f">
                    <v:textbox inset="3pt,3pt,3pt,3pt">
                      <w:txbxContent>
                        <w:p w14:paraId="2D0F21ED" w14:textId="77777777" w:rsidR="000E1A6B" w:rsidRDefault="00175F13">
                          <w:pPr>
                            <w:spacing w:after="0" w:line="215" w:lineRule="auto"/>
                            <w:jc w:val="center"/>
                            <w:textDirection w:val="btLr"/>
                          </w:pPr>
                          <w:r>
                            <w:rPr>
                              <w:b/>
                              <w:color w:val="000000"/>
                              <w:sz w:val="20"/>
                            </w:rPr>
                            <w:t>IDENTIFICATION</w:t>
                          </w:r>
                        </w:p>
                      </w:txbxContent>
                    </v:textbox>
                  </v:shape>
                  <v:rect id="Rectangle 1533381156" o:spid="_x0000_s1032" style="position:absolute;left:15980;top:875;width:7522;height:5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" filled="f" stroked="f">
                    <v:textbox inset="2.53958mm,2.53958mm,2.53958mm,2.53958mm">
                      <w:txbxContent>
                        <w:p w14:paraId="5136A43E" w14:textId="77777777" w:rsidR="000E1A6B" w:rsidRDefault="000E1A6B">
                          <w:pPr>
                            <w:spacing w:after="0" w:line="240" w:lineRule="auto"/>
                            <w:textDirection w:val="btLr"/>
                          </w:pPr>
                        </w:p>
                      </w:txbxContent>
                    </v:textbox>
                  </v:rect>
                  <v:shape id="Text Box 877500115" o:spid="_x0000_s1033" type="#_x0000_t202" style="position:absolute;left:15980;top:875;width:7522;height:5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" filled="f" stroked="f">
                    <v:textbox inset=".95208mm,.95208mm,.95208mm,.95208mm">
                      <w:txbxContent>
                        <w:p w14:paraId="348F4167" w14:textId="77777777" w:rsidR="000E1A6B" w:rsidRDefault="00175F13">
                          <w:pPr>
                            <w:spacing w:after="0" w:line="215" w:lineRule="auto"/>
                            <w:ind w:left="90" w:firstLine="70"/>
                            <w:textDirection w:val="btLr"/>
                          </w:pPr>
                          <w:r>
                            <w:rPr>
                              <w:color w:val="000000"/>
                              <w:sz w:val="14"/>
                            </w:rPr>
                            <w:t>Total articles retrieved from database = 433)</w:t>
                          </w:r>
                        </w:p>
                      </w:txbxContent>
                    </v:textbox>
                  </v:shape>
                  <v:shape id="Arrow: Bent-Up 1335748473" o:spid="_x0000_s1034" style="position:absolute;left:15840;top:15127;width:6143;height:6994;rotation:90;visibility:visible;mso-wrap-style:square;v-text-anchor:middle" coordsize="614326,699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" adj="-11796480,,5400" path="m,497644r359872,l359872,219806r-52709,l460745,,614326,219806r-52709,l561617,699389,,699389,,497644xe" fillcolor="#c7cfe7" stroked="f">
                    <v:fill color2="#a4aecb" colors="0 #c7cfe7;.5 #bdc7e4;1 #a4aecb" focus="100%" type="gradient">
                      <o:fill v:ext="view" type="gradientUnscaled"/>
                    </v:fill>
                    <v:stroke joinstyle="miter"/>
                    <v:formulas/>
                    <v:path arrowok="t" o:connecttype="custom" o:connectlocs="0,497644;359872,497644;359872,219806;307163,219806;460745,0;614326,219806;561617,219806;561617,699389;0,699389;0,497644" o:connectangles="0,0,0,0,0,0,0,0,0,0" textboxrect="0,0,614326,699389"/>
                    <v:textbox inset="2.53958mm,2.53958mm,2.53958mm,2.53958mm">
                      <w:txbxContent>
                        <w:p w14:paraId="2DB5C322" w14:textId="77777777" w:rsidR="000E1A6B" w:rsidRDefault="000E1A6B">
                          <w:pPr>
                            <w:spacing w:after="0" w:line="240" w:lineRule="auto"/>
                            <w:textDirection w:val="btLr"/>
                          </w:pPr>
                        </w:p>
                      </w:txbxContent>
                    </v:textbox>
                  </v:shape>
                  <v:roundrect id="Rectangle: Rounded Corners 211569874" o:spid="_x0000_s1035" style="position:absolute;left:14213;top:8316;width:10341;height:7239;visibility:visible;mso-wrap-style:square;v-text-anchor:midd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" fillcolor="#5e81c9" stroked="f">
                    <v:fill color2="#2e60b8" colors="0 #5e81c9;.5 #3b70c9;1 #2e60b8" focus="100%" type="gradient">
                      <o:fill v:ext="view" type="gradientUnscaled"/>
                    </v:fill>
                    <v:textbox inset="2.53958mm,2.53958mm,2.53958mm,2.53958mm">
                      <w:txbxContent>
                        <w:p w14:paraId="29AE4B71" w14:textId="77777777" w:rsidR="000E1A6B" w:rsidRDefault="000E1A6B">
                          <w:pPr>
                            <w:spacing w:after="0" w:line="240" w:lineRule="auto"/>
                            <w:textDirection w:val="btLr"/>
                          </w:pPr>
                        </w:p>
                      </w:txbxContent>
                    </v:textbox>
                  </v:roundrect>
                  <v:shape id="Text Box 1456388881" o:spid="_x0000_s1036" type="#_x0000_t202" style="position:absolute;left:14566;top:8670;width:9635;height:6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" filled="f" stroked="f">
                    <v:textbox inset="3pt,3pt,3pt,3pt">
                      <w:txbxContent>
                        <w:p w14:paraId="3D334423" w14:textId="77777777" w:rsidR="000E1A6B" w:rsidRDefault="00175F13">
                          <w:pPr>
                            <w:spacing w:after="0" w:line="215" w:lineRule="auto"/>
                            <w:jc w:val="center"/>
                            <w:textDirection w:val="btLr"/>
                          </w:pPr>
                          <w:r>
                            <w:rPr>
                              <w:b/>
                              <w:color w:val="000000"/>
                              <w:sz w:val="20"/>
                            </w:rPr>
                            <w:t>SCREENING</w:t>
                          </w:r>
                        </w:p>
                      </w:txbxContent>
                    </v:textbox>
                  </v:shape>
                  <v:rect id="Rectangle 1910165675" o:spid="_x0000_s1037" style="position:absolute;left:24554;top:9007;width:7522;height:5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" filled="f" stroked="f">
                    <v:textbox inset="2.53958mm,2.53958mm,2.53958mm,2.53958mm">
                      <w:txbxContent>
                        <w:p w14:paraId="43D8A853" w14:textId="77777777" w:rsidR="000E1A6B" w:rsidRDefault="000E1A6B">
                          <w:pPr>
                            <w:spacing w:after="0" w:line="240" w:lineRule="auto"/>
                            <w:textDirection w:val="btLr"/>
                          </w:pPr>
                        </w:p>
                      </w:txbxContent>
                    </v:textbox>
                  </v:rect>
                  <v:shape id="Text Box 1678979258" o:spid="_x0000_s1038" type="#_x0000_t202" style="position:absolute;left:24554;top:9007;width:7522;height:5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" filled="f" stroked="f">
                    <v:textbox inset=".95208mm,.95208mm,.95208mm,.95208mm">
                      <w:txbxContent>
                        <w:p w14:paraId="46CC3E64" w14:textId="77777777" w:rsidR="000E1A6B" w:rsidRDefault="00175F13">
                          <w:pPr>
                            <w:spacing w:after="0" w:line="215" w:lineRule="auto"/>
                            <w:ind w:left="90" w:firstLine="70"/>
                            <w:textDirection w:val="btLr"/>
                          </w:pPr>
                          <w:r>
                            <w:rPr>
                              <w:color w:val="000000"/>
                              <w:sz w:val="14"/>
                            </w:rPr>
                            <w:t>(Total number excluded after screening = 310)</w:t>
                          </w:r>
                        </w:p>
                      </w:txbxContent>
                    </v:textbox>
                  </v:shape>
                  <v:shape id="Arrow: Bent-Up 82462955" o:spid="_x0000_s1039" style="position:absolute;left:24414;top:23258;width:6143;height:6994;rotation:90;visibility:visible;mso-wrap-style:square;v-text-anchor:middle" coordsize="614326,699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" adj="-11796480,,5400" path="m,497644r359872,l359872,219806r-52709,l460745,,614326,219806r-52709,l561617,699389,,699389,,497644xe" fillcolor="#c7cfe7" stroked="f">
                    <v:fill color2="#a4aecb" colors="0 #c7cfe7;.5 #bdc7e4;1 #a4aecb" focus="100%" type="gradient">
                      <o:fill v:ext="view" type="gradientUnscaled"/>
                    </v:fill>
                    <v:stroke joinstyle="miter"/>
                    <v:formulas/>
                    <v:path arrowok="t" o:connecttype="custom" o:connectlocs="0,497644;359872,497644;359872,219806;307163,219806;460745,0;614326,219806;561617,219806;561617,699389;0,699389;0,497644" o:connectangles="0,0,0,0,0,0,0,0,0,0" textboxrect="0,0,614326,699389"/>
                    <v:textbox inset="2.53958mm,2.53958mm,2.53958mm,2.53958mm">
                      <w:txbxContent>
                        <w:p w14:paraId="39755F84" w14:textId="77777777" w:rsidR="000E1A6B" w:rsidRDefault="000E1A6B">
                          <w:pPr>
                            <w:spacing w:after="0" w:line="240" w:lineRule="auto"/>
                            <w:textDirection w:val="btLr"/>
                          </w:pPr>
                        </w:p>
                      </w:txbxContent>
                    </v:textbox>
                  </v:shape>
                  <v:roundrect id="Rectangle: Rounded Corners 944453766" o:spid="_x0000_s1040" style="position:absolute;left:22787;top:16448;width:10342;height:7239;visibility:visible;mso-wrap-style:square;v-text-anchor:midd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" fillcolor="#5e81c9" stroked="f">
                    <v:fill color2="#2e60b8" colors="0 #5e81c9;.5 #3b70c9;1 #2e60b8" focus="100%" type="gradient">
                      <o:fill v:ext="view" type="gradientUnscaled"/>
                    </v:fill>
                    <v:textbox inset="2.53958mm,2.53958mm,2.53958mm,2.53958mm">
                      <w:txbxContent>
                        <w:p w14:paraId="7289D92D" w14:textId="77777777" w:rsidR="000E1A6B" w:rsidRDefault="000E1A6B">
                          <w:pPr>
                            <w:spacing w:after="0" w:line="240" w:lineRule="auto"/>
                            <w:textDirection w:val="btLr"/>
                          </w:pPr>
                        </w:p>
                      </w:txbxContent>
                    </v:textbox>
                  </v:roundrect>
                  <v:shape id="Text Box 1332094768" o:spid="_x0000_s1041" type="#_x0000_t202" style="position:absolute;left:23141;top:16801;width:9634;height:6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" filled="f" stroked="f">
                    <v:textbox inset="3pt,3pt,3pt,3pt">
                      <w:txbxContent>
                        <w:p w14:paraId="76B0BF79" w14:textId="77777777" w:rsidR="000E1A6B" w:rsidRDefault="00175F13">
                          <w:pPr>
                            <w:spacing w:after="0" w:line="215" w:lineRule="auto"/>
                            <w:jc w:val="center"/>
                            <w:textDirection w:val="btLr"/>
                          </w:pPr>
                          <w:r>
                            <w:rPr>
                              <w:b/>
                              <w:color w:val="000000"/>
                              <w:sz w:val="20"/>
                            </w:rPr>
                            <w:t>ELIGIBILITY</w:t>
                          </w:r>
                        </w:p>
                        <w:p w14:paraId="75AE6B28" w14:textId="77777777" w:rsidR="000E1A6B" w:rsidRDefault="000E1A6B">
                          <w:pPr>
                            <w:spacing w:before="70" w:after="0" w:line="215" w:lineRule="auto"/>
                            <w:jc w:val="center"/>
                            <w:textDirection w:val="btLr"/>
                          </w:pPr>
                        </w:p>
                      </w:txbxContent>
                    </v:textbox>
                  </v:shape>
                  <v:rect id="Rectangle 870720592" o:spid="_x0000_s1042" style="position:absolute;left:33129;top:17138;width:7521;height:5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" filled="f" stroked="f">
                    <v:textbox inset="2.53958mm,2.53958mm,2.53958mm,2.53958mm">
                      <w:txbxContent>
                        <w:p w14:paraId="414FD715" w14:textId="77777777" w:rsidR="000E1A6B" w:rsidRDefault="000E1A6B">
                          <w:pPr>
                            <w:spacing w:after="0" w:line="240" w:lineRule="auto"/>
                            <w:textDirection w:val="btLr"/>
                          </w:pPr>
                        </w:p>
                      </w:txbxContent>
                    </v:textbox>
                  </v:rect>
                  <v:shape id="Text Box 891272545" o:spid="_x0000_s1043" type="#_x0000_t202" style="position:absolute;left:33129;top:17138;width:7521;height:5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" filled="f" stroked="f">
                    <v:textbox inset=".95208mm,.95208mm,.95208mm,.95208mm">
                      <w:txbxContent>
                        <w:p w14:paraId="6F450104" w14:textId="77777777" w:rsidR="000E1A6B" w:rsidRDefault="00175F13">
                          <w:pPr>
                            <w:spacing w:after="0" w:line="215" w:lineRule="auto"/>
                            <w:ind w:left="90" w:firstLine="70"/>
                            <w:textDirection w:val="btLr"/>
                          </w:pPr>
                          <w:r>
                            <w:rPr>
                              <w:color w:val="000000"/>
                              <w:sz w:val="14"/>
                            </w:rPr>
                            <w:t>Full-Text Articles Assessed for Eligibility = 123)</w:t>
                          </w:r>
                        </w:p>
                      </w:txbxContent>
                    </v:textbox>
                  </v:shape>
                  <v:roundrect id="Rectangle: Rounded Corners 13525578" o:spid="_x0000_s1044" style="position:absolute;left:31361;top:24579;width:10342;height:7239;visibility:visible;mso-wrap-style:square;v-text-anchor:midd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" fillcolor="#5e81c9" stroked="f">
                    <v:fill color2="#2e60b8" colors="0 #5e81c9;.5 #3b70c9;1 #2e60b8" focus="100%" type="gradient">
                      <o:fill v:ext="view" type="gradientUnscaled"/>
                    </v:fill>
                    <v:textbox inset="2.53958mm,2.53958mm,2.53958mm,2.53958mm">
                      <w:txbxContent>
                        <w:p w14:paraId="01DCBB07" w14:textId="77777777" w:rsidR="000E1A6B" w:rsidRDefault="000E1A6B">
                          <w:pPr>
                            <w:spacing w:after="0" w:line="240" w:lineRule="auto"/>
                            <w:textDirection w:val="btLr"/>
                          </w:pPr>
                        </w:p>
                      </w:txbxContent>
                    </v:textbox>
                  </v:roundrect>
                  <v:shape id="Text Box 2135382466" o:spid="_x0000_s1045" type="#_x0000_t202" style="position:absolute;left:31715;top:24933;width:9635;height:6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" filled="f" stroked="f">
                    <v:textbox inset="3pt,3pt,3pt,3pt">
                      <w:txbxContent>
                        <w:p w14:paraId="68915F84" w14:textId="77777777" w:rsidR="000E1A6B" w:rsidRDefault="00175F13">
                          <w:pPr>
                            <w:spacing w:after="0" w:line="215" w:lineRule="auto"/>
                            <w:jc w:val="center"/>
                            <w:textDirection w:val="btLr"/>
                          </w:pPr>
                          <w:r>
                            <w:rPr>
                              <w:color w:val="000000"/>
                              <w:sz w:val="20"/>
                            </w:rPr>
                            <w:t>INCLUDED</w:t>
                          </w:r>
                        </w:p>
                      </w:txbxContent>
                    </v:textbox>
                  </v:shape>
                  <v:rect id="Rectangle 143189258" o:spid="_x0000_s1046" style="position:absolute;left:41703;top:25270;width:7522;height:5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" filled="f" stroked="f">
                    <v:textbox inset="2.53958mm,2.53958mm,2.53958mm,2.53958mm">
                      <w:txbxContent>
                        <w:p w14:paraId="222B309B" w14:textId="77777777" w:rsidR="000E1A6B" w:rsidRDefault="000E1A6B">
                          <w:pPr>
                            <w:spacing w:after="0" w:line="240" w:lineRule="auto"/>
                            <w:textDirection w:val="btLr"/>
                          </w:pPr>
                        </w:p>
                      </w:txbxContent>
                    </v:textbox>
                  </v:rect>
                  <v:shape id="Text Box 829746720" o:spid="_x0000_s1047" type="#_x0000_t202" style="position:absolute;left:41703;top:25270;width:7522;height:5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" filled="f" stroked="f">
                    <v:textbox inset="3pt,3pt,3pt,3pt">
                      <w:txbxContent>
                        <w:p w14:paraId="574245B4" w14:textId="77777777" w:rsidR="000E1A6B" w:rsidRDefault="00175F13">
                          <w:pPr>
                            <w:spacing w:after="0" w:line="215" w:lineRule="auto"/>
                            <w:ind w:left="90" w:firstLine="80"/>
                            <w:textDirection w:val="btLr"/>
                          </w:pPr>
                          <w:r>
                            <w:rPr>
                              <w:color w:val="000000"/>
                              <w:sz w:val="16"/>
                            </w:rPr>
                            <w:t>Total Studies included in the synthesis = 69)</w:t>
                          </w:r>
                        </w:p>
                      </w:txbxContent>
                    </v:textbox>
                  </v:shape>
                </v:group>
                <w10:anchorlock/>
              </v:group>
            </w:pict>
          </mc:Fallback>
        </mc:AlternateContent>
      </w:r>
    </w:p>
    <w:p w14:paraId="36838062" w14:textId="77777777" w:rsidR="00175F13" w:rsidRDefault="00175F13">
      <w:pPr>
        <w:spacing w:line="276" w:lineRule="auto"/>
        <w:jc w:val="center"/>
        <w:rPr>
          <w:rFonts w:ascii="Arial" w:eastAsia="Arial" w:hAnsi="Arial" w:cs="Arial"/>
          <w:b/>
          <w:bCs/>
          <w:sz w:val="20"/>
          <w:szCs w:val="20"/>
        </w:rPr>
      </w:pPr>
    </w:p>
    <w:p w14:paraId="2E8A7146" w14:textId="77777777" w:rsidR="000E1A6B" w:rsidRDefault="00175F13">
      <w:pPr>
        <w:spacing w:line="276" w:lineRule="auto"/>
        <w:jc w:val="center"/>
        <w:rPr>
          <w:rFonts w:ascii="Arial" w:eastAsia="Arial" w:hAnsi="Arial" w:cs="Arial"/>
          <w:b/>
          <w:bCs/>
        </w:rPr>
      </w:pPr>
      <w:r>
        <w:rPr>
          <w:rFonts w:ascii="Arial" w:eastAsia="Arial" w:hAnsi="Arial" w:cs="Arial"/>
          <w:b/>
          <w:bCs/>
          <w:sz w:val="20"/>
          <w:szCs w:val="20"/>
        </w:rPr>
        <w:t>Figure 1: PRISMA Flowchart</w:t>
      </w:r>
    </w:p>
    <w:p w14:paraId="1028439A" w14:textId="77777777" w:rsidR="000E1A6B" w:rsidRDefault="00175F13">
      <w:pPr>
        <w:spacing w:line="276" w:lineRule="auto"/>
        <w:rPr>
          <w:rFonts w:ascii="Arial" w:eastAsia="Arial" w:hAnsi="Arial" w:cs="Arial"/>
          <w:b/>
          <w:bCs/>
        </w:rPr>
      </w:pPr>
      <w:r>
        <w:rPr>
          <w:rFonts w:ascii="Arial" w:eastAsia="Arial" w:hAnsi="Arial" w:cs="Arial"/>
          <w:b/>
          <w:bCs/>
        </w:rPr>
        <w:t>4. RESULTS</w:t>
      </w:r>
    </w:p>
    <w:p w14:paraId="73B6351F" w14:textId="77777777" w:rsidR="000E1A6B" w:rsidRDefault="00175F13">
      <w:pPr>
        <w:spacing w:line="276" w:lineRule="auto"/>
        <w:rPr>
          <w:rFonts w:ascii="Arial" w:eastAsia="Arial" w:hAnsi="Arial" w:cs="Arial"/>
          <w:b/>
          <w:bCs/>
        </w:rPr>
      </w:pPr>
      <w:r>
        <w:rPr>
          <w:rFonts w:ascii="Arial" w:eastAsia="Arial" w:hAnsi="Arial" w:cs="Arial"/>
          <w:b/>
          <w:bCs/>
        </w:rPr>
        <w:t>4.1 Overview of Digital Mental Health Tools for Students</w:t>
      </w:r>
    </w:p>
    <w:p w14:paraId="3020DFB9"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Many medical interventions, including digital treatment for psychological wellbeing, have been developed towards the increasing prevalence of mental health issues among university students. These tools are most commonly found via mobile apps, online programs and virtual therapy settings (Fernández-</w:t>
      </w:r>
      <w:proofErr w:type="spellStart"/>
      <w:r>
        <w:rPr>
          <w:rFonts w:ascii="Arial" w:eastAsia="Arial" w:hAnsi="Arial" w:cs="Arial"/>
          <w:sz w:val="20"/>
          <w:szCs w:val="20"/>
        </w:rPr>
        <w:t>Batanero</w:t>
      </w:r>
      <w:proofErr w:type="spellEnd"/>
      <w:r>
        <w:rPr>
          <w:rFonts w:ascii="Arial" w:eastAsia="Arial" w:hAnsi="Arial" w:cs="Arial"/>
          <w:sz w:val="20"/>
          <w:szCs w:val="20"/>
        </w:rPr>
        <w:t xml:space="preserve"> et al., 2025; </w:t>
      </w:r>
      <w:proofErr w:type="spellStart"/>
      <w:r>
        <w:rPr>
          <w:rFonts w:ascii="Arial" w:eastAsia="Arial" w:hAnsi="Arial" w:cs="Arial"/>
          <w:sz w:val="20"/>
          <w:szCs w:val="20"/>
        </w:rPr>
        <w:t>Löchner</w:t>
      </w:r>
      <w:proofErr w:type="spellEnd"/>
      <w:r>
        <w:rPr>
          <w:rFonts w:ascii="Arial" w:eastAsia="Arial" w:hAnsi="Arial" w:cs="Arial"/>
          <w:sz w:val="20"/>
          <w:szCs w:val="20"/>
        </w:rPr>
        <w:t xml:space="preserve"> et al., 2025; Rashid et al., 2025). Digital mental health practices can be flexible, cost-effective, and flexible for students with problems with stigma, time constraints, and limited access to services (Ponzo et al., 2020; Rashid et al., 2025).</w:t>
      </w:r>
    </w:p>
    <w:p w14:paraId="7833809D"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lastRenderedPageBreak/>
        <w:t>Here, a variety of digital mental health tools are discussed here: mobile apps that provide psychoeducation, mindfulness-based exercises, and mood analysis. These apps include a range of intervention strategies such as cognitive-behavioural therapy (CBT) in-app interventions that help users identify and perform structured exercises designed to change negative thinking patterns and decrease stress and anxiety (Dekker et al., 2020; Fernández-</w:t>
      </w:r>
      <w:proofErr w:type="spellStart"/>
      <w:r>
        <w:rPr>
          <w:rFonts w:ascii="Arial" w:eastAsia="Arial" w:hAnsi="Arial" w:cs="Arial"/>
          <w:sz w:val="20"/>
          <w:szCs w:val="20"/>
        </w:rPr>
        <w:t>Batanero</w:t>
      </w:r>
      <w:proofErr w:type="spellEnd"/>
      <w:r>
        <w:rPr>
          <w:rFonts w:ascii="Arial" w:eastAsia="Arial" w:hAnsi="Arial" w:cs="Arial"/>
          <w:sz w:val="20"/>
          <w:szCs w:val="20"/>
        </w:rPr>
        <w:t xml:space="preserve"> et al., 2025; Ponzo et al., 2020; Ferrari et al., 2022). Mindfulness apps also help students explore their emotions and learn to respond emotionally to guided meditation, breathing exercises and mindful mindfulness practices (Epping-Jordan et al.,2016; Garcia-Vazquez et al., 2025; </w:t>
      </w:r>
      <w:proofErr w:type="spellStart"/>
      <w:r>
        <w:rPr>
          <w:rFonts w:ascii="Arial" w:eastAsia="Arial" w:hAnsi="Arial" w:cs="Arial"/>
          <w:sz w:val="20"/>
          <w:szCs w:val="20"/>
        </w:rPr>
        <w:t>Harerimana</w:t>
      </w:r>
      <w:proofErr w:type="spellEnd"/>
      <w:r>
        <w:rPr>
          <w:rFonts w:ascii="Arial" w:eastAsia="Arial" w:hAnsi="Arial" w:cs="Arial"/>
          <w:sz w:val="20"/>
          <w:szCs w:val="20"/>
        </w:rPr>
        <w:t xml:space="preserve"> et al., 2025; </w:t>
      </w:r>
      <w:proofErr w:type="spellStart"/>
      <w:r>
        <w:rPr>
          <w:rFonts w:ascii="Arial" w:eastAsia="Arial" w:hAnsi="Arial" w:cs="Arial"/>
          <w:sz w:val="20"/>
          <w:szCs w:val="20"/>
        </w:rPr>
        <w:t>Nosè</w:t>
      </w:r>
      <w:proofErr w:type="spellEnd"/>
      <w:r>
        <w:rPr>
          <w:rFonts w:ascii="Arial" w:eastAsia="Arial" w:hAnsi="Arial" w:cs="Arial"/>
          <w:sz w:val="20"/>
          <w:szCs w:val="20"/>
        </w:rPr>
        <w:t xml:space="preserve"> et al., 2025; </w:t>
      </w:r>
      <w:proofErr w:type="spellStart"/>
      <w:r>
        <w:rPr>
          <w:rFonts w:ascii="Arial" w:eastAsia="Arial" w:hAnsi="Arial" w:cs="Arial"/>
          <w:sz w:val="20"/>
          <w:szCs w:val="20"/>
        </w:rPr>
        <w:t>Praash</w:t>
      </w:r>
      <w:proofErr w:type="spellEnd"/>
      <w:r>
        <w:rPr>
          <w:rFonts w:ascii="Arial" w:eastAsia="Arial" w:hAnsi="Arial" w:cs="Arial"/>
          <w:sz w:val="20"/>
          <w:szCs w:val="20"/>
        </w:rPr>
        <w:t xml:space="preserve">, 2021; </w:t>
      </w:r>
      <w:proofErr w:type="spellStart"/>
      <w:r>
        <w:rPr>
          <w:rFonts w:ascii="Arial" w:eastAsia="Arial" w:hAnsi="Arial" w:cs="Arial"/>
          <w:sz w:val="20"/>
          <w:szCs w:val="20"/>
        </w:rPr>
        <w:t>Regmi</w:t>
      </w:r>
      <w:proofErr w:type="spellEnd"/>
      <w:r>
        <w:rPr>
          <w:rFonts w:ascii="Arial" w:eastAsia="Arial" w:hAnsi="Arial" w:cs="Arial"/>
          <w:sz w:val="20"/>
          <w:szCs w:val="20"/>
        </w:rPr>
        <w:t xml:space="preserve"> &amp; Cohen, 2025; Ponzo et al., 2020).</w:t>
      </w:r>
    </w:p>
    <w:p w14:paraId="6ADA0104"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 xml:space="preserve">Telemedicine platforms use videoconferencing to connect students and mental health professionals in remote or underserved communities (Ayoola et al., 2025, David-Olawade et al., 2024, Haleem </w:t>
      </w:r>
      <w:proofErr w:type="spellStart"/>
      <w:r>
        <w:rPr>
          <w:rFonts w:ascii="Arial" w:eastAsia="Arial" w:hAnsi="Arial" w:cs="Arial"/>
          <w:sz w:val="20"/>
          <w:szCs w:val="20"/>
        </w:rPr>
        <w:t>etal</w:t>
      </w:r>
      <w:proofErr w:type="spellEnd"/>
      <w:r>
        <w:rPr>
          <w:rFonts w:ascii="Arial" w:eastAsia="Arial" w:hAnsi="Arial" w:cs="Arial"/>
          <w:sz w:val="20"/>
          <w:szCs w:val="20"/>
        </w:rPr>
        <w:t xml:space="preserve">., 2021, Nelson et al., 2023, </w:t>
      </w:r>
      <w:proofErr w:type="spellStart"/>
      <w:r>
        <w:rPr>
          <w:rFonts w:ascii="Arial" w:eastAsia="Arial" w:hAnsi="Arial" w:cs="Arial"/>
          <w:sz w:val="20"/>
          <w:szCs w:val="20"/>
        </w:rPr>
        <w:t>Nosè</w:t>
      </w:r>
      <w:proofErr w:type="spellEnd"/>
      <w:r>
        <w:rPr>
          <w:rFonts w:ascii="Arial" w:eastAsia="Arial" w:hAnsi="Arial" w:cs="Arial"/>
          <w:sz w:val="20"/>
          <w:szCs w:val="20"/>
        </w:rPr>
        <w:t xml:space="preserve"> et al., 2025). These platforms are designed to provide a more personalized experience than self-guided apps, incorporating one on one interaction with therapists to support student who might suffer from extreme mental health issues.</w:t>
      </w:r>
    </w:p>
    <w:p w14:paraId="4865EB91"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 xml:space="preserve">Virtual reality practices have become an interesting solution, providing immersive experiences that simulate therapeutic environments to reduce anxiety and enhance relaxation through virtual reality (Fahey, 2025; </w:t>
      </w:r>
      <w:proofErr w:type="spellStart"/>
      <w:r>
        <w:rPr>
          <w:rFonts w:ascii="Arial" w:eastAsia="Arial" w:hAnsi="Arial" w:cs="Arial"/>
          <w:sz w:val="20"/>
          <w:szCs w:val="20"/>
        </w:rPr>
        <w:t>Kukharuk</w:t>
      </w:r>
      <w:proofErr w:type="spellEnd"/>
      <w:r>
        <w:rPr>
          <w:rFonts w:ascii="Arial" w:eastAsia="Arial" w:hAnsi="Arial" w:cs="Arial"/>
          <w:sz w:val="20"/>
          <w:szCs w:val="20"/>
        </w:rPr>
        <w:t xml:space="preserve"> et al., 2025; Rashid et al., 2025; Zhang et al., 2025). These VR-based tools can create controlled spaces that expose students to stress in a safe, gradual manner, and offer the students the opportunity to develop coping strategies for their own challenges.</w:t>
      </w:r>
    </w:p>
    <w:p w14:paraId="090AEFEC" w14:textId="77777777" w:rsidR="000E1A6B" w:rsidRDefault="00175F13">
      <w:pPr>
        <w:spacing w:line="276" w:lineRule="auto"/>
        <w:jc w:val="both"/>
        <w:rPr>
          <w:rFonts w:ascii="Arial" w:eastAsia="Arial" w:hAnsi="Arial" w:cs="Arial"/>
          <w:sz w:val="20"/>
          <w:szCs w:val="20"/>
        </w:rPr>
      </w:pPr>
      <w:proofErr w:type="spellStart"/>
      <w:r>
        <w:rPr>
          <w:rFonts w:ascii="Arial" w:eastAsia="Arial" w:hAnsi="Arial" w:cs="Arial"/>
          <w:sz w:val="20"/>
          <w:szCs w:val="20"/>
        </w:rPr>
        <w:t>Digitaltools</w:t>
      </w:r>
      <w:proofErr w:type="spellEnd"/>
      <w:r>
        <w:rPr>
          <w:rFonts w:ascii="Arial" w:eastAsia="Arial" w:hAnsi="Arial" w:cs="Arial"/>
          <w:sz w:val="20"/>
          <w:szCs w:val="20"/>
        </w:rPr>
        <w:t xml:space="preserve"> are categorized as a purpose and intervention type. For example, stress management tools include apps that provide relaxation exercises, biofeedback, and breathing strategies (Ponzo et al., 2020). Mood tracking tools help students record their emotions and identify patterns over time to gain insights into mental health and stress- and anxiety symptoms (</w:t>
      </w:r>
      <w:proofErr w:type="spellStart"/>
      <w:r>
        <w:rPr>
          <w:rFonts w:ascii="Arial" w:eastAsia="Arial" w:hAnsi="Arial" w:cs="Arial"/>
          <w:sz w:val="20"/>
          <w:szCs w:val="20"/>
        </w:rPr>
        <w:t>Nosè</w:t>
      </w:r>
      <w:proofErr w:type="spellEnd"/>
      <w:r>
        <w:rPr>
          <w:rFonts w:ascii="Arial" w:eastAsia="Arial" w:hAnsi="Arial" w:cs="Arial"/>
          <w:sz w:val="20"/>
          <w:szCs w:val="20"/>
        </w:rPr>
        <w:t xml:space="preserve"> et al., 2025). Other social support networks, such as online forums or chatbots that offer peer counselling, connect students with peers or mental health professionals for emotional support and community-building (Dekker et al., 2020).</w:t>
      </w:r>
    </w:p>
    <w:p w14:paraId="03A2E6D6"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Across all digital mental health services, there are several kinds of interventions for digital mental health with different delivery methods, purpose and targeted population. They are flexible and easily accessible to students at universities – particularly in situations of stress and anxiety, and need to be addressed as mental health professionals at the school or colleges where stress and anxiety are prevalent.</w:t>
      </w:r>
    </w:p>
    <w:p w14:paraId="1B7E58C4" w14:textId="77777777" w:rsidR="000E1A6B" w:rsidRDefault="00175F13">
      <w:pPr>
        <w:spacing w:line="276" w:lineRule="auto"/>
        <w:rPr>
          <w:rFonts w:ascii="Arial" w:eastAsia="Arial" w:hAnsi="Arial" w:cs="Arial"/>
          <w:b/>
          <w:bCs/>
        </w:rPr>
      </w:pPr>
      <w:r>
        <w:rPr>
          <w:rFonts w:ascii="Arial" w:eastAsia="Arial" w:hAnsi="Arial" w:cs="Arial"/>
          <w:b/>
          <w:bCs/>
        </w:rPr>
        <w:t>4.2 Impact of Digital Mental Health Tools on Academic Performance</w:t>
      </w:r>
    </w:p>
    <w:p w14:paraId="59201372"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Digital mental health practices have shown promising results in improving student's mental health, and their academic performance. Studies consistently point to the importance of mental health in the prevention of academic outcomes; addressing psychological distress through digital intervention may provide substantial changes in cognitive functioning, stress management, and overall educational outcomes for researchers (Fernández-</w:t>
      </w:r>
      <w:proofErr w:type="spellStart"/>
      <w:r>
        <w:rPr>
          <w:rFonts w:ascii="Arial" w:eastAsia="Arial" w:hAnsi="Arial" w:cs="Arial"/>
          <w:sz w:val="20"/>
          <w:szCs w:val="20"/>
        </w:rPr>
        <w:t>Batanero</w:t>
      </w:r>
      <w:proofErr w:type="spellEnd"/>
      <w:r>
        <w:rPr>
          <w:rFonts w:ascii="Arial" w:eastAsia="Arial" w:hAnsi="Arial" w:cs="Arial"/>
          <w:sz w:val="20"/>
          <w:szCs w:val="20"/>
        </w:rPr>
        <w:t xml:space="preserve"> et al., 2025; Ferrari et al., 2022; </w:t>
      </w:r>
      <w:proofErr w:type="spellStart"/>
      <w:r>
        <w:rPr>
          <w:rFonts w:ascii="Arial" w:eastAsia="Arial" w:hAnsi="Arial" w:cs="Arial"/>
          <w:sz w:val="20"/>
          <w:szCs w:val="20"/>
        </w:rPr>
        <w:t>Löchner</w:t>
      </w:r>
      <w:proofErr w:type="spellEnd"/>
      <w:r>
        <w:rPr>
          <w:rFonts w:ascii="Arial" w:eastAsia="Arial" w:hAnsi="Arial" w:cs="Arial"/>
          <w:sz w:val="20"/>
          <w:szCs w:val="20"/>
        </w:rPr>
        <w:t xml:space="preserve"> et al., 2025; </w:t>
      </w:r>
      <w:proofErr w:type="spellStart"/>
      <w:r>
        <w:rPr>
          <w:rFonts w:ascii="Arial" w:eastAsia="Arial" w:hAnsi="Arial" w:cs="Arial"/>
          <w:sz w:val="20"/>
          <w:szCs w:val="20"/>
        </w:rPr>
        <w:t>Nosè</w:t>
      </w:r>
      <w:proofErr w:type="spellEnd"/>
      <w:r>
        <w:rPr>
          <w:rFonts w:ascii="Arial" w:eastAsia="Arial" w:hAnsi="Arial" w:cs="Arial"/>
          <w:sz w:val="20"/>
          <w:szCs w:val="20"/>
        </w:rPr>
        <w:t xml:space="preserve"> et al., 2025; Rashid et al., 2025).</w:t>
      </w:r>
    </w:p>
    <w:p w14:paraId="3E96D7C1" w14:textId="77777777" w:rsidR="000E1A6B" w:rsidRDefault="00175F13">
      <w:pPr>
        <w:spacing w:line="276" w:lineRule="auto"/>
        <w:jc w:val="both"/>
        <w:rPr>
          <w:rFonts w:ascii="Arial" w:eastAsia="Arial" w:hAnsi="Arial" w:cs="Arial"/>
          <w:sz w:val="20"/>
          <w:szCs w:val="20"/>
        </w:rPr>
      </w:pPr>
      <w:r w:rsidRPr="001F04BF">
        <w:rPr>
          <w:rFonts w:ascii="Arial" w:eastAsia="Arial" w:hAnsi="Arial" w:cs="Arial"/>
          <w:sz w:val="20"/>
          <w:szCs w:val="20"/>
          <w:highlight w:val="yellow"/>
        </w:rPr>
        <w:t xml:space="preserve">One of the ways digital mental health tools can help improve academic performance is by relieving stress and anxiety, which have been implicated in detrimental cognitive functions, memory retention, and focus (Dekker et al., 2020). For example, CBT-based apps like </w:t>
      </w:r>
      <w:proofErr w:type="spellStart"/>
      <w:r w:rsidRPr="001F04BF">
        <w:rPr>
          <w:rFonts w:ascii="Arial" w:eastAsia="Arial" w:hAnsi="Arial" w:cs="Arial"/>
          <w:sz w:val="20"/>
          <w:szCs w:val="20"/>
          <w:highlight w:val="yellow"/>
        </w:rPr>
        <w:t>Woebot</w:t>
      </w:r>
      <w:proofErr w:type="spellEnd"/>
      <w:r w:rsidRPr="001F04BF">
        <w:rPr>
          <w:rFonts w:ascii="Arial" w:eastAsia="Arial" w:hAnsi="Arial" w:cs="Arial"/>
          <w:sz w:val="20"/>
          <w:szCs w:val="20"/>
          <w:highlight w:val="yellow"/>
        </w:rPr>
        <w:t xml:space="preserve"> have been found to help alleviate anxiety and stress and reduce concentration in the classroom, and are shown to also help with concentration and learning outcomes in the literature as far as concentrating and learning goals are concerned (Farzan et al., 2025; Fitzpatrick et al., 2017; </w:t>
      </w:r>
      <w:proofErr w:type="spellStart"/>
      <w:r w:rsidRPr="001F04BF">
        <w:rPr>
          <w:rFonts w:ascii="Arial" w:eastAsia="Arial" w:hAnsi="Arial" w:cs="Arial"/>
          <w:sz w:val="20"/>
          <w:szCs w:val="20"/>
          <w:highlight w:val="yellow"/>
        </w:rPr>
        <w:t>Karkosz</w:t>
      </w:r>
      <w:proofErr w:type="spellEnd"/>
      <w:r w:rsidRPr="001F04BF">
        <w:rPr>
          <w:rFonts w:ascii="Arial" w:eastAsia="Arial" w:hAnsi="Arial" w:cs="Arial"/>
          <w:sz w:val="20"/>
          <w:szCs w:val="20"/>
          <w:highlight w:val="yellow"/>
        </w:rPr>
        <w:t xml:space="preserve"> et al., 2024; Ponzo et al., 2020). Likewise, apps that incorporate mindfulness and relaxation techniques that help students deal with the exam-related stress, focus more during study and memory retention (Epping-Jordan et al., 2016; Garcia-Vazquez et al., 2025; </w:t>
      </w:r>
      <w:proofErr w:type="spellStart"/>
      <w:r w:rsidRPr="001F04BF">
        <w:rPr>
          <w:rFonts w:ascii="Arial" w:eastAsia="Arial" w:hAnsi="Arial" w:cs="Arial"/>
          <w:sz w:val="20"/>
          <w:szCs w:val="20"/>
          <w:highlight w:val="yellow"/>
        </w:rPr>
        <w:t>Harerimana</w:t>
      </w:r>
      <w:proofErr w:type="spellEnd"/>
      <w:r w:rsidRPr="001F04BF">
        <w:rPr>
          <w:rFonts w:ascii="Arial" w:eastAsia="Arial" w:hAnsi="Arial" w:cs="Arial"/>
          <w:sz w:val="20"/>
          <w:szCs w:val="20"/>
          <w:highlight w:val="yellow"/>
        </w:rPr>
        <w:t xml:space="preserve"> et al., 2025; </w:t>
      </w:r>
      <w:proofErr w:type="spellStart"/>
      <w:r w:rsidRPr="001F04BF">
        <w:rPr>
          <w:rFonts w:ascii="Arial" w:eastAsia="Arial" w:hAnsi="Arial" w:cs="Arial"/>
          <w:sz w:val="20"/>
          <w:szCs w:val="20"/>
          <w:highlight w:val="yellow"/>
        </w:rPr>
        <w:t>Nosè</w:t>
      </w:r>
      <w:proofErr w:type="spellEnd"/>
      <w:r w:rsidRPr="001F04BF">
        <w:rPr>
          <w:rFonts w:ascii="Arial" w:eastAsia="Arial" w:hAnsi="Arial" w:cs="Arial"/>
          <w:sz w:val="20"/>
          <w:szCs w:val="20"/>
          <w:highlight w:val="yellow"/>
        </w:rPr>
        <w:t xml:space="preserve"> et al., 2025).</w:t>
      </w:r>
    </w:p>
    <w:p w14:paraId="3BDFCAB3" w14:textId="77777777" w:rsidR="000E1A6B" w:rsidRDefault="00175F13">
      <w:pPr>
        <w:spacing w:line="276" w:lineRule="auto"/>
        <w:jc w:val="both"/>
        <w:rPr>
          <w:rFonts w:ascii="Arial" w:eastAsia="Arial" w:hAnsi="Arial" w:cs="Arial"/>
          <w:sz w:val="20"/>
          <w:szCs w:val="20"/>
        </w:rPr>
      </w:pPr>
      <w:r w:rsidRPr="001F04BF">
        <w:rPr>
          <w:rFonts w:ascii="Arial" w:eastAsia="Arial" w:hAnsi="Arial" w:cs="Arial"/>
          <w:sz w:val="20"/>
          <w:szCs w:val="20"/>
          <w:highlight w:val="yellow"/>
        </w:rPr>
        <w:lastRenderedPageBreak/>
        <w:t>In addition, digital mental health software may also improve time management skills, a key factor in academic achievement. The goal setting apps and strategies that involve targeted tasks that encourage successful studying to avoid procrastination may aid students in organizing their work and avoid procrastinating, which negatively impacts grades and academic achievement (Rashid et al., 2025). Life-crafting practices are tools for students to reflect on goals, plan successful actions, and match the daily practice with long-term goals (Dekker et al., 2020; Duchi et al., 2024; Poe et al., 2021; Schippers &amp; Ziegler, 2019). These solutions are especially helpful to first-year students who may struggle with fitting in with the demands of university life.</w:t>
      </w:r>
    </w:p>
    <w:p w14:paraId="137008BA" w14:textId="77777777" w:rsidR="000E1A6B" w:rsidRDefault="00175F13">
      <w:pPr>
        <w:spacing w:line="276" w:lineRule="auto"/>
        <w:jc w:val="both"/>
        <w:rPr>
          <w:rFonts w:ascii="Arial" w:eastAsia="Arial" w:hAnsi="Arial" w:cs="Arial"/>
          <w:sz w:val="20"/>
          <w:szCs w:val="20"/>
        </w:rPr>
      </w:pPr>
      <w:r w:rsidRPr="001F04BF">
        <w:rPr>
          <w:rFonts w:ascii="Arial" w:eastAsia="Arial" w:hAnsi="Arial" w:cs="Arial"/>
          <w:sz w:val="20"/>
          <w:szCs w:val="20"/>
          <w:highlight w:val="yellow"/>
        </w:rPr>
        <w:t>Also, students who use mood tracking tools and digital therapy platforms report higher levels of academic performance and achievement (Nagar et al., 2023; Ponzo et al., 2020; Rafiq et al., 2024; Ramos-Monsivais et al., 2024; Riboldi et al., 2024). The insight into the emotional state and stressors that students are exposed to can help them better deal with their mental health issues before their performance is affected. For instance, some digital tools also provide room for biofeedback and thus students can examine their physiological responses to stress that help them to adopt better coping strategies in the face of high-pressure academic situations (</w:t>
      </w:r>
      <w:proofErr w:type="spellStart"/>
      <w:r w:rsidRPr="001F04BF">
        <w:rPr>
          <w:rFonts w:ascii="Arial" w:eastAsia="Arial" w:hAnsi="Arial" w:cs="Arial"/>
          <w:sz w:val="20"/>
          <w:szCs w:val="20"/>
          <w:highlight w:val="yellow"/>
        </w:rPr>
        <w:t>Nosè</w:t>
      </w:r>
      <w:proofErr w:type="spellEnd"/>
      <w:r w:rsidRPr="001F04BF">
        <w:rPr>
          <w:rFonts w:ascii="Arial" w:eastAsia="Arial" w:hAnsi="Arial" w:cs="Arial"/>
          <w:sz w:val="20"/>
          <w:szCs w:val="20"/>
          <w:highlight w:val="yellow"/>
        </w:rPr>
        <w:t xml:space="preserve"> et al., 2025).</w:t>
      </w:r>
    </w:p>
    <w:p w14:paraId="4C0B76ED"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 xml:space="preserve">Some other researchers have reported that during digital mental health interventions, cognitive </w:t>
      </w:r>
      <w:proofErr w:type="spellStart"/>
      <w:r>
        <w:rPr>
          <w:rFonts w:ascii="Arial" w:eastAsia="Arial" w:hAnsi="Arial" w:cs="Arial"/>
          <w:sz w:val="20"/>
          <w:szCs w:val="20"/>
        </w:rPr>
        <w:t>behavioral</w:t>
      </w:r>
      <w:proofErr w:type="spellEnd"/>
      <w:r>
        <w:rPr>
          <w:rFonts w:ascii="Arial" w:eastAsia="Arial" w:hAnsi="Arial" w:cs="Arial"/>
          <w:sz w:val="20"/>
          <w:szCs w:val="20"/>
        </w:rPr>
        <w:t xml:space="preserve"> therapy for decreasing stress and improving emotional control appeared to increase grades and GPA (Ferrari et al., 2022, Lattie et al., 2019; Ponzo et al., 2020; Rashid et al., 2025). Another study demonstrated that digital CBT measures improved focus on studies and less anxiety during the exam, resulting in improved performance on exams (Dekker et al., 2020).</w:t>
      </w:r>
    </w:p>
    <w:p w14:paraId="6EDE3424"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Nevertheless, the usefulness of these tools depends on the design, engagement with users, and personalisation. Personalized tools offer a more effective way for students to address a specific problem, as noted by (</w:t>
      </w:r>
      <w:proofErr w:type="spellStart"/>
      <w:r>
        <w:rPr>
          <w:rFonts w:ascii="Arial" w:eastAsia="Arial" w:hAnsi="Arial" w:cs="Arial"/>
          <w:sz w:val="20"/>
          <w:szCs w:val="20"/>
        </w:rPr>
        <w:t>Nosè</w:t>
      </w:r>
      <w:proofErr w:type="spellEnd"/>
      <w:r>
        <w:rPr>
          <w:rFonts w:ascii="Arial" w:eastAsia="Arial" w:hAnsi="Arial" w:cs="Arial"/>
          <w:sz w:val="20"/>
          <w:szCs w:val="20"/>
        </w:rPr>
        <w:t xml:space="preserve"> et al., 2025). In addition, continued practice and use of these tools is essential for long-term learning improvements outcomes, just as sporadic use cannot produce significant benefits for long-term improvement.</w:t>
      </w:r>
    </w:p>
    <w:p w14:paraId="5D83454F" w14:textId="77777777" w:rsidR="000E1A6B" w:rsidRDefault="00175F13">
      <w:pPr>
        <w:spacing w:line="276" w:lineRule="auto"/>
        <w:rPr>
          <w:rFonts w:ascii="Arial" w:eastAsia="Arial" w:hAnsi="Arial" w:cs="Arial"/>
          <w:b/>
          <w:bCs/>
        </w:rPr>
      </w:pPr>
      <w:r>
        <w:rPr>
          <w:rFonts w:ascii="Arial" w:eastAsia="Arial" w:hAnsi="Arial" w:cs="Arial"/>
          <w:b/>
          <w:bCs/>
        </w:rPr>
        <w:t>4.3 Impact of Digital Mental Health Tools on Student Well-Being</w:t>
      </w:r>
    </w:p>
    <w:p w14:paraId="1006C7D6"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 xml:space="preserve">Digital mental health tools enhance students’ performance by boosting their overall well-being. Wellbeing encompasses emotional regulation, mental health, and overall life satisfaction, all of which are critical to the student's ability to succeed in both academic and personal endeavours (LaMonica et al., 2025; </w:t>
      </w:r>
      <w:proofErr w:type="spellStart"/>
      <w:r>
        <w:rPr>
          <w:rFonts w:ascii="Arial" w:eastAsia="Arial" w:hAnsi="Arial" w:cs="Arial"/>
          <w:sz w:val="20"/>
          <w:szCs w:val="20"/>
        </w:rPr>
        <w:t>Löchner</w:t>
      </w:r>
      <w:proofErr w:type="spellEnd"/>
      <w:r>
        <w:rPr>
          <w:rFonts w:ascii="Arial" w:eastAsia="Arial" w:hAnsi="Arial" w:cs="Arial"/>
          <w:sz w:val="20"/>
          <w:szCs w:val="20"/>
        </w:rPr>
        <w:t xml:space="preserve"> et al., 2025; Rashid et al., 2025).</w:t>
      </w:r>
    </w:p>
    <w:p w14:paraId="6F2D11F0" w14:textId="77777777" w:rsidR="000E1A6B" w:rsidRDefault="00175F13">
      <w:pPr>
        <w:spacing w:line="276" w:lineRule="auto"/>
        <w:jc w:val="both"/>
        <w:rPr>
          <w:rFonts w:ascii="Arial" w:eastAsia="Arial" w:hAnsi="Arial" w:cs="Arial"/>
          <w:sz w:val="20"/>
          <w:szCs w:val="20"/>
        </w:rPr>
      </w:pPr>
      <w:r w:rsidRPr="001F04BF">
        <w:rPr>
          <w:rFonts w:ascii="Arial" w:eastAsia="Arial" w:hAnsi="Arial" w:cs="Arial"/>
          <w:sz w:val="20"/>
          <w:szCs w:val="20"/>
          <w:highlight w:val="yellow"/>
        </w:rPr>
        <w:t xml:space="preserve">Several studies have shown that mental health care tools targeted at digital use reduce stress, anxiety, and anxiety, which are essential factors that influence student well-being (Garcia-Vazquez et al., 2025, </w:t>
      </w:r>
      <w:proofErr w:type="spellStart"/>
      <w:r w:rsidRPr="001F04BF">
        <w:rPr>
          <w:rFonts w:ascii="Arial" w:eastAsia="Arial" w:hAnsi="Arial" w:cs="Arial"/>
          <w:sz w:val="20"/>
          <w:szCs w:val="20"/>
          <w:highlight w:val="yellow"/>
        </w:rPr>
        <w:t>Harerimana</w:t>
      </w:r>
      <w:proofErr w:type="spellEnd"/>
      <w:r w:rsidRPr="001F04BF">
        <w:rPr>
          <w:rFonts w:ascii="Arial" w:eastAsia="Arial" w:hAnsi="Arial" w:cs="Arial"/>
          <w:sz w:val="20"/>
          <w:szCs w:val="20"/>
          <w:highlight w:val="yellow"/>
        </w:rPr>
        <w:t xml:space="preserve"> et al., 2025, </w:t>
      </w:r>
      <w:proofErr w:type="spellStart"/>
      <w:r w:rsidRPr="001F04BF">
        <w:rPr>
          <w:rFonts w:ascii="Arial" w:eastAsia="Arial" w:hAnsi="Arial" w:cs="Arial"/>
          <w:sz w:val="20"/>
          <w:szCs w:val="20"/>
          <w:highlight w:val="yellow"/>
        </w:rPr>
        <w:t>Nosè</w:t>
      </w:r>
      <w:proofErr w:type="spellEnd"/>
      <w:r w:rsidRPr="001F04BF">
        <w:rPr>
          <w:rFonts w:ascii="Arial" w:eastAsia="Arial" w:hAnsi="Arial" w:cs="Arial"/>
          <w:sz w:val="20"/>
          <w:szCs w:val="20"/>
          <w:highlight w:val="yellow"/>
        </w:rPr>
        <w:t xml:space="preserve"> et al., 2025; Prakash, 2021; Regmi &amp; Cohen, 20250). Ponzo et al. (2020) reported that mindfulness-based apps such as Headspace and Calm have been found to reduce anxiety and improve mood regulation in a healthier state of well-being. These tools are used for relaxation, self-reflection, and emotional awareness, which contribute to a more balanced mental state (</w:t>
      </w:r>
      <w:proofErr w:type="spellStart"/>
      <w:r w:rsidRPr="001F04BF">
        <w:rPr>
          <w:rFonts w:ascii="Arial" w:eastAsia="Arial" w:hAnsi="Arial" w:cs="Arial"/>
          <w:sz w:val="20"/>
          <w:szCs w:val="20"/>
          <w:highlight w:val="yellow"/>
        </w:rPr>
        <w:t>AlRefaie</w:t>
      </w:r>
      <w:proofErr w:type="spellEnd"/>
      <w:r w:rsidRPr="001F04BF">
        <w:rPr>
          <w:rFonts w:ascii="Arial" w:eastAsia="Arial" w:hAnsi="Arial" w:cs="Arial"/>
          <w:sz w:val="20"/>
          <w:szCs w:val="20"/>
          <w:highlight w:val="yellow"/>
        </w:rPr>
        <w:t xml:space="preserve"> &amp; </w:t>
      </w:r>
      <w:proofErr w:type="spellStart"/>
      <w:r w:rsidRPr="001F04BF">
        <w:rPr>
          <w:rFonts w:ascii="Arial" w:eastAsia="Arial" w:hAnsi="Arial" w:cs="Arial"/>
          <w:sz w:val="20"/>
          <w:szCs w:val="20"/>
          <w:highlight w:val="yellow"/>
        </w:rPr>
        <w:t>Dowrick</w:t>
      </w:r>
      <w:proofErr w:type="spellEnd"/>
      <w:r w:rsidRPr="001F04BF">
        <w:rPr>
          <w:rFonts w:ascii="Arial" w:eastAsia="Arial" w:hAnsi="Arial" w:cs="Arial"/>
          <w:sz w:val="20"/>
          <w:szCs w:val="20"/>
          <w:highlight w:val="yellow"/>
        </w:rPr>
        <w:t xml:space="preserve">, 2021; </w:t>
      </w:r>
      <w:proofErr w:type="spellStart"/>
      <w:r w:rsidRPr="001F04BF">
        <w:rPr>
          <w:rFonts w:ascii="Arial" w:eastAsia="Arial" w:hAnsi="Arial" w:cs="Arial"/>
          <w:sz w:val="20"/>
          <w:szCs w:val="20"/>
          <w:highlight w:val="yellow"/>
        </w:rPr>
        <w:t>Nosè</w:t>
      </w:r>
      <w:proofErr w:type="spellEnd"/>
      <w:r w:rsidRPr="001F04BF">
        <w:rPr>
          <w:rFonts w:ascii="Arial" w:eastAsia="Arial" w:hAnsi="Arial" w:cs="Arial"/>
          <w:sz w:val="20"/>
          <w:szCs w:val="20"/>
          <w:highlight w:val="yellow"/>
        </w:rPr>
        <w:t xml:space="preserve"> et al., 2017.) This emphasises that focusing on mindfulness improves students' emotional strength to manage stress effectively and maintain a positive outlook.</w:t>
      </w:r>
    </w:p>
    <w:p w14:paraId="2F16230B"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There are also mood tracking apps that help students monitor their feelings and also help to identify patterns that might suggest underlying mental health issues like depression or anxiety (Nagar et al., 2023; Ponzo et al., 2020; Rafiq et al., 2024; Ramos-Monsivais et al., 2024; Riboldi et al., 2024). The tools provide students with information to understand their mental health and help them develop ways to address negative feelings as they grow (</w:t>
      </w:r>
      <w:proofErr w:type="spellStart"/>
      <w:r>
        <w:rPr>
          <w:rFonts w:ascii="Arial" w:eastAsia="Arial" w:hAnsi="Arial" w:cs="Arial"/>
          <w:sz w:val="20"/>
          <w:szCs w:val="20"/>
        </w:rPr>
        <w:t>Nosè</w:t>
      </w:r>
      <w:proofErr w:type="spellEnd"/>
      <w:r>
        <w:rPr>
          <w:rFonts w:ascii="Arial" w:eastAsia="Arial" w:hAnsi="Arial" w:cs="Arial"/>
          <w:sz w:val="20"/>
          <w:szCs w:val="20"/>
        </w:rPr>
        <w:t xml:space="preserve"> et al., 2025). Ferrari et al. (2022) in support of this claim reported that the improved </w:t>
      </w:r>
      <w:r>
        <w:rPr>
          <w:rFonts w:ascii="Arial" w:eastAsia="Arial" w:hAnsi="Arial" w:cs="Arial"/>
          <w:sz w:val="20"/>
          <w:szCs w:val="20"/>
        </w:rPr>
        <w:lastRenderedPageBreak/>
        <w:t>positive effects of students’ self-esteem and self-efficacy can be attributed to regular use of such tools (Ferrari et al., 2022).</w:t>
      </w:r>
    </w:p>
    <w:p w14:paraId="7F4B2466"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Furthermore, digital therapy platforms also promote emotional wellbeing by providing accessible services to students with mental health issues. CBT and peer support platforms have demonstrated the efficacy of improving depression and anxiety, and the ability to develop self-awareness and coping skills (Dekker et al., 2020, Ponzo et al., 2020, Rafiq et al., 2024). Digital platforms, that offer the independence to accommodate students at their own convenience, help improve the ability to interact with the tool and thus produce consistent improvements in their emotional health (Ponzo et al., 2020).</w:t>
      </w:r>
    </w:p>
    <w:p w14:paraId="00C0613B"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In addition, the acceptability of digital tools contributes significantly to their effectiveness. As students increasingly turn to digital platforms for mental health support, they will be more likely to use these tools frequently, benefit from them, and benefit from them, especially when they can be easily used and non-stigmatizing (</w:t>
      </w:r>
      <w:proofErr w:type="spellStart"/>
      <w:r>
        <w:rPr>
          <w:rFonts w:ascii="Arial" w:eastAsia="Arial" w:hAnsi="Arial" w:cs="Arial"/>
          <w:sz w:val="20"/>
          <w:szCs w:val="20"/>
        </w:rPr>
        <w:t>Gbollieet</w:t>
      </w:r>
      <w:proofErr w:type="spellEnd"/>
      <w:r>
        <w:rPr>
          <w:rFonts w:ascii="Arial" w:eastAsia="Arial" w:hAnsi="Arial" w:cs="Arial"/>
          <w:sz w:val="20"/>
          <w:szCs w:val="20"/>
        </w:rPr>
        <w:t xml:space="preserve"> al., 2023; Harith et al., 2022; Rashid et al., 2025; Riboldi et al., 2024; </w:t>
      </w:r>
      <w:proofErr w:type="spellStart"/>
      <w:r>
        <w:rPr>
          <w:rFonts w:ascii="Arial" w:eastAsia="Arial" w:hAnsi="Arial" w:cs="Arial"/>
          <w:sz w:val="20"/>
          <w:szCs w:val="20"/>
        </w:rPr>
        <w:t>Torouset</w:t>
      </w:r>
      <w:proofErr w:type="spellEnd"/>
      <w:r>
        <w:rPr>
          <w:rFonts w:ascii="Arial" w:eastAsia="Arial" w:hAnsi="Arial" w:cs="Arial"/>
          <w:sz w:val="20"/>
          <w:szCs w:val="20"/>
        </w:rPr>
        <w:t xml:space="preserve"> al., 2025). This increased accessibility means that students can make their mental health a priority with no barriers associated with traditional therapy.</w:t>
      </w:r>
    </w:p>
    <w:p w14:paraId="6F5ED7CB" w14:textId="77777777" w:rsidR="000E1A6B" w:rsidRDefault="00175F13">
      <w:pPr>
        <w:spacing w:line="276" w:lineRule="auto"/>
        <w:rPr>
          <w:rFonts w:ascii="Arial" w:eastAsia="Arial" w:hAnsi="Arial" w:cs="Arial"/>
          <w:b/>
          <w:bCs/>
        </w:rPr>
      </w:pPr>
      <w:r>
        <w:rPr>
          <w:rFonts w:ascii="Arial" w:eastAsia="Arial" w:hAnsi="Arial" w:cs="Arial"/>
          <w:b/>
          <w:bCs/>
        </w:rPr>
        <w:t>4.4 Barriers and Challenges in Adopting Digital Mental Health Tools</w:t>
      </w:r>
    </w:p>
    <w:p w14:paraId="24896BE7"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A number of limitations and obstacles hinder their widespread use in the classroom are barriers and challenges that threaten to hinder the adoption of digital mental health tools for the students. Most of the most significant obstacles are technological barriers, particularly amongst students who cannot obtain the tools or reliable internet connections. Some regions lack access to smartphones, computers, or broadband internet so students cannot use these tools in a more productive way (Rashid et al., 2025). This digital divide poses a challenge in ensuring equitable access to mental health support for all student.</w:t>
      </w:r>
    </w:p>
    <w:p w14:paraId="46FD442D"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Another barrier is privacy concerns. Many students are reluctant to take digital mental health tools because their data is confidential. By contrast, mental health information, and its privacy issues, some students may decline to use platforms for storage or sharing of their data, especially if they are uncertain about the security measures of the platform (</w:t>
      </w:r>
      <w:proofErr w:type="spellStart"/>
      <w:r>
        <w:rPr>
          <w:rFonts w:ascii="Arial" w:eastAsia="Arial" w:hAnsi="Arial" w:cs="Arial"/>
          <w:sz w:val="20"/>
          <w:szCs w:val="20"/>
        </w:rPr>
        <w:t>Nosè</w:t>
      </w:r>
      <w:proofErr w:type="spellEnd"/>
      <w:r>
        <w:rPr>
          <w:rFonts w:ascii="Arial" w:eastAsia="Arial" w:hAnsi="Arial" w:cs="Arial"/>
          <w:sz w:val="20"/>
          <w:szCs w:val="20"/>
        </w:rPr>
        <w:t xml:space="preserve"> et al., 2025). While data breaches and the misuse of personal information are at risk, it may prevent students from having the ability to fully use these tools, reducing their effectiveness.</w:t>
      </w:r>
    </w:p>
    <w:p w14:paraId="7D2D4238"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Also, little time has been spent on digital tools. While mental health apps are used by many students, the drop-off rate in sustained usage is high. Some students abandon digital tools after a short period of time because of low motivation, perceived value or difficulty in using the tool in everyday life (Ponzo et al., 2020). Without continued engagement, digital interventions are limited; their effect is often contingent upon the regular use and extended involvement of the intervention.</w:t>
      </w:r>
    </w:p>
    <w:p w14:paraId="4C52504F"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Another challenge with digital access is the stigma surrounding mental health. Though digital tools are often more discreet than traditional therapy, some students still see these instruments as an admission of weakness or failure, denying them access to help (Ferrari et al., 2022). This stigma primarily occurs in cultures characterized by negative regard for mental health issues or where psychologists may refer to mental health issues as socially unacceptable seeking help for psychotic conditions.</w:t>
      </w:r>
    </w:p>
    <w:p w14:paraId="0CDFCB2E"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Lastly, lack of personalization in some digital tools can also affect their effectiveness. Some of the interventions with individualized or individual needs and preferences for students may not reach the users of their intended outcomes but could affect participants by engaging with them through personalization (Dekker et al., 2020). Personalization and individualization should improve the relevance and impact of digital interventions allowing students to make the more explicit choices for tools that they believe are necessary for them and to improve outcomes.</w:t>
      </w:r>
    </w:p>
    <w:p w14:paraId="00826D72" w14:textId="77777777" w:rsidR="000E1A6B" w:rsidRDefault="00175F13">
      <w:pPr>
        <w:spacing w:line="276" w:lineRule="auto"/>
        <w:rPr>
          <w:rFonts w:ascii="Arial" w:eastAsia="Arial" w:hAnsi="Arial" w:cs="Arial"/>
          <w:b/>
          <w:bCs/>
        </w:rPr>
      </w:pPr>
      <w:r>
        <w:rPr>
          <w:rFonts w:ascii="Arial" w:eastAsia="Arial" w:hAnsi="Arial" w:cs="Arial"/>
          <w:b/>
          <w:bCs/>
        </w:rPr>
        <w:lastRenderedPageBreak/>
        <w:t>4.5 Integration of Digital Tools into Educational Environments</w:t>
      </w:r>
    </w:p>
    <w:p w14:paraId="26AD57B4"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As digital mental health technologies grow more prominent, many educational institutions are beginning to incorporate the technology into their existing mental health programs to improve student welfare. With the deployment of these tools within the curriculum, these are in an area of open and flexible choice for addressing the growing need to meet the demands of mental health support among students (Rashid et al., 2025).</w:t>
      </w:r>
    </w:p>
    <w:p w14:paraId="630A4B16"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 xml:space="preserve">Many universities are moving digital mental health systems into their counselling systems with the goal of giving students a combination of traditional face-to-face therapy and digital therapy. The hybrid model </w:t>
      </w:r>
      <w:proofErr w:type="spellStart"/>
      <w:r>
        <w:rPr>
          <w:rFonts w:ascii="Arial" w:eastAsia="Arial" w:hAnsi="Arial" w:cs="Arial"/>
          <w:sz w:val="20"/>
          <w:szCs w:val="20"/>
        </w:rPr>
        <w:t>ive</w:t>
      </w:r>
      <w:proofErr w:type="spellEnd"/>
      <w:r>
        <w:rPr>
          <w:rFonts w:ascii="Arial" w:eastAsia="Arial" w:hAnsi="Arial" w:cs="Arial"/>
          <w:sz w:val="20"/>
          <w:szCs w:val="20"/>
        </w:rPr>
        <w:t xml:space="preserve"> the students the opportunity to seek immediate support via the internet and mobile apps without the need for counselling. Some universities have used mobile apps for stress management, anxiety reduction and emotional well-being, which students can access at home. This complements the existing services by through self-directed interventions for needs, during exams or at high school stress (Ponzo et al., 2020).</w:t>
      </w:r>
    </w:p>
    <w:p w14:paraId="1CEF8743"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Also, universities have started incorporating digital tools into the academic curriculum to promote mental health. Institutions have collaborated with digital mental health platforms to provide well-being modules as part of the curriculum such that the tools are also included alongside the coursework. These tools are usually included in mandatory orientation programs to ensure that students get to learn about these resources and are encouraged to use them regularly. This actually encourages their awareness and normalizes the use of digital mental health tools, which reduces stigma and increases engagement (Dekker et al., 2020).</w:t>
      </w:r>
    </w:p>
    <w:p w14:paraId="2C24E5AA"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Another approach recorded is that universities use AI-powered chatbots and virtual therapy platforms as part of their mental health outreach efforts. These tools are integrated into the university’s website and student’s portal, giving the students support and not literarily needing to fix appointment to undergo physical counselling. These virtual platforms often include measures to measure mood, stress and mental health symptoms which allow students to receive timely information for current emotional status (</w:t>
      </w:r>
      <w:proofErr w:type="spellStart"/>
      <w:r>
        <w:rPr>
          <w:rFonts w:ascii="Arial" w:eastAsia="Arial" w:hAnsi="Arial" w:cs="Arial"/>
          <w:sz w:val="20"/>
          <w:szCs w:val="20"/>
        </w:rPr>
        <w:t>Nosè</w:t>
      </w:r>
      <w:proofErr w:type="spellEnd"/>
      <w:r>
        <w:rPr>
          <w:rFonts w:ascii="Arial" w:eastAsia="Arial" w:hAnsi="Arial" w:cs="Arial"/>
          <w:sz w:val="20"/>
          <w:szCs w:val="20"/>
        </w:rPr>
        <w:t xml:space="preserve"> et al., 2025).</w:t>
      </w:r>
    </w:p>
    <w:p w14:paraId="1E8B79CF" w14:textId="77777777" w:rsidR="000E1A6B" w:rsidRDefault="00175F13">
      <w:pPr>
        <w:spacing w:line="276" w:lineRule="auto"/>
        <w:jc w:val="both"/>
        <w:rPr>
          <w:rFonts w:ascii="Arial" w:eastAsia="Arial" w:hAnsi="Arial" w:cs="Arial"/>
          <w:sz w:val="20"/>
          <w:szCs w:val="20"/>
        </w:rPr>
        <w:sectPr w:rsidR="000E1A6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r>
        <w:rPr>
          <w:rFonts w:ascii="Arial" w:eastAsia="Arial" w:hAnsi="Arial" w:cs="Arial"/>
          <w:sz w:val="20"/>
          <w:szCs w:val="20"/>
        </w:rPr>
        <w:t>Some other institutions are already incorporating digital mental health tools into peer support programs. They train students to use these tools and share it with them through peer-facilitated counselling sessions. Higher institutions can continue to help educate and support mental health awareness and peer support networks as this is particularly useful because it complements the benefits of digital intervention with a supportive role for peers, making mental health care more accessible and less intimidating.</w:t>
      </w:r>
      <w:r>
        <w:br w:type="page"/>
      </w:r>
    </w:p>
    <w:p w14:paraId="67CCC5E0" w14:textId="77777777" w:rsidR="000E1A6B" w:rsidRDefault="00175F13">
      <w:pPr>
        <w:spacing w:line="276" w:lineRule="auto"/>
        <w:rPr>
          <w:rFonts w:ascii="Arial" w:eastAsia="Arial" w:hAnsi="Arial" w:cs="Arial"/>
          <w:b/>
          <w:bCs/>
        </w:rPr>
      </w:pPr>
      <w:r>
        <w:rPr>
          <w:rFonts w:ascii="Arial" w:eastAsia="Arial" w:hAnsi="Arial" w:cs="Arial"/>
          <w:b/>
          <w:bCs/>
        </w:rPr>
        <w:lastRenderedPageBreak/>
        <w:t>5. DISCUSSION</w:t>
      </w:r>
    </w:p>
    <w:p w14:paraId="35D00DC0" w14:textId="77777777" w:rsidR="000E1A6B" w:rsidRDefault="00175F13">
      <w:pPr>
        <w:spacing w:line="276" w:lineRule="auto"/>
        <w:rPr>
          <w:rFonts w:ascii="Arial" w:eastAsia="Arial" w:hAnsi="Arial" w:cs="Arial"/>
          <w:b/>
          <w:bCs/>
        </w:rPr>
      </w:pPr>
      <w:r>
        <w:rPr>
          <w:rFonts w:ascii="Arial" w:eastAsia="Arial" w:hAnsi="Arial" w:cs="Arial"/>
          <w:b/>
          <w:bCs/>
        </w:rPr>
        <w:t>5.1 Synthesis of Findings</w:t>
      </w:r>
    </w:p>
    <w:p w14:paraId="09AC3D65" w14:textId="77777777" w:rsidR="000E1A6B" w:rsidRDefault="00175F13">
      <w:pPr>
        <w:spacing w:line="276" w:lineRule="auto"/>
        <w:rPr>
          <w:rFonts w:ascii="Arial" w:eastAsia="Arial" w:hAnsi="Arial" w:cs="Arial"/>
          <w:b/>
          <w:bCs/>
          <w:sz w:val="20"/>
          <w:szCs w:val="20"/>
        </w:rPr>
      </w:pPr>
      <w:r>
        <w:rPr>
          <w:rFonts w:ascii="Arial" w:eastAsia="Arial" w:hAnsi="Arial" w:cs="Arial"/>
          <w:b/>
          <w:bCs/>
          <w:sz w:val="20"/>
          <w:szCs w:val="20"/>
        </w:rPr>
        <w:t xml:space="preserve">Table 5.1: Synthesis of findings summary </w:t>
      </w:r>
    </w:p>
    <w:tbl>
      <w:tblPr>
        <w:tblStyle w:val="a"/>
        <w:tblW w:w="12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3"/>
        <w:gridCol w:w="2490"/>
        <w:gridCol w:w="2040"/>
        <w:gridCol w:w="2278"/>
        <w:gridCol w:w="1940"/>
        <w:gridCol w:w="1932"/>
      </w:tblGrid>
      <w:tr w:rsidR="000E1A6B" w14:paraId="5FB2B793" w14:textId="77777777">
        <w:trPr>
          <w:trHeight w:val="630"/>
        </w:trPr>
        <w:tc>
          <w:tcPr>
            <w:tcW w:w="2073" w:type="dxa"/>
          </w:tcPr>
          <w:p w14:paraId="2FBBF979" w14:textId="77777777" w:rsidR="000E1A6B" w:rsidRDefault="00175F13">
            <w:pPr>
              <w:spacing w:line="276" w:lineRule="auto"/>
              <w:rPr>
                <w:rFonts w:ascii="Arial" w:eastAsia="Arial" w:hAnsi="Arial" w:cs="Arial"/>
                <w:b/>
                <w:bCs/>
                <w:sz w:val="20"/>
                <w:szCs w:val="20"/>
              </w:rPr>
            </w:pPr>
            <w:r>
              <w:rPr>
                <w:rFonts w:ascii="Arial" w:eastAsia="Arial" w:hAnsi="Arial" w:cs="Arial"/>
                <w:b/>
                <w:bCs/>
                <w:sz w:val="20"/>
                <w:szCs w:val="20"/>
              </w:rPr>
              <w:t>Category</w:t>
            </w:r>
          </w:p>
        </w:tc>
        <w:tc>
          <w:tcPr>
            <w:tcW w:w="2490" w:type="dxa"/>
          </w:tcPr>
          <w:p w14:paraId="595E701F" w14:textId="77777777" w:rsidR="000E1A6B" w:rsidRDefault="00175F13">
            <w:pPr>
              <w:spacing w:line="276" w:lineRule="auto"/>
              <w:rPr>
                <w:rFonts w:ascii="Arial" w:eastAsia="Arial" w:hAnsi="Arial" w:cs="Arial"/>
                <w:b/>
                <w:bCs/>
                <w:sz w:val="20"/>
                <w:szCs w:val="20"/>
              </w:rPr>
            </w:pPr>
            <w:r>
              <w:rPr>
                <w:rFonts w:ascii="Arial" w:eastAsia="Arial" w:hAnsi="Arial" w:cs="Arial"/>
                <w:b/>
                <w:bCs/>
                <w:sz w:val="20"/>
                <w:szCs w:val="20"/>
              </w:rPr>
              <w:t>Core mechanisms and synthesized effects</w:t>
            </w:r>
          </w:p>
        </w:tc>
        <w:tc>
          <w:tcPr>
            <w:tcW w:w="2040" w:type="dxa"/>
          </w:tcPr>
          <w:p w14:paraId="170034F3" w14:textId="77777777" w:rsidR="000E1A6B" w:rsidRDefault="00175F13">
            <w:pPr>
              <w:spacing w:line="276" w:lineRule="auto"/>
              <w:rPr>
                <w:rFonts w:ascii="Arial" w:eastAsia="Arial" w:hAnsi="Arial" w:cs="Arial"/>
                <w:b/>
                <w:bCs/>
                <w:sz w:val="20"/>
                <w:szCs w:val="20"/>
              </w:rPr>
            </w:pPr>
            <w:r>
              <w:rPr>
                <w:rFonts w:ascii="Arial" w:eastAsia="Arial" w:hAnsi="Arial" w:cs="Arial"/>
                <w:b/>
                <w:bCs/>
                <w:sz w:val="20"/>
                <w:szCs w:val="20"/>
              </w:rPr>
              <w:t>Representative tools/examples</w:t>
            </w:r>
          </w:p>
        </w:tc>
        <w:tc>
          <w:tcPr>
            <w:tcW w:w="2278" w:type="dxa"/>
          </w:tcPr>
          <w:p w14:paraId="7DFC0007" w14:textId="77777777" w:rsidR="000E1A6B" w:rsidRDefault="00175F13">
            <w:pPr>
              <w:spacing w:line="276" w:lineRule="auto"/>
              <w:rPr>
                <w:rFonts w:ascii="Arial" w:eastAsia="Arial" w:hAnsi="Arial" w:cs="Arial"/>
                <w:b/>
                <w:bCs/>
                <w:sz w:val="20"/>
                <w:szCs w:val="20"/>
              </w:rPr>
            </w:pPr>
            <w:r>
              <w:rPr>
                <w:rFonts w:ascii="Arial" w:eastAsia="Arial" w:hAnsi="Arial" w:cs="Arial"/>
                <w:b/>
                <w:bCs/>
                <w:sz w:val="20"/>
                <w:szCs w:val="20"/>
              </w:rPr>
              <w:t>Academic performance impacts</w:t>
            </w:r>
          </w:p>
        </w:tc>
        <w:tc>
          <w:tcPr>
            <w:tcW w:w="1940" w:type="dxa"/>
          </w:tcPr>
          <w:p w14:paraId="4799FDC2" w14:textId="77777777" w:rsidR="000E1A6B" w:rsidRDefault="00175F13">
            <w:pPr>
              <w:spacing w:line="276" w:lineRule="auto"/>
              <w:rPr>
                <w:rFonts w:ascii="Arial" w:eastAsia="Arial" w:hAnsi="Arial" w:cs="Arial"/>
                <w:b/>
                <w:bCs/>
                <w:sz w:val="20"/>
                <w:szCs w:val="20"/>
              </w:rPr>
            </w:pPr>
            <w:r>
              <w:rPr>
                <w:rFonts w:ascii="Arial" w:eastAsia="Arial" w:hAnsi="Arial" w:cs="Arial"/>
                <w:b/>
                <w:bCs/>
                <w:sz w:val="20"/>
                <w:szCs w:val="20"/>
              </w:rPr>
              <w:t>Well-being impacts</w:t>
            </w:r>
          </w:p>
        </w:tc>
        <w:tc>
          <w:tcPr>
            <w:tcW w:w="1932" w:type="dxa"/>
          </w:tcPr>
          <w:p w14:paraId="79A8E6FF" w14:textId="77777777" w:rsidR="000E1A6B" w:rsidRDefault="00175F13">
            <w:pPr>
              <w:spacing w:line="276" w:lineRule="auto"/>
              <w:rPr>
                <w:rFonts w:ascii="Arial" w:eastAsia="Arial" w:hAnsi="Arial" w:cs="Arial"/>
                <w:b/>
                <w:bCs/>
                <w:sz w:val="20"/>
                <w:szCs w:val="20"/>
              </w:rPr>
            </w:pPr>
            <w:r>
              <w:rPr>
                <w:rFonts w:ascii="Arial" w:eastAsia="Arial" w:hAnsi="Arial" w:cs="Arial"/>
                <w:b/>
                <w:bCs/>
                <w:sz w:val="20"/>
                <w:szCs w:val="20"/>
              </w:rPr>
              <w:t>Representative citations</w:t>
            </w:r>
          </w:p>
        </w:tc>
      </w:tr>
      <w:tr w:rsidR="000E1A6B" w14:paraId="492B9CF6" w14:textId="77777777">
        <w:trPr>
          <w:trHeight w:val="1392"/>
        </w:trPr>
        <w:tc>
          <w:tcPr>
            <w:tcW w:w="2073" w:type="dxa"/>
          </w:tcPr>
          <w:p w14:paraId="663974D1"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CBT-based apps and web CBT</w:t>
            </w:r>
          </w:p>
        </w:tc>
        <w:tc>
          <w:tcPr>
            <w:tcW w:w="2490" w:type="dxa"/>
          </w:tcPr>
          <w:p w14:paraId="45435DC7"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 xml:space="preserve">Structured cognitive restructuring, </w:t>
            </w:r>
            <w:proofErr w:type="spellStart"/>
            <w:r>
              <w:rPr>
                <w:rFonts w:ascii="Arial" w:eastAsia="Arial" w:hAnsi="Arial" w:cs="Arial"/>
                <w:sz w:val="20"/>
                <w:szCs w:val="20"/>
              </w:rPr>
              <w:t>behavioral</w:t>
            </w:r>
            <w:proofErr w:type="spellEnd"/>
            <w:r>
              <w:rPr>
                <w:rFonts w:ascii="Arial" w:eastAsia="Arial" w:hAnsi="Arial" w:cs="Arial"/>
                <w:sz w:val="20"/>
                <w:szCs w:val="20"/>
              </w:rPr>
              <w:t xml:space="preserve"> activation, goal-setting, and self-regulation; reduces avoidance and test anxiety; clarifies purpose and study plans.</w:t>
            </w:r>
          </w:p>
        </w:tc>
        <w:tc>
          <w:tcPr>
            <w:tcW w:w="2040" w:type="dxa"/>
          </w:tcPr>
          <w:p w14:paraId="44716BB1" w14:textId="77777777" w:rsidR="000E1A6B" w:rsidRDefault="00175F13">
            <w:pPr>
              <w:spacing w:line="276" w:lineRule="auto"/>
              <w:rPr>
                <w:rFonts w:ascii="Arial" w:eastAsia="Arial" w:hAnsi="Arial" w:cs="Arial"/>
                <w:sz w:val="20"/>
                <w:szCs w:val="20"/>
              </w:rPr>
            </w:pPr>
            <w:proofErr w:type="spellStart"/>
            <w:r>
              <w:rPr>
                <w:rFonts w:ascii="Arial" w:eastAsia="Arial" w:hAnsi="Arial" w:cs="Arial"/>
                <w:sz w:val="20"/>
                <w:szCs w:val="20"/>
              </w:rPr>
              <w:t>Woebot</w:t>
            </w:r>
            <w:proofErr w:type="spellEnd"/>
            <w:r>
              <w:rPr>
                <w:rFonts w:ascii="Arial" w:eastAsia="Arial" w:hAnsi="Arial" w:cs="Arial"/>
                <w:sz w:val="20"/>
                <w:szCs w:val="20"/>
              </w:rPr>
              <w:t>; web-based CBT modules; life-crafting and SMART-goal interventions.</w:t>
            </w:r>
          </w:p>
        </w:tc>
        <w:tc>
          <w:tcPr>
            <w:tcW w:w="2278" w:type="dxa"/>
          </w:tcPr>
          <w:p w14:paraId="4E3D3B51"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Improved focus, reduced procrastination, better time management; gains in academic engagement and, in several trials, GPA/grade improvements.</w:t>
            </w:r>
          </w:p>
        </w:tc>
        <w:tc>
          <w:tcPr>
            <w:tcW w:w="1940" w:type="dxa"/>
          </w:tcPr>
          <w:p w14:paraId="1E198059"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Lower anxiety and depressive symptoms; enhanced self-efficacy and resilience.</w:t>
            </w:r>
          </w:p>
        </w:tc>
        <w:tc>
          <w:tcPr>
            <w:tcW w:w="1932" w:type="dxa"/>
          </w:tcPr>
          <w:p w14:paraId="535D9BB7"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Fitzpatrick et al., 2017; Dekker et al., 2020; Ponzo et al., 2020; Ferrari et al., 2022; Poe et al., 2021</w:t>
            </w:r>
          </w:p>
        </w:tc>
      </w:tr>
      <w:tr w:rsidR="000E1A6B" w14:paraId="00D6A14B" w14:textId="77777777">
        <w:trPr>
          <w:trHeight w:val="1543"/>
        </w:trPr>
        <w:tc>
          <w:tcPr>
            <w:tcW w:w="2073" w:type="dxa"/>
          </w:tcPr>
          <w:p w14:paraId="29316F45"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Mindfulness and stress-management programs</w:t>
            </w:r>
          </w:p>
        </w:tc>
        <w:tc>
          <w:tcPr>
            <w:tcW w:w="2490" w:type="dxa"/>
          </w:tcPr>
          <w:p w14:paraId="6886851A"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Attention regulation, grounding, values-based action, and emotion acceptance; buffers exam stress and improves concentration.</w:t>
            </w:r>
          </w:p>
        </w:tc>
        <w:tc>
          <w:tcPr>
            <w:tcW w:w="2040" w:type="dxa"/>
          </w:tcPr>
          <w:p w14:paraId="0BAD2AE3"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Headspace, Calm; WHO “Doing What Matters in Times of Stress” (DWM); guided breathing/meditation apps.</w:t>
            </w:r>
          </w:p>
        </w:tc>
        <w:tc>
          <w:tcPr>
            <w:tcW w:w="2278" w:type="dxa"/>
          </w:tcPr>
          <w:p w14:paraId="0D530449"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Better study-session quality, improved retention and sustained attention under pressure.</w:t>
            </w:r>
          </w:p>
        </w:tc>
        <w:tc>
          <w:tcPr>
            <w:tcW w:w="1940" w:type="dxa"/>
          </w:tcPr>
          <w:p w14:paraId="44D81260"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Reduced stress, anxiety, and distress; improved mood regulation and overall well-being.</w:t>
            </w:r>
          </w:p>
        </w:tc>
        <w:tc>
          <w:tcPr>
            <w:tcW w:w="1932" w:type="dxa"/>
          </w:tcPr>
          <w:p w14:paraId="3045CD02"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 xml:space="preserve">Epping-Jordan et al., 2016; </w:t>
            </w:r>
            <w:proofErr w:type="spellStart"/>
            <w:r>
              <w:rPr>
                <w:rFonts w:ascii="Arial" w:eastAsia="Arial" w:hAnsi="Arial" w:cs="Arial"/>
                <w:sz w:val="20"/>
                <w:szCs w:val="20"/>
              </w:rPr>
              <w:t>Nosè</w:t>
            </w:r>
            <w:proofErr w:type="spellEnd"/>
            <w:r>
              <w:rPr>
                <w:rFonts w:ascii="Arial" w:eastAsia="Arial" w:hAnsi="Arial" w:cs="Arial"/>
                <w:sz w:val="20"/>
                <w:szCs w:val="20"/>
              </w:rPr>
              <w:t xml:space="preserve"> et al., 2025; Garcia-Vazquez et al., 2025; </w:t>
            </w:r>
            <w:proofErr w:type="spellStart"/>
            <w:r>
              <w:rPr>
                <w:rFonts w:ascii="Arial" w:eastAsia="Arial" w:hAnsi="Arial" w:cs="Arial"/>
                <w:sz w:val="20"/>
                <w:szCs w:val="20"/>
              </w:rPr>
              <w:t>Harerimana</w:t>
            </w:r>
            <w:proofErr w:type="spellEnd"/>
            <w:r>
              <w:rPr>
                <w:rFonts w:ascii="Arial" w:eastAsia="Arial" w:hAnsi="Arial" w:cs="Arial"/>
                <w:sz w:val="20"/>
                <w:szCs w:val="20"/>
              </w:rPr>
              <w:t xml:space="preserve"> et al., 2025; Prakash, 2021</w:t>
            </w:r>
          </w:p>
        </w:tc>
      </w:tr>
      <w:tr w:rsidR="000E1A6B" w14:paraId="5CD24410" w14:textId="77777777">
        <w:trPr>
          <w:trHeight w:val="1261"/>
        </w:trPr>
        <w:tc>
          <w:tcPr>
            <w:tcW w:w="2073" w:type="dxa"/>
          </w:tcPr>
          <w:p w14:paraId="44F66C60"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Biofeedback and physiological regulation</w:t>
            </w:r>
          </w:p>
        </w:tc>
        <w:tc>
          <w:tcPr>
            <w:tcW w:w="2490" w:type="dxa"/>
          </w:tcPr>
          <w:p w14:paraId="3CA86635"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Real-time monitoring of HRV/physiological stress signals; builds awareness–regulation loop for rapid de-escalation.</w:t>
            </w:r>
          </w:p>
        </w:tc>
        <w:tc>
          <w:tcPr>
            <w:tcW w:w="2040" w:type="dxa"/>
          </w:tcPr>
          <w:p w14:paraId="2365E190"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HRV biofeedback apps; breathing/coherence training tools.</w:t>
            </w:r>
          </w:p>
        </w:tc>
        <w:tc>
          <w:tcPr>
            <w:tcW w:w="2278" w:type="dxa"/>
          </w:tcPr>
          <w:p w14:paraId="168B10C8"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Enhanced emotional regulation during high-pressure tasks; improved concentration and test performance.</w:t>
            </w:r>
          </w:p>
        </w:tc>
        <w:tc>
          <w:tcPr>
            <w:tcW w:w="1940" w:type="dxa"/>
          </w:tcPr>
          <w:p w14:paraId="700F765C"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Lower perceived stress; increased emotional awareness and coping capacity.</w:t>
            </w:r>
          </w:p>
        </w:tc>
        <w:tc>
          <w:tcPr>
            <w:tcW w:w="1932" w:type="dxa"/>
          </w:tcPr>
          <w:p w14:paraId="1C3C9FFC" w14:textId="77777777" w:rsidR="000E1A6B" w:rsidRDefault="00175F13">
            <w:pPr>
              <w:spacing w:line="276" w:lineRule="auto"/>
              <w:rPr>
                <w:rFonts w:ascii="Arial" w:eastAsia="Arial" w:hAnsi="Arial" w:cs="Arial"/>
                <w:sz w:val="20"/>
                <w:szCs w:val="20"/>
              </w:rPr>
            </w:pPr>
            <w:proofErr w:type="spellStart"/>
            <w:r>
              <w:rPr>
                <w:rFonts w:ascii="Arial" w:eastAsia="Arial" w:hAnsi="Arial" w:cs="Arial"/>
                <w:sz w:val="20"/>
                <w:szCs w:val="20"/>
              </w:rPr>
              <w:t>Weerdmeester</w:t>
            </w:r>
            <w:proofErr w:type="spellEnd"/>
            <w:r>
              <w:rPr>
                <w:rFonts w:ascii="Arial" w:eastAsia="Arial" w:hAnsi="Arial" w:cs="Arial"/>
                <w:sz w:val="20"/>
                <w:szCs w:val="20"/>
              </w:rPr>
              <w:t xml:space="preserve"> et al., 2020; Ponzo et al., 2020; Ter </w:t>
            </w:r>
            <w:proofErr w:type="spellStart"/>
            <w:r>
              <w:rPr>
                <w:rFonts w:ascii="Arial" w:eastAsia="Arial" w:hAnsi="Arial" w:cs="Arial"/>
                <w:sz w:val="20"/>
                <w:szCs w:val="20"/>
              </w:rPr>
              <w:t>Harmsel</w:t>
            </w:r>
            <w:proofErr w:type="spellEnd"/>
            <w:r>
              <w:rPr>
                <w:rFonts w:ascii="Arial" w:eastAsia="Arial" w:hAnsi="Arial" w:cs="Arial"/>
                <w:sz w:val="20"/>
                <w:szCs w:val="20"/>
              </w:rPr>
              <w:t xml:space="preserve"> et al., 2020</w:t>
            </w:r>
          </w:p>
        </w:tc>
      </w:tr>
      <w:tr w:rsidR="000E1A6B" w14:paraId="1A4B4D99" w14:textId="77777777">
        <w:trPr>
          <w:trHeight w:val="1143"/>
        </w:trPr>
        <w:tc>
          <w:tcPr>
            <w:tcW w:w="2073" w:type="dxa"/>
          </w:tcPr>
          <w:p w14:paraId="0989F887"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AI-driven chatbots and micro-interventions</w:t>
            </w:r>
          </w:p>
        </w:tc>
        <w:tc>
          <w:tcPr>
            <w:tcW w:w="2490" w:type="dxa"/>
          </w:tcPr>
          <w:p w14:paraId="0D0FF6F0"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 xml:space="preserve">Just-in-time prompts, personalized check-ins, psychoeducation, and habit scaffolding; </w:t>
            </w:r>
            <w:r>
              <w:rPr>
                <w:rFonts w:ascii="Arial" w:eastAsia="Arial" w:hAnsi="Arial" w:cs="Arial"/>
                <w:sz w:val="20"/>
                <w:szCs w:val="20"/>
              </w:rPr>
              <w:lastRenderedPageBreak/>
              <w:t>supports continuous engagement.</w:t>
            </w:r>
          </w:p>
        </w:tc>
        <w:tc>
          <w:tcPr>
            <w:tcW w:w="2040" w:type="dxa"/>
          </w:tcPr>
          <w:p w14:paraId="388108E4"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lastRenderedPageBreak/>
              <w:t>AI chatbots integrated in student portals; micro-coaching nudges.</w:t>
            </w:r>
          </w:p>
        </w:tc>
        <w:tc>
          <w:tcPr>
            <w:tcW w:w="2278" w:type="dxa"/>
          </w:tcPr>
          <w:p w14:paraId="493ED30B"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Better adherence to study plans, reduced avoidance, improved daily academic routines.</w:t>
            </w:r>
          </w:p>
        </w:tc>
        <w:tc>
          <w:tcPr>
            <w:tcW w:w="1940" w:type="dxa"/>
          </w:tcPr>
          <w:p w14:paraId="0A331A07"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Improved moment-to-moment coping; reduced anxiety; higher subjective well-being.</w:t>
            </w:r>
          </w:p>
        </w:tc>
        <w:tc>
          <w:tcPr>
            <w:tcW w:w="1932" w:type="dxa"/>
          </w:tcPr>
          <w:p w14:paraId="657A2787"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 xml:space="preserve">Jelassi et al., 2024; </w:t>
            </w:r>
            <w:proofErr w:type="spellStart"/>
            <w:r>
              <w:rPr>
                <w:rFonts w:ascii="Arial" w:eastAsia="Arial" w:hAnsi="Arial" w:cs="Arial"/>
                <w:sz w:val="20"/>
                <w:szCs w:val="20"/>
              </w:rPr>
              <w:t>Spytska</w:t>
            </w:r>
            <w:proofErr w:type="spellEnd"/>
            <w:r>
              <w:rPr>
                <w:rFonts w:ascii="Arial" w:eastAsia="Arial" w:hAnsi="Arial" w:cs="Arial"/>
                <w:sz w:val="20"/>
                <w:szCs w:val="20"/>
              </w:rPr>
              <w:t>, 2025; Dekker et al., 2020</w:t>
            </w:r>
          </w:p>
        </w:tc>
      </w:tr>
      <w:tr w:rsidR="000E1A6B" w14:paraId="09541614" w14:textId="77777777">
        <w:trPr>
          <w:trHeight w:val="450"/>
        </w:trPr>
        <w:tc>
          <w:tcPr>
            <w:tcW w:w="2073" w:type="dxa"/>
          </w:tcPr>
          <w:p w14:paraId="55EC9B1B"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Telepsychiatry/virtual therapy platforms</w:t>
            </w:r>
          </w:p>
        </w:tc>
        <w:tc>
          <w:tcPr>
            <w:tcW w:w="2490" w:type="dxa"/>
          </w:tcPr>
          <w:p w14:paraId="7107414F"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Synchronous clinician support via video; higher personalization and suitability for moderate–severe symptoms.</w:t>
            </w:r>
          </w:p>
        </w:tc>
        <w:tc>
          <w:tcPr>
            <w:tcW w:w="2040" w:type="dxa"/>
          </w:tcPr>
          <w:p w14:paraId="3E61601F"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University teletherapy; integrated counselling platforms.</w:t>
            </w:r>
          </w:p>
        </w:tc>
        <w:tc>
          <w:tcPr>
            <w:tcW w:w="2278" w:type="dxa"/>
          </w:tcPr>
          <w:p w14:paraId="38B158CF"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Stabilizes functioning to sustain attendance and coursework; complements self-guided tools.</w:t>
            </w:r>
          </w:p>
        </w:tc>
        <w:tc>
          <w:tcPr>
            <w:tcW w:w="1940" w:type="dxa"/>
          </w:tcPr>
          <w:p w14:paraId="06A8C4FC"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Clinically meaningful reductions in depression/anxiety; improved coping skills.</w:t>
            </w:r>
          </w:p>
        </w:tc>
        <w:tc>
          <w:tcPr>
            <w:tcW w:w="1932" w:type="dxa"/>
          </w:tcPr>
          <w:p w14:paraId="1399AB7A"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Ayoola et al., 2025; Nelson et al., 2023; Haleem et al., 2021</w:t>
            </w:r>
          </w:p>
        </w:tc>
      </w:tr>
      <w:tr w:rsidR="000E1A6B" w14:paraId="388174B9" w14:textId="77777777">
        <w:trPr>
          <w:trHeight w:val="144"/>
        </w:trPr>
        <w:tc>
          <w:tcPr>
            <w:tcW w:w="2073" w:type="dxa"/>
          </w:tcPr>
          <w:p w14:paraId="79DFBDED"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Virtual reality (VR) interventions</w:t>
            </w:r>
          </w:p>
        </w:tc>
        <w:tc>
          <w:tcPr>
            <w:tcW w:w="2490" w:type="dxa"/>
          </w:tcPr>
          <w:p w14:paraId="178623F0"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Immersive relaxation and graded exposure to stressors; controlled environments for skills practice.</w:t>
            </w:r>
          </w:p>
        </w:tc>
        <w:tc>
          <w:tcPr>
            <w:tcW w:w="2040" w:type="dxa"/>
          </w:tcPr>
          <w:p w14:paraId="101D64F7"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VR relaxation, exposure, and anxiety-reduction modules.</w:t>
            </w:r>
          </w:p>
        </w:tc>
        <w:tc>
          <w:tcPr>
            <w:tcW w:w="2278" w:type="dxa"/>
          </w:tcPr>
          <w:p w14:paraId="52B702BD"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Improved readiness for exams/presentations; better stress tolerance in academic tasks.</w:t>
            </w:r>
          </w:p>
        </w:tc>
        <w:tc>
          <w:tcPr>
            <w:tcW w:w="1940" w:type="dxa"/>
          </w:tcPr>
          <w:p w14:paraId="51F0F08A"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Reduced anxiety and arousal; improved calm and recovery.</w:t>
            </w:r>
          </w:p>
        </w:tc>
        <w:tc>
          <w:tcPr>
            <w:tcW w:w="1932" w:type="dxa"/>
          </w:tcPr>
          <w:p w14:paraId="2348BCD8"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 xml:space="preserve">Fahey, 2025; </w:t>
            </w:r>
            <w:proofErr w:type="spellStart"/>
            <w:r>
              <w:rPr>
                <w:rFonts w:ascii="Arial" w:eastAsia="Arial" w:hAnsi="Arial" w:cs="Arial"/>
                <w:sz w:val="20"/>
                <w:szCs w:val="20"/>
              </w:rPr>
              <w:t>Kukharuk</w:t>
            </w:r>
            <w:proofErr w:type="spellEnd"/>
            <w:r>
              <w:rPr>
                <w:rFonts w:ascii="Arial" w:eastAsia="Arial" w:hAnsi="Arial" w:cs="Arial"/>
                <w:sz w:val="20"/>
                <w:szCs w:val="20"/>
              </w:rPr>
              <w:t xml:space="preserve"> et al., 2025; Zhang et al., 2025</w:t>
            </w:r>
          </w:p>
        </w:tc>
      </w:tr>
      <w:tr w:rsidR="000E1A6B" w14:paraId="4627E8F5" w14:textId="77777777">
        <w:trPr>
          <w:trHeight w:val="144"/>
        </w:trPr>
        <w:tc>
          <w:tcPr>
            <w:tcW w:w="2073" w:type="dxa"/>
          </w:tcPr>
          <w:p w14:paraId="5967B745"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Mood tracking and self-monitoring</w:t>
            </w:r>
          </w:p>
        </w:tc>
        <w:tc>
          <w:tcPr>
            <w:tcW w:w="2490" w:type="dxa"/>
          </w:tcPr>
          <w:p w14:paraId="7AEEB8A4"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Pattern detection of mood/stress triggers; supports proactive coping and early help-seeking.</w:t>
            </w:r>
          </w:p>
        </w:tc>
        <w:tc>
          <w:tcPr>
            <w:tcW w:w="2040" w:type="dxa"/>
          </w:tcPr>
          <w:p w14:paraId="332E5EF8"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Mood diaries, EMA check-ins, integrated trackers in portals.</w:t>
            </w:r>
          </w:p>
        </w:tc>
        <w:tc>
          <w:tcPr>
            <w:tcW w:w="2278" w:type="dxa"/>
          </w:tcPr>
          <w:p w14:paraId="14FE1F72"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Higher academic engagement through timely adjustments to study schedules and supports.</w:t>
            </w:r>
          </w:p>
        </w:tc>
        <w:tc>
          <w:tcPr>
            <w:tcW w:w="1940" w:type="dxa"/>
          </w:tcPr>
          <w:p w14:paraId="74091999"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Better self-awareness; earlier intervention; improvements in self-esteem and self-efficacy.</w:t>
            </w:r>
          </w:p>
        </w:tc>
        <w:tc>
          <w:tcPr>
            <w:tcW w:w="1932" w:type="dxa"/>
          </w:tcPr>
          <w:p w14:paraId="1C2803D6"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Nagar et al., 2023; Rafiq et al., 2024; Ramos-Monsivais et al., 2024; Riboldi et al., 2024</w:t>
            </w:r>
          </w:p>
        </w:tc>
      </w:tr>
      <w:tr w:rsidR="000E1A6B" w14:paraId="5B2BFB55" w14:textId="77777777">
        <w:trPr>
          <w:trHeight w:val="144"/>
        </w:trPr>
        <w:tc>
          <w:tcPr>
            <w:tcW w:w="2073" w:type="dxa"/>
          </w:tcPr>
          <w:p w14:paraId="0420CC09"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Peer-support platforms and digital literacy</w:t>
            </w:r>
          </w:p>
        </w:tc>
        <w:tc>
          <w:tcPr>
            <w:tcW w:w="2490" w:type="dxa"/>
          </w:tcPr>
          <w:p w14:paraId="79401E41"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Normalizes help-seeking; community reinforcement; increases mental health awareness and tool uptake.</w:t>
            </w:r>
          </w:p>
        </w:tc>
        <w:tc>
          <w:tcPr>
            <w:tcW w:w="2040" w:type="dxa"/>
          </w:tcPr>
          <w:p w14:paraId="2BD58B2A"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Online forums, moderated peer groups, literacy modules.</w:t>
            </w:r>
          </w:p>
        </w:tc>
        <w:tc>
          <w:tcPr>
            <w:tcW w:w="2278" w:type="dxa"/>
          </w:tcPr>
          <w:p w14:paraId="3A48A54C"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Sustained participation in study communities; improved persistence.</w:t>
            </w:r>
          </w:p>
        </w:tc>
        <w:tc>
          <w:tcPr>
            <w:tcW w:w="1940" w:type="dxa"/>
          </w:tcPr>
          <w:p w14:paraId="0FFA22B0"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Reduced stigma; greater perceived support and well-being.</w:t>
            </w:r>
          </w:p>
        </w:tc>
        <w:tc>
          <w:tcPr>
            <w:tcW w:w="1932" w:type="dxa"/>
          </w:tcPr>
          <w:p w14:paraId="0A1177C2"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 xml:space="preserve">Rashid et al., 2025; </w:t>
            </w:r>
            <w:proofErr w:type="spellStart"/>
            <w:r>
              <w:rPr>
                <w:rFonts w:ascii="Arial" w:eastAsia="Arial" w:hAnsi="Arial" w:cs="Arial"/>
                <w:sz w:val="20"/>
                <w:szCs w:val="20"/>
              </w:rPr>
              <w:t>Gbollie</w:t>
            </w:r>
            <w:proofErr w:type="spellEnd"/>
            <w:r>
              <w:rPr>
                <w:rFonts w:ascii="Arial" w:eastAsia="Arial" w:hAnsi="Arial" w:cs="Arial"/>
                <w:sz w:val="20"/>
                <w:szCs w:val="20"/>
              </w:rPr>
              <w:t xml:space="preserve"> et al., 2023; Harith et al., 2022</w:t>
            </w:r>
          </w:p>
        </w:tc>
      </w:tr>
      <w:tr w:rsidR="000E1A6B" w14:paraId="793FE456" w14:textId="77777777">
        <w:trPr>
          <w:trHeight w:val="1261"/>
        </w:trPr>
        <w:tc>
          <w:tcPr>
            <w:tcW w:w="2073" w:type="dxa"/>
          </w:tcPr>
          <w:p w14:paraId="4155CC03"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System-level integration in universities</w:t>
            </w:r>
          </w:p>
        </w:tc>
        <w:tc>
          <w:tcPr>
            <w:tcW w:w="2490" w:type="dxa"/>
          </w:tcPr>
          <w:p w14:paraId="13806AA8"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Embedding tools into LMS, orientation, advising, and counselling; multiple access points and hybrid models.</w:t>
            </w:r>
          </w:p>
        </w:tc>
        <w:tc>
          <w:tcPr>
            <w:tcW w:w="2040" w:type="dxa"/>
          </w:tcPr>
          <w:p w14:paraId="40886129"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LMS links, orientation well-being modules, portal-based triage and resources.</w:t>
            </w:r>
          </w:p>
        </w:tc>
        <w:tc>
          <w:tcPr>
            <w:tcW w:w="2278" w:type="dxa"/>
          </w:tcPr>
          <w:p w14:paraId="4B04293A"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Increased utilization at peak stress periods; smoother referral pathways; reduced dropout risk.</w:t>
            </w:r>
          </w:p>
        </w:tc>
        <w:tc>
          <w:tcPr>
            <w:tcW w:w="1940" w:type="dxa"/>
          </w:tcPr>
          <w:p w14:paraId="79AE6CE9"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Continuous access, lower barriers, and more equitable support across student populations.</w:t>
            </w:r>
          </w:p>
        </w:tc>
        <w:tc>
          <w:tcPr>
            <w:tcW w:w="1932" w:type="dxa"/>
          </w:tcPr>
          <w:p w14:paraId="3395147E" w14:textId="77777777" w:rsidR="000E1A6B" w:rsidRDefault="00175F13">
            <w:pPr>
              <w:spacing w:line="276" w:lineRule="auto"/>
              <w:rPr>
                <w:rFonts w:ascii="Arial" w:eastAsia="Arial" w:hAnsi="Arial" w:cs="Arial"/>
                <w:sz w:val="20"/>
                <w:szCs w:val="20"/>
              </w:rPr>
            </w:pPr>
            <w:r>
              <w:rPr>
                <w:rFonts w:ascii="Arial" w:eastAsia="Arial" w:hAnsi="Arial" w:cs="Arial"/>
                <w:sz w:val="20"/>
                <w:szCs w:val="20"/>
              </w:rPr>
              <w:t xml:space="preserve">Rafiq et al., 2024; </w:t>
            </w:r>
            <w:proofErr w:type="spellStart"/>
            <w:r>
              <w:rPr>
                <w:rFonts w:ascii="Arial" w:eastAsia="Arial" w:hAnsi="Arial" w:cs="Arial"/>
                <w:sz w:val="20"/>
                <w:szCs w:val="20"/>
              </w:rPr>
              <w:t>Uzorka</w:t>
            </w:r>
            <w:proofErr w:type="spellEnd"/>
            <w:r>
              <w:rPr>
                <w:rFonts w:ascii="Arial" w:eastAsia="Arial" w:hAnsi="Arial" w:cs="Arial"/>
                <w:sz w:val="20"/>
                <w:szCs w:val="20"/>
              </w:rPr>
              <w:t xml:space="preserve"> &amp; </w:t>
            </w:r>
            <w:proofErr w:type="spellStart"/>
            <w:r>
              <w:rPr>
                <w:rFonts w:ascii="Arial" w:eastAsia="Arial" w:hAnsi="Arial" w:cs="Arial"/>
                <w:sz w:val="20"/>
                <w:szCs w:val="20"/>
              </w:rPr>
              <w:t>Odebiyi</w:t>
            </w:r>
            <w:proofErr w:type="spellEnd"/>
            <w:r>
              <w:rPr>
                <w:rFonts w:ascii="Arial" w:eastAsia="Arial" w:hAnsi="Arial" w:cs="Arial"/>
                <w:sz w:val="20"/>
                <w:szCs w:val="20"/>
              </w:rPr>
              <w:t>, 2025; Li et al., 2025</w:t>
            </w:r>
          </w:p>
        </w:tc>
      </w:tr>
    </w:tbl>
    <w:p w14:paraId="2327AAC9" w14:textId="77777777" w:rsidR="000E1A6B" w:rsidRDefault="000E1A6B">
      <w:pPr>
        <w:spacing w:line="276" w:lineRule="auto"/>
        <w:rPr>
          <w:rFonts w:ascii="Arial" w:eastAsia="Arial" w:hAnsi="Arial" w:cs="Arial"/>
          <w:sz w:val="20"/>
          <w:szCs w:val="20"/>
        </w:rPr>
      </w:pPr>
    </w:p>
    <w:p w14:paraId="43CF9818" w14:textId="77777777" w:rsidR="000E1A6B" w:rsidRDefault="00175F13">
      <w:pPr>
        <w:spacing w:line="276" w:lineRule="auto"/>
        <w:rPr>
          <w:rFonts w:ascii="Arial" w:eastAsia="Arial" w:hAnsi="Arial" w:cs="Arial"/>
          <w:b/>
          <w:bCs/>
          <w:sz w:val="20"/>
          <w:szCs w:val="20"/>
        </w:rPr>
        <w:sectPr w:rsidR="000E1A6B">
          <w:pgSz w:w="15840" w:h="12240" w:orient="landscape"/>
          <w:pgMar w:top="1440" w:right="1440" w:bottom="1440" w:left="1440" w:header="720" w:footer="720" w:gutter="0"/>
          <w:cols w:space="720"/>
        </w:sectPr>
      </w:pPr>
      <w:r>
        <w:br w:type="page"/>
      </w:r>
    </w:p>
    <w:p w14:paraId="0E0A979B" w14:textId="77777777" w:rsidR="000E1A6B" w:rsidRDefault="00175F13">
      <w:pPr>
        <w:spacing w:line="276" w:lineRule="auto"/>
        <w:rPr>
          <w:rFonts w:ascii="Arial" w:eastAsia="Arial" w:hAnsi="Arial" w:cs="Arial"/>
          <w:b/>
          <w:bCs/>
        </w:rPr>
      </w:pPr>
      <w:r>
        <w:rPr>
          <w:rFonts w:ascii="Arial" w:eastAsia="Arial" w:hAnsi="Arial" w:cs="Arial"/>
          <w:b/>
          <w:bCs/>
        </w:rPr>
        <w:lastRenderedPageBreak/>
        <w:t>5.2 Implications for Academic Performance and Well-Being</w:t>
      </w:r>
    </w:p>
    <w:p w14:paraId="4766C257"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The findings in this study show the significant impact that digital mental health services is playing in improving both academic performance and well-being of students. As anxiety, depression, and stress get increase, mental health problems become more widespread. Luckily, digital tools can be applied to educational systems and can provide timely and personalized services. Timely digital intervention can reduce stress and help to improve focus with reasonable immediate implications on academic achievement.</w:t>
      </w:r>
    </w:p>
    <w:p w14:paraId="4C3A63D0"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These tools are an accessible and stigma-free way of coping with mental health problems for students, and especially for students who do not feel comfortable with in-person therapy. A digital platform provides privacy, convenience, and anonymity as an alternative to traditional mental health services. CBT-based applications and mindfulness programs, can help students overcome academic stress but are also helpful to the overall happiness of the student, helping to improve self-esteem and emotional resilience.</w:t>
      </w:r>
    </w:p>
    <w:p w14:paraId="77140517"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Digital tools in learning units allow educators and mental health professionals to bring their students back up to the classroom while providing the opportunity to support them. The digital approaches to stress management, time planning, and emotional regulation can be integrated into the curriculum to provide students with practical strategies in coping with stress, time management, and emotional regulation that are essential tools to become successful both as an academic and personal learner. For example, universities can reduce the burden on counselling services by providing these tools as a first aid option and providing resources for students who are more severely mentally ill.</w:t>
      </w:r>
    </w:p>
    <w:p w14:paraId="56143E16" w14:textId="77777777" w:rsidR="000E1A6B" w:rsidRDefault="00175F13">
      <w:pPr>
        <w:spacing w:line="276" w:lineRule="auto"/>
        <w:rPr>
          <w:rFonts w:ascii="Arial" w:eastAsia="Arial" w:hAnsi="Arial" w:cs="Arial"/>
          <w:b/>
          <w:bCs/>
        </w:rPr>
      </w:pPr>
      <w:r>
        <w:rPr>
          <w:rFonts w:ascii="Arial" w:eastAsia="Arial" w:hAnsi="Arial" w:cs="Arial"/>
          <w:b/>
          <w:bCs/>
        </w:rPr>
        <w:t>5.3 Limitations of the Review</w:t>
      </w:r>
    </w:p>
    <w:p w14:paraId="619EC036"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 xml:space="preserve">This paper has some notable limitations. Firstly, there may be publication bias because studies that have positive results are more likely to be published, and the negative and inconclusive results less likely to be reported. Second, the quality of the studies reviewed varied, some relying on self-reported data, which is also susceptible to social desirability bias. Also, many studies focused on short-term outcomes, and longitudinal data on the sustained effects of digital mental health technology remains sparse. </w:t>
      </w:r>
    </w:p>
    <w:p w14:paraId="2240B8E0" w14:textId="77777777" w:rsidR="000E1A6B" w:rsidRDefault="00175F13">
      <w:pPr>
        <w:spacing w:line="276" w:lineRule="auto"/>
        <w:rPr>
          <w:rFonts w:ascii="Arial" w:eastAsia="Arial" w:hAnsi="Arial" w:cs="Arial"/>
          <w:b/>
          <w:bCs/>
        </w:rPr>
      </w:pPr>
      <w:r>
        <w:rPr>
          <w:rFonts w:ascii="Arial" w:eastAsia="Arial" w:hAnsi="Arial" w:cs="Arial"/>
          <w:b/>
          <w:bCs/>
        </w:rPr>
        <w:t>6.0 CONCLUSION AND RECOMMENDATIONS</w:t>
      </w:r>
    </w:p>
    <w:p w14:paraId="28013A60"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Given this study, it is revealed that digital mental health tools provide an effective solution to the ever-growing challenges of mental health among university students. These tools significantly increase student’s academic performance through emotional regulation, stress reduction, and cognitive efficacy. Digital interventions are especially versatile and available for the needs of college students and they can be utilized on-demand. They are appropriate as a solution to challenges of students as well as to complement their face-to-face counselling services.</w:t>
      </w:r>
    </w:p>
    <w:p w14:paraId="522935E9"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But in order for these tools to achieve their full potential, personalization, engagement and access should be prioritized, while barriers to privacy, technology limitations and lack of accessibility must be addressed. In support of institution’s incorporation of these tools into their mental health programs, continuous feedback is needed from students in their efforts to excel academically.</w:t>
      </w:r>
    </w:p>
    <w:p w14:paraId="12061EF6"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Additionally, to sustain the digital mental health services, the integration of these tools into educational support systems that are not only focused on student needs but also their welfare is encouraged. Through this, schools can provide a holistic support system which helps students pass through their university experience effortlessly while ensuring their success.</w:t>
      </w:r>
    </w:p>
    <w:p w14:paraId="0FDE8BC0"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Based on the findings of this study, some practical recommendations can be made, and these include:</w:t>
      </w:r>
    </w:p>
    <w:p w14:paraId="67A40A0E"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lastRenderedPageBreak/>
        <w:t>(</w:t>
      </w:r>
      <w:proofErr w:type="spellStart"/>
      <w:r>
        <w:rPr>
          <w:rFonts w:ascii="Arial" w:eastAsia="Arial" w:hAnsi="Arial" w:cs="Arial"/>
          <w:sz w:val="20"/>
          <w:szCs w:val="20"/>
        </w:rPr>
        <w:t>i</w:t>
      </w:r>
      <w:proofErr w:type="spellEnd"/>
      <w:r>
        <w:rPr>
          <w:rFonts w:ascii="Arial" w:eastAsia="Arial" w:hAnsi="Arial" w:cs="Arial"/>
          <w:sz w:val="20"/>
          <w:szCs w:val="20"/>
        </w:rPr>
        <w:t>) The Integration of Digital Tools into Academic Curriculum and Student Services: Universities should incorporate mental health apps, CBT programs, and mindfulness exercises into their academic orientation programs.</w:t>
      </w:r>
    </w:p>
    <w:p w14:paraId="1B22BBF7"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 xml:space="preserve">(ii) Ensuring Personalization and Accessibility: Digital tools should be tailored to the needs of individual students through the customisation of features like mood tracking, personalized stress management plans, and adaptive interventions, which can increase engagement and be more effective. </w:t>
      </w:r>
    </w:p>
    <w:p w14:paraId="1E91B665"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 xml:space="preserve">(iii) Focus on Long-Term Engagement: The development of digital tools should be encouraged by long-term engagement by reminding, tracking progress, and engaging with the goals of the institutions. </w:t>
      </w:r>
    </w:p>
    <w:p w14:paraId="570EF4FE"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 xml:space="preserve">(iv) Reduce Stigma and Promote Acceptance: Mental health tools should be promoted in ways that it would discourage stigma. This can actually be done in the classroom through normalising their use and making them basic means of success for the student and not a failure. </w:t>
      </w:r>
    </w:p>
    <w:p w14:paraId="73D985DE"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(v) Improve Data Security and Address Privacy Concerns: All digital platforms used must be in compliance with data protection regulations in order to respond to privacy concerns.</w:t>
      </w:r>
    </w:p>
    <w:p w14:paraId="7AF18E6E" w14:textId="77777777" w:rsidR="000E1A6B" w:rsidRDefault="00175F13">
      <w:pPr>
        <w:spacing w:line="276" w:lineRule="auto"/>
        <w:jc w:val="both"/>
        <w:rPr>
          <w:rFonts w:ascii="Arial" w:eastAsia="Arial" w:hAnsi="Arial" w:cs="Arial"/>
          <w:sz w:val="20"/>
          <w:szCs w:val="20"/>
        </w:rPr>
      </w:pPr>
      <w:r>
        <w:rPr>
          <w:rFonts w:ascii="Arial" w:eastAsia="Arial" w:hAnsi="Arial" w:cs="Arial"/>
          <w:sz w:val="20"/>
          <w:szCs w:val="20"/>
        </w:rPr>
        <w:t>(vi) Continuous Monitoring and Feedback: The value of digital mental health tools must always be revisited regularly and the student feedback should be collected through the use of digital mental health tools to make assessment possible.</w:t>
      </w:r>
    </w:p>
    <w:p w14:paraId="1FF20AAC" w14:textId="77777777" w:rsidR="000E1A6B" w:rsidRDefault="000E1A6B">
      <w:pPr>
        <w:spacing w:line="276" w:lineRule="auto"/>
        <w:rPr>
          <w:rFonts w:ascii="Arial" w:eastAsia="Arial" w:hAnsi="Arial" w:cs="Arial"/>
          <w:sz w:val="20"/>
          <w:szCs w:val="20"/>
        </w:rPr>
      </w:pPr>
    </w:p>
    <w:p w14:paraId="239033F0" w14:textId="77777777" w:rsidR="000E1A6B" w:rsidRDefault="000E1A6B">
      <w:pPr>
        <w:spacing w:line="276" w:lineRule="auto"/>
        <w:rPr>
          <w:rFonts w:ascii="Arial" w:eastAsia="Arial" w:hAnsi="Arial" w:cs="Arial"/>
          <w:sz w:val="20"/>
          <w:szCs w:val="20"/>
        </w:rPr>
      </w:pPr>
    </w:p>
    <w:p w14:paraId="6E2554A7" w14:textId="77777777" w:rsidR="000E1A6B" w:rsidRDefault="000E1A6B">
      <w:pPr>
        <w:spacing w:line="276" w:lineRule="auto"/>
        <w:rPr>
          <w:rFonts w:ascii="Arial" w:eastAsia="Arial" w:hAnsi="Arial" w:cs="Arial"/>
          <w:sz w:val="20"/>
          <w:szCs w:val="20"/>
        </w:rPr>
      </w:pPr>
    </w:p>
    <w:p w14:paraId="292D7C09" w14:textId="77777777" w:rsidR="000E1A6B" w:rsidRDefault="000E1A6B">
      <w:pPr>
        <w:spacing w:line="276" w:lineRule="auto"/>
        <w:rPr>
          <w:rFonts w:ascii="Arial" w:eastAsia="Arial" w:hAnsi="Arial" w:cs="Arial"/>
          <w:sz w:val="20"/>
          <w:szCs w:val="20"/>
        </w:rPr>
      </w:pPr>
    </w:p>
    <w:p w14:paraId="50FC385D" w14:textId="77777777" w:rsidR="000E1A6B" w:rsidRDefault="000E1A6B">
      <w:pPr>
        <w:spacing w:line="276" w:lineRule="auto"/>
        <w:rPr>
          <w:rFonts w:ascii="Arial" w:eastAsia="Arial" w:hAnsi="Arial" w:cs="Arial"/>
          <w:sz w:val="20"/>
          <w:szCs w:val="20"/>
        </w:rPr>
      </w:pPr>
    </w:p>
    <w:p w14:paraId="770B327B" w14:textId="77777777" w:rsidR="000E1A6B" w:rsidRDefault="000E1A6B">
      <w:pPr>
        <w:spacing w:line="276" w:lineRule="auto"/>
        <w:rPr>
          <w:rFonts w:ascii="Arial" w:eastAsia="Arial" w:hAnsi="Arial" w:cs="Arial"/>
          <w:sz w:val="20"/>
          <w:szCs w:val="20"/>
        </w:rPr>
      </w:pPr>
    </w:p>
    <w:p w14:paraId="039C8BB4" w14:textId="77777777" w:rsidR="000E1A6B" w:rsidRDefault="000E1A6B">
      <w:pPr>
        <w:spacing w:line="276" w:lineRule="auto"/>
        <w:rPr>
          <w:rFonts w:ascii="Arial" w:eastAsia="Arial" w:hAnsi="Arial" w:cs="Arial"/>
          <w:sz w:val="20"/>
          <w:szCs w:val="20"/>
        </w:rPr>
      </w:pPr>
    </w:p>
    <w:p w14:paraId="27A824FA" w14:textId="77777777" w:rsidR="000E1A6B" w:rsidRDefault="000E1A6B">
      <w:pPr>
        <w:spacing w:line="276" w:lineRule="auto"/>
        <w:rPr>
          <w:rFonts w:ascii="Arial" w:eastAsia="Arial" w:hAnsi="Arial" w:cs="Arial"/>
          <w:sz w:val="20"/>
          <w:szCs w:val="20"/>
        </w:rPr>
      </w:pPr>
    </w:p>
    <w:p w14:paraId="789F4137" w14:textId="77777777" w:rsidR="000E1A6B" w:rsidRDefault="000E1A6B">
      <w:pPr>
        <w:spacing w:line="276" w:lineRule="auto"/>
        <w:rPr>
          <w:rFonts w:ascii="Arial" w:eastAsia="Arial" w:hAnsi="Arial" w:cs="Arial"/>
          <w:sz w:val="20"/>
          <w:szCs w:val="20"/>
        </w:rPr>
      </w:pPr>
    </w:p>
    <w:p w14:paraId="1095D63E" w14:textId="77777777" w:rsidR="000E1A6B" w:rsidRDefault="000E1A6B">
      <w:pPr>
        <w:spacing w:line="276" w:lineRule="auto"/>
        <w:rPr>
          <w:rFonts w:ascii="Arial" w:eastAsia="Arial" w:hAnsi="Arial" w:cs="Arial"/>
          <w:sz w:val="20"/>
          <w:szCs w:val="20"/>
        </w:rPr>
      </w:pPr>
    </w:p>
    <w:p w14:paraId="5F48B45B" w14:textId="77777777" w:rsidR="000E1A6B" w:rsidRDefault="000E1A6B">
      <w:pPr>
        <w:spacing w:line="276" w:lineRule="auto"/>
        <w:rPr>
          <w:rFonts w:ascii="Arial" w:eastAsia="Arial" w:hAnsi="Arial" w:cs="Arial"/>
          <w:sz w:val="20"/>
          <w:szCs w:val="20"/>
        </w:rPr>
      </w:pPr>
    </w:p>
    <w:p w14:paraId="033BEADE" w14:textId="77777777" w:rsidR="000E1A6B" w:rsidRDefault="000E1A6B">
      <w:pPr>
        <w:spacing w:line="276" w:lineRule="auto"/>
        <w:rPr>
          <w:rFonts w:ascii="Arial" w:eastAsia="Arial" w:hAnsi="Arial" w:cs="Arial"/>
          <w:sz w:val="20"/>
          <w:szCs w:val="20"/>
        </w:rPr>
      </w:pPr>
    </w:p>
    <w:p w14:paraId="2CADF807" w14:textId="77777777" w:rsidR="000E1A6B" w:rsidRDefault="000E1A6B">
      <w:pPr>
        <w:spacing w:line="276" w:lineRule="auto"/>
        <w:rPr>
          <w:rFonts w:ascii="Arial" w:eastAsia="Arial" w:hAnsi="Arial" w:cs="Arial"/>
          <w:sz w:val="20"/>
          <w:szCs w:val="20"/>
        </w:rPr>
      </w:pPr>
    </w:p>
    <w:p w14:paraId="2910F2EC" w14:textId="77777777" w:rsidR="000E1A6B" w:rsidRDefault="000E1A6B">
      <w:pPr>
        <w:spacing w:line="276" w:lineRule="auto"/>
        <w:rPr>
          <w:rFonts w:ascii="Arial" w:eastAsia="Arial" w:hAnsi="Arial" w:cs="Arial"/>
          <w:sz w:val="20"/>
          <w:szCs w:val="20"/>
        </w:rPr>
      </w:pPr>
    </w:p>
    <w:p w14:paraId="0A441211" w14:textId="77777777" w:rsidR="000E1A6B" w:rsidRDefault="000E1A6B">
      <w:pPr>
        <w:spacing w:line="276" w:lineRule="auto"/>
        <w:rPr>
          <w:rFonts w:ascii="Arial" w:eastAsia="Arial" w:hAnsi="Arial" w:cs="Arial"/>
          <w:sz w:val="20"/>
          <w:szCs w:val="20"/>
        </w:rPr>
      </w:pPr>
    </w:p>
    <w:p w14:paraId="7075D0D8" w14:textId="77777777" w:rsidR="000E1A6B" w:rsidRDefault="000E1A6B">
      <w:pPr>
        <w:spacing w:line="276" w:lineRule="auto"/>
        <w:rPr>
          <w:rFonts w:ascii="Arial" w:eastAsia="Arial" w:hAnsi="Arial" w:cs="Arial"/>
          <w:sz w:val="20"/>
          <w:szCs w:val="20"/>
        </w:rPr>
      </w:pPr>
    </w:p>
    <w:p w14:paraId="72D9D0EC" w14:textId="77777777" w:rsidR="000E1A6B" w:rsidRDefault="000E1A6B">
      <w:pPr>
        <w:spacing w:line="276" w:lineRule="auto"/>
        <w:rPr>
          <w:rFonts w:ascii="Arial" w:eastAsia="Arial" w:hAnsi="Arial" w:cs="Arial"/>
          <w:sz w:val="20"/>
          <w:szCs w:val="20"/>
        </w:rPr>
      </w:pPr>
    </w:p>
    <w:p w14:paraId="2930E1A6" w14:textId="77777777" w:rsidR="000E1A6B" w:rsidRDefault="000E1A6B">
      <w:pPr>
        <w:spacing w:line="276" w:lineRule="auto"/>
        <w:rPr>
          <w:rFonts w:ascii="Arial" w:eastAsia="Arial" w:hAnsi="Arial" w:cs="Arial"/>
          <w:sz w:val="20"/>
          <w:szCs w:val="20"/>
        </w:rPr>
      </w:pPr>
    </w:p>
    <w:p w14:paraId="534D7725" w14:textId="77777777" w:rsidR="000E1A6B" w:rsidRDefault="00175F13">
      <w:pPr>
        <w:spacing w:line="276" w:lineRule="auto"/>
        <w:rPr>
          <w:rFonts w:ascii="Arial" w:eastAsia="Arial" w:hAnsi="Arial" w:cs="Arial"/>
          <w:b/>
          <w:bCs/>
          <w:sz w:val="20"/>
          <w:szCs w:val="20"/>
        </w:rPr>
      </w:pPr>
      <w:r>
        <w:rPr>
          <w:rFonts w:ascii="Arial" w:eastAsia="Arial" w:hAnsi="Arial" w:cs="Arial"/>
          <w:b/>
          <w:bCs/>
          <w:sz w:val="20"/>
          <w:szCs w:val="20"/>
        </w:rPr>
        <w:lastRenderedPageBreak/>
        <w:t>REFERENCES</w:t>
      </w:r>
    </w:p>
    <w:p w14:paraId="5DE0981D" w14:textId="77777777" w:rsidR="000E1A6B" w:rsidRDefault="00175F13">
      <w:pPr>
        <w:spacing w:line="276" w:lineRule="auto"/>
        <w:ind w:hanging="720"/>
        <w:jc w:val="both"/>
        <w:rPr>
          <w:rFonts w:ascii="Arial" w:eastAsia="Arial" w:hAnsi="Arial" w:cs="Arial"/>
          <w:sz w:val="20"/>
          <w:szCs w:val="20"/>
        </w:rPr>
      </w:pPr>
      <w:bookmarkStart w:id="1" w:name="_heading=h.sgvv3b395m4t" w:colFirst="0" w:colLast="0"/>
      <w:bookmarkEnd w:id="1"/>
      <w:r>
        <w:rPr>
          <w:rFonts w:ascii="Arial" w:eastAsia="Arial" w:hAnsi="Arial" w:cs="Arial"/>
          <w:sz w:val="20"/>
          <w:szCs w:val="20"/>
        </w:rPr>
        <w:t xml:space="preserve">Abernethy, A., Adams, L., Barrett, M., Bechtel, C., Brennan, P., Butte, A., Faulkner, J., Fontaine, E., Friedhoff, S., </w:t>
      </w:r>
      <w:proofErr w:type="spellStart"/>
      <w:r>
        <w:rPr>
          <w:rFonts w:ascii="Arial" w:eastAsia="Arial" w:hAnsi="Arial" w:cs="Arial"/>
          <w:sz w:val="20"/>
          <w:szCs w:val="20"/>
        </w:rPr>
        <w:t>Halamka</w:t>
      </w:r>
      <w:proofErr w:type="spellEnd"/>
      <w:r>
        <w:rPr>
          <w:rFonts w:ascii="Arial" w:eastAsia="Arial" w:hAnsi="Arial" w:cs="Arial"/>
          <w:sz w:val="20"/>
          <w:szCs w:val="20"/>
        </w:rPr>
        <w:t>, J., Howell, M., Johnson, K., Long, P., McGraw, D., Miller, R., Lee, P., Perlin, J., Rucker, D., Sandy, L., Savage, L., … Valdes, K. (2022). The Promise of Digital Health: Then, Now, and the Future. </w:t>
      </w:r>
      <w:r>
        <w:rPr>
          <w:rFonts w:ascii="Arial" w:eastAsia="Arial" w:hAnsi="Arial" w:cs="Arial"/>
          <w:i/>
          <w:iCs/>
          <w:sz w:val="20"/>
          <w:szCs w:val="20"/>
        </w:rPr>
        <w:t>NAM perspectives</w:t>
      </w:r>
      <w:r>
        <w:rPr>
          <w:rFonts w:ascii="Arial" w:eastAsia="Arial" w:hAnsi="Arial" w:cs="Arial"/>
          <w:sz w:val="20"/>
          <w:szCs w:val="20"/>
        </w:rPr>
        <w:t>, </w:t>
      </w:r>
      <w:r>
        <w:rPr>
          <w:rFonts w:ascii="Arial" w:eastAsia="Arial" w:hAnsi="Arial" w:cs="Arial"/>
          <w:i/>
          <w:iCs/>
          <w:sz w:val="20"/>
          <w:szCs w:val="20"/>
        </w:rPr>
        <w:t>2022</w:t>
      </w:r>
      <w:r>
        <w:rPr>
          <w:rFonts w:ascii="Arial" w:eastAsia="Arial" w:hAnsi="Arial" w:cs="Arial"/>
          <w:sz w:val="20"/>
          <w:szCs w:val="20"/>
        </w:rPr>
        <w:t xml:space="preserve">, 10.31478/202206e. </w:t>
      </w:r>
      <w:hyperlink r:id="rId14">
        <w:r>
          <w:rPr>
            <w:rFonts w:ascii="Arial" w:eastAsia="Arial" w:hAnsi="Arial" w:cs="Arial"/>
            <w:color w:val="0563C1"/>
            <w:sz w:val="20"/>
            <w:szCs w:val="20"/>
            <w:u w:val="single"/>
          </w:rPr>
          <w:t>https://doi.org/10.31478/202206e</w:t>
        </w:r>
      </w:hyperlink>
    </w:p>
    <w:p w14:paraId="0C3869EE" w14:textId="77777777" w:rsidR="000E1A6B" w:rsidRDefault="00175F13">
      <w:pPr>
        <w:spacing w:line="276" w:lineRule="auto"/>
        <w:ind w:hanging="720"/>
        <w:jc w:val="both"/>
        <w:rPr>
          <w:rFonts w:ascii="Arial" w:eastAsia="Arial" w:hAnsi="Arial" w:cs="Arial"/>
          <w:sz w:val="20"/>
          <w:szCs w:val="20"/>
        </w:rPr>
      </w:pPr>
      <w:bookmarkStart w:id="2" w:name="_heading=h.5utid9f9txkb" w:colFirst="0" w:colLast="0"/>
      <w:bookmarkEnd w:id="2"/>
      <w:proofErr w:type="spellStart"/>
      <w:r>
        <w:rPr>
          <w:rFonts w:ascii="Arial" w:eastAsia="Arial" w:hAnsi="Arial" w:cs="Arial"/>
          <w:sz w:val="20"/>
          <w:szCs w:val="20"/>
        </w:rPr>
        <w:t>AlRefaie</w:t>
      </w:r>
      <w:proofErr w:type="spellEnd"/>
      <w:r>
        <w:rPr>
          <w:rFonts w:ascii="Arial" w:eastAsia="Arial" w:hAnsi="Arial" w:cs="Arial"/>
          <w:sz w:val="20"/>
          <w:szCs w:val="20"/>
        </w:rPr>
        <w:t>, A., &amp; Dowrick, C. (2021). Causes and Risk Factor of Post-Traumatic Stress Disorder in Adult Asylum Seekers and Refugees. </w:t>
      </w:r>
      <w:r>
        <w:rPr>
          <w:rFonts w:ascii="Arial" w:eastAsia="Arial" w:hAnsi="Arial" w:cs="Arial"/>
          <w:i/>
          <w:iCs/>
          <w:sz w:val="20"/>
          <w:szCs w:val="20"/>
        </w:rPr>
        <w:t>Psychiatry International</w:t>
      </w:r>
      <w:r>
        <w:rPr>
          <w:rFonts w:ascii="Arial" w:eastAsia="Arial" w:hAnsi="Arial" w:cs="Arial"/>
          <w:sz w:val="20"/>
          <w:szCs w:val="20"/>
        </w:rPr>
        <w:t>, </w:t>
      </w:r>
      <w:r>
        <w:rPr>
          <w:rFonts w:ascii="Arial" w:eastAsia="Arial" w:hAnsi="Arial" w:cs="Arial"/>
          <w:i/>
          <w:iCs/>
          <w:sz w:val="20"/>
          <w:szCs w:val="20"/>
        </w:rPr>
        <w:t>2</w:t>
      </w:r>
      <w:r>
        <w:rPr>
          <w:rFonts w:ascii="Arial" w:eastAsia="Arial" w:hAnsi="Arial" w:cs="Arial"/>
          <w:sz w:val="20"/>
          <w:szCs w:val="20"/>
        </w:rPr>
        <w:t xml:space="preserve">(4), 410-423. </w:t>
      </w:r>
      <w:hyperlink r:id="rId15">
        <w:r>
          <w:rPr>
            <w:rFonts w:ascii="Arial" w:eastAsia="Arial" w:hAnsi="Arial" w:cs="Arial"/>
            <w:color w:val="0563C1"/>
            <w:sz w:val="20"/>
            <w:szCs w:val="20"/>
            <w:u w:val="single"/>
          </w:rPr>
          <w:t>https://doi.org/10.3390/psychiatryint2040032</w:t>
        </w:r>
      </w:hyperlink>
    </w:p>
    <w:p w14:paraId="6B447752" w14:textId="77777777" w:rsidR="000E1A6B" w:rsidRDefault="00175F13">
      <w:pPr>
        <w:spacing w:line="276" w:lineRule="auto"/>
        <w:ind w:hanging="720"/>
        <w:jc w:val="both"/>
        <w:rPr>
          <w:rFonts w:ascii="Arial" w:eastAsia="Arial" w:hAnsi="Arial" w:cs="Arial"/>
          <w:sz w:val="20"/>
          <w:szCs w:val="20"/>
        </w:rPr>
      </w:pPr>
      <w:bookmarkStart w:id="3" w:name="_heading=h.wjmcmlmv294p" w:colFirst="0" w:colLast="0"/>
      <w:bookmarkEnd w:id="3"/>
      <w:r>
        <w:rPr>
          <w:rFonts w:ascii="Arial" w:eastAsia="Arial" w:hAnsi="Arial" w:cs="Arial"/>
          <w:sz w:val="20"/>
          <w:szCs w:val="20"/>
        </w:rPr>
        <w:t xml:space="preserve">Ayoola, A. A., Adeoye, O. F., Ayoola, A., &amp; </w:t>
      </w:r>
      <w:proofErr w:type="spellStart"/>
      <w:r>
        <w:rPr>
          <w:rFonts w:ascii="Arial" w:eastAsia="Arial" w:hAnsi="Arial" w:cs="Arial"/>
          <w:sz w:val="20"/>
          <w:szCs w:val="20"/>
        </w:rPr>
        <w:t>Anfo</w:t>
      </w:r>
      <w:proofErr w:type="spellEnd"/>
      <w:r>
        <w:rPr>
          <w:rFonts w:ascii="Arial" w:eastAsia="Arial" w:hAnsi="Arial" w:cs="Arial"/>
          <w:sz w:val="20"/>
          <w:szCs w:val="20"/>
        </w:rPr>
        <w:t xml:space="preserve"> Pub. (2025). Telepsychiatry and digital mental health interventions: The future of psychiatric nursing. </w:t>
      </w:r>
      <w:r>
        <w:rPr>
          <w:rFonts w:ascii="Arial" w:eastAsia="Arial" w:hAnsi="Arial" w:cs="Arial"/>
          <w:i/>
          <w:iCs/>
          <w:sz w:val="20"/>
          <w:szCs w:val="20"/>
        </w:rPr>
        <w:t>International Journal of Pharma Growth Research Review, 2</w:t>
      </w:r>
      <w:r>
        <w:rPr>
          <w:rFonts w:ascii="Arial" w:eastAsia="Arial" w:hAnsi="Arial" w:cs="Arial"/>
          <w:sz w:val="20"/>
          <w:szCs w:val="20"/>
        </w:rPr>
        <w:t xml:space="preserve">(1), 28–38. </w:t>
      </w:r>
      <w:hyperlink r:id="rId16">
        <w:r>
          <w:rPr>
            <w:rFonts w:ascii="Arial" w:eastAsia="Arial" w:hAnsi="Arial" w:cs="Arial"/>
            <w:color w:val="0563C1"/>
            <w:sz w:val="20"/>
            <w:szCs w:val="20"/>
            <w:u w:val="single"/>
          </w:rPr>
          <w:t>https://doi.org/10.54660/IJPGRR.2025.2.1.28-38</w:t>
        </w:r>
      </w:hyperlink>
    </w:p>
    <w:p w14:paraId="3CA276E8" w14:textId="77777777" w:rsidR="000E1A6B" w:rsidRDefault="00175F13">
      <w:pPr>
        <w:spacing w:line="276" w:lineRule="auto"/>
        <w:ind w:hanging="720"/>
        <w:jc w:val="both"/>
        <w:rPr>
          <w:rFonts w:ascii="Arial" w:eastAsia="Arial" w:hAnsi="Arial" w:cs="Arial"/>
          <w:sz w:val="20"/>
          <w:szCs w:val="20"/>
        </w:rPr>
      </w:pPr>
      <w:bookmarkStart w:id="4" w:name="_heading=h.x9o24aaf5rcv" w:colFirst="0" w:colLast="0"/>
      <w:bookmarkEnd w:id="4"/>
      <w:proofErr w:type="spellStart"/>
      <w:r>
        <w:rPr>
          <w:rFonts w:ascii="Arial" w:eastAsia="Arial" w:hAnsi="Arial" w:cs="Arial"/>
          <w:sz w:val="20"/>
          <w:szCs w:val="20"/>
        </w:rPr>
        <w:t>Bantjes</w:t>
      </w:r>
      <w:proofErr w:type="spellEnd"/>
      <w:r>
        <w:rPr>
          <w:rFonts w:ascii="Arial" w:eastAsia="Arial" w:hAnsi="Arial" w:cs="Arial"/>
          <w:sz w:val="20"/>
          <w:szCs w:val="20"/>
        </w:rPr>
        <w:t xml:space="preserve">, J., </w:t>
      </w:r>
      <w:proofErr w:type="spellStart"/>
      <w:r>
        <w:rPr>
          <w:rFonts w:ascii="Arial" w:eastAsia="Arial" w:hAnsi="Arial" w:cs="Arial"/>
          <w:sz w:val="20"/>
          <w:szCs w:val="20"/>
        </w:rPr>
        <w:t>Kazdin</w:t>
      </w:r>
      <w:proofErr w:type="spellEnd"/>
      <w:r>
        <w:rPr>
          <w:rFonts w:ascii="Arial" w:eastAsia="Arial" w:hAnsi="Arial" w:cs="Arial"/>
          <w:sz w:val="20"/>
          <w:szCs w:val="20"/>
        </w:rPr>
        <w:t xml:space="preserve">, A. E., Cuijpers, P., Breet, E., Dunn-Coetzee, M., Davids, C., Stein, D. J., &amp; Kessler, R. C. (2021). A Web-Based Group Cognitive </w:t>
      </w:r>
      <w:proofErr w:type="spellStart"/>
      <w:r>
        <w:rPr>
          <w:rFonts w:ascii="Arial" w:eastAsia="Arial" w:hAnsi="Arial" w:cs="Arial"/>
          <w:sz w:val="20"/>
          <w:szCs w:val="20"/>
        </w:rPr>
        <w:t>Behavioral</w:t>
      </w:r>
      <w:proofErr w:type="spellEnd"/>
      <w:r>
        <w:rPr>
          <w:rFonts w:ascii="Arial" w:eastAsia="Arial" w:hAnsi="Arial" w:cs="Arial"/>
          <w:sz w:val="20"/>
          <w:szCs w:val="20"/>
        </w:rPr>
        <w:t xml:space="preserve"> Therapy Intervention for Symptoms of Anxiety and Depression Among University Students: Open-Label, Pragmatic Trial. </w:t>
      </w:r>
      <w:r>
        <w:rPr>
          <w:rFonts w:ascii="Arial" w:eastAsia="Arial" w:hAnsi="Arial" w:cs="Arial"/>
          <w:i/>
          <w:iCs/>
          <w:sz w:val="20"/>
          <w:szCs w:val="20"/>
        </w:rPr>
        <w:t>JMIR Mental Health</w:t>
      </w:r>
      <w:r>
        <w:rPr>
          <w:rFonts w:ascii="Arial" w:eastAsia="Arial" w:hAnsi="Arial" w:cs="Arial"/>
          <w:sz w:val="20"/>
          <w:szCs w:val="20"/>
        </w:rPr>
        <w:t xml:space="preserve">, </w:t>
      </w:r>
      <w:r>
        <w:rPr>
          <w:rFonts w:ascii="Arial" w:eastAsia="Arial" w:hAnsi="Arial" w:cs="Arial"/>
          <w:i/>
          <w:iCs/>
          <w:sz w:val="20"/>
          <w:szCs w:val="20"/>
        </w:rPr>
        <w:t>8</w:t>
      </w:r>
      <w:r>
        <w:rPr>
          <w:rFonts w:ascii="Arial" w:eastAsia="Arial" w:hAnsi="Arial" w:cs="Arial"/>
          <w:sz w:val="20"/>
          <w:szCs w:val="20"/>
        </w:rPr>
        <w:t xml:space="preserve">(5), e27400. </w:t>
      </w:r>
      <w:hyperlink r:id="rId17">
        <w:r>
          <w:rPr>
            <w:rFonts w:ascii="Arial" w:eastAsia="Arial" w:hAnsi="Arial" w:cs="Arial"/>
            <w:color w:val="0563C1"/>
            <w:sz w:val="20"/>
            <w:szCs w:val="20"/>
            <w:u w:val="single"/>
          </w:rPr>
          <w:t>https://doi.org/10.2196/27400</w:t>
        </w:r>
      </w:hyperlink>
    </w:p>
    <w:p w14:paraId="3FB86E55" w14:textId="77777777" w:rsidR="000E1A6B" w:rsidRDefault="00175F13">
      <w:pPr>
        <w:spacing w:line="276" w:lineRule="auto"/>
        <w:ind w:hanging="720"/>
        <w:jc w:val="both"/>
        <w:rPr>
          <w:rFonts w:ascii="Arial" w:eastAsia="Arial" w:hAnsi="Arial" w:cs="Arial"/>
          <w:sz w:val="20"/>
          <w:szCs w:val="20"/>
        </w:rPr>
      </w:pPr>
      <w:r>
        <w:rPr>
          <w:rFonts w:ascii="Arial" w:eastAsia="Arial" w:hAnsi="Arial" w:cs="Arial"/>
          <w:sz w:val="20"/>
          <w:szCs w:val="20"/>
        </w:rPr>
        <w:t xml:space="preserve">Chu, T., Liu, X., Takayanagi, S., Matsushita, T., &amp; Kishimoto, H. (2023). Association between mental health and academic performance among university undergraduates: The interacting role of lifestyle </w:t>
      </w:r>
      <w:proofErr w:type="spellStart"/>
      <w:r>
        <w:rPr>
          <w:rFonts w:ascii="Arial" w:eastAsia="Arial" w:hAnsi="Arial" w:cs="Arial"/>
          <w:sz w:val="20"/>
          <w:szCs w:val="20"/>
        </w:rPr>
        <w:t>behaviors</w:t>
      </w:r>
      <w:proofErr w:type="spellEnd"/>
      <w:r>
        <w:rPr>
          <w:rFonts w:ascii="Arial" w:eastAsia="Arial" w:hAnsi="Arial" w:cs="Arial"/>
          <w:sz w:val="20"/>
          <w:szCs w:val="20"/>
        </w:rPr>
        <w:t>. </w:t>
      </w:r>
      <w:r>
        <w:rPr>
          <w:rFonts w:ascii="Arial" w:eastAsia="Arial" w:hAnsi="Arial" w:cs="Arial"/>
          <w:i/>
          <w:iCs/>
          <w:sz w:val="20"/>
          <w:szCs w:val="20"/>
        </w:rPr>
        <w:t>International journal of methods in psychiatric research</w:t>
      </w:r>
      <w:r>
        <w:rPr>
          <w:rFonts w:ascii="Arial" w:eastAsia="Arial" w:hAnsi="Arial" w:cs="Arial"/>
          <w:sz w:val="20"/>
          <w:szCs w:val="20"/>
        </w:rPr>
        <w:t>, </w:t>
      </w:r>
      <w:r>
        <w:rPr>
          <w:rFonts w:ascii="Arial" w:eastAsia="Arial" w:hAnsi="Arial" w:cs="Arial"/>
          <w:i/>
          <w:iCs/>
          <w:sz w:val="20"/>
          <w:szCs w:val="20"/>
        </w:rPr>
        <w:t>32</w:t>
      </w:r>
      <w:r>
        <w:rPr>
          <w:rFonts w:ascii="Arial" w:eastAsia="Arial" w:hAnsi="Arial" w:cs="Arial"/>
          <w:sz w:val="20"/>
          <w:szCs w:val="20"/>
        </w:rPr>
        <w:t xml:space="preserve">(1), e1938. </w:t>
      </w:r>
      <w:hyperlink r:id="rId18">
        <w:r>
          <w:rPr>
            <w:rFonts w:ascii="Arial" w:eastAsia="Arial" w:hAnsi="Arial" w:cs="Arial"/>
            <w:color w:val="0563C1"/>
            <w:sz w:val="20"/>
            <w:szCs w:val="20"/>
            <w:u w:val="single"/>
          </w:rPr>
          <w:t>https://doi.org/10.1002/mpr.1938</w:t>
        </w:r>
      </w:hyperlink>
    </w:p>
    <w:p w14:paraId="216D9ABB" w14:textId="77777777" w:rsidR="000E1A6B" w:rsidRDefault="00175F13">
      <w:pPr>
        <w:spacing w:line="276" w:lineRule="auto"/>
        <w:ind w:hanging="720"/>
        <w:jc w:val="both"/>
        <w:rPr>
          <w:rFonts w:ascii="Arial" w:eastAsia="Arial" w:hAnsi="Arial" w:cs="Arial"/>
          <w:sz w:val="20"/>
          <w:szCs w:val="20"/>
        </w:rPr>
      </w:pPr>
      <w:bookmarkStart w:id="5" w:name="_heading=h.ifo6btpm8t5" w:colFirst="0" w:colLast="0"/>
      <w:bookmarkEnd w:id="5"/>
      <w:r>
        <w:rPr>
          <w:rFonts w:ascii="Arial" w:eastAsia="Arial" w:hAnsi="Arial" w:cs="Arial"/>
          <w:sz w:val="20"/>
          <w:szCs w:val="20"/>
        </w:rPr>
        <w:t xml:space="preserve">David-Olawade, A. C., </w:t>
      </w:r>
      <w:proofErr w:type="spellStart"/>
      <w:r>
        <w:rPr>
          <w:rFonts w:ascii="Arial" w:eastAsia="Arial" w:hAnsi="Arial" w:cs="Arial"/>
          <w:sz w:val="20"/>
          <w:szCs w:val="20"/>
        </w:rPr>
        <w:t>Olawade</w:t>
      </w:r>
      <w:proofErr w:type="spellEnd"/>
      <w:r>
        <w:rPr>
          <w:rFonts w:ascii="Arial" w:eastAsia="Arial" w:hAnsi="Arial" w:cs="Arial"/>
          <w:sz w:val="20"/>
          <w:szCs w:val="20"/>
        </w:rPr>
        <w:t xml:space="preserve">, D. B., Ojo, I. O., </w:t>
      </w:r>
      <w:proofErr w:type="spellStart"/>
      <w:r>
        <w:rPr>
          <w:rFonts w:ascii="Arial" w:eastAsia="Arial" w:hAnsi="Arial" w:cs="Arial"/>
          <w:sz w:val="20"/>
          <w:szCs w:val="20"/>
        </w:rPr>
        <w:t>Famujimi</w:t>
      </w:r>
      <w:proofErr w:type="spellEnd"/>
      <w:r>
        <w:rPr>
          <w:rFonts w:ascii="Arial" w:eastAsia="Arial" w:hAnsi="Arial" w:cs="Arial"/>
          <w:sz w:val="20"/>
          <w:szCs w:val="20"/>
        </w:rPr>
        <w:t xml:space="preserve">, M. E., Olawumi, T. T., &amp; Esan, D. T. (2024). Nursing in the Digital Age: Harnessing telemedicine for enhanced patient care. </w:t>
      </w:r>
      <w:r>
        <w:rPr>
          <w:rFonts w:ascii="Arial" w:eastAsia="Arial" w:hAnsi="Arial" w:cs="Arial"/>
          <w:i/>
          <w:iCs/>
          <w:sz w:val="20"/>
          <w:szCs w:val="20"/>
        </w:rPr>
        <w:t>Informatics and Health</w:t>
      </w:r>
      <w:r>
        <w:rPr>
          <w:rFonts w:ascii="Arial" w:eastAsia="Arial" w:hAnsi="Arial" w:cs="Arial"/>
          <w:sz w:val="20"/>
          <w:szCs w:val="20"/>
        </w:rPr>
        <w:t xml:space="preserve">, </w:t>
      </w:r>
      <w:r>
        <w:rPr>
          <w:rFonts w:ascii="Arial" w:eastAsia="Arial" w:hAnsi="Arial" w:cs="Arial"/>
          <w:i/>
          <w:iCs/>
          <w:sz w:val="20"/>
          <w:szCs w:val="20"/>
        </w:rPr>
        <w:t>1</w:t>
      </w:r>
      <w:r>
        <w:rPr>
          <w:rFonts w:ascii="Arial" w:eastAsia="Arial" w:hAnsi="Arial" w:cs="Arial"/>
          <w:sz w:val="20"/>
          <w:szCs w:val="20"/>
        </w:rPr>
        <w:t xml:space="preserve">(2), 100–110. </w:t>
      </w:r>
      <w:hyperlink r:id="rId19">
        <w:r>
          <w:rPr>
            <w:rFonts w:ascii="Arial" w:eastAsia="Arial" w:hAnsi="Arial" w:cs="Arial"/>
            <w:color w:val="0563C1"/>
            <w:sz w:val="20"/>
            <w:szCs w:val="20"/>
            <w:u w:val="single"/>
          </w:rPr>
          <w:t>https://doi.org/10.1016/j.infoh.2024.07.003</w:t>
        </w:r>
      </w:hyperlink>
    </w:p>
    <w:p w14:paraId="04D5C856" w14:textId="77777777" w:rsidR="000E1A6B" w:rsidRDefault="00175F13">
      <w:pPr>
        <w:spacing w:line="276" w:lineRule="auto"/>
        <w:ind w:hanging="720"/>
        <w:jc w:val="both"/>
        <w:rPr>
          <w:rFonts w:ascii="Arial" w:eastAsia="Arial" w:hAnsi="Arial" w:cs="Arial"/>
          <w:sz w:val="20"/>
          <w:szCs w:val="20"/>
        </w:rPr>
      </w:pPr>
      <w:bookmarkStart w:id="6" w:name="_heading=h.7as6x41njmmm" w:colFirst="0" w:colLast="0"/>
      <w:bookmarkEnd w:id="6"/>
      <w:r>
        <w:rPr>
          <w:rFonts w:ascii="Arial" w:eastAsia="Arial" w:hAnsi="Arial" w:cs="Arial"/>
          <w:sz w:val="20"/>
          <w:szCs w:val="20"/>
        </w:rPr>
        <w:t>de Alencar Ribeiro, A. A., Fernandes, M. A., Vedana, K. G. G., Lira, J. A. C., Barbosa, N. S., Rocha, E. P., &amp; Cunha, K. R. F. (2025). Mental health and university dropout among nursing students: A cross-sectional study. </w:t>
      </w:r>
      <w:r>
        <w:rPr>
          <w:rFonts w:ascii="Arial" w:eastAsia="Arial" w:hAnsi="Arial" w:cs="Arial"/>
          <w:i/>
          <w:iCs/>
          <w:sz w:val="20"/>
          <w:szCs w:val="20"/>
        </w:rPr>
        <w:t>Nurse education today</w:t>
      </w:r>
      <w:r>
        <w:rPr>
          <w:rFonts w:ascii="Arial" w:eastAsia="Arial" w:hAnsi="Arial" w:cs="Arial"/>
          <w:sz w:val="20"/>
          <w:szCs w:val="20"/>
        </w:rPr>
        <w:t>, </w:t>
      </w:r>
      <w:r>
        <w:rPr>
          <w:rFonts w:ascii="Arial" w:eastAsia="Arial" w:hAnsi="Arial" w:cs="Arial"/>
          <w:i/>
          <w:iCs/>
          <w:sz w:val="20"/>
          <w:szCs w:val="20"/>
        </w:rPr>
        <w:t>147</w:t>
      </w:r>
      <w:r>
        <w:rPr>
          <w:rFonts w:ascii="Arial" w:eastAsia="Arial" w:hAnsi="Arial" w:cs="Arial"/>
          <w:sz w:val="20"/>
          <w:szCs w:val="20"/>
        </w:rPr>
        <w:t xml:space="preserve">, 106571. </w:t>
      </w:r>
      <w:hyperlink r:id="rId20">
        <w:r>
          <w:rPr>
            <w:rFonts w:ascii="Arial" w:eastAsia="Arial" w:hAnsi="Arial" w:cs="Arial"/>
            <w:color w:val="0563C1"/>
            <w:sz w:val="20"/>
            <w:szCs w:val="20"/>
            <w:u w:val="single"/>
          </w:rPr>
          <w:t>https://doi.org/10.1016/j.nedt.2025.106571</w:t>
        </w:r>
      </w:hyperlink>
    </w:p>
    <w:p w14:paraId="18733AE6" w14:textId="77777777" w:rsidR="000E1A6B" w:rsidRDefault="00175F13">
      <w:pPr>
        <w:spacing w:line="276" w:lineRule="auto"/>
        <w:ind w:hanging="720"/>
        <w:jc w:val="both"/>
        <w:rPr>
          <w:rFonts w:ascii="Arial" w:eastAsia="Arial" w:hAnsi="Arial" w:cs="Arial"/>
          <w:sz w:val="20"/>
          <w:szCs w:val="20"/>
        </w:rPr>
      </w:pPr>
      <w:r>
        <w:rPr>
          <w:rFonts w:ascii="Arial" w:eastAsia="Arial" w:hAnsi="Arial" w:cs="Arial"/>
          <w:sz w:val="20"/>
          <w:szCs w:val="20"/>
        </w:rPr>
        <w:t xml:space="preserve">Dekker, I., De Jong, E. M., Schippers, M. C., De </w:t>
      </w:r>
      <w:proofErr w:type="spellStart"/>
      <w:r>
        <w:rPr>
          <w:rFonts w:ascii="Arial" w:eastAsia="Arial" w:hAnsi="Arial" w:cs="Arial"/>
          <w:sz w:val="20"/>
          <w:szCs w:val="20"/>
        </w:rPr>
        <w:t>Bruijn-Smolders</w:t>
      </w:r>
      <w:proofErr w:type="spellEnd"/>
      <w:r>
        <w:rPr>
          <w:rFonts w:ascii="Arial" w:eastAsia="Arial" w:hAnsi="Arial" w:cs="Arial"/>
          <w:sz w:val="20"/>
          <w:szCs w:val="20"/>
        </w:rPr>
        <w:t xml:space="preserve">, M., Alexiou, A., &amp; </w:t>
      </w:r>
      <w:proofErr w:type="spellStart"/>
      <w:r>
        <w:rPr>
          <w:rFonts w:ascii="Arial" w:eastAsia="Arial" w:hAnsi="Arial" w:cs="Arial"/>
          <w:sz w:val="20"/>
          <w:szCs w:val="20"/>
        </w:rPr>
        <w:t>Giesbers</w:t>
      </w:r>
      <w:proofErr w:type="spellEnd"/>
      <w:r>
        <w:rPr>
          <w:rFonts w:ascii="Arial" w:eastAsia="Arial" w:hAnsi="Arial" w:cs="Arial"/>
          <w:sz w:val="20"/>
          <w:szCs w:val="20"/>
        </w:rPr>
        <w:t xml:space="preserve">, B. (2020). Optimizing students’ mental health and academic performance: AI-enhanced life crafting. </w:t>
      </w:r>
      <w:r>
        <w:rPr>
          <w:rFonts w:ascii="Arial" w:eastAsia="Arial" w:hAnsi="Arial" w:cs="Arial"/>
          <w:i/>
          <w:iCs/>
          <w:sz w:val="20"/>
          <w:szCs w:val="20"/>
        </w:rPr>
        <w:t>Frontiers in Psychology, 11</w:t>
      </w:r>
      <w:r>
        <w:rPr>
          <w:rFonts w:ascii="Arial" w:eastAsia="Arial" w:hAnsi="Arial" w:cs="Arial"/>
          <w:sz w:val="20"/>
          <w:szCs w:val="20"/>
        </w:rPr>
        <w:t xml:space="preserve">, 1063. </w:t>
      </w:r>
      <w:hyperlink r:id="rId21">
        <w:r>
          <w:rPr>
            <w:rFonts w:ascii="Arial" w:eastAsia="Arial" w:hAnsi="Arial" w:cs="Arial"/>
            <w:color w:val="0563C1"/>
            <w:sz w:val="20"/>
            <w:szCs w:val="20"/>
            <w:u w:val="single"/>
          </w:rPr>
          <w:t>https://doi.org/10.3389/fpsyg.2020.01063</w:t>
        </w:r>
      </w:hyperlink>
    </w:p>
    <w:p w14:paraId="17A7511D" w14:textId="77777777" w:rsidR="000E1A6B" w:rsidRDefault="00175F13">
      <w:pPr>
        <w:spacing w:line="276" w:lineRule="auto"/>
        <w:ind w:hanging="720"/>
        <w:jc w:val="both"/>
        <w:rPr>
          <w:rFonts w:ascii="Arial" w:eastAsia="Arial" w:hAnsi="Arial" w:cs="Arial"/>
          <w:sz w:val="20"/>
          <w:szCs w:val="20"/>
        </w:rPr>
      </w:pPr>
      <w:bookmarkStart w:id="7" w:name="_heading=h.bn4nbl53dv5z" w:colFirst="0" w:colLast="0"/>
      <w:bookmarkEnd w:id="7"/>
      <w:r>
        <w:rPr>
          <w:rFonts w:ascii="Arial" w:eastAsia="Arial" w:hAnsi="Arial" w:cs="Arial"/>
          <w:sz w:val="20"/>
          <w:szCs w:val="20"/>
        </w:rPr>
        <w:t xml:space="preserve">Du Plooy, E., Casteleijn, D., &amp; Franzsen, D. (2024). Personalized adaptive learning in higher education: A scoping review of key characteristics and impact on academic performance and engagement. </w:t>
      </w:r>
      <w:proofErr w:type="spellStart"/>
      <w:r>
        <w:rPr>
          <w:rFonts w:ascii="Arial" w:eastAsia="Arial" w:hAnsi="Arial" w:cs="Arial"/>
          <w:i/>
          <w:iCs/>
          <w:sz w:val="20"/>
          <w:szCs w:val="20"/>
        </w:rPr>
        <w:t>Heliyon</w:t>
      </w:r>
      <w:proofErr w:type="spellEnd"/>
      <w:r>
        <w:rPr>
          <w:rFonts w:ascii="Arial" w:eastAsia="Arial" w:hAnsi="Arial" w:cs="Arial"/>
          <w:sz w:val="20"/>
          <w:szCs w:val="20"/>
        </w:rPr>
        <w:t xml:space="preserve">, </w:t>
      </w:r>
      <w:r>
        <w:rPr>
          <w:rFonts w:ascii="Arial" w:eastAsia="Arial" w:hAnsi="Arial" w:cs="Arial"/>
          <w:i/>
          <w:iCs/>
          <w:sz w:val="20"/>
          <w:szCs w:val="20"/>
        </w:rPr>
        <w:t>10</w:t>
      </w:r>
      <w:r>
        <w:rPr>
          <w:rFonts w:ascii="Arial" w:eastAsia="Arial" w:hAnsi="Arial" w:cs="Arial"/>
          <w:sz w:val="20"/>
          <w:szCs w:val="20"/>
        </w:rPr>
        <w:t xml:space="preserve">(21), e39630. </w:t>
      </w:r>
      <w:hyperlink r:id="rId22">
        <w:r>
          <w:rPr>
            <w:rFonts w:ascii="Arial" w:eastAsia="Arial" w:hAnsi="Arial" w:cs="Arial"/>
            <w:color w:val="0563C1"/>
            <w:sz w:val="20"/>
            <w:szCs w:val="20"/>
            <w:u w:val="single"/>
          </w:rPr>
          <w:t>https://doi.org/10.1016/j.heliyon.2024.e39630</w:t>
        </w:r>
      </w:hyperlink>
    </w:p>
    <w:p w14:paraId="08DF8AEC" w14:textId="77777777" w:rsidR="000E1A6B" w:rsidRDefault="00175F13">
      <w:pPr>
        <w:spacing w:line="276" w:lineRule="auto"/>
        <w:ind w:hanging="720"/>
        <w:jc w:val="both"/>
        <w:rPr>
          <w:rFonts w:ascii="Arial" w:eastAsia="Arial" w:hAnsi="Arial" w:cs="Arial"/>
          <w:sz w:val="20"/>
          <w:szCs w:val="20"/>
        </w:rPr>
      </w:pPr>
      <w:bookmarkStart w:id="8" w:name="_heading=h.z5myzm7dhx3q" w:colFirst="0" w:colLast="0"/>
      <w:bookmarkEnd w:id="8"/>
      <w:r>
        <w:rPr>
          <w:rFonts w:ascii="Arial" w:eastAsia="Arial" w:hAnsi="Arial" w:cs="Arial"/>
          <w:sz w:val="20"/>
          <w:szCs w:val="20"/>
        </w:rPr>
        <w:t xml:space="preserve">Duchi, L., </w:t>
      </w:r>
      <w:proofErr w:type="spellStart"/>
      <w:r>
        <w:rPr>
          <w:rFonts w:ascii="Arial" w:eastAsia="Arial" w:hAnsi="Arial" w:cs="Arial"/>
          <w:sz w:val="20"/>
          <w:szCs w:val="20"/>
        </w:rPr>
        <w:t>Wijnia</w:t>
      </w:r>
      <w:proofErr w:type="spellEnd"/>
      <w:r>
        <w:rPr>
          <w:rFonts w:ascii="Arial" w:eastAsia="Arial" w:hAnsi="Arial" w:cs="Arial"/>
          <w:sz w:val="20"/>
          <w:szCs w:val="20"/>
        </w:rPr>
        <w:t xml:space="preserve">, L., </w:t>
      </w:r>
      <w:proofErr w:type="spellStart"/>
      <w:r>
        <w:rPr>
          <w:rFonts w:ascii="Arial" w:eastAsia="Arial" w:hAnsi="Arial" w:cs="Arial"/>
          <w:sz w:val="20"/>
          <w:szCs w:val="20"/>
        </w:rPr>
        <w:t>Loyens</w:t>
      </w:r>
      <w:proofErr w:type="spellEnd"/>
      <w:r>
        <w:rPr>
          <w:rFonts w:ascii="Arial" w:eastAsia="Arial" w:hAnsi="Arial" w:cs="Arial"/>
          <w:sz w:val="20"/>
          <w:szCs w:val="20"/>
        </w:rPr>
        <w:t xml:space="preserve">, S., &amp; Paas, F. (2024). Redefining education: The role of study crafting in enhancing students’ well-being, self-direction, and academic achievement. </w:t>
      </w:r>
      <w:r>
        <w:rPr>
          <w:rFonts w:ascii="Arial" w:eastAsia="Arial" w:hAnsi="Arial" w:cs="Arial"/>
          <w:i/>
          <w:iCs/>
          <w:sz w:val="20"/>
          <w:szCs w:val="20"/>
        </w:rPr>
        <w:t>Learning and Individual Differences</w:t>
      </w:r>
      <w:r>
        <w:rPr>
          <w:rFonts w:ascii="Arial" w:eastAsia="Arial" w:hAnsi="Arial" w:cs="Arial"/>
          <w:sz w:val="20"/>
          <w:szCs w:val="20"/>
        </w:rPr>
        <w:t xml:space="preserve">, </w:t>
      </w:r>
      <w:r>
        <w:rPr>
          <w:rFonts w:ascii="Arial" w:eastAsia="Arial" w:hAnsi="Arial" w:cs="Arial"/>
          <w:i/>
          <w:iCs/>
          <w:sz w:val="20"/>
          <w:szCs w:val="20"/>
        </w:rPr>
        <w:t>118</w:t>
      </w:r>
      <w:r>
        <w:rPr>
          <w:rFonts w:ascii="Arial" w:eastAsia="Arial" w:hAnsi="Arial" w:cs="Arial"/>
          <w:sz w:val="20"/>
          <w:szCs w:val="20"/>
        </w:rPr>
        <w:t xml:space="preserve">, 102608. </w:t>
      </w:r>
      <w:hyperlink r:id="rId23">
        <w:r>
          <w:rPr>
            <w:rFonts w:ascii="Arial" w:eastAsia="Arial" w:hAnsi="Arial" w:cs="Arial"/>
            <w:color w:val="0563C1"/>
            <w:sz w:val="20"/>
            <w:szCs w:val="20"/>
            <w:u w:val="single"/>
          </w:rPr>
          <w:t>https://doi.org/10.1016/j.lindif.2024.102608</w:t>
        </w:r>
      </w:hyperlink>
    </w:p>
    <w:p w14:paraId="02E13ADB" w14:textId="77777777" w:rsidR="000E1A6B" w:rsidRDefault="00175F13">
      <w:pPr>
        <w:spacing w:line="276" w:lineRule="auto"/>
        <w:ind w:hanging="720"/>
        <w:jc w:val="both"/>
        <w:rPr>
          <w:rFonts w:ascii="Arial" w:eastAsia="Arial" w:hAnsi="Arial" w:cs="Arial"/>
          <w:sz w:val="20"/>
          <w:szCs w:val="20"/>
        </w:rPr>
      </w:pPr>
      <w:r>
        <w:rPr>
          <w:rFonts w:ascii="Arial" w:eastAsia="Arial" w:hAnsi="Arial" w:cs="Arial"/>
          <w:sz w:val="20"/>
          <w:szCs w:val="20"/>
        </w:rPr>
        <w:t xml:space="preserve">Epping-Jordan, J., Harris, R., Brown, F. L., &amp; van Ommeren, M., et al. (2016). Self-Help Plus (SH1): A new WHO stress management package. </w:t>
      </w:r>
      <w:r>
        <w:rPr>
          <w:rFonts w:ascii="Arial" w:eastAsia="Arial" w:hAnsi="Arial" w:cs="Arial"/>
          <w:i/>
          <w:iCs/>
          <w:sz w:val="20"/>
          <w:szCs w:val="20"/>
        </w:rPr>
        <w:t>World Psychiatry, 15</w:t>
      </w:r>
      <w:r>
        <w:rPr>
          <w:rFonts w:ascii="Arial" w:eastAsia="Arial" w:hAnsi="Arial" w:cs="Arial"/>
          <w:sz w:val="20"/>
          <w:szCs w:val="20"/>
        </w:rPr>
        <w:t xml:space="preserve">(3), 295–296. </w:t>
      </w:r>
      <w:hyperlink r:id="rId24">
        <w:r>
          <w:rPr>
            <w:rFonts w:ascii="Arial" w:eastAsia="Arial" w:hAnsi="Arial" w:cs="Arial"/>
            <w:color w:val="0563C1"/>
            <w:sz w:val="20"/>
            <w:szCs w:val="20"/>
            <w:u w:val="single"/>
          </w:rPr>
          <w:t>https://doi.org/10.1002/wps.20355</w:t>
        </w:r>
      </w:hyperlink>
    </w:p>
    <w:p w14:paraId="159BA31A" w14:textId="77777777" w:rsidR="000E1A6B" w:rsidRDefault="00175F13">
      <w:pPr>
        <w:spacing w:line="276" w:lineRule="auto"/>
        <w:ind w:hanging="720"/>
        <w:jc w:val="both"/>
        <w:rPr>
          <w:rFonts w:ascii="Arial" w:eastAsia="Arial" w:hAnsi="Arial" w:cs="Arial"/>
          <w:sz w:val="20"/>
          <w:szCs w:val="20"/>
        </w:rPr>
      </w:pPr>
      <w:bookmarkStart w:id="9" w:name="_heading=h.mjez2k15b7zc" w:colFirst="0" w:colLast="0"/>
      <w:bookmarkEnd w:id="9"/>
      <w:r>
        <w:rPr>
          <w:rFonts w:ascii="Arial" w:eastAsia="Arial" w:hAnsi="Arial" w:cs="Arial"/>
          <w:sz w:val="20"/>
          <w:szCs w:val="20"/>
        </w:rPr>
        <w:t xml:space="preserve">Fahey, C. J. (2025). Virtual </w:t>
      </w:r>
      <w:proofErr w:type="spellStart"/>
      <w:r>
        <w:rPr>
          <w:rFonts w:ascii="Arial" w:eastAsia="Arial" w:hAnsi="Arial" w:cs="Arial"/>
          <w:sz w:val="20"/>
          <w:szCs w:val="20"/>
        </w:rPr>
        <w:t>self care</w:t>
      </w:r>
      <w:proofErr w:type="spellEnd"/>
      <w:r>
        <w:rPr>
          <w:rFonts w:ascii="Arial" w:eastAsia="Arial" w:hAnsi="Arial" w:cs="Arial"/>
          <w:sz w:val="20"/>
          <w:szCs w:val="20"/>
        </w:rPr>
        <w:t xml:space="preserve">: Using virtual reality to support adolescent mental health and wellbeing. </w:t>
      </w:r>
      <w:r>
        <w:rPr>
          <w:rFonts w:ascii="Arial" w:eastAsia="Arial" w:hAnsi="Arial" w:cs="Arial"/>
          <w:i/>
          <w:iCs/>
          <w:sz w:val="20"/>
          <w:szCs w:val="20"/>
        </w:rPr>
        <w:t>Telematics and Informatics Reports</w:t>
      </w:r>
      <w:r>
        <w:rPr>
          <w:rFonts w:ascii="Arial" w:eastAsia="Arial" w:hAnsi="Arial" w:cs="Arial"/>
          <w:sz w:val="20"/>
          <w:szCs w:val="20"/>
        </w:rPr>
        <w:t xml:space="preserve">, </w:t>
      </w:r>
      <w:r>
        <w:rPr>
          <w:rFonts w:ascii="Arial" w:eastAsia="Arial" w:hAnsi="Arial" w:cs="Arial"/>
          <w:i/>
          <w:iCs/>
          <w:sz w:val="20"/>
          <w:szCs w:val="20"/>
        </w:rPr>
        <w:t>18</w:t>
      </w:r>
      <w:r>
        <w:rPr>
          <w:rFonts w:ascii="Arial" w:eastAsia="Arial" w:hAnsi="Arial" w:cs="Arial"/>
          <w:sz w:val="20"/>
          <w:szCs w:val="20"/>
        </w:rPr>
        <w:t xml:space="preserve">, 100217. </w:t>
      </w:r>
      <w:hyperlink r:id="rId25">
        <w:r>
          <w:rPr>
            <w:rFonts w:ascii="Arial" w:eastAsia="Arial" w:hAnsi="Arial" w:cs="Arial"/>
            <w:color w:val="0563C1"/>
            <w:sz w:val="20"/>
            <w:szCs w:val="20"/>
            <w:u w:val="single"/>
          </w:rPr>
          <w:t>https://doi.org/10.1016/j.teler.2025.100217</w:t>
        </w:r>
      </w:hyperlink>
    </w:p>
    <w:p w14:paraId="0ECCD120" w14:textId="77777777" w:rsidR="000E1A6B" w:rsidRDefault="00175F13">
      <w:pPr>
        <w:spacing w:line="276" w:lineRule="auto"/>
        <w:ind w:hanging="720"/>
        <w:jc w:val="both"/>
        <w:rPr>
          <w:rFonts w:ascii="Arial" w:eastAsia="Arial" w:hAnsi="Arial" w:cs="Arial"/>
          <w:sz w:val="20"/>
          <w:szCs w:val="20"/>
        </w:rPr>
      </w:pPr>
      <w:bookmarkStart w:id="10" w:name="_heading=h.sxfpd54fut78" w:colFirst="0" w:colLast="0"/>
      <w:bookmarkEnd w:id="10"/>
      <w:r>
        <w:rPr>
          <w:rFonts w:ascii="Arial" w:eastAsia="Arial" w:hAnsi="Arial" w:cs="Arial"/>
          <w:sz w:val="20"/>
          <w:szCs w:val="20"/>
        </w:rPr>
        <w:t xml:space="preserve">Farzan, M., Ebrahimi, H., </w:t>
      </w:r>
      <w:proofErr w:type="spellStart"/>
      <w:r>
        <w:rPr>
          <w:rFonts w:ascii="Arial" w:eastAsia="Arial" w:hAnsi="Arial" w:cs="Arial"/>
          <w:sz w:val="20"/>
          <w:szCs w:val="20"/>
        </w:rPr>
        <w:t>Pourali</w:t>
      </w:r>
      <w:proofErr w:type="spellEnd"/>
      <w:r>
        <w:rPr>
          <w:rFonts w:ascii="Arial" w:eastAsia="Arial" w:hAnsi="Arial" w:cs="Arial"/>
          <w:sz w:val="20"/>
          <w:szCs w:val="20"/>
        </w:rPr>
        <w:t xml:space="preserve">, M., &amp; Sabeti, F. (2025). Artificial Intelligence-Powered Cognitive </w:t>
      </w:r>
      <w:proofErr w:type="spellStart"/>
      <w:r>
        <w:rPr>
          <w:rFonts w:ascii="Arial" w:eastAsia="Arial" w:hAnsi="Arial" w:cs="Arial"/>
          <w:sz w:val="20"/>
          <w:szCs w:val="20"/>
        </w:rPr>
        <w:t>Behavioral</w:t>
      </w:r>
      <w:proofErr w:type="spellEnd"/>
      <w:r>
        <w:rPr>
          <w:rFonts w:ascii="Arial" w:eastAsia="Arial" w:hAnsi="Arial" w:cs="Arial"/>
          <w:sz w:val="20"/>
          <w:szCs w:val="20"/>
        </w:rPr>
        <w:t xml:space="preserve"> Therapy Chatbots, a Systematic Review. </w:t>
      </w:r>
      <w:r>
        <w:rPr>
          <w:rFonts w:ascii="Arial" w:eastAsia="Arial" w:hAnsi="Arial" w:cs="Arial"/>
          <w:i/>
          <w:iCs/>
          <w:sz w:val="20"/>
          <w:szCs w:val="20"/>
        </w:rPr>
        <w:t>Iranian journal of psychiatry</w:t>
      </w:r>
      <w:r>
        <w:rPr>
          <w:rFonts w:ascii="Arial" w:eastAsia="Arial" w:hAnsi="Arial" w:cs="Arial"/>
          <w:sz w:val="20"/>
          <w:szCs w:val="20"/>
        </w:rPr>
        <w:t>, </w:t>
      </w:r>
      <w:r>
        <w:rPr>
          <w:rFonts w:ascii="Arial" w:eastAsia="Arial" w:hAnsi="Arial" w:cs="Arial"/>
          <w:i/>
          <w:iCs/>
          <w:sz w:val="20"/>
          <w:szCs w:val="20"/>
        </w:rPr>
        <w:t>20</w:t>
      </w:r>
      <w:r>
        <w:rPr>
          <w:rFonts w:ascii="Arial" w:eastAsia="Arial" w:hAnsi="Arial" w:cs="Arial"/>
          <w:sz w:val="20"/>
          <w:szCs w:val="20"/>
        </w:rPr>
        <w:t xml:space="preserve">(1), 102–110. </w:t>
      </w:r>
      <w:hyperlink r:id="rId26">
        <w:r>
          <w:rPr>
            <w:rFonts w:ascii="Arial" w:eastAsia="Arial" w:hAnsi="Arial" w:cs="Arial"/>
            <w:color w:val="0563C1"/>
            <w:sz w:val="20"/>
            <w:szCs w:val="20"/>
            <w:u w:val="single"/>
          </w:rPr>
          <w:t>https://doi.org/10.18502/ijps.v20i1.17395</w:t>
        </w:r>
      </w:hyperlink>
    </w:p>
    <w:p w14:paraId="627F7757" w14:textId="77777777" w:rsidR="000E1A6B" w:rsidRDefault="00175F13">
      <w:pPr>
        <w:spacing w:line="276" w:lineRule="auto"/>
        <w:ind w:hanging="720"/>
        <w:jc w:val="both"/>
        <w:rPr>
          <w:rFonts w:ascii="Arial" w:eastAsia="Arial" w:hAnsi="Arial" w:cs="Arial"/>
          <w:sz w:val="20"/>
          <w:szCs w:val="20"/>
        </w:rPr>
      </w:pPr>
      <w:bookmarkStart w:id="11" w:name="_heading=h.xyhj5ekbq20w" w:colFirst="0" w:colLast="0"/>
      <w:bookmarkEnd w:id="11"/>
      <w:r>
        <w:rPr>
          <w:rFonts w:ascii="Arial" w:eastAsia="Arial" w:hAnsi="Arial" w:cs="Arial"/>
          <w:sz w:val="20"/>
          <w:szCs w:val="20"/>
        </w:rPr>
        <w:lastRenderedPageBreak/>
        <w:t>Fernández-</w:t>
      </w:r>
      <w:proofErr w:type="spellStart"/>
      <w:r>
        <w:rPr>
          <w:rFonts w:ascii="Arial" w:eastAsia="Arial" w:hAnsi="Arial" w:cs="Arial"/>
          <w:sz w:val="20"/>
          <w:szCs w:val="20"/>
        </w:rPr>
        <w:t>Batanero</w:t>
      </w:r>
      <w:proofErr w:type="spellEnd"/>
      <w:r>
        <w:rPr>
          <w:rFonts w:ascii="Arial" w:eastAsia="Arial" w:hAnsi="Arial" w:cs="Arial"/>
          <w:sz w:val="20"/>
          <w:szCs w:val="20"/>
        </w:rPr>
        <w:t>, J. M., Fernández-Cerero, J., Montenegro-Rueda, M., &amp; Fernández-Cerero, D. (2025). Effectiveness of Digital Mental Health Interventions for Children and Adolescents. </w:t>
      </w:r>
      <w:r>
        <w:rPr>
          <w:rFonts w:ascii="Arial" w:eastAsia="Arial" w:hAnsi="Arial" w:cs="Arial"/>
          <w:i/>
          <w:iCs/>
          <w:sz w:val="20"/>
          <w:szCs w:val="20"/>
        </w:rPr>
        <w:t>Children (Basel, Switzerland)</w:t>
      </w:r>
      <w:r>
        <w:rPr>
          <w:rFonts w:ascii="Arial" w:eastAsia="Arial" w:hAnsi="Arial" w:cs="Arial"/>
          <w:sz w:val="20"/>
          <w:szCs w:val="20"/>
        </w:rPr>
        <w:t>, </w:t>
      </w:r>
      <w:r>
        <w:rPr>
          <w:rFonts w:ascii="Arial" w:eastAsia="Arial" w:hAnsi="Arial" w:cs="Arial"/>
          <w:i/>
          <w:iCs/>
          <w:sz w:val="20"/>
          <w:szCs w:val="20"/>
        </w:rPr>
        <w:t>12</w:t>
      </w:r>
      <w:r>
        <w:rPr>
          <w:rFonts w:ascii="Arial" w:eastAsia="Arial" w:hAnsi="Arial" w:cs="Arial"/>
          <w:sz w:val="20"/>
          <w:szCs w:val="20"/>
        </w:rPr>
        <w:t xml:space="preserve">(3), 353. </w:t>
      </w:r>
      <w:hyperlink r:id="rId27">
        <w:r>
          <w:rPr>
            <w:rFonts w:ascii="Arial" w:eastAsia="Arial" w:hAnsi="Arial" w:cs="Arial"/>
            <w:color w:val="0563C1"/>
            <w:sz w:val="20"/>
            <w:szCs w:val="20"/>
            <w:u w:val="single"/>
          </w:rPr>
          <w:t>https://doi.org/10.3390/children12030353</w:t>
        </w:r>
      </w:hyperlink>
    </w:p>
    <w:p w14:paraId="4F121FB8" w14:textId="77777777" w:rsidR="000E1A6B" w:rsidRDefault="00175F13">
      <w:pPr>
        <w:spacing w:line="276" w:lineRule="auto"/>
        <w:ind w:hanging="720"/>
        <w:jc w:val="both"/>
        <w:rPr>
          <w:rFonts w:ascii="Arial" w:eastAsia="Arial" w:hAnsi="Arial" w:cs="Arial"/>
          <w:sz w:val="20"/>
          <w:szCs w:val="20"/>
        </w:rPr>
      </w:pPr>
      <w:r>
        <w:rPr>
          <w:rFonts w:ascii="Arial" w:eastAsia="Arial" w:hAnsi="Arial" w:cs="Arial"/>
          <w:sz w:val="20"/>
          <w:szCs w:val="20"/>
        </w:rPr>
        <w:t xml:space="preserve">Ferrari, M., Allan, S., Arnold, C., Eleftheriadis, D., Alvarez-Jimenez, M., Gumley, A., &amp; Gleeson, J. F. (2022). Digital interventions for psychological well-being in university students: Systematic review and meta-analysis. </w:t>
      </w:r>
      <w:r>
        <w:rPr>
          <w:rFonts w:ascii="Arial" w:eastAsia="Arial" w:hAnsi="Arial" w:cs="Arial"/>
          <w:i/>
          <w:iCs/>
          <w:sz w:val="20"/>
          <w:szCs w:val="20"/>
        </w:rPr>
        <w:t>Journal of Medical Internet Research, 24</w:t>
      </w:r>
      <w:r>
        <w:rPr>
          <w:rFonts w:ascii="Arial" w:eastAsia="Arial" w:hAnsi="Arial" w:cs="Arial"/>
          <w:sz w:val="20"/>
          <w:szCs w:val="20"/>
        </w:rPr>
        <w:t xml:space="preserve">(9), e39686. </w:t>
      </w:r>
      <w:hyperlink r:id="rId28">
        <w:r>
          <w:rPr>
            <w:rFonts w:ascii="Arial" w:eastAsia="Arial" w:hAnsi="Arial" w:cs="Arial"/>
            <w:color w:val="0563C1"/>
            <w:sz w:val="20"/>
            <w:szCs w:val="20"/>
            <w:u w:val="single"/>
          </w:rPr>
          <w:t>https://doi.org/10.2196/39686</w:t>
        </w:r>
      </w:hyperlink>
    </w:p>
    <w:p w14:paraId="0557AAE4" w14:textId="77777777" w:rsidR="000E1A6B" w:rsidRDefault="00175F13">
      <w:pPr>
        <w:spacing w:line="276" w:lineRule="auto"/>
        <w:ind w:hanging="720"/>
        <w:jc w:val="both"/>
        <w:rPr>
          <w:rFonts w:ascii="Arial" w:eastAsia="Arial" w:hAnsi="Arial" w:cs="Arial"/>
          <w:sz w:val="20"/>
          <w:szCs w:val="20"/>
        </w:rPr>
      </w:pPr>
      <w:bookmarkStart w:id="12" w:name="_heading=h.se6jdb7eegp5" w:colFirst="0" w:colLast="0"/>
      <w:bookmarkEnd w:id="12"/>
      <w:r>
        <w:rPr>
          <w:rFonts w:ascii="Arial" w:eastAsia="Arial" w:hAnsi="Arial" w:cs="Arial"/>
          <w:sz w:val="20"/>
          <w:szCs w:val="20"/>
        </w:rPr>
        <w:t xml:space="preserve">Fitzpatrick, K. K., Darcy, A., &amp; </w:t>
      </w:r>
      <w:proofErr w:type="spellStart"/>
      <w:r>
        <w:rPr>
          <w:rFonts w:ascii="Arial" w:eastAsia="Arial" w:hAnsi="Arial" w:cs="Arial"/>
          <w:sz w:val="20"/>
          <w:szCs w:val="20"/>
        </w:rPr>
        <w:t>Vierhile</w:t>
      </w:r>
      <w:proofErr w:type="spellEnd"/>
      <w:r>
        <w:rPr>
          <w:rFonts w:ascii="Arial" w:eastAsia="Arial" w:hAnsi="Arial" w:cs="Arial"/>
          <w:sz w:val="20"/>
          <w:szCs w:val="20"/>
        </w:rPr>
        <w:t xml:space="preserve">, M. (2017). Delivering cognitive </w:t>
      </w:r>
      <w:proofErr w:type="spellStart"/>
      <w:r>
        <w:rPr>
          <w:rFonts w:ascii="Arial" w:eastAsia="Arial" w:hAnsi="Arial" w:cs="Arial"/>
          <w:sz w:val="20"/>
          <w:szCs w:val="20"/>
        </w:rPr>
        <w:t>behavior</w:t>
      </w:r>
      <w:proofErr w:type="spellEnd"/>
      <w:r>
        <w:rPr>
          <w:rFonts w:ascii="Arial" w:eastAsia="Arial" w:hAnsi="Arial" w:cs="Arial"/>
          <w:sz w:val="20"/>
          <w:szCs w:val="20"/>
        </w:rPr>
        <w:t xml:space="preserve"> therapy to young adults with symptoms of depression and anxiety using a fully automated conversational agent (</w:t>
      </w:r>
      <w:proofErr w:type="spellStart"/>
      <w:r>
        <w:rPr>
          <w:rFonts w:ascii="Arial" w:eastAsia="Arial" w:hAnsi="Arial" w:cs="Arial"/>
          <w:sz w:val="20"/>
          <w:szCs w:val="20"/>
        </w:rPr>
        <w:t>WoeBot</w:t>
      </w:r>
      <w:proofErr w:type="spellEnd"/>
      <w:r>
        <w:rPr>
          <w:rFonts w:ascii="Arial" w:eastAsia="Arial" w:hAnsi="Arial" w:cs="Arial"/>
          <w:sz w:val="20"/>
          <w:szCs w:val="20"/>
        </w:rPr>
        <w:t xml:space="preserve">): a randomized controlled trial. </w:t>
      </w:r>
      <w:r>
        <w:rPr>
          <w:rFonts w:ascii="Arial" w:eastAsia="Arial" w:hAnsi="Arial" w:cs="Arial"/>
          <w:i/>
          <w:iCs/>
          <w:sz w:val="20"/>
          <w:szCs w:val="20"/>
        </w:rPr>
        <w:t>JMIR Mental Health</w:t>
      </w:r>
      <w:r>
        <w:rPr>
          <w:rFonts w:ascii="Arial" w:eastAsia="Arial" w:hAnsi="Arial" w:cs="Arial"/>
          <w:sz w:val="20"/>
          <w:szCs w:val="20"/>
        </w:rPr>
        <w:t xml:space="preserve">, </w:t>
      </w:r>
      <w:r>
        <w:rPr>
          <w:rFonts w:ascii="Arial" w:eastAsia="Arial" w:hAnsi="Arial" w:cs="Arial"/>
          <w:i/>
          <w:iCs/>
          <w:sz w:val="20"/>
          <w:szCs w:val="20"/>
        </w:rPr>
        <w:t>4</w:t>
      </w:r>
      <w:r>
        <w:rPr>
          <w:rFonts w:ascii="Arial" w:eastAsia="Arial" w:hAnsi="Arial" w:cs="Arial"/>
          <w:sz w:val="20"/>
          <w:szCs w:val="20"/>
        </w:rPr>
        <w:t xml:space="preserve">(2), e19. </w:t>
      </w:r>
      <w:hyperlink r:id="rId29">
        <w:r>
          <w:rPr>
            <w:rFonts w:ascii="Arial" w:eastAsia="Arial" w:hAnsi="Arial" w:cs="Arial"/>
            <w:color w:val="0563C1"/>
            <w:sz w:val="20"/>
            <w:szCs w:val="20"/>
            <w:u w:val="single"/>
          </w:rPr>
          <w:t>https://doi.org/10.2196/mental.7785</w:t>
        </w:r>
      </w:hyperlink>
    </w:p>
    <w:p w14:paraId="0F43A687" w14:textId="77777777" w:rsidR="000E1A6B" w:rsidRDefault="00175F13">
      <w:pPr>
        <w:spacing w:line="276" w:lineRule="auto"/>
        <w:ind w:hanging="720"/>
        <w:jc w:val="both"/>
        <w:rPr>
          <w:rFonts w:ascii="Arial" w:eastAsia="Arial" w:hAnsi="Arial" w:cs="Arial"/>
          <w:sz w:val="20"/>
          <w:szCs w:val="20"/>
        </w:rPr>
      </w:pPr>
      <w:r>
        <w:rPr>
          <w:rFonts w:ascii="Arial" w:eastAsia="Arial" w:hAnsi="Arial" w:cs="Arial"/>
          <w:sz w:val="20"/>
          <w:szCs w:val="20"/>
        </w:rPr>
        <w:t xml:space="preserve">Fu, Y., Wang, Q., Wang, X., Zhong, H., Chen, J., Fei, H., Yao, Y., Xiao, Y., Li, W., &amp; Li, N. (2025). Unlocking academic success: the impact of time management on college students’ study engagement. </w:t>
      </w:r>
      <w:r>
        <w:rPr>
          <w:rFonts w:ascii="Arial" w:eastAsia="Arial" w:hAnsi="Arial" w:cs="Arial"/>
          <w:i/>
          <w:iCs/>
          <w:sz w:val="20"/>
          <w:szCs w:val="20"/>
        </w:rPr>
        <w:t>BMC Psychology</w:t>
      </w:r>
      <w:r>
        <w:rPr>
          <w:rFonts w:ascii="Arial" w:eastAsia="Arial" w:hAnsi="Arial" w:cs="Arial"/>
          <w:sz w:val="20"/>
          <w:szCs w:val="20"/>
        </w:rPr>
        <w:t xml:space="preserve">, </w:t>
      </w:r>
      <w:r>
        <w:rPr>
          <w:rFonts w:ascii="Arial" w:eastAsia="Arial" w:hAnsi="Arial" w:cs="Arial"/>
          <w:i/>
          <w:iCs/>
          <w:sz w:val="20"/>
          <w:szCs w:val="20"/>
        </w:rPr>
        <w:t>13</w:t>
      </w:r>
      <w:r>
        <w:rPr>
          <w:rFonts w:ascii="Arial" w:eastAsia="Arial" w:hAnsi="Arial" w:cs="Arial"/>
          <w:sz w:val="20"/>
          <w:szCs w:val="20"/>
        </w:rPr>
        <w:t xml:space="preserve">(1), 323. </w:t>
      </w:r>
      <w:hyperlink r:id="rId30">
        <w:r>
          <w:rPr>
            <w:rFonts w:ascii="Arial" w:eastAsia="Arial" w:hAnsi="Arial" w:cs="Arial"/>
            <w:color w:val="0563C1"/>
            <w:sz w:val="20"/>
            <w:szCs w:val="20"/>
            <w:u w:val="single"/>
          </w:rPr>
          <w:t>https://doi.org/10.1186/s40359-025-02619-x</w:t>
        </w:r>
      </w:hyperlink>
    </w:p>
    <w:p w14:paraId="31583746" w14:textId="77777777" w:rsidR="000E1A6B" w:rsidRDefault="00175F13">
      <w:pPr>
        <w:spacing w:line="276" w:lineRule="auto"/>
        <w:ind w:hanging="720"/>
        <w:jc w:val="both"/>
        <w:rPr>
          <w:rFonts w:ascii="Arial" w:eastAsia="Arial" w:hAnsi="Arial" w:cs="Arial"/>
          <w:sz w:val="20"/>
          <w:szCs w:val="20"/>
        </w:rPr>
      </w:pPr>
      <w:r>
        <w:rPr>
          <w:rFonts w:ascii="Arial" w:eastAsia="Arial" w:hAnsi="Arial" w:cs="Arial"/>
          <w:sz w:val="20"/>
          <w:szCs w:val="20"/>
        </w:rPr>
        <w:t>Garcia-Vazquez, B., Muñoz-</w:t>
      </w:r>
      <w:proofErr w:type="spellStart"/>
      <w:r>
        <w:rPr>
          <w:rFonts w:ascii="Arial" w:eastAsia="Arial" w:hAnsi="Arial" w:cs="Arial"/>
          <w:sz w:val="20"/>
          <w:szCs w:val="20"/>
        </w:rPr>
        <w:t>Sanjosé</w:t>
      </w:r>
      <w:proofErr w:type="spellEnd"/>
      <w:r>
        <w:rPr>
          <w:rFonts w:ascii="Arial" w:eastAsia="Arial" w:hAnsi="Arial" w:cs="Arial"/>
          <w:sz w:val="20"/>
          <w:szCs w:val="20"/>
        </w:rPr>
        <w:t>, A., Fernández-López, A., Pérez-De-</w:t>
      </w:r>
      <w:proofErr w:type="spellStart"/>
      <w:r>
        <w:rPr>
          <w:rFonts w:ascii="Arial" w:eastAsia="Arial" w:hAnsi="Arial" w:cs="Arial"/>
          <w:sz w:val="20"/>
          <w:szCs w:val="20"/>
        </w:rPr>
        <w:t>Ciriza</w:t>
      </w:r>
      <w:proofErr w:type="spellEnd"/>
      <w:r>
        <w:rPr>
          <w:rFonts w:ascii="Arial" w:eastAsia="Arial" w:hAnsi="Arial" w:cs="Arial"/>
          <w:sz w:val="20"/>
          <w:szCs w:val="20"/>
        </w:rPr>
        <w:t xml:space="preserve">, I., </w:t>
      </w:r>
      <w:proofErr w:type="spellStart"/>
      <w:r>
        <w:rPr>
          <w:rFonts w:ascii="Arial" w:eastAsia="Arial" w:hAnsi="Arial" w:cs="Arial"/>
          <w:sz w:val="20"/>
          <w:szCs w:val="20"/>
        </w:rPr>
        <w:t>Nocete</w:t>
      </w:r>
      <w:proofErr w:type="spellEnd"/>
      <w:r>
        <w:rPr>
          <w:rFonts w:ascii="Arial" w:eastAsia="Arial" w:hAnsi="Arial" w:cs="Arial"/>
          <w:sz w:val="20"/>
          <w:szCs w:val="20"/>
        </w:rPr>
        <w:t xml:space="preserve">-Navarro, L., Almaraz-Garzón, E., Martín-Palacios, M. T., Novella, B., Bravo-Ortiz, M. F., Ayuso-Mateos, J. L., </w:t>
      </w:r>
      <w:proofErr w:type="spellStart"/>
      <w:r>
        <w:rPr>
          <w:rFonts w:ascii="Arial" w:eastAsia="Arial" w:hAnsi="Arial" w:cs="Arial"/>
          <w:sz w:val="20"/>
          <w:szCs w:val="20"/>
        </w:rPr>
        <w:t>Bayón</w:t>
      </w:r>
      <w:proofErr w:type="spellEnd"/>
      <w:r>
        <w:rPr>
          <w:rFonts w:ascii="Arial" w:eastAsia="Arial" w:hAnsi="Arial" w:cs="Arial"/>
          <w:sz w:val="20"/>
          <w:szCs w:val="20"/>
        </w:rPr>
        <w:t xml:space="preserve">, C., &amp; Mediavilla, R. (2025). A stress-reduction eHealth intervention for healthcare workers in primary care settings: an implementation study. </w:t>
      </w:r>
      <w:r>
        <w:rPr>
          <w:rFonts w:ascii="Arial" w:eastAsia="Arial" w:hAnsi="Arial" w:cs="Arial"/>
          <w:i/>
          <w:iCs/>
          <w:sz w:val="20"/>
          <w:szCs w:val="20"/>
        </w:rPr>
        <w:t>Frontiers in Public Health</w:t>
      </w:r>
      <w:r>
        <w:rPr>
          <w:rFonts w:ascii="Arial" w:eastAsia="Arial" w:hAnsi="Arial" w:cs="Arial"/>
          <w:sz w:val="20"/>
          <w:szCs w:val="20"/>
        </w:rPr>
        <w:t xml:space="preserve">, </w:t>
      </w:r>
      <w:r>
        <w:rPr>
          <w:rFonts w:ascii="Arial" w:eastAsia="Arial" w:hAnsi="Arial" w:cs="Arial"/>
          <w:i/>
          <w:iCs/>
          <w:sz w:val="20"/>
          <w:szCs w:val="20"/>
        </w:rPr>
        <w:t>13</w:t>
      </w:r>
      <w:r>
        <w:rPr>
          <w:rFonts w:ascii="Arial" w:eastAsia="Arial" w:hAnsi="Arial" w:cs="Arial"/>
          <w:sz w:val="20"/>
          <w:szCs w:val="20"/>
        </w:rPr>
        <w:t xml:space="preserve">, 1600059. </w:t>
      </w:r>
      <w:hyperlink r:id="rId31">
        <w:r>
          <w:rPr>
            <w:rFonts w:ascii="Arial" w:eastAsia="Arial" w:hAnsi="Arial" w:cs="Arial"/>
            <w:color w:val="0563C1"/>
            <w:sz w:val="20"/>
            <w:szCs w:val="20"/>
            <w:u w:val="single"/>
          </w:rPr>
          <w:t>https://doi.org/10.3389/fpubh.2025.1600059</w:t>
        </w:r>
      </w:hyperlink>
    </w:p>
    <w:p w14:paraId="204D550B" w14:textId="77777777" w:rsidR="000E1A6B" w:rsidRDefault="00175F13">
      <w:pPr>
        <w:spacing w:line="276" w:lineRule="auto"/>
        <w:ind w:hanging="720"/>
        <w:jc w:val="both"/>
        <w:rPr>
          <w:rFonts w:ascii="Arial" w:eastAsia="Arial" w:hAnsi="Arial" w:cs="Arial"/>
          <w:sz w:val="20"/>
          <w:szCs w:val="20"/>
        </w:rPr>
      </w:pPr>
      <w:bookmarkStart w:id="13" w:name="_heading=h.b3lbc3bvu0wc" w:colFirst="0" w:colLast="0"/>
      <w:bookmarkEnd w:id="13"/>
      <w:r>
        <w:rPr>
          <w:rFonts w:ascii="Arial" w:eastAsia="Arial" w:hAnsi="Arial" w:cs="Arial"/>
          <w:sz w:val="20"/>
          <w:szCs w:val="20"/>
        </w:rPr>
        <w:t>Gautam, S., Jain, A., Chaudhary, J., Gautam, M., Gaur, M., &amp; Grover, S. (2024). Concept of mental health and mental well-being, it's determinants and coping strategies. </w:t>
      </w:r>
      <w:r>
        <w:rPr>
          <w:rFonts w:ascii="Arial" w:eastAsia="Arial" w:hAnsi="Arial" w:cs="Arial"/>
          <w:i/>
          <w:iCs/>
          <w:sz w:val="20"/>
          <w:szCs w:val="20"/>
        </w:rPr>
        <w:t>Indian journal of psychiatry</w:t>
      </w:r>
      <w:r>
        <w:rPr>
          <w:rFonts w:ascii="Arial" w:eastAsia="Arial" w:hAnsi="Arial" w:cs="Arial"/>
          <w:sz w:val="20"/>
          <w:szCs w:val="20"/>
        </w:rPr>
        <w:t>, </w:t>
      </w:r>
      <w:r>
        <w:rPr>
          <w:rFonts w:ascii="Arial" w:eastAsia="Arial" w:hAnsi="Arial" w:cs="Arial"/>
          <w:i/>
          <w:iCs/>
          <w:sz w:val="20"/>
          <w:szCs w:val="20"/>
        </w:rPr>
        <w:t>66</w:t>
      </w:r>
      <w:r>
        <w:rPr>
          <w:rFonts w:ascii="Arial" w:eastAsia="Arial" w:hAnsi="Arial" w:cs="Arial"/>
          <w:sz w:val="20"/>
          <w:szCs w:val="20"/>
        </w:rPr>
        <w:t>(</w:t>
      </w:r>
      <w:proofErr w:type="spellStart"/>
      <w:r>
        <w:rPr>
          <w:rFonts w:ascii="Arial" w:eastAsia="Arial" w:hAnsi="Arial" w:cs="Arial"/>
          <w:sz w:val="20"/>
          <w:szCs w:val="20"/>
        </w:rPr>
        <w:t>Suppl</w:t>
      </w:r>
      <w:proofErr w:type="spellEnd"/>
      <w:r>
        <w:rPr>
          <w:rFonts w:ascii="Arial" w:eastAsia="Arial" w:hAnsi="Arial" w:cs="Arial"/>
          <w:sz w:val="20"/>
          <w:szCs w:val="20"/>
        </w:rPr>
        <w:t xml:space="preserve"> 2), S231–S244. </w:t>
      </w:r>
      <w:hyperlink r:id="rId32">
        <w:r>
          <w:rPr>
            <w:rFonts w:ascii="Arial" w:eastAsia="Arial" w:hAnsi="Arial" w:cs="Arial"/>
            <w:color w:val="0563C1"/>
            <w:sz w:val="20"/>
            <w:szCs w:val="20"/>
            <w:u w:val="single"/>
          </w:rPr>
          <w:t>https://doi.org/10.4103/indianjpsychiatry.indianjpsychiatry_707_23</w:t>
        </w:r>
      </w:hyperlink>
    </w:p>
    <w:p w14:paraId="51C44DF4" w14:textId="77777777" w:rsidR="000E1A6B" w:rsidRDefault="00175F13">
      <w:pPr>
        <w:spacing w:line="276" w:lineRule="auto"/>
        <w:ind w:hanging="720"/>
        <w:jc w:val="both"/>
        <w:rPr>
          <w:rFonts w:ascii="Arial" w:eastAsia="Arial" w:hAnsi="Arial" w:cs="Arial"/>
          <w:sz w:val="20"/>
          <w:szCs w:val="20"/>
        </w:rPr>
      </w:pPr>
      <w:bookmarkStart w:id="14" w:name="_heading=h.f4azmz6jxjzk" w:colFirst="0" w:colLast="0"/>
      <w:bookmarkEnd w:id="14"/>
      <w:r>
        <w:rPr>
          <w:rFonts w:ascii="Arial" w:eastAsia="Arial" w:hAnsi="Arial" w:cs="Arial"/>
          <w:sz w:val="20"/>
          <w:szCs w:val="20"/>
        </w:rPr>
        <w:t xml:space="preserve">Gbollie, E. F., </w:t>
      </w:r>
      <w:proofErr w:type="spellStart"/>
      <w:r>
        <w:rPr>
          <w:rFonts w:ascii="Arial" w:eastAsia="Arial" w:hAnsi="Arial" w:cs="Arial"/>
          <w:sz w:val="20"/>
          <w:szCs w:val="20"/>
        </w:rPr>
        <w:t>Bantjes</w:t>
      </w:r>
      <w:proofErr w:type="spellEnd"/>
      <w:r>
        <w:rPr>
          <w:rFonts w:ascii="Arial" w:eastAsia="Arial" w:hAnsi="Arial" w:cs="Arial"/>
          <w:sz w:val="20"/>
          <w:szCs w:val="20"/>
        </w:rPr>
        <w:t xml:space="preserve">, J., Jarvis, L., </w:t>
      </w:r>
      <w:proofErr w:type="spellStart"/>
      <w:r>
        <w:rPr>
          <w:rFonts w:ascii="Arial" w:eastAsia="Arial" w:hAnsi="Arial" w:cs="Arial"/>
          <w:sz w:val="20"/>
          <w:szCs w:val="20"/>
        </w:rPr>
        <w:t>Swandevelder</w:t>
      </w:r>
      <w:proofErr w:type="spellEnd"/>
      <w:r>
        <w:rPr>
          <w:rFonts w:ascii="Arial" w:eastAsia="Arial" w:hAnsi="Arial" w:cs="Arial"/>
          <w:sz w:val="20"/>
          <w:szCs w:val="20"/>
        </w:rPr>
        <w:t xml:space="preserve">, S., Du Plessis, J., Shadwell, R., Davids, C., Gerber, R., Holland, N., &amp; Hunt, X. (2023). Intention to use digital mental health solutions: A cross-sectional survey of university </w:t>
      </w:r>
      <w:proofErr w:type="gramStart"/>
      <w:r>
        <w:rPr>
          <w:rFonts w:ascii="Arial" w:eastAsia="Arial" w:hAnsi="Arial" w:cs="Arial"/>
          <w:sz w:val="20"/>
          <w:szCs w:val="20"/>
        </w:rPr>
        <w:t>students</w:t>
      </w:r>
      <w:proofErr w:type="gramEnd"/>
      <w:r>
        <w:rPr>
          <w:rFonts w:ascii="Arial" w:eastAsia="Arial" w:hAnsi="Arial" w:cs="Arial"/>
          <w:sz w:val="20"/>
          <w:szCs w:val="20"/>
        </w:rPr>
        <w:t xml:space="preserve"> attitudes and perceptions toward online therapy, mental health apps, and chatbots. </w:t>
      </w:r>
      <w:r>
        <w:rPr>
          <w:rFonts w:ascii="Arial" w:eastAsia="Arial" w:hAnsi="Arial" w:cs="Arial"/>
          <w:i/>
          <w:iCs/>
          <w:sz w:val="20"/>
          <w:szCs w:val="20"/>
        </w:rPr>
        <w:t>Digital Health</w:t>
      </w:r>
      <w:r>
        <w:rPr>
          <w:rFonts w:ascii="Arial" w:eastAsia="Arial" w:hAnsi="Arial" w:cs="Arial"/>
          <w:sz w:val="20"/>
          <w:szCs w:val="20"/>
        </w:rPr>
        <w:t xml:space="preserve">, </w:t>
      </w:r>
      <w:r>
        <w:rPr>
          <w:rFonts w:ascii="Arial" w:eastAsia="Arial" w:hAnsi="Arial" w:cs="Arial"/>
          <w:i/>
          <w:iCs/>
          <w:sz w:val="20"/>
          <w:szCs w:val="20"/>
        </w:rPr>
        <w:t>9</w:t>
      </w:r>
      <w:r>
        <w:rPr>
          <w:rFonts w:ascii="Arial" w:eastAsia="Arial" w:hAnsi="Arial" w:cs="Arial"/>
          <w:sz w:val="20"/>
          <w:szCs w:val="20"/>
        </w:rPr>
        <w:t xml:space="preserve">, 20552076231216559. </w:t>
      </w:r>
      <w:hyperlink r:id="rId33">
        <w:r>
          <w:rPr>
            <w:rFonts w:ascii="Arial" w:eastAsia="Arial" w:hAnsi="Arial" w:cs="Arial"/>
            <w:color w:val="0563C1"/>
            <w:sz w:val="20"/>
            <w:szCs w:val="20"/>
            <w:u w:val="single"/>
          </w:rPr>
          <w:t>https://doi.org/10.1177/20552076231216559</w:t>
        </w:r>
      </w:hyperlink>
    </w:p>
    <w:p w14:paraId="72EF6400" w14:textId="77777777" w:rsidR="000E1A6B" w:rsidRDefault="00175F13">
      <w:pPr>
        <w:spacing w:line="276" w:lineRule="auto"/>
        <w:ind w:hanging="720"/>
        <w:jc w:val="both"/>
        <w:rPr>
          <w:rFonts w:ascii="Arial" w:eastAsia="Arial" w:hAnsi="Arial" w:cs="Arial"/>
          <w:sz w:val="20"/>
          <w:szCs w:val="20"/>
        </w:rPr>
      </w:pPr>
      <w:bookmarkStart w:id="15" w:name="_heading=h.cpy6y011xahq" w:colFirst="0" w:colLast="0"/>
      <w:bookmarkEnd w:id="15"/>
      <w:proofErr w:type="spellStart"/>
      <w:r>
        <w:rPr>
          <w:rFonts w:ascii="Arial" w:eastAsia="Arial" w:hAnsi="Arial" w:cs="Arial"/>
          <w:sz w:val="20"/>
          <w:szCs w:val="20"/>
        </w:rPr>
        <w:t>Gkintoni</w:t>
      </w:r>
      <w:proofErr w:type="spellEnd"/>
      <w:r>
        <w:rPr>
          <w:rFonts w:ascii="Arial" w:eastAsia="Arial" w:hAnsi="Arial" w:cs="Arial"/>
          <w:sz w:val="20"/>
          <w:szCs w:val="20"/>
        </w:rPr>
        <w:t>, E., Vassilopoulos, S. P., &amp; Nikolaou, G. (2025). Next-Generation Cognitive-</w:t>
      </w:r>
      <w:proofErr w:type="spellStart"/>
      <w:r>
        <w:rPr>
          <w:rFonts w:ascii="Arial" w:eastAsia="Arial" w:hAnsi="Arial" w:cs="Arial"/>
          <w:sz w:val="20"/>
          <w:szCs w:val="20"/>
        </w:rPr>
        <w:t>Behavioral</w:t>
      </w:r>
      <w:proofErr w:type="spellEnd"/>
      <w:r>
        <w:rPr>
          <w:rFonts w:ascii="Arial" w:eastAsia="Arial" w:hAnsi="Arial" w:cs="Arial"/>
          <w:sz w:val="20"/>
          <w:szCs w:val="20"/>
        </w:rPr>
        <w:t xml:space="preserve"> Therapy for Depression: Integrating Digital Tools, Teletherapy, and Personalization for Enhanced Mental Health Outcomes. </w:t>
      </w:r>
      <w:r>
        <w:rPr>
          <w:rFonts w:ascii="Arial" w:eastAsia="Arial" w:hAnsi="Arial" w:cs="Arial"/>
          <w:i/>
          <w:iCs/>
          <w:sz w:val="20"/>
          <w:szCs w:val="20"/>
        </w:rPr>
        <w:t>Medicina</w:t>
      </w:r>
      <w:r>
        <w:rPr>
          <w:rFonts w:ascii="Arial" w:eastAsia="Arial" w:hAnsi="Arial" w:cs="Arial"/>
          <w:sz w:val="20"/>
          <w:szCs w:val="20"/>
        </w:rPr>
        <w:t>, </w:t>
      </w:r>
      <w:r>
        <w:rPr>
          <w:rFonts w:ascii="Arial" w:eastAsia="Arial" w:hAnsi="Arial" w:cs="Arial"/>
          <w:i/>
          <w:iCs/>
          <w:sz w:val="20"/>
          <w:szCs w:val="20"/>
        </w:rPr>
        <w:t>61</w:t>
      </w:r>
      <w:r>
        <w:rPr>
          <w:rFonts w:ascii="Arial" w:eastAsia="Arial" w:hAnsi="Arial" w:cs="Arial"/>
          <w:sz w:val="20"/>
          <w:szCs w:val="20"/>
        </w:rPr>
        <w:t xml:space="preserve">(3), 431. </w:t>
      </w:r>
      <w:hyperlink r:id="rId34">
        <w:r>
          <w:rPr>
            <w:rFonts w:ascii="Arial" w:eastAsia="Arial" w:hAnsi="Arial" w:cs="Arial"/>
            <w:color w:val="0563C1"/>
            <w:sz w:val="20"/>
            <w:szCs w:val="20"/>
            <w:u w:val="single"/>
          </w:rPr>
          <w:t>https://doi.org/10.3390/medicina61030431</w:t>
        </w:r>
      </w:hyperlink>
    </w:p>
    <w:p w14:paraId="64DC5673" w14:textId="77777777" w:rsidR="000E1A6B" w:rsidRDefault="00175F13">
      <w:pPr>
        <w:spacing w:line="276" w:lineRule="auto"/>
        <w:ind w:hanging="720"/>
        <w:jc w:val="both"/>
        <w:rPr>
          <w:rFonts w:ascii="Arial" w:eastAsia="Arial" w:hAnsi="Arial" w:cs="Arial"/>
          <w:sz w:val="20"/>
          <w:szCs w:val="20"/>
        </w:rPr>
      </w:pPr>
      <w:bookmarkStart w:id="16" w:name="_heading=h.ig8vjaaaxays" w:colFirst="0" w:colLast="0"/>
      <w:bookmarkEnd w:id="16"/>
      <w:r>
        <w:rPr>
          <w:rFonts w:ascii="Arial" w:eastAsia="Arial" w:hAnsi="Arial" w:cs="Arial"/>
          <w:sz w:val="20"/>
          <w:szCs w:val="20"/>
        </w:rPr>
        <w:t>Haleem, A., Javaid, M., Singh, R. P., &amp; Suman, R. (2021). Telemedicine for healthcare: Capabilities, features, barriers, and applications. </w:t>
      </w:r>
      <w:r>
        <w:rPr>
          <w:rFonts w:ascii="Arial" w:eastAsia="Arial" w:hAnsi="Arial" w:cs="Arial"/>
          <w:i/>
          <w:iCs/>
          <w:sz w:val="20"/>
          <w:szCs w:val="20"/>
        </w:rPr>
        <w:t>Sensors international</w:t>
      </w:r>
      <w:r>
        <w:rPr>
          <w:rFonts w:ascii="Arial" w:eastAsia="Arial" w:hAnsi="Arial" w:cs="Arial"/>
          <w:sz w:val="20"/>
          <w:szCs w:val="20"/>
        </w:rPr>
        <w:t>, </w:t>
      </w:r>
      <w:r>
        <w:rPr>
          <w:rFonts w:ascii="Arial" w:eastAsia="Arial" w:hAnsi="Arial" w:cs="Arial"/>
          <w:i/>
          <w:iCs/>
          <w:sz w:val="20"/>
          <w:szCs w:val="20"/>
        </w:rPr>
        <w:t>2</w:t>
      </w:r>
      <w:r>
        <w:rPr>
          <w:rFonts w:ascii="Arial" w:eastAsia="Arial" w:hAnsi="Arial" w:cs="Arial"/>
          <w:sz w:val="20"/>
          <w:szCs w:val="20"/>
        </w:rPr>
        <w:t xml:space="preserve">, 100117. </w:t>
      </w:r>
      <w:hyperlink r:id="rId35">
        <w:r>
          <w:rPr>
            <w:rFonts w:ascii="Arial" w:eastAsia="Arial" w:hAnsi="Arial" w:cs="Arial"/>
            <w:color w:val="0563C1"/>
            <w:sz w:val="20"/>
            <w:szCs w:val="20"/>
            <w:u w:val="single"/>
          </w:rPr>
          <w:t>https://doi.org/10.1016/j.sintl.2021.100117</w:t>
        </w:r>
      </w:hyperlink>
    </w:p>
    <w:p w14:paraId="73ED5CC1" w14:textId="77777777" w:rsidR="000E1A6B" w:rsidRDefault="00175F13">
      <w:pPr>
        <w:spacing w:line="276" w:lineRule="auto"/>
        <w:ind w:hanging="720"/>
        <w:jc w:val="both"/>
        <w:rPr>
          <w:rFonts w:ascii="Arial" w:eastAsia="Arial" w:hAnsi="Arial" w:cs="Arial"/>
          <w:sz w:val="20"/>
          <w:szCs w:val="20"/>
        </w:rPr>
      </w:pPr>
      <w:proofErr w:type="spellStart"/>
      <w:r>
        <w:rPr>
          <w:rFonts w:ascii="Arial" w:eastAsia="Arial" w:hAnsi="Arial" w:cs="Arial"/>
          <w:sz w:val="20"/>
          <w:szCs w:val="20"/>
        </w:rPr>
        <w:t>Harerimana</w:t>
      </w:r>
      <w:proofErr w:type="spellEnd"/>
      <w:r>
        <w:rPr>
          <w:rFonts w:ascii="Arial" w:eastAsia="Arial" w:hAnsi="Arial" w:cs="Arial"/>
          <w:sz w:val="20"/>
          <w:szCs w:val="20"/>
        </w:rPr>
        <w:t xml:space="preserve">, A., Pillay, J. D., &amp; Mchunu, G. (2025). Mindfulness-based interventions for mental health in refugee and migrant populations: A scoping review. </w:t>
      </w:r>
      <w:r>
        <w:rPr>
          <w:rFonts w:ascii="Arial" w:eastAsia="Arial" w:hAnsi="Arial" w:cs="Arial"/>
          <w:i/>
          <w:iCs/>
          <w:sz w:val="20"/>
          <w:szCs w:val="20"/>
        </w:rPr>
        <w:t>SSM – Mental Health, 8,</w:t>
      </w:r>
      <w:r>
        <w:rPr>
          <w:rFonts w:ascii="Arial" w:eastAsia="Arial" w:hAnsi="Arial" w:cs="Arial"/>
          <w:sz w:val="20"/>
          <w:szCs w:val="20"/>
        </w:rPr>
        <w:t xml:space="preserve"> 100540. </w:t>
      </w:r>
      <w:hyperlink r:id="rId36">
        <w:r>
          <w:rPr>
            <w:rFonts w:ascii="Arial" w:eastAsia="Arial" w:hAnsi="Arial" w:cs="Arial"/>
            <w:color w:val="0563C1"/>
            <w:sz w:val="20"/>
            <w:szCs w:val="20"/>
            <w:u w:val="single"/>
          </w:rPr>
          <w:t>https://doi.org/10.1016/j.ssmmh.2025.100540</w:t>
        </w:r>
      </w:hyperlink>
    </w:p>
    <w:p w14:paraId="740C564A" w14:textId="77777777" w:rsidR="000E1A6B" w:rsidRDefault="00175F13">
      <w:pPr>
        <w:spacing w:line="276" w:lineRule="auto"/>
        <w:ind w:hanging="720"/>
        <w:jc w:val="both"/>
        <w:rPr>
          <w:rFonts w:ascii="Arial" w:eastAsia="Arial" w:hAnsi="Arial" w:cs="Arial"/>
          <w:sz w:val="20"/>
          <w:szCs w:val="20"/>
        </w:rPr>
      </w:pPr>
      <w:bookmarkStart w:id="17" w:name="_heading=h.2mge3w7yfgyy" w:colFirst="0" w:colLast="0"/>
      <w:bookmarkEnd w:id="17"/>
      <w:r>
        <w:rPr>
          <w:rFonts w:ascii="Arial" w:eastAsia="Arial" w:hAnsi="Arial" w:cs="Arial"/>
          <w:sz w:val="20"/>
          <w:szCs w:val="20"/>
        </w:rPr>
        <w:t xml:space="preserve">Harith, S., Backhaus, I., </w:t>
      </w:r>
      <w:proofErr w:type="spellStart"/>
      <w:r>
        <w:rPr>
          <w:rFonts w:ascii="Arial" w:eastAsia="Arial" w:hAnsi="Arial" w:cs="Arial"/>
          <w:sz w:val="20"/>
          <w:szCs w:val="20"/>
        </w:rPr>
        <w:t>Mohbin</w:t>
      </w:r>
      <w:proofErr w:type="spellEnd"/>
      <w:r>
        <w:rPr>
          <w:rFonts w:ascii="Arial" w:eastAsia="Arial" w:hAnsi="Arial" w:cs="Arial"/>
          <w:sz w:val="20"/>
          <w:szCs w:val="20"/>
        </w:rPr>
        <w:t xml:space="preserve">, N., &amp; Khoo, S. (2022). Effectiveness of digital mental health interventions for university students: An umbrella review. </w:t>
      </w:r>
      <w:proofErr w:type="spellStart"/>
      <w:r>
        <w:rPr>
          <w:rFonts w:ascii="Arial" w:eastAsia="Arial" w:hAnsi="Arial" w:cs="Arial"/>
          <w:i/>
          <w:iCs/>
          <w:sz w:val="20"/>
          <w:szCs w:val="20"/>
        </w:rPr>
        <w:t>PeerJ</w:t>
      </w:r>
      <w:proofErr w:type="spellEnd"/>
      <w:r>
        <w:rPr>
          <w:rFonts w:ascii="Arial" w:eastAsia="Arial" w:hAnsi="Arial" w:cs="Arial"/>
          <w:i/>
          <w:iCs/>
          <w:sz w:val="20"/>
          <w:szCs w:val="20"/>
        </w:rPr>
        <w:t xml:space="preserve"> Life and Environment, 10</w:t>
      </w:r>
      <w:r>
        <w:rPr>
          <w:rFonts w:ascii="Arial" w:eastAsia="Arial" w:hAnsi="Arial" w:cs="Arial"/>
          <w:sz w:val="20"/>
          <w:szCs w:val="20"/>
        </w:rPr>
        <w:t xml:space="preserve">, e13111. </w:t>
      </w:r>
      <w:hyperlink r:id="rId37">
        <w:r>
          <w:rPr>
            <w:rFonts w:ascii="Arial" w:eastAsia="Arial" w:hAnsi="Arial" w:cs="Arial"/>
            <w:color w:val="0563C1"/>
            <w:sz w:val="20"/>
            <w:szCs w:val="20"/>
            <w:u w:val="single"/>
          </w:rPr>
          <w:t>https://doi.org/10.7717/peerj.13111</w:t>
        </w:r>
      </w:hyperlink>
    </w:p>
    <w:p w14:paraId="18575098" w14:textId="77777777" w:rsidR="000E1A6B" w:rsidRDefault="00175F13">
      <w:pPr>
        <w:spacing w:line="276" w:lineRule="auto"/>
        <w:ind w:hanging="720"/>
        <w:jc w:val="both"/>
        <w:rPr>
          <w:rFonts w:ascii="Arial" w:eastAsia="Arial" w:hAnsi="Arial" w:cs="Arial"/>
          <w:sz w:val="20"/>
          <w:szCs w:val="20"/>
        </w:rPr>
      </w:pPr>
      <w:bookmarkStart w:id="18" w:name="_heading=h.snw092whh3o4" w:colFirst="0" w:colLast="0"/>
      <w:bookmarkEnd w:id="18"/>
      <w:r>
        <w:rPr>
          <w:rFonts w:ascii="Arial" w:eastAsia="Arial" w:hAnsi="Arial" w:cs="Arial"/>
          <w:sz w:val="20"/>
          <w:szCs w:val="20"/>
        </w:rPr>
        <w:t>Jadhakhan, F., Blake, H., Hett, D., &amp; Marwaha, S. (2022). Efficacy of digital technologies aimed at enhancing emotion regulation skills: Literature review. </w:t>
      </w:r>
      <w:r>
        <w:rPr>
          <w:rFonts w:ascii="Arial" w:eastAsia="Arial" w:hAnsi="Arial" w:cs="Arial"/>
          <w:i/>
          <w:iCs/>
          <w:sz w:val="20"/>
          <w:szCs w:val="20"/>
        </w:rPr>
        <w:t>Frontiers in psychiatry</w:t>
      </w:r>
      <w:r>
        <w:rPr>
          <w:rFonts w:ascii="Arial" w:eastAsia="Arial" w:hAnsi="Arial" w:cs="Arial"/>
          <w:sz w:val="20"/>
          <w:szCs w:val="20"/>
        </w:rPr>
        <w:t>, </w:t>
      </w:r>
      <w:r>
        <w:rPr>
          <w:rFonts w:ascii="Arial" w:eastAsia="Arial" w:hAnsi="Arial" w:cs="Arial"/>
          <w:i/>
          <w:iCs/>
          <w:sz w:val="20"/>
          <w:szCs w:val="20"/>
        </w:rPr>
        <w:t>13</w:t>
      </w:r>
      <w:r>
        <w:rPr>
          <w:rFonts w:ascii="Arial" w:eastAsia="Arial" w:hAnsi="Arial" w:cs="Arial"/>
          <w:sz w:val="20"/>
          <w:szCs w:val="20"/>
        </w:rPr>
        <w:t xml:space="preserve">, 809332. </w:t>
      </w:r>
      <w:hyperlink r:id="rId38">
        <w:r>
          <w:rPr>
            <w:rFonts w:ascii="Arial" w:eastAsia="Arial" w:hAnsi="Arial" w:cs="Arial"/>
            <w:color w:val="0563C1"/>
            <w:sz w:val="20"/>
            <w:szCs w:val="20"/>
            <w:u w:val="single"/>
          </w:rPr>
          <w:t>https://doi.org/10.3389/fpsyt.2022.809332</w:t>
        </w:r>
      </w:hyperlink>
    </w:p>
    <w:p w14:paraId="68BB867F" w14:textId="77777777" w:rsidR="000E1A6B" w:rsidRDefault="00175F13">
      <w:pPr>
        <w:spacing w:line="276" w:lineRule="auto"/>
        <w:ind w:hanging="720"/>
        <w:jc w:val="both"/>
        <w:rPr>
          <w:rFonts w:ascii="Arial" w:eastAsia="Arial" w:hAnsi="Arial" w:cs="Arial"/>
          <w:sz w:val="20"/>
          <w:szCs w:val="20"/>
        </w:rPr>
      </w:pPr>
      <w:r>
        <w:rPr>
          <w:rFonts w:ascii="Arial" w:eastAsia="Arial" w:hAnsi="Arial" w:cs="Arial"/>
          <w:sz w:val="20"/>
          <w:szCs w:val="20"/>
        </w:rPr>
        <w:t xml:space="preserve">Jelassi, M., </w:t>
      </w:r>
      <w:proofErr w:type="spellStart"/>
      <w:r>
        <w:rPr>
          <w:rFonts w:ascii="Arial" w:eastAsia="Arial" w:hAnsi="Arial" w:cs="Arial"/>
          <w:sz w:val="20"/>
          <w:szCs w:val="20"/>
        </w:rPr>
        <w:t>Matteli</w:t>
      </w:r>
      <w:proofErr w:type="spellEnd"/>
      <w:r>
        <w:rPr>
          <w:rFonts w:ascii="Arial" w:eastAsia="Arial" w:hAnsi="Arial" w:cs="Arial"/>
          <w:sz w:val="20"/>
          <w:szCs w:val="20"/>
        </w:rPr>
        <w:t>, K., Ben Khalfallah, H., &amp; Demongeot, J. (2024). Enhancing Personalized Mental Health Support Through Artificial Intelligence: Advances in Speech and Text Analysis Within Online Therapy Platforms. </w:t>
      </w:r>
      <w:r>
        <w:rPr>
          <w:rFonts w:ascii="Arial" w:eastAsia="Arial" w:hAnsi="Arial" w:cs="Arial"/>
          <w:i/>
          <w:iCs/>
          <w:sz w:val="20"/>
          <w:szCs w:val="20"/>
        </w:rPr>
        <w:t>Information</w:t>
      </w:r>
      <w:r>
        <w:rPr>
          <w:rFonts w:ascii="Arial" w:eastAsia="Arial" w:hAnsi="Arial" w:cs="Arial"/>
          <w:sz w:val="20"/>
          <w:szCs w:val="20"/>
        </w:rPr>
        <w:t>, </w:t>
      </w:r>
      <w:r>
        <w:rPr>
          <w:rFonts w:ascii="Arial" w:eastAsia="Arial" w:hAnsi="Arial" w:cs="Arial"/>
          <w:i/>
          <w:iCs/>
          <w:sz w:val="20"/>
          <w:szCs w:val="20"/>
        </w:rPr>
        <w:t>15</w:t>
      </w:r>
      <w:r>
        <w:rPr>
          <w:rFonts w:ascii="Arial" w:eastAsia="Arial" w:hAnsi="Arial" w:cs="Arial"/>
          <w:sz w:val="20"/>
          <w:szCs w:val="20"/>
        </w:rPr>
        <w:t xml:space="preserve">(12), 813. </w:t>
      </w:r>
      <w:hyperlink r:id="rId39">
        <w:r>
          <w:rPr>
            <w:rFonts w:ascii="Arial" w:eastAsia="Arial" w:hAnsi="Arial" w:cs="Arial"/>
            <w:color w:val="0563C1"/>
            <w:sz w:val="20"/>
            <w:szCs w:val="20"/>
            <w:u w:val="single"/>
          </w:rPr>
          <w:t>https://doi.org/10.3390/info15120813</w:t>
        </w:r>
      </w:hyperlink>
    </w:p>
    <w:p w14:paraId="7D23A793" w14:textId="77777777" w:rsidR="000E1A6B" w:rsidRDefault="00175F13">
      <w:pPr>
        <w:spacing w:line="276" w:lineRule="auto"/>
        <w:ind w:hanging="720"/>
        <w:jc w:val="both"/>
        <w:rPr>
          <w:rFonts w:ascii="Arial" w:eastAsia="Arial" w:hAnsi="Arial" w:cs="Arial"/>
          <w:sz w:val="20"/>
          <w:szCs w:val="20"/>
        </w:rPr>
      </w:pPr>
      <w:bookmarkStart w:id="19" w:name="_heading=h.7biv0twvvsa1" w:colFirst="0" w:colLast="0"/>
      <w:bookmarkEnd w:id="19"/>
      <w:r>
        <w:rPr>
          <w:rFonts w:ascii="Arial" w:eastAsia="Arial" w:hAnsi="Arial" w:cs="Arial"/>
          <w:sz w:val="20"/>
          <w:szCs w:val="20"/>
        </w:rPr>
        <w:lastRenderedPageBreak/>
        <w:t xml:space="preserve">Karkosz, S., Szymański, R., Sanna, K., &amp; </w:t>
      </w:r>
      <w:proofErr w:type="spellStart"/>
      <w:r>
        <w:rPr>
          <w:rFonts w:ascii="Arial" w:eastAsia="Arial" w:hAnsi="Arial" w:cs="Arial"/>
          <w:sz w:val="20"/>
          <w:szCs w:val="20"/>
        </w:rPr>
        <w:t>Michałowski</w:t>
      </w:r>
      <w:proofErr w:type="spellEnd"/>
      <w:r>
        <w:rPr>
          <w:rFonts w:ascii="Arial" w:eastAsia="Arial" w:hAnsi="Arial" w:cs="Arial"/>
          <w:sz w:val="20"/>
          <w:szCs w:val="20"/>
        </w:rPr>
        <w:t>, J. (2024). Effectiveness of a Web-based and Mobile Therapy Chatbot on Anxiety and Depressive Symptoms in Subclinical Young Adults: Randomized Controlled Trial. </w:t>
      </w:r>
      <w:r>
        <w:rPr>
          <w:rFonts w:ascii="Arial" w:eastAsia="Arial" w:hAnsi="Arial" w:cs="Arial"/>
          <w:i/>
          <w:iCs/>
          <w:sz w:val="20"/>
          <w:szCs w:val="20"/>
        </w:rPr>
        <w:t>JMIR formative research</w:t>
      </w:r>
      <w:r>
        <w:rPr>
          <w:rFonts w:ascii="Arial" w:eastAsia="Arial" w:hAnsi="Arial" w:cs="Arial"/>
          <w:sz w:val="20"/>
          <w:szCs w:val="20"/>
        </w:rPr>
        <w:t>, </w:t>
      </w:r>
      <w:r>
        <w:rPr>
          <w:rFonts w:ascii="Arial" w:eastAsia="Arial" w:hAnsi="Arial" w:cs="Arial"/>
          <w:i/>
          <w:iCs/>
          <w:sz w:val="20"/>
          <w:szCs w:val="20"/>
        </w:rPr>
        <w:t>8</w:t>
      </w:r>
      <w:r>
        <w:rPr>
          <w:rFonts w:ascii="Arial" w:eastAsia="Arial" w:hAnsi="Arial" w:cs="Arial"/>
          <w:sz w:val="20"/>
          <w:szCs w:val="20"/>
        </w:rPr>
        <w:t xml:space="preserve">, e47960. </w:t>
      </w:r>
      <w:hyperlink r:id="rId40">
        <w:r>
          <w:rPr>
            <w:rFonts w:ascii="Arial" w:eastAsia="Arial" w:hAnsi="Arial" w:cs="Arial"/>
            <w:color w:val="0563C1"/>
            <w:sz w:val="20"/>
            <w:szCs w:val="20"/>
            <w:u w:val="single"/>
          </w:rPr>
          <w:t>https://doi.org/10.2196/47960</w:t>
        </w:r>
      </w:hyperlink>
    </w:p>
    <w:p w14:paraId="5BE0B2C1" w14:textId="77777777" w:rsidR="000E1A6B" w:rsidRDefault="00175F13">
      <w:pPr>
        <w:spacing w:line="276" w:lineRule="auto"/>
        <w:ind w:hanging="720"/>
        <w:jc w:val="both"/>
        <w:rPr>
          <w:rFonts w:ascii="Arial" w:eastAsia="Arial" w:hAnsi="Arial" w:cs="Arial"/>
          <w:sz w:val="20"/>
          <w:szCs w:val="20"/>
        </w:rPr>
      </w:pPr>
      <w:bookmarkStart w:id="20" w:name="_heading=h.ufkelenn18wq" w:colFirst="0" w:colLast="0"/>
      <w:bookmarkEnd w:id="20"/>
      <w:r>
        <w:rPr>
          <w:rFonts w:ascii="Arial" w:eastAsia="Arial" w:hAnsi="Arial" w:cs="Arial"/>
          <w:sz w:val="20"/>
          <w:szCs w:val="20"/>
        </w:rPr>
        <w:t>Kristensen, S. M., Larsen, T. M. B., Urke, H. B., &amp; Danielsen, A. G. (2023). Academic Stress, Academic Self-efficacy, and Psychological Distress: A Moderated Mediation of Within-person Effects. </w:t>
      </w:r>
      <w:r>
        <w:rPr>
          <w:rFonts w:ascii="Arial" w:eastAsia="Arial" w:hAnsi="Arial" w:cs="Arial"/>
          <w:i/>
          <w:iCs/>
          <w:sz w:val="20"/>
          <w:szCs w:val="20"/>
        </w:rPr>
        <w:t>Journal of youth and adolescence</w:t>
      </w:r>
      <w:r>
        <w:rPr>
          <w:rFonts w:ascii="Arial" w:eastAsia="Arial" w:hAnsi="Arial" w:cs="Arial"/>
          <w:sz w:val="20"/>
          <w:szCs w:val="20"/>
        </w:rPr>
        <w:t>, </w:t>
      </w:r>
      <w:r>
        <w:rPr>
          <w:rFonts w:ascii="Arial" w:eastAsia="Arial" w:hAnsi="Arial" w:cs="Arial"/>
          <w:i/>
          <w:iCs/>
          <w:sz w:val="20"/>
          <w:szCs w:val="20"/>
        </w:rPr>
        <w:t>52</w:t>
      </w:r>
      <w:r>
        <w:rPr>
          <w:rFonts w:ascii="Arial" w:eastAsia="Arial" w:hAnsi="Arial" w:cs="Arial"/>
          <w:sz w:val="20"/>
          <w:szCs w:val="20"/>
        </w:rPr>
        <w:t xml:space="preserve">(7), 1512–1529. </w:t>
      </w:r>
      <w:hyperlink r:id="rId41">
        <w:r>
          <w:rPr>
            <w:rFonts w:ascii="Arial" w:eastAsia="Arial" w:hAnsi="Arial" w:cs="Arial"/>
            <w:color w:val="0563C1"/>
            <w:sz w:val="20"/>
            <w:szCs w:val="20"/>
            <w:u w:val="single"/>
          </w:rPr>
          <w:t>https://doi.org/10.1007/s10964-023-01770-1</w:t>
        </w:r>
      </w:hyperlink>
    </w:p>
    <w:p w14:paraId="563675CC" w14:textId="77777777" w:rsidR="000E1A6B" w:rsidRDefault="00175F13">
      <w:pPr>
        <w:spacing w:line="276" w:lineRule="auto"/>
        <w:ind w:hanging="720"/>
        <w:jc w:val="both"/>
        <w:rPr>
          <w:rFonts w:ascii="Arial" w:eastAsia="Arial" w:hAnsi="Arial" w:cs="Arial"/>
          <w:sz w:val="20"/>
          <w:szCs w:val="20"/>
        </w:rPr>
      </w:pPr>
      <w:bookmarkStart w:id="21" w:name="_heading=h.sunxhs5fylkk" w:colFirst="0" w:colLast="0"/>
      <w:bookmarkEnd w:id="21"/>
      <w:proofErr w:type="spellStart"/>
      <w:r>
        <w:rPr>
          <w:rFonts w:ascii="Arial" w:eastAsia="Arial" w:hAnsi="Arial" w:cs="Arial"/>
          <w:sz w:val="20"/>
          <w:szCs w:val="20"/>
        </w:rPr>
        <w:t>Kukharuk</w:t>
      </w:r>
      <w:proofErr w:type="spellEnd"/>
      <w:r>
        <w:rPr>
          <w:rFonts w:ascii="Arial" w:eastAsia="Arial" w:hAnsi="Arial" w:cs="Arial"/>
          <w:sz w:val="20"/>
          <w:szCs w:val="20"/>
        </w:rPr>
        <w:t xml:space="preserve">, O., Tkalich, K., </w:t>
      </w:r>
      <w:proofErr w:type="spellStart"/>
      <w:r>
        <w:rPr>
          <w:rFonts w:ascii="Arial" w:eastAsia="Arial" w:hAnsi="Arial" w:cs="Arial"/>
          <w:sz w:val="20"/>
          <w:szCs w:val="20"/>
        </w:rPr>
        <w:t>Kamash</w:t>
      </w:r>
      <w:proofErr w:type="spellEnd"/>
      <w:r>
        <w:rPr>
          <w:rFonts w:ascii="Arial" w:eastAsia="Arial" w:hAnsi="Arial" w:cs="Arial"/>
          <w:sz w:val="20"/>
          <w:szCs w:val="20"/>
        </w:rPr>
        <w:t>, N., &amp; Georgiou, O. (2025). Effectiveness of immersive VR therapy in reducing stress-associated symptoms in Ukraine. </w:t>
      </w:r>
      <w:r>
        <w:rPr>
          <w:rFonts w:ascii="Arial" w:eastAsia="Arial" w:hAnsi="Arial" w:cs="Arial"/>
          <w:i/>
          <w:iCs/>
          <w:sz w:val="20"/>
          <w:szCs w:val="20"/>
        </w:rPr>
        <w:t xml:space="preserve">European journal of </w:t>
      </w:r>
      <w:proofErr w:type="spellStart"/>
      <w:r>
        <w:rPr>
          <w:rFonts w:ascii="Arial" w:eastAsia="Arial" w:hAnsi="Arial" w:cs="Arial"/>
          <w:i/>
          <w:iCs/>
          <w:sz w:val="20"/>
          <w:szCs w:val="20"/>
        </w:rPr>
        <w:t>psychotraumatology</w:t>
      </w:r>
      <w:proofErr w:type="spellEnd"/>
      <w:r>
        <w:rPr>
          <w:rFonts w:ascii="Arial" w:eastAsia="Arial" w:hAnsi="Arial" w:cs="Arial"/>
          <w:sz w:val="20"/>
          <w:szCs w:val="20"/>
        </w:rPr>
        <w:t>, </w:t>
      </w:r>
      <w:r>
        <w:rPr>
          <w:rFonts w:ascii="Arial" w:eastAsia="Arial" w:hAnsi="Arial" w:cs="Arial"/>
          <w:i/>
          <w:iCs/>
          <w:sz w:val="20"/>
          <w:szCs w:val="20"/>
        </w:rPr>
        <w:t>16</w:t>
      </w:r>
      <w:r>
        <w:rPr>
          <w:rFonts w:ascii="Arial" w:eastAsia="Arial" w:hAnsi="Arial" w:cs="Arial"/>
          <w:sz w:val="20"/>
          <w:szCs w:val="20"/>
        </w:rPr>
        <w:t xml:space="preserve">(1), 2488097. </w:t>
      </w:r>
      <w:hyperlink r:id="rId42">
        <w:r>
          <w:rPr>
            <w:rFonts w:ascii="Arial" w:eastAsia="Arial" w:hAnsi="Arial" w:cs="Arial"/>
            <w:color w:val="0563C1"/>
            <w:sz w:val="20"/>
            <w:szCs w:val="20"/>
            <w:u w:val="single"/>
          </w:rPr>
          <w:t>https://doi.org/10.1080/20008066.2025.2488097</w:t>
        </w:r>
      </w:hyperlink>
    </w:p>
    <w:p w14:paraId="0251EB3B" w14:textId="77777777" w:rsidR="000E1A6B" w:rsidRDefault="00175F13">
      <w:pPr>
        <w:spacing w:line="276" w:lineRule="auto"/>
        <w:ind w:hanging="720"/>
        <w:jc w:val="both"/>
        <w:rPr>
          <w:rFonts w:ascii="Arial" w:eastAsia="Arial" w:hAnsi="Arial" w:cs="Arial"/>
          <w:sz w:val="20"/>
          <w:szCs w:val="20"/>
        </w:rPr>
      </w:pPr>
      <w:bookmarkStart w:id="22" w:name="_heading=h.cf7477tubd6u" w:colFirst="0" w:colLast="0"/>
      <w:bookmarkEnd w:id="22"/>
      <w:r>
        <w:rPr>
          <w:rFonts w:ascii="Arial" w:eastAsia="Arial" w:hAnsi="Arial" w:cs="Arial"/>
          <w:sz w:val="20"/>
          <w:szCs w:val="20"/>
        </w:rPr>
        <w:t>LaMonica, H. M., Hickie, I. B., Capon, W., Ahia, M., Ewing, L., Lee, W., Iorfino, F., Song, Y. J. C., McKenna, S., &amp; Cleverley, K. (2025). Digital Tools to Support Post-Secondary Student Mental Health and Wellbeing. </w:t>
      </w:r>
      <w:r>
        <w:rPr>
          <w:rFonts w:ascii="Arial" w:eastAsia="Arial" w:hAnsi="Arial" w:cs="Arial"/>
          <w:i/>
          <w:iCs/>
          <w:sz w:val="20"/>
          <w:szCs w:val="20"/>
        </w:rPr>
        <w:t>Early intervention in psychiatry</w:t>
      </w:r>
      <w:r>
        <w:rPr>
          <w:rFonts w:ascii="Arial" w:eastAsia="Arial" w:hAnsi="Arial" w:cs="Arial"/>
          <w:sz w:val="20"/>
          <w:szCs w:val="20"/>
        </w:rPr>
        <w:t>, </w:t>
      </w:r>
      <w:r>
        <w:rPr>
          <w:rFonts w:ascii="Arial" w:eastAsia="Arial" w:hAnsi="Arial" w:cs="Arial"/>
          <w:i/>
          <w:iCs/>
          <w:sz w:val="20"/>
          <w:szCs w:val="20"/>
        </w:rPr>
        <w:t>19</w:t>
      </w:r>
      <w:r>
        <w:rPr>
          <w:rFonts w:ascii="Arial" w:eastAsia="Arial" w:hAnsi="Arial" w:cs="Arial"/>
          <w:sz w:val="20"/>
          <w:szCs w:val="20"/>
        </w:rPr>
        <w:t xml:space="preserve">(10), e70094. </w:t>
      </w:r>
      <w:hyperlink r:id="rId43">
        <w:r>
          <w:rPr>
            <w:rFonts w:ascii="Arial" w:eastAsia="Arial" w:hAnsi="Arial" w:cs="Arial"/>
            <w:color w:val="0563C1"/>
            <w:sz w:val="20"/>
            <w:szCs w:val="20"/>
            <w:u w:val="single"/>
          </w:rPr>
          <w:t>https://doi.org/10.1111/eip.70094</w:t>
        </w:r>
      </w:hyperlink>
    </w:p>
    <w:p w14:paraId="1BB9DAED" w14:textId="77777777" w:rsidR="000E1A6B" w:rsidRDefault="00175F13">
      <w:pPr>
        <w:spacing w:line="276" w:lineRule="auto"/>
        <w:ind w:hanging="720"/>
        <w:jc w:val="both"/>
        <w:rPr>
          <w:rFonts w:ascii="Arial" w:eastAsia="Arial" w:hAnsi="Arial" w:cs="Arial"/>
          <w:sz w:val="20"/>
          <w:szCs w:val="20"/>
        </w:rPr>
      </w:pPr>
      <w:bookmarkStart w:id="23" w:name="_heading=h.3fsf6bs3ftgd" w:colFirst="0" w:colLast="0"/>
      <w:bookmarkEnd w:id="23"/>
      <w:r>
        <w:rPr>
          <w:rFonts w:ascii="Arial" w:eastAsia="Arial" w:hAnsi="Arial" w:cs="Arial"/>
          <w:sz w:val="20"/>
          <w:szCs w:val="20"/>
        </w:rPr>
        <w:t xml:space="preserve">Lattie, E. G., Adkins, E. C., Winquist, N., Stiles-Shields, C., Wafford, Q. E., &amp; Graham, A. K. (2019). Digital mental health interventions for depression, anxiety, and enhancement of psychological well-being among college students: Systematic review. </w:t>
      </w:r>
      <w:r>
        <w:rPr>
          <w:rFonts w:ascii="Arial" w:eastAsia="Arial" w:hAnsi="Arial" w:cs="Arial"/>
          <w:i/>
          <w:iCs/>
          <w:sz w:val="20"/>
          <w:szCs w:val="20"/>
        </w:rPr>
        <w:t>Journal of Medical Internet Research, 21</w:t>
      </w:r>
      <w:r>
        <w:rPr>
          <w:rFonts w:ascii="Arial" w:eastAsia="Arial" w:hAnsi="Arial" w:cs="Arial"/>
          <w:sz w:val="20"/>
          <w:szCs w:val="20"/>
        </w:rPr>
        <w:t xml:space="preserve">(7), e12869. </w:t>
      </w:r>
      <w:hyperlink r:id="rId44">
        <w:r>
          <w:rPr>
            <w:rFonts w:ascii="Arial" w:eastAsia="Arial" w:hAnsi="Arial" w:cs="Arial"/>
            <w:color w:val="0563C1"/>
            <w:sz w:val="20"/>
            <w:szCs w:val="20"/>
            <w:u w:val="single"/>
          </w:rPr>
          <w:t>https://doi.org/10.2196/12869</w:t>
        </w:r>
      </w:hyperlink>
    </w:p>
    <w:p w14:paraId="44107B2F" w14:textId="77777777" w:rsidR="000E1A6B" w:rsidRDefault="00175F13">
      <w:pPr>
        <w:spacing w:line="276" w:lineRule="auto"/>
        <w:ind w:hanging="720"/>
        <w:jc w:val="both"/>
        <w:rPr>
          <w:rFonts w:ascii="Arial" w:eastAsia="Arial" w:hAnsi="Arial" w:cs="Arial"/>
          <w:sz w:val="20"/>
          <w:szCs w:val="20"/>
        </w:rPr>
      </w:pPr>
      <w:r>
        <w:rPr>
          <w:rFonts w:ascii="Arial" w:eastAsia="Arial" w:hAnsi="Arial" w:cs="Arial"/>
          <w:sz w:val="20"/>
          <w:szCs w:val="20"/>
        </w:rPr>
        <w:t xml:space="preserve">Li, K. (2025). Digital mental health support in higher education: Effectiveness, challenges, and student perspectives. </w:t>
      </w:r>
      <w:r>
        <w:rPr>
          <w:rFonts w:ascii="Arial" w:eastAsia="Arial" w:hAnsi="Arial" w:cs="Arial"/>
          <w:i/>
          <w:iCs/>
          <w:sz w:val="20"/>
          <w:szCs w:val="20"/>
        </w:rPr>
        <w:t>Lecture Notes in Education Psychology and Public Media, 99</w:t>
      </w:r>
      <w:r>
        <w:rPr>
          <w:rFonts w:ascii="Arial" w:eastAsia="Arial" w:hAnsi="Arial" w:cs="Arial"/>
          <w:sz w:val="20"/>
          <w:szCs w:val="20"/>
        </w:rPr>
        <w:t xml:space="preserve">(1), 111–117. </w:t>
      </w:r>
      <w:hyperlink r:id="rId45">
        <w:r>
          <w:rPr>
            <w:rFonts w:ascii="Arial" w:eastAsia="Arial" w:hAnsi="Arial" w:cs="Arial"/>
            <w:color w:val="0563C1"/>
            <w:sz w:val="20"/>
            <w:szCs w:val="20"/>
            <w:u w:val="single"/>
          </w:rPr>
          <w:t>https://doi.org/10.54254/2753-7048/2026.HT28870</w:t>
        </w:r>
      </w:hyperlink>
    </w:p>
    <w:p w14:paraId="475296AF" w14:textId="77777777" w:rsidR="000E1A6B" w:rsidRDefault="00175F13">
      <w:pPr>
        <w:spacing w:line="276" w:lineRule="auto"/>
        <w:ind w:hanging="720"/>
        <w:jc w:val="both"/>
        <w:rPr>
          <w:rFonts w:ascii="Arial" w:eastAsia="Arial" w:hAnsi="Arial" w:cs="Arial"/>
          <w:sz w:val="20"/>
          <w:szCs w:val="20"/>
        </w:rPr>
      </w:pPr>
      <w:bookmarkStart w:id="24" w:name="_heading=h.e00cm32td8bl" w:colFirst="0" w:colLast="0"/>
      <w:bookmarkEnd w:id="24"/>
      <w:proofErr w:type="spellStart"/>
      <w:r>
        <w:rPr>
          <w:rFonts w:ascii="Arial" w:eastAsia="Arial" w:hAnsi="Arial" w:cs="Arial"/>
          <w:sz w:val="20"/>
          <w:szCs w:val="20"/>
        </w:rPr>
        <w:t>Löchner</w:t>
      </w:r>
      <w:proofErr w:type="spellEnd"/>
      <w:r>
        <w:rPr>
          <w:rFonts w:ascii="Arial" w:eastAsia="Arial" w:hAnsi="Arial" w:cs="Arial"/>
          <w:sz w:val="20"/>
          <w:szCs w:val="20"/>
        </w:rPr>
        <w:t xml:space="preserve">, J., </w:t>
      </w:r>
      <w:proofErr w:type="spellStart"/>
      <w:r>
        <w:rPr>
          <w:rFonts w:ascii="Arial" w:eastAsia="Arial" w:hAnsi="Arial" w:cs="Arial"/>
          <w:sz w:val="20"/>
          <w:szCs w:val="20"/>
        </w:rPr>
        <w:t>Carlbring</w:t>
      </w:r>
      <w:proofErr w:type="spellEnd"/>
      <w:r>
        <w:rPr>
          <w:rFonts w:ascii="Arial" w:eastAsia="Arial" w:hAnsi="Arial" w:cs="Arial"/>
          <w:sz w:val="20"/>
          <w:szCs w:val="20"/>
        </w:rPr>
        <w:t xml:space="preserve">, P., Schuller, B., </w:t>
      </w:r>
      <w:proofErr w:type="spellStart"/>
      <w:r>
        <w:rPr>
          <w:rFonts w:ascii="Arial" w:eastAsia="Arial" w:hAnsi="Arial" w:cs="Arial"/>
          <w:sz w:val="20"/>
          <w:szCs w:val="20"/>
        </w:rPr>
        <w:t>Torous</w:t>
      </w:r>
      <w:proofErr w:type="spellEnd"/>
      <w:r>
        <w:rPr>
          <w:rFonts w:ascii="Arial" w:eastAsia="Arial" w:hAnsi="Arial" w:cs="Arial"/>
          <w:sz w:val="20"/>
          <w:szCs w:val="20"/>
        </w:rPr>
        <w:t xml:space="preserve">, J., &amp; Sander, L. B. (2025). Digital interventions in mental health: An overview and future perspectives. </w:t>
      </w:r>
      <w:r>
        <w:rPr>
          <w:rFonts w:ascii="Arial" w:eastAsia="Arial" w:hAnsi="Arial" w:cs="Arial"/>
          <w:i/>
          <w:iCs/>
          <w:sz w:val="20"/>
          <w:szCs w:val="20"/>
        </w:rPr>
        <w:t>Internet Interventions</w:t>
      </w:r>
      <w:r>
        <w:rPr>
          <w:rFonts w:ascii="Arial" w:eastAsia="Arial" w:hAnsi="Arial" w:cs="Arial"/>
          <w:sz w:val="20"/>
          <w:szCs w:val="20"/>
        </w:rPr>
        <w:t xml:space="preserve">, </w:t>
      </w:r>
      <w:r>
        <w:rPr>
          <w:rFonts w:ascii="Arial" w:eastAsia="Arial" w:hAnsi="Arial" w:cs="Arial"/>
          <w:i/>
          <w:iCs/>
          <w:sz w:val="20"/>
          <w:szCs w:val="20"/>
        </w:rPr>
        <w:t>40</w:t>
      </w:r>
      <w:r>
        <w:rPr>
          <w:rFonts w:ascii="Arial" w:eastAsia="Arial" w:hAnsi="Arial" w:cs="Arial"/>
          <w:sz w:val="20"/>
          <w:szCs w:val="20"/>
        </w:rPr>
        <w:t xml:space="preserve">, 100824. </w:t>
      </w:r>
      <w:hyperlink r:id="rId46">
        <w:r>
          <w:rPr>
            <w:rFonts w:ascii="Arial" w:eastAsia="Arial" w:hAnsi="Arial" w:cs="Arial"/>
            <w:color w:val="0563C1"/>
            <w:sz w:val="20"/>
            <w:szCs w:val="20"/>
            <w:u w:val="single"/>
          </w:rPr>
          <w:t>https://doi.org/10.1016/j.invent.2025.100824</w:t>
        </w:r>
      </w:hyperlink>
    </w:p>
    <w:p w14:paraId="466BA4E5" w14:textId="77777777" w:rsidR="000E1A6B" w:rsidRDefault="00175F13">
      <w:pPr>
        <w:spacing w:line="276" w:lineRule="auto"/>
        <w:ind w:hanging="720"/>
        <w:jc w:val="both"/>
        <w:rPr>
          <w:rFonts w:ascii="Arial" w:eastAsia="Arial" w:hAnsi="Arial" w:cs="Arial"/>
          <w:sz w:val="20"/>
          <w:szCs w:val="20"/>
        </w:rPr>
      </w:pPr>
      <w:r>
        <w:rPr>
          <w:rFonts w:ascii="Arial" w:eastAsia="Arial" w:hAnsi="Arial" w:cs="Arial"/>
          <w:sz w:val="20"/>
          <w:szCs w:val="20"/>
        </w:rPr>
        <w:t>Madrid-</w:t>
      </w:r>
      <w:proofErr w:type="spellStart"/>
      <w:r>
        <w:rPr>
          <w:rFonts w:ascii="Arial" w:eastAsia="Arial" w:hAnsi="Arial" w:cs="Arial"/>
          <w:sz w:val="20"/>
          <w:szCs w:val="20"/>
        </w:rPr>
        <w:t>Cagigal</w:t>
      </w:r>
      <w:proofErr w:type="spellEnd"/>
      <w:r>
        <w:rPr>
          <w:rFonts w:ascii="Arial" w:eastAsia="Arial" w:hAnsi="Arial" w:cs="Arial"/>
          <w:sz w:val="20"/>
          <w:szCs w:val="20"/>
        </w:rPr>
        <w:t xml:space="preserve">, A., Kealy, C., Potts, C., Mulvenna, M. D., Byrne, M., Barry, M. M., &amp; Donohoe, G. (2025). Digital Mental Health Interventions for University Students </w:t>
      </w:r>
      <w:proofErr w:type="gramStart"/>
      <w:r>
        <w:rPr>
          <w:rFonts w:ascii="Arial" w:eastAsia="Arial" w:hAnsi="Arial" w:cs="Arial"/>
          <w:sz w:val="20"/>
          <w:szCs w:val="20"/>
        </w:rPr>
        <w:t>With</w:t>
      </w:r>
      <w:proofErr w:type="gramEnd"/>
      <w:r>
        <w:rPr>
          <w:rFonts w:ascii="Arial" w:eastAsia="Arial" w:hAnsi="Arial" w:cs="Arial"/>
          <w:sz w:val="20"/>
          <w:szCs w:val="20"/>
        </w:rPr>
        <w:t xml:space="preserve"> Mental Health Difficulties: A Systematic Review and Meta-Analysis. </w:t>
      </w:r>
      <w:r>
        <w:rPr>
          <w:rFonts w:ascii="Arial" w:eastAsia="Arial" w:hAnsi="Arial" w:cs="Arial"/>
          <w:i/>
          <w:iCs/>
          <w:sz w:val="20"/>
          <w:szCs w:val="20"/>
        </w:rPr>
        <w:t>Early intervention in psychiatry</w:t>
      </w:r>
      <w:r>
        <w:rPr>
          <w:rFonts w:ascii="Arial" w:eastAsia="Arial" w:hAnsi="Arial" w:cs="Arial"/>
          <w:sz w:val="20"/>
          <w:szCs w:val="20"/>
        </w:rPr>
        <w:t>, </w:t>
      </w:r>
      <w:r>
        <w:rPr>
          <w:rFonts w:ascii="Arial" w:eastAsia="Arial" w:hAnsi="Arial" w:cs="Arial"/>
          <w:i/>
          <w:iCs/>
          <w:sz w:val="20"/>
          <w:szCs w:val="20"/>
        </w:rPr>
        <w:t>19</w:t>
      </w:r>
      <w:r>
        <w:rPr>
          <w:rFonts w:ascii="Arial" w:eastAsia="Arial" w:hAnsi="Arial" w:cs="Arial"/>
          <w:sz w:val="20"/>
          <w:szCs w:val="20"/>
        </w:rPr>
        <w:t xml:space="preserve">(3), e70017. </w:t>
      </w:r>
      <w:hyperlink r:id="rId47">
        <w:r>
          <w:rPr>
            <w:rFonts w:ascii="Arial" w:eastAsia="Arial" w:hAnsi="Arial" w:cs="Arial"/>
            <w:color w:val="0563C1"/>
            <w:sz w:val="20"/>
            <w:szCs w:val="20"/>
            <w:u w:val="single"/>
          </w:rPr>
          <w:t>https://doi.org/10.1111/eip.70017</w:t>
        </w:r>
      </w:hyperlink>
    </w:p>
    <w:p w14:paraId="2AA1BF8E" w14:textId="77777777" w:rsidR="000E1A6B" w:rsidRDefault="00175F13">
      <w:pPr>
        <w:spacing w:line="276" w:lineRule="auto"/>
        <w:ind w:hanging="720"/>
        <w:jc w:val="both"/>
        <w:rPr>
          <w:rFonts w:ascii="Arial" w:eastAsia="Arial" w:hAnsi="Arial" w:cs="Arial"/>
          <w:sz w:val="20"/>
          <w:szCs w:val="20"/>
        </w:rPr>
      </w:pPr>
      <w:r>
        <w:rPr>
          <w:rFonts w:ascii="Arial" w:eastAsia="Arial" w:hAnsi="Arial" w:cs="Arial"/>
          <w:sz w:val="20"/>
          <w:szCs w:val="20"/>
        </w:rPr>
        <w:t xml:space="preserve">Matsumoto, K., </w:t>
      </w:r>
      <w:proofErr w:type="spellStart"/>
      <w:r>
        <w:rPr>
          <w:rFonts w:ascii="Arial" w:eastAsia="Arial" w:hAnsi="Arial" w:cs="Arial"/>
          <w:sz w:val="20"/>
          <w:szCs w:val="20"/>
        </w:rPr>
        <w:t>Hamatani</w:t>
      </w:r>
      <w:proofErr w:type="spellEnd"/>
      <w:r>
        <w:rPr>
          <w:rFonts w:ascii="Arial" w:eastAsia="Arial" w:hAnsi="Arial" w:cs="Arial"/>
          <w:sz w:val="20"/>
          <w:szCs w:val="20"/>
        </w:rPr>
        <w:t xml:space="preserve">, S., Shiga, K., </w:t>
      </w:r>
      <w:proofErr w:type="spellStart"/>
      <w:r>
        <w:rPr>
          <w:rFonts w:ascii="Arial" w:eastAsia="Arial" w:hAnsi="Arial" w:cs="Arial"/>
          <w:sz w:val="20"/>
          <w:szCs w:val="20"/>
        </w:rPr>
        <w:t>Iiboshi</w:t>
      </w:r>
      <w:proofErr w:type="spellEnd"/>
      <w:r>
        <w:rPr>
          <w:rFonts w:ascii="Arial" w:eastAsia="Arial" w:hAnsi="Arial" w:cs="Arial"/>
          <w:sz w:val="20"/>
          <w:szCs w:val="20"/>
        </w:rPr>
        <w:t xml:space="preserve">, K., Kasai, M., Kimura, Y., Yokota, S., Watanabe, K., Kubo, Y., &amp; Nakamura, M. (2024). Effectiveness of Unguided Internet-Based Cognitive </w:t>
      </w:r>
      <w:proofErr w:type="spellStart"/>
      <w:r>
        <w:rPr>
          <w:rFonts w:ascii="Arial" w:eastAsia="Arial" w:hAnsi="Arial" w:cs="Arial"/>
          <w:sz w:val="20"/>
          <w:szCs w:val="20"/>
        </w:rPr>
        <w:t>Behavioral</w:t>
      </w:r>
      <w:proofErr w:type="spellEnd"/>
      <w:r>
        <w:rPr>
          <w:rFonts w:ascii="Arial" w:eastAsia="Arial" w:hAnsi="Arial" w:cs="Arial"/>
          <w:sz w:val="20"/>
          <w:szCs w:val="20"/>
        </w:rPr>
        <w:t xml:space="preserve"> therapy for subthreshold social anxiety disorder in adolescents and young adults: </w:t>
      </w:r>
      <w:proofErr w:type="spellStart"/>
      <w:r>
        <w:rPr>
          <w:rFonts w:ascii="Arial" w:eastAsia="Arial" w:hAnsi="Arial" w:cs="Arial"/>
          <w:sz w:val="20"/>
          <w:szCs w:val="20"/>
        </w:rPr>
        <w:t>multicenter</w:t>
      </w:r>
      <w:proofErr w:type="spellEnd"/>
      <w:r>
        <w:rPr>
          <w:rFonts w:ascii="Arial" w:eastAsia="Arial" w:hAnsi="Arial" w:cs="Arial"/>
          <w:sz w:val="20"/>
          <w:szCs w:val="20"/>
        </w:rPr>
        <w:t xml:space="preserve"> randomized controlled trial. </w:t>
      </w:r>
      <w:r>
        <w:rPr>
          <w:rFonts w:ascii="Arial" w:eastAsia="Arial" w:hAnsi="Arial" w:cs="Arial"/>
          <w:i/>
          <w:iCs/>
          <w:sz w:val="20"/>
          <w:szCs w:val="20"/>
        </w:rPr>
        <w:t xml:space="preserve">JMIR </w:t>
      </w:r>
      <w:proofErr w:type="spellStart"/>
      <w:r>
        <w:rPr>
          <w:rFonts w:ascii="Arial" w:eastAsia="Arial" w:hAnsi="Arial" w:cs="Arial"/>
          <w:i/>
          <w:iCs/>
          <w:sz w:val="20"/>
          <w:szCs w:val="20"/>
        </w:rPr>
        <w:t>Pediatrics</w:t>
      </w:r>
      <w:proofErr w:type="spellEnd"/>
      <w:r>
        <w:rPr>
          <w:rFonts w:ascii="Arial" w:eastAsia="Arial" w:hAnsi="Arial" w:cs="Arial"/>
          <w:i/>
          <w:iCs/>
          <w:sz w:val="20"/>
          <w:szCs w:val="20"/>
        </w:rPr>
        <w:t xml:space="preserve"> and Parenting</w:t>
      </w:r>
      <w:r>
        <w:rPr>
          <w:rFonts w:ascii="Arial" w:eastAsia="Arial" w:hAnsi="Arial" w:cs="Arial"/>
          <w:sz w:val="20"/>
          <w:szCs w:val="20"/>
        </w:rPr>
        <w:t xml:space="preserve">, </w:t>
      </w:r>
      <w:r>
        <w:rPr>
          <w:rFonts w:ascii="Arial" w:eastAsia="Arial" w:hAnsi="Arial" w:cs="Arial"/>
          <w:i/>
          <w:iCs/>
          <w:sz w:val="20"/>
          <w:szCs w:val="20"/>
        </w:rPr>
        <w:t>7</w:t>
      </w:r>
      <w:r>
        <w:rPr>
          <w:rFonts w:ascii="Arial" w:eastAsia="Arial" w:hAnsi="Arial" w:cs="Arial"/>
          <w:sz w:val="20"/>
          <w:szCs w:val="20"/>
        </w:rPr>
        <w:t xml:space="preserve">, e55786. </w:t>
      </w:r>
      <w:hyperlink r:id="rId48">
        <w:r>
          <w:rPr>
            <w:rFonts w:ascii="Arial" w:eastAsia="Arial" w:hAnsi="Arial" w:cs="Arial"/>
            <w:color w:val="0563C1"/>
            <w:sz w:val="20"/>
            <w:szCs w:val="20"/>
            <w:u w:val="single"/>
          </w:rPr>
          <w:t>https://doi.org/10.2196/55786</w:t>
        </w:r>
      </w:hyperlink>
    </w:p>
    <w:p w14:paraId="1A3E86AD" w14:textId="77777777" w:rsidR="000E1A6B" w:rsidRDefault="00175F13">
      <w:pPr>
        <w:spacing w:line="276" w:lineRule="auto"/>
        <w:ind w:hanging="720"/>
        <w:jc w:val="both"/>
        <w:rPr>
          <w:rFonts w:ascii="Arial" w:eastAsia="Arial" w:hAnsi="Arial" w:cs="Arial"/>
          <w:sz w:val="20"/>
          <w:szCs w:val="20"/>
        </w:rPr>
      </w:pPr>
      <w:bookmarkStart w:id="25" w:name="_heading=h.oxfbj4fgdgkl" w:colFirst="0" w:colLast="0"/>
      <w:bookmarkEnd w:id="25"/>
      <w:r>
        <w:rPr>
          <w:rFonts w:ascii="Arial" w:eastAsia="Arial" w:hAnsi="Arial" w:cs="Arial"/>
          <w:sz w:val="20"/>
          <w:szCs w:val="20"/>
        </w:rPr>
        <w:t>McCurdy, B. H., Scozzafava, M. D., Bradley, T., Matlow, R., Weems, C. F., &amp; Carrion, V. G. (2022). Impact of anxiety and depression on academic achievement among underserved school children: evidence of suppressor effects. </w:t>
      </w:r>
      <w:r>
        <w:rPr>
          <w:rFonts w:ascii="Arial" w:eastAsia="Arial" w:hAnsi="Arial" w:cs="Arial"/>
          <w:i/>
          <w:iCs/>
          <w:sz w:val="20"/>
          <w:szCs w:val="20"/>
        </w:rPr>
        <w:t>Current psychology (New Brunswick, N.J.)</w:t>
      </w:r>
      <w:r>
        <w:rPr>
          <w:rFonts w:ascii="Arial" w:eastAsia="Arial" w:hAnsi="Arial" w:cs="Arial"/>
          <w:sz w:val="20"/>
          <w:szCs w:val="20"/>
        </w:rPr>
        <w:t xml:space="preserve">, 1–9. Advance online publication. </w:t>
      </w:r>
      <w:hyperlink r:id="rId49">
        <w:r>
          <w:rPr>
            <w:rFonts w:ascii="Arial" w:eastAsia="Arial" w:hAnsi="Arial" w:cs="Arial"/>
            <w:color w:val="0563C1"/>
            <w:sz w:val="20"/>
            <w:szCs w:val="20"/>
            <w:u w:val="single"/>
          </w:rPr>
          <w:t>https://doi.org/10.1007/s12144-022-03801-9</w:t>
        </w:r>
      </w:hyperlink>
    </w:p>
    <w:p w14:paraId="6BC15763" w14:textId="77777777" w:rsidR="000E1A6B" w:rsidRDefault="00175F13">
      <w:pPr>
        <w:spacing w:line="276" w:lineRule="auto"/>
        <w:ind w:hanging="720"/>
        <w:jc w:val="both"/>
        <w:rPr>
          <w:rFonts w:ascii="Arial" w:eastAsia="Arial" w:hAnsi="Arial" w:cs="Arial"/>
          <w:sz w:val="20"/>
          <w:szCs w:val="20"/>
        </w:rPr>
      </w:pPr>
      <w:r>
        <w:rPr>
          <w:rFonts w:ascii="Arial" w:eastAsia="Arial" w:hAnsi="Arial" w:cs="Arial"/>
          <w:sz w:val="20"/>
          <w:szCs w:val="20"/>
        </w:rPr>
        <w:t xml:space="preserve">Mercer, S. O., &amp; De </w:t>
      </w:r>
      <w:proofErr w:type="spellStart"/>
      <w:r>
        <w:rPr>
          <w:rFonts w:ascii="Arial" w:eastAsia="Arial" w:hAnsi="Arial" w:cs="Arial"/>
          <w:sz w:val="20"/>
          <w:szCs w:val="20"/>
        </w:rPr>
        <w:t>Franches</w:t>
      </w:r>
      <w:proofErr w:type="spellEnd"/>
      <w:r>
        <w:rPr>
          <w:rFonts w:ascii="Arial" w:eastAsia="Arial" w:hAnsi="Arial" w:cs="Arial"/>
          <w:sz w:val="20"/>
          <w:szCs w:val="20"/>
        </w:rPr>
        <w:t xml:space="preserve">, G. R. (2025). Biofeedback games in education: A review with implications for teacher training. </w:t>
      </w:r>
      <w:r>
        <w:rPr>
          <w:rFonts w:ascii="Arial" w:eastAsia="Arial" w:hAnsi="Arial" w:cs="Arial"/>
          <w:i/>
          <w:iCs/>
          <w:sz w:val="20"/>
          <w:szCs w:val="20"/>
        </w:rPr>
        <w:t>[Journal name unavailable]</w:t>
      </w:r>
      <w:r>
        <w:rPr>
          <w:rFonts w:ascii="Arial" w:eastAsia="Arial" w:hAnsi="Arial" w:cs="Arial"/>
          <w:sz w:val="20"/>
          <w:szCs w:val="20"/>
        </w:rPr>
        <w:t xml:space="preserve">. </w:t>
      </w:r>
      <w:hyperlink r:id="rId50">
        <w:r>
          <w:rPr>
            <w:rFonts w:ascii="Arial" w:eastAsia="Arial" w:hAnsi="Arial" w:cs="Arial"/>
            <w:color w:val="0563C1"/>
            <w:sz w:val="20"/>
            <w:szCs w:val="20"/>
            <w:u w:val="single"/>
          </w:rPr>
          <w:t>https://doi.org/10.17471/2499-4324/1395</w:t>
        </w:r>
      </w:hyperlink>
    </w:p>
    <w:p w14:paraId="7342682C" w14:textId="77777777" w:rsidR="000E1A6B" w:rsidRDefault="00175F13">
      <w:pPr>
        <w:spacing w:line="276" w:lineRule="auto"/>
        <w:ind w:hanging="720"/>
        <w:jc w:val="both"/>
        <w:rPr>
          <w:rFonts w:ascii="Arial" w:eastAsia="Arial" w:hAnsi="Arial" w:cs="Arial"/>
          <w:sz w:val="20"/>
          <w:szCs w:val="20"/>
        </w:rPr>
      </w:pPr>
      <w:bookmarkStart w:id="26" w:name="_heading=h.1ehw33vwqosu" w:colFirst="0" w:colLast="0"/>
      <w:bookmarkEnd w:id="26"/>
      <w:r>
        <w:rPr>
          <w:rFonts w:ascii="Arial" w:eastAsia="Arial" w:hAnsi="Arial" w:cs="Arial"/>
          <w:sz w:val="20"/>
          <w:szCs w:val="20"/>
        </w:rPr>
        <w:t xml:space="preserve">Mishra, V., &amp; Mishra, M. P. (2023). PRISMA for review of management literature – Method, merits, and limitations – An academic review. In </w:t>
      </w:r>
      <w:r>
        <w:rPr>
          <w:rFonts w:ascii="Arial" w:eastAsia="Arial" w:hAnsi="Arial" w:cs="Arial"/>
          <w:i/>
          <w:iCs/>
          <w:sz w:val="20"/>
          <w:szCs w:val="20"/>
        </w:rPr>
        <w:t>Advancing methodologies of conducting literature review in management domain</w:t>
      </w:r>
      <w:r>
        <w:rPr>
          <w:rFonts w:ascii="Arial" w:eastAsia="Arial" w:hAnsi="Arial" w:cs="Arial"/>
          <w:sz w:val="20"/>
          <w:szCs w:val="20"/>
        </w:rPr>
        <w:t xml:space="preserve"> (Vol. 2, pp. 7–?). Emerald Publishing. </w:t>
      </w:r>
      <w:hyperlink r:id="rId51">
        <w:r>
          <w:rPr>
            <w:rFonts w:ascii="Arial" w:eastAsia="Arial" w:hAnsi="Arial" w:cs="Arial"/>
            <w:color w:val="0563C1"/>
            <w:sz w:val="20"/>
            <w:szCs w:val="20"/>
            <w:u w:val="single"/>
          </w:rPr>
          <w:t>https://doi.org/10.1108/S2754-586520230000002007</w:t>
        </w:r>
      </w:hyperlink>
    </w:p>
    <w:p w14:paraId="55A35FE3" w14:textId="77777777" w:rsidR="000E1A6B" w:rsidRDefault="00175F13">
      <w:pPr>
        <w:spacing w:line="276" w:lineRule="auto"/>
        <w:ind w:hanging="720"/>
        <w:jc w:val="both"/>
        <w:rPr>
          <w:rFonts w:ascii="Arial" w:eastAsia="Arial" w:hAnsi="Arial" w:cs="Arial"/>
          <w:sz w:val="20"/>
          <w:szCs w:val="20"/>
        </w:rPr>
      </w:pPr>
      <w:bookmarkStart w:id="27" w:name="_heading=h.qyx4h6scbk9s" w:colFirst="0" w:colLast="0"/>
      <w:bookmarkEnd w:id="27"/>
      <w:proofErr w:type="spellStart"/>
      <w:r>
        <w:rPr>
          <w:rFonts w:ascii="Arial" w:eastAsia="Arial" w:hAnsi="Arial" w:cs="Arial"/>
          <w:sz w:val="20"/>
          <w:szCs w:val="20"/>
        </w:rPr>
        <w:t>Mofatteh</w:t>
      </w:r>
      <w:proofErr w:type="spellEnd"/>
      <w:r>
        <w:rPr>
          <w:rFonts w:ascii="Arial" w:eastAsia="Arial" w:hAnsi="Arial" w:cs="Arial"/>
          <w:sz w:val="20"/>
          <w:szCs w:val="20"/>
        </w:rPr>
        <w:t xml:space="preserve"> M. (2020). Risk factors associated with stress, anxiety, and depression among university undergraduate students. </w:t>
      </w:r>
      <w:r>
        <w:rPr>
          <w:rFonts w:ascii="Arial" w:eastAsia="Arial" w:hAnsi="Arial" w:cs="Arial"/>
          <w:i/>
          <w:iCs/>
          <w:sz w:val="20"/>
          <w:szCs w:val="20"/>
        </w:rPr>
        <w:t>AIMS public health</w:t>
      </w:r>
      <w:r>
        <w:rPr>
          <w:rFonts w:ascii="Arial" w:eastAsia="Arial" w:hAnsi="Arial" w:cs="Arial"/>
          <w:sz w:val="20"/>
          <w:szCs w:val="20"/>
        </w:rPr>
        <w:t>, </w:t>
      </w:r>
      <w:r>
        <w:rPr>
          <w:rFonts w:ascii="Arial" w:eastAsia="Arial" w:hAnsi="Arial" w:cs="Arial"/>
          <w:i/>
          <w:iCs/>
          <w:sz w:val="20"/>
          <w:szCs w:val="20"/>
        </w:rPr>
        <w:t>8</w:t>
      </w:r>
      <w:r>
        <w:rPr>
          <w:rFonts w:ascii="Arial" w:eastAsia="Arial" w:hAnsi="Arial" w:cs="Arial"/>
          <w:sz w:val="20"/>
          <w:szCs w:val="20"/>
        </w:rPr>
        <w:t xml:space="preserve">(1), 36–65. </w:t>
      </w:r>
      <w:hyperlink r:id="rId52">
        <w:r>
          <w:rPr>
            <w:rFonts w:ascii="Arial" w:eastAsia="Arial" w:hAnsi="Arial" w:cs="Arial"/>
            <w:color w:val="0563C1"/>
            <w:sz w:val="20"/>
            <w:szCs w:val="20"/>
            <w:u w:val="single"/>
          </w:rPr>
          <w:t>https://doi.org/10.3934/publichealth.2021004</w:t>
        </w:r>
      </w:hyperlink>
    </w:p>
    <w:p w14:paraId="77A263B3" w14:textId="77777777" w:rsidR="000E1A6B" w:rsidRDefault="00175F13">
      <w:pPr>
        <w:spacing w:line="276" w:lineRule="auto"/>
        <w:ind w:hanging="720"/>
        <w:jc w:val="both"/>
        <w:rPr>
          <w:rFonts w:ascii="Arial" w:eastAsia="Arial" w:hAnsi="Arial" w:cs="Arial"/>
          <w:sz w:val="20"/>
          <w:szCs w:val="20"/>
        </w:rPr>
      </w:pPr>
      <w:bookmarkStart w:id="28" w:name="_heading=h.86dieovhsuaz" w:colFirst="0" w:colLast="0"/>
      <w:bookmarkEnd w:id="28"/>
      <w:r>
        <w:rPr>
          <w:rFonts w:ascii="Arial" w:eastAsia="Arial" w:hAnsi="Arial" w:cs="Arial"/>
          <w:sz w:val="20"/>
          <w:szCs w:val="20"/>
        </w:rPr>
        <w:lastRenderedPageBreak/>
        <w:t xml:space="preserve">Nagar, R., Quirk, H. D., &amp; Anderson, P. L. (2023). User experiences of college students using mental health applications to improve self-care: Implications for improving engagement. </w:t>
      </w:r>
      <w:r>
        <w:rPr>
          <w:rFonts w:ascii="Arial" w:eastAsia="Arial" w:hAnsi="Arial" w:cs="Arial"/>
          <w:i/>
          <w:iCs/>
          <w:sz w:val="20"/>
          <w:szCs w:val="20"/>
        </w:rPr>
        <w:t>Internet Interventions</w:t>
      </w:r>
      <w:r>
        <w:rPr>
          <w:rFonts w:ascii="Arial" w:eastAsia="Arial" w:hAnsi="Arial" w:cs="Arial"/>
          <w:sz w:val="20"/>
          <w:szCs w:val="20"/>
        </w:rPr>
        <w:t xml:space="preserve">, </w:t>
      </w:r>
      <w:r>
        <w:rPr>
          <w:rFonts w:ascii="Arial" w:eastAsia="Arial" w:hAnsi="Arial" w:cs="Arial"/>
          <w:i/>
          <w:iCs/>
          <w:sz w:val="20"/>
          <w:szCs w:val="20"/>
        </w:rPr>
        <w:t>34</w:t>
      </w:r>
      <w:r>
        <w:rPr>
          <w:rFonts w:ascii="Arial" w:eastAsia="Arial" w:hAnsi="Arial" w:cs="Arial"/>
          <w:sz w:val="20"/>
          <w:szCs w:val="20"/>
        </w:rPr>
        <w:t xml:space="preserve">, 100676. </w:t>
      </w:r>
      <w:hyperlink r:id="rId53">
        <w:r>
          <w:rPr>
            <w:rFonts w:ascii="Arial" w:eastAsia="Arial" w:hAnsi="Arial" w:cs="Arial"/>
            <w:color w:val="0563C1"/>
            <w:sz w:val="20"/>
            <w:szCs w:val="20"/>
            <w:u w:val="single"/>
          </w:rPr>
          <w:t>https://doi.org/10.1016/j.invent.2023.100676</w:t>
        </w:r>
      </w:hyperlink>
    </w:p>
    <w:p w14:paraId="2BD7BADF" w14:textId="77777777" w:rsidR="000E1A6B" w:rsidRDefault="00175F13">
      <w:pPr>
        <w:spacing w:line="276" w:lineRule="auto"/>
        <w:ind w:hanging="720"/>
        <w:jc w:val="both"/>
        <w:rPr>
          <w:rFonts w:ascii="Arial" w:eastAsia="Arial" w:hAnsi="Arial" w:cs="Arial"/>
          <w:sz w:val="20"/>
          <w:szCs w:val="20"/>
        </w:rPr>
      </w:pPr>
      <w:bookmarkStart w:id="29" w:name="_heading=h.al16i1lapn1w" w:colFirst="0" w:colLast="0"/>
      <w:bookmarkEnd w:id="29"/>
      <w:r>
        <w:rPr>
          <w:rFonts w:ascii="Arial" w:eastAsia="Arial" w:hAnsi="Arial" w:cs="Arial"/>
          <w:sz w:val="20"/>
          <w:szCs w:val="20"/>
        </w:rPr>
        <w:t>Neagu, S. N., &amp; Vieriu, A. M. (2025). Digital and Psychological Well-Being Among Technical University Students: Exploring the Impact of Digital Engagement in Higher Education. </w:t>
      </w:r>
      <w:r>
        <w:rPr>
          <w:rFonts w:ascii="Arial" w:eastAsia="Arial" w:hAnsi="Arial" w:cs="Arial"/>
          <w:i/>
          <w:iCs/>
          <w:sz w:val="20"/>
          <w:szCs w:val="20"/>
        </w:rPr>
        <w:t>Education Sciences</w:t>
      </w:r>
      <w:r>
        <w:rPr>
          <w:rFonts w:ascii="Arial" w:eastAsia="Arial" w:hAnsi="Arial" w:cs="Arial"/>
          <w:sz w:val="20"/>
          <w:szCs w:val="20"/>
        </w:rPr>
        <w:t>, </w:t>
      </w:r>
      <w:r>
        <w:rPr>
          <w:rFonts w:ascii="Arial" w:eastAsia="Arial" w:hAnsi="Arial" w:cs="Arial"/>
          <w:i/>
          <w:iCs/>
          <w:sz w:val="20"/>
          <w:szCs w:val="20"/>
        </w:rPr>
        <w:t>15</w:t>
      </w:r>
      <w:r>
        <w:rPr>
          <w:rFonts w:ascii="Arial" w:eastAsia="Arial" w:hAnsi="Arial" w:cs="Arial"/>
          <w:sz w:val="20"/>
          <w:szCs w:val="20"/>
        </w:rPr>
        <w:t xml:space="preserve">(9), 1192. </w:t>
      </w:r>
      <w:hyperlink r:id="rId54">
        <w:r>
          <w:rPr>
            <w:rFonts w:ascii="Arial" w:eastAsia="Arial" w:hAnsi="Arial" w:cs="Arial"/>
            <w:color w:val="0563C1"/>
            <w:sz w:val="20"/>
            <w:szCs w:val="20"/>
            <w:u w:val="single"/>
          </w:rPr>
          <w:t>https://doi.org/10.3390/educsci15091192</w:t>
        </w:r>
      </w:hyperlink>
    </w:p>
    <w:p w14:paraId="0E28C5C5" w14:textId="77777777" w:rsidR="000E1A6B" w:rsidRDefault="00175F13">
      <w:pPr>
        <w:spacing w:line="276" w:lineRule="auto"/>
        <w:ind w:hanging="720"/>
        <w:jc w:val="both"/>
        <w:rPr>
          <w:rFonts w:ascii="Arial" w:eastAsia="Arial" w:hAnsi="Arial" w:cs="Arial"/>
          <w:sz w:val="20"/>
          <w:szCs w:val="20"/>
        </w:rPr>
      </w:pPr>
      <w:bookmarkStart w:id="30" w:name="_heading=h.6twh6u16xlam" w:colFirst="0" w:colLast="0"/>
      <w:bookmarkEnd w:id="30"/>
      <w:r>
        <w:rPr>
          <w:rFonts w:ascii="Arial" w:eastAsia="Arial" w:hAnsi="Arial" w:cs="Arial"/>
          <w:sz w:val="20"/>
          <w:szCs w:val="20"/>
        </w:rPr>
        <w:t xml:space="preserve">Nelson, D., </w:t>
      </w:r>
      <w:proofErr w:type="spellStart"/>
      <w:r>
        <w:rPr>
          <w:rFonts w:ascii="Arial" w:eastAsia="Arial" w:hAnsi="Arial" w:cs="Arial"/>
          <w:sz w:val="20"/>
          <w:szCs w:val="20"/>
        </w:rPr>
        <w:t>Inghels</w:t>
      </w:r>
      <w:proofErr w:type="spellEnd"/>
      <w:r>
        <w:rPr>
          <w:rFonts w:ascii="Arial" w:eastAsia="Arial" w:hAnsi="Arial" w:cs="Arial"/>
          <w:sz w:val="20"/>
          <w:szCs w:val="20"/>
        </w:rPr>
        <w:t xml:space="preserve">, M., Kenny, A., Skinner, S., </w:t>
      </w:r>
      <w:proofErr w:type="spellStart"/>
      <w:r>
        <w:rPr>
          <w:rFonts w:ascii="Arial" w:eastAsia="Arial" w:hAnsi="Arial" w:cs="Arial"/>
          <w:sz w:val="20"/>
          <w:szCs w:val="20"/>
        </w:rPr>
        <w:t>McCranor</w:t>
      </w:r>
      <w:proofErr w:type="spellEnd"/>
      <w:r>
        <w:rPr>
          <w:rFonts w:ascii="Arial" w:eastAsia="Arial" w:hAnsi="Arial" w:cs="Arial"/>
          <w:sz w:val="20"/>
          <w:szCs w:val="20"/>
        </w:rPr>
        <w:t xml:space="preserve">, T., Wyatt, S., </w:t>
      </w:r>
      <w:proofErr w:type="spellStart"/>
      <w:r>
        <w:rPr>
          <w:rFonts w:ascii="Arial" w:eastAsia="Arial" w:hAnsi="Arial" w:cs="Arial"/>
          <w:sz w:val="20"/>
          <w:szCs w:val="20"/>
        </w:rPr>
        <w:t>Phull</w:t>
      </w:r>
      <w:proofErr w:type="spellEnd"/>
      <w:r>
        <w:rPr>
          <w:rFonts w:ascii="Arial" w:eastAsia="Arial" w:hAnsi="Arial" w:cs="Arial"/>
          <w:sz w:val="20"/>
          <w:szCs w:val="20"/>
        </w:rPr>
        <w:t>, J., Nanyonjo, A., Yusuff, O., &amp; Gussy, M. (2023). Mental health professionals and telehealth in a rural setting: a cross sectional survey. </w:t>
      </w:r>
      <w:r>
        <w:rPr>
          <w:rFonts w:ascii="Arial" w:eastAsia="Arial" w:hAnsi="Arial" w:cs="Arial"/>
          <w:i/>
          <w:iCs/>
          <w:sz w:val="20"/>
          <w:szCs w:val="20"/>
        </w:rPr>
        <w:t>BMC health services research</w:t>
      </w:r>
      <w:r>
        <w:rPr>
          <w:rFonts w:ascii="Arial" w:eastAsia="Arial" w:hAnsi="Arial" w:cs="Arial"/>
          <w:sz w:val="20"/>
          <w:szCs w:val="20"/>
        </w:rPr>
        <w:t>, </w:t>
      </w:r>
      <w:r>
        <w:rPr>
          <w:rFonts w:ascii="Arial" w:eastAsia="Arial" w:hAnsi="Arial" w:cs="Arial"/>
          <w:i/>
          <w:iCs/>
          <w:sz w:val="20"/>
          <w:szCs w:val="20"/>
        </w:rPr>
        <w:t>23</w:t>
      </w:r>
      <w:r>
        <w:rPr>
          <w:rFonts w:ascii="Arial" w:eastAsia="Arial" w:hAnsi="Arial" w:cs="Arial"/>
          <w:sz w:val="20"/>
          <w:szCs w:val="20"/>
        </w:rPr>
        <w:t xml:space="preserve">(1), 200. </w:t>
      </w:r>
      <w:hyperlink r:id="rId55">
        <w:r>
          <w:rPr>
            <w:rFonts w:ascii="Arial" w:eastAsia="Arial" w:hAnsi="Arial" w:cs="Arial"/>
            <w:color w:val="0563C1"/>
            <w:sz w:val="20"/>
            <w:szCs w:val="20"/>
            <w:u w:val="single"/>
          </w:rPr>
          <w:t>https://doi.org/10.1186/s12913-023-09083-6</w:t>
        </w:r>
      </w:hyperlink>
    </w:p>
    <w:p w14:paraId="4D37D85A" w14:textId="77777777" w:rsidR="000E1A6B" w:rsidRDefault="00175F13">
      <w:pPr>
        <w:spacing w:line="276" w:lineRule="auto"/>
        <w:ind w:hanging="720"/>
        <w:jc w:val="both"/>
        <w:rPr>
          <w:rFonts w:ascii="Arial" w:eastAsia="Arial" w:hAnsi="Arial" w:cs="Arial"/>
          <w:sz w:val="20"/>
          <w:szCs w:val="20"/>
        </w:rPr>
      </w:pPr>
      <w:bookmarkStart w:id="31" w:name="_heading=h.1yvg91lpruka" w:colFirst="0" w:colLast="0"/>
      <w:bookmarkEnd w:id="31"/>
      <w:proofErr w:type="spellStart"/>
      <w:r>
        <w:rPr>
          <w:rFonts w:ascii="Arial" w:eastAsia="Arial" w:hAnsi="Arial" w:cs="Arial"/>
          <w:sz w:val="20"/>
          <w:szCs w:val="20"/>
        </w:rPr>
        <w:t>Nosè</w:t>
      </w:r>
      <w:proofErr w:type="spellEnd"/>
      <w:r>
        <w:rPr>
          <w:rFonts w:ascii="Arial" w:eastAsia="Arial" w:hAnsi="Arial" w:cs="Arial"/>
          <w:sz w:val="20"/>
          <w:szCs w:val="20"/>
        </w:rPr>
        <w:t xml:space="preserve">, M., </w:t>
      </w:r>
      <w:proofErr w:type="spellStart"/>
      <w:r>
        <w:rPr>
          <w:rFonts w:ascii="Arial" w:eastAsia="Arial" w:hAnsi="Arial" w:cs="Arial"/>
          <w:sz w:val="20"/>
          <w:szCs w:val="20"/>
        </w:rPr>
        <w:t>Ballette</w:t>
      </w:r>
      <w:proofErr w:type="spellEnd"/>
      <w:r>
        <w:rPr>
          <w:rFonts w:ascii="Arial" w:eastAsia="Arial" w:hAnsi="Arial" w:cs="Arial"/>
          <w:sz w:val="20"/>
          <w:szCs w:val="20"/>
        </w:rPr>
        <w:t xml:space="preserve">, F., Bighelli, I., Turrini, G., </w:t>
      </w:r>
      <w:proofErr w:type="spellStart"/>
      <w:r>
        <w:rPr>
          <w:rFonts w:ascii="Arial" w:eastAsia="Arial" w:hAnsi="Arial" w:cs="Arial"/>
          <w:sz w:val="20"/>
          <w:szCs w:val="20"/>
        </w:rPr>
        <w:t>Purgato</w:t>
      </w:r>
      <w:proofErr w:type="spellEnd"/>
      <w:r>
        <w:rPr>
          <w:rFonts w:ascii="Arial" w:eastAsia="Arial" w:hAnsi="Arial" w:cs="Arial"/>
          <w:sz w:val="20"/>
          <w:szCs w:val="20"/>
        </w:rPr>
        <w:t xml:space="preserve">, M., Tol, W., Priebe, S., &amp; </w:t>
      </w:r>
      <w:proofErr w:type="spellStart"/>
      <w:r>
        <w:rPr>
          <w:rFonts w:ascii="Arial" w:eastAsia="Arial" w:hAnsi="Arial" w:cs="Arial"/>
          <w:sz w:val="20"/>
          <w:szCs w:val="20"/>
        </w:rPr>
        <w:t>Barbui</w:t>
      </w:r>
      <w:proofErr w:type="spellEnd"/>
      <w:r>
        <w:rPr>
          <w:rFonts w:ascii="Arial" w:eastAsia="Arial" w:hAnsi="Arial" w:cs="Arial"/>
          <w:sz w:val="20"/>
          <w:szCs w:val="20"/>
        </w:rPr>
        <w:t>, C. (2017). Psychosocial interventions for post-traumatic stress disorder in refugees and asylum seekers resettled in high-income countries: Systematic review and meta-analysis. </w:t>
      </w:r>
      <w:proofErr w:type="spellStart"/>
      <w:r>
        <w:rPr>
          <w:rFonts w:ascii="Arial" w:eastAsia="Arial" w:hAnsi="Arial" w:cs="Arial"/>
          <w:i/>
          <w:iCs/>
          <w:sz w:val="20"/>
          <w:szCs w:val="20"/>
        </w:rPr>
        <w:t>PloS</w:t>
      </w:r>
      <w:proofErr w:type="spellEnd"/>
      <w:r>
        <w:rPr>
          <w:rFonts w:ascii="Arial" w:eastAsia="Arial" w:hAnsi="Arial" w:cs="Arial"/>
          <w:i/>
          <w:iCs/>
          <w:sz w:val="20"/>
          <w:szCs w:val="20"/>
        </w:rPr>
        <w:t xml:space="preserve"> one</w:t>
      </w:r>
      <w:r>
        <w:rPr>
          <w:rFonts w:ascii="Arial" w:eastAsia="Arial" w:hAnsi="Arial" w:cs="Arial"/>
          <w:sz w:val="20"/>
          <w:szCs w:val="20"/>
        </w:rPr>
        <w:t>, </w:t>
      </w:r>
      <w:r>
        <w:rPr>
          <w:rFonts w:ascii="Arial" w:eastAsia="Arial" w:hAnsi="Arial" w:cs="Arial"/>
          <w:i/>
          <w:iCs/>
          <w:sz w:val="20"/>
          <w:szCs w:val="20"/>
        </w:rPr>
        <w:t>12</w:t>
      </w:r>
      <w:r>
        <w:rPr>
          <w:rFonts w:ascii="Arial" w:eastAsia="Arial" w:hAnsi="Arial" w:cs="Arial"/>
          <w:sz w:val="20"/>
          <w:szCs w:val="20"/>
        </w:rPr>
        <w:t xml:space="preserve">(2), e0171030. </w:t>
      </w:r>
      <w:hyperlink r:id="rId56">
        <w:r>
          <w:rPr>
            <w:rFonts w:ascii="Arial" w:eastAsia="Arial" w:hAnsi="Arial" w:cs="Arial"/>
            <w:color w:val="0563C1"/>
            <w:sz w:val="20"/>
            <w:szCs w:val="20"/>
            <w:u w:val="single"/>
          </w:rPr>
          <w:t>https://doi.org/10.1371/journal.pone.0171030</w:t>
        </w:r>
      </w:hyperlink>
    </w:p>
    <w:p w14:paraId="7273E0F7" w14:textId="77777777" w:rsidR="000E1A6B" w:rsidRDefault="00175F13">
      <w:pPr>
        <w:spacing w:line="276" w:lineRule="auto"/>
        <w:ind w:hanging="720"/>
        <w:jc w:val="both"/>
        <w:rPr>
          <w:rFonts w:ascii="Arial" w:eastAsia="Arial" w:hAnsi="Arial" w:cs="Arial"/>
          <w:sz w:val="20"/>
          <w:szCs w:val="20"/>
        </w:rPr>
      </w:pPr>
      <w:proofErr w:type="spellStart"/>
      <w:r>
        <w:rPr>
          <w:rFonts w:ascii="Arial" w:eastAsia="Arial" w:hAnsi="Arial" w:cs="Arial"/>
          <w:sz w:val="20"/>
          <w:szCs w:val="20"/>
        </w:rPr>
        <w:t>Nosè</w:t>
      </w:r>
      <w:proofErr w:type="spellEnd"/>
      <w:r>
        <w:rPr>
          <w:rFonts w:ascii="Arial" w:eastAsia="Arial" w:hAnsi="Arial" w:cs="Arial"/>
          <w:sz w:val="20"/>
          <w:szCs w:val="20"/>
        </w:rPr>
        <w:t xml:space="preserve">, M., </w:t>
      </w:r>
      <w:proofErr w:type="spellStart"/>
      <w:r>
        <w:rPr>
          <w:rFonts w:ascii="Arial" w:eastAsia="Arial" w:hAnsi="Arial" w:cs="Arial"/>
          <w:sz w:val="20"/>
          <w:szCs w:val="20"/>
        </w:rPr>
        <w:t>Muriago</w:t>
      </w:r>
      <w:proofErr w:type="spellEnd"/>
      <w:r>
        <w:rPr>
          <w:rFonts w:ascii="Arial" w:eastAsia="Arial" w:hAnsi="Arial" w:cs="Arial"/>
          <w:sz w:val="20"/>
          <w:szCs w:val="20"/>
        </w:rPr>
        <w:t xml:space="preserve">, G., Turrini, G., Tedeschi, F., Forlani, O., Sartori, R., Badino, M., &amp; </w:t>
      </w:r>
      <w:proofErr w:type="spellStart"/>
      <w:r>
        <w:rPr>
          <w:rFonts w:ascii="Arial" w:eastAsia="Arial" w:hAnsi="Arial" w:cs="Arial"/>
          <w:sz w:val="20"/>
          <w:szCs w:val="20"/>
        </w:rPr>
        <w:t>Barbui</w:t>
      </w:r>
      <w:proofErr w:type="spellEnd"/>
      <w:r>
        <w:rPr>
          <w:rFonts w:ascii="Arial" w:eastAsia="Arial" w:hAnsi="Arial" w:cs="Arial"/>
          <w:sz w:val="20"/>
          <w:szCs w:val="20"/>
        </w:rPr>
        <w:t xml:space="preserve">, C. (2025). Effectiveness of a self-guided digital intervention for mental health and psychological well-being in university students: Pre- and postintervention study. </w:t>
      </w:r>
      <w:r>
        <w:rPr>
          <w:rFonts w:ascii="Arial" w:eastAsia="Arial" w:hAnsi="Arial" w:cs="Arial"/>
          <w:i/>
          <w:iCs/>
          <w:sz w:val="20"/>
          <w:szCs w:val="20"/>
        </w:rPr>
        <w:t>Journal of Medical Internet Research, 27</w:t>
      </w:r>
      <w:r>
        <w:rPr>
          <w:rFonts w:ascii="Arial" w:eastAsia="Arial" w:hAnsi="Arial" w:cs="Arial"/>
          <w:sz w:val="20"/>
          <w:szCs w:val="20"/>
        </w:rPr>
        <w:t xml:space="preserve">, e69031. </w:t>
      </w:r>
      <w:hyperlink r:id="rId57">
        <w:r>
          <w:rPr>
            <w:rFonts w:ascii="Arial" w:eastAsia="Arial" w:hAnsi="Arial" w:cs="Arial"/>
            <w:color w:val="0563C1"/>
            <w:sz w:val="20"/>
            <w:szCs w:val="20"/>
            <w:u w:val="single"/>
          </w:rPr>
          <w:t>https://doi.org/10.2196/69031</w:t>
        </w:r>
      </w:hyperlink>
    </w:p>
    <w:p w14:paraId="628A4FA0" w14:textId="77777777" w:rsidR="000E1A6B" w:rsidRDefault="00175F13">
      <w:pPr>
        <w:spacing w:line="276" w:lineRule="auto"/>
        <w:ind w:hanging="720"/>
        <w:jc w:val="both"/>
        <w:rPr>
          <w:rFonts w:ascii="Arial" w:eastAsia="Arial" w:hAnsi="Arial" w:cs="Arial"/>
          <w:sz w:val="20"/>
          <w:szCs w:val="20"/>
        </w:rPr>
      </w:pPr>
      <w:r>
        <w:rPr>
          <w:rFonts w:ascii="Arial" w:eastAsia="Arial" w:hAnsi="Arial" w:cs="Arial"/>
          <w:sz w:val="20"/>
          <w:szCs w:val="20"/>
        </w:rPr>
        <w:t xml:space="preserve">Page, M. J., McKenzie, J. E., Bossuyt, P. M., </w:t>
      </w:r>
      <w:proofErr w:type="spellStart"/>
      <w:r>
        <w:rPr>
          <w:rFonts w:ascii="Arial" w:eastAsia="Arial" w:hAnsi="Arial" w:cs="Arial"/>
          <w:sz w:val="20"/>
          <w:szCs w:val="20"/>
        </w:rPr>
        <w:t>Boutron</w:t>
      </w:r>
      <w:proofErr w:type="spellEnd"/>
      <w:r>
        <w:rPr>
          <w:rFonts w:ascii="Arial" w:eastAsia="Arial" w:hAnsi="Arial" w:cs="Arial"/>
          <w:sz w:val="20"/>
          <w:szCs w:val="20"/>
        </w:rPr>
        <w:t xml:space="preserve">, I., Hoffmann, T. C., Mulrow, C. D., </w:t>
      </w:r>
      <w:proofErr w:type="spellStart"/>
      <w:r>
        <w:rPr>
          <w:rFonts w:ascii="Arial" w:eastAsia="Arial" w:hAnsi="Arial" w:cs="Arial"/>
          <w:sz w:val="20"/>
          <w:szCs w:val="20"/>
        </w:rPr>
        <w:t>Shamseer</w:t>
      </w:r>
      <w:proofErr w:type="spellEnd"/>
      <w:r>
        <w:rPr>
          <w:rFonts w:ascii="Arial" w:eastAsia="Arial" w:hAnsi="Arial" w:cs="Arial"/>
          <w:sz w:val="20"/>
          <w:szCs w:val="20"/>
        </w:rPr>
        <w:t xml:space="preserve">, L., Tetzlaff, J. M., Akl, E. A., Brennan, S. E., Chou, R., Glanville, J., Grimshaw, J. M., Hróbjartsson, A., Lalu, M. M., Li, T., Loder, E. W., Mayo-Wilson, E., McDonald, S., . . . Moher, D. (2021). The PRISMA 2020 statement: an updated guideline for reporting systematic reviews. </w:t>
      </w:r>
      <w:r>
        <w:rPr>
          <w:rFonts w:ascii="Arial" w:eastAsia="Arial" w:hAnsi="Arial" w:cs="Arial"/>
          <w:i/>
          <w:iCs/>
          <w:sz w:val="20"/>
          <w:szCs w:val="20"/>
        </w:rPr>
        <w:t>Systematic Reviews</w:t>
      </w:r>
      <w:r>
        <w:rPr>
          <w:rFonts w:ascii="Arial" w:eastAsia="Arial" w:hAnsi="Arial" w:cs="Arial"/>
          <w:sz w:val="20"/>
          <w:szCs w:val="20"/>
        </w:rPr>
        <w:t xml:space="preserve">, </w:t>
      </w:r>
      <w:r>
        <w:rPr>
          <w:rFonts w:ascii="Arial" w:eastAsia="Arial" w:hAnsi="Arial" w:cs="Arial"/>
          <w:i/>
          <w:iCs/>
          <w:sz w:val="20"/>
          <w:szCs w:val="20"/>
        </w:rPr>
        <w:t>10</w:t>
      </w:r>
      <w:r>
        <w:rPr>
          <w:rFonts w:ascii="Arial" w:eastAsia="Arial" w:hAnsi="Arial" w:cs="Arial"/>
          <w:sz w:val="20"/>
          <w:szCs w:val="20"/>
        </w:rPr>
        <w:t xml:space="preserve">(1), 89. </w:t>
      </w:r>
      <w:hyperlink r:id="rId58">
        <w:r>
          <w:rPr>
            <w:rFonts w:ascii="Arial" w:eastAsia="Arial" w:hAnsi="Arial" w:cs="Arial"/>
            <w:color w:val="0563C1"/>
            <w:sz w:val="20"/>
            <w:szCs w:val="20"/>
            <w:u w:val="single"/>
          </w:rPr>
          <w:t>https://doi.org/10.1186/s13643-021-01626-4</w:t>
        </w:r>
      </w:hyperlink>
    </w:p>
    <w:p w14:paraId="6F1D9C8A" w14:textId="77777777" w:rsidR="000E1A6B" w:rsidRDefault="00175F13">
      <w:pPr>
        <w:spacing w:line="276" w:lineRule="auto"/>
        <w:ind w:hanging="720"/>
        <w:jc w:val="both"/>
        <w:rPr>
          <w:rFonts w:ascii="Arial" w:eastAsia="Arial" w:hAnsi="Arial" w:cs="Arial"/>
          <w:sz w:val="20"/>
          <w:szCs w:val="20"/>
        </w:rPr>
      </w:pPr>
      <w:bookmarkStart w:id="32" w:name="_heading=h.mvq4kn58ck86" w:colFirst="0" w:colLast="0"/>
      <w:bookmarkEnd w:id="32"/>
      <w:r>
        <w:rPr>
          <w:rFonts w:ascii="Arial" w:eastAsia="Arial" w:hAnsi="Arial" w:cs="Arial"/>
          <w:sz w:val="20"/>
          <w:szCs w:val="20"/>
        </w:rPr>
        <w:t xml:space="preserve">Poe, L. F., Brooks, N. G., </w:t>
      </w:r>
      <w:proofErr w:type="spellStart"/>
      <w:r>
        <w:rPr>
          <w:rFonts w:ascii="Arial" w:eastAsia="Arial" w:hAnsi="Arial" w:cs="Arial"/>
          <w:sz w:val="20"/>
          <w:szCs w:val="20"/>
        </w:rPr>
        <w:t>Korzaan</w:t>
      </w:r>
      <w:proofErr w:type="spellEnd"/>
      <w:r>
        <w:rPr>
          <w:rFonts w:ascii="Arial" w:eastAsia="Arial" w:hAnsi="Arial" w:cs="Arial"/>
          <w:sz w:val="20"/>
          <w:szCs w:val="20"/>
        </w:rPr>
        <w:t xml:space="preserve">, M., &amp; Woods, D. M. (2021). Promoting positive student outcomes: The use of reflection and planning activities with a growth-mindset focus and SMART goals. </w:t>
      </w:r>
      <w:r>
        <w:rPr>
          <w:rFonts w:ascii="Arial" w:eastAsia="Arial" w:hAnsi="Arial" w:cs="Arial"/>
          <w:i/>
          <w:iCs/>
          <w:sz w:val="20"/>
          <w:szCs w:val="20"/>
        </w:rPr>
        <w:t>Information Systems Education Journal, 19</w:t>
      </w:r>
      <w:r>
        <w:rPr>
          <w:rFonts w:ascii="Arial" w:eastAsia="Arial" w:hAnsi="Arial" w:cs="Arial"/>
          <w:sz w:val="20"/>
          <w:szCs w:val="20"/>
        </w:rPr>
        <w:t>(4), 13.</w:t>
      </w:r>
    </w:p>
    <w:p w14:paraId="5E0B5E28" w14:textId="77777777" w:rsidR="000E1A6B" w:rsidRDefault="00175F13">
      <w:pPr>
        <w:spacing w:line="276" w:lineRule="auto"/>
        <w:ind w:hanging="720"/>
        <w:jc w:val="both"/>
        <w:rPr>
          <w:rFonts w:ascii="Arial" w:eastAsia="Arial" w:hAnsi="Arial" w:cs="Arial"/>
          <w:sz w:val="20"/>
          <w:szCs w:val="20"/>
        </w:rPr>
      </w:pPr>
      <w:r>
        <w:rPr>
          <w:rFonts w:ascii="Arial" w:eastAsia="Arial" w:hAnsi="Arial" w:cs="Arial"/>
          <w:sz w:val="20"/>
          <w:szCs w:val="20"/>
        </w:rPr>
        <w:t xml:space="preserve">Prakash, R. S. (2021). Mindfulness Meditation: Impact on attentional control and emotion Dysregulation. </w:t>
      </w:r>
      <w:r>
        <w:rPr>
          <w:rFonts w:ascii="Arial" w:eastAsia="Arial" w:hAnsi="Arial" w:cs="Arial"/>
          <w:i/>
          <w:iCs/>
          <w:sz w:val="20"/>
          <w:szCs w:val="20"/>
        </w:rPr>
        <w:t>pmc.ncbi.nlm.nih.gov</w:t>
      </w:r>
      <w:r>
        <w:rPr>
          <w:rFonts w:ascii="Arial" w:eastAsia="Arial" w:hAnsi="Arial" w:cs="Arial"/>
          <w:sz w:val="20"/>
          <w:szCs w:val="20"/>
        </w:rPr>
        <w:t xml:space="preserve">. </w:t>
      </w:r>
      <w:hyperlink r:id="rId59">
        <w:r>
          <w:rPr>
            <w:rFonts w:ascii="Arial" w:eastAsia="Arial" w:hAnsi="Arial" w:cs="Arial"/>
            <w:color w:val="0563C1"/>
            <w:sz w:val="20"/>
            <w:szCs w:val="20"/>
            <w:u w:val="single"/>
          </w:rPr>
          <w:t>https://doi.org/10.1093/arclin/acab053</w:t>
        </w:r>
      </w:hyperlink>
    </w:p>
    <w:p w14:paraId="75280077" w14:textId="77777777" w:rsidR="000E1A6B" w:rsidRDefault="00175F13">
      <w:pPr>
        <w:spacing w:line="276" w:lineRule="auto"/>
        <w:ind w:hanging="720"/>
        <w:jc w:val="both"/>
        <w:rPr>
          <w:rFonts w:ascii="Arial" w:eastAsia="Arial" w:hAnsi="Arial" w:cs="Arial"/>
          <w:sz w:val="20"/>
          <w:szCs w:val="20"/>
        </w:rPr>
      </w:pPr>
      <w:r>
        <w:rPr>
          <w:rFonts w:ascii="Arial" w:eastAsia="Arial" w:hAnsi="Arial" w:cs="Arial"/>
          <w:sz w:val="20"/>
          <w:szCs w:val="20"/>
        </w:rPr>
        <w:t xml:space="preserve">Rafiq, S., Iqbal, S., &amp; Afzal, A. (2024). The impact of digital tools and online learning platforms on higher education learning outcomes. </w:t>
      </w:r>
      <w:r>
        <w:rPr>
          <w:rFonts w:ascii="Arial" w:eastAsia="Arial" w:hAnsi="Arial" w:cs="Arial"/>
          <w:i/>
          <w:iCs/>
          <w:sz w:val="20"/>
          <w:szCs w:val="20"/>
        </w:rPr>
        <w:t>Al-Mahdi Research Journal, 5</w:t>
      </w:r>
      <w:r>
        <w:rPr>
          <w:rFonts w:ascii="Arial" w:eastAsia="Arial" w:hAnsi="Arial" w:cs="Arial"/>
          <w:sz w:val="20"/>
          <w:szCs w:val="20"/>
        </w:rPr>
        <w:t xml:space="preserve">(4), 359–370. </w:t>
      </w:r>
      <w:hyperlink r:id="rId60">
        <w:r>
          <w:rPr>
            <w:rFonts w:ascii="Arial" w:eastAsia="Arial" w:hAnsi="Arial" w:cs="Arial"/>
            <w:color w:val="0563C1"/>
            <w:sz w:val="20"/>
            <w:szCs w:val="20"/>
            <w:u w:val="single"/>
          </w:rPr>
          <w:t>https://ojs.mrj.com.pk/index.php/MRJ/issue/view/14</w:t>
        </w:r>
      </w:hyperlink>
    </w:p>
    <w:p w14:paraId="1AA6D091" w14:textId="77777777" w:rsidR="000E1A6B" w:rsidRDefault="00175F13">
      <w:pPr>
        <w:spacing w:line="276" w:lineRule="auto"/>
        <w:ind w:hanging="720"/>
        <w:jc w:val="both"/>
        <w:rPr>
          <w:rFonts w:ascii="Arial" w:eastAsia="Arial" w:hAnsi="Arial" w:cs="Arial"/>
          <w:sz w:val="20"/>
          <w:szCs w:val="20"/>
        </w:rPr>
      </w:pPr>
      <w:r>
        <w:rPr>
          <w:rFonts w:ascii="Arial" w:eastAsia="Arial" w:hAnsi="Arial" w:cs="Arial"/>
          <w:sz w:val="20"/>
          <w:szCs w:val="20"/>
        </w:rPr>
        <w:t xml:space="preserve">Ramos-Monsivais, C. L., Rodríguez-Cano, S., Lema-Moreira, E., &amp; Delgado-Benito, V. (2024). Relationship between mental health and students’ academic performance through a literature review. </w:t>
      </w:r>
      <w:r>
        <w:rPr>
          <w:rFonts w:ascii="Arial" w:eastAsia="Arial" w:hAnsi="Arial" w:cs="Arial"/>
          <w:i/>
          <w:iCs/>
          <w:sz w:val="20"/>
          <w:szCs w:val="20"/>
        </w:rPr>
        <w:t>Discover Psychology</w:t>
      </w:r>
      <w:r>
        <w:rPr>
          <w:rFonts w:ascii="Arial" w:eastAsia="Arial" w:hAnsi="Arial" w:cs="Arial"/>
          <w:sz w:val="20"/>
          <w:szCs w:val="20"/>
        </w:rPr>
        <w:t xml:space="preserve">, </w:t>
      </w:r>
      <w:r>
        <w:rPr>
          <w:rFonts w:ascii="Arial" w:eastAsia="Arial" w:hAnsi="Arial" w:cs="Arial"/>
          <w:i/>
          <w:iCs/>
          <w:sz w:val="20"/>
          <w:szCs w:val="20"/>
        </w:rPr>
        <w:t>4</w:t>
      </w:r>
      <w:r>
        <w:rPr>
          <w:rFonts w:ascii="Arial" w:eastAsia="Arial" w:hAnsi="Arial" w:cs="Arial"/>
          <w:sz w:val="20"/>
          <w:szCs w:val="20"/>
        </w:rPr>
        <w:t xml:space="preserve">(1). </w:t>
      </w:r>
      <w:hyperlink r:id="rId61">
        <w:r>
          <w:rPr>
            <w:rFonts w:ascii="Arial" w:eastAsia="Arial" w:hAnsi="Arial" w:cs="Arial"/>
            <w:color w:val="0563C1"/>
            <w:sz w:val="20"/>
            <w:szCs w:val="20"/>
            <w:u w:val="single"/>
          </w:rPr>
          <w:t>https://doi.org/10.1007/s44202-024-00240-4</w:t>
        </w:r>
      </w:hyperlink>
    </w:p>
    <w:p w14:paraId="0C9BFD8E" w14:textId="77777777" w:rsidR="000E1A6B" w:rsidRDefault="00175F13">
      <w:pPr>
        <w:spacing w:line="276" w:lineRule="auto"/>
        <w:ind w:hanging="720"/>
        <w:jc w:val="both"/>
        <w:rPr>
          <w:rFonts w:ascii="Arial" w:eastAsia="Arial" w:hAnsi="Arial" w:cs="Arial"/>
          <w:sz w:val="20"/>
          <w:szCs w:val="20"/>
        </w:rPr>
      </w:pPr>
      <w:r>
        <w:rPr>
          <w:rFonts w:ascii="Arial" w:eastAsia="Arial" w:hAnsi="Arial" w:cs="Arial"/>
          <w:sz w:val="20"/>
          <w:szCs w:val="20"/>
        </w:rPr>
        <w:t xml:space="preserve">Rashid, F., Zareen, N., Alvi, T., &amp; Siddiqui, H. R. (2025). Effectiveness of digital interventions on mental health and psychological well-being of college and university students. </w:t>
      </w:r>
      <w:r>
        <w:rPr>
          <w:rFonts w:ascii="Arial" w:eastAsia="Arial" w:hAnsi="Arial" w:cs="Arial"/>
          <w:i/>
          <w:iCs/>
          <w:sz w:val="20"/>
          <w:szCs w:val="20"/>
        </w:rPr>
        <w:t>Pak J Med Sci, 41</w:t>
      </w:r>
      <w:r>
        <w:rPr>
          <w:rFonts w:ascii="Arial" w:eastAsia="Arial" w:hAnsi="Arial" w:cs="Arial"/>
          <w:sz w:val="20"/>
          <w:szCs w:val="20"/>
        </w:rPr>
        <w:t xml:space="preserve">(9), 2667–2675. </w:t>
      </w:r>
      <w:hyperlink r:id="rId62">
        <w:r>
          <w:rPr>
            <w:rFonts w:ascii="Arial" w:eastAsia="Arial" w:hAnsi="Arial" w:cs="Arial"/>
            <w:color w:val="0563C1"/>
            <w:sz w:val="20"/>
            <w:szCs w:val="20"/>
            <w:u w:val="single"/>
          </w:rPr>
          <w:t>https://doi.org/10.12669/pjms.41.9.12009</w:t>
        </w:r>
      </w:hyperlink>
    </w:p>
    <w:p w14:paraId="575AF0E0" w14:textId="77777777" w:rsidR="000E1A6B" w:rsidRDefault="00175F13">
      <w:pPr>
        <w:spacing w:line="276" w:lineRule="auto"/>
        <w:ind w:hanging="720"/>
        <w:jc w:val="both"/>
        <w:rPr>
          <w:rFonts w:ascii="Arial" w:eastAsia="Arial" w:hAnsi="Arial" w:cs="Arial"/>
          <w:sz w:val="20"/>
          <w:szCs w:val="20"/>
        </w:rPr>
      </w:pPr>
      <w:r>
        <w:rPr>
          <w:rFonts w:ascii="Arial" w:eastAsia="Arial" w:hAnsi="Arial" w:cs="Arial"/>
          <w:sz w:val="20"/>
          <w:szCs w:val="20"/>
        </w:rPr>
        <w:t xml:space="preserve">Regmi, D., &amp; Cohen, H. L. (2025). Mindfulness and relaxation response: a strategy to mitigate burnout and enhance well-being in radiologists. </w:t>
      </w:r>
      <w:r>
        <w:rPr>
          <w:rFonts w:ascii="Arial" w:eastAsia="Arial" w:hAnsi="Arial" w:cs="Arial"/>
          <w:i/>
          <w:iCs/>
          <w:sz w:val="20"/>
          <w:szCs w:val="20"/>
        </w:rPr>
        <w:t>The Egyptian Journal of Radiology and Nuclear Medicine</w:t>
      </w:r>
      <w:r>
        <w:rPr>
          <w:rFonts w:ascii="Arial" w:eastAsia="Arial" w:hAnsi="Arial" w:cs="Arial"/>
          <w:sz w:val="20"/>
          <w:szCs w:val="20"/>
        </w:rPr>
        <w:t xml:space="preserve">, </w:t>
      </w:r>
      <w:r>
        <w:rPr>
          <w:rFonts w:ascii="Arial" w:eastAsia="Arial" w:hAnsi="Arial" w:cs="Arial"/>
          <w:i/>
          <w:iCs/>
          <w:sz w:val="20"/>
          <w:szCs w:val="20"/>
        </w:rPr>
        <w:t>56</w:t>
      </w:r>
      <w:r>
        <w:rPr>
          <w:rFonts w:ascii="Arial" w:eastAsia="Arial" w:hAnsi="Arial" w:cs="Arial"/>
          <w:sz w:val="20"/>
          <w:szCs w:val="20"/>
        </w:rPr>
        <w:t xml:space="preserve">(1). </w:t>
      </w:r>
      <w:hyperlink r:id="rId63">
        <w:r>
          <w:rPr>
            <w:rFonts w:ascii="Arial" w:eastAsia="Arial" w:hAnsi="Arial" w:cs="Arial"/>
            <w:color w:val="0563C1"/>
            <w:sz w:val="20"/>
            <w:szCs w:val="20"/>
            <w:u w:val="single"/>
          </w:rPr>
          <w:t>https://doi.org/10.1186/s43055-025-01571-5</w:t>
        </w:r>
      </w:hyperlink>
    </w:p>
    <w:p w14:paraId="56D7955E" w14:textId="77777777" w:rsidR="000E1A6B" w:rsidRDefault="00175F13">
      <w:pPr>
        <w:spacing w:line="276" w:lineRule="auto"/>
        <w:ind w:hanging="720"/>
        <w:jc w:val="both"/>
        <w:rPr>
          <w:rFonts w:ascii="Arial" w:eastAsia="Arial" w:hAnsi="Arial" w:cs="Arial"/>
          <w:sz w:val="20"/>
          <w:szCs w:val="20"/>
        </w:rPr>
      </w:pPr>
      <w:bookmarkStart w:id="33" w:name="_heading=h.cd7fjrtgidgn" w:colFirst="0" w:colLast="0"/>
      <w:bookmarkEnd w:id="33"/>
      <w:r>
        <w:rPr>
          <w:rFonts w:ascii="Arial" w:eastAsia="Arial" w:hAnsi="Arial" w:cs="Arial"/>
          <w:sz w:val="20"/>
          <w:szCs w:val="20"/>
        </w:rPr>
        <w:lastRenderedPageBreak/>
        <w:t xml:space="preserve">Rezai, A., Ahmadi, R., </w:t>
      </w:r>
      <w:proofErr w:type="spellStart"/>
      <w:r>
        <w:rPr>
          <w:rFonts w:ascii="Arial" w:eastAsia="Arial" w:hAnsi="Arial" w:cs="Arial"/>
          <w:sz w:val="20"/>
          <w:szCs w:val="20"/>
        </w:rPr>
        <w:t>Ashkani</w:t>
      </w:r>
      <w:proofErr w:type="spellEnd"/>
      <w:r>
        <w:rPr>
          <w:rFonts w:ascii="Arial" w:eastAsia="Arial" w:hAnsi="Arial" w:cs="Arial"/>
          <w:sz w:val="20"/>
          <w:szCs w:val="20"/>
        </w:rPr>
        <w:t xml:space="preserve">, P., &amp; Hosseini, G. H. (2025). Implementing active learning approach to promote motivation, reduce anxiety, and shape positive attitudes: A case study of EFL learners. </w:t>
      </w:r>
      <w:r>
        <w:rPr>
          <w:rFonts w:ascii="Arial" w:eastAsia="Arial" w:hAnsi="Arial" w:cs="Arial"/>
          <w:i/>
          <w:iCs/>
          <w:sz w:val="20"/>
          <w:szCs w:val="20"/>
        </w:rPr>
        <w:t xml:space="preserve">Acta </w:t>
      </w:r>
      <w:proofErr w:type="spellStart"/>
      <w:r>
        <w:rPr>
          <w:rFonts w:ascii="Arial" w:eastAsia="Arial" w:hAnsi="Arial" w:cs="Arial"/>
          <w:i/>
          <w:iCs/>
          <w:sz w:val="20"/>
          <w:szCs w:val="20"/>
        </w:rPr>
        <w:t>Psychologica</w:t>
      </w:r>
      <w:proofErr w:type="spellEnd"/>
      <w:r>
        <w:rPr>
          <w:rFonts w:ascii="Arial" w:eastAsia="Arial" w:hAnsi="Arial" w:cs="Arial"/>
          <w:sz w:val="20"/>
          <w:szCs w:val="20"/>
        </w:rPr>
        <w:t xml:space="preserve">, </w:t>
      </w:r>
      <w:r>
        <w:rPr>
          <w:rFonts w:ascii="Arial" w:eastAsia="Arial" w:hAnsi="Arial" w:cs="Arial"/>
          <w:i/>
          <w:iCs/>
          <w:sz w:val="20"/>
          <w:szCs w:val="20"/>
        </w:rPr>
        <w:t>253</w:t>
      </w:r>
      <w:r>
        <w:rPr>
          <w:rFonts w:ascii="Arial" w:eastAsia="Arial" w:hAnsi="Arial" w:cs="Arial"/>
          <w:sz w:val="20"/>
          <w:szCs w:val="20"/>
        </w:rPr>
        <w:t xml:space="preserve">, 104704. </w:t>
      </w:r>
      <w:hyperlink r:id="rId64">
        <w:r>
          <w:rPr>
            <w:rFonts w:ascii="Arial" w:eastAsia="Arial" w:hAnsi="Arial" w:cs="Arial"/>
            <w:color w:val="0563C1"/>
            <w:sz w:val="20"/>
            <w:szCs w:val="20"/>
            <w:u w:val="single"/>
          </w:rPr>
          <w:t>https://doi.org/10.1016/j.actpsy.2025.104704</w:t>
        </w:r>
      </w:hyperlink>
    </w:p>
    <w:p w14:paraId="278A28BE" w14:textId="77777777" w:rsidR="000E1A6B" w:rsidRDefault="00175F13">
      <w:pPr>
        <w:spacing w:line="276" w:lineRule="auto"/>
        <w:ind w:hanging="720"/>
        <w:jc w:val="both"/>
        <w:rPr>
          <w:rFonts w:ascii="Arial" w:eastAsia="Arial" w:hAnsi="Arial" w:cs="Arial"/>
          <w:sz w:val="20"/>
          <w:szCs w:val="20"/>
        </w:rPr>
      </w:pPr>
      <w:bookmarkStart w:id="34" w:name="_heading=h.a70lgu699a5y" w:colFirst="0" w:colLast="0"/>
      <w:bookmarkEnd w:id="34"/>
      <w:r>
        <w:rPr>
          <w:rFonts w:ascii="Arial" w:eastAsia="Arial" w:hAnsi="Arial" w:cs="Arial"/>
          <w:sz w:val="20"/>
          <w:szCs w:val="20"/>
        </w:rPr>
        <w:t xml:space="preserve">Riboldi, I., Calabrese, A., Piacenti, S., </w:t>
      </w:r>
      <w:proofErr w:type="spellStart"/>
      <w:r>
        <w:rPr>
          <w:rFonts w:ascii="Arial" w:eastAsia="Arial" w:hAnsi="Arial" w:cs="Arial"/>
          <w:sz w:val="20"/>
          <w:szCs w:val="20"/>
        </w:rPr>
        <w:t>Capogrosso</w:t>
      </w:r>
      <w:proofErr w:type="spellEnd"/>
      <w:r>
        <w:rPr>
          <w:rFonts w:ascii="Arial" w:eastAsia="Arial" w:hAnsi="Arial" w:cs="Arial"/>
          <w:sz w:val="20"/>
          <w:szCs w:val="20"/>
        </w:rPr>
        <w:t xml:space="preserve">, C. A., </w:t>
      </w:r>
      <w:proofErr w:type="spellStart"/>
      <w:r>
        <w:rPr>
          <w:rFonts w:ascii="Arial" w:eastAsia="Arial" w:hAnsi="Arial" w:cs="Arial"/>
          <w:sz w:val="20"/>
          <w:szCs w:val="20"/>
        </w:rPr>
        <w:t>Paioni</w:t>
      </w:r>
      <w:proofErr w:type="spellEnd"/>
      <w:r>
        <w:rPr>
          <w:rFonts w:ascii="Arial" w:eastAsia="Arial" w:hAnsi="Arial" w:cs="Arial"/>
          <w:sz w:val="20"/>
          <w:szCs w:val="20"/>
        </w:rPr>
        <w:t xml:space="preserve">, S. L., Bartoli, F., Carrà, G., Armes, J., Taylor, C., &amp; </w:t>
      </w:r>
      <w:proofErr w:type="spellStart"/>
      <w:r>
        <w:rPr>
          <w:rFonts w:ascii="Arial" w:eastAsia="Arial" w:hAnsi="Arial" w:cs="Arial"/>
          <w:sz w:val="20"/>
          <w:szCs w:val="20"/>
        </w:rPr>
        <w:t>Crocamo</w:t>
      </w:r>
      <w:proofErr w:type="spellEnd"/>
      <w:r>
        <w:rPr>
          <w:rFonts w:ascii="Arial" w:eastAsia="Arial" w:hAnsi="Arial" w:cs="Arial"/>
          <w:sz w:val="20"/>
          <w:szCs w:val="20"/>
        </w:rPr>
        <w:t>, C. (2024). Understanding University Students' Perspectives towards Digital Tools for Mental Health Support: A Cross-country Study. </w:t>
      </w:r>
      <w:r>
        <w:rPr>
          <w:rFonts w:ascii="Arial" w:eastAsia="Arial" w:hAnsi="Arial" w:cs="Arial"/>
          <w:i/>
          <w:iCs/>
          <w:sz w:val="20"/>
          <w:szCs w:val="20"/>
        </w:rPr>
        <w:t xml:space="preserve">Clinical practice and epidemiology in mental </w:t>
      </w:r>
      <w:proofErr w:type="gramStart"/>
      <w:r>
        <w:rPr>
          <w:rFonts w:ascii="Arial" w:eastAsia="Arial" w:hAnsi="Arial" w:cs="Arial"/>
          <w:i/>
          <w:iCs/>
          <w:sz w:val="20"/>
          <w:szCs w:val="20"/>
        </w:rPr>
        <w:t>health :</w:t>
      </w:r>
      <w:proofErr w:type="gramEnd"/>
      <w:r>
        <w:rPr>
          <w:rFonts w:ascii="Arial" w:eastAsia="Arial" w:hAnsi="Arial" w:cs="Arial"/>
          <w:i/>
          <w:iCs/>
          <w:sz w:val="20"/>
          <w:szCs w:val="20"/>
        </w:rPr>
        <w:t xml:space="preserve"> CP &amp; EMH</w:t>
      </w:r>
      <w:r>
        <w:rPr>
          <w:rFonts w:ascii="Arial" w:eastAsia="Arial" w:hAnsi="Arial" w:cs="Arial"/>
          <w:sz w:val="20"/>
          <w:szCs w:val="20"/>
        </w:rPr>
        <w:t>, </w:t>
      </w:r>
      <w:r>
        <w:rPr>
          <w:rFonts w:ascii="Arial" w:eastAsia="Arial" w:hAnsi="Arial" w:cs="Arial"/>
          <w:i/>
          <w:iCs/>
          <w:sz w:val="20"/>
          <w:szCs w:val="20"/>
        </w:rPr>
        <w:t>20</w:t>
      </w:r>
      <w:r>
        <w:rPr>
          <w:rFonts w:ascii="Arial" w:eastAsia="Arial" w:hAnsi="Arial" w:cs="Arial"/>
          <w:sz w:val="20"/>
          <w:szCs w:val="20"/>
        </w:rPr>
        <w:t xml:space="preserve">, e17450179271467. </w:t>
      </w:r>
      <w:hyperlink r:id="rId65">
        <w:r>
          <w:rPr>
            <w:rFonts w:ascii="Arial" w:eastAsia="Arial" w:hAnsi="Arial" w:cs="Arial"/>
            <w:color w:val="0563C1"/>
            <w:sz w:val="20"/>
            <w:szCs w:val="20"/>
            <w:u w:val="single"/>
          </w:rPr>
          <w:t>https://doi.org/10.2174/0117450179271467231231060255</w:t>
        </w:r>
      </w:hyperlink>
    </w:p>
    <w:p w14:paraId="7A49C295" w14:textId="77777777" w:rsidR="000E1A6B" w:rsidRDefault="00175F13">
      <w:pPr>
        <w:spacing w:line="276" w:lineRule="auto"/>
        <w:ind w:hanging="720"/>
        <w:jc w:val="both"/>
        <w:rPr>
          <w:rFonts w:ascii="Arial" w:eastAsia="Arial" w:hAnsi="Arial" w:cs="Arial"/>
          <w:sz w:val="20"/>
          <w:szCs w:val="20"/>
        </w:rPr>
      </w:pPr>
      <w:bookmarkStart w:id="35" w:name="_heading=h.esu3u35uwo5w" w:colFirst="0" w:colLast="0"/>
      <w:bookmarkEnd w:id="35"/>
      <w:r>
        <w:rPr>
          <w:rFonts w:ascii="Arial" w:eastAsia="Arial" w:hAnsi="Arial" w:cs="Arial"/>
          <w:sz w:val="20"/>
          <w:szCs w:val="20"/>
        </w:rPr>
        <w:t xml:space="preserve">Riboldi, I., Calabrese, A., Piacenti, S., </w:t>
      </w:r>
      <w:proofErr w:type="spellStart"/>
      <w:r>
        <w:rPr>
          <w:rFonts w:ascii="Arial" w:eastAsia="Arial" w:hAnsi="Arial" w:cs="Arial"/>
          <w:sz w:val="20"/>
          <w:szCs w:val="20"/>
        </w:rPr>
        <w:t>Capogrosso</w:t>
      </w:r>
      <w:proofErr w:type="spellEnd"/>
      <w:r>
        <w:rPr>
          <w:rFonts w:ascii="Arial" w:eastAsia="Arial" w:hAnsi="Arial" w:cs="Arial"/>
          <w:sz w:val="20"/>
          <w:szCs w:val="20"/>
        </w:rPr>
        <w:t xml:space="preserve">, C. A., </w:t>
      </w:r>
      <w:proofErr w:type="spellStart"/>
      <w:r>
        <w:rPr>
          <w:rFonts w:ascii="Arial" w:eastAsia="Arial" w:hAnsi="Arial" w:cs="Arial"/>
          <w:sz w:val="20"/>
          <w:szCs w:val="20"/>
        </w:rPr>
        <w:t>Paioni</w:t>
      </w:r>
      <w:proofErr w:type="spellEnd"/>
      <w:r>
        <w:rPr>
          <w:rFonts w:ascii="Arial" w:eastAsia="Arial" w:hAnsi="Arial" w:cs="Arial"/>
          <w:sz w:val="20"/>
          <w:szCs w:val="20"/>
        </w:rPr>
        <w:t xml:space="preserve">, S. L., Bartoli, F., Carrà, G., Armes, J., Taylor, C., &amp; </w:t>
      </w:r>
      <w:proofErr w:type="spellStart"/>
      <w:r>
        <w:rPr>
          <w:rFonts w:ascii="Arial" w:eastAsia="Arial" w:hAnsi="Arial" w:cs="Arial"/>
          <w:sz w:val="20"/>
          <w:szCs w:val="20"/>
        </w:rPr>
        <w:t>Crocamo</w:t>
      </w:r>
      <w:proofErr w:type="spellEnd"/>
      <w:r>
        <w:rPr>
          <w:rFonts w:ascii="Arial" w:eastAsia="Arial" w:hAnsi="Arial" w:cs="Arial"/>
          <w:sz w:val="20"/>
          <w:szCs w:val="20"/>
        </w:rPr>
        <w:t>, C. (2024). Understanding University Students' Perspectives towards Digital Tools for Mental Health Support: A Cross-country Study. </w:t>
      </w:r>
      <w:r>
        <w:rPr>
          <w:rFonts w:ascii="Arial" w:eastAsia="Arial" w:hAnsi="Arial" w:cs="Arial"/>
          <w:i/>
          <w:iCs/>
          <w:sz w:val="20"/>
          <w:szCs w:val="20"/>
        </w:rPr>
        <w:t xml:space="preserve">Clinical practice and epidemiology in mental </w:t>
      </w:r>
      <w:proofErr w:type="gramStart"/>
      <w:r>
        <w:rPr>
          <w:rFonts w:ascii="Arial" w:eastAsia="Arial" w:hAnsi="Arial" w:cs="Arial"/>
          <w:i/>
          <w:iCs/>
          <w:sz w:val="20"/>
          <w:szCs w:val="20"/>
        </w:rPr>
        <w:t>health :</w:t>
      </w:r>
      <w:proofErr w:type="gramEnd"/>
      <w:r>
        <w:rPr>
          <w:rFonts w:ascii="Arial" w:eastAsia="Arial" w:hAnsi="Arial" w:cs="Arial"/>
          <w:i/>
          <w:iCs/>
          <w:sz w:val="20"/>
          <w:szCs w:val="20"/>
        </w:rPr>
        <w:t xml:space="preserve"> CP &amp; EMH</w:t>
      </w:r>
      <w:r>
        <w:rPr>
          <w:rFonts w:ascii="Arial" w:eastAsia="Arial" w:hAnsi="Arial" w:cs="Arial"/>
          <w:sz w:val="20"/>
          <w:szCs w:val="20"/>
        </w:rPr>
        <w:t>, </w:t>
      </w:r>
      <w:r>
        <w:rPr>
          <w:rFonts w:ascii="Arial" w:eastAsia="Arial" w:hAnsi="Arial" w:cs="Arial"/>
          <w:i/>
          <w:iCs/>
          <w:sz w:val="20"/>
          <w:szCs w:val="20"/>
        </w:rPr>
        <w:t>20</w:t>
      </w:r>
      <w:r>
        <w:rPr>
          <w:rFonts w:ascii="Arial" w:eastAsia="Arial" w:hAnsi="Arial" w:cs="Arial"/>
          <w:sz w:val="20"/>
          <w:szCs w:val="20"/>
        </w:rPr>
        <w:t xml:space="preserve">, e17450179271467. </w:t>
      </w:r>
      <w:hyperlink r:id="rId66">
        <w:r>
          <w:rPr>
            <w:rFonts w:ascii="Arial" w:eastAsia="Arial" w:hAnsi="Arial" w:cs="Arial"/>
            <w:color w:val="0563C1"/>
            <w:sz w:val="20"/>
            <w:szCs w:val="20"/>
            <w:u w:val="single"/>
          </w:rPr>
          <w:t>https://doi.org/10.2174/0117450179271467231231060255</w:t>
        </w:r>
      </w:hyperlink>
    </w:p>
    <w:p w14:paraId="7ABACBDB" w14:textId="77777777" w:rsidR="000E1A6B" w:rsidRDefault="00175F13">
      <w:pPr>
        <w:spacing w:line="276" w:lineRule="auto"/>
        <w:ind w:hanging="720"/>
        <w:jc w:val="both"/>
        <w:rPr>
          <w:rFonts w:ascii="Arial" w:eastAsia="Arial" w:hAnsi="Arial" w:cs="Arial"/>
          <w:sz w:val="20"/>
          <w:szCs w:val="20"/>
        </w:rPr>
      </w:pPr>
      <w:bookmarkStart w:id="36" w:name="_heading=h.qcfcig4bc5dh" w:colFirst="0" w:colLast="0"/>
      <w:bookmarkEnd w:id="36"/>
      <w:r>
        <w:rPr>
          <w:rFonts w:ascii="Arial" w:eastAsia="Arial" w:hAnsi="Arial" w:cs="Arial"/>
          <w:sz w:val="20"/>
          <w:szCs w:val="20"/>
        </w:rPr>
        <w:t xml:space="preserve">Rožman, M., Vrečko, I., &amp; </w:t>
      </w:r>
      <w:proofErr w:type="spellStart"/>
      <w:r>
        <w:rPr>
          <w:rFonts w:ascii="Arial" w:eastAsia="Arial" w:hAnsi="Arial" w:cs="Arial"/>
          <w:sz w:val="20"/>
          <w:szCs w:val="20"/>
        </w:rPr>
        <w:t>Tominc</w:t>
      </w:r>
      <w:proofErr w:type="spellEnd"/>
      <w:r>
        <w:rPr>
          <w:rFonts w:ascii="Arial" w:eastAsia="Arial" w:hAnsi="Arial" w:cs="Arial"/>
          <w:sz w:val="20"/>
          <w:szCs w:val="20"/>
        </w:rPr>
        <w:t>, P. (2025). Psychological Factors Impacting Academic Performance Among Business Studies’ Students. </w:t>
      </w:r>
      <w:r>
        <w:rPr>
          <w:rFonts w:ascii="Arial" w:eastAsia="Arial" w:hAnsi="Arial" w:cs="Arial"/>
          <w:i/>
          <w:iCs/>
          <w:sz w:val="20"/>
          <w:szCs w:val="20"/>
        </w:rPr>
        <w:t>Education Sciences</w:t>
      </w:r>
      <w:r>
        <w:rPr>
          <w:rFonts w:ascii="Arial" w:eastAsia="Arial" w:hAnsi="Arial" w:cs="Arial"/>
          <w:sz w:val="20"/>
          <w:szCs w:val="20"/>
        </w:rPr>
        <w:t>, </w:t>
      </w:r>
      <w:r>
        <w:rPr>
          <w:rFonts w:ascii="Arial" w:eastAsia="Arial" w:hAnsi="Arial" w:cs="Arial"/>
          <w:i/>
          <w:iCs/>
          <w:sz w:val="20"/>
          <w:szCs w:val="20"/>
        </w:rPr>
        <w:t>15</w:t>
      </w:r>
      <w:r>
        <w:rPr>
          <w:rFonts w:ascii="Arial" w:eastAsia="Arial" w:hAnsi="Arial" w:cs="Arial"/>
          <w:sz w:val="20"/>
          <w:szCs w:val="20"/>
        </w:rPr>
        <w:t xml:space="preserve">(2), 121. </w:t>
      </w:r>
      <w:hyperlink r:id="rId67">
        <w:r>
          <w:rPr>
            <w:rFonts w:ascii="Arial" w:eastAsia="Arial" w:hAnsi="Arial" w:cs="Arial"/>
            <w:color w:val="0563C1"/>
            <w:sz w:val="20"/>
            <w:szCs w:val="20"/>
            <w:u w:val="single"/>
          </w:rPr>
          <w:t>https://doi.org/10.3390/educsci15020121</w:t>
        </w:r>
      </w:hyperlink>
    </w:p>
    <w:p w14:paraId="6B2B88F7" w14:textId="77777777" w:rsidR="000E1A6B" w:rsidRDefault="00175F13">
      <w:pPr>
        <w:spacing w:line="276" w:lineRule="auto"/>
        <w:ind w:hanging="720"/>
        <w:jc w:val="both"/>
        <w:rPr>
          <w:rFonts w:ascii="Arial" w:eastAsia="Arial" w:hAnsi="Arial" w:cs="Arial"/>
          <w:sz w:val="20"/>
          <w:szCs w:val="20"/>
        </w:rPr>
      </w:pPr>
      <w:r>
        <w:rPr>
          <w:rFonts w:ascii="Arial" w:eastAsia="Arial" w:hAnsi="Arial" w:cs="Arial"/>
          <w:sz w:val="20"/>
          <w:szCs w:val="20"/>
        </w:rPr>
        <w:t xml:space="preserve">Sarafraz, M. R., </w:t>
      </w:r>
      <w:proofErr w:type="spellStart"/>
      <w:r>
        <w:rPr>
          <w:rFonts w:ascii="Arial" w:eastAsia="Arial" w:hAnsi="Arial" w:cs="Arial"/>
          <w:sz w:val="20"/>
          <w:szCs w:val="20"/>
        </w:rPr>
        <w:t>Chavoshi</w:t>
      </w:r>
      <w:proofErr w:type="spellEnd"/>
      <w:r>
        <w:rPr>
          <w:rFonts w:ascii="Arial" w:eastAsia="Arial" w:hAnsi="Arial" w:cs="Arial"/>
          <w:sz w:val="20"/>
          <w:szCs w:val="20"/>
        </w:rPr>
        <w:t xml:space="preserve">, H., &amp; </w:t>
      </w:r>
      <w:proofErr w:type="spellStart"/>
      <w:r>
        <w:rPr>
          <w:rFonts w:ascii="Arial" w:eastAsia="Arial" w:hAnsi="Arial" w:cs="Arial"/>
          <w:sz w:val="20"/>
          <w:szCs w:val="20"/>
        </w:rPr>
        <w:t>Alinaghi</w:t>
      </w:r>
      <w:proofErr w:type="spellEnd"/>
      <w:r>
        <w:rPr>
          <w:rFonts w:ascii="Arial" w:eastAsia="Arial" w:hAnsi="Arial" w:cs="Arial"/>
          <w:sz w:val="20"/>
          <w:szCs w:val="20"/>
        </w:rPr>
        <w:t xml:space="preserve">, M. (2019). Social networks and students: Educational performance, psychological well-being, and mental health. </w:t>
      </w:r>
      <w:r>
        <w:rPr>
          <w:rFonts w:ascii="Arial" w:eastAsia="Arial" w:hAnsi="Arial" w:cs="Arial"/>
          <w:i/>
          <w:iCs/>
          <w:sz w:val="20"/>
          <w:szCs w:val="20"/>
        </w:rPr>
        <w:t>International Journal of School Health, 6</w:t>
      </w:r>
      <w:r>
        <w:rPr>
          <w:rFonts w:ascii="Arial" w:eastAsia="Arial" w:hAnsi="Arial" w:cs="Arial"/>
          <w:sz w:val="20"/>
          <w:szCs w:val="20"/>
        </w:rPr>
        <w:t xml:space="preserve">(3), e82609. </w:t>
      </w:r>
      <w:hyperlink r:id="rId68">
        <w:r>
          <w:rPr>
            <w:rFonts w:ascii="Arial" w:eastAsia="Arial" w:hAnsi="Arial" w:cs="Arial"/>
            <w:color w:val="0563C1"/>
            <w:sz w:val="20"/>
            <w:szCs w:val="20"/>
            <w:u w:val="single"/>
          </w:rPr>
          <w:t>https://doi.org/10.5812/intjsh.82609</w:t>
        </w:r>
      </w:hyperlink>
    </w:p>
    <w:p w14:paraId="0032680A" w14:textId="77777777" w:rsidR="000E1A6B" w:rsidRDefault="00175F13">
      <w:pPr>
        <w:spacing w:line="276" w:lineRule="auto"/>
        <w:ind w:hanging="720"/>
        <w:jc w:val="both"/>
        <w:rPr>
          <w:rFonts w:ascii="Arial" w:eastAsia="Arial" w:hAnsi="Arial" w:cs="Arial"/>
          <w:sz w:val="20"/>
          <w:szCs w:val="20"/>
        </w:rPr>
      </w:pPr>
      <w:r>
        <w:rPr>
          <w:rFonts w:ascii="Arial" w:eastAsia="Arial" w:hAnsi="Arial" w:cs="Arial"/>
          <w:sz w:val="20"/>
          <w:szCs w:val="20"/>
        </w:rPr>
        <w:t>Schippers, M. C., &amp; Ziegler, N. (2019). Life Crafting as a Way to Find Purpose and Meaning in Life. </w:t>
      </w:r>
      <w:r>
        <w:rPr>
          <w:rFonts w:ascii="Arial" w:eastAsia="Arial" w:hAnsi="Arial" w:cs="Arial"/>
          <w:i/>
          <w:iCs/>
          <w:sz w:val="20"/>
          <w:szCs w:val="20"/>
        </w:rPr>
        <w:t>Frontiers in psychology</w:t>
      </w:r>
      <w:r>
        <w:rPr>
          <w:rFonts w:ascii="Arial" w:eastAsia="Arial" w:hAnsi="Arial" w:cs="Arial"/>
          <w:sz w:val="20"/>
          <w:szCs w:val="20"/>
        </w:rPr>
        <w:t>, </w:t>
      </w:r>
      <w:r>
        <w:rPr>
          <w:rFonts w:ascii="Arial" w:eastAsia="Arial" w:hAnsi="Arial" w:cs="Arial"/>
          <w:i/>
          <w:iCs/>
          <w:sz w:val="20"/>
          <w:szCs w:val="20"/>
        </w:rPr>
        <w:t>10</w:t>
      </w:r>
      <w:r>
        <w:rPr>
          <w:rFonts w:ascii="Arial" w:eastAsia="Arial" w:hAnsi="Arial" w:cs="Arial"/>
          <w:sz w:val="20"/>
          <w:szCs w:val="20"/>
        </w:rPr>
        <w:t xml:space="preserve">, 2778. </w:t>
      </w:r>
      <w:hyperlink r:id="rId69">
        <w:r>
          <w:rPr>
            <w:rFonts w:ascii="Arial" w:eastAsia="Arial" w:hAnsi="Arial" w:cs="Arial"/>
            <w:color w:val="0563C1"/>
            <w:sz w:val="20"/>
            <w:szCs w:val="20"/>
            <w:u w:val="single"/>
          </w:rPr>
          <w:t>https://doi.org/10.3389/fpsyg.2019.02778</w:t>
        </w:r>
      </w:hyperlink>
    </w:p>
    <w:p w14:paraId="28CE084C" w14:textId="77777777" w:rsidR="000E1A6B" w:rsidRDefault="00175F13">
      <w:pPr>
        <w:spacing w:line="276" w:lineRule="auto"/>
        <w:ind w:hanging="720"/>
        <w:jc w:val="both"/>
        <w:rPr>
          <w:rFonts w:ascii="Arial" w:eastAsia="Arial" w:hAnsi="Arial" w:cs="Arial"/>
          <w:sz w:val="20"/>
          <w:szCs w:val="20"/>
        </w:rPr>
      </w:pPr>
      <w:bookmarkStart w:id="37" w:name="_heading=h.kma2z8sf62w6" w:colFirst="0" w:colLast="0"/>
      <w:bookmarkEnd w:id="37"/>
      <w:proofErr w:type="spellStart"/>
      <w:r>
        <w:rPr>
          <w:rFonts w:ascii="Arial" w:eastAsia="Arial" w:hAnsi="Arial" w:cs="Arial"/>
          <w:sz w:val="20"/>
          <w:szCs w:val="20"/>
        </w:rPr>
        <w:t>Sinval</w:t>
      </w:r>
      <w:proofErr w:type="spellEnd"/>
      <w:r>
        <w:rPr>
          <w:rFonts w:ascii="Arial" w:eastAsia="Arial" w:hAnsi="Arial" w:cs="Arial"/>
          <w:sz w:val="20"/>
          <w:szCs w:val="20"/>
        </w:rPr>
        <w:t xml:space="preserve">, J., Oliveira, P., Novais, F., Almeida, C. M., &amp; Telles-Correia, D. (2024). Exploring the impact of depression, anxiety, stress, academic engagement, and dropout intention on medical students’ academic performance: A prospective study. </w:t>
      </w:r>
      <w:r>
        <w:rPr>
          <w:rFonts w:ascii="Arial" w:eastAsia="Arial" w:hAnsi="Arial" w:cs="Arial"/>
          <w:i/>
          <w:iCs/>
          <w:sz w:val="20"/>
          <w:szCs w:val="20"/>
        </w:rPr>
        <w:t>Journal of Affective Disorders</w:t>
      </w:r>
      <w:r>
        <w:rPr>
          <w:rFonts w:ascii="Arial" w:eastAsia="Arial" w:hAnsi="Arial" w:cs="Arial"/>
          <w:sz w:val="20"/>
          <w:szCs w:val="20"/>
        </w:rPr>
        <w:t xml:space="preserve">, </w:t>
      </w:r>
      <w:r>
        <w:rPr>
          <w:rFonts w:ascii="Arial" w:eastAsia="Arial" w:hAnsi="Arial" w:cs="Arial"/>
          <w:i/>
          <w:iCs/>
          <w:sz w:val="20"/>
          <w:szCs w:val="20"/>
        </w:rPr>
        <w:t>368</w:t>
      </w:r>
      <w:r>
        <w:rPr>
          <w:rFonts w:ascii="Arial" w:eastAsia="Arial" w:hAnsi="Arial" w:cs="Arial"/>
          <w:sz w:val="20"/>
          <w:szCs w:val="20"/>
        </w:rPr>
        <w:t xml:space="preserve">, 665–673. </w:t>
      </w:r>
      <w:hyperlink r:id="rId70">
        <w:r>
          <w:rPr>
            <w:rFonts w:ascii="Arial" w:eastAsia="Arial" w:hAnsi="Arial" w:cs="Arial"/>
            <w:color w:val="0563C1"/>
            <w:sz w:val="20"/>
            <w:szCs w:val="20"/>
            <w:u w:val="single"/>
          </w:rPr>
          <w:t>https://doi.org/10.1016/j.jad.2024.09.116</w:t>
        </w:r>
      </w:hyperlink>
    </w:p>
    <w:p w14:paraId="03211C16" w14:textId="77777777" w:rsidR="000E1A6B" w:rsidRDefault="00175F13">
      <w:pPr>
        <w:spacing w:line="276" w:lineRule="auto"/>
        <w:ind w:hanging="720"/>
        <w:jc w:val="both"/>
        <w:rPr>
          <w:rFonts w:ascii="Arial" w:eastAsia="Arial" w:hAnsi="Arial" w:cs="Arial"/>
          <w:sz w:val="20"/>
          <w:szCs w:val="20"/>
        </w:rPr>
      </w:pPr>
      <w:r>
        <w:rPr>
          <w:rFonts w:ascii="Arial" w:eastAsia="Arial" w:hAnsi="Arial" w:cs="Arial"/>
          <w:sz w:val="20"/>
          <w:szCs w:val="20"/>
        </w:rPr>
        <w:t xml:space="preserve">Song, C., Xia, Y., Zhang, Z., &amp; Liu, R. (2024). Harnessing digital strategies to manage emotional health among students of Gen Z. </w:t>
      </w:r>
      <w:r>
        <w:rPr>
          <w:rFonts w:ascii="Arial" w:eastAsia="Arial" w:hAnsi="Arial" w:cs="Arial"/>
          <w:i/>
          <w:iCs/>
          <w:sz w:val="20"/>
          <w:szCs w:val="20"/>
        </w:rPr>
        <w:t>Metaverse, 5</w:t>
      </w:r>
      <w:r>
        <w:rPr>
          <w:rFonts w:ascii="Arial" w:eastAsia="Arial" w:hAnsi="Arial" w:cs="Arial"/>
          <w:sz w:val="20"/>
          <w:szCs w:val="20"/>
        </w:rPr>
        <w:t xml:space="preserve">(1), 2707. </w:t>
      </w:r>
      <w:hyperlink r:id="rId71">
        <w:r>
          <w:rPr>
            <w:rFonts w:ascii="Arial" w:eastAsia="Arial" w:hAnsi="Arial" w:cs="Arial"/>
            <w:color w:val="0563C1"/>
            <w:sz w:val="20"/>
            <w:szCs w:val="20"/>
            <w:u w:val="single"/>
          </w:rPr>
          <w:t>https://doi.org/10.54517/m.v5i1.2707</w:t>
        </w:r>
      </w:hyperlink>
    </w:p>
    <w:p w14:paraId="283F3D01" w14:textId="77777777" w:rsidR="000E1A6B" w:rsidRDefault="00175F13">
      <w:pPr>
        <w:spacing w:line="276" w:lineRule="auto"/>
        <w:ind w:hanging="720"/>
        <w:jc w:val="both"/>
        <w:rPr>
          <w:rFonts w:ascii="Arial" w:eastAsia="Arial" w:hAnsi="Arial" w:cs="Arial"/>
          <w:sz w:val="20"/>
          <w:szCs w:val="20"/>
        </w:rPr>
      </w:pPr>
      <w:bookmarkStart w:id="38" w:name="_heading=h.gwnv2a3c8uuj" w:colFirst="0" w:colLast="0"/>
      <w:bookmarkEnd w:id="38"/>
      <w:proofErr w:type="spellStart"/>
      <w:r>
        <w:rPr>
          <w:rFonts w:ascii="Arial" w:eastAsia="Arial" w:hAnsi="Arial" w:cs="Arial"/>
          <w:sz w:val="20"/>
          <w:szCs w:val="20"/>
        </w:rPr>
        <w:t>Spytska</w:t>
      </w:r>
      <w:proofErr w:type="spellEnd"/>
      <w:r>
        <w:rPr>
          <w:rFonts w:ascii="Arial" w:eastAsia="Arial" w:hAnsi="Arial" w:cs="Arial"/>
          <w:sz w:val="20"/>
          <w:szCs w:val="20"/>
        </w:rPr>
        <w:t xml:space="preserve"> L. (2025). The use of artificial intelligence in psychotherapy: development of intelligent therapeutic systems. </w:t>
      </w:r>
      <w:r>
        <w:rPr>
          <w:rFonts w:ascii="Arial" w:eastAsia="Arial" w:hAnsi="Arial" w:cs="Arial"/>
          <w:i/>
          <w:iCs/>
          <w:sz w:val="20"/>
          <w:szCs w:val="20"/>
        </w:rPr>
        <w:t>BMC psychology</w:t>
      </w:r>
      <w:r>
        <w:rPr>
          <w:rFonts w:ascii="Arial" w:eastAsia="Arial" w:hAnsi="Arial" w:cs="Arial"/>
          <w:sz w:val="20"/>
          <w:szCs w:val="20"/>
        </w:rPr>
        <w:t>, </w:t>
      </w:r>
      <w:r>
        <w:rPr>
          <w:rFonts w:ascii="Arial" w:eastAsia="Arial" w:hAnsi="Arial" w:cs="Arial"/>
          <w:i/>
          <w:iCs/>
          <w:sz w:val="20"/>
          <w:szCs w:val="20"/>
        </w:rPr>
        <w:t>13</w:t>
      </w:r>
      <w:r>
        <w:rPr>
          <w:rFonts w:ascii="Arial" w:eastAsia="Arial" w:hAnsi="Arial" w:cs="Arial"/>
          <w:sz w:val="20"/>
          <w:szCs w:val="20"/>
        </w:rPr>
        <w:t xml:space="preserve">(1), 175. </w:t>
      </w:r>
      <w:hyperlink r:id="rId72">
        <w:r>
          <w:rPr>
            <w:rFonts w:ascii="Arial" w:eastAsia="Arial" w:hAnsi="Arial" w:cs="Arial"/>
            <w:color w:val="0563C1"/>
            <w:sz w:val="20"/>
            <w:szCs w:val="20"/>
            <w:u w:val="single"/>
          </w:rPr>
          <w:t>https://doi.org/10.1186/s40359-025-02491-9</w:t>
        </w:r>
      </w:hyperlink>
    </w:p>
    <w:p w14:paraId="1D140E02" w14:textId="77777777" w:rsidR="000E1A6B" w:rsidRDefault="00175F13">
      <w:pPr>
        <w:spacing w:line="276" w:lineRule="auto"/>
        <w:ind w:hanging="720"/>
        <w:jc w:val="both"/>
        <w:rPr>
          <w:rFonts w:ascii="Arial" w:eastAsia="Arial" w:hAnsi="Arial" w:cs="Arial"/>
          <w:sz w:val="20"/>
          <w:szCs w:val="20"/>
        </w:rPr>
      </w:pPr>
      <w:bookmarkStart w:id="39" w:name="_heading=h.lu1vygmu52ws" w:colFirst="0" w:colLast="0"/>
      <w:bookmarkEnd w:id="39"/>
      <w:r>
        <w:rPr>
          <w:rFonts w:ascii="Arial" w:eastAsia="Arial" w:hAnsi="Arial" w:cs="Arial"/>
          <w:sz w:val="20"/>
          <w:szCs w:val="20"/>
        </w:rPr>
        <w:t xml:space="preserve">Ter Harmsel, J., Noordzij, M., Goudriaan, A., Dekker, J., Swinkels, L., Van Der Pol, T., &amp; Popma, A. (2020). </w:t>
      </w:r>
      <w:proofErr w:type="spellStart"/>
      <w:r>
        <w:rPr>
          <w:rFonts w:ascii="Arial" w:eastAsia="Arial" w:hAnsi="Arial" w:cs="Arial"/>
          <w:sz w:val="20"/>
          <w:szCs w:val="20"/>
        </w:rPr>
        <w:t>Biocueing</w:t>
      </w:r>
      <w:proofErr w:type="spellEnd"/>
      <w:r>
        <w:rPr>
          <w:rFonts w:ascii="Arial" w:eastAsia="Arial" w:hAnsi="Arial" w:cs="Arial"/>
          <w:sz w:val="20"/>
          <w:szCs w:val="20"/>
        </w:rPr>
        <w:t xml:space="preserve"> and ambulatory biofeedback to enhance emotion regulation: A review of studies investigating non-psychiatric and psychiatric populations. </w:t>
      </w:r>
      <w:r>
        <w:rPr>
          <w:rFonts w:ascii="Arial" w:eastAsia="Arial" w:hAnsi="Arial" w:cs="Arial"/>
          <w:i/>
          <w:iCs/>
          <w:sz w:val="20"/>
          <w:szCs w:val="20"/>
        </w:rPr>
        <w:t>International Journal of Psychophysiology</w:t>
      </w:r>
      <w:r>
        <w:rPr>
          <w:rFonts w:ascii="Arial" w:eastAsia="Arial" w:hAnsi="Arial" w:cs="Arial"/>
          <w:sz w:val="20"/>
          <w:szCs w:val="20"/>
        </w:rPr>
        <w:t xml:space="preserve">, </w:t>
      </w:r>
      <w:r>
        <w:rPr>
          <w:rFonts w:ascii="Arial" w:eastAsia="Arial" w:hAnsi="Arial" w:cs="Arial"/>
          <w:i/>
          <w:iCs/>
          <w:sz w:val="20"/>
          <w:szCs w:val="20"/>
        </w:rPr>
        <w:t>159</w:t>
      </w:r>
      <w:r>
        <w:rPr>
          <w:rFonts w:ascii="Arial" w:eastAsia="Arial" w:hAnsi="Arial" w:cs="Arial"/>
          <w:sz w:val="20"/>
          <w:szCs w:val="20"/>
        </w:rPr>
        <w:t xml:space="preserve">, 94–106. </w:t>
      </w:r>
      <w:hyperlink r:id="rId73">
        <w:r>
          <w:rPr>
            <w:rFonts w:ascii="Arial" w:eastAsia="Arial" w:hAnsi="Arial" w:cs="Arial"/>
            <w:color w:val="0563C1"/>
            <w:sz w:val="20"/>
            <w:szCs w:val="20"/>
            <w:u w:val="single"/>
          </w:rPr>
          <w:t>https://doi.org/10.1016/j.ijpsycho.2020.11.009</w:t>
        </w:r>
      </w:hyperlink>
    </w:p>
    <w:p w14:paraId="256A2783" w14:textId="77777777" w:rsidR="000E1A6B" w:rsidRDefault="00175F13">
      <w:pPr>
        <w:spacing w:line="276" w:lineRule="auto"/>
        <w:ind w:hanging="720"/>
        <w:jc w:val="both"/>
        <w:rPr>
          <w:rFonts w:ascii="Arial" w:eastAsia="Arial" w:hAnsi="Arial" w:cs="Arial"/>
          <w:sz w:val="20"/>
          <w:szCs w:val="20"/>
        </w:rPr>
      </w:pPr>
      <w:bookmarkStart w:id="40" w:name="_heading=h.a91jdx7bmg47" w:colFirst="0" w:colLast="0"/>
      <w:bookmarkEnd w:id="40"/>
      <w:r>
        <w:rPr>
          <w:rFonts w:ascii="Arial" w:eastAsia="Arial" w:hAnsi="Arial" w:cs="Arial"/>
          <w:sz w:val="20"/>
          <w:szCs w:val="20"/>
        </w:rPr>
        <w:t xml:space="preserve">Thew, G. R., Rozental, A., &amp; </w:t>
      </w:r>
      <w:proofErr w:type="spellStart"/>
      <w:r>
        <w:rPr>
          <w:rFonts w:ascii="Arial" w:eastAsia="Arial" w:hAnsi="Arial" w:cs="Arial"/>
          <w:sz w:val="20"/>
          <w:szCs w:val="20"/>
        </w:rPr>
        <w:t>Hadjistavropoulos</w:t>
      </w:r>
      <w:proofErr w:type="spellEnd"/>
      <w:r>
        <w:rPr>
          <w:rFonts w:ascii="Arial" w:eastAsia="Arial" w:hAnsi="Arial" w:cs="Arial"/>
          <w:sz w:val="20"/>
          <w:szCs w:val="20"/>
        </w:rPr>
        <w:t xml:space="preserve">, H. D. (2022). Advances in digital CBT: where are we now, and where </w:t>
      </w:r>
      <w:proofErr w:type="gramStart"/>
      <w:r>
        <w:rPr>
          <w:rFonts w:ascii="Arial" w:eastAsia="Arial" w:hAnsi="Arial" w:cs="Arial"/>
          <w:sz w:val="20"/>
          <w:szCs w:val="20"/>
        </w:rPr>
        <w:t>next?.</w:t>
      </w:r>
      <w:proofErr w:type="gramEnd"/>
      <w:r>
        <w:rPr>
          <w:rFonts w:ascii="Arial" w:eastAsia="Arial" w:hAnsi="Arial" w:cs="Arial"/>
          <w:sz w:val="20"/>
          <w:szCs w:val="20"/>
        </w:rPr>
        <w:t> </w:t>
      </w:r>
      <w:r>
        <w:rPr>
          <w:rFonts w:ascii="Arial" w:eastAsia="Arial" w:hAnsi="Arial" w:cs="Arial"/>
          <w:i/>
          <w:iCs/>
          <w:sz w:val="20"/>
          <w:szCs w:val="20"/>
        </w:rPr>
        <w:t>Cognitive behaviour therapist</w:t>
      </w:r>
      <w:r>
        <w:rPr>
          <w:rFonts w:ascii="Arial" w:eastAsia="Arial" w:hAnsi="Arial" w:cs="Arial"/>
          <w:sz w:val="20"/>
          <w:szCs w:val="20"/>
        </w:rPr>
        <w:t>, </w:t>
      </w:r>
      <w:r>
        <w:rPr>
          <w:rFonts w:ascii="Arial" w:eastAsia="Arial" w:hAnsi="Arial" w:cs="Arial"/>
          <w:i/>
          <w:iCs/>
          <w:sz w:val="20"/>
          <w:szCs w:val="20"/>
        </w:rPr>
        <w:t>15</w:t>
      </w:r>
      <w:r>
        <w:rPr>
          <w:rFonts w:ascii="Arial" w:eastAsia="Arial" w:hAnsi="Arial" w:cs="Arial"/>
          <w:sz w:val="20"/>
          <w:szCs w:val="20"/>
        </w:rPr>
        <w:t xml:space="preserve">, E44. </w:t>
      </w:r>
      <w:hyperlink r:id="rId74">
        <w:r>
          <w:rPr>
            <w:rFonts w:ascii="Arial" w:eastAsia="Arial" w:hAnsi="Arial" w:cs="Arial"/>
            <w:color w:val="0563C1"/>
            <w:sz w:val="20"/>
            <w:szCs w:val="20"/>
            <w:u w:val="single"/>
          </w:rPr>
          <w:t>https://doi.org/10.1017/S1754470X22000423</w:t>
        </w:r>
      </w:hyperlink>
    </w:p>
    <w:p w14:paraId="747A9CAF" w14:textId="77777777" w:rsidR="000E1A6B" w:rsidRDefault="00175F13">
      <w:pPr>
        <w:spacing w:line="276" w:lineRule="auto"/>
        <w:ind w:hanging="720"/>
        <w:jc w:val="both"/>
        <w:rPr>
          <w:rFonts w:ascii="Arial" w:eastAsia="Arial" w:hAnsi="Arial" w:cs="Arial"/>
          <w:sz w:val="20"/>
          <w:szCs w:val="20"/>
        </w:rPr>
      </w:pPr>
      <w:proofErr w:type="spellStart"/>
      <w:r>
        <w:rPr>
          <w:rFonts w:ascii="Arial" w:eastAsia="Arial" w:hAnsi="Arial" w:cs="Arial"/>
          <w:sz w:val="20"/>
          <w:szCs w:val="20"/>
        </w:rPr>
        <w:t>Topooco</w:t>
      </w:r>
      <w:proofErr w:type="spellEnd"/>
      <w:r>
        <w:rPr>
          <w:rFonts w:ascii="Arial" w:eastAsia="Arial" w:hAnsi="Arial" w:cs="Arial"/>
          <w:sz w:val="20"/>
          <w:szCs w:val="20"/>
        </w:rPr>
        <w:t xml:space="preserve">, N., Fowler, L. A., Fitzsimmons-Craft, E. E., DePietro, B., Vázquez, M. M., Firebaugh, M. L., Ceglarek, P., </w:t>
      </w:r>
      <w:proofErr w:type="spellStart"/>
      <w:r>
        <w:rPr>
          <w:rFonts w:ascii="Arial" w:eastAsia="Arial" w:hAnsi="Arial" w:cs="Arial"/>
          <w:sz w:val="20"/>
          <w:szCs w:val="20"/>
        </w:rPr>
        <w:t>Monterubio</w:t>
      </w:r>
      <w:proofErr w:type="spellEnd"/>
      <w:r>
        <w:rPr>
          <w:rFonts w:ascii="Arial" w:eastAsia="Arial" w:hAnsi="Arial" w:cs="Arial"/>
          <w:sz w:val="20"/>
          <w:szCs w:val="20"/>
        </w:rPr>
        <w:t>, G., Newman, M. G., Eisenberg, D., Wilfley, D. E., &amp; Taylor, C. B. (2022). Digital interventions to address mental health needs in colleges: Perspectives of student stakeholders. </w:t>
      </w:r>
      <w:r>
        <w:rPr>
          <w:rFonts w:ascii="Arial" w:eastAsia="Arial" w:hAnsi="Arial" w:cs="Arial"/>
          <w:i/>
          <w:iCs/>
          <w:sz w:val="20"/>
          <w:szCs w:val="20"/>
        </w:rPr>
        <w:t>Internet interventions</w:t>
      </w:r>
      <w:r>
        <w:rPr>
          <w:rFonts w:ascii="Arial" w:eastAsia="Arial" w:hAnsi="Arial" w:cs="Arial"/>
          <w:sz w:val="20"/>
          <w:szCs w:val="20"/>
        </w:rPr>
        <w:t>, </w:t>
      </w:r>
      <w:r>
        <w:rPr>
          <w:rFonts w:ascii="Arial" w:eastAsia="Arial" w:hAnsi="Arial" w:cs="Arial"/>
          <w:i/>
          <w:iCs/>
          <w:sz w:val="20"/>
          <w:szCs w:val="20"/>
        </w:rPr>
        <w:t>28</w:t>
      </w:r>
      <w:r>
        <w:rPr>
          <w:rFonts w:ascii="Arial" w:eastAsia="Arial" w:hAnsi="Arial" w:cs="Arial"/>
          <w:sz w:val="20"/>
          <w:szCs w:val="20"/>
        </w:rPr>
        <w:t xml:space="preserve">, 100528. </w:t>
      </w:r>
      <w:hyperlink r:id="rId75">
        <w:r>
          <w:rPr>
            <w:rFonts w:ascii="Arial" w:eastAsia="Arial" w:hAnsi="Arial" w:cs="Arial"/>
            <w:color w:val="0563C1"/>
            <w:sz w:val="20"/>
            <w:szCs w:val="20"/>
            <w:u w:val="single"/>
          </w:rPr>
          <w:t>https://doi.org/10.1016/j.invent.2022.100528</w:t>
        </w:r>
      </w:hyperlink>
    </w:p>
    <w:p w14:paraId="1ED9EC73" w14:textId="77777777" w:rsidR="000E1A6B" w:rsidRDefault="00175F13">
      <w:pPr>
        <w:spacing w:line="276" w:lineRule="auto"/>
        <w:ind w:hanging="720"/>
        <w:jc w:val="both"/>
        <w:rPr>
          <w:rFonts w:ascii="Arial" w:eastAsia="Arial" w:hAnsi="Arial" w:cs="Arial"/>
          <w:sz w:val="20"/>
          <w:szCs w:val="20"/>
        </w:rPr>
      </w:pPr>
      <w:proofErr w:type="spellStart"/>
      <w:r>
        <w:rPr>
          <w:rFonts w:ascii="Arial" w:eastAsia="Arial" w:hAnsi="Arial" w:cs="Arial"/>
          <w:sz w:val="20"/>
          <w:szCs w:val="20"/>
        </w:rPr>
        <w:t>Torous</w:t>
      </w:r>
      <w:proofErr w:type="spellEnd"/>
      <w:r>
        <w:rPr>
          <w:rFonts w:ascii="Arial" w:eastAsia="Arial" w:hAnsi="Arial" w:cs="Arial"/>
          <w:sz w:val="20"/>
          <w:szCs w:val="20"/>
        </w:rPr>
        <w:t xml:space="preserve">, J., </w:t>
      </w:r>
      <w:proofErr w:type="spellStart"/>
      <w:r>
        <w:rPr>
          <w:rFonts w:ascii="Arial" w:eastAsia="Arial" w:hAnsi="Arial" w:cs="Arial"/>
          <w:sz w:val="20"/>
          <w:szCs w:val="20"/>
        </w:rPr>
        <w:t>Linardon</w:t>
      </w:r>
      <w:proofErr w:type="spellEnd"/>
      <w:r>
        <w:rPr>
          <w:rFonts w:ascii="Arial" w:eastAsia="Arial" w:hAnsi="Arial" w:cs="Arial"/>
          <w:sz w:val="20"/>
          <w:szCs w:val="20"/>
        </w:rPr>
        <w:t>, J., Goldberg, S. B., Sun, S., Bell, I., Nicholas, J., Hassan, L., Hua, Y., Milton, A., &amp; Firth, J. (2025). The evolving field of digital mental health: current evidence and implementation issues for smartphone apps, generative artificial intelligence, and virtual reality. </w:t>
      </w:r>
      <w:r>
        <w:rPr>
          <w:rFonts w:ascii="Arial" w:eastAsia="Arial" w:hAnsi="Arial" w:cs="Arial"/>
          <w:i/>
          <w:iCs/>
          <w:sz w:val="20"/>
          <w:szCs w:val="20"/>
        </w:rPr>
        <w:t xml:space="preserve">World </w:t>
      </w:r>
      <w:proofErr w:type="gramStart"/>
      <w:r>
        <w:rPr>
          <w:rFonts w:ascii="Arial" w:eastAsia="Arial" w:hAnsi="Arial" w:cs="Arial"/>
          <w:i/>
          <w:iCs/>
          <w:sz w:val="20"/>
          <w:szCs w:val="20"/>
        </w:rPr>
        <w:t>psychiatry :</w:t>
      </w:r>
      <w:proofErr w:type="gramEnd"/>
      <w:r>
        <w:rPr>
          <w:rFonts w:ascii="Arial" w:eastAsia="Arial" w:hAnsi="Arial" w:cs="Arial"/>
          <w:i/>
          <w:iCs/>
          <w:sz w:val="20"/>
          <w:szCs w:val="20"/>
        </w:rPr>
        <w:t xml:space="preserve"> official journal of the World Psychiatric Association (WPA)</w:t>
      </w:r>
      <w:r>
        <w:rPr>
          <w:rFonts w:ascii="Arial" w:eastAsia="Arial" w:hAnsi="Arial" w:cs="Arial"/>
          <w:sz w:val="20"/>
          <w:szCs w:val="20"/>
        </w:rPr>
        <w:t>, </w:t>
      </w:r>
      <w:r>
        <w:rPr>
          <w:rFonts w:ascii="Arial" w:eastAsia="Arial" w:hAnsi="Arial" w:cs="Arial"/>
          <w:i/>
          <w:iCs/>
          <w:sz w:val="20"/>
          <w:szCs w:val="20"/>
        </w:rPr>
        <w:t>24</w:t>
      </w:r>
      <w:r>
        <w:rPr>
          <w:rFonts w:ascii="Arial" w:eastAsia="Arial" w:hAnsi="Arial" w:cs="Arial"/>
          <w:sz w:val="20"/>
          <w:szCs w:val="20"/>
        </w:rPr>
        <w:t xml:space="preserve">(2), 156–174. </w:t>
      </w:r>
      <w:hyperlink r:id="rId76">
        <w:r>
          <w:rPr>
            <w:rFonts w:ascii="Arial" w:eastAsia="Arial" w:hAnsi="Arial" w:cs="Arial"/>
            <w:color w:val="0563C1"/>
            <w:sz w:val="20"/>
            <w:szCs w:val="20"/>
            <w:u w:val="single"/>
          </w:rPr>
          <w:t>https://doi.org/10.1002/wps.21299</w:t>
        </w:r>
      </w:hyperlink>
    </w:p>
    <w:p w14:paraId="2950A975" w14:textId="77777777" w:rsidR="000E1A6B" w:rsidRDefault="00175F13">
      <w:pPr>
        <w:spacing w:line="276" w:lineRule="auto"/>
        <w:ind w:hanging="720"/>
        <w:jc w:val="both"/>
        <w:rPr>
          <w:rFonts w:ascii="Arial" w:eastAsia="Arial" w:hAnsi="Arial" w:cs="Arial"/>
          <w:sz w:val="20"/>
          <w:szCs w:val="20"/>
        </w:rPr>
      </w:pPr>
      <w:bookmarkStart w:id="41" w:name="_heading=h.z61raqinn7un" w:colFirst="0" w:colLast="0"/>
      <w:bookmarkEnd w:id="41"/>
      <w:proofErr w:type="spellStart"/>
      <w:r>
        <w:rPr>
          <w:rFonts w:ascii="Arial" w:eastAsia="Arial" w:hAnsi="Arial" w:cs="Arial"/>
          <w:sz w:val="20"/>
          <w:szCs w:val="20"/>
        </w:rPr>
        <w:lastRenderedPageBreak/>
        <w:t>Torous</w:t>
      </w:r>
      <w:proofErr w:type="spellEnd"/>
      <w:r>
        <w:rPr>
          <w:rFonts w:ascii="Arial" w:eastAsia="Arial" w:hAnsi="Arial" w:cs="Arial"/>
          <w:sz w:val="20"/>
          <w:szCs w:val="20"/>
        </w:rPr>
        <w:t xml:space="preserve">, J., </w:t>
      </w:r>
      <w:proofErr w:type="spellStart"/>
      <w:r>
        <w:rPr>
          <w:rFonts w:ascii="Arial" w:eastAsia="Arial" w:hAnsi="Arial" w:cs="Arial"/>
          <w:sz w:val="20"/>
          <w:szCs w:val="20"/>
        </w:rPr>
        <w:t>Linardon</w:t>
      </w:r>
      <w:proofErr w:type="spellEnd"/>
      <w:r>
        <w:rPr>
          <w:rFonts w:ascii="Arial" w:eastAsia="Arial" w:hAnsi="Arial" w:cs="Arial"/>
          <w:sz w:val="20"/>
          <w:szCs w:val="20"/>
        </w:rPr>
        <w:t>, J., Goldberg, S. B., Sun, S., Bell, I., Nicholas, J., Hassan, L., Hua, Y., Milton, A., &amp; Firth, J. (2025). The evolving field of digital mental health: current evidence and implementation issues for smartphone apps, generative artificial intelligence, and virtual reality. </w:t>
      </w:r>
      <w:r>
        <w:rPr>
          <w:rFonts w:ascii="Arial" w:eastAsia="Arial" w:hAnsi="Arial" w:cs="Arial"/>
          <w:i/>
          <w:iCs/>
          <w:sz w:val="20"/>
          <w:szCs w:val="20"/>
        </w:rPr>
        <w:t xml:space="preserve">World </w:t>
      </w:r>
      <w:proofErr w:type="gramStart"/>
      <w:r>
        <w:rPr>
          <w:rFonts w:ascii="Arial" w:eastAsia="Arial" w:hAnsi="Arial" w:cs="Arial"/>
          <w:i/>
          <w:iCs/>
          <w:sz w:val="20"/>
          <w:szCs w:val="20"/>
        </w:rPr>
        <w:t>psychiatry :</w:t>
      </w:r>
      <w:proofErr w:type="gramEnd"/>
      <w:r>
        <w:rPr>
          <w:rFonts w:ascii="Arial" w:eastAsia="Arial" w:hAnsi="Arial" w:cs="Arial"/>
          <w:i/>
          <w:iCs/>
          <w:sz w:val="20"/>
          <w:szCs w:val="20"/>
        </w:rPr>
        <w:t xml:space="preserve"> official journal of the World Psychiatric Association (WPA)</w:t>
      </w:r>
      <w:r>
        <w:rPr>
          <w:rFonts w:ascii="Arial" w:eastAsia="Arial" w:hAnsi="Arial" w:cs="Arial"/>
          <w:sz w:val="20"/>
          <w:szCs w:val="20"/>
        </w:rPr>
        <w:t>, </w:t>
      </w:r>
      <w:r>
        <w:rPr>
          <w:rFonts w:ascii="Arial" w:eastAsia="Arial" w:hAnsi="Arial" w:cs="Arial"/>
          <w:i/>
          <w:iCs/>
          <w:sz w:val="20"/>
          <w:szCs w:val="20"/>
        </w:rPr>
        <w:t>24</w:t>
      </w:r>
      <w:r>
        <w:rPr>
          <w:rFonts w:ascii="Arial" w:eastAsia="Arial" w:hAnsi="Arial" w:cs="Arial"/>
          <w:sz w:val="20"/>
          <w:szCs w:val="20"/>
        </w:rPr>
        <w:t xml:space="preserve">(2), 156–174. </w:t>
      </w:r>
      <w:hyperlink r:id="rId77">
        <w:r>
          <w:rPr>
            <w:rFonts w:ascii="Arial" w:eastAsia="Arial" w:hAnsi="Arial" w:cs="Arial"/>
            <w:color w:val="0563C1"/>
            <w:sz w:val="20"/>
            <w:szCs w:val="20"/>
            <w:u w:val="single"/>
          </w:rPr>
          <w:t>https://doi.org/10.1002/wps.21299</w:t>
        </w:r>
      </w:hyperlink>
    </w:p>
    <w:p w14:paraId="1681B164" w14:textId="77777777" w:rsidR="000E1A6B" w:rsidRDefault="00175F13">
      <w:pPr>
        <w:spacing w:line="276" w:lineRule="auto"/>
        <w:ind w:hanging="720"/>
        <w:jc w:val="both"/>
        <w:rPr>
          <w:rFonts w:ascii="Arial" w:eastAsia="Arial" w:hAnsi="Arial" w:cs="Arial"/>
          <w:sz w:val="20"/>
          <w:szCs w:val="20"/>
        </w:rPr>
      </w:pPr>
      <w:bookmarkStart w:id="42" w:name="_heading=h.ljq1t9ck4vna" w:colFirst="0" w:colLast="0"/>
      <w:bookmarkEnd w:id="42"/>
      <w:proofErr w:type="spellStart"/>
      <w:r>
        <w:rPr>
          <w:rFonts w:ascii="Arial" w:eastAsia="Arial" w:hAnsi="Arial" w:cs="Arial"/>
          <w:sz w:val="20"/>
          <w:szCs w:val="20"/>
        </w:rPr>
        <w:t>Uzorka</w:t>
      </w:r>
      <w:proofErr w:type="spellEnd"/>
      <w:r>
        <w:rPr>
          <w:rFonts w:ascii="Arial" w:eastAsia="Arial" w:hAnsi="Arial" w:cs="Arial"/>
          <w:sz w:val="20"/>
          <w:szCs w:val="20"/>
        </w:rPr>
        <w:t xml:space="preserve">, A., &amp; </w:t>
      </w:r>
      <w:proofErr w:type="spellStart"/>
      <w:r>
        <w:rPr>
          <w:rFonts w:ascii="Arial" w:eastAsia="Arial" w:hAnsi="Arial" w:cs="Arial"/>
          <w:sz w:val="20"/>
          <w:szCs w:val="20"/>
        </w:rPr>
        <w:t>Odebiyi</w:t>
      </w:r>
      <w:proofErr w:type="spellEnd"/>
      <w:r>
        <w:rPr>
          <w:rFonts w:ascii="Arial" w:eastAsia="Arial" w:hAnsi="Arial" w:cs="Arial"/>
          <w:sz w:val="20"/>
          <w:szCs w:val="20"/>
        </w:rPr>
        <w:t xml:space="preserve">, O. (2025). Impact of digital learning tools on student engagement and achievement. </w:t>
      </w:r>
      <w:r>
        <w:rPr>
          <w:rFonts w:ascii="Arial" w:eastAsia="Arial" w:hAnsi="Arial" w:cs="Arial"/>
          <w:i/>
          <w:iCs/>
          <w:sz w:val="20"/>
          <w:szCs w:val="20"/>
        </w:rPr>
        <w:t>Journal of Digital Learning and Distance Education, 4</w:t>
      </w:r>
      <w:r>
        <w:rPr>
          <w:rFonts w:ascii="Arial" w:eastAsia="Arial" w:hAnsi="Arial" w:cs="Arial"/>
          <w:sz w:val="20"/>
          <w:szCs w:val="20"/>
        </w:rPr>
        <w:t xml:space="preserve">(1), 1436–1445. </w:t>
      </w:r>
      <w:hyperlink r:id="rId78">
        <w:r>
          <w:rPr>
            <w:rFonts w:ascii="Arial" w:eastAsia="Arial" w:hAnsi="Arial" w:cs="Arial"/>
            <w:color w:val="0563C1"/>
            <w:sz w:val="20"/>
            <w:szCs w:val="20"/>
            <w:u w:val="single"/>
          </w:rPr>
          <w:t>https://doi.org/10.56778/jdlde.v4i1.511</w:t>
        </w:r>
      </w:hyperlink>
    </w:p>
    <w:p w14:paraId="087F1289" w14:textId="77777777" w:rsidR="000E1A6B" w:rsidRDefault="00175F13">
      <w:pPr>
        <w:spacing w:line="276" w:lineRule="auto"/>
        <w:ind w:hanging="720"/>
        <w:jc w:val="both"/>
        <w:rPr>
          <w:rFonts w:ascii="Arial" w:eastAsia="Arial" w:hAnsi="Arial" w:cs="Arial"/>
          <w:sz w:val="20"/>
          <w:szCs w:val="20"/>
        </w:rPr>
      </w:pPr>
      <w:bookmarkStart w:id="43" w:name="_heading=h.8eotq8vx21x" w:colFirst="0" w:colLast="0"/>
      <w:bookmarkEnd w:id="43"/>
      <w:r>
        <w:rPr>
          <w:rFonts w:ascii="Arial" w:eastAsia="Arial" w:hAnsi="Arial" w:cs="Arial"/>
          <w:sz w:val="20"/>
          <w:szCs w:val="20"/>
        </w:rPr>
        <w:t>Watkins, E. R., Phillips, D., Choueiri, H., Ford, A., Cook, H., Taylor, G., &amp; Kessler, R. C. (2025). A randomized controlled trial of Internet-delivered guided and unguided cognitive behaviour therapy for treating depression and anxiety in UK university students: study protocol for the Nurture-U Internet CBT trial. </w:t>
      </w:r>
      <w:r>
        <w:rPr>
          <w:rFonts w:ascii="Arial" w:eastAsia="Arial" w:hAnsi="Arial" w:cs="Arial"/>
          <w:i/>
          <w:iCs/>
          <w:sz w:val="20"/>
          <w:szCs w:val="20"/>
        </w:rPr>
        <w:t>Trials</w:t>
      </w:r>
      <w:r>
        <w:rPr>
          <w:rFonts w:ascii="Arial" w:eastAsia="Arial" w:hAnsi="Arial" w:cs="Arial"/>
          <w:sz w:val="20"/>
          <w:szCs w:val="20"/>
        </w:rPr>
        <w:t>, </w:t>
      </w:r>
      <w:r>
        <w:rPr>
          <w:rFonts w:ascii="Arial" w:eastAsia="Arial" w:hAnsi="Arial" w:cs="Arial"/>
          <w:i/>
          <w:iCs/>
          <w:sz w:val="20"/>
          <w:szCs w:val="20"/>
        </w:rPr>
        <w:t>26</w:t>
      </w:r>
      <w:r>
        <w:rPr>
          <w:rFonts w:ascii="Arial" w:eastAsia="Arial" w:hAnsi="Arial" w:cs="Arial"/>
          <w:sz w:val="20"/>
          <w:szCs w:val="20"/>
        </w:rPr>
        <w:t xml:space="preserve">(1), 366. </w:t>
      </w:r>
      <w:hyperlink r:id="rId79">
        <w:r>
          <w:rPr>
            <w:rFonts w:ascii="Arial" w:eastAsia="Arial" w:hAnsi="Arial" w:cs="Arial"/>
            <w:color w:val="0563C1"/>
            <w:sz w:val="20"/>
            <w:szCs w:val="20"/>
            <w:u w:val="single"/>
          </w:rPr>
          <w:t>https://doi.org/10.1186/s13063-025-09023-1</w:t>
        </w:r>
      </w:hyperlink>
    </w:p>
    <w:p w14:paraId="0DF6D702" w14:textId="77777777" w:rsidR="000E1A6B" w:rsidRDefault="00175F13">
      <w:pPr>
        <w:spacing w:line="276" w:lineRule="auto"/>
        <w:ind w:hanging="720"/>
        <w:jc w:val="both"/>
        <w:rPr>
          <w:rFonts w:ascii="Arial" w:eastAsia="Arial" w:hAnsi="Arial" w:cs="Arial"/>
          <w:sz w:val="20"/>
          <w:szCs w:val="20"/>
        </w:rPr>
      </w:pPr>
      <w:bookmarkStart w:id="44" w:name="_heading=h.6r7kagvhcbe2" w:colFirst="0" w:colLast="0"/>
      <w:bookmarkEnd w:id="44"/>
      <w:proofErr w:type="spellStart"/>
      <w:r>
        <w:rPr>
          <w:rFonts w:ascii="Arial" w:eastAsia="Arial" w:hAnsi="Arial" w:cs="Arial"/>
          <w:sz w:val="20"/>
          <w:szCs w:val="20"/>
        </w:rPr>
        <w:t>Weerdmeester</w:t>
      </w:r>
      <w:proofErr w:type="spellEnd"/>
      <w:r>
        <w:rPr>
          <w:rFonts w:ascii="Arial" w:eastAsia="Arial" w:hAnsi="Arial" w:cs="Arial"/>
          <w:sz w:val="20"/>
          <w:szCs w:val="20"/>
        </w:rPr>
        <w:t xml:space="preserve">, J., Van </w:t>
      </w:r>
      <w:proofErr w:type="spellStart"/>
      <w:r>
        <w:rPr>
          <w:rFonts w:ascii="Arial" w:eastAsia="Arial" w:hAnsi="Arial" w:cs="Arial"/>
          <w:sz w:val="20"/>
          <w:szCs w:val="20"/>
        </w:rPr>
        <w:t>Rooij</w:t>
      </w:r>
      <w:proofErr w:type="spellEnd"/>
      <w:r>
        <w:rPr>
          <w:rFonts w:ascii="Arial" w:eastAsia="Arial" w:hAnsi="Arial" w:cs="Arial"/>
          <w:sz w:val="20"/>
          <w:szCs w:val="20"/>
        </w:rPr>
        <w:t xml:space="preserve">, M. M., Engels, R. C., &amp; </w:t>
      </w:r>
      <w:proofErr w:type="spellStart"/>
      <w:r>
        <w:rPr>
          <w:rFonts w:ascii="Arial" w:eastAsia="Arial" w:hAnsi="Arial" w:cs="Arial"/>
          <w:sz w:val="20"/>
          <w:szCs w:val="20"/>
        </w:rPr>
        <w:t>Granic</w:t>
      </w:r>
      <w:proofErr w:type="spellEnd"/>
      <w:r>
        <w:rPr>
          <w:rFonts w:ascii="Arial" w:eastAsia="Arial" w:hAnsi="Arial" w:cs="Arial"/>
          <w:sz w:val="20"/>
          <w:szCs w:val="20"/>
        </w:rPr>
        <w:t xml:space="preserve">, I. (2020). An Integrative model for the Effectiveness of biofeedback interventions for anxiety regulation: Viewpoint. </w:t>
      </w:r>
      <w:r>
        <w:rPr>
          <w:rFonts w:ascii="Arial" w:eastAsia="Arial" w:hAnsi="Arial" w:cs="Arial"/>
          <w:i/>
          <w:iCs/>
          <w:sz w:val="20"/>
          <w:szCs w:val="20"/>
        </w:rPr>
        <w:t>Journal of Medical Internet Research</w:t>
      </w:r>
      <w:r>
        <w:rPr>
          <w:rFonts w:ascii="Arial" w:eastAsia="Arial" w:hAnsi="Arial" w:cs="Arial"/>
          <w:sz w:val="20"/>
          <w:szCs w:val="20"/>
        </w:rPr>
        <w:t xml:space="preserve">, </w:t>
      </w:r>
      <w:r>
        <w:rPr>
          <w:rFonts w:ascii="Arial" w:eastAsia="Arial" w:hAnsi="Arial" w:cs="Arial"/>
          <w:i/>
          <w:iCs/>
          <w:sz w:val="20"/>
          <w:szCs w:val="20"/>
        </w:rPr>
        <w:t>22</w:t>
      </w:r>
      <w:r>
        <w:rPr>
          <w:rFonts w:ascii="Arial" w:eastAsia="Arial" w:hAnsi="Arial" w:cs="Arial"/>
          <w:sz w:val="20"/>
          <w:szCs w:val="20"/>
        </w:rPr>
        <w:t xml:space="preserve">(7), e14958. </w:t>
      </w:r>
      <w:hyperlink r:id="rId80">
        <w:r>
          <w:rPr>
            <w:rFonts w:ascii="Arial" w:eastAsia="Arial" w:hAnsi="Arial" w:cs="Arial"/>
            <w:color w:val="0563C1"/>
            <w:sz w:val="20"/>
            <w:szCs w:val="20"/>
            <w:u w:val="single"/>
          </w:rPr>
          <w:t>https://doi.org/10.2196/14958</w:t>
        </w:r>
      </w:hyperlink>
    </w:p>
    <w:p w14:paraId="51A314E8" w14:textId="77777777" w:rsidR="000E1A6B" w:rsidRDefault="00175F13">
      <w:pPr>
        <w:spacing w:line="276" w:lineRule="auto"/>
        <w:ind w:hanging="720"/>
        <w:jc w:val="both"/>
        <w:rPr>
          <w:rFonts w:ascii="Arial" w:eastAsia="Arial" w:hAnsi="Arial" w:cs="Arial"/>
          <w:sz w:val="20"/>
          <w:szCs w:val="20"/>
        </w:rPr>
      </w:pPr>
      <w:r>
        <w:rPr>
          <w:rFonts w:ascii="Arial" w:eastAsia="Arial" w:hAnsi="Arial" w:cs="Arial"/>
          <w:sz w:val="20"/>
          <w:szCs w:val="20"/>
        </w:rPr>
        <w:t>Yu, L., Shek, D. T. L., &amp; Zhu, X. (2018). The Influence of Personal Well-Being on Learning Achievement in University Students Over Time: Mediating or Moderating Effects of Internal and External University Engagement. </w:t>
      </w:r>
      <w:r>
        <w:rPr>
          <w:rFonts w:ascii="Arial" w:eastAsia="Arial" w:hAnsi="Arial" w:cs="Arial"/>
          <w:i/>
          <w:iCs/>
          <w:sz w:val="20"/>
          <w:szCs w:val="20"/>
        </w:rPr>
        <w:t>Frontiers in psychology</w:t>
      </w:r>
      <w:r>
        <w:rPr>
          <w:rFonts w:ascii="Arial" w:eastAsia="Arial" w:hAnsi="Arial" w:cs="Arial"/>
          <w:sz w:val="20"/>
          <w:szCs w:val="20"/>
        </w:rPr>
        <w:t>, </w:t>
      </w:r>
      <w:r>
        <w:rPr>
          <w:rFonts w:ascii="Arial" w:eastAsia="Arial" w:hAnsi="Arial" w:cs="Arial"/>
          <w:i/>
          <w:iCs/>
          <w:sz w:val="20"/>
          <w:szCs w:val="20"/>
        </w:rPr>
        <w:t>8</w:t>
      </w:r>
      <w:r>
        <w:rPr>
          <w:rFonts w:ascii="Arial" w:eastAsia="Arial" w:hAnsi="Arial" w:cs="Arial"/>
          <w:sz w:val="20"/>
          <w:szCs w:val="20"/>
        </w:rPr>
        <w:t xml:space="preserve">, 2287. </w:t>
      </w:r>
      <w:hyperlink r:id="rId81">
        <w:r>
          <w:rPr>
            <w:rFonts w:ascii="Arial" w:eastAsia="Arial" w:hAnsi="Arial" w:cs="Arial"/>
            <w:color w:val="0563C1"/>
            <w:sz w:val="20"/>
            <w:szCs w:val="20"/>
            <w:u w:val="single"/>
          </w:rPr>
          <w:t>https://doi.org/10.3389/fpsyg.2017.02287</w:t>
        </w:r>
      </w:hyperlink>
    </w:p>
    <w:p w14:paraId="7865F66C" w14:textId="77777777" w:rsidR="000E1A6B" w:rsidRDefault="00175F13">
      <w:pPr>
        <w:spacing w:line="276" w:lineRule="auto"/>
        <w:ind w:hanging="720"/>
        <w:jc w:val="both"/>
        <w:rPr>
          <w:rFonts w:ascii="Arial" w:eastAsia="Arial" w:hAnsi="Arial" w:cs="Arial"/>
          <w:sz w:val="20"/>
          <w:szCs w:val="20"/>
        </w:rPr>
      </w:pPr>
      <w:bookmarkStart w:id="45" w:name="_heading=h.dytteyprlprm" w:colFirst="0" w:colLast="0"/>
      <w:bookmarkEnd w:id="45"/>
      <w:r>
        <w:rPr>
          <w:rFonts w:ascii="Arial" w:eastAsia="Arial" w:hAnsi="Arial" w:cs="Arial"/>
          <w:sz w:val="20"/>
          <w:szCs w:val="20"/>
        </w:rPr>
        <w:t xml:space="preserve">Zhang, Q., Peng, A., He, L., &amp; Li, X. (2025). Virtual reality gaming: A tool for reducing fear and anxiety in university students. </w:t>
      </w:r>
      <w:r>
        <w:rPr>
          <w:rFonts w:ascii="Arial" w:eastAsia="Arial" w:hAnsi="Arial" w:cs="Arial"/>
          <w:i/>
          <w:iCs/>
          <w:sz w:val="20"/>
          <w:szCs w:val="20"/>
        </w:rPr>
        <w:t>Frontiers in Psychology</w:t>
      </w:r>
      <w:r>
        <w:rPr>
          <w:rFonts w:ascii="Arial" w:eastAsia="Arial" w:hAnsi="Arial" w:cs="Arial"/>
          <w:sz w:val="20"/>
          <w:szCs w:val="20"/>
        </w:rPr>
        <w:t xml:space="preserve">, </w:t>
      </w:r>
      <w:r>
        <w:rPr>
          <w:rFonts w:ascii="Arial" w:eastAsia="Arial" w:hAnsi="Arial" w:cs="Arial"/>
          <w:i/>
          <w:iCs/>
          <w:sz w:val="20"/>
          <w:szCs w:val="20"/>
        </w:rPr>
        <w:t>16</w:t>
      </w:r>
      <w:r>
        <w:rPr>
          <w:rFonts w:ascii="Arial" w:eastAsia="Arial" w:hAnsi="Arial" w:cs="Arial"/>
          <w:sz w:val="20"/>
          <w:szCs w:val="20"/>
        </w:rPr>
        <w:t xml:space="preserve">, 1532753. </w:t>
      </w:r>
      <w:hyperlink r:id="rId82">
        <w:r>
          <w:rPr>
            <w:rFonts w:ascii="Arial" w:eastAsia="Arial" w:hAnsi="Arial" w:cs="Arial"/>
            <w:color w:val="0563C1"/>
            <w:sz w:val="20"/>
            <w:szCs w:val="20"/>
            <w:u w:val="single"/>
          </w:rPr>
          <w:t>https://doi.org/10.3389/fpsyg.2025.1532753</w:t>
        </w:r>
      </w:hyperlink>
    </w:p>
    <w:p w14:paraId="7AAB8DE2" w14:textId="77777777" w:rsidR="000E1A6B" w:rsidRDefault="000E1A6B">
      <w:pPr>
        <w:spacing w:line="276" w:lineRule="auto"/>
        <w:ind w:hanging="720"/>
        <w:jc w:val="both"/>
        <w:rPr>
          <w:rFonts w:ascii="Arial" w:eastAsia="Arial" w:hAnsi="Arial" w:cs="Arial"/>
          <w:sz w:val="20"/>
          <w:szCs w:val="20"/>
        </w:rPr>
      </w:pPr>
    </w:p>
    <w:sectPr w:rsidR="000E1A6B">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2EC9E" w14:textId="77777777" w:rsidR="00E4313D" w:rsidRDefault="00E4313D" w:rsidP="006A4671">
      <w:pPr>
        <w:spacing w:after="0" w:line="240" w:lineRule="auto"/>
      </w:pPr>
      <w:r>
        <w:separator/>
      </w:r>
    </w:p>
  </w:endnote>
  <w:endnote w:type="continuationSeparator" w:id="0">
    <w:p w14:paraId="6D4212B9" w14:textId="77777777" w:rsidR="00E4313D" w:rsidRDefault="00E4313D" w:rsidP="006A4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8E7ACB9-ADA1-4B35-A50F-73EB45E2C2B1}"/>
    <w:embedBold r:id="rId2" w:fontKey="{7423B103-25B0-44E0-9588-C3E95D7608E7}"/>
    <w:embedItalic r:id="rId3" w:fontKey="{2D3717C8-E182-48E9-B0B7-4E1358B36478}"/>
  </w:font>
  <w:font w:name="Calibri Light">
    <w:panose1 w:val="020F0302020204030204"/>
    <w:charset w:val="00"/>
    <w:family w:val="swiss"/>
    <w:pitch w:val="variable"/>
    <w:sig w:usb0="E4002EFF" w:usb1="C000247B" w:usb2="00000009" w:usb3="00000000" w:csb0="000001FF" w:csb1="00000000"/>
    <w:embedRegular r:id="rId4" w:fontKey="{A16F9D7C-D87E-4620-A0C4-20D8AB514F1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2C1AA" w14:textId="77777777" w:rsidR="006A4671" w:rsidRDefault="006A46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03110" w14:textId="77777777" w:rsidR="006A4671" w:rsidRDefault="006A46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D4FD9" w14:textId="77777777" w:rsidR="006A4671" w:rsidRDefault="006A46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9FC0F9" w14:textId="77777777" w:rsidR="00E4313D" w:rsidRDefault="00E4313D" w:rsidP="006A4671">
      <w:pPr>
        <w:spacing w:after="0" w:line="240" w:lineRule="auto"/>
      </w:pPr>
      <w:r>
        <w:separator/>
      </w:r>
    </w:p>
  </w:footnote>
  <w:footnote w:type="continuationSeparator" w:id="0">
    <w:p w14:paraId="7F463621" w14:textId="77777777" w:rsidR="00E4313D" w:rsidRDefault="00E4313D" w:rsidP="006A46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FC3E5" w14:textId="429F5BB0" w:rsidR="006A4671" w:rsidRDefault="006A4671">
    <w:pPr>
      <w:pStyle w:val="Header"/>
    </w:pPr>
    <w:r>
      <w:rPr>
        <w:noProof/>
      </w:rPr>
      <w:pict w14:anchorId="350602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05668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A1599" w14:textId="6D58A83B" w:rsidR="006A4671" w:rsidRDefault="006A4671">
    <w:pPr>
      <w:pStyle w:val="Header"/>
    </w:pPr>
    <w:r>
      <w:rPr>
        <w:noProof/>
      </w:rPr>
      <w:pict w14:anchorId="67817B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05668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193D4" w14:textId="28E20199" w:rsidR="006A4671" w:rsidRDefault="006A4671">
    <w:pPr>
      <w:pStyle w:val="Header"/>
    </w:pPr>
    <w:r>
      <w:rPr>
        <w:noProof/>
      </w:rPr>
      <w:pict w14:anchorId="2D296A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05668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42FF3"/>
    <w:multiLevelType w:val="multilevel"/>
    <w:tmpl w:val="976819F8"/>
    <w:lvl w:ilvl="0">
      <w:start w:val="1"/>
      <w:numFmt w:val="decimal"/>
      <w:lvlText w:val="%1"/>
      <w:lvlJc w:val="left"/>
      <w:pPr>
        <w:ind w:left="360" w:hanging="360"/>
      </w:pPr>
      <w:rPr>
        <w:sz w:val="22"/>
        <w:szCs w:val="22"/>
      </w:rPr>
    </w:lvl>
    <w:lvl w:ilvl="1">
      <w:start w:val="3"/>
      <w:numFmt w:val="decimal"/>
      <w:lvlText w:val="%1.%2"/>
      <w:lvlJc w:val="left"/>
      <w:pPr>
        <w:ind w:left="360" w:hanging="360"/>
      </w:pPr>
      <w:rPr>
        <w:sz w:val="22"/>
        <w:szCs w:val="22"/>
      </w:rPr>
    </w:lvl>
    <w:lvl w:ilvl="2">
      <w:start w:val="1"/>
      <w:numFmt w:val="decimal"/>
      <w:lvlText w:val="%1.%2.%3"/>
      <w:lvlJc w:val="left"/>
      <w:pPr>
        <w:ind w:left="720" w:hanging="720"/>
      </w:pPr>
      <w:rPr>
        <w:sz w:val="22"/>
        <w:szCs w:val="22"/>
      </w:rPr>
    </w:lvl>
    <w:lvl w:ilvl="3">
      <w:start w:val="1"/>
      <w:numFmt w:val="decimal"/>
      <w:lvlText w:val="%1.%2.%3.%4"/>
      <w:lvlJc w:val="left"/>
      <w:pPr>
        <w:ind w:left="720" w:hanging="720"/>
      </w:pPr>
      <w:rPr>
        <w:sz w:val="22"/>
        <w:szCs w:val="22"/>
      </w:rPr>
    </w:lvl>
    <w:lvl w:ilvl="4">
      <w:start w:val="1"/>
      <w:numFmt w:val="decimal"/>
      <w:lvlText w:val="%1.%2.%3.%4.%5"/>
      <w:lvlJc w:val="left"/>
      <w:pPr>
        <w:ind w:left="1080" w:hanging="1080"/>
      </w:pPr>
      <w:rPr>
        <w:sz w:val="22"/>
        <w:szCs w:val="22"/>
      </w:rPr>
    </w:lvl>
    <w:lvl w:ilvl="5">
      <w:start w:val="1"/>
      <w:numFmt w:val="decimal"/>
      <w:lvlText w:val="%1.%2.%3.%4.%5.%6"/>
      <w:lvlJc w:val="left"/>
      <w:pPr>
        <w:ind w:left="1080" w:hanging="1080"/>
      </w:pPr>
      <w:rPr>
        <w:sz w:val="22"/>
        <w:szCs w:val="22"/>
      </w:rPr>
    </w:lvl>
    <w:lvl w:ilvl="6">
      <w:start w:val="1"/>
      <w:numFmt w:val="decimal"/>
      <w:lvlText w:val="%1.%2.%3.%4.%5.%6.%7"/>
      <w:lvlJc w:val="left"/>
      <w:pPr>
        <w:ind w:left="1440" w:hanging="1440"/>
      </w:pPr>
      <w:rPr>
        <w:sz w:val="22"/>
        <w:szCs w:val="22"/>
      </w:rPr>
    </w:lvl>
    <w:lvl w:ilvl="7">
      <w:start w:val="1"/>
      <w:numFmt w:val="decimal"/>
      <w:lvlText w:val="%1.%2.%3.%4.%5.%6.%7.%8"/>
      <w:lvlJc w:val="left"/>
      <w:pPr>
        <w:ind w:left="1440" w:hanging="1440"/>
      </w:pPr>
      <w:rPr>
        <w:sz w:val="22"/>
        <w:szCs w:val="22"/>
      </w:rPr>
    </w:lvl>
    <w:lvl w:ilvl="8">
      <w:start w:val="1"/>
      <w:numFmt w:val="decimal"/>
      <w:lvlText w:val="%1.%2.%3.%4.%5.%6.%7.%8.%9"/>
      <w:lvlJc w:val="left"/>
      <w:pPr>
        <w:ind w:left="1800" w:hanging="1800"/>
      </w:pPr>
      <w:rPr>
        <w:sz w:val="22"/>
        <w:szCs w:val="22"/>
      </w:rPr>
    </w:lvl>
  </w:abstractNum>
  <w:abstractNum w:abstractNumId="1" w15:restartNumberingAfterBreak="0">
    <w:nsid w:val="753546BA"/>
    <w:multiLevelType w:val="multilevel"/>
    <w:tmpl w:val="238E650A"/>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A6B"/>
    <w:rsid w:val="000E1A6B"/>
    <w:rsid w:val="00175F13"/>
    <w:rsid w:val="001F04BF"/>
    <w:rsid w:val="002C0ACE"/>
    <w:rsid w:val="006A4671"/>
    <w:rsid w:val="00DC6C86"/>
    <w:rsid w:val="00E341E2"/>
    <w:rsid w:val="00E43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A9747B"/>
  <w15:docId w15:val="{2D41D24E-5560-436C-8DC9-C7F52BFC0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E43E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3E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3E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E43E31"/>
    <w:rPr>
      <w:rFonts w:asciiTheme="majorHAnsi" w:eastAsiaTheme="majorEastAsia" w:hAnsiTheme="majorHAnsi" w:cstheme="majorBidi"/>
      <w:color w:val="2F5496" w:themeColor="accent1" w:themeShade="BF"/>
      <w:sz w:val="40"/>
      <w:szCs w:val="40"/>
      <w:lang w:val="en-GB"/>
    </w:rPr>
  </w:style>
  <w:style w:type="character" w:customStyle="1" w:styleId="Heading2Char">
    <w:name w:val="Heading 2 Char"/>
    <w:basedOn w:val="DefaultParagraphFont"/>
    <w:link w:val="Heading2"/>
    <w:uiPriority w:val="9"/>
    <w:semiHidden/>
    <w:rsid w:val="00E43E31"/>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semiHidden/>
    <w:rsid w:val="00E43E31"/>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E43E31"/>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E43E31"/>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E43E31"/>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E43E31"/>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E43E31"/>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E43E31"/>
    <w:rPr>
      <w:rFonts w:eastAsiaTheme="majorEastAsia" w:cstheme="majorBidi"/>
      <w:color w:val="272727" w:themeColor="text1" w:themeTint="D8"/>
      <w:lang w:val="en-GB"/>
    </w:rPr>
  </w:style>
  <w:style w:type="character" w:customStyle="1" w:styleId="TitleChar">
    <w:name w:val="Title Char"/>
    <w:basedOn w:val="DefaultParagraphFont"/>
    <w:link w:val="Title"/>
    <w:uiPriority w:val="10"/>
    <w:rsid w:val="00E43E31"/>
    <w:rPr>
      <w:rFonts w:asciiTheme="majorHAnsi" w:eastAsiaTheme="majorEastAsia" w:hAnsiTheme="majorHAnsi" w:cstheme="majorBidi"/>
      <w:spacing w:val="-10"/>
      <w:kern w:val="28"/>
      <w:sz w:val="56"/>
      <w:szCs w:val="56"/>
      <w:lang w:val="en-GB"/>
    </w:rPr>
  </w:style>
  <w:style w:type="character" w:customStyle="1" w:styleId="SubtitleChar">
    <w:name w:val="Subtitle Char"/>
    <w:basedOn w:val="DefaultParagraphFont"/>
    <w:link w:val="Subtitle"/>
    <w:uiPriority w:val="11"/>
    <w:rsid w:val="00E43E31"/>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E43E31"/>
    <w:pPr>
      <w:spacing w:before="160"/>
      <w:jc w:val="center"/>
    </w:pPr>
    <w:rPr>
      <w:i/>
      <w:iCs/>
      <w:color w:val="404040" w:themeColor="text1" w:themeTint="BF"/>
    </w:rPr>
  </w:style>
  <w:style w:type="character" w:customStyle="1" w:styleId="QuoteChar">
    <w:name w:val="Quote Char"/>
    <w:basedOn w:val="DefaultParagraphFont"/>
    <w:link w:val="Quote"/>
    <w:uiPriority w:val="29"/>
    <w:rsid w:val="00E43E31"/>
    <w:rPr>
      <w:i/>
      <w:iCs/>
      <w:color w:val="404040" w:themeColor="text1" w:themeTint="BF"/>
      <w:lang w:val="en-GB"/>
    </w:rPr>
  </w:style>
  <w:style w:type="paragraph" w:styleId="ListParagraph">
    <w:name w:val="List Paragraph"/>
    <w:basedOn w:val="Normal"/>
    <w:uiPriority w:val="34"/>
    <w:qFormat/>
    <w:rsid w:val="00E43E31"/>
    <w:pPr>
      <w:ind w:left="720"/>
      <w:contextualSpacing/>
    </w:pPr>
  </w:style>
  <w:style w:type="character" w:styleId="IntenseEmphasis">
    <w:name w:val="Intense Emphasis"/>
    <w:basedOn w:val="DefaultParagraphFont"/>
    <w:uiPriority w:val="21"/>
    <w:qFormat/>
    <w:rsid w:val="00E43E31"/>
    <w:rPr>
      <w:i/>
      <w:iCs/>
      <w:color w:val="2F5496" w:themeColor="accent1" w:themeShade="BF"/>
    </w:rPr>
  </w:style>
  <w:style w:type="paragraph" w:styleId="IntenseQuote">
    <w:name w:val="Intense Quote"/>
    <w:basedOn w:val="Normal"/>
    <w:next w:val="Normal"/>
    <w:link w:val="IntenseQuoteChar"/>
    <w:uiPriority w:val="30"/>
    <w:qFormat/>
    <w:rsid w:val="00E43E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43E31"/>
    <w:rPr>
      <w:i/>
      <w:iCs/>
      <w:color w:val="2F5496" w:themeColor="accent1" w:themeShade="BF"/>
      <w:lang w:val="en-GB"/>
    </w:rPr>
  </w:style>
  <w:style w:type="character" w:styleId="IntenseReference">
    <w:name w:val="Intense Reference"/>
    <w:basedOn w:val="DefaultParagraphFont"/>
    <w:uiPriority w:val="32"/>
    <w:qFormat/>
    <w:rsid w:val="00E43E31"/>
    <w:rPr>
      <w:b/>
      <w:bCs/>
      <w:smallCaps/>
      <w:color w:val="2F5496" w:themeColor="accent1" w:themeShade="BF"/>
      <w:spacing w:val="5"/>
    </w:rPr>
  </w:style>
  <w:style w:type="character" w:styleId="Hyperlink">
    <w:name w:val="Hyperlink"/>
    <w:basedOn w:val="DefaultParagraphFont"/>
    <w:uiPriority w:val="99"/>
    <w:unhideWhenUsed/>
    <w:rsid w:val="008B6210"/>
    <w:rPr>
      <w:color w:val="0563C1" w:themeColor="hyperlink"/>
      <w:u w:val="single"/>
    </w:rPr>
  </w:style>
  <w:style w:type="character" w:customStyle="1" w:styleId="UnresolvedMention1">
    <w:name w:val="Unresolved Mention1"/>
    <w:basedOn w:val="DefaultParagraphFont"/>
    <w:uiPriority w:val="99"/>
    <w:semiHidden/>
    <w:unhideWhenUsed/>
    <w:rsid w:val="008B6210"/>
    <w:rPr>
      <w:color w:val="605E5C"/>
      <w:shd w:val="clear" w:color="auto" w:fill="E1DFDD"/>
    </w:rPr>
  </w:style>
  <w:style w:type="table" w:styleId="TableGrid">
    <w:name w:val="Table Grid"/>
    <w:basedOn w:val="TableNormal"/>
    <w:uiPriority w:val="39"/>
    <w:rsid w:val="001F67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34DAC"/>
    <w:rPr>
      <w:rFonts w:ascii="Times New Roman" w:hAnsi="Times New Roman" w:cs="Times New Roman"/>
      <w:sz w:val="24"/>
      <w:szCs w:val="24"/>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character" w:customStyle="1" w:styleId="go">
    <w:name w:val="go"/>
    <w:basedOn w:val="DefaultParagraphFont"/>
    <w:rsid w:val="00175F13"/>
  </w:style>
  <w:style w:type="paragraph" w:styleId="Header">
    <w:name w:val="header"/>
    <w:basedOn w:val="Normal"/>
    <w:link w:val="HeaderChar"/>
    <w:uiPriority w:val="99"/>
    <w:unhideWhenUsed/>
    <w:rsid w:val="006A46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4671"/>
  </w:style>
  <w:style w:type="paragraph" w:styleId="Footer">
    <w:name w:val="footer"/>
    <w:basedOn w:val="Normal"/>
    <w:link w:val="FooterChar"/>
    <w:uiPriority w:val="99"/>
    <w:unhideWhenUsed/>
    <w:rsid w:val="006A46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46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8967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8502/ijps.v20i1.17395" TargetMode="External"/><Relationship Id="rId21" Type="http://schemas.openxmlformats.org/officeDocument/2006/relationships/hyperlink" Target="https://doi.org/10.3389/fpsyg.2020.01063" TargetMode="External"/><Relationship Id="rId42" Type="http://schemas.openxmlformats.org/officeDocument/2006/relationships/hyperlink" Target="https://doi.org/10.1080/20008066.2025.2488097" TargetMode="External"/><Relationship Id="rId47" Type="http://schemas.openxmlformats.org/officeDocument/2006/relationships/hyperlink" Target="https://doi.org/10.1111/eip.70017" TargetMode="External"/><Relationship Id="rId63" Type="http://schemas.openxmlformats.org/officeDocument/2006/relationships/hyperlink" Target="https://doi.org/10.1186/s43055-025-01571-5" TargetMode="External"/><Relationship Id="rId68" Type="http://schemas.openxmlformats.org/officeDocument/2006/relationships/hyperlink" Target="https://doi.org/10.5812/intjsh.82609" TargetMode="External"/><Relationship Id="rId84" Type="http://schemas.openxmlformats.org/officeDocument/2006/relationships/theme" Target="theme/theme1.xml"/><Relationship Id="rId16" Type="http://schemas.openxmlformats.org/officeDocument/2006/relationships/hyperlink" Target="https://doi.org/10.54660/IJPGRR.2025.2.1.28-38" TargetMode="External"/><Relationship Id="rId11" Type="http://schemas.openxmlformats.org/officeDocument/2006/relationships/footer" Target="footer2.xml"/><Relationship Id="rId32" Type="http://schemas.openxmlformats.org/officeDocument/2006/relationships/hyperlink" Target="https://doi.org/10.4103/indianjpsychiatry.indianjpsychiatry_707_23" TargetMode="External"/><Relationship Id="rId37" Type="http://schemas.openxmlformats.org/officeDocument/2006/relationships/hyperlink" Target="https://doi.org/10.7717/peerj.13111" TargetMode="External"/><Relationship Id="rId53" Type="http://schemas.openxmlformats.org/officeDocument/2006/relationships/hyperlink" Target="https://doi.org/10.1016/j.invent.2023.100676" TargetMode="External"/><Relationship Id="rId58" Type="http://schemas.openxmlformats.org/officeDocument/2006/relationships/hyperlink" Target="https://doi.org/10.1186/s13643-021-01626-4" TargetMode="External"/><Relationship Id="rId74" Type="http://schemas.openxmlformats.org/officeDocument/2006/relationships/hyperlink" Target="https://doi.org/10.1017/S1754470X22000423" TargetMode="External"/><Relationship Id="rId79" Type="http://schemas.openxmlformats.org/officeDocument/2006/relationships/hyperlink" Target="https://doi.org/10.1186/s13063-025-09023-1" TargetMode="External"/><Relationship Id="rId5" Type="http://schemas.openxmlformats.org/officeDocument/2006/relationships/webSettings" Target="webSettings.xml"/><Relationship Id="rId61" Type="http://schemas.openxmlformats.org/officeDocument/2006/relationships/hyperlink" Target="https://doi.org/10.1007/s44202-024-00240-4" TargetMode="External"/><Relationship Id="rId82" Type="http://schemas.openxmlformats.org/officeDocument/2006/relationships/hyperlink" Target="https://doi.org/10.3389/fpsyg.2025.1532753" TargetMode="External"/><Relationship Id="rId19" Type="http://schemas.openxmlformats.org/officeDocument/2006/relationships/hyperlink" Target="https://doi.org/10.1016/j.infoh.2024.07.003" TargetMode="External"/><Relationship Id="rId14" Type="http://schemas.openxmlformats.org/officeDocument/2006/relationships/hyperlink" Target="https://doi.org/10.31478/202206e" TargetMode="External"/><Relationship Id="rId22" Type="http://schemas.openxmlformats.org/officeDocument/2006/relationships/hyperlink" Target="https://doi.org/10.1016/j.heliyon.2024.e39630" TargetMode="External"/><Relationship Id="rId27" Type="http://schemas.openxmlformats.org/officeDocument/2006/relationships/hyperlink" Target="https://doi.org/10.3390/children12030353" TargetMode="External"/><Relationship Id="rId30" Type="http://schemas.openxmlformats.org/officeDocument/2006/relationships/hyperlink" Target="https://doi.org/10.1186/s40359-025-02619-x" TargetMode="External"/><Relationship Id="rId35" Type="http://schemas.openxmlformats.org/officeDocument/2006/relationships/hyperlink" Target="https://doi.org/10.1016/j.sintl.2021.100117" TargetMode="External"/><Relationship Id="rId43" Type="http://schemas.openxmlformats.org/officeDocument/2006/relationships/hyperlink" Target="https://doi.org/10.1111/eip.70094" TargetMode="External"/><Relationship Id="rId48" Type="http://schemas.openxmlformats.org/officeDocument/2006/relationships/hyperlink" Target="https://doi.org/10.2196/55786" TargetMode="External"/><Relationship Id="rId56" Type="http://schemas.openxmlformats.org/officeDocument/2006/relationships/hyperlink" Target="https://doi.org/10.1371/journal.pone.0171030" TargetMode="External"/><Relationship Id="rId64" Type="http://schemas.openxmlformats.org/officeDocument/2006/relationships/hyperlink" Target="https://doi.org/10.1016/j.actpsy.2025.104704" TargetMode="External"/><Relationship Id="rId69" Type="http://schemas.openxmlformats.org/officeDocument/2006/relationships/hyperlink" Target="https://doi.org/10.3389/fpsyg.2019.02778" TargetMode="External"/><Relationship Id="rId77" Type="http://schemas.openxmlformats.org/officeDocument/2006/relationships/hyperlink" Target="https://doi.org/10.1002/wps.21299" TargetMode="External"/><Relationship Id="rId8" Type="http://schemas.openxmlformats.org/officeDocument/2006/relationships/header" Target="header1.xml"/><Relationship Id="rId51" Type="http://schemas.openxmlformats.org/officeDocument/2006/relationships/hyperlink" Target="https://doi.org/10.1108/S2754-586520230000002007" TargetMode="External"/><Relationship Id="rId72" Type="http://schemas.openxmlformats.org/officeDocument/2006/relationships/hyperlink" Target="https://doi.org/10.1186/s40359-025-02491-9" TargetMode="External"/><Relationship Id="rId80" Type="http://schemas.openxmlformats.org/officeDocument/2006/relationships/hyperlink" Target="https://doi.org/10.2196/14958"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2196/27400" TargetMode="External"/><Relationship Id="rId25" Type="http://schemas.openxmlformats.org/officeDocument/2006/relationships/hyperlink" Target="https://doi.org/10.1016/j.teler.2025.100217" TargetMode="External"/><Relationship Id="rId33" Type="http://schemas.openxmlformats.org/officeDocument/2006/relationships/hyperlink" Target="https://doi.org/10.1177/20552076231216559" TargetMode="External"/><Relationship Id="rId38" Type="http://schemas.openxmlformats.org/officeDocument/2006/relationships/hyperlink" Target="https://doi.org/10.3389/fpsyt.2022.809332" TargetMode="External"/><Relationship Id="rId46" Type="http://schemas.openxmlformats.org/officeDocument/2006/relationships/hyperlink" Target="https://doi.org/10.1016/j.invent.2025.100824" TargetMode="External"/><Relationship Id="rId59" Type="http://schemas.openxmlformats.org/officeDocument/2006/relationships/hyperlink" Target="https://doi.org/10.1093/arclin/acab053" TargetMode="External"/><Relationship Id="rId67" Type="http://schemas.openxmlformats.org/officeDocument/2006/relationships/hyperlink" Target="https://doi.org/10.3390/educsci15020121" TargetMode="External"/><Relationship Id="rId20" Type="http://schemas.openxmlformats.org/officeDocument/2006/relationships/hyperlink" Target="https://doi.org/10.1016/j.nedt.2025.106571" TargetMode="External"/><Relationship Id="rId41" Type="http://schemas.openxmlformats.org/officeDocument/2006/relationships/hyperlink" Target="https://doi.org/10.1007/s10964-023-01770-1" TargetMode="External"/><Relationship Id="rId54" Type="http://schemas.openxmlformats.org/officeDocument/2006/relationships/hyperlink" Target="https://doi.org/10.3390/educsci15091192" TargetMode="External"/><Relationship Id="rId62" Type="http://schemas.openxmlformats.org/officeDocument/2006/relationships/hyperlink" Target="https://doi.org/10.12669/pjms.41.9.12009" TargetMode="External"/><Relationship Id="rId70" Type="http://schemas.openxmlformats.org/officeDocument/2006/relationships/hyperlink" Target="https://doi.org/10.1016/j.jad.2024.09.116" TargetMode="External"/><Relationship Id="rId75" Type="http://schemas.openxmlformats.org/officeDocument/2006/relationships/hyperlink" Target="https://doi.org/10.1016/j.invent.2022.100528"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390/psychiatryint2040032" TargetMode="External"/><Relationship Id="rId23" Type="http://schemas.openxmlformats.org/officeDocument/2006/relationships/hyperlink" Target="https://doi.org/10.1016/j.lindif.2024.102608" TargetMode="External"/><Relationship Id="rId28" Type="http://schemas.openxmlformats.org/officeDocument/2006/relationships/hyperlink" Target="https://doi.org/10.2196/39686" TargetMode="External"/><Relationship Id="rId36" Type="http://schemas.openxmlformats.org/officeDocument/2006/relationships/hyperlink" Target="https://doi.org/10.1016/j.ssmmh.2025.100540" TargetMode="External"/><Relationship Id="rId49" Type="http://schemas.openxmlformats.org/officeDocument/2006/relationships/hyperlink" Target="https://doi.org/10.1007/s12144-022-03801-9" TargetMode="External"/><Relationship Id="rId57" Type="http://schemas.openxmlformats.org/officeDocument/2006/relationships/hyperlink" Target="https://doi.org/10.2196/69031" TargetMode="External"/><Relationship Id="rId10" Type="http://schemas.openxmlformats.org/officeDocument/2006/relationships/footer" Target="footer1.xml"/><Relationship Id="rId31" Type="http://schemas.openxmlformats.org/officeDocument/2006/relationships/hyperlink" Target="https://doi.org/10.3389/fpubh.2025.1600059" TargetMode="External"/><Relationship Id="rId44" Type="http://schemas.openxmlformats.org/officeDocument/2006/relationships/hyperlink" Target="https://doi.org/10.2196/12869" TargetMode="External"/><Relationship Id="rId52" Type="http://schemas.openxmlformats.org/officeDocument/2006/relationships/hyperlink" Target="https://doi.org/10.3934/publichealth.2021004" TargetMode="External"/><Relationship Id="rId60" Type="http://schemas.openxmlformats.org/officeDocument/2006/relationships/hyperlink" Target="https://ojs.mrj.com.pk/index.php/MRJ/issue/view/14" TargetMode="External"/><Relationship Id="rId65" Type="http://schemas.openxmlformats.org/officeDocument/2006/relationships/hyperlink" Target="https://doi.org/10.2174/0117450179271467231231060255" TargetMode="External"/><Relationship Id="rId73" Type="http://schemas.openxmlformats.org/officeDocument/2006/relationships/hyperlink" Target="https://doi.org/10.1016/j.ijpsycho.2020.11.009" TargetMode="External"/><Relationship Id="rId78" Type="http://schemas.openxmlformats.org/officeDocument/2006/relationships/hyperlink" Target="https://doi.org/10.56778/jdlde.v4i1.511" TargetMode="External"/><Relationship Id="rId81" Type="http://schemas.openxmlformats.org/officeDocument/2006/relationships/hyperlink" Target="https://doi.org/10.3389/fpsyg.2017.02287"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doi.org/10.1002/mpr.1938" TargetMode="External"/><Relationship Id="rId39" Type="http://schemas.openxmlformats.org/officeDocument/2006/relationships/hyperlink" Target="https://doi.org/10.3390/info15120813" TargetMode="External"/><Relationship Id="rId34" Type="http://schemas.openxmlformats.org/officeDocument/2006/relationships/hyperlink" Target="https://doi.org/10.3390/medicina61030431" TargetMode="External"/><Relationship Id="rId50" Type="http://schemas.openxmlformats.org/officeDocument/2006/relationships/hyperlink" Target="https://doi.org/10.17471/2499-4324/1395" TargetMode="External"/><Relationship Id="rId55" Type="http://schemas.openxmlformats.org/officeDocument/2006/relationships/hyperlink" Target="https://doi.org/10.1186/s12913-023-09083-6" TargetMode="External"/><Relationship Id="rId76" Type="http://schemas.openxmlformats.org/officeDocument/2006/relationships/hyperlink" Target="https://doi.org/10.1002/wps.21299" TargetMode="External"/><Relationship Id="rId7" Type="http://schemas.openxmlformats.org/officeDocument/2006/relationships/endnotes" Target="endnotes.xml"/><Relationship Id="rId71" Type="http://schemas.openxmlformats.org/officeDocument/2006/relationships/hyperlink" Target="https://doi.org/10.54517/m.v5i1.2707" TargetMode="External"/><Relationship Id="rId2" Type="http://schemas.openxmlformats.org/officeDocument/2006/relationships/numbering" Target="numbering.xml"/><Relationship Id="rId29" Type="http://schemas.openxmlformats.org/officeDocument/2006/relationships/hyperlink" Target="https://doi.org/10.2196/mental.7785" TargetMode="External"/><Relationship Id="rId24" Type="http://schemas.openxmlformats.org/officeDocument/2006/relationships/hyperlink" Target="https://doi.org/10.1002/wps.20355" TargetMode="External"/><Relationship Id="rId40" Type="http://schemas.openxmlformats.org/officeDocument/2006/relationships/hyperlink" Target="https://doi.org/10.2196/47960" TargetMode="External"/><Relationship Id="rId45" Type="http://schemas.openxmlformats.org/officeDocument/2006/relationships/hyperlink" Target="https://doi.org/10.54254/2753-7048/2026.HT28870" TargetMode="External"/><Relationship Id="rId66" Type="http://schemas.openxmlformats.org/officeDocument/2006/relationships/hyperlink" Target="https://doi.org/10.2174/011745017927146723123106025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ClV+Nni3aj3OALNENWkV3iFq7Q==">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20</Pages>
  <Words>10114</Words>
  <Characters>57652</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5</cp:revision>
  <dcterms:created xsi:type="dcterms:W3CDTF">2025-11-25T08:32:00Z</dcterms:created>
  <dcterms:modified xsi:type="dcterms:W3CDTF">2026-01-27T13:46:00Z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d18493dc-c057-4153-b87a-35b508d475b1</vt:lpwstr>
  </property>
</Properties>
</file>