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B8D5F" w14:textId="3AA089C3" w:rsidR="00926360" w:rsidRPr="000B74FD" w:rsidRDefault="00075492" w:rsidP="000B74FD">
      <w:pPr>
        <w:spacing w:line="360" w:lineRule="auto"/>
        <w:jc w:val="right"/>
        <w:rPr>
          <w:rFonts w:ascii="Arial" w:hAnsi="Arial" w:cs="Arial"/>
          <w:b/>
          <w:bCs/>
          <w:sz w:val="36"/>
          <w:szCs w:val="36"/>
        </w:rPr>
      </w:pPr>
      <w:bookmarkStart w:id="0" w:name="_Hlk219656071"/>
      <w:bookmarkEnd w:id="0"/>
      <w:r w:rsidRPr="000B74FD">
        <w:rPr>
          <w:rFonts w:ascii="Arial" w:hAnsi="Arial" w:cs="Arial"/>
          <w:b/>
          <w:bCs/>
          <w:sz w:val="36"/>
          <w:szCs w:val="36"/>
        </w:rPr>
        <w:t xml:space="preserve">Design and Characterization of a Self-Micro </w:t>
      </w:r>
      <w:r w:rsidR="00670E88" w:rsidRPr="000B74FD">
        <w:rPr>
          <w:rFonts w:ascii="Arial" w:hAnsi="Arial" w:cs="Arial"/>
          <w:b/>
          <w:bCs/>
          <w:sz w:val="36"/>
          <w:szCs w:val="36"/>
        </w:rPr>
        <w:t>E</w:t>
      </w:r>
      <w:r w:rsidRPr="000B74FD">
        <w:rPr>
          <w:rFonts w:ascii="Arial" w:hAnsi="Arial" w:cs="Arial"/>
          <w:b/>
          <w:bCs/>
          <w:sz w:val="36"/>
          <w:szCs w:val="36"/>
        </w:rPr>
        <w:t>mulsifying Drug Delivery System (SMEDDS) for the Delivery of Omega Fatty Acids</w:t>
      </w:r>
    </w:p>
    <w:p w14:paraId="46AD2FF8" w14:textId="1CC95A02" w:rsidR="008A7E07" w:rsidRPr="001909D2" w:rsidRDefault="008A7E07" w:rsidP="001909D2">
      <w:pPr>
        <w:spacing w:line="360" w:lineRule="auto"/>
        <w:rPr>
          <w:rFonts w:ascii="Arial" w:hAnsi="Arial" w:cs="Arial"/>
          <w:b/>
          <w:bCs/>
          <w:sz w:val="22"/>
          <w:szCs w:val="22"/>
        </w:rPr>
      </w:pPr>
      <w:bookmarkStart w:id="1" w:name="_GoBack"/>
      <w:bookmarkEnd w:id="1"/>
      <w:r w:rsidRPr="001909D2">
        <w:rPr>
          <w:rFonts w:ascii="Arial" w:hAnsi="Arial" w:cs="Arial"/>
          <w:b/>
          <w:bCs/>
          <w:sz w:val="22"/>
          <w:szCs w:val="22"/>
        </w:rPr>
        <w:t>ABSTRACT</w:t>
      </w:r>
    </w:p>
    <w:p w14:paraId="63F46618" w14:textId="53365348" w:rsidR="007D7162" w:rsidRPr="007D7162" w:rsidRDefault="007D7162" w:rsidP="0026417D">
      <w:pPr>
        <w:spacing w:line="360" w:lineRule="auto"/>
        <w:jc w:val="both"/>
        <w:rPr>
          <w:rFonts w:ascii="Arial" w:hAnsi="Arial" w:cs="Arial"/>
          <w:sz w:val="20"/>
          <w:szCs w:val="20"/>
        </w:rPr>
      </w:pPr>
      <w:r w:rsidRPr="007D7162">
        <w:rPr>
          <w:rFonts w:ascii="Arial" w:hAnsi="Arial" w:cs="Arial"/>
          <w:b/>
          <w:bCs/>
          <w:sz w:val="20"/>
          <w:szCs w:val="20"/>
        </w:rPr>
        <w:t>Introduction</w:t>
      </w:r>
      <w:r w:rsidR="000B74FD">
        <w:rPr>
          <w:rFonts w:ascii="Arial" w:hAnsi="Arial" w:cs="Arial"/>
          <w:b/>
          <w:bCs/>
          <w:sz w:val="20"/>
          <w:szCs w:val="20"/>
        </w:rPr>
        <w:t>:</w:t>
      </w:r>
      <w:r w:rsidRPr="007D7162">
        <w:rPr>
          <w:rFonts w:ascii="Arial" w:hAnsi="Arial" w:cs="Arial"/>
          <w:sz w:val="20"/>
          <w:szCs w:val="20"/>
        </w:rPr>
        <w:t xml:space="preserve"> </w:t>
      </w:r>
      <w:r w:rsidRPr="008A7E07">
        <w:rPr>
          <w:rFonts w:ascii="Arial" w:hAnsi="Arial" w:cs="Arial"/>
          <w:sz w:val="20"/>
          <w:szCs w:val="20"/>
        </w:rPr>
        <w:t>The global market for nutraceuticals is expanding due to increased health awareness, yet the bioavailability of bioactive components, such as polyunsaturated fatty acids, is often compromised by low aqueous solubility and stability in the gastrointestinal tract. To overcome these limitations, Self-Micro Emulsifying Drug Delivery Systems (SMEDDS) have emerged as a vital strategy to enhance solubility and oral bioavailability. This study focuses on the design and characterization of a SMEDDS formulation specifically aimed at improving the delivery of omega fatty acids.</w:t>
      </w:r>
    </w:p>
    <w:p w14:paraId="65EED779" w14:textId="6625CAFE" w:rsidR="007D7162" w:rsidRPr="007D7162" w:rsidRDefault="007D7162" w:rsidP="0026417D">
      <w:pPr>
        <w:spacing w:line="360" w:lineRule="auto"/>
        <w:jc w:val="both"/>
        <w:rPr>
          <w:rFonts w:ascii="Arial" w:hAnsi="Arial" w:cs="Arial"/>
          <w:sz w:val="20"/>
          <w:szCs w:val="20"/>
        </w:rPr>
      </w:pPr>
      <w:r w:rsidRPr="007D7162">
        <w:rPr>
          <w:rFonts w:ascii="Arial" w:hAnsi="Arial" w:cs="Arial"/>
          <w:b/>
          <w:bCs/>
          <w:sz w:val="20"/>
          <w:szCs w:val="20"/>
        </w:rPr>
        <w:t>Methodology</w:t>
      </w:r>
      <w:r w:rsidR="000B74FD">
        <w:rPr>
          <w:rFonts w:ascii="Arial" w:hAnsi="Arial" w:cs="Arial"/>
          <w:b/>
          <w:bCs/>
          <w:sz w:val="20"/>
          <w:szCs w:val="20"/>
        </w:rPr>
        <w:t>:</w:t>
      </w:r>
      <w:r w:rsidRPr="007D7162">
        <w:rPr>
          <w:rFonts w:ascii="Arial" w:hAnsi="Arial" w:cs="Arial"/>
          <w:sz w:val="20"/>
          <w:szCs w:val="20"/>
        </w:rPr>
        <w:t xml:space="preserve"> Surfactants and co-surfactants were screened via miscibility studies to determine optimal solubility. Pseudo-ternary phase diagrams were constructed using the aqueous titration method to identify the optimal ratios of oil, surfactant (Tween 80), and co-surfactant (PEG 400). The formulation was prepared using a high-shear homogenizer and characterized for self-emulsification time, viscosity, droplet size, zeta potential, in-vitro dissolution, and stability under accelerated conditions.</w:t>
      </w:r>
    </w:p>
    <w:p w14:paraId="5635332B" w14:textId="52E96A4F" w:rsidR="007D7162" w:rsidRPr="007D7162" w:rsidRDefault="007D7162" w:rsidP="0026417D">
      <w:pPr>
        <w:spacing w:line="360" w:lineRule="auto"/>
        <w:jc w:val="both"/>
        <w:rPr>
          <w:rFonts w:ascii="Arial" w:hAnsi="Arial" w:cs="Arial"/>
          <w:sz w:val="20"/>
          <w:szCs w:val="20"/>
        </w:rPr>
      </w:pPr>
      <w:r w:rsidRPr="007D7162">
        <w:rPr>
          <w:rFonts w:ascii="Arial" w:hAnsi="Arial" w:cs="Arial"/>
          <w:b/>
          <w:bCs/>
          <w:sz w:val="20"/>
          <w:szCs w:val="20"/>
        </w:rPr>
        <w:t>Results</w:t>
      </w:r>
      <w:r w:rsidR="000B74FD">
        <w:rPr>
          <w:rFonts w:ascii="Arial" w:hAnsi="Arial" w:cs="Arial"/>
          <w:b/>
          <w:bCs/>
          <w:sz w:val="20"/>
          <w:szCs w:val="20"/>
        </w:rPr>
        <w:t>:</w:t>
      </w:r>
      <w:r w:rsidRPr="007D7162">
        <w:rPr>
          <w:rFonts w:ascii="Arial" w:hAnsi="Arial" w:cs="Arial"/>
          <w:sz w:val="20"/>
          <w:szCs w:val="20"/>
        </w:rPr>
        <w:t xml:space="preserve"> The miscibility study identified Tween 80 and PEG 400 as the ideal surfactant and co-surfactant, with a 2:1 ratio yielding the largest monophasic region on the phase diagram. The optimized SMEDDS exhibited a rapid self-emulsification time of less than one minute, a mean globule size of 645.2 nm, and a stable zeta potential of -34.9 mV. In-vitro dissolution studies demonstrated a drug release of over 63% in the first 15 minutes, significantly higher than that of pure oil.</w:t>
      </w:r>
    </w:p>
    <w:p w14:paraId="50D1747F" w14:textId="5FA03216" w:rsidR="007D7162" w:rsidRPr="007D7162" w:rsidRDefault="007D7162" w:rsidP="0026417D">
      <w:pPr>
        <w:spacing w:line="360" w:lineRule="auto"/>
        <w:jc w:val="both"/>
      </w:pPr>
      <w:r w:rsidRPr="007D7162">
        <w:rPr>
          <w:rFonts w:ascii="Arial" w:hAnsi="Arial" w:cs="Arial"/>
          <w:b/>
          <w:bCs/>
          <w:sz w:val="20"/>
          <w:szCs w:val="20"/>
        </w:rPr>
        <w:t>Conclusion</w:t>
      </w:r>
      <w:r w:rsidR="000B74FD">
        <w:rPr>
          <w:rFonts w:ascii="Arial" w:hAnsi="Arial" w:cs="Arial"/>
          <w:b/>
          <w:bCs/>
          <w:sz w:val="20"/>
          <w:szCs w:val="20"/>
        </w:rPr>
        <w:t>:</w:t>
      </w:r>
      <w:r w:rsidRPr="007D7162">
        <w:rPr>
          <w:rFonts w:ascii="Arial" w:hAnsi="Arial" w:cs="Arial"/>
          <w:sz w:val="20"/>
          <w:szCs w:val="20"/>
        </w:rPr>
        <w:t xml:space="preserve"> The developed SMEDDS formulation successfully improved the solubility and dissolution profile of omega fatty acids. The formulation remained physically stable for </w:t>
      </w:r>
      <w:r w:rsidR="0026417D" w:rsidRPr="000B74FD">
        <w:rPr>
          <w:rFonts w:ascii="Arial" w:hAnsi="Arial" w:cs="Arial"/>
          <w:sz w:val="20"/>
          <w:szCs w:val="20"/>
        </w:rPr>
        <w:t>a</w:t>
      </w:r>
      <w:r w:rsidRPr="007D7162">
        <w:rPr>
          <w:rFonts w:ascii="Arial" w:hAnsi="Arial" w:cs="Arial"/>
          <w:sz w:val="20"/>
          <w:szCs w:val="20"/>
        </w:rPr>
        <w:t xml:space="preserve"> month under various storage conditions, suggesting this approach is a viable strategy for delivering poorly water-soluble nutraceuticals.</w:t>
      </w:r>
    </w:p>
    <w:p w14:paraId="7BADC302" w14:textId="77777777" w:rsidR="008A7E07" w:rsidRDefault="008A7E07" w:rsidP="00883EF8">
      <w:pPr>
        <w:spacing w:line="360" w:lineRule="auto"/>
      </w:pPr>
    </w:p>
    <w:p w14:paraId="013BA1E3" w14:textId="0036CF2C" w:rsidR="000B74FD" w:rsidRPr="000B74FD" w:rsidRDefault="000B74FD" w:rsidP="00883EF8">
      <w:pPr>
        <w:spacing w:line="360" w:lineRule="auto"/>
        <w:rPr>
          <w:rFonts w:ascii="Arial" w:hAnsi="Arial" w:cs="Arial"/>
          <w:i/>
          <w:iCs/>
        </w:rPr>
      </w:pPr>
      <w:r w:rsidRPr="000B74FD">
        <w:rPr>
          <w:rFonts w:ascii="Arial" w:hAnsi="Arial" w:cs="Arial"/>
          <w:i/>
          <w:iCs/>
          <w:sz w:val="20"/>
          <w:szCs w:val="20"/>
        </w:rPr>
        <w:t>Keywords: Nutraceutical formulation, SMEDDS, Fatty acids, Solubility</w:t>
      </w:r>
    </w:p>
    <w:p w14:paraId="57EEBADE" w14:textId="6F721C64" w:rsidR="007311F9" w:rsidRPr="00670E88" w:rsidRDefault="00F3618F" w:rsidP="001909D2">
      <w:pPr>
        <w:pStyle w:val="Heading1"/>
      </w:pPr>
      <w:bookmarkStart w:id="2" w:name="_Hlk219473751"/>
      <w:r w:rsidRPr="00883EF8">
        <w:t>INTRODUCTION</w:t>
      </w:r>
    </w:p>
    <w:p w14:paraId="5842D0FC" w14:textId="373067C6" w:rsidR="00B84D30" w:rsidRPr="00164260" w:rsidRDefault="006A1C55" w:rsidP="00883EF8">
      <w:pPr>
        <w:spacing w:line="360" w:lineRule="auto"/>
        <w:jc w:val="both"/>
        <w:rPr>
          <w:rFonts w:ascii="Arial" w:hAnsi="Arial" w:cs="Arial"/>
          <w:sz w:val="20"/>
          <w:szCs w:val="20"/>
        </w:rPr>
      </w:pPr>
      <w:r w:rsidRPr="00164260">
        <w:rPr>
          <w:rFonts w:ascii="Arial" w:hAnsi="Arial" w:cs="Arial"/>
          <w:sz w:val="20"/>
          <w:szCs w:val="20"/>
        </w:rPr>
        <w:t>The growing awareness among people to live healthy lives has led to a significant increase in the global market for nutraceuticals in recent years.</w:t>
      </w:r>
      <w:r w:rsidR="004D0E6B" w:rsidRPr="00164260">
        <w:rPr>
          <w:rFonts w:ascii="Arial" w:hAnsi="Arial" w:cs="Arial"/>
          <w:sz w:val="20"/>
          <w:szCs w:val="20"/>
        </w:rPr>
        <w:t xml:space="preserve"> </w:t>
      </w:r>
      <w:r w:rsidR="004C5720" w:rsidRPr="00164260">
        <w:rPr>
          <w:rFonts w:ascii="Arial" w:hAnsi="Arial" w:cs="Arial"/>
          <w:sz w:val="20"/>
          <w:szCs w:val="20"/>
        </w:rPr>
        <w:t xml:space="preserve">Additionally, there is a significant desire among some segments of the general public to use nutraceuticals to augment daily nutritional needs in order to prevent chronic diseases associated with </w:t>
      </w:r>
      <w:r w:rsidR="007D6D42" w:rsidRPr="00164260">
        <w:rPr>
          <w:rFonts w:ascii="Arial" w:hAnsi="Arial" w:cs="Arial"/>
          <w:sz w:val="20"/>
          <w:szCs w:val="20"/>
        </w:rPr>
        <w:t xml:space="preserve">deficiencies </w:t>
      </w:r>
      <w:r w:rsidR="004D0E6B" w:rsidRPr="00164260">
        <w:rPr>
          <w:rFonts w:ascii="Arial" w:hAnsi="Arial" w:cs="Arial"/>
          <w:sz w:val="20"/>
          <w:szCs w:val="20"/>
        </w:rPr>
        <w:fldChar w:fldCharType="begin"/>
      </w:r>
      <w:r w:rsidR="004D0E6B" w:rsidRPr="00164260">
        <w:rPr>
          <w:rFonts w:ascii="Arial" w:hAnsi="Arial" w:cs="Arial"/>
          <w:sz w:val="20"/>
          <w:szCs w:val="20"/>
        </w:rPr>
        <w:instrText xml:space="preserve"> ADDIN ZOTERO_ITEM CSL_CITATION {"citationID":"xmMldLD7","properties":{"formattedCitation":"(Shah et al., 2018)","plainCitation":"(Shah et al., 2018)","noteIndex":0},"citationItems":[{"id":224,"uris":["http://zotero.org/users/11670883/items/D4UW2WSG"],"itemData":{"id":224,"type":"article-journal","container-title":"Drug Development and Industrial Pharmacy","DOI":"10.1080/03639045.2017.1419365","ISSN":"0363-9045, 1520-5762","issue":"6","journalAbbreviation":"Drug Development and Industrial Pharmacy","language":"en","page":"895-901","source":"DOI.org (Crossref)","title":"Development of self-microemulsifying drug delivery system for oral delivery of poorly water-soluble nutraceuticals","volume":"44","author":[{"family":"Shah","given":"Ankita V."},{"family":"Desai","given":"Heta H."},{"family":"Thool","given":"Prajwal"},{"family":"Dalrymple","given":"Damon"},{"family":"Serajuddin","given":"Abu T. M."}],"issued":{"date-parts":[["2018",6,3]]}}}],"schema":"https://github.com/citation-style-language/schema/raw/master/csl-citation.json"} </w:instrText>
      </w:r>
      <w:r w:rsidR="004D0E6B" w:rsidRPr="00164260">
        <w:rPr>
          <w:rFonts w:ascii="Arial" w:hAnsi="Arial" w:cs="Arial"/>
          <w:sz w:val="20"/>
          <w:szCs w:val="20"/>
        </w:rPr>
        <w:fldChar w:fldCharType="separate"/>
      </w:r>
      <w:r w:rsidR="004D0E6B" w:rsidRPr="00164260">
        <w:rPr>
          <w:rFonts w:ascii="Arial" w:hAnsi="Arial" w:cs="Arial"/>
          <w:sz w:val="20"/>
          <w:szCs w:val="20"/>
        </w:rPr>
        <w:t>(Shah et al., 2018)</w:t>
      </w:r>
      <w:r w:rsidR="004D0E6B" w:rsidRPr="00164260">
        <w:rPr>
          <w:rFonts w:ascii="Arial" w:hAnsi="Arial" w:cs="Arial"/>
          <w:sz w:val="20"/>
          <w:szCs w:val="20"/>
        </w:rPr>
        <w:fldChar w:fldCharType="end"/>
      </w:r>
      <w:r w:rsidR="0062539D">
        <w:rPr>
          <w:rFonts w:ascii="Arial" w:hAnsi="Arial" w:cs="Arial"/>
          <w:sz w:val="20"/>
          <w:szCs w:val="20"/>
        </w:rPr>
        <w:t>.</w:t>
      </w:r>
      <w:r w:rsidR="004D0E6B" w:rsidRPr="00164260">
        <w:rPr>
          <w:rFonts w:ascii="Arial" w:hAnsi="Arial" w:cs="Arial"/>
          <w:sz w:val="20"/>
          <w:szCs w:val="20"/>
        </w:rPr>
        <w:t xml:space="preserve"> </w:t>
      </w:r>
      <w:r w:rsidR="008F0818" w:rsidRPr="00164260">
        <w:rPr>
          <w:rFonts w:ascii="Arial" w:hAnsi="Arial" w:cs="Arial"/>
          <w:sz w:val="20"/>
          <w:szCs w:val="20"/>
        </w:rPr>
        <w:t>The term "nutraceutical" refers to a food</w:t>
      </w:r>
      <w:r w:rsidR="004C5720" w:rsidRPr="00164260">
        <w:rPr>
          <w:rFonts w:ascii="Arial" w:hAnsi="Arial" w:cs="Arial"/>
          <w:sz w:val="20"/>
          <w:szCs w:val="20"/>
        </w:rPr>
        <w:t xml:space="preserve"> or </w:t>
      </w:r>
      <w:r w:rsidR="003B4895" w:rsidRPr="00164260">
        <w:rPr>
          <w:rFonts w:ascii="Arial" w:hAnsi="Arial" w:cs="Arial"/>
          <w:sz w:val="20"/>
          <w:szCs w:val="20"/>
        </w:rPr>
        <w:lastRenderedPageBreak/>
        <w:t>element</w:t>
      </w:r>
      <w:r w:rsidR="004C5720" w:rsidRPr="00164260">
        <w:rPr>
          <w:rFonts w:ascii="Arial" w:hAnsi="Arial" w:cs="Arial"/>
          <w:sz w:val="20"/>
          <w:szCs w:val="20"/>
        </w:rPr>
        <w:t xml:space="preserve"> of food </w:t>
      </w:r>
      <w:r w:rsidR="008F0818" w:rsidRPr="00164260">
        <w:rPr>
          <w:rFonts w:ascii="Arial" w:hAnsi="Arial" w:cs="Arial"/>
          <w:sz w:val="20"/>
          <w:szCs w:val="20"/>
        </w:rPr>
        <w:t>which</w:t>
      </w:r>
      <w:r w:rsidR="004C5720" w:rsidRPr="00164260">
        <w:rPr>
          <w:rFonts w:ascii="Arial" w:hAnsi="Arial" w:cs="Arial"/>
          <w:sz w:val="20"/>
          <w:szCs w:val="20"/>
        </w:rPr>
        <w:t xml:space="preserve"> offers health or </w:t>
      </w:r>
      <w:r w:rsidR="003B4895" w:rsidRPr="00164260">
        <w:rPr>
          <w:rFonts w:ascii="Arial" w:hAnsi="Arial" w:cs="Arial"/>
          <w:sz w:val="20"/>
          <w:szCs w:val="20"/>
        </w:rPr>
        <w:t>clin</w:t>
      </w:r>
      <w:r w:rsidR="004C5720" w:rsidRPr="00164260">
        <w:rPr>
          <w:rFonts w:ascii="Arial" w:hAnsi="Arial" w:cs="Arial"/>
          <w:sz w:val="20"/>
          <w:szCs w:val="20"/>
        </w:rPr>
        <w:t xml:space="preserve">ical </w:t>
      </w:r>
      <w:r w:rsidR="008F0818" w:rsidRPr="00164260">
        <w:rPr>
          <w:rFonts w:ascii="Arial" w:hAnsi="Arial" w:cs="Arial"/>
          <w:sz w:val="20"/>
          <w:szCs w:val="20"/>
        </w:rPr>
        <w:t>advantages</w:t>
      </w:r>
      <w:r w:rsidR="004C5720" w:rsidRPr="00164260">
        <w:rPr>
          <w:rFonts w:ascii="Arial" w:hAnsi="Arial" w:cs="Arial"/>
          <w:sz w:val="20"/>
          <w:szCs w:val="20"/>
        </w:rPr>
        <w:t xml:space="preserve">, such as </w:t>
      </w:r>
      <w:r w:rsidR="003B4895" w:rsidRPr="00164260">
        <w:rPr>
          <w:rFonts w:ascii="Arial" w:hAnsi="Arial" w:cs="Arial"/>
          <w:sz w:val="20"/>
          <w:szCs w:val="20"/>
        </w:rPr>
        <w:t>illness</w:t>
      </w:r>
      <w:r w:rsidR="004C5720" w:rsidRPr="00164260">
        <w:rPr>
          <w:rFonts w:ascii="Arial" w:hAnsi="Arial" w:cs="Arial"/>
          <w:sz w:val="20"/>
          <w:szCs w:val="20"/>
        </w:rPr>
        <w:t xml:space="preserve"> prevention or therapy. Products like nutritional supplements, isolated nutrients, herbal products, genetically modified designer foods, processed and functional foods, etc. are all included in this description</w:t>
      </w:r>
      <w:r w:rsidR="007D6D42" w:rsidRPr="00164260">
        <w:rPr>
          <w:rFonts w:ascii="Arial" w:hAnsi="Arial" w:cs="Arial"/>
          <w:sz w:val="20"/>
          <w:szCs w:val="20"/>
        </w:rPr>
        <w:t xml:space="preserve"> </w:t>
      </w:r>
      <w:r w:rsidR="00AF70EA"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{"citationID":"0xQtdquX","properties":{"formattedCitation":"(DeFelice, 1995)","plainCitation":"(DeFelice, 1995)","noteIndex":0},"citationItems":[{"id":222,"uris":["http://zotero.org/users/11670883/items/2CMAXNBE"],"itemData":{"id":222,"type":"article-journal","container-title":"Trends in Food Science &amp; Technology","DOI":"10.1016/S0924-2244(00)88944-X","ISSN":"09242244","issue":"2","journalAbbreviation":"Trends in Food Science &amp; Technology","language":"en","license":"https://www.elsevier.com/tdm/userlicense/1.0/","page":"59-61","source":"DOI.org (Crossref)","title":"The nutraceutical revolution: its impact on food industry R&amp;D","title-short":"The nutraceutical revolution","volume":"6","author":[{"family":"DeFelice","given":"Stephen L."}],"issued":{"date-parts":[["1995",2]]}}}],"schema":"https://github.com/citation-style-language/schema/raw/master/csl-citation.json"} </w:instrText>
      </w:r>
      <w:r w:rsidR="00AF70EA" w:rsidRPr="00164260">
        <w:rPr>
          <w:rFonts w:ascii="Arial" w:hAnsi="Arial" w:cs="Arial"/>
          <w:sz w:val="20"/>
          <w:szCs w:val="20"/>
        </w:rPr>
        <w:fldChar w:fldCharType="separate"/>
      </w:r>
      <w:r w:rsidR="00AF70EA" w:rsidRPr="00164260">
        <w:rPr>
          <w:rFonts w:ascii="Arial" w:hAnsi="Arial" w:cs="Arial"/>
          <w:sz w:val="20"/>
          <w:szCs w:val="20"/>
        </w:rPr>
        <w:t>(DeFelice, 1995)</w:t>
      </w:r>
      <w:r w:rsidR="00AF70EA" w:rsidRPr="00164260">
        <w:rPr>
          <w:rFonts w:ascii="Arial" w:hAnsi="Arial" w:cs="Arial"/>
          <w:sz w:val="20"/>
          <w:szCs w:val="20"/>
        </w:rPr>
        <w:fldChar w:fldCharType="end"/>
      </w:r>
      <w:r w:rsidR="0062539D">
        <w:rPr>
          <w:rFonts w:ascii="Arial" w:hAnsi="Arial" w:cs="Arial"/>
          <w:sz w:val="20"/>
          <w:szCs w:val="20"/>
        </w:rPr>
        <w:t>.</w:t>
      </w:r>
      <w:r w:rsidR="00AF70EA" w:rsidRPr="00164260">
        <w:rPr>
          <w:rFonts w:ascii="Arial" w:hAnsi="Arial" w:cs="Arial"/>
          <w:sz w:val="20"/>
          <w:szCs w:val="20"/>
        </w:rPr>
        <w:t xml:space="preserve"> </w:t>
      </w:r>
    </w:p>
    <w:p w14:paraId="015C41C1" w14:textId="31D41958" w:rsidR="00AF70EA" w:rsidRPr="001909D2" w:rsidRDefault="00FB5601" w:rsidP="00883EF8">
      <w:pPr>
        <w:spacing w:line="360" w:lineRule="auto"/>
        <w:jc w:val="both"/>
        <w:rPr>
          <w:rFonts w:ascii="Arial" w:hAnsi="Arial" w:cs="Arial"/>
          <w:sz w:val="20"/>
          <w:szCs w:val="20"/>
        </w:rPr>
      </w:pPr>
      <w:r w:rsidRPr="00164260">
        <w:rPr>
          <w:rFonts w:ascii="Arial" w:hAnsi="Arial" w:cs="Arial"/>
          <w:sz w:val="20"/>
          <w:szCs w:val="20"/>
        </w:rPr>
        <w:t>A formulator may find it simple to create a pharmaceutical formulation that contains bioactive food, but achieving a good bioavailability for these nutraceuticals can be very difficult. Low solubility, stability, and/or permeability of the bioactive component in the GIT frequently compromise the bioavailability</w:t>
      </w:r>
      <w:r w:rsidR="007D6D42" w:rsidRPr="00164260">
        <w:rPr>
          <w:rFonts w:ascii="Arial" w:hAnsi="Arial" w:cs="Arial"/>
          <w:sz w:val="20"/>
          <w:szCs w:val="20"/>
        </w:rPr>
        <w:t xml:space="preserve"> </w:t>
      </w:r>
      <w:r w:rsidR="003F33B6" w:rsidRPr="00164260">
        <w:rPr>
          <w:rFonts w:ascii="Arial" w:hAnsi="Arial" w:cs="Arial"/>
          <w:sz w:val="20"/>
          <w:szCs w:val="20"/>
        </w:rPr>
        <w:fldChar w:fldCharType="begin"/>
      </w:r>
      <w:r w:rsidR="003F33B6" w:rsidRPr="00164260">
        <w:rPr>
          <w:rFonts w:ascii="Arial" w:hAnsi="Arial" w:cs="Arial"/>
          <w:sz w:val="20"/>
          <w:szCs w:val="20"/>
        </w:rPr>
        <w:instrText xml:space="preserve"> ADDIN ZOTERO_ITEM CSL_CITATION {"citationID":"QC4iYycY","properties":{"formattedCitation":"(Keservani, n.d.)","plainCitation":"(Keservani, n.d.)","noteIndex":0},"citationItems":[{"id":228,"uris":["http://zotero.org/users/11670883/items/6LGW97YD"],"itemData":{"id":228,"type":"article-journal","language":"en","source":"Zotero","title":"Chapter 9 - Nutraceutical Formulations and Challenges","author":[{"family":"Keservani","given":"Raj K"}]}}],"schema":"https://github.com/citation-style-language/schema/raw/master/csl-citation.json"} </w:instrText>
      </w:r>
      <w:r w:rsidR="003F33B6" w:rsidRPr="00164260">
        <w:rPr>
          <w:rFonts w:ascii="Arial" w:hAnsi="Arial" w:cs="Arial"/>
          <w:sz w:val="20"/>
          <w:szCs w:val="20"/>
        </w:rPr>
        <w:fldChar w:fldCharType="separate"/>
      </w:r>
      <w:r w:rsidR="003F33B6" w:rsidRPr="00164260">
        <w:rPr>
          <w:rFonts w:ascii="Arial" w:hAnsi="Arial" w:cs="Arial"/>
          <w:sz w:val="20"/>
          <w:szCs w:val="20"/>
        </w:rPr>
        <w:t>(Keservani, n.d.)</w:t>
      </w:r>
      <w:r w:rsidR="003F33B6" w:rsidRPr="00164260">
        <w:rPr>
          <w:rFonts w:ascii="Arial" w:hAnsi="Arial" w:cs="Arial"/>
          <w:sz w:val="20"/>
          <w:szCs w:val="20"/>
        </w:rPr>
        <w:fldChar w:fldCharType="end"/>
      </w:r>
      <w:r w:rsidR="0062539D">
        <w:rPr>
          <w:rFonts w:ascii="Arial" w:hAnsi="Arial" w:cs="Arial"/>
          <w:sz w:val="20"/>
          <w:szCs w:val="20"/>
        </w:rPr>
        <w:t>.</w:t>
      </w:r>
    </w:p>
    <w:p w14:paraId="514E554A" w14:textId="2BF1216B" w:rsidR="00AF70EA" w:rsidRPr="00164260" w:rsidRDefault="00FB5601" w:rsidP="00883EF8">
      <w:pPr>
        <w:spacing w:line="360" w:lineRule="auto"/>
        <w:jc w:val="both"/>
        <w:rPr>
          <w:rFonts w:ascii="Arial" w:hAnsi="Arial" w:cs="Arial"/>
          <w:sz w:val="20"/>
          <w:szCs w:val="20"/>
        </w:rPr>
      </w:pPr>
      <w:r w:rsidRPr="00164260">
        <w:rPr>
          <w:rFonts w:ascii="Arial" w:hAnsi="Arial" w:cs="Arial"/>
          <w:sz w:val="20"/>
          <w:szCs w:val="20"/>
        </w:rPr>
        <w:t xml:space="preserve">One of the nutrients with exceptional nutraceutical potential is polyunsaturated fatty acids. Numerous metabolites of polyunsaturated fatty acids, particularly essential fatty acids and eicosanoids derived from arachidonic acid or </w:t>
      </w:r>
      <w:proofErr w:type="spellStart"/>
      <w:r w:rsidRPr="00164260">
        <w:rPr>
          <w:rFonts w:ascii="Arial" w:hAnsi="Arial" w:cs="Arial"/>
          <w:sz w:val="20"/>
          <w:szCs w:val="20"/>
        </w:rPr>
        <w:t>eicosapentaenoic</w:t>
      </w:r>
      <w:proofErr w:type="spellEnd"/>
      <w:r w:rsidRPr="00164260">
        <w:rPr>
          <w:rFonts w:ascii="Arial" w:hAnsi="Arial" w:cs="Arial"/>
          <w:sz w:val="20"/>
          <w:szCs w:val="20"/>
        </w:rPr>
        <w:t xml:space="preserve"> acid, actively contribute to the nutraceutical qualities associated with polyunsaturated fatty acids. Through several biochemical pathways, including antioxidant and anti-inflammatory properties, polyunsaturated fatty acids have nutraceutical functions in diseases </w:t>
      </w:r>
      <w:r w:rsidR="003B4895" w:rsidRPr="00164260">
        <w:rPr>
          <w:rFonts w:ascii="Arial" w:hAnsi="Arial" w:cs="Arial"/>
          <w:sz w:val="20"/>
          <w:szCs w:val="20"/>
        </w:rPr>
        <w:t xml:space="preserve">like </w:t>
      </w:r>
      <w:r w:rsidRPr="00164260">
        <w:rPr>
          <w:rFonts w:ascii="Arial" w:hAnsi="Arial" w:cs="Arial"/>
          <w:sz w:val="20"/>
          <w:szCs w:val="20"/>
        </w:rPr>
        <w:t xml:space="preserve">cancer, fatty liver </w:t>
      </w:r>
      <w:r w:rsidR="003B4895" w:rsidRPr="00164260">
        <w:rPr>
          <w:rFonts w:ascii="Arial" w:hAnsi="Arial" w:cs="Arial"/>
          <w:sz w:val="20"/>
          <w:szCs w:val="20"/>
        </w:rPr>
        <w:t>condition</w:t>
      </w:r>
      <w:r w:rsidRPr="00164260">
        <w:rPr>
          <w:rFonts w:ascii="Arial" w:hAnsi="Arial" w:cs="Arial"/>
          <w:sz w:val="20"/>
          <w:szCs w:val="20"/>
        </w:rPr>
        <w:t xml:space="preserve">, cardiovascular disorders, </w:t>
      </w:r>
      <w:r w:rsidR="007D6D42" w:rsidRPr="00164260">
        <w:rPr>
          <w:rFonts w:ascii="Arial" w:hAnsi="Arial" w:cs="Arial"/>
          <w:sz w:val="20"/>
          <w:szCs w:val="20"/>
        </w:rPr>
        <w:t>type II</w:t>
      </w:r>
      <w:r w:rsidRPr="00164260">
        <w:rPr>
          <w:rFonts w:ascii="Arial" w:hAnsi="Arial" w:cs="Arial"/>
          <w:sz w:val="20"/>
          <w:szCs w:val="20"/>
        </w:rPr>
        <w:t xml:space="preserve"> diabetes, and neurodegeneration </w:t>
      </w:r>
      <w:r w:rsidR="009842E8" w:rsidRPr="00164260">
        <w:rPr>
          <w:rFonts w:ascii="Arial" w:hAnsi="Arial" w:cs="Arial"/>
          <w:sz w:val="20"/>
          <w:szCs w:val="20"/>
        </w:rPr>
        <w:fldChar w:fldCharType="begin"/>
      </w:r>
      <w:r w:rsidR="0062539D">
        <w:rPr>
          <w:rFonts w:ascii="Arial" w:hAnsi="Arial" w:cs="Arial"/>
          <w:sz w:val="20"/>
          <w:szCs w:val="20"/>
        </w:rPr>
        <w:instrText xml:space="preserve"> ADDIN ZOTERO_ITEM CSL_CITATION {"citationID":"1bjmXsNq","properties":{"formattedCitation":"(\\uc0\\u350{}im\\uc0\\u351{}ek and U\\uc0\\u231{}ar, 2025)","plainCitation":"(Şimşek and Uçar, 2025)","noteIndex":0},"citationItems":[{"id":229,"uris":["http://zotero.org/users/11670883/items/TW7KD2TL"],"itemData":{"id":229,"type":"chapter","container-title":"Food Bioactives and Nutraceuticals","DOI":"10.1007/978-981-97-9723-3_8","ISBN":"978-981-97-9722-6","language":"en","page":"211-223","publisher":"Springer Nature Singapore","publisher-place":"Singapore","source":"DOI.org (Crossref)","title":"Functional Aspects of Polyunsaturated Fatty Acids as Nutraceuticals","URL":"https://link.springer.com/10.1007/978-981-97-9723-3_8","editor":[{"family":"Amir Ashraf","given":"Syed"},{"family":"Adnan","given":"Mohd"}],"author":[{"family":"Şimşek","given":"Hilal"},{"family":"Uçar","given":"Aslı"}],"accessed":{"date-parts":[["2026",1,7]]},"issued":{"date-parts":[["2025"]]}}}],"schema":"https://github.com/citation-style-language/schema/raw/master/csl-citation.json"} </w:instrText>
      </w:r>
      <w:r w:rsidR="009842E8" w:rsidRPr="00164260">
        <w:rPr>
          <w:rFonts w:ascii="Arial" w:hAnsi="Arial" w:cs="Arial"/>
          <w:sz w:val="20"/>
          <w:szCs w:val="20"/>
        </w:rPr>
        <w:fldChar w:fldCharType="separate"/>
      </w:r>
      <w:r w:rsidR="009842E8" w:rsidRPr="00164260">
        <w:rPr>
          <w:rFonts w:ascii="Arial" w:hAnsi="Arial" w:cs="Arial"/>
          <w:kern w:val="0"/>
          <w:sz w:val="20"/>
          <w:szCs w:val="20"/>
        </w:rPr>
        <w:t>(Şimşek and Uçar, 2025)</w:t>
      </w:r>
      <w:r w:rsidR="009842E8" w:rsidRPr="00164260">
        <w:rPr>
          <w:rFonts w:ascii="Arial" w:hAnsi="Arial" w:cs="Arial"/>
          <w:sz w:val="20"/>
          <w:szCs w:val="20"/>
        </w:rPr>
        <w:fldChar w:fldCharType="end"/>
      </w:r>
      <w:r w:rsidR="0062539D">
        <w:rPr>
          <w:rFonts w:ascii="Arial" w:hAnsi="Arial" w:cs="Arial"/>
          <w:sz w:val="20"/>
          <w:szCs w:val="20"/>
        </w:rPr>
        <w:t>.</w:t>
      </w:r>
      <w:r w:rsidR="009842E8" w:rsidRPr="00164260">
        <w:rPr>
          <w:rFonts w:ascii="Arial" w:hAnsi="Arial" w:cs="Arial"/>
          <w:sz w:val="20"/>
          <w:szCs w:val="20"/>
        </w:rPr>
        <w:t xml:space="preserve"> </w:t>
      </w:r>
    </w:p>
    <w:p w14:paraId="34BC22B0" w14:textId="026B85DE" w:rsidR="007074D4" w:rsidRPr="001909D2" w:rsidRDefault="00B53B6B" w:rsidP="00883EF8">
      <w:pPr>
        <w:spacing w:line="360" w:lineRule="auto"/>
        <w:jc w:val="both"/>
        <w:rPr>
          <w:rFonts w:ascii="Arial" w:hAnsi="Arial" w:cs="Arial"/>
          <w:sz w:val="20"/>
          <w:szCs w:val="20"/>
        </w:rPr>
      </w:pPr>
      <w:r w:rsidRPr="00164260">
        <w:rPr>
          <w:rFonts w:ascii="Arial" w:hAnsi="Arial" w:cs="Arial"/>
          <w:sz w:val="20"/>
          <w:szCs w:val="20"/>
        </w:rPr>
        <w:t xml:space="preserve">It has been discovered that the majority of novel and natural chemical entities, including fatty acids, are poorly soluble in water. Formulation scientists must solve the problem of poor aqueous solubility in order to deliver such medications more effectively. Simple oily solutions, micellar solutions, microemulsions, nanoemulsions, and more recently, SMEDDS, are the best examples </w:t>
      </w:r>
      <w:r w:rsidR="006B17B8"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{"citationID":"5mnudUrL","properties":{"formattedCitation":"(Hauss, 2007)","plainCitation":"(Hauss, 2007)","noteIndex":0},"citationItems":[{"id":218,"uris":["http://zotero.org/users/11670883/items/X5ISCL2H"],"itemData":{"id":218,"type":"article-journal","abstract":"Poor drug solubility remains a significant and frequently encountered problem for pharmaceutical scientists. The ability of lipid-based formulations to facilitate gastrointestinal absorption of many poorly soluble drug candidates has been thoroughly documented in the published literature. However, a considerable gap exists between our knowledge of this technology and the know-how required for its application. This commentary provides a comprehensive summary of the development, characterization, and utilization of oral lipid-based formulations, from both physicochemical and biopharmaceutical perspectives. The characteristics of currently available lipid excipients are reviewed in context of their application to the basic lipid-based formulation modalities. The fundamental concepts of in vitro and in vivo evaluation of lipid-based formulations are summarized followed by a forward-looking summary of unrealized opportunities and potential limitations to more widespread use of this technology.","container-title":"Advanced Drug Delivery Reviews","DOI":"10.1016/j.addr.2007.05.006","ISSN":"0169409X","issue":"7","journalAbbreviation":"Advanced Drug Delivery Reviews","language":"en","license":"https://www.elsevier.com/tdm/userlicense/1.0/","page":"667-676","source":"DOI.org (Crossref)","title":"Oral lipid-based formulations","volume":"59","author":[{"family":"Hauss","given":"David J."}],"issued":{"date-parts":[["2007",7]]}}}],"schema":"https://github.com/citation-style-language/schema/raw/master/csl-citation.json"} </w:instrText>
      </w:r>
      <w:r w:rsidR="006B17B8" w:rsidRPr="00164260">
        <w:rPr>
          <w:rFonts w:ascii="Arial" w:hAnsi="Arial" w:cs="Arial"/>
          <w:sz w:val="20"/>
          <w:szCs w:val="20"/>
        </w:rPr>
        <w:fldChar w:fldCharType="separate"/>
      </w:r>
      <w:r w:rsidR="00AF70EA" w:rsidRPr="00164260">
        <w:rPr>
          <w:rFonts w:ascii="Arial" w:hAnsi="Arial" w:cs="Arial"/>
          <w:sz w:val="20"/>
          <w:szCs w:val="20"/>
        </w:rPr>
        <w:t>(Hauss, 2007)</w:t>
      </w:r>
      <w:r w:rsidR="006B17B8" w:rsidRPr="00164260">
        <w:rPr>
          <w:rFonts w:ascii="Arial" w:hAnsi="Arial" w:cs="Arial"/>
          <w:sz w:val="20"/>
          <w:szCs w:val="20"/>
        </w:rPr>
        <w:fldChar w:fldCharType="end"/>
      </w:r>
      <w:r w:rsidR="00FD520C" w:rsidRPr="00164260">
        <w:rPr>
          <w:rFonts w:ascii="Arial" w:hAnsi="Arial" w:cs="Arial"/>
          <w:sz w:val="20"/>
          <w:szCs w:val="20"/>
        </w:rPr>
        <w:t xml:space="preserve">. </w:t>
      </w:r>
      <w:r w:rsidRPr="00164260">
        <w:rPr>
          <w:rFonts w:ascii="Arial" w:hAnsi="Arial" w:cs="Arial"/>
          <w:sz w:val="20"/>
          <w:szCs w:val="20"/>
        </w:rPr>
        <w:t xml:space="preserve">The SMEDDS has several advantages over traditional emulsion, including ease of manufacture, scalability, and robust physical stability </w:t>
      </w:r>
      <w:r w:rsidR="006B17B8"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{"citationID":"6cM8BFLQ","properties":{"formattedCitation":"(Laddha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6B17B8" w:rsidRPr="00164260">
        <w:rPr>
          <w:rFonts w:ascii="Arial" w:hAnsi="Arial" w:cs="Arial"/>
          <w:sz w:val="20"/>
          <w:szCs w:val="20"/>
        </w:rPr>
        <w:fldChar w:fldCharType="separate"/>
      </w:r>
      <w:r w:rsidR="00AF70EA" w:rsidRPr="00164260">
        <w:rPr>
          <w:rFonts w:ascii="Arial" w:hAnsi="Arial" w:cs="Arial"/>
          <w:sz w:val="20"/>
          <w:szCs w:val="20"/>
        </w:rPr>
        <w:t>(Laddha et al., 2014)</w:t>
      </w:r>
      <w:r w:rsidR="006B17B8" w:rsidRPr="00164260">
        <w:rPr>
          <w:rFonts w:ascii="Arial" w:hAnsi="Arial" w:cs="Arial"/>
          <w:sz w:val="20"/>
          <w:szCs w:val="20"/>
        </w:rPr>
        <w:fldChar w:fldCharType="end"/>
      </w:r>
      <w:r w:rsidR="0062539D">
        <w:rPr>
          <w:rFonts w:ascii="Arial" w:hAnsi="Arial" w:cs="Arial"/>
          <w:sz w:val="20"/>
          <w:szCs w:val="20"/>
        </w:rPr>
        <w:t>.</w:t>
      </w:r>
    </w:p>
    <w:p w14:paraId="2C44B9D5" w14:textId="3C5087D1" w:rsidR="007F3976" w:rsidRPr="001909D2" w:rsidRDefault="00B53B6B" w:rsidP="00883EF8">
      <w:pPr>
        <w:spacing w:line="360" w:lineRule="auto"/>
        <w:jc w:val="both"/>
        <w:rPr>
          <w:rFonts w:ascii="Arial" w:hAnsi="Arial" w:cs="Arial"/>
          <w:sz w:val="20"/>
          <w:szCs w:val="20"/>
        </w:rPr>
      </w:pPr>
      <w:r w:rsidRPr="00164260">
        <w:rPr>
          <w:rFonts w:ascii="Arial" w:hAnsi="Arial" w:cs="Arial"/>
          <w:sz w:val="20"/>
          <w:szCs w:val="20"/>
        </w:rPr>
        <w:t xml:space="preserve">SMEDDS are isotropic oil and surfactant combinations that, when added to water and gently swirled, produce oil-in-water microemulsions </w:t>
      </w:r>
      <w:r w:rsidR="007F3976" w:rsidRPr="00164260">
        <w:rPr>
          <w:rFonts w:ascii="Arial" w:hAnsi="Arial" w:cs="Arial"/>
          <w:sz w:val="20"/>
          <w:szCs w:val="20"/>
        </w:rPr>
        <w:fldChar w:fldCharType="begin"/>
      </w:r>
      <w:r w:rsidR="00A7635B">
        <w:rPr>
          <w:rFonts w:ascii="Arial" w:hAnsi="Arial" w:cs="Arial"/>
          <w:sz w:val="20"/>
          <w:szCs w:val="20"/>
        </w:rPr>
        <w:instrText xml:space="preserve"> ADDIN ZOTERO_ITEM CSL_CITATION {"citationID":"9aAd6ZsN","properties":{"formattedCitation":"(Huo et al., 2018a)","plainCitation":"(Huo et al., 2018a)","noteIndex":0},"citationItems":[{"id":231,"uris":["http://zotero.org/users/11670883/items/ZMY37X7N"],"itemData":{"id":231,"type":"article-journal","container-title":"European Journal of Pharmaceutical Sciences","DOI":"10.1016/j.ejps.2017.12.002","ISSN":"09280987","journalAbbreviation":"European Journal of Pharmaceutical Sciences","language":"en","page":"74-83","source":"DOI.org (Crossref)","title":"Preparation and comparison of tacrolimus-loaded solid dispersion and self-microemulsifying drug delivery system by in vitro/in vivo evaluation","volume":"114","author":[{"family":"Huo","given":"Taotao"},{"family":"Tao","given":"Chun"},{"family":"Zhang","given":"Minxin"},{"family":"Liu","given":"Qinghong"},{"family":"Lin","given":"Bing"},{"family":"Liu","given":"Zhihong"},{"family":"Zhang","given":"Jialiang"},{"family":"Zhang","given":"Meijing"},{"family":"Yang","given":"Haiyue"},{"family":"Wu","given":"Jue"},{"family":"Sun","given":"Xinrong"},{"family":"Zhang","given":"Qian"},{"family":"Song","given":"Hongtao"}],"issued":{"date-parts":[["2018",3]]}}}],"schema":"https://github.com/citation-style-language/schema/raw/master/csl-citation.json"} </w:instrText>
      </w:r>
      <w:r w:rsidR="007F3976" w:rsidRPr="00164260">
        <w:rPr>
          <w:rFonts w:ascii="Arial" w:hAnsi="Arial" w:cs="Arial"/>
          <w:sz w:val="20"/>
          <w:szCs w:val="20"/>
        </w:rPr>
        <w:fldChar w:fldCharType="separate"/>
      </w:r>
      <w:r w:rsidR="00A7635B" w:rsidRPr="00A7635B">
        <w:rPr>
          <w:rFonts w:ascii="Arial" w:hAnsi="Arial" w:cs="Arial"/>
          <w:sz w:val="20"/>
        </w:rPr>
        <w:t>(Huo et al., 2018a)</w:t>
      </w:r>
      <w:r w:rsidR="007F3976" w:rsidRPr="00164260">
        <w:rPr>
          <w:rFonts w:ascii="Arial" w:hAnsi="Arial" w:cs="Arial"/>
          <w:sz w:val="20"/>
          <w:szCs w:val="20"/>
        </w:rPr>
        <w:fldChar w:fldCharType="end"/>
      </w:r>
      <w:r w:rsidR="00075AA8" w:rsidRPr="00164260">
        <w:rPr>
          <w:rFonts w:ascii="Arial" w:hAnsi="Arial" w:cs="Arial"/>
          <w:sz w:val="20"/>
          <w:szCs w:val="20"/>
        </w:rPr>
        <w:t xml:space="preserve">. </w:t>
      </w:r>
      <w:r w:rsidR="0000506D" w:rsidRPr="00164260">
        <w:rPr>
          <w:rFonts w:ascii="Arial" w:hAnsi="Arial" w:cs="Arial"/>
          <w:sz w:val="20"/>
          <w:szCs w:val="20"/>
        </w:rPr>
        <w:t>The SMEDDS has globule sizes ranging from 50 to 250 nm</w:t>
      </w:r>
      <w:r w:rsidR="00075AA8" w:rsidRPr="00164260">
        <w:rPr>
          <w:rFonts w:ascii="Arial" w:hAnsi="Arial" w:cs="Arial"/>
          <w:sz w:val="20"/>
          <w:szCs w:val="20"/>
        </w:rPr>
        <w:t xml:space="preserve"> </w:t>
      </w:r>
      <w:r w:rsidR="007F3976" w:rsidRPr="00164260">
        <w:rPr>
          <w:rFonts w:ascii="Arial" w:hAnsi="Arial" w:cs="Arial"/>
          <w:sz w:val="20"/>
          <w:szCs w:val="20"/>
        </w:rPr>
        <w:fldChar w:fldCharType="begin"/>
      </w:r>
      <w:r w:rsidR="007F3976" w:rsidRPr="00164260">
        <w:rPr>
          <w:rFonts w:ascii="Arial" w:hAnsi="Arial" w:cs="Arial"/>
          <w:sz w:val="20"/>
          <w:szCs w:val="20"/>
        </w:rPr>
        <w:instrText xml:space="preserve"> ADDIN ZOTERO_ITEM CSL_CITATION {"citationID":"6FvEjCB5","properties":{"formattedCitation":"(Emad et al., 2021)","plainCitation":"(Emad et al., 2021)","noteIndex":0},"citationItems":[{"id":230,"uris":["http://zotero.org/users/11670883/items/SFKC3NAD"],"itemData":{"id":230,"type":"article-journal","container-title":"Journal of Drug Delivery Science and Technology","DOI":"10.1016/j.jddst.2021.102642","ISSN":"17732247","journalAbbreviation":"Journal of Drug Delivery Science and Technology","language":"en","page":"102642","source":"DOI.org (Crossref)","title":"Recent progress in nanocarriers for direct nose to brain drug delivery","volume":"64","author":[{"family":"Emad","given":"Nasr A."},{"family":"Ahmed","given":"Bakr"},{"family":"Alhalmi","given":"Abdulsalam"},{"family":"Alzobaidi","given":"Nafaa"},{"family":"Al-Kubati","given":"Sana Saleh"}],"issued":{"date-parts":[["2021",8]]}}}],"schema":"https://github.com/citation-style-language/schema/raw/master/csl-citation.json"} </w:instrText>
      </w:r>
      <w:r w:rsidR="007F3976" w:rsidRPr="00164260">
        <w:rPr>
          <w:rFonts w:ascii="Arial" w:hAnsi="Arial" w:cs="Arial"/>
          <w:sz w:val="20"/>
          <w:szCs w:val="20"/>
        </w:rPr>
        <w:fldChar w:fldCharType="separate"/>
      </w:r>
      <w:r w:rsidR="007F3976" w:rsidRPr="00164260">
        <w:rPr>
          <w:rFonts w:ascii="Arial" w:hAnsi="Arial" w:cs="Arial"/>
          <w:sz w:val="20"/>
          <w:szCs w:val="20"/>
        </w:rPr>
        <w:t>(Emad et al., 2021)</w:t>
      </w:r>
      <w:r w:rsidR="007F3976" w:rsidRPr="00164260">
        <w:rPr>
          <w:rFonts w:ascii="Arial" w:hAnsi="Arial" w:cs="Arial"/>
          <w:sz w:val="20"/>
          <w:szCs w:val="20"/>
        </w:rPr>
        <w:fldChar w:fldCharType="end"/>
      </w:r>
      <w:r w:rsidR="00075AA8" w:rsidRPr="001909D2">
        <w:rPr>
          <w:rFonts w:ascii="Arial" w:hAnsi="Arial" w:cs="Arial"/>
          <w:sz w:val="20"/>
          <w:szCs w:val="20"/>
        </w:rPr>
        <w:t xml:space="preserve">. </w:t>
      </w:r>
      <w:r w:rsidR="0000506D" w:rsidRPr="001909D2">
        <w:rPr>
          <w:rFonts w:ascii="Arial" w:hAnsi="Arial" w:cs="Arial"/>
          <w:sz w:val="20"/>
          <w:szCs w:val="20"/>
        </w:rPr>
        <w:t xml:space="preserve">It has been demonstrated that their self-dispersion tendency and small droplet sizes upon dispersion enhance the absorption of drugs from the wide interfacial region. This formulation has received a lot of interest lately because it is </w:t>
      </w:r>
      <w:r w:rsidR="0000506D" w:rsidRPr="00164260">
        <w:rPr>
          <w:rFonts w:ascii="Arial" w:hAnsi="Arial" w:cs="Arial"/>
          <w:sz w:val="20"/>
          <w:szCs w:val="20"/>
        </w:rPr>
        <w:t xml:space="preserve">simple to create </w:t>
      </w:r>
      <w:r w:rsidR="007F3976" w:rsidRPr="00164260">
        <w:rPr>
          <w:rFonts w:ascii="Arial" w:hAnsi="Arial" w:cs="Arial"/>
          <w:sz w:val="20"/>
          <w:szCs w:val="20"/>
        </w:rPr>
        <w:fldChar w:fldCharType="begin"/>
      </w:r>
      <w:r w:rsidR="007F3976" w:rsidRPr="00164260">
        <w:rPr>
          <w:rFonts w:ascii="Arial" w:hAnsi="Arial" w:cs="Arial"/>
          <w:sz w:val="20"/>
          <w:szCs w:val="20"/>
        </w:rPr>
        <w:instrText xml:space="preserve"> ADDIN ZOTERO_ITEM CSL_CITATION {"citationID":"VjyCEIeb","properties":{"formattedCitation":"(Dokania and Joshi, 2015)","plainCitation":"(Dokania and Joshi, 2015)","noteIndex":0},"citationItems":[{"id":233,"uris":["http://zotero.org/users/11670883/items/BDGJUFNL"],"itemData":{"id":233,"type":"article-journal","abstract":"Self-microemulsifying drug delivery system (SMEDDS) has emerged as a vital strategy to formulate poor water soluble compounds for bioavailability enhancement. However, certain limitations are associated with SMEDDS formulations which include in vivo drug precipitation, formulation handling issues, limited lymphatic uptake, lack of predictive in vitro tests and oxidation of unsaturated fatty acids. These limitations restrict their potential usage. Inclusion of polymers or precipitation inhibitors within lipid based formulations helps to maintain drug supersaturation after dispersion. This, thereby, improves the bioavailability and reduces the variability on exposure. Also, formulating solid SMEDDS helps to overcome liquid handling and stability problems. Usage of medium chain triglycerides (MCT) and suitable antioxidants to minimize oxidation of unsaturated fatty acids are few of the steps to overcome the limitations associated with SMEDDS. The review discussed here, in detail, the limitations of SMEDDS and suitable measures that can be taken to overcome them.","container-title":"Drug Delivery","DOI":"10.3109/10717544.2014.896058","ISSN":"1071-7544, 1521-0464","issue":"6","journalAbbreviation":"Drug Delivery","language":"en","page":"675-690","source":"DOI.org (Crossref)","title":"Self-microemulsifying drug delivery system (SMEDDS) – challenges and road ahead","volume":"22","author":[{"family":"Dokania","given":"Shambhu"},{"family":"Joshi","given":"Amita K."}],"issued":{"date-parts":[["2015",8,18]]}}}],"schema":"https://github.com/citation-style-language/schema/raw/master/csl-citation.json"} </w:instrText>
      </w:r>
      <w:r w:rsidR="007F3976" w:rsidRPr="00164260">
        <w:rPr>
          <w:rFonts w:ascii="Arial" w:hAnsi="Arial" w:cs="Arial"/>
          <w:sz w:val="20"/>
          <w:szCs w:val="20"/>
        </w:rPr>
        <w:fldChar w:fldCharType="separate"/>
      </w:r>
      <w:r w:rsidR="007F3976" w:rsidRPr="00164260">
        <w:rPr>
          <w:rFonts w:ascii="Arial" w:hAnsi="Arial" w:cs="Arial"/>
          <w:sz w:val="20"/>
          <w:szCs w:val="20"/>
        </w:rPr>
        <w:t>(Dokania and Joshi, 2015)</w:t>
      </w:r>
      <w:r w:rsidR="007F3976" w:rsidRPr="00164260">
        <w:rPr>
          <w:rFonts w:ascii="Arial" w:hAnsi="Arial" w:cs="Arial"/>
          <w:sz w:val="20"/>
          <w:szCs w:val="20"/>
        </w:rPr>
        <w:fldChar w:fldCharType="end"/>
      </w:r>
      <w:r w:rsidR="007F3976" w:rsidRPr="00164260">
        <w:rPr>
          <w:rFonts w:ascii="Arial" w:hAnsi="Arial" w:cs="Arial"/>
          <w:sz w:val="20"/>
          <w:szCs w:val="20"/>
        </w:rPr>
        <w:t xml:space="preserve">, </w:t>
      </w:r>
      <w:r w:rsidR="0000506D" w:rsidRPr="00164260">
        <w:rPr>
          <w:rFonts w:ascii="Arial" w:hAnsi="Arial" w:cs="Arial"/>
          <w:sz w:val="20"/>
          <w:szCs w:val="20"/>
        </w:rPr>
        <w:t>ha</w:t>
      </w:r>
      <w:r w:rsidR="007D6D42" w:rsidRPr="00164260">
        <w:rPr>
          <w:rFonts w:ascii="Arial" w:hAnsi="Arial" w:cs="Arial"/>
          <w:sz w:val="20"/>
          <w:szCs w:val="20"/>
        </w:rPr>
        <w:t>s</w:t>
      </w:r>
      <w:r w:rsidR="0000506D" w:rsidRPr="00164260">
        <w:rPr>
          <w:rFonts w:ascii="Arial" w:hAnsi="Arial" w:cs="Arial"/>
          <w:sz w:val="20"/>
          <w:szCs w:val="20"/>
        </w:rPr>
        <w:t xml:space="preserve"> a </w:t>
      </w:r>
      <w:r w:rsidR="007F3976" w:rsidRPr="00164260">
        <w:rPr>
          <w:rFonts w:ascii="Arial" w:hAnsi="Arial" w:cs="Arial"/>
          <w:sz w:val="20"/>
          <w:szCs w:val="20"/>
        </w:rPr>
        <w:t>higher drug loading capacity</w:t>
      </w:r>
      <w:r w:rsidR="00F01E4E" w:rsidRPr="00164260">
        <w:rPr>
          <w:rFonts w:ascii="Arial" w:hAnsi="Arial" w:cs="Arial"/>
          <w:sz w:val="20"/>
          <w:szCs w:val="20"/>
        </w:rPr>
        <w:t xml:space="preserve">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{"citationID":"WK5xV6iB","properties":{"formattedCitation":"(Yang et al., 2022)","plainCitation":"(Yang et al., 2022)","noteIndex":0},"citationItems":[{"id":237,"uris":["http://zotero.org/users/11670883/items/ADVUD6IK"],"itemData":{"id":237,"type":"article-journal","abstract":"Due to the increasing rate of drug resistance in Candida spp., higher doses of antifungal agents are being used resulting in toxicity. Drug delivery systems have been shown to provide an effective approach to enhance the efﬁcacy and reduce the toxicity of antifungal agents. Oleic acid was revealed to effectively inhibit bioﬁlm formation, hence reducing the virulence of Candida albicans. In this study, oleic acid-based self micro-emulsifying delivery systems (OA-SMEDDS) were developed for delivering clotrimazole (CLT). Based on the pseudo-ternary phase diagram and loading capacity test, the optimal ratio of OA-SMEDDS with CLT was selected. CLT-loaded OA-SMEDDS not only bears a higher drug loading capacity but also maintains good storage stability. The minimum inhibitory concentration (MIC50) of CLT-loaded OA-SMEDDS (0.01 µg/mL) in Candida albicans was signiﬁcantly lower than that of CLT dissolved in DMSO (0.04 µg/mL). Moreover, we showed CLT-loaded OA-SMEDDS could effectively prevent bioﬁlm formation and destroy the intact bioﬁlm structure of Candida albicans. Furthermore, a CLT-loaded OA-SMEDDS gel was developed and evaluated for its antifungal properties. Disk diffusion assay indicated that both CLT-loaded OA-SMEDDS and CLT-loaded OA-SMEDDS gels were more effective than commercially available products in inhibiting the wild-type and drug-resistant species of Candida.","container-title":"Pharmaceutics","DOI":"10.3390/pharmaceutics14030478","ISSN":"1999-4923","issue":"3","journalAbbreviation":"Pharmaceutics","language":"en","page":"478","source":"DOI.org (Crossref)","title":"Oleic Acid-Based Self Micro-Emulsifying Delivery System for Enhancing Antifungal Activities of Clotrimazole","volume":"14","author":[{"family":"Yang","given":"Ting-Lun"},{"family":"Hsieh","given":"Chien-Ming"},{"family":"Meng","given":"Ling-Jei"},{"family":"Tsai","given":"Tsuimin"},{"family":"Chen","given":"Chin-Tin"}],"issued":{"date-parts":[["2022",2,22]]}}}],"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(Yang et al., 2022)</w:t>
      </w:r>
      <w:r w:rsidR="00F01E4E" w:rsidRPr="00164260">
        <w:rPr>
          <w:rFonts w:ascii="Arial" w:hAnsi="Arial" w:cs="Arial"/>
          <w:sz w:val="20"/>
          <w:szCs w:val="20"/>
        </w:rPr>
        <w:fldChar w:fldCharType="end"/>
      </w:r>
      <w:r w:rsidR="007F3976" w:rsidRPr="00164260">
        <w:rPr>
          <w:rFonts w:ascii="Arial" w:hAnsi="Arial" w:cs="Arial"/>
          <w:sz w:val="20"/>
          <w:szCs w:val="20"/>
        </w:rPr>
        <w:t xml:space="preserve">, and </w:t>
      </w:r>
      <w:r w:rsidR="0000506D" w:rsidRPr="00164260">
        <w:rPr>
          <w:rFonts w:ascii="Arial" w:hAnsi="Arial" w:cs="Arial"/>
          <w:sz w:val="20"/>
          <w:szCs w:val="20"/>
        </w:rPr>
        <w:t>reduces the</w:t>
      </w:r>
      <w:r w:rsidR="007F3976" w:rsidRPr="00164260">
        <w:rPr>
          <w:rFonts w:ascii="Arial" w:hAnsi="Arial" w:cs="Arial"/>
          <w:sz w:val="20"/>
          <w:szCs w:val="20"/>
        </w:rPr>
        <w:t xml:space="preserve"> food effect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{"citationID":"K7SBbrGZ","properties":{"formattedCitation":"(Han et al., 2015)","plainCitation":"(Han et al., 2015)","noteIndex":0},"citationItems":[{"id":239,"uris":["http://zotero.org/users/11670883/items/SCA7MUG9"],"itemData":{"id":239,"type":"article-journal","container-title":"Biological &amp; Pharmaceutical Bulletin","DOI":"10.1248/bpb.b15-00110","ISSN":"0918-6158, 1347-5215","issue":"7","journalAbbreviation":"Biological &amp; Pharmaceutical Bulletin","language":"en","page":"1026-1032","source":"DOI.org (Crossref)","title":"Reduced Food-Effect on Intestinal Absorption of Dronedarone by Self-microemulsifying Drug Delivery System (SMEDDS)","volume":"38","author":[{"family":"Han","given":"Sang Duk"},{"family":"Jung","given":"Sang Won"},{"family":"Jang","given":"Sun Woo"},{"family":"Son","given":"Miwon"},{"family":"Kim","given":"Byoung Moon"},{"family":"Kang","given":"Myung Joo"}],"issued":{"date-parts":[["2015"]]}}}],"schema":"https://github.com/citation-style-language/schema/raw/master/csl-citation.json"}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(Han et al., 2015)</w:t>
      </w:r>
      <w:r w:rsidR="00F01E4E" w:rsidRPr="00164260">
        <w:rPr>
          <w:rFonts w:ascii="Arial" w:hAnsi="Arial" w:cs="Arial"/>
          <w:sz w:val="20"/>
          <w:szCs w:val="20"/>
        </w:rPr>
        <w:fldChar w:fldCharType="end"/>
      </w:r>
      <w:r w:rsidR="007F3976" w:rsidRPr="00164260">
        <w:rPr>
          <w:rFonts w:ascii="Arial" w:hAnsi="Arial" w:cs="Arial"/>
          <w:sz w:val="20"/>
          <w:szCs w:val="20"/>
        </w:rPr>
        <w:t xml:space="preserve">. </w:t>
      </w:r>
      <w:r w:rsidR="0000506D" w:rsidRPr="00164260">
        <w:rPr>
          <w:rFonts w:ascii="Arial" w:hAnsi="Arial" w:cs="Arial"/>
          <w:sz w:val="20"/>
          <w:szCs w:val="20"/>
        </w:rPr>
        <w:t xml:space="preserve">SMEDDS can drastically lower the dose volume in comparison to microemulsions and nanoemulsions, which leads to appealing business sustainability and patient compliance. Usually, a water-free approach reduces the dose volume, improves medication stability, and has less solvent effects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{"citationID":"24iqypJZ","properties":{"formattedCitation":"(Hsieh et al., 2023)","plainCitation":"(Hsieh et al., 2023)","noteIndex":0},"citationItems":[{"id":235,"uris":["http://zotero.org/users/11670883/items/367AV742"],"itemData":{"id":235,"type":"article-journal","abstract":"Oral delivery has become the route of choice among all other types of drug administrations. However, typical chronic disease drugs are often poorly water-soluble, have low dissolution rates, and undergo ﬁrst-pass metabolism, ultimately leading to low bioavailability and lack of efﬁcacy. The lipidbased formulation offers tremendous beneﬁts of using versatile excipients and has great compatibility with all types of dosage forms. Self-microemulsifying drug delivery system (SMEDDS) promotes drug self-emulsiﬁcation in a combination of oil, surfactant, and co-surfactant, thereby facilitating better drug solubility and absorption. The feasible preparation of SMEDDS creates a promising strategy to improve the drawbacks of lipophilic drugs administered orally. Selecting a decent mixing among these components is, therefore, of importance for successful SMEDDS. Quality by Design (QbD) brings a systematic approach to drug development, and it offers promise to signiﬁcantly improve the manufacturing quality performance of SMEDDS. Furthermore, it could be beneﬁted efﬁciently by conducting pre-formulation studies integrated with the statistical design of experiment (DoE). In this review, we highlight the recent ﬁndings for the development of microemulsions and SMEDDS by using DoE methods to optimize the formulations for drugs in different excipients with controllable ratios. A brief overview of DoE concepts is discussed, along with its technical beneﬁts in improving SMEDDS formulations.","container-title":"Pharmaceuticals","DOI":"10.3390/ph16020283","ISSN":"1424-8247","issue":"2","journalAbbreviation":"Pharmaceuticals","language":"en","page":"283","source":"DOI.org (Crossref)","title":"Application of Design of Experiments in the Development of Self-Microemulsifying Drug Delivery Systems","volume":"16","author":[{"family":"Hsieh","given":"Chien-Ming"},{"family":"Yang","given":"Ting-Lun"},{"family":"Putri","given":"Athika Darumas"},{"family":"Chen","given":"Chin-Tin"}],"issued":{"date-parts":[["2023",2,13]]}}}],"schema":"https://github.com/citation-style-language/schema/raw/master/csl-citation.json"}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(Hsieh et al., 2023)</w:t>
      </w:r>
      <w:r w:rsidR="00F01E4E" w:rsidRPr="00164260">
        <w:rPr>
          <w:rFonts w:ascii="Arial" w:hAnsi="Arial" w:cs="Arial"/>
          <w:sz w:val="20"/>
          <w:szCs w:val="20"/>
        </w:rPr>
        <w:fldChar w:fldCharType="end"/>
      </w:r>
      <w:r w:rsidR="0062539D">
        <w:rPr>
          <w:rFonts w:ascii="Arial" w:hAnsi="Arial" w:cs="Arial"/>
          <w:sz w:val="20"/>
          <w:szCs w:val="20"/>
        </w:rPr>
        <w:t>.</w:t>
      </w:r>
    </w:p>
    <w:p w14:paraId="38FA3851" w14:textId="7E3EFED0" w:rsidR="00D04334" w:rsidRDefault="00D04334" w:rsidP="00D04334">
      <w:pPr>
        <w:keepNext/>
        <w:spacing w:line="360" w:lineRule="auto"/>
        <w:jc w:val="center"/>
      </w:pPr>
      <w:r>
        <w:rPr>
          <w:noProof/>
        </w:rPr>
        <w:lastRenderedPageBreak/>
        <w:drawing>
          <wp:inline distT="0" distB="0" distL="0" distR="0" wp14:anchorId="715AF18C" wp14:editId="1AD63D98">
            <wp:extent cx="3657600" cy="2099734"/>
            <wp:effectExtent l="19050" t="19050" r="19050" b="15240"/>
            <wp:docPr id="1787739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89" b="12370"/>
                    <a:stretch>
                      <a:fillRect/>
                    </a:stretch>
                  </pic:blipFill>
                  <pic:spPr bwMode="auto">
                    <a:xfrm>
                      <a:off x="0" y="0"/>
                      <a:ext cx="3657600" cy="20997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AAAE020" w14:textId="26CA4CD1" w:rsidR="00D04334" w:rsidRPr="001909D2" w:rsidRDefault="00D04334" w:rsidP="001909D2">
      <w:pPr>
        <w:pStyle w:val="Title"/>
      </w:pPr>
      <w:r w:rsidRPr="001909D2">
        <w:t>Fig</w:t>
      </w:r>
      <w:r w:rsidR="001909D2">
        <w:t>.</w:t>
      </w:r>
      <w:r w:rsidRPr="001909D2">
        <w:t xml:space="preserve"> </w:t>
      </w:r>
      <w:fldSimple w:instr=" SEQ Figure \* ARABIC ">
        <w:r w:rsidRPr="001909D2">
          <w:rPr>
            <w:noProof/>
          </w:rPr>
          <w:t>1</w:t>
        </w:r>
      </w:fldSimple>
      <w:r w:rsidRPr="001909D2">
        <w:t>: Advantages of SMEDDS</w:t>
      </w:r>
    </w:p>
    <w:p w14:paraId="405F24D3" w14:textId="7647AE23" w:rsidR="00075AA8" w:rsidRPr="00A56218" w:rsidRDefault="004332D0" w:rsidP="00883EF8">
      <w:pPr>
        <w:spacing w:line="360" w:lineRule="auto"/>
        <w:jc w:val="both"/>
        <w:rPr>
          <w:rFonts w:ascii="Arial" w:hAnsi="Arial" w:cs="Arial"/>
          <w:sz w:val="20"/>
          <w:szCs w:val="20"/>
        </w:rPr>
      </w:pPr>
      <w:r w:rsidRPr="00A56218">
        <w:rPr>
          <w:rFonts w:ascii="Arial" w:hAnsi="Arial" w:cs="Arial"/>
          <w:sz w:val="20"/>
          <w:szCs w:val="20"/>
        </w:rPr>
        <w:t xml:space="preserve">The key </w:t>
      </w:r>
      <w:r w:rsidRPr="0062539D">
        <w:rPr>
          <w:rFonts w:ascii="Arial" w:hAnsi="Arial" w:cs="Arial"/>
          <w:sz w:val="20"/>
          <w:szCs w:val="20"/>
        </w:rPr>
        <w:t xml:space="preserve">objective of current research was </w:t>
      </w:r>
      <w:r w:rsidR="00ED2FE1" w:rsidRPr="0062539D">
        <w:rPr>
          <w:rFonts w:ascii="Arial" w:hAnsi="Arial" w:cs="Arial"/>
          <w:sz w:val="20"/>
          <w:szCs w:val="20"/>
        </w:rPr>
        <w:t xml:space="preserve">to improve the solubility and oral bioavailability of omega fatty acids through SMEDDS. The formulated SMEDDS was assessed for its morphology, self-emulsification performance, in-vitro </w:t>
      </w:r>
      <w:r w:rsidR="007D6D42" w:rsidRPr="0062539D">
        <w:rPr>
          <w:rFonts w:ascii="Arial" w:hAnsi="Arial" w:cs="Arial"/>
          <w:sz w:val="20"/>
          <w:szCs w:val="20"/>
        </w:rPr>
        <w:t>dissolution,</w:t>
      </w:r>
      <w:r w:rsidR="00ED2FE1" w:rsidRPr="0062539D">
        <w:rPr>
          <w:rFonts w:ascii="Arial" w:hAnsi="Arial" w:cs="Arial"/>
          <w:sz w:val="20"/>
          <w:szCs w:val="20"/>
        </w:rPr>
        <w:t xml:space="preserve"> and stability tests. The findings of this study will assist in designing lipid-based formulations for other nutraceuticals that are poorly soluble in water.</w:t>
      </w:r>
      <w:bookmarkEnd w:id="2"/>
    </w:p>
    <w:p w14:paraId="69005845" w14:textId="77777777" w:rsidR="001651BA" w:rsidRDefault="001651BA" w:rsidP="00E715BC">
      <w:pPr>
        <w:spacing w:before="120" w:after="120" w:line="360" w:lineRule="auto"/>
        <w:jc w:val="both"/>
      </w:pPr>
    </w:p>
    <w:p w14:paraId="41E730B0" w14:textId="59588B2B" w:rsidR="001651BA" w:rsidRPr="001651BA" w:rsidRDefault="00F3618F" w:rsidP="00E715BC">
      <w:pPr>
        <w:pStyle w:val="Heading1"/>
        <w:spacing w:before="120" w:after="120"/>
      </w:pPr>
      <w:r w:rsidRPr="001651BA">
        <w:t xml:space="preserve">MATERIALS AND </w:t>
      </w:r>
      <w:r>
        <w:t>M</w:t>
      </w:r>
      <w:r w:rsidRPr="001651BA">
        <w:t>ETHODS</w:t>
      </w:r>
    </w:p>
    <w:p w14:paraId="4B45BE13" w14:textId="77777777" w:rsidR="00E715BC" w:rsidRPr="00E715BC" w:rsidRDefault="00E715BC" w:rsidP="00E715BC">
      <w:pPr>
        <w:pStyle w:val="ListParagraph"/>
        <w:keepNext/>
        <w:keepLines/>
        <w:numPr>
          <w:ilvl w:val="0"/>
          <w:numId w:val="3"/>
        </w:numPr>
        <w:spacing w:before="120" w:after="120" w:line="360" w:lineRule="auto"/>
        <w:contextualSpacing w:val="0"/>
        <w:outlineLvl w:val="0"/>
        <w:rPr>
          <w:rFonts w:ascii="Arial" w:eastAsiaTheme="majorEastAsia" w:hAnsi="Arial" w:cs="Arial"/>
          <w:b/>
          <w:vanish/>
          <w:sz w:val="22"/>
          <w:szCs w:val="36"/>
        </w:rPr>
      </w:pPr>
      <w:bookmarkStart w:id="3" w:name="_Hlk219537039"/>
      <w:bookmarkStart w:id="4" w:name="_Hlk219548199"/>
    </w:p>
    <w:p w14:paraId="1DE0DC3B" w14:textId="77777777" w:rsidR="00E715BC" w:rsidRPr="00E715BC" w:rsidRDefault="00E715BC" w:rsidP="00E715BC">
      <w:pPr>
        <w:pStyle w:val="ListParagraph"/>
        <w:keepNext/>
        <w:keepLines/>
        <w:numPr>
          <w:ilvl w:val="0"/>
          <w:numId w:val="3"/>
        </w:numPr>
        <w:spacing w:before="120" w:after="120" w:line="360" w:lineRule="auto"/>
        <w:contextualSpacing w:val="0"/>
        <w:outlineLvl w:val="0"/>
        <w:rPr>
          <w:rFonts w:ascii="Arial" w:eastAsiaTheme="majorEastAsia" w:hAnsi="Arial" w:cs="Arial"/>
          <w:b/>
          <w:vanish/>
          <w:sz w:val="22"/>
          <w:szCs w:val="36"/>
        </w:rPr>
      </w:pPr>
    </w:p>
    <w:p w14:paraId="43783B60" w14:textId="504CE938" w:rsidR="00E715BC" w:rsidRPr="00E715BC" w:rsidRDefault="007D7162" w:rsidP="00A56218">
      <w:pPr>
        <w:pStyle w:val="Heading1"/>
        <w:numPr>
          <w:ilvl w:val="1"/>
          <w:numId w:val="3"/>
        </w:numPr>
        <w:spacing w:before="120" w:after="120"/>
        <w:ind w:left="450"/>
      </w:pPr>
      <w:r>
        <w:t>M</w:t>
      </w:r>
      <w:r w:rsidR="001909D2">
        <w:t>a</w:t>
      </w:r>
      <w:r>
        <w:t>terials</w:t>
      </w:r>
    </w:p>
    <w:p w14:paraId="007A4389" w14:textId="1E886004" w:rsidR="007D7162" w:rsidRPr="00EB314E" w:rsidRDefault="00EB314E" w:rsidP="00883EF8">
      <w:pPr>
        <w:spacing w:line="360" w:lineRule="auto"/>
        <w:jc w:val="both"/>
        <w:rPr>
          <w:rFonts w:ascii="Arial" w:hAnsi="Arial" w:cs="Arial"/>
          <w:b/>
          <w:bCs/>
          <w:sz w:val="20"/>
          <w:szCs w:val="20"/>
        </w:rPr>
      </w:pPr>
      <w:r w:rsidRPr="00EB314E">
        <w:rPr>
          <w:rFonts w:ascii="Arial" w:hAnsi="Arial" w:cs="Arial"/>
          <w:sz w:val="20"/>
          <w:szCs w:val="20"/>
        </w:rPr>
        <w:t xml:space="preserve">The fatty acid rich oil was obtained from Research-Lab Fine Chem Industries, Mumbai. Cremophor RH 40, Polyethylene Glycol 400, Tween 20 and Tween 80 were procured from </w:t>
      </w:r>
      <w:proofErr w:type="spellStart"/>
      <w:r w:rsidRPr="00EB314E">
        <w:rPr>
          <w:rFonts w:ascii="Arial" w:hAnsi="Arial" w:cs="Arial"/>
          <w:sz w:val="20"/>
          <w:szCs w:val="20"/>
        </w:rPr>
        <w:t>Himedia</w:t>
      </w:r>
      <w:proofErr w:type="spellEnd"/>
      <w:r w:rsidRPr="00EB314E">
        <w:rPr>
          <w:rFonts w:ascii="Arial" w:hAnsi="Arial" w:cs="Arial"/>
          <w:sz w:val="20"/>
          <w:szCs w:val="20"/>
        </w:rPr>
        <w:t xml:space="preserve"> Laboratories. Span 20 and Span 60 were obtained from </w:t>
      </w:r>
      <w:proofErr w:type="spellStart"/>
      <w:r w:rsidRPr="00EB314E">
        <w:rPr>
          <w:rFonts w:ascii="Arial" w:hAnsi="Arial" w:cs="Arial"/>
          <w:sz w:val="20"/>
          <w:szCs w:val="20"/>
        </w:rPr>
        <w:t>Molychem</w:t>
      </w:r>
      <w:proofErr w:type="spellEnd"/>
      <w:r w:rsidRPr="00EB314E">
        <w:rPr>
          <w:rFonts w:ascii="Arial" w:hAnsi="Arial" w:cs="Arial"/>
          <w:sz w:val="20"/>
          <w:szCs w:val="20"/>
        </w:rPr>
        <w:t xml:space="preserve"> Industries. All the chemicals and solvents used in the research were of analytical quality and were used without further purification.  </w:t>
      </w:r>
    </w:p>
    <w:p w14:paraId="3BA8581E" w14:textId="77777777" w:rsidR="0026417D" w:rsidRDefault="0026417D" w:rsidP="00883EF8">
      <w:pPr>
        <w:spacing w:line="360" w:lineRule="auto"/>
        <w:jc w:val="both"/>
        <w:rPr>
          <w:b/>
          <w:bCs/>
        </w:rPr>
      </w:pPr>
    </w:p>
    <w:p w14:paraId="39D26E53" w14:textId="3182D9EA" w:rsidR="00E87FD3" w:rsidRPr="00E87FD3" w:rsidRDefault="00E87FD3" w:rsidP="00A56218">
      <w:pPr>
        <w:pStyle w:val="Heading1"/>
        <w:numPr>
          <w:ilvl w:val="1"/>
          <w:numId w:val="3"/>
        </w:numPr>
        <w:spacing w:before="120" w:after="120"/>
        <w:ind w:left="450"/>
        <w:rPr>
          <w:b w:val="0"/>
          <w:bCs/>
        </w:rPr>
      </w:pPr>
      <w:r w:rsidRPr="00E715BC">
        <w:t>Methods</w:t>
      </w:r>
    </w:p>
    <w:p w14:paraId="0FAA7312" w14:textId="4C3BE704" w:rsidR="00E87FD3" w:rsidRPr="00E715BC" w:rsidRDefault="006A119E" w:rsidP="00A56218">
      <w:pPr>
        <w:pStyle w:val="Heading1"/>
        <w:numPr>
          <w:ilvl w:val="2"/>
          <w:numId w:val="3"/>
        </w:numPr>
        <w:spacing w:before="120" w:after="120"/>
        <w:ind w:left="540"/>
        <w:rPr>
          <w:b w:val="0"/>
          <w:bCs/>
          <w:u w:val="single"/>
        </w:rPr>
      </w:pPr>
      <w:r w:rsidRPr="00E715BC">
        <w:rPr>
          <w:b w:val="0"/>
          <w:bCs/>
          <w:u w:val="single"/>
        </w:rPr>
        <w:t>Miscibility Study</w:t>
      </w:r>
    </w:p>
    <w:p w14:paraId="674C4B56" w14:textId="5AA11939" w:rsidR="00014C52" w:rsidRPr="00A56218" w:rsidRDefault="00014C52" w:rsidP="00A56218">
      <w:pPr>
        <w:spacing w:line="360" w:lineRule="auto"/>
        <w:jc w:val="both"/>
        <w:rPr>
          <w:rFonts w:ascii="Arial" w:hAnsi="Arial" w:cs="Arial"/>
          <w:sz w:val="20"/>
          <w:szCs w:val="20"/>
        </w:rPr>
      </w:pPr>
      <w:r w:rsidRPr="00A56218">
        <w:rPr>
          <w:rFonts w:ascii="Arial" w:hAnsi="Arial" w:cs="Arial"/>
          <w:sz w:val="20"/>
          <w:szCs w:val="20"/>
        </w:rPr>
        <w:t xml:space="preserve">The </w:t>
      </w:r>
      <w:r w:rsidR="006A119E" w:rsidRPr="00A56218">
        <w:rPr>
          <w:rFonts w:ascii="Arial" w:hAnsi="Arial" w:cs="Arial"/>
          <w:sz w:val="20"/>
          <w:szCs w:val="20"/>
        </w:rPr>
        <w:t xml:space="preserve">different </w:t>
      </w:r>
      <w:r w:rsidRPr="00A56218">
        <w:rPr>
          <w:rFonts w:ascii="Arial" w:hAnsi="Arial" w:cs="Arial"/>
          <w:sz w:val="20"/>
          <w:szCs w:val="20"/>
        </w:rPr>
        <w:t xml:space="preserve">surfactants </w:t>
      </w:r>
      <w:r w:rsidR="003F0294" w:rsidRPr="00A56218">
        <w:rPr>
          <w:rFonts w:ascii="Arial" w:hAnsi="Arial" w:cs="Arial"/>
          <w:sz w:val="20"/>
          <w:szCs w:val="20"/>
        </w:rPr>
        <w:t xml:space="preserve">were </w:t>
      </w:r>
      <w:r w:rsidR="006A119E" w:rsidRPr="00A56218">
        <w:rPr>
          <w:rFonts w:ascii="Arial" w:hAnsi="Arial" w:cs="Arial"/>
          <w:sz w:val="20"/>
          <w:szCs w:val="20"/>
        </w:rPr>
        <w:t>screened by homogenizing them</w:t>
      </w:r>
      <w:r w:rsidR="003F0294" w:rsidRPr="00A56218">
        <w:rPr>
          <w:rFonts w:ascii="Arial" w:hAnsi="Arial" w:cs="Arial"/>
          <w:sz w:val="20"/>
          <w:szCs w:val="20"/>
        </w:rPr>
        <w:t xml:space="preserve"> with </w:t>
      </w:r>
      <w:r w:rsidR="007D6D42" w:rsidRPr="00A56218">
        <w:rPr>
          <w:rFonts w:ascii="Arial" w:hAnsi="Arial" w:cs="Arial"/>
          <w:sz w:val="20"/>
          <w:szCs w:val="20"/>
        </w:rPr>
        <w:t>an excess</w:t>
      </w:r>
      <w:r w:rsidR="003F0294" w:rsidRPr="00A56218">
        <w:rPr>
          <w:rFonts w:ascii="Arial" w:hAnsi="Arial" w:cs="Arial"/>
          <w:sz w:val="20"/>
          <w:szCs w:val="20"/>
        </w:rPr>
        <w:t xml:space="preserve"> quantity of fatty acid using</w:t>
      </w:r>
      <w:r w:rsidR="006A119E" w:rsidRPr="00A56218">
        <w:rPr>
          <w:rFonts w:ascii="Arial" w:hAnsi="Arial" w:cs="Arial"/>
          <w:sz w:val="20"/>
          <w:szCs w:val="20"/>
        </w:rPr>
        <w:t xml:space="preserve"> </w:t>
      </w:r>
      <w:r w:rsidR="007D6D42" w:rsidRPr="00A56218">
        <w:rPr>
          <w:rFonts w:ascii="Arial" w:hAnsi="Arial" w:cs="Arial"/>
          <w:sz w:val="20"/>
          <w:szCs w:val="20"/>
        </w:rPr>
        <w:t>a high-shear</w:t>
      </w:r>
      <w:r w:rsidR="006A119E" w:rsidRPr="00A56218">
        <w:rPr>
          <w:rFonts w:ascii="Arial" w:hAnsi="Arial" w:cs="Arial"/>
          <w:sz w:val="20"/>
          <w:szCs w:val="20"/>
        </w:rPr>
        <w:t xml:space="preserve"> homogenizer at 3000 rpm while maintaining the temperature at 35ºC. To this mixture phosphate buffer was added to mimic the ionic composition and pH of intestinal fluid</w:t>
      </w:r>
      <w:r w:rsidR="00065AF6">
        <w:rPr>
          <w:rFonts w:ascii="Arial" w:hAnsi="Arial" w:cs="Arial"/>
          <w:sz w:val="20"/>
          <w:szCs w:val="20"/>
        </w:rPr>
        <w:t xml:space="preserve"> </w:t>
      </w:r>
      <w:r w:rsidR="00065AF6">
        <w:rPr>
          <w:rFonts w:ascii="Arial" w:hAnsi="Arial" w:cs="Arial"/>
          <w:sz w:val="20"/>
          <w:szCs w:val="20"/>
        </w:rPr>
        <w:fldChar w:fldCharType="begin"/>
      </w:r>
      <w:r w:rsidR="00065AF6">
        <w:rPr>
          <w:rFonts w:ascii="Arial" w:hAnsi="Arial" w:cs="Arial"/>
          <w:sz w:val="20"/>
          <w:szCs w:val="20"/>
        </w:rPr>
        <w:instrText xml:space="preserve"> ADDIN ZOTERO_ITEM CSL_CITATION {"citationID":"QRmUvXqy","properties":{"formattedCitation":"(Bellesi et al., 2014)","plainCitation":"(Bellesi et al., 2014)","noteIndex":0},"citationItems":[{"id":264,"uris":["http://zotero.org/users/11670883/items/HEXMU5N6"],"itemData":{"id":264,"type":"article-journal","container-title":"Food Hydrocolloids","ISSN":"0268-005X","journalAbbreviation":"Food Hydrocolloids","page":"115-122","publisher":"Elsevier","title":"Behavior of protein interfacial films upon bile salts addition","volume":"36","author":[{"family":"Bellesi","given":"Fernando A"},{"family":"Ruiz-Henestrosa","given":"Víctor M Pizones"},{"family":"Pilosof","given":"Ana MR"}],"issued":{"date-parts":[["2014"]]}}}],"schema":"https://github.com/citation-style-language/schema/raw/master/csl-citation.json"} </w:instrText>
      </w:r>
      <w:r w:rsidR="00065AF6">
        <w:rPr>
          <w:rFonts w:ascii="Arial" w:hAnsi="Arial" w:cs="Arial"/>
          <w:sz w:val="20"/>
          <w:szCs w:val="20"/>
        </w:rPr>
        <w:fldChar w:fldCharType="separate"/>
      </w:r>
      <w:r w:rsidR="00065AF6" w:rsidRPr="00065AF6">
        <w:rPr>
          <w:rFonts w:ascii="Arial" w:hAnsi="Arial" w:cs="Arial"/>
          <w:sz w:val="20"/>
        </w:rPr>
        <w:t>(Bellesi et al., 2014)</w:t>
      </w:r>
      <w:r w:rsidR="00065AF6">
        <w:rPr>
          <w:rFonts w:ascii="Arial" w:hAnsi="Arial" w:cs="Arial"/>
          <w:sz w:val="20"/>
          <w:szCs w:val="20"/>
        </w:rPr>
        <w:fldChar w:fldCharType="end"/>
      </w:r>
      <w:r w:rsidR="006A119E" w:rsidRPr="00A56218">
        <w:rPr>
          <w:rFonts w:ascii="Arial" w:hAnsi="Arial" w:cs="Arial"/>
          <w:sz w:val="20"/>
          <w:szCs w:val="20"/>
        </w:rPr>
        <w:t>. The vortexing was continued to make the oil phase miscible with the aqueous phase.</w:t>
      </w:r>
      <w:r w:rsidR="00B9074F" w:rsidRPr="00A56218">
        <w:rPr>
          <w:rFonts w:ascii="Arial" w:hAnsi="Arial" w:cs="Arial"/>
          <w:sz w:val="20"/>
          <w:szCs w:val="20"/>
        </w:rPr>
        <w:t xml:space="preserve"> </w:t>
      </w:r>
      <w:r w:rsidR="00947D79" w:rsidRPr="00A56218">
        <w:rPr>
          <w:rFonts w:ascii="Arial" w:hAnsi="Arial" w:cs="Arial"/>
          <w:sz w:val="20"/>
          <w:szCs w:val="20"/>
        </w:rPr>
        <w:t xml:space="preserve">After attaining equilibrium, the mixtures were given a centrifuge for 10 minutes at 1000 rpm. The supernatant was then removed using a glass pipette for visual examination, and the concentration of ALA </w:t>
      </w:r>
      <w:r w:rsidR="004332D0" w:rsidRPr="00A56218">
        <w:rPr>
          <w:rFonts w:ascii="Arial" w:hAnsi="Arial" w:cs="Arial"/>
          <w:sz w:val="20"/>
          <w:szCs w:val="20"/>
        </w:rPr>
        <w:t>was determined using a UV-visible double beam spectrophotometer.</w:t>
      </w:r>
      <w:r w:rsidR="00947D79" w:rsidRPr="00A56218">
        <w:rPr>
          <w:rFonts w:ascii="Arial" w:hAnsi="Arial" w:cs="Arial"/>
          <w:sz w:val="20"/>
          <w:szCs w:val="20"/>
        </w:rPr>
        <w:t xml:space="preserve"> </w:t>
      </w:r>
      <w:r w:rsidR="007D6D42" w:rsidRPr="00A56218">
        <w:rPr>
          <w:rFonts w:ascii="Arial" w:hAnsi="Arial" w:cs="Arial"/>
          <w:sz w:val="20"/>
          <w:szCs w:val="20"/>
        </w:rPr>
        <w:t>(</w:t>
      </w:r>
      <w:r w:rsidR="007D6D42" w:rsidRPr="00065AF6">
        <w:rPr>
          <w:rFonts w:ascii="Arial" w:hAnsi="Arial" w:cs="Arial"/>
          <w:sz w:val="20"/>
          <w:szCs w:val="20"/>
        </w:rPr>
        <w:t>Shimadzu</w:t>
      </w:r>
      <w:r w:rsidR="00B9074F" w:rsidRPr="00065AF6">
        <w:rPr>
          <w:rFonts w:ascii="Arial" w:hAnsi="Arial" w:cs="Arial"/>
          <w:sz w:val="20"/>
          <w:szCs w:val="20"/>
        </w:rPr>
        <w:t xml:space="preserve"> UV</w:t>
      </w:r>
      <w:r w:rsidR="004332D0" w:rsidRPr="00065AF6">
        <w:rPr>
          <w:rFonts w:ascii="Arial" w:hAnsi="Arial" w:cs="Arial"/>
          <w:sz w:val="20"/>
          <w:szCs w:val="20"/>
        </w:rPr>
        <w:t>-</w:t>
      </w:r>
      <w:r w:rsidR="00B9074F" w:rsidRPr="00065AF6">
        <w:rPr>
          <w:rFonts w:ascii="Arial" w:hAnsi="Arial" w:cs="Arial"/>
          <w:sz w:val="20"/>
          <w:szCs w:val="20"/>
        </w:rPr>
        <w:t>1800) at 230</w:t>
      </w:r>
      <w:r w:rsidR="00947D79" w:rsidRPr="00065AF6">
        <w:rPr>
          <w:rFonts w:ascii="Arial" w:hAnsi="Arial" w:cs="Arial"/>
          <w:sz w:val="20"/>
          <w:szCs w:val="20"/>
        </w:rPr>
        <w:t xml:space="preserve"> nm</w:t>
      </w:r>
      <w:r w:rsidR="00B9074F" w:rsidRPr="00065AF6">
        <w:rPr>
          <w:rFonts w:ascii="Arial" w:hAnsi="Arial" w:cs="Arial"/>
          <w:sz w:val="20"/>
          <w:szCs w:val="20"/>
        </w:rPr>
        <w:t>.</w:t>
      </w:r>
      <w:r w:rsidR="002C33FF" w:rsidRPr="00065AF6">
        <w:rPr>
          <w:rFonts w:ascii="Arial" w:hAnsi="Arial" w:cs="Arial"/>
          <w:sz w:val="20"/>
          <w:szCs w:val="20"/>
        </w:rPr>
        <w:t xml:space="preserve"> </w:t>
      </w:r>
      <w:r w:rsidR="002C33FF" w:rsidRPr="00065AF6">
        <w:rPr>
          <w:rFonts w:ascii="Arial" w:hAnsi="Arial" w:cs="Arial"/>
          <w:sz w:val="20"/>
          <w:szCs w:val="20"/>
        </w:rPr>
        <w:fldChar w:fldCharType="begin"/>
      </w:r>
      <w:r w:rsidR="002C33FF" w:rsidRPr="00065AF6">
        <w:rPr>
          <w:rFonts w:ascii="Arial" w:hAnsi="Arial" w:cs="Arial"/>
          <w:sz w:val="20"/>
          <w:szCs w:val="20"/>
        </w:rPr>
        <w:instrText xml:space="preserve"> ADDIN ZOTERO_ITEM CSL_CITATION {"citationID":"YkJFaJ31","properties":{"formattedCitation":"(Naso et al., 2021)","plainCitation":"(Naso et al., 2021)","noteIndex":0},"citationItems":[{"id":241,"uris":["http://zotero.org/users/11670883/items/4DSWNZLH"],"itemData":{"id":241,"type":"article-journal","container-title":"Food Research International","DOI":"10.1016/j.foodres.2020.109829","ISSN":"09639969","journalAbbreviation":"Food Research International","language":"en","page":"109829","source":"DOI.org (Crossref)","title":"A new methodology to assess the solubility of fatty acids: Impact of food emulsifiers","title-short":"A new methodology to assess the solubility of fatty acids","volume":"139","author":[{"family":"Naso","given":"Julieta N."},{"family":"Bellesi","given":"Fernando A."},{"family":"Pizones Ruiz-Henestrosa","given":"Víctor M."},{"family":"Pilosof","given":"Ana M.R."}],"issued":{"date-parts":[["2021",1]]}}}],"schema":"https://github.com/citation-style-language/schema/raw/master/csl-citation.json"} </w:instrText>
      </w:r>
      <w:r w:rsidR="002C33FF" w:rsidRPr="00065AF6">
        <w:rPr>
          <w:rFonts w:ascii="Arial" w:hAnsi="Arial" w:cs="Arial"/>
          <w:sz w:val="20"/>
          <w:szCs w:val="20"/>
        </w:rPr>
        <w:fldChar w:fldCharType="separate"/>
      </w:r>
      <w:r w:rsidR="002C33FF" w:rsidRPr="00065AF6">
        <w:rPr>
          <w:rFonts w:ascii="Arial" w:hAnsi="Arial" w:cs="Arial"/>
          <w:sz w:val="20"/>
          <w:szCs w:val="20"/>
        </w:rPr>
        <w:t>(Naso et al., 2021)</w:t>
      </w:r>
      <w:r w:rsidR="002C33FF" w:rsidRPr="00065AF6">
        <w:rPr>
          <w:rFonts w:ascii="Arial" w:hAnsi="Arial" w:cs="Arial"/>
          <w:sz w:val="20"/>
          <w:szCs w:val="20"/>
        </w:rPr>
        <w:fldChar w:fldCharType="end"/>
      </w:r>
      <w:r w:rsidR="002C33FF" w:rsidRPr="00065AF6">
        <w:rPr>
          <w:rFonts w:ascii="Arial" w:hAnsi="Arial" w:cs="Arial"/>
          <w:sz w:val="20"/>
          <w:szCs w:val="20"/>
        </w:rPr>
        <w:t xml:space="preserve"> </w:t>
      </w:r>
      <w:r w:rsidR="002C33FF" w:rsidRPr="00065AF6">
        <w:rPr>
          <w:rFonts w:ascii="Arial" w:hAnsi="Arial" w:cs="Arial"/>
          <w:sz w:val="20"/>
          <w:szCs w:val="20"/>
        </w:rPr>
        <w:fldChar w:fldCharType="begin"/>
      </w:r>
      <w:r w:rsidR="00DB38BD" w:rsidRPr="00065AF6">
        <w:rPr>
          <w:rFonts w:ascii="Arial" w:hAnsi="Arial" w:cs="Arial"/>
          <w:sz w:val="20"/>
          <w:szCs w:val="20"/>
        </w:rPr>
        <w:instrText xml:space="preserve"> ADDIN ZOTERO_ITEM CSL_CITATION {"citationID":"VoDr4kha","properties":{"formattedCitation":"(Laddha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2C33FF" w:rsidRPr="00065AF6">
        <w:rPr>
          <w:rFonts w:ascii="Arial" w:hAnsi="Arial" w:cs="Arial"/>
          <w:sz w:val="20"/>
          <w:szCs w:val="20"/>
        </w:rPr>
        <w:fldChar w:fldCharType="separate"/>
      </w:r>
      <w:r w:rsidR="002C33FF" w:rsidRPr="00065AF6">
        <w:rPr>
          <w:rFonts w:ascii="Arial" w:hAnsi="Arial" w:cs="Arial"/>
          <w:sz w:val="20"/>
          <w:szCs w:val="20"/>
        </w:rPr>
        <w:t>(Laddha et al., 2014)</w:t>
      </w:r>
      <w:r w:rsidR="002C33FF" w:rsidRPr="00065AF6">
        <w:rPr>
          <w:rFonts w:ascii="Arial" w:hAnsi="Arial" w:cs="Arial"/>
          <w:sz w:val="20"/>
          <w:szCs w:val="20"/>
        </w:rPr>
        <w:fldChar w:fldCharType="end"/>
      </w:r>
    </w:p>
    <w:p w14:paraId="65BCD0EB" w14:textId="77777777" w:rsidR="002378E2" w:rsidRPr="00A56218" w:rsidRDefault="002378E2" w:rsidP="00A56218">
      <w:pPr>
        <w:spacing w:line="360" w:lineRule="auto"/>
        <w:ind w:left="540"/>
        <w:jc w:val="both"/>
        <w:rPr>
          <w:rFonts w:ascii="Arial" w:hAnsi="Arial" w:cs="Arial"/>
        </w:rPr>
      </w:pPr>
    </w:p>
    <w:p w14:paraId="4E0704B8" w14:textId="044BA9C6" w:rsidR="00165B19" w:rsidRPr="00A56218" w:rsidRDefault="00165B19" w:rsidP="00A56218">
      <w:pPr>
        <w:pStyle w:val="Heading1"/>
        <w:numPr>
          <w:ilvl w:val="2"/>
          <w:numId w:val="3"/>
        </w:numPr>
        <w:spacing w:before="120" w:after="120"/>
        <w:ind w:left="540"/>
        <w:rPr>
          <w:b w:val="0"/>
          <w:bCs/>
          <w:u w:val="single"/>
        </w:rPr>
      </w:pPr>
      <w:r w:rsidRPr="00A56218">
        <w:rPr>
          <w:b w:val="0"/>
          <w:bCs/>
          <w:u w:val="single"/>
        </w:rPr>
        <w:t>Construction of pseudo-ternary phase diagram</w:t>
      </w:r>
    </w:p>
    <w:p w14:paraId="6EBBD5D7" w14:textId="5DC857BB" w:rsidR="006D04A8" w:rsidRPr="00A56218" w:rsidRDefault="006D04A8" w:rsidP="00A56218">
      <w:pPr>
        <w:spacing w:line="360" w:lineRule="auto"/>
        <w:jc w:val="both"/>
        <w:rPr>
          <w:rFonts w:ascii="Arial" w:hAnsi="Arial" w:cs="Arial"/>
          <w:sz w:val="20"/>
          <w:szCs w:val="20"/>
        </w:rPr>
      </w:pPr>
      <w:r w:rsidRPr="00A56218">
        <w:rPr>
          <w:rFonts w:ascii="Arial" w:hAnsi="Arial" w:cs="Arial"/>
          <w:sz w:val="20"/>
          <w:szCs w:val="20"/>
        </w:rPr>
        <w:t>Based on miscibility study</w:t>
      </w:r>
      <w:r w:rsidR="007D6D42" w:rsidRPr="00A56218">
        <w:rPr>
          <w:rFonts w:ascii="Arial" w:hAnsi="Arial" w:cs="Arial"/>
          <w:sz w:val="20"/>
          <w:szCs w:val="20"/>
        </w:rPr>
        <w:t>,</w:t>
      </w:r>
      <w:r w:rsidRPr="00A56218">
        <w:rPr>
          <w:rFonts w:ascii="Arial" w:hAnsi="Arial" w:cs="Arial"/>
          <w:sz w:val="20"/>
          <w:szCs w:val="20"/>
        </w:rPr>
        <w:t xml:space="preserve"> the </w:t>
      </w:r>
      <w:r w:rsidR="00C802A3" w:rsidRPr="00A56218">
        <w:rPr>
          <w:rFonts w:ascii="Arial" w:hAnsi="Arial" w:cs="Arial"/>
          <w:sz w:val="20"/>
          <w:szCs w:val="20"/>
        </w:rPr>
        <w:t>pseudo</w:t>
      </w:r>
      <w:r w:rsidR="00F44366" w:rsidRPr="00A56218">
        <w:rPr>
          <w:rFonts w:ascii="Arial" w:hAnsi="Arial" w:cs="Arial"/>
          <w:sz w:val="20"/>
          <w:szCs w:val="20"/>
        </w:rPr>
        <w:t>-</w:t>
      </w:r>
      <w:r w:rsidRPr="00A56218">
        <w:rPr>
          <w:rFonts w:ascii="Arial" w:hAnsi="Arial" w:cs="Arial"/>
          <w:sz w:val="20"/>
          <w:szCs w:val="20"/>
        </w:rPr>
        <w:t xml:space="preserve">ternary phase diagram </w:t>
      </w:r>
      <w:r w:rsidR="00CD64AF" w:rsidRPr="00A56218">
        <w:rPr>
          <w:rFonts w:ascii="Arial" w:hAnsi="Arial" w:cs="Arial"/>
          <w:sz w:val="20"/>
          <w:szCs w:val="20"/>
        </w:rPr>
        <w:t>was constructed</w:t>
      </w:r>
      <w:r w:rsidRPr="00A56218">
        <w:rPr>
          <w:rFonts w:ascii="Arial" w:hAnsi="Arial" w:cs="Arial"/>
          <w:sz w:val="20"/>
          <w:szCs w:val="20"/>
        </w:rPr>
        <w:t xml:space="preserve"> for fatty acid as oil component, selected </w:t>
      </w:r>
      <w:r w:rsidR="00CD64AF" w:rsidRPr="00A56218">
        <w:rPr>
          <w:rFonts w:ascii="Arial" w:hAnsi="Arial" w:cs="Arial"/>
          <w:sz w:val="20"/>
          <w:szCs w:val="20"/>
        </w:rPr>
        <w:t xml:space="preserve">mixture of </w:t>
      </w:r>
      <w:r w:rsidRPr="00A56218">
        <w:rPr>
          <w:rFonts w:ascii="Arial" w:hAnsi="Arial" w:cs="Arial"/>
          <w:sz w:val="20"/>
          <w:szCs w:val="20"/>
        </w:rPr>
        <w:t xml:space="preserve">surfactant and </w:t>
      </w:r>
      <w:r w:rsidR="00CD64AF" w:rsidRPr="00A56218">
        <w:rPr>
          <w:rFonts w:ascii="Arial" w:hAnsi="Arial" w:cs="Arial"/>
          <w:sz w:val="20"/>
          <w:szCs w:val="20"/>
        </w:rPr>
        <w:t>co-</w:t>
      </w:r>
      <w:r w:rsidRPr="00A56218">
        <w:rPr>
          <w:rFonts w:ascii="Arial" w:hAnsi="Arial" w:cs="Arial"/>
          <w:sz w:val="20"/>
          <w:szCs w:val="20"/>
        </w:rPr>
        <w:t>surfactant</w:t>
      </w:r>
      <w:r w:rsidR="00CD64AF" w:rsidRPr="00A56218">
        <w:rPr>
          <w:rFonts w:ascii="Arial" w:hAnsi="Arial" w:cs="Arial"/>
          <w:sz w:val="20"/>
          <w:szCs w:val="20"/>
        </w:rPr>
        <w:t xml:space="preserve"> (</w:t>
      </w:r>
      <w:proofErr w:type="spellStart"/>
      <w:r w:rsidR="00CD64AF" w:rsidRPr="00A56218">
        <w:rPr>
          <w:rFonts w:ascii="Arial" w:hAnsi="Arial" w:cs="Arial"/>
          <w:sz w:val="20"/>
          <w:szCs w:val="20"/>
        </w:rPr>
        <w:t>Smix</w:t>
      </w:r>
      <w:proofErr w:type="spellEnd"/>
      <w:r w:rsidR="00CD64AF" w:rsidRPr="00A56218">
        <w:rPr>
          <w:rFonts w:ascii="Arial" w:hAnsi="Arial" w:cs="Arial"/>
          <w:sz w:val="20"/>
          <w:szCs w:val="20"/>
        </w:rPr>
        <w:t>)</w:t>
      </w:r>
      <w:r w:rsidRPr="00A56218">
        <w:rPr>
          <w:rFonts w:ascii="Arial" w:hAnsi="Arial" w:cs="Arial"/>
          <w:sz w:val="20"/>
          <w:szCs w:val="20"/>
        </w:rPr>
        <w:t>.</w:t>
      </w:r>
      <w:r w:rsidR="00C802A3" w:rsidRPr="00A56218">
        <w:rPr>
          <w:rFonts w:ascii="Arial" w:hAnsi="Arial" w:cs="Arial"/>
          <w:sz w:val="20"/>
          <w:szCs w:val="20"/>
        </w:rPr>
        <w:t xml:space="preserve"> </w:t>
      </w:r>
      <w:r w:rsidR="004332D0" w:rsidRPr="00A56218">
        <w:rPr>
          <w:rFonts w:ascii="Arial" w:hAnsi="Arial" w:cs="Arial"/>
          <w:sz w:val="20"/>
          <w:szCs w:val="20"/>
        </w:rPr>
        <w:t xml:space="preserve">Water, oil and </w:t>
      </w:r>
      <w:proofErr w:type="spellStart"/>
      <w:r w:rsidR="004332D0" w:rsidRPr="00A56218">
        <w:rPr>
          <w:rFonts w:ascii="Arial" w:hAnsi="Arial" w:cs="Arial"/>
          <w:sz w:val="20"/>
          <w:szCs w:val="20"/>
        </w:rPr>
        <w:t>Smix</w:t>
      </w:r>
      <w:proofErr w:type="spellEnd"/>
      <w:r w:rsidR="004332D0" w:rsidRPr="00A56218">
        <w:rPr>
          <w:rFonts w:ascii="Arial" w:hAnsi="Arial" w:cs="Arial"/>
          <w:sz w:val="20"/>
          <w:szCs w:val="20"/>
        </w:rPr>
        <w:t xml:space="preserve"> in specific ratio (1:1, 2:1, 1:2)</w:t>
      </w:r>
      <w:r w:rsidR="00CD64AF" w:rsidRPr="00A56218">
        <w:rPr>
          <w:rFonts w:ascii="Arial" w:hAnsi="Arial" w:cs="Arial"/>
          <w:sz w:val="20"/>
          <w:szCs w:val="20"/>
        </w:rPr>
        <w:t xml:space="preserve"> were the three variables utilized. The aqueous titration method was used to create the ternary phase diagram</w:t>
      </w:r>
      <w:r w:rsidR="0062539D">
        <w:rPr>
          <w:rFonts w:ascii="Arial" w:hAnsi="Arial" w:cs="Arial"/>
          <w:sz w:val="20"/>
          <w:szCs w:val="20"/>
        </w:rPr>
        <w:t xml:space="preserve"> </w:t>
      </w:r>
      <w:r w:rsidR="0062539D">
        <w:rPr>
          <w:rFonts w:ascii="Arial" w:hAnsi="Arial" w:cs="Arial"/>
          <w:sz w:val="20"/>
          <w:szCs w:val="20"/>
        </w:rPr>
        <w:fldChar w:fldCharType="begin"/>
      </w:r>
      <w:r w:rsidR="0062539D">
        <w:rPr>
          <w:rFonts w:ascii="Arial" w:hAnsi="Arial" w:cs="Arial"/>
          <w:sz w:val="20"/>
          <w:szCs w:val="20"/>
        </w:rPr>
        <w:instrText xml:space="preserve"> ADDIN ZOTERO_ITEM CSL_CITATION {"citationID":"0WjoaUUh","properties":{"formattedCitation":"(Gupta et al., 2011; Kumar et al., 2011)","plainCitation":"(Gupta et al., 2011; Kumar et al., 2011)","noteIndex":0},"citationItems":[{"id":255,"uris":["http://zotero.org/users/11670883/items/GP3N9ZK3"],"itemData":{"id":255,"type":"article-journal","container-title":"Int J Pharm Life Sci","issue":"3","journalAbbreviation":"Int J Pharm Life Sci","page":"633-639","title":"Preparation and in-vitro evaluation of self emulsifying drug delivery system of antihypertensive drug valsartan","volume":"2","author":[{"family":"Gupta","given":"AK"},{"family":"Mishra","given":"DK"},{"family":"Mahajan","given":"SC"}],"issued":{"date-parts":[["2011"]]}},"label":"page"},{"id":258,"uris":["http://zotero.org/users/11670883/items/N9UL6MYV"],"itemData":{"id":258,"type":"article-journal","container-title":"J. Glob. Trends Pharm. Sci","issue":"3","journalAbbreviation":"J. Glob. Trends Pharm. Sci","page":"364-388","title":"Improvement of oral bioavailability of nifedipine through self-microemulsifing drug delivery systems","volume":"2","author":[{"family":"Kumar","given":"M Shiva"},{"family":"Shailaja","given":"P"},{"family":"Murthy","given":"KR"},{"family":"Pradesh","given":"A"}],"issued":{"date-parts":[["2011"]]}},"label":"page"}],"schema":"https://github.com/citation-style-language/schema/raw/master/csl-citation.json"} </w:instrText>
      </w:r>
      <w:r w:rsidR="0062539D">
        <w:rPr>
          <w:rFonts w:ascii="Arial" w:hAnsi="Arial" w:cs="Arial"/>
          <w:sz w:val="20"/>
          <w:szCs w:val="20"/>
        </w:rPr>
        <w:fldChar w:fldCharType="separate"/>
      </w:r>
      <w:r w:rsidR="0062539D" w:rsidRPr="0062539D">
        <w:rPr>
          <w:rFonts w:ascii="Arial" w:hAnsi="Arial" w:cs="Arial"/>
          <w:sz w:val="20"/>
        </w:rPr>
        <w:t>(Gupta et al., 2011; Kumar et al., 2011)</w:t>
      </w:r>
      <w:r w:rsidR="0062539D">
        <w:rPr>
          <w:rFonts w:ascii="Arial" w:hAnsi="Arial" w:cs="Arial"/>
          <w:sz w:val="20"/>
          <w:szCs w:val="20"/>
        </w:rPr>
        <w:fldChar w:fldCharType="end"/>
      </w:r>
      <w:r w:rsidR="00C802A3" w:rsidRPr="00A56218">
        <w:rPr>
          <w:rFonts w:ascii="Arial" w:hAnsi="Arial" w:cs="Arial"/>
          <w:sz w:val="20"/>
          <w:szCs w:val="20"/>
        </w:rPr>
        <w:t xml:space="preserve">. </w:t>
      </w:r>
      <w:r w:rsidR="0039275E" w:rsidRPr="00A56218">
        <w:rPr>
          <w:rFonts w:ascii="Arial" w:hAnsi="Arial" w:cs="Arial"/>
          <w:sz w:val="20"/>
          <w:szCs w:val="20"/>
        </w:rPr>
        <w:t xml:space="preserve">To create the phase diagram, a </w:t>
      </w:r>
      <w:r w:rsidR="007C7ACA" w:rsidRPr="00A56218">
        <w:rPr>
          <w:rFonts w:ascii="Arial" w:hAnsi="Arial" w:cs="Arial"/>
          <w:sz w:val="20"/>
          <w:szCs w:val="20"/>
        </w:rPr>
        <w:t>gradual</w:t>
      </w:r>
      <w:r w:rsidR="0039275E" w:rsidRPr="00A56218">
        <w:rPr>
          <w:rFonts w:ascii="Arial" w:hAnsi="Arial" w:cs="Arial"/>
          <w:sz w:val="20"/>
          <w:szCs w:val="20"/>
        </w:rPr>
        <w:t xml:space="preserve"> titration with </w:t>
      </w:r>
      <w:r w:rsidR="007C7ACA" w:rsidRPr="00A56218">
        <w:rPr>
          <w:rFonts w:ascii="Arial" w:hAnsi="Arial" w:cs="Arial"/>
          <w:sz w:val="20"/>
          <w:szCs w:val="20"/>
        </w:rPr>
        <w:t>distilled water</w:t>
      </w:r>
      <w:r w:rsidR="0039275E" w:rsidRPr="00A56218">
        <w:rPr>
          <w:rFonts w:ascii="Arial" w:hAnsi="Arial" w:cs="Arial"/>
          <w:sz w:val="20"/>
          <w:szCs w:val="20"/>
        </w:rPr>
        <w:t xml:space="preserve"> was performed to each weight </w:t>
      </w:r>
      <w:r w:rsidR="007C7ACA" w:rsidRPr="00A56218">
        <w:rPr>
          <w:rFonts w:ascii="Arial" w:hAnsi="Arial" w:cs="Arial"/>
          <w:sz w:val="20"/>
          <w:szCs w:val="20"/>
        </w:rPr>
        <w:t>fraction</w:t>
      </w:r>
      <w:r w:rsidR="0039275E" w:rsidRPr="00A56218">
        <w:rPr>
          <w:rFonts w:ascii="Arial" w:hAnsi="Arial" w:cs="Arial"/>
          <w:sz w:val="20"/>
          <w:szCs w:val="20"/>
        </w:rPr>
        <w:t xml:space="preserve"> of oil and </w:t>
      </w:r>
      <w:proofErr w:type="spellStart"/>
      <w:r w:rsidR="0039275E" w:rsidRPr="00A56218">
        <w:rPr>
          <w:rFonts w:ascii="Arial" w:hAnsi="Arial" w:cs="Arial"/>
          <w:sz w:val="20"/>
          <w:szCs w:val="20"/>
        </w:rPr>
        <w:t>Smix</w:t>
      </w:r>
      <w:proofErr w:type="spellEnd"/>
      <w:r w:rsidR="0039275E" w:rsidRPr="00A56218">
        <w:rPr>
          <w:rFonts w:ascii="Arial" w:hAnsi="Arial" w:cs="Arial"/>
          <w:sz w:val="20"/>
          <w:szCs w:val="20"/>
        </w:rPr>
        <w:t xml:space="preserve"> by increasing the proportion of oil by 10% up to 90%. The production of a transparent and easily flowable o/w micro emulsion was then visually seen.  A pseudo-ternary phase diagram was used to depict the physical condition of the micro emulsion. </w:t>
      </w:r>
      <w:r w:rsidR="00774606" w:rsidRPr="00A56218">
        <w:rPr>
          <w:rFonts w:ascii="Arial" w:hAnsi="Arial" w:cs="Arial"/>
          <w:sz w:val="20"/>
          <w:szCs w:val="20"/>
        </w:rPr>
        <w:t xml:space="preserve">The aqueous phase was represented by one axis, the oil phase by another, and the </w:t>
      </w:r>
      <w:proofErr w:type="spellStart"/>
      <w:r w:rsidR="007C7ACA" w:rsidRPr="00A56218">
        <w:rPr>
          <w:rFonts w:ascii="Arial" w:hAnsi="Arial" w:cs="Arial"/>
          <w:sz w:val="20"/>
          <w:szCs w:val="20"/>
        </w:rPr>
        <w:t>Smix</w:t>
      </w:r>
      <w:proofErr w:type="spellEnd"/>
      <w:r w:rsidR="00774606" w:rsidRPr="00A56218">
        <w:rPr>
          <w:rFonts w:ascii="Arial" w:hAnsi="Arial" w:cs="Arial"/>
          <w:sz w:val="20"/>
          <w:szCs w:val="20"/>
        </w:rPr>
        <w:t xml:space="preserve"> at </w:t>
      </w:r>
      <w:r w:rsidR="007C7ACA" w:rsidRPr="00A56218">
        <w:rPr>
          <w:rFonts w:ascii="Arial" w:hAnsi="Arial" w:cs="Arial"/>
          <w:sz w:val="20"/>
          <w:szCs w:val="20"/>
        </w:rPr>
        <w:t>different</w:t>
      </w:r>
      <w:r w:rsidR="00774606" w:rsidRPr="00A56218">
        <w:rPr>
          <w:rFonts w:ascii="Arial" w:hAnsi="Arial" w:cs="Arial"/>
          <w:sz w:val="20"/>
          <w:szCs w:val="20"/>
        </w:rPr>
        <w:t xml:space="preserve"> weight ratios (1:1</w:t>
      </w:r>
      <w:r w:rsidR="007C7ACA" w:rsidRPr="00A56218">
        <w:rPr>
          <w:rFonts w:ascii="Arial" w:hAnsi="Arial" w:cs="Arial"/>
          <w:sz w:val="20"/>
          <w:szCs w:val="20"/>
        </w:rPr>
        <w:t>, 2:1, 1:2</w:t>
      </w:r>
      <w:r w:rsidR="00774606" w:rsidRPr="00A56218">
        <w:rPr>
          <w:rFonts w:ascii="Arial" w:hAnsi="Arial" w:cs="Arial"/>
          <w:sz w:val="20"/>
          <w:szCs w:val="20"/>
        </w:rPr>
        <w:t xml:space="preserve">) by a third. </w:t>
      </w:r>
      <w:r w:rsidR="0039275E" w:rsidRPr="00A56218">
        <w:rPr>
          <w:rFonts w:ascii="Arial" w:hAnsi="Arial" w:cs="Arial"/>
          <w:sz w:val="20"/>
          <w:szCs w:val="20"/>
        </w:rPr>
        <w:t xml:space="preserve">The transition of the sample's appearance from transparent to turbid was used to identify the phase boundary. The </w:t>
      </w:r>
      <w:r w:rsidR="003E73D9" w:rsidRPr="00A56218">
        <w:rPr>
          <w:rFonts w:ascii="Arial" w:hAnsi="Arial" w:cs="Arial"/>
          <w:sz w:val="20"/>
          <w:szCs w:val="20"/>
        </w:rPr>
        <w:t xml:space="preserve">online </w:t>
      </w:r>
      <w:r w:rsidR="0039275E" w:rsidRPr="00A56218">
        <w:rPr>
          <w:rFonts w:ascii="Arial" w:hAnsi="Arial" w:cs="Arial"/>
          <w:sz w:val="20"/>
          <w:szCs w:val="20"/>
        </w:rPr>
        <w:t xml:space="preserve">software </w:t>
      </w:r>
      <w:r w:rsidR="003E73D9" w:rsidRPr="00A56218">
        <w:rPr>
          <w:rFonts w:ascii="Arial" w:hAnsi="Arial" w:cs="Arial"/>
          <w:sz w:val="20"/>
          <w:szCs w:val="20"/>
        </w:rPr>
        <w:t>ternary plot</w:t>
      </w:r>
      <w:r w:rsidR="0039275E" w:rsidRPr="00A56218">
        <w:rPr>
          <w:rFonts w:ascii="Arial" w:hAnsi="Arial" w:cs="Arial"/>
          <w:sz w:val="20"/>
          <w:szCs w:val="20"/>
        </w:rPr>
        <w:t xml:space="preserve"> was used to create the phase diagram. Ternary phase diagrams were also created for different surfactant to co-surfactant ratios, such as 1:2 and 2:1 </w:t>
      </w:r>
      <w:r w:rsidR="007E5A7F" w:rsidRPr="0062539D">
        <w:rPr>
          <w:rFonts w:ascii="Arial" w:hAnsi="Arial" w:cs="Arial"/>
          <w:sz w:val="20"/>
          <w:szCs w:val="20"/>
        </w:rPr>
        <w:fldChar w:fldCharType="begin"/>
      </w:r>
      <w:r w:rsidR="007E5A7F" w:rsidRPr="0062539D">
        <w:rPr>
          <w:rFonts w:ascii="Arial" w:hAnsi="Arial" w:cs="Arial"/>
          <w:sz w:val="20"/>
          <w:szCs w:val="20"/>
        </w:rPr>
        <w:instrText xml:space="preserve"> ADDIN ZOTERO_ITEM CSL_CITATION {"citationID":"J1u4uFot","properties":{"formattedCitation":"(Emad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7E5A7F" w:rsidRPr="0062539D">
        <w:rPr>
          <w:rFonts w:ascii="Arial" w:hAnsi="Arial" w:cs="Arial"/>
          <w:sz w:val="20"/>
          <w:szCs w:val="20"/>
        </w:rPr>
        <w:fldChar w:fldCharType="separate"/>
      </w:r>
      <w:r w:rsidR="007E5A7F" w:rsidRPr="0062539D">
        <w:rPr>
          <w:rFonts w:ascii="Arial" w:hAnsi="Arial" w:cs="Arial"/>
          <w:sz w:val="20"/>
          <w:szCs w:val="20"/>
        </w:rPr>
        <w:t>(Emad et al., 2023)</w:t>
      </w:r>
      <w:r w:rsidR="007E5A7F" w:rsidRPr="0062539D">
        <w:rPr>
          <w:rFonts w:ascii="Arial" w:hAnsi="Arial" w:cs="Arial"/>
          <w:sz w:val="20"/>
          <w:szCs w:val="20"/>
        </w:rPr>
        <w:fldChar w:fldCharType="end"/>
      </w:r>
      <w:r w:rsidR="007E5A7F" w:rsidRPr="0062539D">
        <w:rPr>
          <w:rFonts w:ascii="Arial" w:hAnsi="Arial" w:cs="Arial"/>
          <w:sz w:val="20"/>
          <w:szCs w:val="20"/>
        </w:rPr>
        <w:t xml:space="preserve"> </w:t>
      </w:r>
      <w:r w:rsidR="00C802A3" w:rsidRPr="0062539D">
        <w:rPr>
          <w:rFonts w:ascii="Arial" w:hAnsi="Arial" w:cs="Arial"/>
          <w:sz w:val="20"/>
          <w:szCs w:val="20"/>
        </w:rPr>
        <w:fldChar w:fldCharType="begin"/>
      </w:r>
      <w:r w:rsidR="00C802A3" w:rsidRPr="0062539D">
        <w:rPr>
          <w:rFonts w:ascii="Arial" w:hAnsi="Arial" w:cs="Arial"/>
          <w:sz w:val="20"/>
          <w:szCs w:val="20"/>
        </w:rPr>
        <w:instrText xml:space="preserve"> ADDIN ZOTERO_ITEM CSL_CITATION {"citationID":"kH5rWmjn","properties":{"formattedCitation":"(Laddha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C802A3" w:rsidRPr="0062539D">
        <w:rPr>
          <w:rFonts w:ascii="Arial" w:hAnsi="Arial" w:cs="Arial"/>
          <w:sz w:val="20"/>
          <w:szCs w:val="20"/>
        </w:rPr>
        <w:fldChar w:fldCharType="separate"/>
      </w:r>
      <w:r w:rsidR="00C802A3" w:rsidRPr="0062539D">
        <w:rPr>
          <w:rFonts w:ascii="Arial" w:hAnsi="Arial" w:cs="Arial"/>
          <w:sz w:val="20"/>
          <w:szCs w:val="20"/>
        </w:rPr>
        <w:t>(Laddha et al., 2014)</w:t>
      </w:r>
      <w:r w:rsidR="00C802A3" w:rsidRPr="0062539D">
        <w:rPr>
          <w:rFonts w:ascii="Arial" w:hAnsi="Arial" w:cs="Arial"/>
          <w:sz w:val="20"/>
          <w:szCs w:val="20"/>
        </w:rPr>
        <w:fldChar w:fldCharType="end"/>
      </w:r>
      <w:r w:rsidR="00A7635B">
        <w:rPr>
          <w:rFonts w:ascii="Arial" w:hAnsi="Arial" w:cs="Arial"/>
          <w:sz w:val="20"/>
          <w:szCs w:val="20"/>
        </w:rPr>
        <w:t>.</w:t>
      </w:r>
    </w:p>
    <w:p w14:paraId="38ED64E5" w14:textId="77777777" w:rsidR="006D04A8" w:rsidRPr="00A56218" w:rsidRDefault="006D04A8" w:rsidP="00A56218">
      <w:pPr>
        <w:spacing w:line="360" w:lineRule="auto"/>
        <w:ind w:left="540"/>
        <w:jc w:val="both"/>
        <w:rPr>
          <w:rFonts w:ascii="Arial" w:hAnsi="Arial" w:cs="Arial"/>
        </w:rPr>
      </w:pPr>
    </w:p>
    <w:p w14:paraId="5B50A745" w14:textId="00E18E17" w:rsidR="00165B19" w:rsidRPr="00A56218" w:rsidRDefault="00165B19" w:rsidP="00A56218">
      <w:pPr>
        <w:pStyle w:val="Heading1"/>
        <w:numPr>
          <w:ilvl w:val="2"/>
          <w:numId w:val="3"/>
        </w:numPr>
        <w:spacing w:before="120" w:after="120"/>
        <w:ind w:left="540"/>
        <w:rPr>
          <w:b w:val="0"/>
          <w:bCs/>
          <w:u w:val="single"/>
        </w:rPr>
      </w:pPr>
      <w:r w:rsidRPr="00A56218">
        <w:rPr>
          <w:b w:val="0"/>
          <w:bCs/>
          <w:u w:val="single"/>
        </w:rPr>
        <w:t>Preparation of SMEDDS</w:t>
      </w:r>
    </w:p>
    <w:p w14:paraId="58AA8B40" w14:textId="045FBA40" w:rsidR="00ED37AC" w:rsidRPr="00A56218" w:rsidRDefault="00ED37AC" w:rsidP="00A56218">
      <w:pPr>
        <w:spacing w:line="360" w:lineRule="auto"/>
        <w:jc w:val="both"/>
        <w:rPr>
          <w:rFonts w:ascii="Arial" w:hAnsi="Arial" w:cs="Arial"/>
          <w:sz w:val="20"/>
          <w:szCs w:val="20"/>
        </w:rPr>
      </w:pPr>
      <w:r w:rsidRPr="00A56218">
        <w:rPr>
          <w:rFonts w:ascii="Arial" w:hAnsi="Arial" w:cs="Arial"/>
          <w:sz w:val="20"/>
          <w:szCs w:val="20"/>
        </w:rPr>
        <w:t>The SMEDDS w</w:t>
      </w:r>
      <w:r w:rsidR="00E40E8A" w:rsidRPr="00A56218">
        <w:rPr>
          <w:rFonts w:ascii="Arial" w:hAnsi="Arial" w:cs="Arial"/>
          <w:sz w:val="20"/>
          <w:szCs w:val="20"/>
        </w:rPr>
        <w:t>ere</w:t>
      </w:r>
      <w:r w:rsidRPr="00A56218">
        <w:rPr>
          <w:rFonts w:ascii="Arial" w:hAnsi="Arial" w:cs="Arial"/>
          <w:sz w:val="20"/>
          <w:szCs w:val="20"/>
        </w:rPr>
        <w:t xml:space="preserve"> prepared using a </w:t>
      </w:r>
      <w:proofErr w:type="spellStart"/>
      <w:r w:rsidRPr="00A56218">
        <w:rPr>
          <w:rFonts w:ascii="Arial" w:hAnsi="Arial" w:cs="Arial"/>
          <w:sz w:val="20"/>
          <w:szCs w:val="20"/>
        </w:rPr>
        <w:t>Smix</w:t>
      </w:r>
      <w:proofErr w:type="spellEnd"/>
      <w:r w:rsidRPr="00A56218">
        <w:rPr>
          <w:rFonts w:ascii="Arial" w:hAnsi="Arial" w:cs="Arial"/>
          <w:sz w:val="20"/>
          <w:szCs w:val="20"/>
        </w:rPr>
        <w:t xml:space="preserve"> ratio based on pseudo-ternary phase diagrams. The fatty acid was used as oil phase and the </w:t>
      </w:r>
      <w:r w:rsidR="00BC047F" w:rsidRPr="00A56218">
        <w:rPr>
          <w:rFonts w:ascii="Arial" w:hAnsi="Arial" w:cs="Arial"/>
          <w:sz w:val="20"/>
          <w:szCs w:val="20"/>
        </w:rPr>
        <w:t>selected</w:t>
      </w:r>
      <w:r w:rsidRPr="00A56218">
        <w:rPr>
          <w:rFonts w:ascii="Arial" w:hAnsi="Arial" w:cs="Arial"/>
          <w:sz w:val="20"/>
          <w:szCs w:val="20"/>
        </w:rPr>
        <w:t xml:space="preserve"> amount of </w:t>
      </w:r>
      <w:proofErr w:type="spellStart"/>
      <w:r w:rsidRPr="00A56218">
        <w:rPr>
          <w:rFonts w:ascii="Arial" w:hAnsi="Arial" w:cs="Arial"/>
          <w:sz w:val="20"/>
          <w:szCs w:val="20"/>
        </w:rPr>
        <w:t>Smix</w:t>
      </w:r>
      <w:proofErr w:type="spellEnd"/>
      <w:r w:rsidRPr="00A56218">
        <w:rPr>
          <w:rFonts w:ascii="Arial" w:hAnsi="Arial" w:cs="Arial"/>
          <w:sz w:val="20"/>
          <w:szCs w:val="20"/>
        </w:rPr>
        <w:t xml:space="preserve"> was </w:t>
      </w:r>
      <w:r w:rsidR="00BC047F" w:rsidRPr="00A56218">
        <w:rPr>
          <w:rFonts w:ascii="Arial" w:hAnsi="Arial" w:cs="Arial"/>
          <w:sz w:val="20"/>
          <w:szCs w:val="20"/>
        </w:rPr>
        <w:t>mixed with</w:t>
      </w:r>
      <w:r w:rsidRPr="00A56218">
        <w:rPr>
          <w:rFonts w:ascii="Arial" w:hAnsi="Arial" w:cs="Arial"/>
          <w:sz w:val="20"/>
          <w:szCs w:val="20"/>
        </w:rPr>
        <w:t xml:space="preserve"> the oil phase </w:t>
      </w:r>
      <w:r w:rsidR="00BC047F" w:rsidRPr="00A56218">
        <w:rPr>
          <w:rFonts w:ascii="Arial" w:hAnsi="Arial" w:cs="Arial"/>
          <w:sz w:val="20"/>
          <w:szCs w:val="20"/>
        </w:rPr>
        <w:t xml:space="preserve">slowly while stirring continuously </w:t>
      </w:r>
      <w:r w:rsidR="00E40E8A" w:rsidRPr="00A56218">
        <w:rPr>
          <w:rFonts w:ascii="Arial" w:hAnsi="Arial" w:cs="Arial"/>
          <w:sz w:val="20"/>
          <w:szCs w:val="20"/>
        </w:rPr>
        <w:t>using high shear homogenizer</w:t>
      </w:r>
      <w:r w:rsidRPr="00A56218">
        <w:rPr>
          <w:rFonts w:ascii="Arial" w:hAnsi="Arial" w:cs="Arial"/>
          <w:sz w:val="20"/>
          <w:szCs w:val="20"/>
        </w:rPr>
        <w:t xml:space="preserve"> until a uniform mixture was obtained</w:t>
      </w:r>
      <w:r w:rsidR="00A7635B">
        <w:rPr>
          <w:rFonts w:ascii="Arial" w:hAnsi="Arial" w:cs="Arial"/>
          <w:sz w:val="20"/>
          <w:szCs w:val="20"/>
        </w:rPr>
        <w:t xml:space="preserve"> </w:t>
      </w:r>
      <w:r w:rsidR="00A7635B">
        <w:rPr>
          <w:rFonts w:ascii="Arial" w:hAnsi="Arial" w:cs="Arial"/>
          <w:sz w:val="20"/>
          <w:szCs w:val="20"/>
        </w:rPr>
        <w:fldChar w:fldCharType="begin"/>
      </w:r>
      <w:r w:rsidR="00A7635B">
        <w:rPr>
          <w:rFonts w:ascii="Arial" w:hAnsi="Arial" w:cs="Arial"/>
          <w:sz w:val="20"/>
          <w:szCs w:val="20"/>
        </w:rPr>
        <w:instrText xml:space="preserve"> ADDIN ZOTERO_ITEM CSL_CITATION {"citationID":"VZnSzIVC","properties":{"formattedCitation":"(Lee et al., 2014)","plainCitation":"(Lee et al., 2014)","noteIndex":0},"citationItems":[{"id":259,"uris":["http://zotero.org/users/11670883/items/XSWJUWUY"],"itemData":{"id":259,"type":"article-journal","container-title":"Journal of Microencapsulation","DOI":"10.3109/02652048.2013.805837","ISSN":"0265-2048, 1464-5246","issue":"1","journalAbbreviation":"Journal of Microencapsulation","language":"en","page":"31-40","source":"DOI.org (Crossref)","title":"Application of Box–Behnken design in the preparation and optimization of fenofibrate-loaded self-microemulsifying drug delivery system (SMEDDS)","volume":"31","author":[{"family":"Lee","given":"Dong Won"},{"family":"Marasini","given":"Nirmal"},{"family":"Poudel","given":"Bijay Kumar"},{"family":"Kim","given":"Jeong Hwan"},{"family":"Cho","given":"Hyuk Jun"},{"family":"Moon","given":"Bo Kyung"},{"family":"Choi","given":"Han-Gon"},{"family":"Yong","given":"Chul Soon"},{"family":"Kim","given":"Jong Oh"}],"issued":{"date-parts":[["2014",2]]}}}],"schema":"https://github.com/citation-style-language/schema/raw/master/csl-citation.json"} </w:instrText>
      </w:r>
      <w:r w:rsidR="00A7635B">
        <w:rPr>
          <w:rFonts w:ascii="Arial" w:hAnsi="Arial" w:cs="Arial"/>
          <w:sz w:val="20"/>
          <w:szCs w:val="20"/>
        </w:rPr>
        <w:fldChar w:fldCharType="separate"/>
      </w:r>
      <w:r w:rsidR="00A7635B" w:rsidRPr="00A7635B">
        <w:rPr>
          <w:rFonts w:ascii="Arial" w:hAnsi="Arial" w:cs="Arial"/>
          <w:sz w:val="20"/>
        </w:rPr>
        <w:t>(Lee et al., 2014)</w:t>
      </w:r>
      <w:r w:rsidR="00A7635B">
        <w:rPr>
          <w:rFonts w:ascii="Arial" w:hAnsi="Arial" w:cs="Arial"/>
          <w:sz w:val="20"/>
          <w:szCs w:val="20"/>
        </w:rPr>
        <w:fldChar w:fldCharType="end"/>
      </w:r>
      <w:r w:rsidRPr="00A56218">
        <w:rPr>
          <w:rFonts w:ascii="Arial" w:hAnsi="Arial" w:cs="Arial"/>
          <w:sz w:val="20"/>
          <w:szCs w:val="20"/>
        </w:rPr>
        <w:t>.</w:t>
      </w:r>
      <w:r w:rsidR="00E40E8A" w:rsidRPr="00A56218">
        <w:rPr>
          <w:rFonts w:ascii="Arial" w:hAnsi="Arial" w:cs="Arial"/>
          <w:sz w:val="20"/>
          <w:szCs w:val="20"/>
        </w:rPr>
        <w:t xml:space="preserve"> </w:t>
      </w:r>
      <w:r w:rsidR="00774606" w:rsidRPr="00A56218">
        <w:rPr>
          <w:rFonts w:ascii="Arial" w:hAnsi="Arial" w:cs="Arial"/>
          <w:sz w:val="20"/>
          <w:szCs w:val="20"/>
        </w:rPr>
        <w:t>To ensure complete mixing, this mixture was heated to 40°C in a water bath for 10 minutes while being stirred occasionally</w:t>
      </w:r>
      <w:r w:rsidR="00E40E8A" w:rsidRPr="00A56218">
        <w:rPr>
          <w:rFonts w:ascii="Arial" w:hAnsi="Arial" w:cs="Arial"/>
          <w:sz w:val="20"/>
          <w:szCs w:val="20"/>
        </w:rPr>
        <w:t xml:space="preserve"> </w:t>
      </w:r>
      <w:r w:rsidR="00E40E8A" w:rsidRPr="00A7635B">
        <w:rPr>
          <w:rFonts w:ascii="Arial" w:hAnsi="Arial" w:cs="Arial"/>
          <w:sz w:val="20"/>
          <w:szCs w:val="20"/>
        </w:rPr>
        <w:fldChar w:fldCharType="begin"/>
      </w:r>
      <w:r w:rsidR="00E40E8A" w:rsidRPr="00A7635B">
        <w:rPr>
          <w:rFonts w:ascii="Arial" w:hAnsi="Arial" w:cs="Arial"/>
          <w:sz w:val="20"/>
          <w:szCs w:val="20"/>
        </w:rPr>
        <w:instrText xml:space="preserve"> ADDIN ZOTERO_ITEM CSL_CITATION {"citationID":"Seot2t6O","properties":{"formattedCitation":"(Laddha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E40E8A" w:rsidRPr="00A7635B">
        <w:rPr>
          <w:rFonts w:ascii="Arial" w:hAnsi="Arial" w:cs="Arial"/>
          <w:sz w:val="20"/>
          <w:szCs w:val="20"/>
        </w:rPr>
        <w:fldChar w:fldCharType="separate"/>
      </w:r>
      <w:r w:rsidR="00E40E8A" w:rsidRPr="00A7635B">
        <w:rPr>
          <w:rFonts w:ascii="Arial" w:hAnsi="Arial" w:cs="Arial"/>
          <w:sz w:val="20"/>
          <w:szCs w:val="20"/>
        </w:rPr>
        <w:t>(Laddha et al., 2014)</w:t>
      </w:r>
      <w:r w:rsidR="00E40E8A" w:rsidRPr="00A7635B">
        <w:rPr>
          <w:rFonts w:ascii="Arial" w:hAnsi="Arial" w:cs="Arial"/>
          <w:sz w:val="20"/>
          <w:szCs w:val="20"/>
        </w:rPr>
        <w:fldChar w:fldCharType="end"/>
      </w:r>
      <w:r w:rsidR="00A7635B">
        <w:rPr>
          <w:rFonts w:ascii="Arial" w:hAnsi="Arial" w:cs="Arial"/>
          <w:sz w:val="20"/>
          <w:szCs w:val="20"/>
        </w:rPr>
        <w:t>.</w:t>
      </w:r>
      <w:r w:rsidRPr="00A7635B">
        <w:rPr>
          <w:rFonts w:ascii="Arial" w:hAnsi="Arial" w:cs="Arial"/>
          <w:sz w:val="20"/>
          <w:szCs w:val="20"/>
        </w:rPr>
        <w:t xml:space="preserve"> </w:t>
      </w:r>
      <w:r w:rsidR="00BC047F" w:rsidRPr="00A7635B">
        <w:rPr>
          <w:rFonts w:ascii="Arial" w:hAnsi="Arial" w:cs="Arial"/>
          <w:sz w:val="20"/>
          <w:szCs w:val="20"/>
        </w:rPr>
        <w:t>After being examined for turbidity, phase separation, or gelling impact, this formulation preconcentrate was stored at room temperature for further analysis</w:t>
      </w:r>
      <w:r w:rsidR="00A7635B">
        <w:rPr>
          <w:rFonts w:ascii="Arial" w:hAnsi="Arial" w:cs="Arial"/>
          <w:sz w:val="20"/>
          <w:szCs w:val="20"/>
        </w:rPr>
        <w:t>.</w:t>
      </w:r>
    </w:p>
    <w:p w14:paraId="0DE3E21A" w14:textId="77777777" w:rsidR="00615579" w:rsidRPr="00A56218" w:rsidRDefault="00615579" w:rsidP="00883EF8">
      <w:pPr>
        <w:spacing w:line="360" w:lineRule="auto"/>
        <w:jc w:val="both"/>
        <w:rPr>
          <w:rFonts w:ascii="Arial" w:hAnsi="Arial" w:cs="Arial"/>
        </w:rPr>
      </w:pPr>
    </w:p>
    <w:p w14:paraId="2C66E2C1" w14:textId="6F072401" w:rsidR="00165B19" w:rsidRPr="00A56218" w:rsidRDefault="00165B19" w:rsidP="00A56218">
      <w:pPr>
        <w:pStyle w:val="Heading1"/>
        <w:numPr>
          <w:ilvl w:val="2"/>
          <w:numId w:val="3"/>
        </w:numPr>
        <w:spacing w:before="120" w:after="120"/>
        <w:ind w:left="540"/>
        <w:rPr>
          <w:b w:val="0"/>
          <w:bCs/>
          <w:u w:val="single"/>
        </w:rPr>
      </w:pPr>
      <w:r w:rsidRPr="00A56218">
        <w:rPr>
          <w:b w:val="0"/>
          <w:bCs/>
          <w:u w:val="single"/>
        </w:rPr>
        <w:t>Evaluation of SMEDDS</w:t>
      </w:r>
    </w:p>
    <w:p w14:paraId="2A8F5BF0" w14:textId="42DFD38F" w:rsidR="00D866FF" w:rsidRPr="00A56218" w:rsidRDefault="00AD5020"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Self-e</w:t>
      </w:r>
      <w:r w:rsidR="00165B19" w:rsidRPr="00A56218">
        <w:rPr>
          <w:rFonts w:ascii="Arial" w:hAnsi="Arial" w:cs="Arial"/>
          <w:sz w:val="20"/>
          <w:szCs w:val="20"/>
        </w:rPr>
        <w:t>mulsification time</w:t>
      </w:r>
      <w:r w:rsidR="00191EC7" w:rsidRPr="00A56218">
        <w:rPr>
          <w:rFonts w:ascii="Arial" w:hAnsi="Arial" w:cs="Arial"/>
          <w:sz w:val="20"/>
          <w:szCs w:val="20"/>
        </w:rPr>
        <w:t xml:space="preserve"> and visual evaluation</w:t>
      </w:r>
    </w:p>
    <w:p w14:paraId="3AD4CB3F" w14:textId="642904B5" w:rsidR="00AD5020" w:rsidRPr="00A56218" w:rsidRDefault="000B367E"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Using distilled water as an aqueous medium at 37±0.5ºC and magnetic stirrer running at 200 rpm </w:t>
      </w:r>
      <w:r w:rsidR="00BC047F" w:rsidRPr="00A56218">
        <w:rPr>
          <w:rFonts w:ascii="Arial" w:hAnsi="Arial" w:cs="Arial"/>
          <w:sz w:val="20"/>
          <w:szCs w:val="20"/>
        </w:rPr>
        <w:t xml:space="preserve">were used to test the self-emulsification capability. 1 ml SMEDDS formulation was added to 100 ml of </w:t>
      </w:r>
      <w:r w:rsidR="007C7ACA" w:rsidRPr="00A56218">
        <w:rPr>
          <w:rFonts w:ascii="Arial" w:hAnsi="Arial" w:cs="Arial"/>
          <w:sz w:val="20"/>
          <w:szCs w:val="20"/>
        </w:rPr>
        <w:t>distilled water</w:t>
      </w:r>
      <w:r w:rsidR="00BC047F" w:rsidRPr="00A56218">
        <w:rPr>
          <w:rFonts w:ascii="Arial" w:hAnsi="Arial" w:cs="Arial"/>
          <w:sz w:val="20"/>
          <w:szCs w:val="20"/>
        </w:rPr>
        <w:t xml:space="preserve">, and the </w:t>
      </w:r>
      <w:r w:rsidRPr="00A56218">
        <w:rPr>
          <w:rFonts w:ascii="Arial" w:hAnsi="Arial" w:cs="Arial"/>
          <w:sz w:val="20"/>
          <w:szCs w:val="20"/>
        </w:rPr>
        <w:t>time</w:t>
      </w:r>
      <w:r w:rsidR="007C7ACA" w:rsidRPr="00A56218">
        <w:rPr>
          <w:rFonts w:ascii="Arial" w:hAnsi="Arial" w:cs="Arial"/>
          <w:sz w:val="20"/>
          <w:szCs w:val="20"/>
        </w:rPr>
        <w:t xml:space="preserve"> required</w:t>
      </w:r>
      <w:r w:rsidRPr="00A56218">
        <w:rPr>
          <w:rFonts w:ascii="Arial" w:hAnsi="Arial" w:cs="Arial"/>
          <w:sz w:val="20"/>
          <w:szCs w:val="20"/>
        </w:rPr>
        <w:t xml:space="preserve"> between </w:t>
      </w:r>
      <w:r w:rsidR="00BC047F" w:rsidRPr="00A56218">
        <w:rPr>
          <w:rFonts w:ascii="Arial" w:hAnsi="Arial" w:cs="Arial"/>
          <w:sz w:val="20"/>
          <w:szCs w:val="20"/>
        </w:rPr>
        <w:t xml:space="preserve">the SMEDDS addition and </w:t>
      </w:r>
      <w:r w:rsidR="00A51F14" w:rsidRPr="00A56218">
        <w:rPr>
          <w:rFonts w:ascii="Arial" w:hAnsi="Arial" w:cs="Arial"/>
          <w:sz w:val="20"/>
          <w:szCs w:val="20"/>
        </w:rPr>
        <w:t>completion of</w:t>
      </w:r>
      <w:r w:rsidR="00BC047F" w:rsidRPr="00A56218">
        <w:rPr>
          <w:rFonts w:ascii="Arial" w:hAnsi="Arial" w:cs="Arial"/>
          <w:sz w:val="20"/>
          <w:szCs w:val="20"/>
        </w:rPr>
        <w:t xml:space="preserve"> emulsification process was noted. The emulsification process was visually examined</w:t>
      </w:r>
      <w:r w:rsidR="00A7635B">
        <w:rPr>
          <w:rFonts w:ascii="Arial" w:hAnsi="Arial" w:cs="Arial"/>
          <w:sz w:val="20"/>
          <w:szCs w:val="20"/>
        </w:rPr>
        <w:t xml:space="preserve"> </w:t>
      </w:r>
      <w:r w:rsidR="00A7635B">
        <w:rPr>
          <w:rFonts w:ascii="Arial" w:hAnsi="Arial" w:cs="Arial"/>
          <w:sz w:val="20"/>
          <w:szCs w:val="20"/>
        </w:rPr>
        <w:fldChar w:fldCharType="begin"/>
      </w:r>
      <w:r w:rsidR="00A7635B">
        <w:rPr>
          <w:rFonts w:ascii="Arial" w:hAnsi="Arial" w:cs="Arial"/>
          <w:sz w:val="20"/>
          <w:szCs w:val="20"/>
        </w:rPr>
        <w:instrText xml:space="preserve"> ADDIN ZOTERO_ITEM CSL_CITATION {"citationID":"NsaYcIA6","properties":{"formattedCitation":"(Huo et al., 2018b)","plainCitation":"(Huo et al., 2018b)","noteIndex":0},"citationItems":[{"id":260,"uris":["http://zotero.org/users/11670883/items/B8N27KM9"],"itemData":{"id":260,"type":"article-journal","container-title":"European Journal of Pharmaceutical Sciences","DOI":"10.1016/j.ejps.2017.12.002","ISSN":"09280987","journalAbbreviation":"European Journal of Pharmaceutical Sciences","language":"en","page":"74-83","source":"DOI.org (Crossref)","title":"Preparation and comparison of tacrolimus-loaded solid dispersion and self-microemulsifying drug delivery system by in vitro/in vivo evaluation","volume":"114","author":[{"family":"Huo","given":"Taotao"},{"family":"Tao","given":"Chun"},{"family":"Zhang","given":"Minxin"},{"family":"Liu","given":"Qinghong"},{"family":"Lin","given":"Bing"},{"family":"Liu","given":"Zhihong"},{"family":"Zhang","given":"Jialiang"},{"family":"Zhang","given":"Meijing"},{"family":"Yang","given":"Haiyue"},{"family":"Wu","given":"Jue"},{"family":"Sun","given":"Xinrong"},{"family":"Zhang","given":"Qian"},{"family":"Song","given":"Hongtao"}],"issued":{"date-parts":[["2018",3]]}}}],"schema":"https://github.com/citation-style-language/schema/raw/master/csl-citation.json"} </w:instrText>
      </w:r>
      <w:r w:rsidR="00A7635B">
        <w:rPr>
          <w:rFonts w:ascii="Arial" w:hAnsi="Arial" w:cs="Arial"/>
          <w:sz w:val="20"/>
          <w:szCs w:val="20"/>
        </w:rPr>
        <w:fldChar w:fldCharType="separate"/>
      </w:r>
      <w:r w:rsidR="00A7635B" w:rsidRPr="00A7635B">
        <w:rPr>
          <w:rFonts w:ascii="Arial" w:hAnsi="Arial" w:cs="Arial"/>
          <w:sz w:val="20"/>
        </w:rPr>
        <w:t>(Huo et al., 2018)</w:t>
      </w:r>
      <w:r w:rsidR="00A7635B">
        <w:rPr>
          <w:rFonts w:ascii="Arial" w:hAnsi="Arial" w:cs="Arial"/>
          <w:sz w:val="20"/>
          <w:szCs w:val="20"/>
        </w:rPr>
        <w:fldChar w:fldCharType="end"/>
      </w:r>
      <w:r w:rsidR="00AD5020" w:rsidRPr="00A7635B">
        <w:rPr>
          <w:rFonts w:ascii="Arial" w:hAnsi="Arial" w:cs="Arial"/>
          <w:sz w:val="20"/>
          <w:szCs w:val="20"/>
        </w:rPr>
        <w:t>.</w:t>
      </w:r>
    </w:p>
    <w:p w14:paraId="0DDCFE48" w14:textId="77777777" w:rsidR="0031724F" w:rsidRPr="00A56218" w:rsidRDefault="0031724F" w:rsidP="00A56218">
      <w:pPr>
        <w:pStyle w:val="ListParagraph"/>
        <w:spacing w:line="360" w:lineRule="auto"/>
        <w:ind w:left="360"/>
        <w:jc w:val="both"/>
        <w:rPr>
          <w:rFonts w:ascii="Arial" w:hAnsi="Arial" w:cs="Arial"/>
          <w:sz w:val="20"/>
          <w:szCs w:val="20"/>
        </w:rPr>
      </w:pPr>
    </w:p>
    <w:p w14:paraId="17100320" w14:textId="26AB33D6" w:rsidR="00BF4A3B" w:rsidRPr="00A56218" w:rsidRDefault="00BF4A3B"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Viscosity</w:t>
      </w:r>
    </w:p>
    <w:p w14:paraId="4BAB1A4E" w14:textId="1A32F41B" w:rsidR="00FC6F76" w:rsidRPr="00A56218" w:rsidRDefault="00456A19"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Viscosity of the prepared SMEDDS was determined by using </w:t>
      </w:r>
      <w:r w:rsidR="00907119" w:rsidRPr="00A56218">
        <w:rPr>
          <w:rFonts w:ascii="Arial" w:hAnsi="Arial" w:cs="Arial"/>
          <w:sz w:val="20"/>
          <w:szCs w:val="20"/>
        </w:rPr>
        <w:t xml:space="preserve">rotating spindle Brookfield viscometer </w:t>
      </w:r>
      <w:r w:rsidR="00DB38BD" w:rsidRPr="00A7635B">
        <w:rPr>
          <w:rFonts w:ascii="Arial" w:hAnsi="Arial" w:cs="Arial"/>
          <w:sz w:val="20"/>
          <w:szCs w:val="20"/>
        </w:rPr>
        <w:fldChar w:fldCharType="begin"/>
      </w:r>
      <w:r w:rsidR="00DB38BD" w:rsidRPr="00A7635B">
        <w:rPr>
          <w:rFonts w:ascii="Arial" w:hAnsi="Arial" w:cs="Arial"/>
          <w:sz w:val="20"/>
          <w:szCs w:val="20"/>
        </w:rPr>
        <w:instrText xml:space="preserve"> ADDIN ZOTERO_ITEM CSL_CITATION {"citationID":"z5iT0toV","properties":{"formattedCitation":"(Karamustafa and \\uc0\\u199{}elebi, 2008)","plainCitation":"(Karamustafa and Çelebi, 2008)","noteIndex":0},"citationItems":[{"id":253,"uris":["http://zotero.org/users/11670883/items/R4YPICIU"],"itemData":{"id":253,"type":"article-journal","container-title":"Journal of Microencapsulation","DOI":"10.1080/02652040801977045","ISSN":"0265-2048, 1464-5246","issue":"5","journalAbbreviation":"Journal of Microencapsulation","language":"en","page":"315-323","source":"DOI.org (Crossref)","title":"Development of an oral microemulsion formulation of alendronate: Effects of oil and co-surfactant type on phase behaviour","title-short":"Development of an oral microemulsion formulation of alendronate","volume":"25","author":[{"family":"Karamustafa","given":"Fulya"},{"family":"Çelebi","given":"Nevin"}],"issued":{"date-parts":[["2008",1]]}}}],"schema":"https://github.com/citation-style-language/schema/raw/master/csl-citation.json"} </w:instrText>
      </w:r>
      <w:r w:rsidR="00DB38BD" w:rsidRPr="00A7635B">
        <w:rPr>
          <w:rFonts w:ascii="Arial" w:hAnsi="Arial" w:cs="Arial"/>
          <w:sz w:val="20"/>
          <w:szCs w:val="20"/>
        </w:rPr>
        <w:fldChar w:fldCharType="separate"/>
      </w:r>
      <w:r w:rsidR="00DB38BD" w:rsidRPr="00A7635B">
        <w:rPr>
          <w:rFonts w:ascii="Arial" w:hAnsi="Arial" w:cs="Arial"/>
          <w:kern w:val="0"/>
          <w:sz w:val="20"/>
          <w:szCs w:val="20"/>
        </w:rPr>
        <w:t>(Karamustafa and Çelebi, 2008)</w:t>
      </w:r>
      <w:r w:rsidR="00DB38BD" w:rsidRPr="00A7635B">
        <w:rPr>
          <w:rFonts w:ascii="Arial" w:hAnsi="Arial" w:cs="Arial"/>
          <w:sz w:val="20"/>
          <w:szCs w:val="20"/>
        </w:rPr>
        <w:fldChar w:fldCharType="end"/>
      </w:r>
      <w:r w:rsidR="00907119" w:rsidRPr="00A7635B">
        <w:rPr>
          <w:rFonts w:ascii="Arial" w:hAnsi="Arial" w:cs="Arial"/>
          <w:sz w:val="20"/>
          <w:szCs w:val="20"/>
        </w:rPr>
        <w:t>.</w:t>
      </w:r>
      <w:r w:rsidR="00907119" w:rsidRPr="00A56218">
        <w:rPr>
          <w:rFonts w:ascii="Arial" w:hAnsi="Arial" w:cs="Arial"/>
          <w:sz w:val="20"/>
          <w:szCs w:val="20"/>
        </w:rPr>
        <w:t xml:space="preserve"> </w:t>
      </w:r>
      <w:r w:rsidR="002D455A" w:rsidRPr="00A56218">
        <w:rPr>
          <w:rFonts w:ascii="Arial" w:hAnsi="Arial" w:cs="Arial"/>
          <w:sz w:val="20"/>
          <w:szCs w:val="20"/>
        </w:rPr>
        <w:t xml:space="preserve">After weighing, </w:t>
      </w:r>
      <w:r w:rsidR="006974EA" w:rsidRPr="00A56218">
        <w:rPr>
          <w:rFonts w:ascii="Arial" w:hAnsi="Arial" w:cs="Arial"/>
          <w:sz w:val="20"/>
          <w:szCs w:val="20"/>
        </w:rPr>
        <w:t xml:space="preserve">20 g of preconcentrate was </w:t>
      </w:r>
      <w:r w:rsidR="002D455A" w:rsidRPr="00A56218">
        <w:rPr>
          <w:rFonts w:ascii="Arial" w:hAnsi="Arial" w:cs="Arial"/>
          <w:sz w:val="20"/>
          <w:szCs w:val="20"/>
        </w:rPr>
        <w:t>add</w:t>
      </w:r>
      <w:r w:rsidR="006974EA" w:rsidRPr="00A56218">
        <w:rPr>
          <w:rFonts w:ascii="Arial" w:hAnsi="Arial" w:cs="Arial"/>
          <w:sz w:val="20"/>
          <w:szCs w:val="20"/>
        </w:rPr>
        <w:t xml:space="preserve">ed </w:t>
      </w:r>
      <w:r w:rsidR="002D455A" w:rsidRPr="00A56218">
        <w:rPr>
          <w:rFonts w:ascii="Arial" w:hAnsi="Arial" w:cs="Arial"/>
          <w:sz w:val="20"/>
          <w:szCs w:val="20"/>
        </w:rPr>
        <w:t xml:space="preserve">in </w:t>
      </w:r>
      <w:r w:rsidR="006974EA" w:rsidRPr="00A56218">
        <w:rPr>
          <w:rFonts w:ascii="Arial" w:hAnsi="Arial" w:cs="Arial"/>
          <w:sz w:val="20"/>
          <w:szCs w:val="20"/>
        </w:rPr>
        <w:t>to a beaker</w:t>
      </w:r>
      <w:r w:rsidR="00FC6F76" w:rsidRPr="00A56218">
        <w:rPr>
          <w:rFonts w:ascii="Arial" w:hAnsi="Arial" w:cs="Arial"/>
          <w:sz w:val="20"/>
          <w:szCs w:val="20"/>
        </w:rPr>
        <w:t>.</w:t>
      </w:r>
      <w:r w:rsidR="006974EA" w:rsidRPr="00A56218">
        <w:rPr>
          <w:rFonts w:ascii="Arial" w:hAnsi="Arial" w:cs="Arial"/>
          <w:sz w:val="20"/>
          <w:szCs w:val="20"/>
        </w:rPr>
        <w:t xml:space="preserve"> </w:t>
      </w:r>
      <w:r w:rsidR="00FC6F76" w:rsidRPr="00A56218">
        <w:rPr>
          <w:rFonts w:ascii="Arial" w:hAnsi="Arial" w:cs="Arial"/>
          <w:sz w:val="20"/>
          <w:szCs w:val="20"/>
        </w:rPr>
        <w:lastRenderedPageBreak/>
        <w:t>V</w:t>
      </w:r>
      <w:r w:rsidR="006974EA" w:rsidRPr="00A56218">
        <w:rPr>
          <w:rFonts w:ascii="Arial" w:hAnsi="Arial" w:cs="Arial"/>
          <w:sz w:val="20"/>
          <w:szCs w:val="20"/>
        </w:rPr>
        <w:t>iscosit</w:t>
      </w:r>
      <w:r w:rsidR="00B53AF4" w:rsidRPr="00A56218">
        <w:rPr>
          <w:rFonts w:ascii="Arial" w:hAnsi="Arial" w:cs="Arial"/>
          <w:sz w:val="20"/>
          <w:szCs w:val="20"/>
        </w:rPr>
        <w:t>y</w:t>
      </w:r>
      <w:r w:rsidR="006974EA" w:rsidRPr="00A56218">
        <w:rPr>
          <w:rFonts w:ascii="Arial" w:hAnsi="Arial" w:cs="Arial"/>
          <w:sz w:val="20"/>
          <w:szCs w:val="20"/>
        </w:rPr>
        <w:t xml:space="preserve"> was determined with the help </w:t>
      </w:r>
      <w:r w:rsidR="00FC6F76" w:rsidRPr="00A56218">
        <w:rPr>
          <w:rFonts w:ascii="Arial" w:hAnsi="Arial" w:cs="Arial"/>
          <w:sz w:val="20"/>
          <w:szCs w:val="20"/>
        </w:rPr>
        <w:t>of spindle no. 6 and speed of 12 rpm at 25°C for 5 min. Viscosity measurement was done in triplicate.</w:t>
      </w:r>
    </w:p>
    <w:p w14:paraId="69601930" w14:textId="77777777" w:rsidR="00297BA2" w:rsidRPr="00A56218" w:rsidRDefault="00297BA2" w:rsidP="00A56218">
      <w:pPr>
        <w:pStyle w:val="ListParagraph"/>
        <w:spacing w:line="360" w:lineRule="auto"/>
        <w:ind w:left="360"/>
        <w:jc w:val="both"/>
        <w:rPr>
          <w:rFonts w:ascii="Arial" w:hAnsi="Arial" w:cs="Arial"/>
          <w:sz w:val="20"/>
          <w:szCs w:val="20"/>
        </w:rPr>
      </w:pPr>
    </w:p>
    <w:p w14:paraId="217CEF29" w14:textId="6F307B0D" w:rsidR="00165B19" w:rsidRPr="00A56218" w:rsidRDefault="00165B19"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Droplet size</w:t>
      </w:r>
    </w:p>
    <w:p w14:paraId="2B33FA71" w14:textId="41A7C24F" w:rsidR="00B404C3" w:rsidRPr="00A56218" w:rsidRDefault="00D63581"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The measurement of emulsion droplet size was achieved </w:t>
      </w:r>
      <w:r w:rsidR="00B404C3" w:rsidRPr="00A56218">
        <w:rPr>
          <w:rFonts w:ascii="Arial" w:hAnsi="Arial" w:cs="Arial"/>
          <w:sz w:val="20"/>
          <w:szCs w:val="20"/>
        </w:rPr>
        <w:t>by</w:t>
      </w:r>
      <w:r w:rsidR="002D455A" w:rsidRPr="00A56218">
        <w:rPr>
          <w:rFonts w:ascii="Arial" w:hAnsi="Arial" w:cs="Arial"/>
          <w:sz w:val="20"/>
          <w:szCs w:val="20"/>
        </w:rPr>
        <w:t xml:space="preserve"> Particle Size Analyzer</w:t>
      </w:r>
      <w:r w:rsidR="00B404C3" w:rsidRPr="00A56218">
        <w:rPr>
          <w:rFonts w:ascii="Arial" w:hAnsi="Arial" w:cs="Arial"/>
          <w:sz w:val="20"/>
          <w:szCs w:val="20"/>
        </w:rPr>
        <w:t xml:space="preserve">- </w:t>
      </w:r>
      <w:proofErr w:type="spellStart"/>
      <w:r w:rsidR="00B404C3" w:rsidRPr="00A56218">
        <w:rPr>
          <w:rFonts w:ascii="Arial" w:hAnsi="Arial" w:cs="Arial"/>
          <w:sz w:val="20"/>
          <w:szCs w:val="20"/>
        </w:rPr>
        <w:t>Litesizer</w:t>
      </w:r>
      <w:proofErr w:type="spellEnd"/>
      <w:r w:rsidR="00B404C3" w:rsidRPr="00A56218">
        <w:rPr>
          <w:rFonts w:ascii="Arial" w:hAnsi="Arial" w:cs="Arial"/>
          <w:sz w:val="20"/>
          <w:szCs w:val="20"/>
        </w:rPr>
        <w:t xml:space="preserve"> DLS 500 (Anton Paar) with the dynamic light scattering at 25°C. </w:t>
      </w:r>
      <w:r w:rsidR="000B629D" w:rsidRPr="00A56218">
        <w:rPr>
          <w:rFonts w:ascii="Arial" w:hAnsi="Arial" w:cs="Arial"/>
          <w:sz w:val="20"/>
          <w:szCs w:val="20"/>
        </w:rPr>
        <w:t xml:space="preserve">Using a magnetic stirrer, 100 </w:t>
      </w:r>
      <w:proofErr w:type="spellStart"/>
      <w:r w:rsidR="000B629D" w:rsidRPr="00A56218">
        <w:rPr>
          <w:rFonts w:ascii="Arial" w:hAnsi="Arial" w:cs="Arial"/>
          <w:sz w:val="20"/>
          <w:szCs w:val="20"/>
        </w:rPr>
        <w:t>μL</w:t>
      </w:r>
      <w:proofErr w:type="spellEnd"/>
      <w:r w:rsidR="000B629D" w:rsidRPr="00A56218">
        <w:rPr>
          <w:rFonts w:ascii="Arial" w:hAnsi="Arial" w:cs="Arial"/>
          <w:sz w:val="20"/>
          <w:szCs w:val="20"/>
        </w:rPr>
        <w:t xml:space="preserve"> of SMEDDS was mixed with 100 mL of distilled water with gentle stirring. To settle the undissolved fraction, beakers were incubated at 25°C for 30 minutes. All investigations were conducted three times, and the z-average diameter values were utilized</w:t>
      </w:r>
      <w:r w:rsidR="00B404C3" w:rsidRPr="00A56218">
        <w:rPr>
          <w:rFonts w:ascii="Arial" w:hAnsi="Arial" w:cs="Arial"/>
          <w:sz w:val="20"/>
          <w:szCs w:val="20"/>
        </w:rPr>
        <w:t xml:space="preserve">. </w:t>
      </w:r>
      <w:r w:rsidR="00813280" w:rsidRPr="00A56218">
        <w:rPr>
          <w:rFonts w:ascii="Arial" w:hAnsi="Arial" w:cs="Arial"/>
          <w:sz w:val="20"/>
          <w:szCs w:val="20"/>
        </w:rPr>
        <w:t>The polydispersity index (PDI) and % transmittance was also determined in the same procedure.</w:t>
      </w:r>
      <w:r w:rsidR="00B404C3" w:rsidRPr="00A56218">
        <w:rPr>
          <w:rFonts w:ascii="Arial" w:hAnsi="Arial" w:cs="Arial"/>
          <w:sz w:val="20"/>
          <w:szCs w:val="20"/>
        </w:rPr>
        <w:t xml:space="preserve"> </w:t>
      </w:r>
      <w:r w:rsidR="00B404C3" w:rsidRPr="00A7635B">
        <w:rPr>
          <w:rFonts w:ascii="Arial" w:hAnsi="Arial" w:cs="Arial"/>
          <w:sz w:val="20"/>
          <w:szCs w:val="20"/>
        </w:rPr>
        <w:fldChar w:fldCharType="begin"/>
      </w:r>
      <w:r w:rsidR="00B404C3" w:rsidRPr="00A7635B">
        <w:rPr>
          <w:rFonts w:ascii="Arial" w:hAnsi="Arial" w:cs="Arial"/>
          <w:sz w:val="20"/>
          <w:szCs w:val="20"/>
        </w:rPr>
        <w:instrText xml:space="preserve"> ADDIN ZOTERO_ITEM CSL_CITATION {"citationID":"pGuPgxbh","properties":{"formattedCitation":"(Kim et al., 2019)","plainCitation":"(Kim et al., 2019)","noteIndex":0},"citationItems":[{"id":243,"uris":["http://zotero.org/users/11670883/items/RD7WHSIM"],"itemData":{"id":243,"type":"article-journal","abstract":"Purpose: The objective of this study was to exploit a novel methotrexate (MTX)-loaded solid self-microemulsifying drug delivery system (SMEDDS) with enhanced bioavailability and photostability. Materials and methods: The optimized liquid SMEDDS was composed of castor oil, Tween® 80, and Plurol® diisostearique at a voluminous ratio of 27:63:10. The solid SMEDDS was formulated by spray drying liquid SMEDDS with the solid carrier (calcium silicate). Particle size analyzer, scanning electron microscopy (SEM), differential scanning calorimetry (DSC), powder X-ray diffraction (PXRD), and Fourier transform infrared (FTIR) spectroscopy experiments characterized the physiochemical properties of the MTX-loaded solid SMEDDS. These properties include a z-average diameter of emulsion around 127 nm and the amorphous form of the solid SMEDDS. Furthermore, their solubility, dissolution, and pharmacokinetics in Sprague-Dawley rats were analyzed in comparison with the MTX powder.\nResults: The ﬁnal dissolution rate and required time for complete release of solid SMEDDS were 1.9-fold higher and 10 min shorter, respectively, than those of MTX powder. Pharmacokinetic analysis demonstrated 2.04- and 3.41-fold increments in AUC and Cmax, respectively in comparison to MTX powder. The AUC and Cmax were signiﬁcantly increased in solid SMEDDS. Finally, the photostability studies revealed the substantially enhanced photostability of the MTX-loaded SMEDDS under the forced degradation and conﬁrmatory conditions.\nConclusion: This solid SMEDDS formulation could be an outstanding candidate for improving the oral bioavailability and photostability of MTX.","container-title":"International Journal of Nanomedicine","DOI":"10.2147/IJN.S211014","ISSN":"1178-2013","journalAbbreviation":"IJN","language":"en","license":"http://creativecommons.org/licenses/by-nc/3.0/","page":"4949-4960","source":"DOI.org (Crossref)","title":"Self-microemulsifying drug delivery system (SMEDDS) for improved oral delivery and photostability of methotrexate","volume":"Volume 14","author":[{"family":"Kim","given":"Dong Shik"},{"family":"Cho","given":"Jung Hyun"},{"family":"Park","given":"Jong Hyuck"},{"family":"Kim","given":"Jung Suk"},{"family":"Song","given":"Eon Soo"},{"family":"Kwon","given":"Jaewook"},{"family":"Giri","given":"Bhupendra Raj"},{"family":"Jin","given":"Sung Giu"},{"family":"Kim","given":"Kyeong Soo"},{"family":"Choi","given":"Han-Gon"},{"family":"Kim","given":"Dong Wuk"}],"issued":{"date-parts":[["2019",7]]}}}],"schema":"https://github.com/citation-style-language/schema/raw/master/csl-citation.json"} </w:instrText>
      </w:r>
      <w:r w:rsidR="00B404C3" w:rsidRPr="00A7635B">
        <w:rPr>
          <w:rFonts w:ascii="Arial" w:hAnsi="Arial" w:cs="Arial"/>
          <w:sz w:val="20"/>
          <w:szCs w:val="20"/>
        </w:rPr>
        <w:fldChar w:fldCharType="separate"/>
      </w:r>
      <w:r w:rsidR="00B404C3" w:rsidRPr="00A7635B">
        <w:rPr>
          <w:rFonts w:ascii="Arial" w:hAnsi="Arial" w:cs="Arial"/>
          <w:sz w:val="20"/>
          <w:szCs w:val="20"/>
        </w:rPr>
        <w:t>(Kim et al., 2019)</w:t>
      </w:r>
      <w:r w:rsidR="00B404C3" w:rsidRPr="00A7635B">
        <w:rPr>
          <w:rFonts w:ascii="Arial" w:hAnsi="Arial" w:cs="Arial"/>
          <w:sz w:val="20"/>
          <w:szCs w:val="20"/>
        </w:rPr>
        <w:fldChar w:fldCharType="end"/>
      </w:r>
    </w:p>
    <w:p w14:paraId="2D1E4789" w14:textId="77777777" w:rsidR="00B404C3" w:rsidRPr="00A56218" w:rsidRDefault="00B404C3" w:rsidP="00A56218">
      <w:pPr>
        <w:pStyle w:val="ListParagraph"/>
        <w:spacing w:line="360" w:lineRule="auto"/>
        <w:ind w:left="360"/>
        <w:jc w:val="both"/>
        <w:rPr>
          <w:rFonts w:ascii="Arial" w:hAnsi="Arial" w:cs="Arial"/>
          <w:sz w:val="20"/>
          <w:szCs w:val="20"/>
        </w:rPr>
      </w:pPr>
    </w:p>
    <w:p w14:paraId="1FD2726D" w14:textId="5F71963E" w:rsidR="00D866FF" w:rsidRPr="00A56218" w:rsidRDefault="00D866FF"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Zeta potential</w:t>
      </w:r>
    </w:p>
    <w:p w14:paraId="11DB5E59" w14:textId="1233A631" w:rsidR="004B4F1D" w:rsidRPr="00A56218" w:rsidRDefault="00130B52"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The magnitude of surface charge has a direct correlation with emulsion stability. Using a </w:t>
      </w:r>
      <w:proofErr w:type="spellStart"/>
      <w:r w:rsidRPr="00A56218">
        <w:rPr>
          <w:rFonts w:ascii="Arial" w:hAnsi="Arial" w:cs="Arial"/>
          <w:sz w:val="20"/>
          <w:szCs w:val="20"/>
        </w:rPr>
        <w:t>Litesizer</w:t>
      </w:r>
      <w:proofErr w:type="spellEnd"/>
      <w:r w:rsidRPr="00A56218">
        <w:rPr>
          <w:rFonts w:ascii="Arial" w:hAnsi="Arial" w:cs="Arial"/>
          <w:sz w:val="20"/>
          <w:szCs w:val="20"/>
        </w:rPr>
        <w:t xml:space="preserve"> DLS 500 (Anton </w:t>
      </w:r>
      <w:proofErr w:type="spellStart"/>
      <w:r w:rsidRPr="00A56218">
        <w:rPr>
          <w:rFonts w:ascii="Arial" w:hAnsi="Arial" w:cs="Arial"/>
          <w:sz w:val="20"/>
          <w:szCs w:val="20"/>
        </w:rPr>
        <w:t>Paar</w:t>
      </w:r>
      <w:proofErr w:type="spellEnd"/>
      <w:r w:rsidRPr="00A56218">
        <w:rPr>
          <w:rFonts w:ascii="Arial" w:hAnsi="Arial" w:cs="Arial"/>
          <w:sz w:val="20"/>
          <w:szCs w:val="20"/>
        </w:rPr>
        <w:t xml:space="preserve">), the zeta potential of the diluted SMEDDS formulation was determined. The SMEDDS </w:t>
      </w:r>
      <w:r w:rsidR="00A51F14" w:rsidRPr="00A56218">
        <w:rPr>
          <w:rFonts w:ascii="Arial" w:hAnsi="Arial" w:cs="Arial"/>
          <w:sz w:val="20"/>
          <w:szCs w:val="20"/>
        </w:rPr>
        <w:t>are</w:t>
      </w:r>
      <w:r w:rsidRPr="00A56218">
        <w:rPr>
          <w:rFonts w:ascii="Arial" w:hAnsi="Arial" w:cs="Arial"/>
          <w:sz w:val="20"/>
          <w:szCs w:val="20"/>
        </w:rPr>
        <w:t xml:space="preserve"> diluted</w:t>
      </w:r>
      <w:r w:rsidR="00A51F14" w:rsidRPr="00A56218">
        <w:rPr>
          <w:rFonts w:ascii="Arial" w:hAnsi="Arial" w:cs="Arial"/>
          <w:sz w:val="20"/>
          <w:szCs w:val="20"/>
        </w:rPr>
        <w:t xml:space="preserve"> 20 times</w:t>
      </w:r>
      <w:r w:rsidRPr="00A56218">
        <w:rPr>
          <w:rFonts w:ascii="Arial" w:hAnsi="Arial" w:cs="Arial"/>
          <w:sz w:val="20"/>
          <w:szCs w:val="20"/>
        </w:rPr>
        <w:t xml:space="preserve"> with distilled water and stirred for a minute </w:t>
      </w:r>
      <w:r w:rsidR="00A51F14" w:rsidRPr="00A56218">
        <w:rPr>
          <w:rFonts w:ascii="Arial" w:hAnsi="Arial" w:cs="Arial"/>
          <w:sz w:val="20"/>
          <w:szCs w:val="20"/>
        </w:rPr>
        <w:t>using</w:t>
      </w:r>
      <w:r w:rsidRPr="00A56218">
        <w:rPr>
          <w:rFonts w:ascii="Arial" w:hAnsi="Arial" w:cs="Arial"/>
          <w:sz w:val="20"/>
          <w:szCs w:val="20"/>
        </w:rPr>
        <w:t xml:space="preserve"> magnetic stirrer.</w:t>
      </w:r>
    </w:p>
    <w:p w14:paraId="73C63903" w14:textId="77777777" w:rsidR="00297BA2" w:rsidRPr="00A56218" w:rsidRDefault="00297BA2" w:rsidP="00A56218">
      <w:pPr>
        <w:pStyle w:val="ListParagraph"/>
        <w:spacing w:line="360" w:lineRule="auto"/>
        <w:ind w:left="360"/>
        <w:jc w:val="both"/>
        <w:rPr>
          <w:rFonts w:ascii="Arial" w:hAnsi="Arial" w:cs="Arial"/>
          <w:sz w:val="20"/>
          <w:szCs w:val="20"/>
        </w:rPr>
      </w:pPr>
    </w:p>
    <w:p w14:paraId="5CE4ACF8" w14:textId="3632C592" w:rsidR="00165B19" w:rsidRPr="00A56218" w:rsidRDefault="00165B19"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i/>
          <w:iCs/>
          <w:sz w:val="20"/>
          <w:szCs w:val="20"/>
        </w:rPr>
        <w:t>In</w:t>
      </w:r>
      <w:r w:rsidR="00130B52" w:rsidRPr="00A56218">
        <w:rPr>
          <w:rFonts w:ascii="Arial" w:hAnsi="Arial" w:cs="Arial"/>
          <w:i/>
          <w:iCs/>
          <w:sz w:val="20"/>
          <w:szCs w:val="20"/>
        </w:rPr>
        <w:t>-</w:t>
      </w:r>
      <w:r w:rsidRPr="00A56218">
        <w:rPr>
          <w:rFonts w:ascii="Arial" w:hAnsi="Arial" w:cs="Arial"/>
          <w:i/>
          <w:iCs/>
          <w:sz w:val="20"/>
          <w:szCs w:val="20"/>
        </w:rPr>
        <w:t>vitro</w:t>
      </w:r>
      <w:r w:rsidRPr="00A56218">
        <w:rPr>
          <w:rFonts w:ascii="Arial" w:hAnsi="Arial" w:cs="Arial"/>
          <w:sz w:val="20"/>
          <w:szCs w:val="20"/>
        </w:rPr>
        <w:t xml:space="preserve"> dissolutio</w:t>
      </w:r>
      <w:r w:rsidR="00D63581" w:rsidRPr="00A56218">
        <w:rPr>
          <w:rFonts w:ascii="Arial" w:hAnsi="Arial" w:cs="Arial"/>
          <w:sz w:val="20"/>
          <w:szCs w:val="20"/>
        </w:rPr>
        <w:t>n</w:t>
      </w:r>
    </w:p>
    <w:p w14:paraId="0FAC5BCC" w14:textId="31FBB0B8" w:rsidR="00297BA2" w:rsidRPr="00A56218" w:rsidRDefault="007D6D42"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The Paddle type</w:t>
      </w:r>
      <w:r w:rsidR="00D63581" w:rsidRPr="00A56218">
        <w:rPr>
          <w:rFonts w:ascii="Arial" w:hAnsi="Arial" w:cs="Arial"/>
          <w:sz w:val="20"/>
          <w:szCs w:val="20"/>
        </w:rPr>
        <w:t xml:space="preserve"> (USP type II</w:t>
      </w:r>
      <w:r w:rsidRPr="00A56218">
        <w:rPr>
          <w:rFonts w:ascii="Arial" w:hAnsi="Arial" w:cs="Arial"/>
          <w:sz w:val="20"/>
          <w:szCs w:val="20"/>
        </w:rPr>
        <w:t xml:space="preserve">) dissolution apparatus was used to conduct an </w:t>
      </w:r>
      <w:r w:rsidRPr="00A56218">
        <w:rPr>
          <w:rFonts w:ascii="Arial" w:hAnsi="Arial" w:cs="Arial"/>
          <w:i/>
          <w:iCs/>
          <w:sz w:val="20"/>
          <w:szCs w:val="20"/>
        </w:rPr>
        <w:t>in-vitro</w:t>
      </w:r>
      <w:r w:rsidRPr="00A56218">
        <w:rPr>
          <w:rFonts w:ascii="Arial" w:hAnsi="Arial" w:cs="Arial"/>
          <w:sz w:val="20"/>
          <w:szCs w:val="20"/>
        </w:rPr>
        <w:t xml:space="preserve"> drug release study.</w:t>
      </w:r>
      <w:r w:rsidR="00297BA2" w:rsidRPr="00A56218">
        <w:rPr>
          <w:rFonts w:ascii="Arial" w:hAnsi="Arial" w:cs="Arial"/>
          <w:sz w:val="20"/>
          <w:szCs w:val="20"/>
        </w:rPr>
        <w:t xml:space="preserve"> </w:t>
      </w:r>
      <w:r w:rsidR="008D1D53" w:rsidRPr="00A56218">
        <w:rPr>
          <w:rFonts w:ascii="Arial" w:hAnsi="Arial" w:cs="Arial"/>
          <w:sz w:val="20"/>
          <w:szCs w:val="20"/>
        </w:rPr>
        <w:t xml:space="preserve">Fatty acid-containing SEMDDS was put into hard gelatin capsules ("size 00") and added to </w:t>
      </w:r>
      <w:r w:rsidR="00103C89" w:rsidRPr="00A56218">
        <w:rPr>
          <w:rFonts w:ascii="Arial" w:hAnsi="Arial" w:cs="Arial"/>
          <w:sz w:val="20"/>
          <w:szCs w:val="20"/>
        </w:rPr>
        <w:t xml:space="preserve">pH 6.8 </w:t>
      </w:r>
      <w:r w:rsidR="008D1D53" w:rsidRPr="00A56218">
        <w:rPr>
          <w:rFonts w:ascii="Arial" w:hAnsi="Arial" w:cs="Arial"/>
          <w:sz w:val="20"/>
          <w:szCs w:val="20"/>
        </w:rPr>
        <w:t>phosphate buffer, which is </w:t>
      </w:r>
      <w:r w:rsidR="0085151E" w:rsidRPr="00A56218">
        <w:rPr>
          <w:rFonts w:ascii="Arial" w:hAnsi="Arial" w:cs="Arial"/>
          <w:sz w:val="20"/>
          <w:szCs w:val="20"/>
        </w:rPr>
        <w:t>perpetuated</w:t>
      </w:r>
      <w:r w:rsidR="008D1D53" w:rsidRPr="00A56218">
        <w:rPr>
          <w:rFonts w:ascii="Arial" w:hAnsi="Arial" w:cs="Arial"/>
          <w:sz w:val="20"/>
          <w:szCs w:val="20"/>
        </w:rPr>
        <w:t xml:space="preserve"> at 37±0.5°C. The paddle's revolution speed was maintained at 50 revolutions per minute. At 5, 10, 15, 30, 45, and 60 minutes, the 5 mL aliquot was taken out and passed </w:t>
      </w:r>
      <w:r w:rsidR="007A2FA8" w:rsidRPr="00A56218">
        <w:rPr>
          <w:rFonts w:ascii="Arial" w:hAnsi="Arial" w:cs="Arial"/>
          <w:sz w:val="20"/>
          <w:szCs w:val="20"/>
        </w:rPr>
        <w:t>via membrane filters with 0.45 µm pores</w:t>
      </w:r>
      <w:r w:rsidR="008D1D53" w:rsidRPr="00A56218">
        <w:rPr>
          <w:rFonts w:ascii="Arial" w:hAnsi="Arial" w:cs="Arial"/>
          <w:sz w:val="20"/>
          <w:szCs w:val="20"/>
        </w:rPr>
        <w:t>.</w:t>
      </w:r>
      <w:r w:rsidR="00297BA2" w:rsidRPr="00A56218">
        <w:rPr>
          <w:rFonts w:ascii="Arial" w:hAnsi="Arial" w:cs="Arial"/>
          <w:sz w:val="20"/>
          <w:szCs w:val="20"/>
        </w:rPr>
        <w:t xml:space="preserve"> </w:t>
      </w:r>
      <w:r w:rsidR="007A2FA8" w:rsidRPr="00A56218">
        <w:rPr>
          <w:rFonts w:ascii="Arial" w:hAnsi="Arial" w:cs="Arial"/>
          <w:sz w:val="20"/>
          <w:szCs w:val="20"/>
        </w:rPr>
        <w:t xml:space="preserve">To maintain the sink condition, the dissolving medium aliquot was replaced. </w:t>
      </w:r>
      <w:r w:rsidR="00297BA2" w:rsidRPr="00A56218">
        <w:rPr>
          <w:rFonts w:ascii="Arial" w:hAnsi="Arial" w:cs="Arial"/>
          <w:sz w:val="20"/>
          <w:szCs w:val="20"/>
        </w:rPr>
        <w:t xml:space="preserve">The concentration of </w:t>
      </w:r>
      <w:r w:rsidR="002B3B6D" w:rsidRPr="00A56218">
        <w:rPr>
          <w:rFonts w:ascii="Arial" w:hAnsi="Arial" w:cs="Arial"/>
          <w:sz w:val="20"/>
          <w:szCs w:val="20"/>
        </w:rPr>
        <w:t>ALA</w:t>
      </w:r>
      <w:r w:rsidR="00297BA2" w:rsidRPr="00A56218">
        <w:rPr>
          <w:rFonts w:ascii="Arial" w:hAnsi="Arial" w:cs="Arial"/>
          <w:sz w:val="20"/>
          <w:szCs w:val="20"/>
        </w:rPr>
        <w:t xml:space="preserve"> was determined spectrophotometrically at 2</w:t>
      </w:r>
      <w:r w:rsidR="002B3B6D" w:rsidRPr="00A56218">
        <w:rPr>
          <w:rFonts w:ascii="Arial" w:hAnsi="Arial" w:cs="Arial"/>
          <w:sz w:val="20"/>
          <w:szCs w:val="20"/>
        </w:rPr>
        <w:t>30</w:t>
      </w:r>
      <w:r w:rsidR="00297BA2" w:rsidRPr="00A56218">
        <w:rPr>
          <w:rFonts w:ascii="Arial" w:hAnsi="Arial" w:cs="Arial"/>
          <w:sz w:val="20"/>
          <w:szCs w:val="20"/>
        </w:rPr>
        <w:t xml:space="preserve"> nm. </w:t>
      </w:r>
      <w:r w:rsidR="00297BA2" w:rsidRPr="00A7635B">
        <w:rPr>
          <w:rFonts w:ascii="Arial" w:hAnsi="Arial" w:cs="Arial"/>
          <w:sz w:val="20"/>
          <w:szCs w:val="20"/>
        </w:rPr>
        <w:fldChar w:fldCharType="begin"/>
      </w:r>
      <w:r w:rsidR="00297BA2" w:rsidRPr="00A7635B">
        <w:rPr>
          <w:rFonts w:ascii="Arial" w:hAnsi="Arial" w:cs="Arial"/>
          <w:sz w:val="20"/>
          <w:szCs w:val="20"/>
        </w:rPr>
        <w:instrText xml:space="preserve"> ADDIN ZOTERO_ITEM CSL_CITATION {"citationID":"2aFsyBeV","properties":{"formattedCitation":"(Laddha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297BA2" w:rsidRPr="00A7635B">
        <w:rPr>
          <w:rFonts w:ascii="Arial" w:hAnsi="Arial" w:cs="Arial"/>
          <w:sz w:val="20"/>
          <w:szCs w:val="20"/>
        </w:rPr>
        <w:fldChar w:fldCharType="separate"/>
      </w:r>
      <w:r w:rsidR="00297BA2" w:rsidRPr="00A7635B">
        <w:rPr>
          <w:rFonts w:ascii="Arial" w:hAnsi="Arial" w:cs="Arial"/>
          <w:sz w:val="20"/>
          <w:szCs w:val="20"/>
        </w:rPr>
        <w:t>(Laddha et al., 2014)</w:t>
      </w:r>
      <w:r w:rsidR="00297BA2" w:rsidRPr="00A7635B">
        <w:rPr>
          <w:rFonts w:ascii="Arial" w:hAnsi="Arial" w:cs="Arial"/>
          <w:sz w:val="20"/>
          <w:szCs w:val="20"/>
        </w:rPr>
        <w:fldChar w:fldCharType="end"/>
      </w:r>
    </w:p>
    <w:p w14:paraId="0B16FD19" w14:textId="77777777" w:rsidR="00BF5650" w:rsidRPr="00A56218" w:rsidRDefault="00BF5650" w:rsidP="00A56218">
      <w:pPr>
        <w:pStyle w:val="ListParagraph"/>
        <w:spacing w:line="360" w:lineRule="auto"/>
        <w:ind w:left="360"/>
        <w:jc w:val="both"/>
        <w:rPr>
          <w:rFonts w:ascii="Arial" w:hAnsi="Arial" w:cs="Arial"/>
          <w:sz w:val="20"/>
          <w:szCs w:val="20"/>
        </w:rPr>
      </w:pPr>
    </w:p>
    <w:p w14:paraId="543333B8" w14:textId="34105869" w:rsidR="00BF5650" w:rsidRPr="00A56218" w:rsidRDefault="00BF5650" w:rsidP="00A56218">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Stability study</w:t>
      </w:r>
    </w:p>
    <w:p w14:paraId="485D9F7A" w14:textId="54EAADD8" w:rsidR="00BF5650" w:rsidRPr="00A56218" w:rsidRDefault="007A2FA8" w:rsidP="00A56218">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As a part of stability analysis </w:t>
      </w:r>
      <w:r w:rsidR="008D1D53" w:rsidRPr="00A56218">
        <w:rPr>
          <w:rFonts w:ascii="Arial" w:hAnsi="Arial" w:cs="Arial"/>
          <w:sz w:val="20"/>
          <w:szCs w:val="20"/>
        </w:rPr>
        <w:t xml:space="preserve">conducted in compliance with ICH guidelines to evaluate the effects of </w:t>
      </w:r>
      <w:r w:rsidRPr="00A56218">
        <w:rPr>
          <w:rFonts w:ascii="Arial" w:hAnsi="Arial" w:cs="Arial"/>
          <w:sz w:val="20"/>
          <w:szCs w:val="20"/>
        </w:rPr>
        <w:t xml:space="preserve">humidity and </w:t>
      </w:r>
      <w:r w:rsidR="008D1D53" w:rsidRPr="00A56218">
        <w:rPr>
          <w:rFonts w:ascii="Arial" w:hAnsi="Arial" w:cs="Arial"/>
          <w:sz w:val="20"/>
          <w:szCs w:val="20"/>
        </w:rPr>
        <w:t xml:space="preserve">temperature on the SMEDDS, prepared SMEDDS was held for </w:t>
      </w:r>
      <w:r w:rsidR="0026417D" w:rsidRPr="00A56218">
        <w:rPr>
          <w:rFonts w:ascii="Arial" w:hAnsi="Arial" w:cs="Arial"/>
          <w:sz w:val="20"/>
          <w:szCs w:val="20"/>
        </w:rPr>
        <w:t>a</w:t>
      </w:r>
      <w:r w:rsidR="008D1D53" w:rsidRPr="00A56218">
        <w:rPr>
          <w:rFonts w:ascii="Arial" w:hAnsi="Arial" w:cs="Arial"/>
          <w:sz w:val="20"/>
          <w:szCs w:val="20"/>
        </w:rPr>
        <w:t xml:space="preserve"> month at room temperature (RT) and under accelerated circumstances (40ºC ± 2ºC and 75% ± 5% RH). To confirm the stability of the produced formulation during the storage phase, parameters including </w:t>
      </w:r>
      <w:r w:rsidRPr="00A56218">
        <w:rPr>
          <w:rFonts w:ascii="Arial" w:hAnsi="Arial" w:cs="Arial"/>
          <w:sz w:val="20"/>
          <w:szCs w:val="20"/>
        </w:rPr>
        <w:t xml:space="preserve">emulsification efficiency, </w:t>
      </w:r>
      <w:r w:rsidR="008D1D53" w:rsidRPr="00A56218">
        <w:rPr>
          <w:rFonts w:ascii="Arial" w:hAnsi="Arial" w:cs="Arial"/>
          <w:sz w:val="20"/>
          <w:szCs w:val="20"/>
        </w:rPr>
        <w:t>physical appearance, globule size</w:t>
      </w:r>
      <w:r w:rsidRPr="00A56218">
        <w:rPr>
          <w:rFonts w:ascii="Arial" w:hAnsi="Arial" w:cs="Arial"/>
          <w:sz w:val="20"/>
          <w:szCs w:val="20"/>
        </w:rPr>
        <w:t xml:space="preserve"> and percent transmittance</w:t>
      </w:r>
      <w:r w:rsidR="008D1D53" w:rsidRPr="00A56218">
        <w:rPr>
          <w:rFonts w:ascii="Arial" w:hAnsi="Arial" w:cs="Arial"/>
          <w:sz w:val="20"/>
          <w:szCs w:val="20"/>
        </w:rPr>
        <w:t xml:space="preserve"> were evaluated</w:t>
      </w:r>
      <w:r w:rsidR="008D1D53" w:rsidRPr="00A7635B">
        <w:rPr>
          <w:rFonts w:ascii="Arial" w:hAnsi="Arial" w:cs="Arial"/>
          <w:sz w:val="20"/>
          <w:szCs w:val="20"/>
        </w:rPr>
        <w:t>.</w:t>
      </w:r>
      <w:r w:rsidR="00BF5650" w:rsidRPr="00A7635B">
        <w:rPr>
          <w:rFonts w:ascii="Arial" w:hAnsi="Arial" w:cs="Arial"/>
          <w:sz w:val="20"/>
          <w:szCs w:val="20"/>
        </w:rPr>
        <w:t xml:space="preserve"> </w:t>
      </w:r>
      <w:r w:rsidR="00BF5650" w:rsidRPr="00A7635B">
        <w:rPr>
          <w:rFonts w:ascii="Arial" w:hAnsi="Arial" w:cs="Arial"/>
          <w:sz w:val="20"/>
          <w:szCs w:val="20"/>
        </w:rPr>
        <w:fldChar w:fldCharType="begin"/>
      </w:r>
      <w:r w:rsidR="009E24D8" w:rsidRPr="00A7635B">
        <w:rPr>
          <w:rFonts w:ascii="Arial" w:hAnsi="Arial" w:cs="Arial"/>
          <w:sz w:val="20"/>
          <w:szCs w:val="20"/>
        </w:rPr>
        <w:instrText xml:space="preserve"> ADDIN ZOTERO_ITEM CSL_CITATION {"citationID":"0eQm9SFf","properties":{"formattedCitation":"(Emad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BF5650" w:rsidRPr="00A7635B">
        <w:rPr>
          <w:rFonts w:ascii="Arial" w:hAnsi="Arial" w:cs="Arial"/>
          <w:sz w:val="20"/>
          <w:szCs w:val="20"/>
        </w:rPr>
        <w:fldChar w:fldCharType="separate"/>
      </w:r>
      <w:r w:rsidR="00BF5650" w:rsidRPr="00A7635B">
        <w:rPr>
          <w:rFonts w:ascii="Arial" w:hAnsi="Arial" w:cs="Arial"/>
          <w:sz w:val="20"/>
          <w:szCs w:val="20"/>
        </w:rPr>
        <w:t>(Emad et al., 2023)</w:t>
      </w:r>
      <w:r w:rsidR="00BF5650" w:rsidRPr="00A7635B">
        <w:rPr>
          <w:rFonts w:ascii="Arial" w:hAnsi="Arial" w:cs="Arial"/>
          <w:sz w:val="20"/>
          <w:szCs w:val="20"/>
        </w:rPr>
        <w:fldChar w:fldCharType="end"/>
      </w:r>
    </w:p>
    <w:bookmarkEnd w:id="3"/>
    <w:p w14:paraId="08D17EA6" w14:textId="77777777" w:rsidR="00165B19" w:rsidRDefault="00165B19" w:rsidP="00883EF8">
      <w:pPr>
        <w:spacing w:line="360" w:lineRule="auto"/>
        <w:jc w:val="both"/>
      </w:pPr>
    </w:p>
    <w:p w14:paraId="263FF12A" w14:textId="4AC13A22" w:rsidR="009B443A" w:rsidRPr="009B443A" w:rsidRDefault="009B443A" w:rsidP="001909D2">
      <w:pPr>
        <w:pStyle w:val="Heading1"/>
      </w:pPr>
      <w:r w:rsidRPr="009B443A">
        <w:t>RESULTS AND DISCUSSION</w:t>
      </w:r>
    </w:p>
    <w:p w14:paraId="7007BD73" w14:textId="42B5AE42" w:rsidR="00836645" w:rsidRPr="00837E1E" w:rsidRDefault="00837E1E" w:rsidP="00837E1E">
      <w:pPr>
        <w:rPr>
          <w:rFonts w:ascii="Arial" w:hAnsi="Arial" w:cs="Arial"/>
          <w:b/>
          <w:bCs/>
          <w:sz w:val="22"/>
          <w:szCs w:val="22"/>
        </w:rPr>
      </w:pPr>
      <w:r w:rsidRPr="00837E1E">
        <w:rPr>
          <w:rFonts w:ascii="Arial" w:hAnsi="Arial" w:cs="Arial"/>
          <w:b/>
          <w:bCs/>
          <w:sz w:val="22"/>
          <w:szCs w:val="22"/>
        </w:rPr>
        <w:t xml:space="preserve">3.1.  </w:t>
      </w:r>
      <w:r w:rsidR="00836645" w:rsidRPr="00837E1E">
        <w:rPr>
          <w:rFonts w:ascii="Arial" w:hAnsi="Arial" w:cs="Arial"/>
          <w:b/>
          <w:bCs/>
          <w:sz w:val="22"/>
          <w:szCs w:val="22"/>
        </w:rPr>
        <w:t>Miscibility Study</w:t>
      </w:r>
    </w:p>
    <w:p w14:paraId="542DC2FE" w14:textId="5BC07D22" w:rsidR="00836645" w:rsidRPr="00837E1E" w:rsidRDefault="00A450D7" w:rsidP="00883EF8">
      <w:pPr>
        <w:spacing w:line="360" w:lineRule="auto"/>
        <w:jc w:val="both"/>
        <w:rPr>
          <w:rFonts w:ascii="Arial" w:hAnsi="Arial" w:cs="Arial"/>
          <w:sz w:val="20"/>
          <w:szCs w:val="20"/>
        </w:rPr>
      </w:pPr>
      <w:r w:rsidRPr="00837E1E">
        <w:rPr>
          <w:rFonts w:ascii="Arial" w:hAnsi="Arial" w:cs="Arial"/>
          <w:sz w:val="20"/>
          <w:szCs w:val="20"/>
        </w:rPr>
        <w:lastRenderedPageBreak/>
        <w:t>When added to the aqueous phase at suitable temperature, self-emulsifying formulation made of surfactant</w:t>
      </w:r>
      <w:r w:rsidR="0085151E" w:rsidRPr="00837E1E">
        <w:rPr>
          <w:rFonts w:ascii="Arial" w:hAnsi="Arial" w:cs="Arial"/>
          <w:sz w:val="20"/>
          <w:szCs w:val="20"/>
        </w:rPr>
        <w:t>,</w:t>
      </w:r>
      <w:r w:rsidRPr="00837E1E">
        <w:rPr>
          <w:rFonts w:ascii="Arial" w:hAnsi="Arial" w:cs="Arial"/>
          <w:sz w:val="20"/>
          <w:szCs w:val="20"/>
        </w:rPr>
        <w:t xml:space="preserve"> co-surfactant</w:t>
      </w:r>
      <w:r w:rsidR="0085151E" w:rsidRPr="00837E1E">
        <w:rPr>
          <w:rFonts w:ascii="Arial" w:hAnsi="Arial" w:cs="Arial"/>
          <w:sz w:val="20"/>
          <w:szCs w:val="20"/>
        </w:rPr>
        <w:t xml:space="preserve"> and oil</w:t>
      </w:r>
      <w:r w:rsidRPr="00837E1E">
        <w:rPr>
          <w:rFonts w:ascii="Arial" w:hAnsi="Arial" w:cs="Arial"/>
          <w:sz w:val="20"/>
          <w:szCs w:val="20"/>
        </w:rPr>
        <w:t xml:space="preserve"> should be a transparent, </w:t>
      </w:r>
      <w:r w:rsidR="0085151E" w:rsidRPr="00837E1E">
        <w:rPr>
          <w:rFonts w:ascii="Arial" w:hAnsi="Arial" w:cs="Arial"/>
          <w:sz w:val="20"/>
          <w:szCs w:val="20"/>
        </w:rPr>
        <w:t xml:space="preserve">single </w:t>
      </w:r>
      <w:r w:rsidRPr="00837E1E">
        <w:rPr>
          <w:rFonts w:ascii="Arial" w:hAnsi="Arial" w:cs="Arial"/>
          <w:sz w:val="20"/>
          <w:szCs w:val="20"/>
        </w:rPr>
        <w:t>phas</w:t>
      </w:r>
      <w:r w:rsidR="0085151E" w:rsidRPr="00837E1E">
        <w:rPr>
          <w:rFonts w:ascii="Arial" w:hAnsi="Arial" w:cs="Arial"/>
          <w:sz w:val="20"/>
          <w:szCs w:val="20"/>
        </w:rPr>
        <w:t>e</w:t>
      </w:r>
      <w:r w:rsidRPr="00837E1E">
        <w:rPr>
          <w:rFonts w:ascii="Arial" w:hAnsi="Arial" w:cs="Arial"/>
          <w:sz w:val="20"/>
          <w:szCs w:val="20"/>
        </w:rPr>
        <w:t xml:space="preserve"> liquid with a high solvent capacity. </w:t>
      </w:r>
      <w:r w:rsidR="005D7C29" w:rsidRPr="00A7635B">
        <w:rPr>
          <w:rFonts w:ascii="Arial" w:hAnsi="Arial" w:cs="Arial"/>
          <w:sz w:val="20"/>
          <w:szCs w:val="20"/>
        </w:rPr>
        <w:fldChar w:fldCharType="begin"/>
      </w:r>
      <w:r w:rsidR="005D7C29" w:rsidRPr="00A7635B">
        <w:rPr>
          <w:rFonts w:ascii="Arial" w:hAnsi="Arial" w:cs="Arial"/>
          <w:sz w:val="20"/>
          <w:szCs w:val="20"/>
        </w:rPr>
        <w:instrText xml:space="preserve"> ADDIN ZOTERO_ITEM CSL_CITATION {"citationID":"4O1Mxo6o","properties":{"formattedCitation":"(Kohli et al., 2010)","plainCitation":"(Kohli et al., 2010)","noteIndex":0},"citationItems":[{"id":254,"uris":["http://zotero.org/users/11670883/items/3JQDVJ3J"],"itemData":{"id":254,"type":"article-journal","container-title":"Drug Discovery Today","DOI":"10.1016/j.drudis.2010.08.007","ISSN":"13596446","issue":"21-22","journalAbbreviation":"Drug Discovery Today","language":"en","page":"958-965","source":"DOI.org (Crossref)","title":"Self-emulsifying drug delivery systems: an approach to enhance oral bioavailability","title-short":"Self-emulsifying drug delivery systems","volume":"15","author":[{"family":"Kohli","given":"Kanchan"},{"family":"Chopra","given":"Sunny"},{"family":"Dhar","given":"Deepika"},{"family":"Arora","given":"Saurabh"},{"family":"Khar","given":"Roop K."}],"issued":{"date-parts":[["2010",11]]}}}],"schema":"https://github.com/citation-style-language/schema/raw/master/csl-citation.json"} </w:instrText>
      </w:r>
      <w:r w:rsidR="005D7C29" w:rsidRPr="00A7635B">
        <w:rPr>
          <w:rFonts w:ascii="Arial" w:hAnsi="Arial" w:cs="Arial"/>
          <w:sz w:val="20"/>
          <w:szCs w:val="20"/>
        </w:rPr>
        <w:fldChar w:fldCharType="separate"/>
      </w:r>
      <w:r w:rsidR="005D7C29" w:rsidRPr="00A7635B">
        <w:rPr>
          <w:rFonts w:ascii="Arial" w:hAnsi="Arial" w:cs="Arial"/>
          <w:sz w:val="20"/>
          <w:szCs w:val="20"/>
        </w:rPr>
        <w:t>(Kohli et al., 2010)</w:t>
      </w:r>
      <w:r w:rsidR="005D7C29" w:rsidRPr="00A7635B">
        <w:rPr>
          <w:rFonts w:ascii="Arial" w:hAnsi="Arial" w:cs="Arial"/>
          <w:sz w:val="20"/>
          <w:szCs w:val="20"/>
        </w:rPr>
        <w:fldChar w:fldCharType="end"/>
      </w:r>
      <w:r w:rsidR="005D7C29" w:rsidRPr="00837E1E">
        <w:rPr>
          <w:rFonts w:ascii="Arial" w:hAnsi="Arial" w:cs="Arial"/>
          <w:sz w:val="20"/>
          <w:szCs w:val="20"/>
        </w:rPr>
        <w:t xml:space="preserve"> The miscibility of fatty acids with </w:t>
      </w:r>
      <w:r w:rsidR="00B47B06" w:rsidRPr="00837E1E">
        <w:rPr>
          <w:rFonts w:ascii="Arial" w:hAnsi="Arial" w:cs="Arial"/>
          <w:sz w:val="20"/>
          <w:szCs w:val="20"/>
        </w:rPr>
        <w:t xml:space="preserve">aqueous phase in the presence of </w:t>
      </w:r>
      <w:r w:rsidR="005D7C29" w:rsidRPr="00837E1E">
        <w:rPr>
          <w:rFonts w:ascii="Arial" w:hAnsi="Arial" w:cs="Arial"/>
          <w:sz w:val="20"/>
          <w:szCs w:val="20"/>
        </w:rPr>
        <w:t>various surfactants was evaluated v</w:t>
      </w:r>
      <w:r w:rsidR="006D531E" w:rsidRPr="00837E1E">
        <w:rPr>
          <w:rFonts w:ascii="Arial" w:hAnsi="Arial" w:cs="Arial"/>
          <w:sz w:val="20"/>
          <w:szCs w:val="20"/>
        </w:rPr>
        <w:t>isually and the concentration of ALA in each mixture was noted using spectrophotometer. The results were mentioned in the table</w:t>
      </w:r>
      <w:r w:rsidR="00FA621D" w:rsidRPr="00837E1E">
        <w:rPr>
          <w:rFonts w:ascii="Arial" w:hAnsi="Arial" w:cs="Arial"/>
          <w:sz w:val="20"/>
          <w:szCs w:val="20"/>
        </w:rPr>
        <w:t xml:space="preserve"> 1</w:t>
      </w:r>
      <w:r w:rsidR="006D531E" w:rsidRPr="00837E1E">
        <w:rPr>
          <w:rFonts w:ascii="Arial" w:hAnsi="Arial" w:cs="Arial"/>
          <w:sz w:val="20"/>
          <w:szCs w:val="20"/>
        </w:rPr>
        <w:t xml:space="preserve">: </w:t>
      </w:r>
    </w:p>
    <w:p w14:paraId="15CF0A6F" w14:textId="14C5D7CF" w:rsidR="00883EF8" w:rsidRPr="00837E1E" w:rsidRDefault="00883EF8" w:rsidP="001909D2">
      <w:pPr>
        <w:pStyle w:val="Title"/>
      </w:pPr>
      <w:r w:rsidRPr="00837E1E">
        <w:t xml:space="preserve">Table </w:t>
      </w:r>
      <w:fldSimple w:instr=" SEQ Table \* ARABIC ">
        <w:r w:rsidR="003E73D9" w:rsidRPr="00837E1E">
          <w:rPr>
            <w:noProof/>
          </w:rPr>
          <w:t>1</w:t>
        </w:r>
      </w:fldSimple>
      <w:r w:rsidRPr="00837E1E">
        <w:t>: Miscibility Study</w:t>
      </w:r>
    </w:p>
    <w:tbl>
      <w:tblPr>
        <w:tblStyle w:val="TableGrid"/>
        <w:tblW w:w="9360" w:type="dxa"/>
        <w:tblLook w:val="04A0" w:firstRow="1" w:lastRow="0" w:firstColumn="1" w:lastColumn="0" w:noHBand="0" w:noVBand="1"/>
      </w:tblPr>
      <w:tblGrid>
        <w:gridCol w:w="1152"/>
        <w:gridCol w:w="2664"/>
        <w:gridCol w:w="2664"/>
        <w:gridCol w:w="2880"/>
      </w:tblGrid>
      <w:tr w:rsidR="006D531E" w:rsidRPr="00837E1E" w14:paraId="0E2D2093" w14:textId="77777777" w:rsidTr="00883EF8">
        <w:tc>
          <w:tcPr>
            <w:tcW w:w="1152" w:type="dxa"/>
            <w:vAlign w:val="center"/>
          </w:tcPr>
          <w:p w14:paraId="17C4AF49" w14:textId="27FC379D" w:rsidR="006D531E" w:rsidRPr="00837E1E" w:rsidRDefault="006D531E" w:rsidP="00883EF8">
            <w:pPr>
              <w:spacing w:line="360" w:lineRule="auto"/>
              <w:jc w:val="center"/>
              <w:rPr>
                <w:rFonts w:ascii="Arial" w:hAnsi="Arial" w:cs="Arial"/>
                <w:b/>
                <w:bCs/>
                <w:sz w:val="20"/>
                <w:szCs w:val="20"/>
              </w:rPr>
            </w:pPr>
            <w:r w:rsidRPr="00837E1E">
              <w:rPr>
                <w:rFonts w:ascii="Arial" w:hAnsi="Arial" w:cs="Arial"/>
                <w:b/>
                <w:bCs/>
                <w:sz w:val="20"/>
                <w:szCs w:val="20"/>
              </w:rPr>
              <w:t>Sr. No.</w:t>
            </w:r>
          </w:p>
        </w:tc>
        <w:tc>
          <w:tcPr>
            <w:tcW w:w="2664" w:type="dxa"/>
            <w:vAlign w:val="center"/>
          </w:tcPr>
          <w:p w14:paraId="6F854C6C" w14:textId="51D2570A" w:rsidR="006D531E" w:rsidRPr="00837E1E" w:rsidRDefault="006D531E" w:rsidP="00883EF8">
            <w:pPr>
              <w:spacing w:line="360" w:lineRule="auto"/>
              <w:jc w:val="center"/>
              <w:rPr>
                <w:rFonts w:ascii="Arial" w:hAnsi="Arial" w:cs="Arial"/>
                <w:b/>
                <w:bCs/>
                <w:sz w:val="20"/>
                <w:szCs w:val="20"/>
              </w:rPr>
            </w:pPr>
            <w:r w:rsidRPr="00837E1E">
              <w:rPr>
                <w:rFonts w:ascii="Arial" w:hAnsi="Arial" w:cs="Arial"/>
                <w:b/>
                <w:bCs/>
                <w:sz w:val="20"/>
                <w:szCs w:val="20"/>
              </w:rPr>
              <w:t>Surfactant</w:t>
            </w:r>
          </w:p>
        </w:tc>
        <w:tc>
          <w:tcPr>
            <w:tcW w:w="2664" w:type="dxa"/>
            <w:vAlign w:val="center"/>
          </w:tcPr>
          <w:p w14:paraId="67D1C152" w14:textId="2E21FBD8" w:rsidR="006D531E" w:rsidRPr="00837E1E" w:rsidRDefault="006D531E" w:rsidP="00883EF8">
            <w:pPr>
              <w:spacing w:line="360" w:lineRule="auto"/>
              <w:jc w:val="center"/>
              <w:rPr>
                <w:rFonts w:ascii="Arial" w:hAnsi="Arial" w:cs="Arial"/>
                <w:b/>
                <w:bCs/>
                <w:sz w:val="20"/>
                <w:szCs w:val="20"/>
              </w:rPr>
            </w:pPr>
            <w:r w:rsidRPr="00837E1E">
              <w:rPr>
                <w:rFonts w:ascii="Arial" w:hAnsi="Arial" w:cs="Arial"/>
                <w:b/>
                <w:bCs/>
                <w:sz w:val="20"/>
                <w:szCs w:val="20"/>
              </w:rPr>
              <w:t>Visibility</w:t>
            </w:r>
          </w:p>
        </w:tc>
        <w:tc>
          <w:tcPr>
            <w:tcW w:w="2880" w:type="dxa"/>
            <w:vAlign w:val="center"/>
          </w:tcPr>
          <w:p w14:paraId="74F24AD1" w14:textId="0C482A90" w:rsidR="006D531E" w:rsidRPr="00837E1E" w:rsidRDefault="006D531E" w:rsidP="00883EF8">
            <w:pPr>
              <w:spacing w:line="360" w:lineRule="auto"/>
              <w:jc w:val="center"/>
              <w:rPr>
                <w:rFonts w:ascii="Arial" w:hAnsi="Arial" w:cs="Arial"/>
                <w:b/>
                <w:bCs/>
                <w:sz w:val="20"/>
                <w:szCs w:val="20"/>
              </w:rPr>
            </w:pPr>
            <w:r w:rsidRPr="00837E1E">
              <w:rPr>
                <w:rFonts w:ascii="Arial" w:hAnsi="Arial" w:cs="Arial"/>
                <w:b/>
                <w:bCs/>
                <w:sz w:val="20"/>
                <w:szCs w:val="20"/>
              </w:rPr>
              <w:t>ALA concentration</w:t>
            </w:r>
          </w:p>
        </w:tc>
      </w:tr>
      <w:tr w:rsidR="005A4CDC" w:rsidRPr="00837E1E" w14:paraId="73470532" w14:textId="77777777" w:rsidTr="00883EF8">
        <w:tc>
          <w:tcPr>
            <w:tcW w:w="1152" w:type="dxa"/>
            <w:vAlign w:val="center"/>
          </w:tcPr>
          <w:p w14:paraId="64038BA8" w14:textId="654C3A17"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1</w:t>
            </w:r>
          </w:p>
        </w:tc>
        <w:tc>
          <w:tcPr>
            <w:tcW w:w="2664" w:type="dxa"/>
            <w:vAlign w:val="center"/>
          </w:tcPr>
          <w:p w14:paraId="77119348" w14:textId="069F3392"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Cremophor RH 40</w:t>
            </w:r>
          </w:p>
        </w:tc>
        <w:tc>
          <w:tcPr>
            <w:tcW w:w="2664" w:type="dxa"/>
            <w:vAlign w:val="center"/>
          </w:tcPr>
          <w:p w14:paraId="784C1688" w14:textId="4EF8EEA7"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Clear</w:t>
            </w:r>
          </w:p>
        </w:tc>
        <w:tc>
          <w:tcPr>
            <w:tcW w:w="2880" w:type="dxa"/>
            <w:vAlign w:val="center"/>
          </w:tcPr>
          <w:p w14:paraId="1A095678" w14:textId="35E47768" w:rsidR="005A4CDC" w:rsidRPr="00837E1E" w:rsidRDefault="005926F5" w:rsidP="005926F5">
            <w:pPr>
              <w:spacing w:line="360" w:lineRule="auto"/>
              <w:jc w:val="center"/>
              <w:rPr>
                <w:rFonts w:ascii="Arial" w:hAnsi="Arial" w:cs="Arial"/>
                <w:sz w:val="20"/>
                <w:szCs w:val="20"/>
              </w:rPr>
            </w:pPr>
            <w:r w:rsidRPr="005926F5">
              <w:rPr>
                <w:rFonts w:ascii="Arial" w:hAnsi="Arial" w:cs="Arial"/>
                <w:sz w:val="20"/>
                <w:szCs w:val="20"/>
                <w:lang w:val="en-IN"/>
              </w:rPr>
              <w:t>248.63</w:t>
            </w:r>
            <w:r>
              <w:rPr>
                <w:rFonts w:ascii="Arial" w:hAnsi="Arial" w:cs="Arial"/>
                <w:sz w:val="20"/>
                <w:szCs w:val="20"/>
                <w:lang w:val="en-IN"/>
              </w:rPr>
              <w:t xml:space="preserve"> µg/ml</w:t>
            </w:r>
          </w:p>
        </w:tc>
      </w:tr>
      <w:tr w:rsidR="005A4CDC" w:rsidRPr="00837E1E" w14:paraId="1B2FE64F" w14:textId="77777777" w:rsidTr="00883EF8">
        <w:tc>
          <w:tcPr>
            <w:tcW w:w="1152" w:type="dxa"/>
            <w:vAlign w:val="center"/>
          </w:tcPr>
          <w:p w14:paraId="1C866171" w14:textId="385D5FFE"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2</w:t>
            </w:r>
          </w:p>
        </w:tc>
        <w:tc>
          <w:tcPr>
            <w:tcW w:w="2664" w:type="dxa"/>
            <w:vAlign w:val="center"/>
          </w:tcPr>
          <w:p w14:paraId="6A54E166" w14:textId="17A32524"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PEG 400</w:t>
            </w:r>
          </w:p>
        </w:tc>
        <w:tc>
          <w:tcPr>
            <w:tcW w:w="2664" w:type="dxa"/>
            <w:vAlign w:val="center"/>
          </w:tcPr>
          <w:p w14:paraId="5557EC7B" w14:textId="1F6C1D08"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Clear</w:t>
            </w:r>
          </w:p>
        </w:tc>
        <w:tc>
          <w:tcPr>
            <w:tcW w:w="2880" w:type="dxa"/>
            <w:vAlign w:val="center"/>
          </w:tcPr>
          <w:p w14:paraId="29181023" w14:textId="18C59724" w:rsidR="005A4CDC" w:rsidRPr="00837E1E" w:rsidRDefault="005926F5" w:rsidP="005926F5">
            <w:pPr>
              <w:spacing w:line="360" w:lineRule="auto"/>
              <w:jc w:val="center"/>
              <w:rPr>
                <w:rFonts w:ascii="Arial" w:hAnsi="Arial" w:cs="Arial"/>
                <w:sz w:val="20"/>
                <w:szCs w:val="20"/>
              </w:rPr>
            </w:pPr>
            <w:r w:rsidRPr="005926F5">
              <w:rPr>
                <w:rFonts w:ascii="Arial" w:hAnsi="Arial" w:cs="Arial"/>
                <w:sz w:val="20"/>
                <w:szCs w:val="20"/>
                <w:lang w:val="en-IN"/>
              </w:rPr>
              <w:t>344.26</w:t>
            </w:r>
            <w:r>
              <w:rPr>
                <w:rFonts w:ascii="Arial" w:hAnsi="Arial" w:cs="Arial"/>
                <w:sz w:val="20"/>
                <w:szCs w:val="20"/>
                <w:lang w:val="en-IN"/>
              </w:rPr>
              <w:t xml:space="preserve"> µg/ml</w:t>
            </w:r>
          </w:p>
        </w:tc>
      </w:tr>
      <w:tr w:rsidR="005A4CDC" w:rsidRPr="00837E1E" w14:paraId="6BCC20D2" w14:textId="77777777" w:rsidTr="00883EF8">
        <w:tc>
          <w:tcPr>
            <w:tcW w:w="1152" w:type="dxa"/>
            <w:vAlign w:val="center"/>
          </w:tcPr>
          <w:p w14:paraId="504091AC" w14:textId="713872BB"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3</w:t>
            </w:r>
          </w:p>
        </w:tc>
        <w:tc>
          <w:tcPr>
            <w:tcW w:w="2664" w:type="dxa"/>
            <w:vAlign w:val="center"/>
          </w:tcPr>
          <w:p w14:paraId="582162FA" w14:textId="3525FB9C"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Span 20</w:t>
            </w:r>
          </w:p>
        </w:tc>
        <w:tc>
          <w:tcPr>
            <w:tcW w:w="2664" w:type="dxa"/>
            <w:vAlign w:val="center"/>
          </w:tcPr>
          <w:p w14:paraId="13DEF574" w14:textId="6021B843" w:rsidR="005A4CDC" w:rsidRPr="00837E1E" w:rsidRDefault="004A4C0C" w:rsidP="00883EF8">
            <w:pPr>
              <w:spacing w:line="360" w:lineRule="auto"/>
              <w:jc w:val="center"/>
              <w:rPr>
                <w:rFonts w:ascii="Arial" w:hAnsi="Arial" w:cs="Arial"/>
                <w:sz w:val="20"/>
                <w:szCs w:val="20"/>
              </w:rPr>
            </w:pPr>
            <w:r w:rsidRPr="00837E1E">
              <w:rPr>
                <w:rFonts w:ascii="Arial" w:hAnsi="Arial" w:cs="Arial"/>
                <w:sz w:val="20"/>
                <w:szCs w:val="20"/>
              </w:rPr>
              <w:t>Turbid</w:t>
            </w:r>
          </w:p>
        </w:tc>
        <w:tc>
          <w:tcPr>
            <w:tcW w:w="2880" w:type="dxa"/>
            <w:vAlign w:val="center"/>
          </w:tcPr>
          <w:p w14:paraId="6B7B1471" w14:textId="3998D80B" w:rsidR="005A4CDC" w:rsidRPr="00837E1E" w:rsidRDefault="00EB314E" w:rsidP="00EB314E">
            <w:pPr>
              <w:spacing w:line="360" w:lineRule="auto"/>
              <w:jc w:val="center"/>
              <w:rPr>
                <w:rFonts w:ascii="Arial" w:hAnsi="Arial" w:cs="Arial"/>
                <w:sz w:val="20"/>
                <w:szCs w:val="20"/>
              </w:rPr>
            </w:pPr>
            <w:r w:rsidRPr="00EB314E">
              <w:rPr>
                <w:rFonts w:ascii="Arial" w:hAnsi="Arial" w:cs="Arial"/>
                <w:sz w:val="20"/>
                <w:szCs w:val="20"/>
                <w:lang w:val="en-IN"/>
              </w:rPr>
              <w:t>45.29</w:t>
            </w:r>
            <w:r>
              <w:rPr>
                <w:rFonts w:ascii="Arial" w:hAnsi="Arial" w:cs="Arial"/>
                <w:sz w:val="20"/>
                <w:szCs w:val="20"/>
                <w:lang w:val="en-IN"/>
              </w:rPr>
              <w:t xml:space="preserve"> µg/ml</w:t>
            </w:r>
          </w:p>
        </w:tc>
      </w:tr>
      <w:tr w:rsidR="005A4CDC" w:rsidRPr="00837E1E" w14:paraId="0FE2137C" w14:textId="77777777" w:rsidTr="00883EF8">
        <w:tc>
          <w:tcPr>
            <w:tcW w:w="1152" w:type="dxa"/>
            <w:vAlign w:val="center"/>
          </w:tcPr>
          <w:p w14:paraId="6DE200C4" w14:textId="1D965983"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4</w:t>
            </w:r>
          </w:p>
        </w:tc>
        <w:tc>
          <w:tcPr>
            <w:tcW w:w="2664" w:type="dxa"/>
            <w:vAlign w:val="center"/>
          </w:tcPr>
          <w:p w14:paraId="12444E06" w14:textId="5A4593FE"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Span 60</w:t>
            </w:r>
          </w:p>
        </w:tc>
        <w:tc>
          <w:tcPr>
            <w:tcW w:w="2664" w:type="dxa"/>
            <w:vAlign w:val="center"/>
          </w:tcPr>
          <w:p w14:paraId="61720888" w14:textId="6E108F50" w:rsidR="005A4CDC" w:rsidRPr="00837E1E" w:rsidRDefault="004A4C0C" w:rsidP="00883EF8">
            <w:pPr>
              <w:spacing w:line="360" w:lineRule="auto"/>
              <w:jc w:val="center"/>
              <w:rPr>
                <w:rFonts w:ascii="Arial" w:hAnsi="Arial" w:cs="Arial"/>
                <w:sz w:val="20"/>
                <w:szCs w:val="20"/>
              </w:rPr>
            </w:pPr>
            <w:r w:rsidRPr="00837E1E">
              <w:rPr>
                <w:rFonts w:ascii="Arial" w:hAnsi="Arial" w:cs="Arial"/>
                <w:sz w:val="20"/>
                <w:szCs w:val="20"/>
              </w:rPr>
              <w:t>Hazy</w:t>
            </w:r>
          </w:p>
        </w:tc>
        <w:tc>
          <w:tcPr>
            <w:tcW w:w="2880" w:type="dxa"/>
            <w:vAlign w:val="center"/>
          </w:tcPr>
          <w:p w14:paraId="6EBE26C4" w14:textId="6F44090E" w:rsidR="005A4CDC" w:rsidRPr="00837E1E" w:rsidRDefault="005926F5" w:rsidP="005926F5">
            <w:pPr>
              <w:spacing w:line="360" w:lineRule="auto"/>
              <w:jc w:val="center"/>
              <w:rPr>
                <w:rFonts w:ascii="Arial" w:hAnsi="Arial" w:cs="Arial"/>
                <w:sz w:val="20"/>
                <w:szCs w:val="20"/>
              </w:rPr>
            </w:pPr>
            <w:r w:rsidRPr="005926F5">
              <w:rPr>
                <w:rFonts w:ascii="Arial" w:hAnsi="Arial" w:cs="Arial"/>
                <w:sz w:val="20"/>
                <w:szCs w:val="20"/>
                <w:lang w:val="en-IN"/>
              </w:rPr>
              <w:t>158.49</w:t>
            </w:r>
            <w:r>
              <w:rPr>
                <w:rFonts w:ascii="Arial" w:hAnsi="Arial" w:cs="Arial"/>
                <w:sz w:val="20"/>
                <w:szCs w:val="20"/>
                <w:lang w:val="en-IN"/>
              </w:rPr>
              <w:t xml:space="preserve"> µg/ml</w:t>
            </w:r>
          </w:p>
        </w:tc>
      </w:tr>
      <w:tr w:rsidR="005A4CDC" w:rsidRPr="00837E1E" w14:paraId="0546C9C4" w14:textId="77777777" w:rsidTr="00883EF8">
        <w:tc>
          <w:tcPr>
            <w:tcW w:w="1152" w:type="dxa"/>
            <w:vAlign w:val="center"/>
          </w:tcPr>
          <w:p w14:paraId="1C32C807" w14:textId="2BF4A785"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5</w:t>
            </w:r>
          </w:p>
        </w:tc>
        <w:tc>
          <w:tcPr>
            <w:tcW w:w="2664" w:type="dxa"/>
            <w:vAlign w:val="center"/>
          </w:tcPr>
          <w:p w14:paraId="633084DD" w14:textId="15F4FEAC"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Tween 20</w:t>
            </w:r>
          </w:p>
        </w:tc>
        <w:tc>
          <w:tcPr>
            <w:tcW w:w="2664" w:type="dxa"/>
            <w:vAlign w:val="center"/>
          </w:tcPr>
          <w:p w14:paraId="576607B2" w14:textId="71D24FFF"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Hazy</w:t>
            </w:r>
          </w:p>
        </w:tc>
        <w:tc>
          <w:tcPr>
            <w:tcW w:w="2880" w:type="dxa"/>
            <w:vAlign w:val="center"/>
          </w:tcPr>
          <w:p w14:paraId="004229B6" w14:textId="201C5B25" w:rsidR="005A4CDC" w:rsidRPr="00837E1E" w:rsidRDefault="005926F5" w:rsidP="005926F5">
            <w:pPr>
              <w:spacing w:line="360" w:lineRule="auto"/>
              <w:jc w:val="center"/>
              <w:rPr>
                <w:rFonts w:ascii="Arial" w:hAnsi="Arial" w:cs="Arial"/>
                <w:sz w:val="20"/>
                <w:szCs w:val="20"/>
              </w:rPr>
            </w:pPr>
            <w:r w:rsidRPr="005926F5">
              <w:rPr>
                <w:rFonts w:ascii="Arial" w:hAnsi="Arial" w:cs="Arial"/>
                <w:sz w:val="20"/>
                <w:szCs w:val="20"/>
                <w:lang w:val="en-IN"/>
              </w:rPr>
              <w:t>106.06</w:t>
            </w:r>
            <w:r>
              <w:rPr>
                <w:rFonts w:ascii="Arial" w:hAnsi="Arial" w:cs="Arial"/>
                <w:sz w:val="20"/>
                <w:szCs w:val="20"/>
                <w:lang w:val="en-IN"/>
              </w:rPr>
              <w:t xml:space="preserve"> µg/ml</w:t>
            </w:r>
          </w:p>
        </w:tc>
      </w:tr>
      <w:tr w:rsidR="005A4CDC" w:rsidRPr="00837E1E" w14:paraId="2A6841DA" w14:textId="77777777" w:rsidTr="00883EF8">
        <w:tc>
          <w:tcPr>
            <w:tcW w:w="1152" w:type="dxa"/>
            <w:vAlign w:val="center"/>
          </w:tcPr>
          <w:p w14:paraId="496C70F8" w14:textId="63CB643E"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6</w:t>
            </w:r>
          </w:p>
        </w:tc>
        <w:tc>
          <w:tcPr>
            <w:tcW w:w="2664" w:type="dxa"/>
            <w:vAlign w:val="center"/>
          </w:tcPr>
          <w:p w14:paraId="6036C3AB" w14:textId="14DAF2CF"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Tween 80</w:t>
            </w:r>
          </w:p>
        </w:tc>
        <w:tc>
          <w:tcPr>
            <w:tcW w:w="2664" w:type="dxa"/>
            <w:vAlign w:val="center"/>
          </w:tcPr>
          <w:p w14:paraId="2FFD4E57" w14:textId="08B67FDC" w:rsidR="005A4CDC" w:rsidRPr="00837E1E" w:rsidRDefault="005A4CDC" w:rsidP="00883EF8">
            <w:pPr>
              <w:spacing w:line="360" w:lineRule="auto"/>
              <w:jc w:val="center"/>
              <w:rPr>
                <w:rFonts w:ascii="Arial" w:hAnsi="Arial" w:cs="Arial"/>
                <w:sz w:val="20"/>
                <w:szCs w:val="20"/>
              </w:rPr>
            </w:pPr>
            <w:r w:rsidRPr="00837E1E">
              <w:rPr>
                <w:rFonts w:ascii="Arial" w:hAnsi="Arial" w:cs="Arial"/>
                <w:sz w:val="20"/>
                <w:szCs w:val="20"/>
              </w:rPr>
              <w:t>Clear</w:t>
            </w:r>
          </w:p>
        </w:tc>
        <w:tc>
          <w:tcPr>
            <w:tcW w:w="2880" w:type="dxa"/>
            <w:vAlign w:val="center"/>
          </w:tcPr>
          <w:p w14:paraId="23B32391" w14:textId="7AE1540F" w:rsidR="005A4CDC" w:rsidRPr="00837E1E" w:rsidRDefault="00EB314E" w:rsidP="00EB314E">
            <w:pPr>
              <w:spacing w:line="360" w:lineRule="auto"/>
              <w:jc w:val="center"/>
              <w:rPr>
                <w:rFonts w:ascii="Arial" w:hAnsi="Arial" w:cs="Arial"/>
                <w:sz w:val="20"/>
                <w:szCs w:val="20"/>
              </w:rPr>
            </w:pPr>
            <w:r w:rsidRPr="00EB314E">
              <w:rPr>
                <w:rFonts w:ascii="Arial" w:hAnsi="Arial" w:cs="Arial"/>
                <w:sz w:val="20"/>
                <w:szCs w:val="20"/>
                <w:lang w:val="en-IN"/>
              </w:rPr>
              <w:t>438.389</w:t>
            </w:r>
            <w:r w:rsidR="005926F5">
              <w:rPr>
                <w:rFonts w:ascii="Arial" w:hAnsi="Arial" w:cs="Arial"/>
                <w:sz w:val="20"/>
                <w:szCs w:val="20"/>
                <w:lang w:val="en-IN"/>
              </w:rPr>
              <w:t xml:space="preserve"> µg/ml</w:t>
            </w:r>
          </w:p>
        </w:tc>
      </w:tr>
    </w:tbl>
    <w:p w14:paraId="014EE1AB" w14:textId="2DCD5513" w:rsidR="00836645" w:rsidRPr="00837E1E" w:rsidRDefault="00D71E4F" w:rsidP="00883EF8">
      <w:pPr>
        <w:spacing w:line="360" w:lineRule="auto"/>
        <w:jc w:val="both"/>
        <w:rPr>
          <w:rFonts w:ascii="Arial" w:hAnsi="Arial" w:cs="Arial"/>
          <w:sz w:val="20"/>
          <w:szCs w:val="20"/>
        </w:rPr>
      </w:pPr>
      <w:r w:rsidRPr="00837E1E">
        <w:rPr>
          <w:rFonts w:ascii="Arial" w:hAnsi="Arial" w:cs="Arial"/>
          <w:sz w:val="20"/>
          <w:szCs w:val="20"/>
        </w:rPr>
        <w:t>O</w:t>
      </w:r>
      <w:r w:rsidR="00883EF8" w:rsidRPr="00837E1E">
        <w:rPr>
          <w:rFonts w:ascii="Arial" w:hAnsi="Arial" w:cs="Arial"/>
          <w:sz w:val="20"/>
          <w:szCs w:val="20"/>
        </w:rPr>
        <w:t xml:space="preserve">n visual inspection </w:t>
      </w:r>
      <w:r w:rsidRPr="00837E1E">
        <w:rPr>
          <w:rFonts w:ascii="Arial" w:hAnsi="Arial" w:cs="Arial"/>
          <w:sz w:val="20"/>
          <w:szCs w:val="20"/>
        </w:rPr>
        <w:t>the Cremophor RH 40, PEG 400 and Tween 80 show</w:t>
      </w:r>
      <w:r w:rsidR="004A4C0C" w:rsidRPr="00837E1E">
        <w:rPr>
          <w:rFonts w:ascii="Arial" w:hAnsi="Arial" w:cs="Arial"/>
          <w:sz w:val="20"/>
          <w:szCs w:val="20"/>
        </w:rPr>
        <w:t xml:space="preserve">ed a clear emulsion. Thus, </w:t>
      </w:r>
      <w:r w:rsidR="00883EF8" w:rsidRPr="00837E1E">
        <w:rPr>
          <w:rFonts w:ascii="Arial" w:hAnsi="Arial" w:cs="Arial"/>
          <w:sz w:val="20"/>
          <w:szCs w:val="20"/>
        </w:rPr>
        <w:t xml:space="preserve">Tween 80 </w:t>
      </w:r>
      <w:r w:rsidR="004A4C0C" w:rsidRPr="00837E1E">
        <w:rPr>
          <w:rFonts w:ascii="Arial" w:hAnsi="Arial" w:cs="Arial"/>
          <w:sz w:val="20"/>
          <w:szCs w:val="20"/>
        </w:rPr>
        <w:t>and PEG 400 were</w:t>
      </w:r>
      <w:r w:rsidR="00883EF8" w:rsidRPr="00837E1E">
        <w:rPr>
          <w:rFonts w:ascii="Arial" w:hAnsi="Arial" w:cs="Arial"/>
          <w:sz w:val="20"/>
          <w:szCs w:val="20"/>
        </w:rPr>
        <w:t xml:space="preserve"> </w:t>
      </w:r>
      <w:r w:rsidR="004A4C0C" w:rsidRPr="00837E1E">
        <w:rPr>
          <w:rFonts w:ascii="Arial" w:hAnsi="Arial" w:cs="Arial"/>
          <w:sz w:val="20"/>
          <w:szCs w:val="20"/>
        </w:rPr>
        <w:t>chosen</w:t>
      </w:r>
      <w:r w:rsidR="00883EF8" w:rsidRPr="00837E1E">
        <w:rPr>
          <w:rFonts w:ascii="Arial" w:hAnsi="Arial" w:cs="Arial"/>
          <w:sz w:val="20"/>
          <w:szCs w:val="20"/>
        </w:rPr>
        <w:t xml:space="preserve"> as s</w:t>
      </w:r>
      <w:r w:rsidR="004935FE" w:rsidRPr="00837E1E">
        <w:rPr>
          <w:rFonts w:ascii="Arial" w:hAnsi="Arial" w:cs="Arial"/>
          <w:sz w:val="20"/>
          <w:szCs w:val="20"/>
        </w:rPr>
        <w:t xml:space="preserve">urfactant </w:t>
      </w:r>
      <w:r w:rsidR="004A4C0C" w:rsidRPr="00837E1E">
        <w:rPr>
          <w:rFonts w:ascii="Arial" w:hAnsi="Arial" w:cs="Arial"/>
          <w:sz w:val="20"/>
          <w:szCs w:val="20"/>
        </w:rPr>
        <w:t>and</w:t>
      </w:r>
      <w:r w:rsidR="004935FE" w:rsidRPr="00837E1E">
        <w:rPr>
          <w:rFonts w:ascii="Arial" w:hAnsi="Arial" w:cs="Arial"/>
          <w:sz w:val="20"/>
          <w:szCs w:val="20"/>
        </w:rPr>
        <w:t xml:space="preserve"> co-surfactant</w:t>
      </w:r>
      <w:r w:rsidR="004A4C0C" w:rsidRPr="00837E1E">
        <w:rPr>
          <w:rFonts w:ascii="Arial" w:hAnsi="Arial" w:cs="Arial"/>
          <w:sz w:val="20"/>
          <w:szCs w:val="20"/>
        </w:rPr>
        <w:t xml:space="preserve"> respectively considering the ALA concentration.</w:t>
      </w:r>
    </w:p>
    <w:p w14:paraId="532D41D2" w14:textId="77777777" w:rsidR="004935FE" w:rsidRPr="00837E1E" w:rsidRDefault="004935FE" w:rsidP="00883EF8">
      <w:pPr>
        <w:spacing w:line="360" w:lineRule="auto"/>
        <w:jc w:val="both"/>
        <w:rPr>
          <w:rFonts w:ascii="Arial" w:hAnsi="Arial" w:cs="Arial"/>
          <w:sz w:val="20"/>
          <w:szCs w:val="20"/>
        </w:rPr>
      </w:pPr>
    </w:p>
    <w:p w14:paraId="1988BF96" w14:textId="5557B7D9" w:rsidR="005D7C29" w:rsidRPr="00837E1E" w:rsidRDefault="00837E1E" w:rsidP="00883EF8">
      <w:pPr>
        <w:spacing w:line="360" w:lineRule="auto"/>
        <w:jc w:val="both"/>
        <w:rPr>
          <w:rFonts w:ascii="Arial" w:hAnsi="Arial" w:cs="Arial"/>
          <w:b/>
          <w:bCs/>
          <w:sz w:val="22"/>
          <w:szCs w:val="22"/>
        </w:rPr>
      </w:pPr>
      <w:r w:rsidRPr="00837E1E">
        <w:rPr>
          <w:rFonts w:ascii="Arial" w:hAnsi="Arial" w:cs="Arial"/>
          <w:b/>
          <w:bCs/>
          <w:sz w:val="22"/>
          <w:szCs w:val="22"/>
        </w:rPr>
        <w:t xml:space="preserve">3.2.  </w:t>
      </w:r>
      <w:r w:rsidR="004A4C0C" w:rsidRPr="00837E1E">
        <w:rPr>
          <w:rFonts w:ascii="Arial" w:hAnsi="Arial" w:cs="Arial"/>
          <w:b/>
          <w:bCs/>
          <w:sz w:val="22"/>
          <w:szCs w:val="22"/>
        </w:rPr>
        <w:t>P</w:t>
      </w:r>
      <w:r w:rsidR="004935FE" w:rsidRPr="00837E1E">
        <w:rPr>
          <w:rFonts w:ascii="Arial" w:hAnsi="Arial" w:cs="Arial"/>
          <w:b/>
          <w:bCs/>
          <w:sz w:val="22"/>
          <w:szCs w:val="22"/>
        </w:rPr>
        <w:t>seudo-ternary phase diagram</w:t>
      </w:r>
    </w:p>
    <w:p w14:paraId="1C32CD7C" w14:textId="39EFDA7F" w:rsidR="004935FE" w:rsidRPr="00837E1E" w:rsidRDefault="004935FE" w:rsidP="00883EF8">
      <w:pPr>
        <w:spacing w:line="360" w:lineRule="auto"/>
        <w:jc w:val="both"/>
        <w:rPr>
          <w:rFonts w:ascii="Arial" w:hAnsi="Arial" w:cs="Arial"/>
          <w:sz w:val="20"/>
          <w:szCs w:val="20"/>
        </w:rPr>
      </w:pPr>
      <w:r w:rsidRPr="00837E1E">
        <w:rPr>
          <w:rFonts w:ascii="Arial" w:hAnsi="Arial" w:cs="Arial"/>
          <w:sz w:val="20"/>
          <w:szCs w:val="20"/>
        </w:rPr>
        <w:t xml:space="preserve">SMEDDS formulation should be simple and safe, prepared using nontoxic surfactants </w:t>
      </w:r>
      <w:r w:rsidR="00386EDB">
        <w:rPr>
          <w:rFonts w:ascii="Arial" w:hAnsi="Arial" w:cs="Arial"/>
          <w:sz w:val="20"/>
          <w:szCs w:val="20"/>
        </w:rPr>
        <w:fldChar w:fldCharType="begin"/>
      </w:r>
      <w:r w:rsidR="00386EDB">
        <w:rPr>
          <w:rFonts w:ascii="Arial" w:hAnsi="Arial" w:cs="Arial"/>
          <w:sz w:val="20"/>
          <w:szCs w:val="20"/>
        </w:rPr>
        <w:instrText xml:space="preserve"> ADDIN ZOTERO_ITEM CSL_CITATION {"citationID":"q4231pKV","properties":{"formattedCitation":"(Kang et al., 2004)","plainCitation":"(Kang et al., 2004)","noteIndex":0},"citationItems":[{"id":261,"uris":["http://zotero.org/users/11670883/items/GGWZJP6F"],"itemData":{"id":261,"type":"article-journal","container-title":"International journal of pharmaceutics","ISSN":"0378-5173","issue":"1-2","journalAbbreviation":"International journal of pharmaceutics","page":"65-73","publisher":"Elsevier","title":"Development of self-microemulsifying drug delivery systems (SMEDDS) for oral bioavailability enhancement of simvastatin in beagle dogs","volume":"274","author":[{"family":"Kang","given":"Bok Ki"},{"family":"Lee","given":"Jin Soo"},{"family":"Chon","given":"Se Kang"},{"family":"Jeong","given":"Sang Young"},{"family":"Yuk","given":"Soon Hong"},{"family":"Khang","given":"Gilson"},{"family":"Lee","given":"Hai Bang"},{"family":"Cho","given":"Sun Hang"}],"issued":{"date-parts":[["2004"]]}}}],"schema":"https://github.com/citation-style-language/schema/raw/master/csl-citation.json"} </w:instrText>
      </w:r>
      <w:r w:rsidR="00386EDB">
        <w:rPr>
          <w:rFonts w:ascii="Arial" w:hAnsi="Arial" w:cs="Arial"/>
          <w:sz w:val="20"/>
          <w:szCs w:val="20"/>
        </w:rPr>
        <w:fldChar w:fldCharType="separate"/>
      </w:r>
      <w:r w:rsidR="00386EDB" w:rsidRPr="00386EDB">
        <w:rPr>
          <w:rFonts w:ascii="Arial" w:hAnsi="Arial" w:cs="Arial"/>
          <w:sz w:val="20"/>
        </w:rPr>
        <w:t>(Kang et al., 2004)</w:t>
      </w:r>
      <w:r w:rsidR="00386EDB">
        <w:rPr>
          <w:rFonts w:ascii="Arial" w:hAnsi="Arial" w:cs="Arial"/>
          <w:sz w:val="20"/>
          <w:szCs w:val="20"/>
        </w:rPr>
        <w:fldChar w:fldCharType="end"/>
      </w:r>
      <w:r w:rsidR="00386EDB">
        <w:rPr>
          <w:rFonts w:ascii="Arial" w:hAnsi="Arial" w:cs="Arial"/>
          <w:sz w:val="20"/>
          <w:szCs w:val="20"/>
        </w:rPr>
        <w:t>.</w:t>
      </w:r>
      <w:r w:rsidRPr="00837E1E">
        <w:rPr>
          <w:rFonts w:ascii="Arial" w:hAnsi="Arial" w:cs="Arial"/>
          <w:sz w:val="20"/>
          <w:szCs w:val="20"/>
        </w:rPr>
        <w:t xml:space="preserve"> </w:t>
      </w:r>
      <w:r w:rsidR="000003BA" w:rsidRPr="00837E1E">
        <w:rPr>
          <w:rFonts w:ascii="Arial" w:hAnsi="Arial" w:cs="Arial"/>
          <w:sz w:val="20"/>
          <w:szCs w:val="20"/>
        </w:rPr>
        <w:t xml:space="preserve">The key to achieving balance during loading and avoiding phase separation when diluted in GIT fluids is figuring out the excipient ratio for SMEDDS. In order to determine the link between the SMEDDS components, a phase diagram study was carried out </w:t>
      </w:r>
      <w:r w:rsidR="00A91106" w:rsidRPr="00A7635B">
        <w:rPr>
          <w:rFonts w:ascii="Arial" w:hAnsi="Arial" w:cs="Arial"/>
          <w:sz w:val="20"/>
          <w:szCs w:val="20"/>
        </w:rPr>
        <w:fldChar w:fldCharType="begin"/>
      </w:r>
      <w:r w:rsidR="009D2F90" w:rsidRPr="00A7635B">
        <w:rPr>
          <w:rFonts w:ascii="Arial" w:hAnsi="Arial" w:cs="Arial"/>
          <w:sz w:val="20"/>
          <w:szCs w:val="20"/>
        </w:rPr>
        <w:instrText xml:space="preserve"> ADDIN ZOTERO_ITEM CSL_CITATION {"citationID":"SpKVx380","properties":{"formattedCitation":"(Emad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A91106" w:rsidRPr="00A7635B">
        <w:rPr>
          <w:rFonts w:ascii="Arial" w:hAnsi="Arial" w:cs="Arial"/>
          <w:sz w:val="20"/>
          <w:szCs w:val="20"/>
        </w:rPr>
        <w:fldChar w:fldCharType="separate"/>
      </w:r>
      <w:r w:rsidR="009D2F90" w:rsidRPr="00A7635B">
        <w:rPr>
          <w:rFonts w:ascii="Arial" w:hAnsi="Arial" w:cs="Arial"/>
          <w:sz w:val="20"/>
          <w:szCs w:val="20"/>
        </w:rPr>
        <w:t>(Emad et al., 2023)</w:t>
      </w:r>
      <w:r w:rsidR="00A91106" w:rsidRPr="00A7635B">
        <w:rPr>
          <w:rFonts w:ascii="Arial" w:hAnsi="Arial" w:cs="Arial"/>
          <w:sz w:val="20"/>
          <w:szCs w:val="20"/>
        </w:rPr>
        <w:fldChar w:fldCharType="end"/>
      </w:r>
      <w:r w:rsidR="00386EDB">
        <w:rPr>
          <w:rFonts w:ascii="Arial" w:hAnsi="Arial" w:cs="Arial"/>
          <w:sz w:val="20"/>
          <w:szCs w:val="20"/>
        </w:rPr>
        <w:t>.</w:t>
      </w:r>
    </w:p>
    <w:p w14:paraId="10D75A1E" w14:textId="61F34BD6" w:rsidR="009D67D8" w:rsidRPr="00837E1E" w:rsidRDefault="00A91106" w:rsidP="00883EF8">
      <w:pPr>
        <w:spacing w:line="360" w:lineRule="auto"/>
        <w:jc w:val="both"/>
        <w:rPr>
          <w:rFonts w:ascii="Arial" w:hAnsi="Arial" w:cs="Arial"/>
          <w:sz w:val="20"/>
          <w:szCs w:val="20"/>
        </w:rPr>
      </w:pPr>
      <w:r w:rsidRPr="00837E1E">
        <w:rPr>
          <w:rFonts w:ascii="Arial" w:hAnsi="Arial" w:cs="Arial"/>
          <w:sz w:val="20"/>
          <w:szCs w:val="20"/>
        </w:rPr>
        <w:t xml:space="preserve">The pseudo ternary phase diagram was plotted for three variables i.e. </w:t>
      </w:r>
      <w:r w:rsidR="001552A0" w:rsidRPr="00837E1E">
        <w:rPr>
          <w:rFonts w:ascii="Arial" w:hAnsi="Arial" w:cs="Arial"/>
          <w:sz w:val="20"/>
          <w:szCs w:val="20"/>
        </w:rPr>
        <w:t xml:space="preserve">water, </w:t>
      </w:r>
      <w:r w:rsidRPr="00837E1E">
        <w:rPr>
          <w:rFonts w:ascii="Arial" w:hAnsi="Arial" w:cs="Arial"/>
          <w:sz w:val="20"/>
          <w:szCs w:val="20"/>
        </w:rPr>
        <w:t xml:space="preserve">oil and </w:t>
      </w:r>
      <w:proofErr w:type="spellStart"/>
      <w:r w:rsidRPr="00837E1E">
        <w:rPr>
          <w:rFonts w:ascii="Arial" w:hAnsi="Arial" w:cs="Arial"/>
          <w:sz w:val="20"/>
          <w:szCs w:val="20"/>
        </w:rPr>
        <w:t>Smix</w:t>
      </w:r>
      <w:proofErr w:type="spellEnd"/>
      <w:r w:rsidRPr="00837E1E">
        <w:rPr>
          <w:rFonts w:ascii="Arial" w:hAnsi="Arial" w:cs="Arial"/>
          <w:sz w:val="20"/>
          <w:szCs w:val="20"/>
        </w:rPr>
        <w:t xml:space="preserve"> in specific ratio (1:1, 2:1, 1:2) shown in fig</w:t>
      </w:r>
      <w:r w:rsidR="00FA621D" w:rsidRPr="00837E1E">
        <w:rPr>
          <w:rFonts w:ascii="Arial" w:hAnsi="Arial" w:cs="Arial"/>
          <w:sz w:val="20"/>
          <w:szCs w:val="20"/>
        </w:rPr>
        <w:t xml:space="preserve"> </w:t>
      </w:r>
      <w:r w:rsidR="001B5F0B" w:rsidRPr="00837E1E">
        <w:rPr>
          <w:rFonts w:ascii="Arial" w:hAnsi="Arial" w:cs="Arial"/>
          <w:sz w:val="20"/>
          <w:szCs w:val="20"/>
        </w:rPr>
        <w:t>2</w:t>
      </w:r>
      <w:r w:rsidRPr="00837E1E">
        <w:rPr>
          <w:rFonts w:ascii="Arial" w:hAnsi="Arial" w:cs="Arial"/>
          <w:sz w:val="20"/>
          <w:szCs w:val="20"/>
        </w:rPr>
        <w:t xml:space="preserve">. The </w:t>
      </w:r>
      <w:proofErr w:type="spellStart"/>
      <w:r w:rsidRPr="00837E1E">
        <w:rPr>
          <w:rFonts w:ascii="Arial" w:hAnsi="Arial" w:cs="Arial"/>
          <w:sz w:val="20"/>
          <w:szCs w:val="20"/>
        </w:rPr>
        <w:t>Smix</w:t>
      </w:r>
      <w:proofErr w:type="spellEnd"/>
      <w:r w:rsidRPr="00837E1E">
        <w:rPr>
          <w:rFonts w:ascii="Arial" w:hAnsi="Arial" w:cs="Arial"/>
          <w:sz w:val="20"/>
          <w:szCs w:val="20"/>
        </w:rPr>
        <w:t xml:space="preserve"> ratio of 2:1 shows the higher monophasic region. </w:t>
      </w:r>
      <w:r w:rsidR="001552A0" w:rsidRPr="00837E1E">
        <w:rPr>
          <w:rFonts w:ascii="Arial" w:hAnsi="Arial" w:cs="Arial"/>
          <w:sz w:val="20"/>
          <w:szCs w:val="20"/>
        </w:rPr>
        <w:t xml:space="preserve">Because Tween 80 lowers interfacial tension and allows surfactants to penetrate into the aqueous phase, small globules were generated at high concentrations. Additionally, </w:t>
      </w:r>
      <w:r w:rsidR="004A4C0C" w:rsidRPr="00837E1E">
        <w:rPr>
          <w:rFonts w:ascii="Arial" w:hAnsi="Arial" w:cs="Arial"/>
          <w:sz w:val="20"/>
          <w:szCs w:val="20"/>
        </w:rPr>
        <w:t xml:space="preserve">a flexible film was created by </w:t>
      </w:r>
      <w:r w:rsidR="001552A0" w:rsidRPr="00837E1E">
        <w:rPr>
          <w:rFonts w:ascii="Arial" w:hAnsi="Arial" w:cs="Arial"/>
          <w:sz w:val="20"/>
          <w:szCs w:val="20"/>
        </w:rPr>
        <w:t>PEG 400 which raises the system's entropy</w:t>
      </w:r>
      <w:r w:rsidR="00F805D9" w:rsidRPr="00837E1E">
        <w:rPr>
          <w:rFonts w:ascii="Arial" w:hAnsi="Arial" w:cs="Arial"/>
          <w:sz w:val="20"/>
          <w:szCs w:val="20"/>
        </w:rPr>
        <w:t>. It also</w:t>
      </w:r>
      <w:r w:rsidR="001552A0" w:rsidRPr="00837E1E">
        <w:rPr>
          <w:rFonts w:ascii="Arial" w:hAnsi="Arial" w:cs="Arial"/>
          <w:sz w:val="20"/>
          <w:szCs w:val="20"/>
        </w:rPr>
        <w:t xml:space="preserve"> modifies the </w:t>
      </w:r>
      <w:r w:rsidR="00F805D9" w:rsidRPr="00837E1E">
        <w:rPr>
          <w:rFonts w:ascii="Arial" w:hAnsi="Arial" w:cs="Arial"/>
          <w:sz w:val="20"/>
          <w:szCs w:val="20"/>
        </w:rPr>
        <w:t xml:space="preserve">viscosity, </w:t>
      </w:r>
      <w:r w:rsidR="001552A0" w:rsidRPr="00837E1E">
        <w:rPr>
          <w:rFonts w:ascii="Arial" w:hAnsi="Arial" w:cs="Arial"/>
          <w:sz w:val="20"/>
          <w:szCs w:val="20"/>
        </w:rPr>
        <w:t xml:space="preserve">polarity, refractive index and </w:t>
      </w:r>
      <w:r w:rsidR="00F805D9" w:rsidRPr="00837E1E">
        <w:rPr>
          <w:rFonts w:ascii="Arial" w:hAnsi="Arial" w:cs="Arial"/>
          <w:sz w:val="20"/>
          <w:szCs w:val="20"/>
        </w:rPr>
        <w:t>density</w:t>
      </w:r>
      <w:r w:rsidR="001552A0" w:rsidRPr="00837E1E">
        <w:rPr>
          <w:rFonts w:ascii="Arial" w:hAnsi="Arial" w:cs="Arial"/>
          <w:sz w:val="20"/>
          <w:szCs w:val="20"/>
        </w:rPr>
        <w:t xml:space="preserve"> of the aqueous phase, further reduced interfacial tension. Therefore, the 2:1 </w:t>
      </w:r>
      <w:proofErr w:type="spellStart"/>
      <w:r w:rsidR="001552A0" w:rsidRPr="00837E1E">
        <w:rPr>
          <w:rFonts w:ascii="Arial" w:hAnsi="Arial" w:cs="Arial"/>
          <w:sz w:val="20"/>
          <w:szCs w:val="20"/>
        </w:rPr>
        <w:t>Smix</w:t>
      </w:r>
      <w:proofErr w:type="spellEnd"/>
      <w:r w:rsidR="001552A0" w:rsidRPr="00837E1E">
        <w:rPr>
          <w:rFonts w:ascii="Arial" w:hAnsi="Arial" w:cs="Arial"/>
          <w:sz w:val="20"/>
          <w:szCs w:val="20"/>
        </w:rPr>
        <w:t xml:space="preserve"> ratio was chosen for additional investigation.</w:t>
      </w:r>
    </w:p>
    <w:p w14:paraId="2C96B1B2" w14:textId="3F055A78" w:rsidR="004F392D" w:rsidRPr="00837E1E" w:rsidRDefault="00464E8B" w:rsidP="004F392D">
      <w:pPr>
        <w:keepNext/>
        <w:spacing w:line="360" w:lineRule="auto"/>
        <w:jc w:val="both"/>
        <w:rPr>
          <w:rFonts w:ascii="Arial" w:hAnsi="Arial" w:cs="Arial"/>
        </w:rPr>
      </w:pPr>
      <w:r w:rsidRPr="00837E1E">
        <w:rPr>
          <w:rFonts w:ascii="Arial" w:hAnsi="Arial" w:cs="Arial"/>
          <w:noProof/>
        </w:rPr>
        <w:lastRenderedPageBreak/>
        <w:drawing>
          <wp:inline distT="0" distB="0" distL="0" distR="0" wp14:anchorId="683B5356" wp14:editId="1581D53C">
            <wp:extent cx="1828800" cy="1599971"/>
            <wp:effectExtent l="19050" t="19050" r="19050" b="19685"/>
            <wp:docPr id="9" name="Picture 8">
              <a:extLst xmlns:a="http://schemas.openxmlformats.org/drawingml/2006/main">
                <a:ext uri="{FF2B5EF4-FFF2-40B4-BE49-F238E27FC236}">
                  <a16:creationId xmlns:a16="http://schemas.microsoft.com/office/drawing/2014/main" id="{2254A765-310F-557C-7A2E-773B49FB1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254A765-310F-557C-7A2E-773B49FB1F8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599971"/>
                    </a:xfrm>
                    <a:prstGeom prst="rect">
                      <a:avLst/>
                    </a:prstGeom>
                    <a:ln>
                      <a:solidFill>
                        <a:schemeClr val="tx1"/>
                      </a:solidFill>
                    </a:ln>
                  </pic:spPr>
                </pic:pic>
              </a:graphicData>
            </a:graphic>
          </wp:inline>
        </w:drawing>
      </w:r>
      <w:r w:rsidR="00FA621D" w:rsidRPr="00837E1E">
        <w:rPr>
          <w:rFonts w:ascii="Arial" w:hAnsi="Arial" w:cs="Arial"/>
        </w:rPr>
        <w:t xml:space="preserve"> </w:t>
      </w:r>
      <w:r w:rsidR="003E73D9" w:rsidRPr="00837E1E">
        <w:rPr>
          <w:rFonts w:ascii="Arial" w:hAnsi="Arial" w:cs="Arial"/>
        </w:rPr>
        <w:t xml:space="preserve"> </w:t>
      </w:r>
      <w:r w:rsidR="00FA621D" w:rsidRPr="00837E1E">
        <w:rPr>
          <w:rFonts w:ascii="Arial" w:hAnsi="Arial" w:cs="Arial"/>
        </w:rPr>
        <w:t xml:space="preserve">  </w:t>
      </w:r>
      <w:r w:rsidR="00FA621D" w:rsidRPr="00837E1E">
        <w:rPr>
          <w:rFonts w:ascii="Arial" w:hAnsi="Arial" w:cs="Arial"/>
          <w:noProof/>
        </w:rPr>
        <w:drawing>
          <wp:inline distT="0" distB="0" distL="0" distR="0" wp14:anchorId="5BB1E111" wp14:editId="4748CFFF">
            <wp:extent cx="1828800" cy="1600200"/>
            <wp:effectExtent l="19050" t="19050" r="19050" b="19050"/>
            <wp:docPr id="6" name="Picture 5">
              <a:extLst xmlns:a="http://schemas.openxmlformats.org/drawingml/2006/main">
                <a:ext uri="{FF2B5EF4-FFF2-40B4-BE49-F238E27FC236}">
                  <a16:creationId xmlns:a16="http://schemas.microsoft.com/office/drawing/2014/main" id="{8E02978A-8376-2714-FD09-F4D224E736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02978A-8376-2714-FD09-F4D224E7369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a:ln>
                      <a:solidFill>
                        <a:schemeClr val="tx1"/>
                      </a:solidFill>
                    </a:ln>
                  </pic:spPr>
                </pic:pic>
              </a:graphicData>
            </a:graphic>
          </wp:inline>
        </w:drawing>
      </w:r>
      <w:r w:rsidR="00FA621D" w:rsidRPr="00837E1E">
        <w:rPr>
          <w:rFonts w:ascii="Arial" w:hAnsi="Arial" w:cs="Arial"/>
        </w:rPr>
        <w:t xml:space="preserve">  </w:t>
      </w:r>
      <w:r w:rsidR="003E73D9" w:rsidRPr="00837E1E">
        <w:rPr>
          <w:rFonts w:ascii="Arial" w:hAnsi="Arial" w:cs="Arial"/>
        </w:rPr>
        <w:t xml:space="preserve"> </w:t>
      </w:r>
      <w:r w:rsidR="00FA621D" w:rsidRPr="00837E1E">
        <w:rPr>
          <w:rFonts w:ascii="Arial" w:hAnsi="Arial" w:cs="Arial"/>
        </w:rPr>
        <w:t xml:space="preserve"> </w:t>
      </w:r>
      <w:r w:rsidRPr="00837E1E">
        <w:rPr>
          <w:rFonts w:ascii="Arial" w:hAnsi="Arial" w:cs="Arial"/>
          <w:noProof/>
        </w:rPr>
        <w:drawing>
          <wp:inline distT="0" distB="0" distL="0" distR="0" wp14:anchorId="5971BBD6" wp14:editId="136C9823">
            <wp:extent cx="1828800" cy="1600200"/>
            <wp:effectExtent l="19050" t="19050" r="19050" b="19050"/>
            <wp:docPr id="11" name="Picture 10">
              <a:extLst xmlns:a="http://schemas.openxmlformats.org/drawingml/2006/main">
                <a:ext uri="{FF2B5EF4-FFF2-40B4-BE49-F238E27FC236}">
                  <a16:creationId xmlns:a16="http://schemas.microsoft.com/office/drawing/2014/main" id="{9FF4A25D-58EF-5DC2-EAC3-265DF5D2DF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F4A25D-58EF-5DC2-EAC3-265DF5D2DFB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a:ln>
                      <a:solidFill>
                        <a:schemeClr val="tx1"/>
                      </a:solidFill>
                    </a:ln>
                  </pic:spPr>
                </pic:pic>
              </a:graphicData>
            </a:graphic>
          </wp:inline>
        </w:drawing>
      </w:r>
    </w:p>
    <w:p w14:paraId="2C2BD72D" w14:textId="12A873AF" w:rsidR="004F392D" w:rsidRPr="00837E1E" w:rsidRDefault="004F392D" w:rsidP="001909D2">
      <w:pPr>
        <w:pStyle w:val="Title"/>
      </w:pPr>
      <w:r w:rsidRPr="00837E1E">
        <w:t>Fig</w:t>
      </w:r>
      <w:r w:rsidR="001909D2" w:rsidRPr="00837E1E">
        <w:t>.</w:t>
      </w:r>
      <w:r w:rsidRPr="00837E1E">
        <w:t xml:space="preserve"> </w:t>
      </w:r>
      <w:fldSimple w:instr=" SEQ Figure \* ARABIC ">
        <w:r w:rsidR="00D04334" w:rsidRPr="00837E1E">
          <w:rPr>
            <w:noProof/>
          </w:rPr>
          <w:t>2</w:t>
        </w:r>
      </w:fldSimple>
      <w:r w:rsidRPr="00837E1E">
        <w:t xml:space="preserve">: </w:t>
      </w:r>
      <w:r w:rsidR="00FA621D" w:rsidRPr="00837E1E">
        <w:t xml:space="preserve">Pseudo-ternary phase diagrams (a) </w:t>
      </w:r>
      <w:proofErr w:type="spellStart"/>
      <w:r w:rsidR="00FA621D" w:rsidRPr="00837E1E">
        <w:t>Smix</w:t>
      </w:r>
      <w:proofErr w:type="spellEnd"/>
      <w:r w:rsidR="00FA621D" w:rsidRPr="00837E1E">
        <w:t xml:space="preserve"> 1:1 (b) </w:t>
      </w:r>
      <w:proofErr w:type="spellStart"/>
      <w:r w:rsidR="00FA621D" w:rsidRPr="00837E1E">
        <w:t>Smix</w:t>
      </w:r>
      <w:proofErr w:type="spellEnd"/>
      <w:r w:rsidR="00FA621D" w:rsidRPr="00837E1E">
        <w:t xml:space="preserve"> 2:1 (c) </w:t>
      </w:r>
      <w:proofErr w:type="spellStart"/>
      <w:r w:rsidR="00FA621D" w:rsidRPr="00837E1E">
        <w:t>Smix</w:t>
      </w:r>
      <w:proofErr w:type="spellEnd"/>
      <w:r w:rsidR="00FA621D" w:rsidRPr="00837E1E">
        <w:t xml:space="preserve"> 1:2</w:t>
      </w:r>
    </w:p>
    <w:p w14:paraId="61149013" w14:textId="3F816BC3" w:rsidR="00464E8B" w:rsidRPr="00837E1E" w:rsidRDefault="00464E8B" w:rsidP="00883EF8">
      <w:pPr>
        <w:spacing w:line="360" w:lineRule="auto"/>
        <w:jc w:val="both"/>
        <w:rPr>
          <w:rFonts w:ascii="Arial" w:hAnsi="Arial" w:cs="Arial"/>
        </w:rPr>
      </w:pPr>
    </w:p>
    <w:p w14:paraId="769A2E79" w14:textId="6DBB0483" w:rsidR="009D2F90" w:rsidRPr="00837E1E" w:rsidRDefault="00837E1E" w:rsidP="009D2F90">
      <w:pPr>
        <w:spacing w:line="360" w:lineRule="auto"/>
        <w:jc w:val="both"/>
        <w:rPr>
          <w:rFonts w:ascii="Arial" w:hAnsi="Arial" w:cs="Arial"/>
          <w:b/>
          <w:bCs/>
          <w:sz w:val="22"/>
          <w:szCs w:val="22"/>
        </w:rPr>
      </w:pPr>
      <w:r>
        <w:rPr>
          <w:rFonts w:ascii="Arial" w:hAnsi="Arial" w:cs="Arial"/>
          <w:b/>
          <w:bCs/>
          <w:sz w:val="22"/>
          <w:szCs w:val="22"/>
        </w:rPr>
        <w:t xml:space="preserve">3.3.  </w:t>
      </w:r>
      <w:r w:rsidR="00DC11E1" w:rsidRPr="00837E1E">
        <w:rPr>
          <w:rFonts w:ascii="Arial" w:hAnsi="Arial" w:cs="Arial"/>
          <w:b/>
          <w:bCs/>
          <w:sz w:val="22"/>
          <w:szCs w:val="22"/>
        </w:rPr>
        <w:t>Characterization</w:t>
      </w:r>
      <w:r w:rsidR="009D2F90" w:rsidRPr="00837E1E">
        <w:rPr>
          <w:rFonts w:ascii="Arial" w:hAnsi="Arial" w:cs="Arial"/>
          <w:b/>
          <w:bCs/>
          <w:sz w:val="22"/>
          <w:szCs w:val="22"/>
        </w:rPr>
        <w:t xml:space="preserve"> of SMEDDS</w:t>
      </w:r>
    </w:p>
    <w:p w14:paraId="09DD1F84" w14:textId="4300C9B2" w:rsidR="00DC11E1" w:rsidRPr="00837E1E" w:rsidRDefault="002C53DF" w:rsidP="009D2F90">
      <w:pPr>
        <w:spacing w:line="360" w:lineRule="auto"/>
        <w:jc w:val="both"/>
        <w:rPr>
          <w:rFonts w:ascii="Arial" w:hAnsi="Arial" w:cs="Arial"/>
          <w:sz w:val="20"/>
          <w:szCs w:val="20"/>
        </w:rPr>
      </w:pPr>
      <w:r w:rsidRPr="00837E1E">
        <w:rPr>
          <w:rFonts w:ascii="Arial" w:hAnsi="Arial" w:cs="Arial"/>
          <w:sz w:val="20"/>
          <w:szCs w:val="20"/>
        </w:rPr>
        <w:t>The SMEDDS was prepared utilizing a high shear homogenizer according to the miscibility test and pseudo ternary phase diagram.</w:t>
      </w:r>
      <w:r w:rsidR="00DC11E1" w:rsidRPr="00837E1E">
        <w:rPr>
          <w:rFonts w:ascii="Arial" w:hAnsi="Arial" w:cs="Arial"/>
          <w:sz w:val="20"/>
          <w:szCs w:val="20"/>
        </w:rPr>
        <w:t xml:space="preserve"> The prepared SMEDDS was stored in a tightly closed container for further evaluation.</w:t>
      </w:r>
    </w:p>
    <w:p w14:paraId="16D5925D" w14:textId="764F40CE" w:rsidR="008D4D83" w:rsidRPr="00837E1E" w:rsidRDefault="008D4D83" w:rsidP="00883EF8">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Self-emulsification time and visual evaluation</w:t>
      </w:r>
    </w:p>
    <w:p w14:paraId="34F68C48" w14:textId="6A2BDB93" w:rsidR="005A3836" w:rsidRPr="00837E1E" w:rsidRDefault="007A6650" w:rsidP="00883EF8">
      <w:pPr>
        <w:pStyle w:val="ListParagraph"/>
        <w:spacing w:line="360" w:lineRule="auto"/>
        <w:jc w:val="both"/>
        <w:rPr>
          <w:rFonts w:ascii="Arial" w:hAnsi="Arial" w:cs="Arial"/>
          <w:sz w:val="20"/>
          <w:szCs w:val="20"/>
        </w:rPr>
      </w:pPr>
      <w:r w:rsidRPr="00837E1E">
        <w:rPr>
          <w:rFonts w:ascii="Arial" w:hAnsi="Arial" w:cs="Arial"/>
          <w:sz w:val="20"/>
          <w:szCs w:val="20"/>
        </w:rPr>
        <w:t>Visual assessment was used to evaluate self-emulsification.</w:t>
      </w:r>
      <w:r w:rsidR="008D4D83" w:rsidRPr="00837E1E">
        <w:rPr>
          <w:rFonts w:ascii="Arial" w:hAnsi="Arial" w:cs="Arial"/>
          <w:sz w:val="20"/>
          <w:szCs w:val="20"/>
        </w:rPr>
        <w:t xml:space="preserve"> </w:t>
      </w:r>
      <w:r w:rsidR="00BC3207" w:rsidRPr="00837E1E">
        <w:rPr>
          <w:rFonts w:ascii="Arial" w:hAnsi="Arial" w:cs="Arial"/>
          <w:sz w:val="20"/>
          <w:szCs w:val="20"/>
        </w:rPr>
        <w:t>Under the defined conditions, t</w:t>
      </w:r>
      <w:r w:rsidR="003E0081" w:rsidRPr="00837E1E">
        <w:rPr>
          <w:rFonts w:ascii="Arial" w:hAnsi="Arial" w:cs="Arial"/>
          <w:sz w:val="20"/>
          <w:szCs w:val="20"/>
        </w:rPr>
        <w:t>he time required for</w:t>
      </w:r>
      <w:r w:rsidR="00BC3207" w:rsidRPr="00837E1E">
        <w:rPr>
          <w:rFonts w:ascii="Arial" w:hAnsi="Arial" w:cs="Arial"/>
          <w:sz w:val="20"/>
          <w:szCs w:val="20"/>
        </w:rPr>
        <w:t xml:space="preserve"> complete</w:t>
      </w:r>
      <w:r w:rsidR="003E0081" w:rsidRPr="00837E1E">
        <w:rPr>
          <w:rFonts w:ascii="Arial" w:hAnsi="Arial" w:cs="Arial"/>
          <w:sz w:val="20"/>
          <w:szCs w:val="20"/>
        </w:rPr>
        <w:t xml:space="preserve"> </w:t>
      </w:r>
      <w:r w:rsidR="00BC3207" w:rsidRPr="00837E1E">
        <w:rPr>
          <w:rFonts w:ascii="Arial" w:hAnsi="Arial" w:cs="Arial"/>
          <w:sz w:val="20"/>
          <w:szCs w:val="20"/>
        </w:rPr>
        <w:t xml:space="preserve">emulsification of the SMEDDS was found to be less than </w:t>
      </w:r>
      <w:r w:rsidR="000C28B0" w:rsidRPr="00837E1E">
        <w:rPr>
          <w:rFonts w:ascii="Arial" w:hAnsi="Arial" w:cs="Arial"/>
          <w:sz w:val="20"/>
          <w:szCs w:val="20"/>
        </w:rPr>
        <w:t>a</w:t>
      </w:r>
      <w:r w:rsidR="00BC3207" w:rsidRPr="00837E1E">
        <w:rPr>
          <w:rFonts w:ascii="Arial" w:hAnsi="Arial" w:cs="Arial"/>
          <w:sz w:val="20"/>
          <w:szCs w:val="20"/>
        </w:rPr>
        <w:t xml:space="preserve"> minute. </w:t>
      </w:r>
      <w:r w:rsidRPr="00837E1E">
        <w:rPr>
          <w:rFonts w:ascii="Arial" w:hAnsi="Arial" w:cs="Arial"/>
          <w:sz w:val="20"/>
          <w:szCs w:val="20"/>
        </w:rPr>
        <w:t>The clear, isotropic, fine solution indicates the formation of a microemulsion</w:t>
      </w:r>
      <w:r w:rsidR="003E0081" w:rsidRPr="00386EDB">
        <w:rPr>
          <w:rFonts w:ascii="Arial" w:hAnsi="Arial" w:cs="Arial"/>
          <w:sz w:val="20"/>
          <w:szCs w:val="20"/>
        </w:rPr>
        <w:t xml:space="preserve"> </w:t>
      </w:r>
      <w:r w:rsidR="003E0081" w:rsidRPr="00386EDB">
        <w:rPr>
          <w:rFonts w:ascii="Arial" w:hAnsi="Arial" w:cs="Arial"/>
          <w:sz w:val="20"/>
          <w:szCs w:val="20"/>
        </w:rPr>
        <w:fldChar w:fldCharType="begin"/>
      </w:r>
      <w:r w:rsidR="003E0081" w:rsidRPr="00386EDB">
        <w:rPr>
          <w:rFonts w:ascii="Arial" w:hAnsi="Arial" w:cs="Arial"/>
          <w:sz w:val="20"/>
          <w:szCs w:val="20"/>
        </w:rPr>
        <w:instrText xml:space="preserve"> ADDIN ZOTERO_ITEM CSL_CITATION {"citationID":"ndsJ7qi4","properties":{"formattedCitation":"(Bahadur et al., 2020)","plainCitation":"(Bahadur et al., 2020)","noteIndex":0},"citationItems":[{"id":250,"uris":["http://zotero.org/users/11670883/items/Z4W6T9V9"],"itemData":{"id":250,"type":"article-journal","container-title":"ScienceRise: Pharmaceutical Science","DOI":"10.15587/2519-4852.2020.210825","ISSN":"2519-4852, 2519-4844","issue":"4 (26)","language":"en","page":"25-35","source":"DOI.org (Crossref)","title":"Review of formulation and evaluation of self-micro emulsifying drug delivery system (SMEDDS)","volume":"0","author":[{"family":"Bahadur","given":"Sanjib"},{"family":"Yadu","given":"Kamesh"},{"family":"Baghel","given":"Pragya"},{"family":"Naurange","given":"Tripti"},{"family":"Sahu","given":"Manisha"}],"issued":{"date-parts":[["2020",8,31]]}}}],"schema":"https://github.com/citation-style-language/schema/raw/master/csl-citation.json"} </w:instrText>
      </w:r>
      <w:r w:rsidR="003E0081" w:rsidRPr="00386EDB">
        <w:rPr>
          <w:rFonts w:ascii="Arial" w:hAnsi="Arial" w:cs="Arial"/>
          <w:sz w:val="20"/>
          <w:szCs w:val="20"/>
        </w:rPr>
        <w:fldChar w:fldCharType="separate"/>
      </w:r>
      <w:r w:rsidR="003E0081" w:rsidRPr="00386EDB">
        <w:rPr>
          <w:rFonts w:ascii="Arial" w:hAnsi="Arial" w:cs="Arial"/>
          <w:sz w:val="20"/>
          <w:szCs w:val="20"/>
        </w:rPr>
        <w:t>(Bahadur et al., 2020)</w:t>
      </w:r>
      <w:r w:rsidR="003E0081" w:rsidRPr="00386EDB">
        <w:rPr>
          <w:rFonts w:ascii="Arial" w:hAnsi="Arial" w:cs="Arial"/>
          <w:sz w:val="20"/>
          <w:szCs w:val="20"/>
        </w:rPr>
        <w:fldChar w:fldCharType="end"/>
      </w:r>
      <w:r w:rsidR="00386EDB">
        <w:rPr>
          <w:rFonts w:ascii="Arial" w:hAnsi="Arial" w:cs="Arial"/>
          <w:sz w:val="20"/>
          <w:szCs w:val="20"/>
        </w:rPr>
        <w:t>.</w:t>
      </w:r>
    </w:p>
    <w:p w14:paraId="3AC34538" w14:textId="77777777" w:rsidR="003E0081" w:rsidRPr="00837E1E" w:rsidRDefault="003E0081" w:rsidP="00883EF8">
      <w:pPr>
        <w:pStyle w:val="ListParagraph"/>
        <w:spacing w:line="360" w:lineRule="auto"/>
        <w:jc w:val="both"/>
        <w:rPr>
          <w:rFonts w:ascii="Arial" w:hAnsi="Arial" w:cs="Arial"/>
          <w:sz w:val="20"/>
          <w:szCs w:val="20"/>
          <w:highlight w:val="yellow"/>
        </w:rPr>
      </w:pPr>
    </w:p>
    <w:p w14:paraId="331F86CC" w14:textId="77777777" w:rsidR="00DC11E1" w:rsidRPr="00837E1E" w:rsidRDefault="00DC11E1" w:rsidP="00DC11E1">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Viscosity</w:t>
      </w:r>
    </w:p>
    <w:p w14:paraId="5B8321E4" w14:textId="06C9988A" w:rsidR="00DC11E1" w:rsidRPr="00837E1E" w:rsidRDefault="004642BB" w:rsidP="00DC11E1">
      <w:pPr>
        <w:pStyle w:val="ListParagraph"/>
        <w:spacing w:line="360" w:lineRule="auto"/>
        <w:jc w:val="both"/>
        <w:rPr>
          <w:rFonts w:ascii="Arial" w:hAnsi="Arial" w:cs="Arial"/>
          <w:sz w:val="20"/>
          <w:szCs w:val="20"/>
        </w:rPr>
      </w:pPr>
      <w:r w:rsidRPr="00837E1E">
        <w:rPr>
          <w:rFonts w:ascii="Arial" w:hAnsi="Arial" w:cs="Arial"/>
          <w:sz w:val="20"/>
          <w:szCs w:val="20"/>
        </w:rPr>
        <w:t xml:space="preserve">The viscosity character has been evaluated to make sure SMEDDS is physically stable. Additionally, the </w:t>
      </w:r>
      <w:r w:rsidR="00F805D9" w:rsidRPr="00837E1E">
        <w:rPr>
          <w:rFonts w:ascii="Arial" w:hAnsi="Arial" w:cs="Arial"/>
          <w:sz w:val="20"/>
          <w:szCs w:val="20"/>
        </w:rPr>
        <w:t xml:space="preserve">more viscous formulations can impact drug release and its bioavailability due to low </w:t>
      </w:r>
      <w:r w:rsidRPr="00837E1E">
        <w:rPr>
          <w:rFonts w:ascii="Arial" w:hAnsi="Arial" w:cs="Arial"/>
          <w:sz w:val="20"/>
          <w:szCs w:val="20"/>
        </w:rPr>
        <w:t>emulsification rate</w:t>
      </w:r>
      <w:r w:rsidR="00F805D9" w:rsidRPr="00837E1E">
        <w:rPr>
          <w:rFonts w:ascii="Arial" w:hAnsi="Arial" w:cs="Arial"/>
          <w:sz w:val="20"/>
          <w:szCs w:val="20"/>
        </w:rPr>
        <w:t>. Thus,</w:t>
      </w:r>
      <w:r w:rsidRPr="00837E1E">
        <w:rPr>
          <w:rFonts w:ascii="Arial" w:hAnsi="Arial" w:cs="Arial"/>
          <w:sz w:val="20"/>
          <w:szCs w:val="20"/>
        </w:rPr>
        <w:t xml:space="preserve"> SMEDDS dispersion in an aqueous medium is crucial</w:t>
      </w:r>
      <w:r w:rsidR="00285C10">
        <w:rPr>
          <w:rFonts w:ascii="Arial" w:hAnsi="Arial" w:cs="Arial"/>
          <w:sz w:val="20"/>
          <w:szCs w:val="20"/>
        </w:rPr>
        <w:t xml:space="preserve"> </w:t>
      </w:r>
      <w:r w:rsidR="00285C10">
        <w:rPr>
          <w:rFonts w:ascii="Arial" w:hAnsi="Arial" w:cs="Arial"/>
          <w:sz w:val="20"/>
          <w:szCs w:val="20"/>
        </w:rPr>
        <w:fldChar w:fldCharType="begin"/>
      </w:r>
      <w:r w:rsidR="00285C10">
        <w:rPr>
          <w:rFonts w:ascii="Arial" w:hAnsi="Arial" w:cs="Arial"/>
          <w:sz w:val="20"/>
          <w:szCs w:val="20"/>
        </w:rPr>
        <w:instrText xml:space="preserve"> ADDIN ZOTERO_ITEM CSL_CITATION {"citationID":"5IoqiUYx","properties":{"formattedCitation":"(Patel and Sawant, 2019)","plainCitation":"(Patel and Sawant, 2019)","noteIndex":0},"citationItems":[{"id":262,"uris":["http://zotero.org/users/11670883/items/ZML9ALGW"],"itemData":{"id":262,"type":"article-journal","container-title":"European Journal of Pharmaceutical Sciences","DOI":"10.1016/j.ejps.2019.105027","ISSN":"09280987","journalAbbreviation":"European Journal of Pharmaceutical Sciences","language":"en","page":"105027","source":"DOI.org (Crossref)","title":"Self microemulsifying drug delivery system of lurasidone hydrochloride for enhanced oral bioavailability by lymphatic targeting: In vitro, Caco-2 cell line and in vivo evaluation","title-short":"Self microemulsifying drug delivery system of lurasidone hydrochloride for enhanced oral bioavailability by lymphatic targeting","volume":"138","author":[{"family":"Patel","given":"Mitali H."},{"family":"Sawant","given":"Krutika K."}],"issued":{"date-parts":[["2019",10]]}}}],"schema":"https://github.com/citation-style-language/schema/raw/master/csl-citation.json"} </w:instrText>
      </w:r>
      <w:r w:rsidR="00285C10">
        <w:rPr>
          <w:rFonts w:ascii="Arial" w:hAnsi="Arial" w:cs="Arial"/>
          <w:sz w:val="20"/>
          <w:szCs w:val="20"/>
        </w:rPr>
        <w:fldChar w:fldCharType="separate"/>
      </w:r>
      <w:r w:rsidR="00285C10" w:rsidRPr="00285C10">
        <w:rPr>
          <w:rFonts w:ascii="Arial" w:hAnsi="Arial" w:cs="Arial"/>
          <w:sz w:val="20"/>
        </w:rPr>
        <w:t>(Patel and Sawant, 2019)</w:t>
      </w:r>
      <w:r w:rsidR="00285C10">
        <w:rPr>
          <w:rFonts w:ascii="Arial" w:hAnsi="Arial" w:cs="Arial"/>
          <w:sz w:val="20"/>
          <w:szCs w:val="20"/>
        </w:rPr>
        <w:fldChar w:fldCharType="end"/>
      </w:r>
      <w:r w:rsidR="00C3265A" w:rsidRPr="00837E1E">
        <w:rPr>
          <w:rFonts w:ascii="Arial" w:hAnsi="Arial" w:cs="Arial"/>
          <w:sz w:val="20"/>
          <w:szCs w:val="20"/>
        </w:rPr>
        <w:t xml:space="preserve">. The viscosity </w:t>
      </w:r>
      <w:r w:rsidR="00F805D9" w:rsidRPr="00837E1E">
        <w:rPr>
          <w:rFonts w:ascii="Arial" w:hAnsi="Arial" w:cs="Arial"/>
          <w:sz w:val="20"/>
          <w:szCs w:val="20"/>
        </w:rPr>
        <w:t xml:space="preserve">of the formulation </w:t>
      </w:r>
      <w:r w:rsidR="00C3265A" w:rsidRPr="00837E1E">
        <w:rPr>
          <w:rFonts w:ascii="Arial" w:hAnsi="Arial" w:cs="Arial"/>
          <w:sz w:val="20"/>
          <w:szCs w:val="20"/>
        </w:rPr>
        <w:t>was</w:t>
      </w:r>
      <w:r w:rsidRPr="00837E1E">
        <w:rPr>
          <w:rFonts w:ascii="Arial" w:hAnsi="Arial" w:cs="Arial"/>
          <w:sz w:val="20"/>
          <w:szCs w:val="20"/>
        </w:rPr>
        <w:t xml:space="preserve"> found to be</w:t>
      </w:r>
      <w:r w:rsidR="00C3265A" w:rsidRPr="00837E1E">
        <w:rPr>
          <w:rFonts w:ascii="Arial" w:hAnsi="Arial" w:cs="Arial"/>
          <w:sz w:val="20"/>
          <w:szCs w:val="20"/>
        </w:rPr>
        <w:t xml:space="preserve"> </w:t>
      </w:r>
      <w:r w:rsidR="000C28B0" w:rsidRPr="00837E1E">
        <w:rPr>
          <w:rFonts w:ascii="Arial" w:hAnsi="Arial" w:cs="Arial"/>
          <w:sz w:val="20"/>
          <w:szCs w:val="20"/>
        </w:rPr>
        <w:t>64</w:t>
      </w:r>
      <w:r w:rsidR="00C3265A" w:rsidRPr="00837E1E">
        <w:rPr>
          <w:rFonts w:ascii="Arial" w:hAnsi="Arial" w:cs="Arial"/>
          <w:sz w:val="20"/>
          <w:szCs w:val="20"/>
        </w:rPr>
        <w:t>.6</w:t>
      </w:r>
      <w:r w:rsidR="000C28B0" w:rsidRPr="00837E1E">
        <w:rPr>
          <w:rFonts w:ascii="Arial" w:hAnsi="Arial" w:cs="Arial"/>
          <w:sz w:val="20"/>
          <w:szCs w:val="20"/>
        </w:rPr>
        <w:t xml:space="preserve"> </w:t>
      </w:r>
      <w:r w:rsidR="00C3265A" w:rsidRPr="00837E1E">
        <w:rPr>
          <w:rFonts w:ascii="Arial" w:hAnsi="Arial" w:cs="Arial"/>
          <w:sz w:val="20"/>
          <w:szCs w:val="20"/>
        </w:rPr>
        <w:t>±</w:t>
      </w:r>
      <w:r w:rsidR="000C28B0" w:rsidRPr="00837E1E">
        <w:rPr>
          <w:rFonts w:ascii="Arial" w:hAnsi="Arial" w:cs="Arial"/>
          <w:sz w:val="20"/>
          <w:szCs w:val="20"/>
        </w:rPr>
        <w:t xml:space="preserve"> 2</w:t>
      </w:r>
      <w:r w:rsidR="00C3265A" w:rsidRPr="00837E1E">
        <w:rPr>
          <w:rFonts w:ascii="Arial" w:hAnsi="Arial" w:cs="Arial"/>
          <w:sz w:val="20"/>
          <w:szCs w:val="20"/>
        </w:rPr>
        <w:t>.</w:t>
      </w:r>
      <w:r w:rsidR="000C28B0" w:rsidRPr="00837E1E">
        <w:rPr>
          <w:rFonts w:ascii="Arial" w:hAnsi="Arial" w:cs="Arial"/>
          <w:sz w:val="20"/>
          <w:szCs w:val="20"/>
        </w:rPr>
        <w:t xml:space="preserve">4 </w:t>
      </w:r>
      <w:proofErr w:type="spellStart"/>
      <w:r w:rsidR="00C3265A" w:rsidRPr="00837E1E">
        <w:rPr>
          <w:rFonts w:ascii="Arial" w:hAnsi="Arial" w:cs="Arial"/>
          <w:sz w:val="20"/>
          <w:szCs w:val="20"/>
        </w:rPr>
        <w:t>cP</w:t>
      </w:r>
      <w:proofErr w:type="spellEnd"/>
      <w:r w:rsidR="00C3265A" w:rsidRPr="00837E1E">
        <w:rPr>
          <w:rFonts w:ascii="Arial" w:hAnsi="Arial" w:cs="Arial"/>
          <w:sz w:val="20"/>
          <w:szCs w:val="20"/>
        </w:rPr>
        <w:t xml:space="preserve">, </w:t>
      </w:r>
      <w:r w:rsidRPr="00837E1E">
        <w:rPr>
          <w:rFonts w:ascii="Arial" w:hAnsi="Arial" w:cs="Arial"/>
          <w:sz w:val="20"/>
          <w:szCs w:val="20"/>
        </w:rPr>
        <w:t>that is low enough to assist rapid emulsification</w:t>
      </w:r>
      <w:r w:rsidR="00C3265A" w:rsidRPr="00837E1E">
        <w:rPr>
          <w:rFonts w:ascii="Arial" w:hAnsi="Arial" w:cs="Arial"/>
          <w:sz w:val="20"/>
          <w:szCs w:val="20"/>
        </w:rPr>
        <w:t>.</w:t>
      </w:r>
    </w:p>
    <w:p w14:paraId="50B8033D" w14:textId="77777777" w:rsidR="00DC11E1" w:rsidRPr="00837E1E" w:rsidRDefault="00DC11E1" w:rsidP="00DC11E1">
      <w:pPr>
        <w:pStyle w:val="ListParagraph"/>
        <w:spacing w:line="360" w:lineRule="auto"/>
        <w:jc w:val="both"/>
        <w:rPr>
          <w:rFonts w:ascii="Arial" w:hAnsi="Arial" w:cs="Arial"/>
          <w:sz w:val="20"/>
          <w:szCs w:val="20"/>
        </w:rPr>
      </w:pPr>
    </w:p>
    <w:p w14:paraId="3E612C14" w14:textId="0A28AFFB" w:rsidR="00DC11E1" w:rsidRPr="00837E1E" w:rsidRDefault="00DC11E1" w:rsidP="00DC11E1">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Droplet size</w:t>
      </w:r>
      <w:r w:rsidR="003A41FE" w:rsidRPr="00837E1E">
        <w:rPr>
          <w:rFonts w:ascii="Arial" w:hAnsi="Arial" w:cs="Arial"/>
          <w:sz w:val="20"/>
          <w:szCs w:val="20"/>
        </w:rPr>
        <w:t xml:space="preserve"> and zeta potential</w:t>
      </w:r>
    </w:p>
    <w:p w14:paraId="30E4CAD7" w14:textId="69C26ACE" w:rsidR="00DC11E1" w:rsidRPr="00837E1E" w:rsidRDefault="00DF6CE0" w:rsidP="00DC11E1">
      <w:pPr>
        <w:pStyle w:val="ListParagraph"/>
        <w:spacing w:line="360" w:lineRule="auto"/>
        <w:jc w:val="both"/>
        <w:rPr>
          <w:rFonts w:ascii="Arial" w:hAnsi="Arial" w:cs="Arial"/>
          <w:sz w:val="20"/>
          <w:szCs w:val="20"/>
        </w:rPr>
      </w:pPr>
      <w:r w:rsidRPr="00837E1E">
        <w:rPr>
          <w:rFonts w:ascii="Arial" w:hAnsi="Arial" w:cs="Arial"/>
          <w:sz w:val="20"/>
          <w:szCs w:val="20"/>
        </w:rPr>
        <w:t>The prepared SMEDDS had a mean globule size of 645.2 nm and a PDI of 0.861 (Fig</w:t>
      </w:r>
      <w:r w:rsidR="001909D2" w:rsidRPr="00837E1E">
        <w:rPr>
          <w:rFonts w:ascii="Arial" w:hAnsi="Arial" w:cs="Arial"/>
          <w:sz w:val="20"/>
          <w:szCs w:val="20"/>
        </w:rPr>
        <w:t>.</w:t>
      </w:r>
      <w:r w:rsidR="001B59B9" w:rsidRPr="00837E1E">
        <w:rPr>
          <w:rFonts w:ascii="Arial" w:hAnsi="Arial" w:cs="Arial"/>
          <w:sz w:val="20"/>
          <w:szCs w:val="20"/>
        </w:rPr>
        <w:t xml:space="preserve"> </w:t>
      </w:r>
      <w:r w:rsidR="001B5F0B" w:rsidRPr="00837E1E">
        <w:rPr>
          <w:rFonts w:ascii="Arial" w:hAnsi="Arial" w:cs="Arial"/>
          <w:sz w:val="20"/>
          <w:szCs w:val="20"/>
        </w:rPr>
        <w:t>3</w:t>
      </w:r>
      <w:r w:rsidRPr="00837E1E">
        <w:rPr>
          <w:rFonts w:ascii="Arial" w:hAnsi="Arial" w:cs="Arial"/>
          <w:sz w:val="20"/>
          <w:szCs w:val="20"/>
        </w:rPr>
        <w:t>). The adsorbed surfactant layer and the observed zeta potential of -34.9 mV (Fig</w:t>
      </w:r>
      <w:r w:rsidR="001909D2" w:rsidRPr="00837E1E">
        <w:rPr>
          <w:rFonts w:ascii="Arial" w:hAnsi="Arial" w:cs="Arial"/>
          <w:sz w:val="20"/>
          <w:szCs w:val="20"/>
        </w:rPr>
        <w:t>.</w:t>
      </w:r>
      <w:r w:rsidR="001B59B9" w:rsidRPr="00837E1E">
        <w:rPr>
          <w:rFonts w:ascii="Arial" w:hAnsi="Arial" w:cs="Arial"/>
          <w:sz w:val="20"/>
          <w:szCs w:val="20"/>
        </w:rPr>
        <w:t xml:space="preserve"> </w:t>
      </w:r>
      <w:r w:rsidR="001B5F0B" w:rsidRPr="00837E1E">
        <w:rPr>
          <w:rFonts w:ascii="Arial" w:hAnsi="Arial" w:cs="Arial"/>
          <w:sz w:val="20"/>
          <w:szCs w:val="20"/>
        </w:rPr>
        <w:t>4</w:t>
      </w:r>
      <w:r w:rsidRPr="00837E1E">
        <w:rPr>
          <w:rFonts w:ascii="Arial" w:hAnsi="Arial" w:cs="Arial"/>
          <w:sz w:val="20"/>
          <w:szCs w:val="20"/>
        </w:rPr>
        <w:t>) provide the repulsion needed to stop globular coalescence. This outcome validates SMEDDS's physical stability.</w:t>
      </w:r>
    </w:p>
    <w:p w14:paraId="43661056" w14:textId="77777777" w:rsidR="001B59B9" w:rsidRPr="00837E1E" w:rsidRDefault="00F73259" w:rsidP="001B59B9">
      <w:pPr>
        <w:pStyle w:val="ListParagraph"/>
        <w:keepNext/>
        <w:spacing w:line="360" w:lineRule="auto"/>
        <w:jc w:val="center"/>
        <w:rPr>
          <w:rFonts w:ascii="Arial" w:hAnsi="Arial" w:cs="Arial"/>
        </w:rPr>
      </w:pPr>
      <w:r w:rsidRPr="00837E1E">
        <w:rPr>
          <w:rFonts w:ascii="Arial" w:hAnsi="Arial" w:cs="Arial"/>
          <w:noProof/>
        </w:rPr>
        <w:lastRenderedPageBreak/>
        <w:drawing>
          <wp:inline distT="0" distB="0" distL="0" distR="0" wp14:anchorId="515248EB" wp14:editId="1A2B6107">
            <wp:extent cx="3657600" cy="1828800"/>
            <wp:effectExtent l="19050" t="19050" r="19050" b="19050"/>
            <wp:docPr id="1201146972" name="Picture 5">
              <a:extLst xmlns:a="http://schemas.openxmlformats.org/drawingml/2006/main">
                <a:ext uri="{FF2B5EF4-FFF2-40B4-BE49-F238E27FC236}">
                  <a16:creationId xmlns:a16="http://schemas.microsoft.com/office/drawing/2014/main" id="{9853CC2B-3B12-0BE1-B98B-333645F6A6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53CC2B-3B12-0BE1-B98B-333645F6A6E1}"/>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28118" t="7669" r="12061" b="36295"/>
                    <a:stretch>
                      <a:fillRect/>
                    </a:stretch>
                  </pic:blipFill>
                  <pic:spPr bwMode="auto">
                    <a:xfrm>
                      <a:off x="0" y="0"/>
                      <a:ext cx="3657600"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2D0EE8" w14:textId="3E4EDA03" w:rsidR="00F73259" w:rsidRPr="00837E1E" w:rsidRDefault="001B59B9" w:rsidP="001909D2">
      <w:pPr>
        <w:pStyle w:val="Title"/>
      </w:pPr>
      <w:r w:rsidRPr="00837E1E">
        <w:t>Fig</w:t>
      </w:r>
      <w:r w:rsidR="001909D2" w:rsidRPr="00837E1E">
        <w:t>.</w:t>
      </w:r>
      <w:r w:rsidRPr="00837E1E">
        <w:t xml:space="preserve"> </w:t>
      </w:r>
      <w:fldSimple w:instr=" SEQ Figure \* ARABIC ">
        <w:r w:rsidR="00D04334" w:rsidRPr="00837E1E">
          <w:rPr>
            <w:noProof/>
          </w:rPr>
          <w:t>3</w:t>
        </w:r>
      </w:fldSimple>
      <w:r w:rsidRPr="00837E1E">
        <w:t>: Mean globule size of SMEDDS</w:t>
      </w:r>
    </w:p>
    <w:p w14:paraId="54467032" w14:textId="77777777" w:rsidR="00DC11E1" w:rsidRPr="00837E1E" w:rsidRDefault="00DC11E1" w:rsidP="00DC11E1">
      <w:pPr>
        <w:pStyle w:val="ListParagraph"/>
        <w:spacing w:line="360" w:lineRule="auto"/>
        <w:jc w:val="both"/>
        <w:rPr>
          <w:rFonts w:ascii="Arial" w:hAnsi="Arial" w:cs="Arial"/>
        </w:rPr>
      </w:pPr>
    </w:p>
    <w:p w14:paraId="1606C27B" w14:textId="77777777" w:rsidR="001B59B9" w:rsidRPr="00837E1E" w:rsidRDefault="001B59B9" w:rsidP="001B59B9">
      <w:pPr>
        <w:pStyle w:val="ListParagraph"/>
        <w:keepNext/>
        <w:spacing w:line="360" w:lineRule="auto"/>
        <w:jc w:val="center"/>
        <w:rPr>
          <w:rFonts w:ascii="Arial" w:hAnsi="Arial" w:cs="Arial"/>
        </w:rPr>
      </w:pPr>
      <w:r w:rsidRPr="00837E1E">
        <w:rPr>
          <w:rFonts w:ascii="Arial" w:hAnsi="Arial" w:cs="Arial"/>
          <w:noProof/>
        </w:rPr>
        <w:drawing>
          <wp:inline distT="0" distB="0" distL="0" distR="0" wp14:anchorId="5C98C8C2" wp14:editId="6D0DC012">
            <wp:extent cx="3657600" cy="1828800"/>
            <wp:effectExtent l="19050" t="19050" r="19050" b="19050"/>
            <wp:docPr id="5" name="Picture 4">
              <a:extLst xmlns:a="http://schemas.openxmlformats.org/drawingml/2006/main">
                <a:ext uri="{FF2B5EF4-FFF2-40B4-BE49-F238E27FC236}">
                  <a16:creationId xmlns:a16="http://schemas.microsoft.com/office/drawing/2014/main" id="{A60770D5-4653-536F-BA0A-F59F329C960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0770D5-4653-536F-BA0A-F59F329C9603}"/>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9167" t="7624" r="10769" b="38473"/>
                    <a:stretch>
                      <a:fillRect/>
                    </a:stretch>
                  </pic:blipFill>
                  <pic:spPr bwMode="auto">
                    <a:xfrm>
                      <a:off x="0" y="0"/>
                      <a:ext cx="3657600"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956E4" w14:textId="25E2DDE2" w:rsidR="001B59B9" w:rsidRPr="00837E1E" w:rsidRDefault="001B59B9" w:rsidP="001909D2">
      <w:pPr>
        <w:pStyle w:val="Title"/>
      </w:pPr>
      <w:r w:rsidRPr="00837E1E">
        <w:t>Fig</w:t>
      </w:r>
      <w:r w:rsidR="001909D2" w:rsidRPr="00837E1E">
        <w:t>.</w:t>
      </w:r>
      <w:r w:rsidRPr="00837E1E">
        <w:t xml:space="preserve"> </w:t>
      </w:r>
      <w:fldSimple w:instr=" SEQ Figure \* ARABIC ">
        <w:r w:rsidR="00D04334" w:rsidRPr="00837E1E">
          <w:rPr>
            <w:noProof/>
          </w:rPr>
          <w:t>4</w:t>
        </w:r>
      </w:fldSimple>
      <w:r w:rsidRPr="00837E1E">
        <w:t>: Zeta potential of SMEDDS</w:t>
      </w:r>
    </w:p>
    <w:p w14:paraId="2320D052" w14:textId="77777777" w:rsidR="001B59B9" w:rsidRPr="00837E1E" w:rsidRDefault="001B59B9" w:rsidP="00DC11E1">
      <w:pPr>
        <w:pStyle w:val="ListParagraph"/>
        <w:spacing w:line="360" w:lineRule="auto"/>
        <w:jc w:val="both"/>
        <w:rPr>
          <w:rFonts w:ascii="Arial" w:hAnsi="Arial" w:cs="Arial"/>
        </w:rPr>
      </w:pPr>
    </w:p>
    <w:p w14:paraId="225544D2" w14:textId="77777777" w:rsidR="00DC11E1" w:rsidRPr="00837E1E" w:rsidRDefault="00DC11E1" w:rsidP="00DC11E1">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In vitro dissolution studies</w:t>
      </w:r>
    </w:p>
    <w:p w14:paraId="3C3DF2B9" w14:textId="7014145F" w:rsidR="00DC11E1" w:rsidRPr="00837E1E" w:rsidRDefault="00BB1E65" w:rsidP="00DC11E1">
      <w:pPr>
        <w:pStyle w:val="ListParagraph"/>
        <w:spacing w:line="360" w:lineRule="auto"/>
        <w:jc w:val="both"/>
        <w:rPr>
          <w:rFonts w:ascii="Arial" w:hAnsi="Arial" w:cs="Arial"/>
        </w:rPr>
      </w:pPr>
      <w:r w:rsidRPr="00837E1E">
        <w:rPr>
          <w:rFonts w:ascii="Arial" w:hAnsi="Arial" w:cs="Arial"/>
          <w:sz w:val="20"/>
          <w:szCs w:val="20"/>
        </w:rPr>
        <w:t>Since a drug dissolve as a free molecule, micelle, or microemulsion droplet upon contact with water, conventional in-vitro dissolution techniques are inadequate for studying the in-vitro dissolution of SMEDDS</w:t>
      </w:r>
      <w:r w:rsidR="00285C10">
        <w:rPr>
          <w:rFonts w:ascii="Arial" w:hAnsi="Arial" w:cs="Arial"/>
          <w:sz w:val="20"/>
          <w:szCs w:val="20"/>
        </w:rPr>
        <w:t xml:space="preserve"> </w:t>
      </w:r>
      <w:r w:rsidR="00285C10">
        <w:rPr>
          <w:rFonts w:ascii="Arial" w:hAnsi="Arial" w:cs="Arial"/>
          <w:sz w:val="20"/>
          <w:szCs w:val="20"/>
        </w:rPr>
        <w:fldChar w:fldCharType="begin"/>
      </w:r>
      <w:r w:rsidR="00285C10">
        <w:rPr>
          <w:rFonts w:ascii="Arial" w:hAnsi="Arial" w:cs="Arial"/>
          <w:sz w:val="20"/>
          <w:szCs w:val="20"/>
        </w:rPr>
        <w:instrText xml:space="preserve"> ADDIN ZOTERO_ITEM CSL_CITATION {"citationID":"VY8XVIlm","properties":{"formattedCitation":"(Ahmad et al., 2011)","plainCitation":"(Ahmad et al., 2011)","noteIndex":0},"citationItems":[{"id":263,"uris":["http://zotero.org/users/11670883/items/YQB28TAC"],"itemData":{"id":263,"type":"article-journal","container-title":"Journal of Dispersion Science and Technology","ISSN":"0193-2691","issue":"7","journalAbbreviation":"Journal of Dispersion Science and Technology","page":"958-968","publisher":"Taylor &amp; Francis","title":"Formulation of self-nanoemulsifying drug delivery system for telmisartan with improved dissolution and oral bioavailability","volume":"32","author":[{"family":"Ahmad","given":"Javed"},{"family":"Kohli","given":"Kanchan"},{"family":"Mir","given":"Showkat R"},{"family":"Amin","given":"Saima"}],"issued":{"date-parts":[["2011"]]}}}],"schema":"https://github.com/citation-style-language/schema/raw/master/csl-citation.json"} </w:instrText>
      </w:r>
      <w:r w:rsidR="00285C10">
        <w:rPr>
          <w:rFonts w:ascii="Arial" w:hAnsi="Arial" w:cs="Arial"/>
          <w:sz w:val="20"/>
          <w:szCs w:val="20"/>
        </w:rPr>
        <w:fldChar w:fldCharType="separate"/>
      </w:r>
      <w:r w:rsidR="00285C10" w:rsidRPr="00285C10">
        <w:rPr>
          <w:rFonts w:ascii="Arial" w:hAnsi="Arial" w:cs="Arial"/>
          <w:sz w:val="20"/>
        </w:rPr>
        <w:t>(Ahmad et al., 2011)</w:t>
      </w:r>
      <w:r w:rsidR="00285C10">
        <w:rPr>
          <w:rFonts w:ascii="Arial" w:hAnsi="Arial" w:cs="Arial"/>
          <w:sz w:val="20"/>
          <w:szCs w:val="20"/>
        </w:rPr>
        <w:fldChar w:fldCharType="end"/>
      </w:r>
      <w:r w:rsidRPr="00837E1E">
        <w:rPr>
          <w:rFonts w:ascii="Arial" w:hAnsi="Arial" w:cs="Arial"/>
          <w:sz w:val="20"/>
          <w:szCs w:val="20"/>
        </w:rPr>
        <w:t>.</w:t>
      </w:r>
      <w:r w:rsidR="00604BC0" w:rsidRPr="00837E1E">
        <w:rPr>
          <w:rFonts w:ascii="Arial" w:hAnsi="Arial" w:cs="Arial"/>
          <w:sz w:val="20"/>
          <w:szCs w:val="20"/>
        </w:rPr>
        <w:t xml:space="preserve"> </w:t>
      </w:r>
      <w:r w:rsidR="00F5033F" w:rsidRPr="00837E1E">
        <w:rPr>
          <w:rFonts w:ascii="Arial" w:hAnsi="Arial" w:cs="Arial"/>
          <w:sz w:val="20"/>
          <w:szCs w:val="20"/>
        </w:rPr>
        <w:t>Consistent release kinetics are ensured by dissolution studies utilizing hard gelatin capsules.</w:t>
      </w:r>
      <w:r w:rsidR="0031026C" w:rsidRPr="00837E1E">
        <w:rPr>
          <w:rFonts w:ascii="Arial" w:hAnsi="Arial" w:cs="Arial"/>
          <w:sz w:val="20"/>
          <w:szCs w:val="20"/>
        </w:rPr>
        <w:t xml:space="preserve"> </w:t>
      </w:r>
      <w:r w:rsidR="0071102C" w:rsidRPr="00837E1E">
        <w:rPr>
          <w:rFonts w:ascii="Arial" w:hAnsi="Arial" w:cs="Arial"/>
          <w:sz w:val="20"/>
          <w:szCs w:val="20"/>
        </w:rPr>
        <w:t>T</w:t>
      </w:r>
      <w:r w:rsidR="0031026C" w:rsidRPr="00837E1E">
        <w:rPr>
          <w:rFonts w:ascii="Arial" w:hAnsi="Arial" w:cs="Arial"/>
          <w:sz w:val="20"/>
          <w:szCs w:val="20"/>
        </w:rPr>
        <w:t>he</w:t>
      </w:r>
      <w:r w:rsidR="00C61D3D" w:rsidRPr="00837E1E">
        <w:rPr>
          <w:rFonts w:ascii="Arial" w:hAnsi="Arial" w:cs="Arial"/>
          <w:sz w:val="20"/>
          <w:szCs w:val="20"/>
        </w:rPr>
        <w:t xml:space="preserve"> </w:t>
      </w:r>
      <w:r w:rsidR="0071102C" w:rsidRPr="00837E1E">
        <w:rPr>
          <w:rFonts w:ascii="Arial" w:hAnsi="Arial" w:cs="Arial"/>
          <w:sz w:val="20"/>
          <w:szCs w:val="20"/>
        </w:rPr>
        <w:t xml:space="preserve">release of </w:t>
      </w:r>
      <w:r w:rsidR="00C61D3D" w:rsidRPr="00837E1E">
        <w:rPr>
          <w:rFonts w:ascii="Arial" w:hAnsi="Arial" w:cs="Arial"/>
          <w:sz w:val="20"/>
          <w:szCs w:val="20"/>
        </w:rPr>
        <w:t>fatty acid</w:t>
      </w:r>
      <w:r w:rsidR="0031026C" w:rsidRPr="00837E1E">
        <w:rPr>
          <w:rFonts w:ascii="Arial" w:hAnsi="Arial" w:cs="Arial"/>
          <w:sz w:val="20"/>
          <w:szCs w:val="20"/>
        </w:rPr>
        <w:t xml:space="preserve"> from SMEDDS was </w:t>
      </w:r>
      <w:r w:rsidR="0071102C" w:rsidRPr="00837E1E">
        <w:rPr>
          <w:rFonts w:ascii="Arial" w:hAnsi="Arial" w:cs="Arial"/>
          <w:sz w:val="20"/>
          <w:szCs w:val="20"/>
        </w:rPr>
        <w:t>studied in a phosphate buffer (pH 6.8)</w:t>
      </w:r>
      <w:r w:rsidR="0031026C" w:rsidRPr="00837E1E">
        <w:rPr>
          <w:rFonts w:ascii="Arial" w:hAnsi="Arial" w:cs="Arial"/>
          <w:sz w:val="20"/>
          <w:szCs w:val="20"/>
        </w:rPr>
        <w:t xml:space="preserve"> </w:t>
      </w:r>
      <w:r w:rsidR="0071102C" w:rsidRPr="00837E1E">
        <w:rPr>
          <w:rFonts w:ascii="Arial" w:hAnsi="Arial" w:cs="Arial"/>
          <w:sz w:val="20"/>
          <w:szCs w:val="20"/>
        </w:rPr>
        <w:t>as a di</w:t>
      </w:r>
      <w:r w:rsidR="0031026C" w:rsidRPr="00837E1E">
        <w:rPr>
          <w:rFonts w:ascii="Arial" w:hAnsi="Arial" w:cs="Arial"/>
          <w:sz w:val="20"/>
          <w:szCs w:val="20"/>
        </w:rPr>
        <w:t>ssolving medium</w:t>
      </w:r>
      <w:r w:rsidR="0071102C" w:rsidRPr="00837E1E">
        <w:rPr>
          <w:rFonts w:ascii="Arial" w:hAnsi="Arial" w:cs="Arial"/>
          <w:sz w:val="20"/>
          <w:szCs w:val="20"/>
        </w:rPr>
        <w:t xml:space="preserve"> </w:t>
      </w:r>
      <w:r w:rsidR="0031026C" w:rsidRPr="00837E1E">
        <w:rPr>
          <w:rFonts w:ascii="Arial" w:hAnsi="Arial" w:cs="Arial"/>
          <w:sz w:val="20"/>
          <w:szCs w:val="20"/>
        </w:rPr>
        <w:t>(Fig</w:t>
      </w:r>
      <w:r w:rsidR="001909D2" w:rsidRPr="00837E1E">
        <w:rPr>
          <w:rFonts w:ascii="Arial" w:hAnsi="Arial" w:cs="Arial"/>
          <w:sz w:val="20"/>
          <w:szCs w:val="20"/>
        </w:rPr>
        <w:t>.</w:t>
      </w:r>
      <w:r w:rsidR="00056E28" w:rsidRPr="00837E1E">
        <w:rPr>
          <w:rFonts w:ascii="Arial" w:hAnsi="Arial" w:cs="Arial"/>
          <w:sz w:val="20"/>
          <w:szCs w:val="20"/>
        </w:rPr>
        <w:t xml:space="preserve"> </w:t>
      </w:r>
      <w:r w:rsidR="001B5F0B" w:rsidRPr="00837E1E">
        <w:rPr>
          <w:rFonts w:ascii="Arial" w:hAnsi="Arial" w:cs="Arial"/>
          <w:sz w:val="20"/>
          <w:szCs w:val="20"/>
        </w:rPr>
        <w:t>5</w:t>
      </w:r>
      <w:r w:rsidR="0031026C" w:rsidRPr="00837E1E">
        <w:rPr>
          <w:rFonts w:ascii="Arial" w:hAnsi="Arial" w:cs="Arial"/>
          <w:sz w:val="20"/>
          <w:szCs w:val="20"/>
        </w:rPr>
        <w:t xml:space="preserve">). </w:t>
      </w:r>
      <w:r w:rsidR="00F5033F" w:rsidRPr="00837E1E">
        <w:rPr>
          <w:rFonts w:ascii="Arial" w:hAnsi="Arial" w:cs="Arial"/>
          <w:sz w:val="20"/>
          <w:szCs w:val="20"/>
        </w:rPr>
        <w:t>The first 15 minutes showed a greater drug release (63.19%). When SMEDDS formulations are added to dissolution media and gently stirred, the fatty acids in the oil phase of the SMEDDS may cause immediate emulsification into the water. When compared to the pure oil contained in the hard gelatin capsule, the fatty acid release from SMEDDS was significantly higher.</w:t>
      </w:r>
    </w:p>
    <w:p w14:paraId="1A9266CB" w14:textId="77777777" w:rsidR="008C643A" w:rsidRPr="00837E1E" w:rsidRDefault="008C643A" w:rsidP="008C643A">
      <w:pPr>
        <w:pStyle w:val="ListParagraph"/>
        <w:keepNext/>
        <w:spacing w:line="360" w:lineRule="auto"/>
        <w:jc w:val="center"/>
        <w:rPr>
          <w:rFonts w:ascii="Arial" w:hAnsi="Arial" w:cs="Arial"/>
        </w:rPr>
      </w:pPr>
      <w:r w:rsidRPr="00837E1E">
        <w:rPr>
          <w:rFonts w:ascii="Arial" w:hAnsi="Arial" w:cs="Arial"/>
          <w:noProof/>
        </w:rPr>
        <w:lastRenderedPageBreak/>
        <w:drawing>
          <wp:inline distT="0" distB="0" distL="0" distR="0" wp14:anchorId="2F8886F4" wp14:editId="27BE5340">
            <wp:extent cx="4572000" cy="2286000"/>
            <wp:effectExtent l="0" t="0" r="0" b="0"/>
            <wp:docPr id="292721348" name="Chart 1">
              <a:extLst xmlns:a="http://schemas.openxmlformats.org/drawingml/2006/main">
                <a:ext uri="{FF2B5EF4-FFF2-40B4-BE49-F238E27FC236}">
                  <a16:creationId xmlns:a16="http://schemas.microsoft.com/office/drawing/2014/main" id="{3DF4B887-81B8-F5C0-6AE9-4F2133A00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A4A3F5" w14:textId="4018B650" w:rsidR="008C643A" w:rsidRPr="00837E1E" w:rsidRDefault="008C643A" w:rsidP="001909D2">
      <w:pPr>
        <w:pStyle w:val="Title"/>
      </w:pPr>
      <w:r w:rsidRPr="00837E1E">
        <w:t>Fig</w:t>
      </w:r>
      <w:r w:rsidR="001909D2" w:rsidRPr="00837E1E">
        <w:t>.</w:t>
      </w:r>
      <w:r w:rsidRPr="00837E1E">
        <w:t xml:space="preserve"> </w:t>
      </w:r>
      <w:fldSimple w:instr=" SEQ Figure \* ARABIC ">
        <w:r w:rsidR="00D04334" w:rsidRPr="00837E1E">
          <w:rPr>
            <w:noProof/>
          </w:rPr>
          <w:t>5</w:t>
        </w:r>
      </w:fldSimple>
      <w:r w:rsidRPr="00837E1E">
        <w:t xml:space="preserve">: </w:t>
      </w:r>
      <w:r w:rsidR="00F5033F" w:rsidRPr="00837E1E">
        <w:t>In-vitro drug release profile</w:t>
      </w:r>
    </w:p>
    <w:p w14:paraId="2F957328" w14:textId="77777777" w:rsidR="00DC11E1" w:rsidRPr="00837E1E" w:rsidRDefault="00DC11E1" w:rsidP="00DC11E1">
      <w:pPr>
        <w:pStyle w:val="ListParagraph"/>
        <w:spacing w:line="360" w:lineRule="auto"/>
        <w:jc w:val="both"/>
        <w:rPr>
          <w:rFonts w:ascii="Arial" w:hAnsi="Arial" w:cs="Arial"/>
        </w:rPr>
      </w:pPr>
    </w:p>
    <w:p w14:paraId="136F981B" w14:textId="77777777" w:rsidR="00DC11E1" w:rsidRPr="00837E1E" w:rsidRDefault="00DC11E1" w:rsidP="00DC11E1">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Stability study</w:t>
      </w:r>
    </w:p>
    <w:p w14:paraId="7FD99054" w14:textId="77777777" w:rsidR="00C62C7D" w:rsidRPr="00837E1E" w:rsidRDefault="007C3986" w:rsidP="00DC11E1">
      <w:pPr>
        <w:pStyle w:val="ListParagraph"/>
        <w:spacing w:line="360" w:lineRule="auto"/>
        <w:jc w:val="both"/>
        <w:rPr>
          <w:rFonts w:ascii="Arial" w:hAnsi="Arial" w:cs="Arial"/>
          <w:sz w:val="20"/>
          <w:szCs w:val="20"/>
        </w:rPr>
      </w:pPr>
      <w:r w:rsidRPr="00837E1E">
        <w:rPr>
          <w:rFonts w:ascii="Arial" w:hAnsi="Arial" w:cs="Arial"/>
          <w:sz w:val="20"/>
          <w:szCs w:val="20"/>
        </w:rPr>
        <w:t xml:space="preserve">The outcomes </w:t>
      </w:r>
      <w:r w:rsidR="006F568E" w:rsidRPr="00837E1E">
        <w:rPr>
          <w:rFonts w:ascii="Arial" w:hAnsi="Arial" w:cs="Arial"/>
          <w:sz w:val="20"/>
          <w:szCs w:val="20"/>
        </w:rPr>
        <w:t>of</w:t>
      </w:r>
      <w:r w:rsidRPr="00837E1E">
        <w:rPr>
          <w:rFonts w:ascii="Arial" w:hAnsi="Arial" w:cs="Arial"/>
          <w:sz w:val="20"/>
          <w:szCs w:val="20"/>
        </w:rPr>
        <w:t xml:space="preserve"> stability</w:t>
      </w:r>
      <w:r w:rsidR="006F568E" w:rsidRPr="00837E1E">
        <w:rPr>
          <w:rFonts w:ascii="Arial" w:hAnsi="Arial" w:cs="Arial"/>
          <w:sz w:val="20"/>
          <w:szCs w:val="20"/>
        </w:rPr>
        <w:t xml:space="preserve"> study</w:t>
      </w:r>
      <w:r w:rsidRPr="00837E1E">
        <w:rPr>
          <w:rFonts w:ascii="Arial" w:hAnsi="Arial" w:cs="Arial"/>
          <w:sz w:val="20"/>
          <w:szCs w:val="20"/>
        </w:rPr>
        <w:t xml:space="preserve"> parameters </w:t>
      </w:r>
      <w:r w:rsidR="00D56723" w:rsidRPr="00837E1E">
        <w:rPr>
          <w:rFonts w:ascii="Arial" w:hAnsi="Arial" w:cs="Arial"/>
          <w:sz w:val="20"/>
          <w:szCs w:val="20"/>
        </w:rPr>
        <w:t xml:space="preserve">are </w:t>
      </w:r>
      <w:r w:rsidRPr="00837E1E">
        <w:rPr>
          <w:rFonts w:ascii="Arial" w:hAnsi="Arial" w:cs="Arial"/>
          <w:sz w:val="20"/>
          <w:szCs w:val="20"/>
        </w:rPr>
        <w:t>show</w:t>
      </w:r>
      <w:r w:rsidR="00D56723" w:rsidRPr="00837E1E">
        <w:rPr>
          <w:rFonts w:ascii="Arial" w:hAnsi="Arial" w:cs="Arial"/>
          <w:sz w:val="20"/>
          <w:szCs w:val="20"/>
        </w:rPr>
        <w:t xml:space="preserve">n in Table. </w:t>
      </w:r>
      <w:r w:rsidR="00395C40" w:rsidRPr="00837E1E">
        <w:rPr>
          <w:rFonts w:ascii="Arial" w:hAnsi="Arial" w:cs="Arial"/>
          <w:sz w:val="20"/>
          <w:szCs w:val="20"/>
        </w:rPr>
        <w:t xml:space="preserve">The self-emulsification time, </w:t>
      </w:r>
      <w:r w:rsidR="006F568E" w:rsidRPr="00837E1E">
        <w:rPr>
          <w:rFonts w:ascii="Arial" w:hAnsi="Arial" w:cs="Arial"/>
          <w:sz w:val="20"/>
          <w:szCs w:val="20"/>
        </w:rPr>
        <w:t xml:space="preserve">visual assessment, </w:t>
      </w:r>
      <w:r w:rsidR="00395C40" w:rsidRPr="00837E1E">
        <w:rPr>
          <w:rFonts w:ascii="Arial" w:hAnsi="Arial" w:cs="Arial"/>
          <w:sz w:val="20"/>
          <w:szCs w:val="20"/>
        </w:rPr>
        <w:t xml:space="preserve">drug content assay, transmittance percentage, and globule size of SMEDDS formulation were examined. SMEDDS did not exhibit any cloudiness or precipitation during storage. </w:t>
      </w:r>
      <w:r w:rsidR="00FB06C1" w:rsidRPr="00837E1E">
        <w:rPr>
          <w:rFonts w:ascii="Arial" w:hAnsi="Arial" w:cs="Arial"/>
          <w:sz w:val="20"/>
          <w:szCs w:val="20"/>
        </w:rPr>
        <w:t>After dilution, the microemulsion system showed a consistent globule size distribution</w:t>
      </w:r>
      <w:r w:rsidR="00395C40" w:rsidRPr="00837E1E">
        <w:rPr>
          <w:rFonts w:ascii="Arial" w:hAnsi="Arial" w:cs="Arial"/>
          <w:sz w:val="20"/>
          <w:szCs w:val="20"/>
        </w:rPr>
        <w:t>. Self-emulsification duration, percentage transmittance, and globule size all exhibit negligible variations. As a result, it was concluded that the SMEDDS was stable under both room temperature and accelerated circumstances (40±2º C/75±5% RH).</w:t>
      </w:r>
    </w:p>
    <w:p w14:paraId="1F28C5C2" w14:textId="62B44E30" w:rsidR="003E73D9" w:rsidRPr="00837E1E" w:rsidRDefault="003E73D9" w:rsidP="001909D2">
      <w:pPr>
        <w:pStyle w:val="Title"/>
      </w:pPr>
      <w:r w:rsidRPr="00837E1E">
        <w:t xml:space="preserve">Table </w:t>
      </w:r>
      <w:fldSimple w:instr=" SEQ Table \* ARABIC ">
        <w:r w:rsidRPr="00837E1E">
          <w:rPr>
            <w:noProof/>
          </w:rPr>
          <w:t>2</w:t>
        </w:r>
      </w:fldSimple>
      <w:r w:rsidRPr="00837E1E">
        <w:t>: Stability study parameters</w:t>
      </w:r>
    </w:p>
    <w:tbl>
      <w:tblPr>
        <w:tblStyle w:val="TableGrid"/>
        <w:tblW w:w="8640" w:type="dxa"/>
        <w:tblInd w:w="720" w:type="dxa"/>
        <w:tblLook w:val="04A0" w:firstRow="1" w:lastRow="0" w:firstColumn="1" w:lastColumn="0" w:noHBand="0" w:noVBand="1"/>
      </w:tblPr>
      <w:tblGrid>
        <w:gridCol w:w="1728"/>
        <w:gridCol w:w="2880"/>
        <w:gridCol w:w="2016"/>
        <w:gridCol w:w="2016"/>
      </w:tblGrid>
      <w:tr w:rsidR="00837E1E" w:rsidRPr="00837E1E" w14:paraId="1F73123F" w14:textId="77777777" w:rsidTr="002E38A5">
        <w:tc>
          <w:tcPr>
            <w:tcW w:w="1728" w:type="dxa"/>
            <w:vAlign w:val="center"/>
          </w:tcPr>
          <w:bookmarkEnd w:id="4"/>
          <w:p w14:paraId="4AB598EA" w14:textId="0EF8BDAE" w:rsidR="002C0F5A" w:rsidRPr="00201516" w:rsidRDefault="002C0F5A" w:rsidP="002E38A5">
            <w:pPr>
              <w:pStyle w:val="ListParagraph"/>
              <w:spacing w:line="360" w:lineRule="auto"/>
              <w:ind w:left="0"/>
              <w:jc w:val="center"/>
              <w:rPr>
                <w:rFonts w:ascii="Arial" w:hAnsi="Arial" w:cs="Arial"/>
                <w:b/>
                <w:bCs/>
                <w:sz w:val="20"/>
                <w:szCs w:val="20"/>
              </w:rPr>
            </w:pPr>
            <w:r w:rsidRPr="00201516">
              <w:rPr>
                <w:rFonts w:ascii="Arial" w:hAnsi="Arial" w:cs="Arial"/>
                <w:b/>
                <w:bCs/>
                <w:sz w:val="20"/>
                <w:szCs w:val="20"/>
              </w:rPr>
              <w:t>Condition</w:t>
            </w:r>
          </w:p>
        </w:tc>
        <w:tc>
          <w:tcPr>
            <w:tcW w:w="2880" w:type="dxa"/>
            <w:vAlign w:val="center"/>
          </w:tcPr>
          <w:p w14:paraId="33B822FF" w14:textId="660F7B0C" w:rsidR="002C0F5A" w:rsidRPr="00201516" w:rsidRDefault="002C0F5A" w:rsidP="002E38A5">
            <w:pPr>
              <w:pStyle w:val="ListParagraph"/>
              <w:spacing w:line="360" w:lineRule="auto"/>
              <w:ind w:left="0"/>
              <w:jc w:val="center"/>
              <w:rPr>
                <w:rFonts w:ascii="Arial" w:hAnsi="Arial" w:cs="Arial"/>
                <w:b/>
                <w:bCs/>
                <w:sz w:val="20"/>
                <w:szCs w:val="20"/>
              </w:rPr>
            </w:pPr>
            <w:r w:rsidRPr="00201516">
              <w:rPr>
                <w:rFonts w:ascii="Arial" w:hAnsi="Arial" w:cs="Arial"/>
                <w:b/>
                <w:bCs/>
                <w:sz w:val="20"/>
                <w:szCs w:val="20"/>
              </w:rPr>
              <w:t>Parameters</w:t>
            </w:r>
          </w:p>
        </w:tc>
        <w:tc>
          <w:tcPr>
            <w:tcW w:w="2016" w:type="dxa"/>
            <w:vAlign w:val="center"/>
          </w:tcPr>
          <w:p w14:paraId="3A23703F" w14:textId="10DB541F" w:rsidR="002C0F5A" w:rsidRPr="00201516" w:rsidRDefault="002C0F5A" w:rsidP="002E38A5">
            <w:pPr>
              <w:pStyle w:val="ListParagraph"/>
              <w:spacing w:line="360" w:lineRule="auto"/>
              <w:ind w:left="0"/>
              <w:jc w:val="center"/>
              <w:rPr>
                <w:rFonts w:ascii="Arial" w:hAnsi="Arial" w:cs="Arial"/>
                <w:b/>
                <w:bCs/>
                <w:sz w:val="20"/>
                <w:szCs w:val="20"/>
              </w:rPr>
            </w:pPr>
            <w:r w:rsidRPr="00201516">
              <w:rPr>
                <w:rFonts w:ascii="Arial" w:hAnsi="Arial" w:cs="Arial"/>
                <w:b/>
                <w:bCs/>
                <w:sz w:val="20"/>
                <w:szCs w:val="20"/>
              </w:rPr>
              <w:t>0</w:t>
            </w:r>
            <w:r w:rsidRPr="00201516">
              <w:rPr>
                <w:rFonts w:ascii="Arial" w:hAnsi="Arial" w:cs="Arial"/>
                <w:b/>
                <w:bCs/>
                <w:sz w:val="20"/>
                <w:szCs w:val="20"/>
                <w:vertAlign w:val="superscript"/>
              </w:rPr>
              <w:t>th</w:t>
            </w:r>
            <w:r w:rsidRPr="00201516">
              <w:rPr>
                <w:rFonts w:ascii="Arial" w:hAnsi="Arial" w:cs="Arial"/>
                <w:b/>
                <w:bCs/>
                <w:sz w:val="20"/>
                <w:szCs w:val="20"/>
              </w:rPr>
              <w:t xml:space="preserve"> Day</w:t>
            </w:r>
          </w:p>
        </w:tc>
        <w:tc>
          <w:tcPr>
            <w:tcW w:w="2016" w:type="dxa"/>
            <w:vAlign w:val="center"/>
          </w:tcPr>
          <w:p w14:paraId="7C95F208" w14:textId="516C9037" w:rsidR="002C0F5A" w:rsidRPr="00201516" w:rsidRDefault="002C0F5A" w:rsidP="002E38A5">
            <w:pPr>
              <w:pStyle w:val="ListParagraph"/>
              <w:spacing w:line="360" w:lineRule="auto"/>
              <w:ind w:left="0"/>
              <w:jc w:val="center"/>
              <w:rPr>
                <w:rFonts w:ascii="Arial" w:hAnsi="Arial" w:cs="Arial"/>
                <w:b/>
                <w:bCs/>
                <w:sz w:val="20"/>
                <w:szCs w:val="20"/>
              </w:rPr>
            </w:pPr>
            <w:r w:rsidRPr="00201516">
              <w:rPr>
                <w:rFonts w:ascii="Arial" w:hAnsi="Arial" w:cs="Arial"/>
                <w:b/>
                <w:bCs/>
                <w:sz w:val="20"/>
                <w:szCs w:val="20"/>
              </w:rPr>
              <w:t>30</w:t>
            </w:r>
            <w:r w:rsidRPr="00201516">
              <w:rPr>
                <w:rFonts w:ascii="Arial" w:hAnsi="Arial" w:cs="Arial"/>
                <w:b/>
                <w:bCs/>
                <w:sz w:val="20"/>
                <w:szCs w:val="20"/>
                <w:vertAlign w:val="superscript"/>
              </w:rPr>
              <w:t>th</w:t>
            </w:r>
            <w:r w:rsidRPr="00201516">
              <w:rPr>
                <w:rFonts w:ascii="Arial" w:hAnsi="Arial" w:cs="Arial"/>
                <w:b/>
                <w:bCs/>
                <w:sz w:val="20"/>
                <w:szCs w:val="20"/>
              </w:rPr>
              <w:t xml:space="preserve"> Day</w:t>
            </w:r>
          </w:p>
        </w:tc>
      </w:tr>
      <w:tr w:rsidR="00837E1E" w:rsidRPr="00837E1E" w14:paraId="74AC413A" w14:textId="77777777" w:rsidTr="00C62C7D">
        <w:tc>
          <w:tcPr>
            <w:tcW w:w="1728" w:type="dxa"/>
            <w:vAlign w:val="center"/>
          </w:tcPr>
          <w:p w14:paraId="1C8FBFC0" w14:textId="0BFF2E6E" w:rsidR="002C0F5A" w:rsidRPr="00201516" w:rsidRDefault="002C0F5A"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At room temperature</w:t>
            </w:r>
          </w:p>
        </w:tc>
        <w:tc>
          <w:tcPr>
            <w:tcW w:w="2880" w:type="dxa"/>
          </w:tcPr>
          <w:p w14:paraId="5D66EB2D" w14:textId="543132AA" w:rsidR="002C0F5A" w:rsidRPr="00201516" w:rsidRDefault="002E38A5" w:rsidP="00DC11E1">
            <w:pPr>
              <w:pStyle w:val="ListParagraph"/>
              <w:spacing w:line="360" w:lineRule="auto"/>
              <w:ind w:left="0"/>
              <w:jc w:val="both"/>
              <w:rPr>
                <w:rFonts w:ascii="Arial" w:hAnsi="Arial" w:cs="Arial"/>
                <w:sz w:val="20"/>
                <w:szCs w:val="20"/>
              </w:rPr>
            </w:pPr>
            <w:r w:rsidRPr="00201516">
              <w:rPr>
                <w:rFonts w:ascii="Arial" w:hAnsi="Arial" w:cs="Arial"/>
                <w:sz w:val="20"/>
                <w:szCs w:val="20"/>
              </w:rPr>
              <w:t>Visual inspection</w:t>
            </w:r>
          </w:p>
          <w:p w14:paraId="776AF40B" w14:textId="5BC92893" w:rsidR="002E38A5" w:rsidRPr="00201516" w:rsidRDefault="002E38A5" w:rsidP="00DC11E1">
            <w:pPr>
              <w:pStyle w:val="ListParagraph"/>
              <w:spacing w:line="360" w:lineRule="auto"/>
              <w:ind w:left="0"/>
              <w:jc w:val="both"/>
              <w:rPr>
                <w:rFonts w:ascii="Arial" w:hAnsi="Arial" w:cs="Arial"/>
                <w:sz w:val="20"/>
                <w:szCs w:val="20"/>
              </w:rPr>
            </w:pPr>
            <w:r w:rsidRPr="00201516">
              <w:rPr>
                <w:rFonts w:ascii="Arial" w:hAnsi="Arial" w:cs="Arial"/>
                <w:sz w:val="20"/>
                <w:szCs w:val="20"/>
              </w:rPr>
              <w:t>Self-emul</w:t>
            </w:r>
            <w:r w:rsidR="00077BB2" w:rsidRPr="00201516">
              <w:rPr>
                <w:rFonts w:ascii="Arial" w:hAnsi="Arial" w:cs="Arial"/>
                <w:sz w:val="20"/>
                <w:szCs w:val="20"/>
              </w:rPr>
              <w:t>sification</w:t>
            </w:r>
            <w:r w:rsidRPr="00201516">
              <w:rPr>
                <w:rFonts w:ascii="Arial" w:hAnsi="Arial" w:cs="Arial"/>
                <w:sz w:val="20"/>
                <w:szCs w:val="20"/>
              </w:rPr>
              <w:t xml:space="preserve"> time</w:t>
            </w:r>
          </w:p>
          <w:p w14:paraId="06401BD4" w14:textId="0F184265" w:rsidR="002E38A5" w:rsidRPr="00201516" w:rsidRDefault="002E38A5" w:rsidP="00DC11E1">
            <w:pPr>
              <w:pStyle w:val="ListParagraph"/>
              <w:spacing w:line="360" w:lineRule="auto"/>
              <w:ind w:left="0"/>
              <w:jc w:val="both"/>
              <w:rPr>
                <w:rFonts w:ascii="Arial" w:hAnsi="Arial" w:cs="Arial"/>
                <w:sz w:val="20"/>
                <w:szCs w:val="20"/>
              </w:rPr>
            </w:pPr>
            <w:r w:rsidRPr="00201516">
              <w:rPr>
                <w:rFonts w:ascii="Arial" w:hAnsi="Arial" w:cs="Arial"/>
                <w:sz w:val="20"/>
                <w:szCs w:val="20"/>
              </w:rPr>
              <w:t>Drug content</w:t>
            </w:r>
          </w:p>
          <w:p w14:paraId="491D4636" w14:textId="56AFB335" w:rsidR="002E38A5" w:rsidRPr="00201516" w:rsidRDefault="002E38A5" w:rsidP="00DC11E1">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 Transmittance </w:t>
            </w:r>
          </w:p>
          <w:p w14:paraId="51BBD974" w14:textId="1FC8DA3B" w:rsidR="002E38A5" w:rsidRPr="00201516" w:rsidRDefault="002E38A5" w:rsidP="00DC11E1">
            <w:pPr>
              <w:pStyle w:val="ListParagraph"/>
              <w:spacing w:line="360" w:lineRule="auto"/>
              <w:ind w:left="0"/>
              <w:jc w:val="both"/>
              <w:rPr>
                <w:rFonts w:ascii="Arial" w:hAnsi="Arial" w:cs="Arial"/>
                <w:sz w:val="20"/>
                <w:szCs w:val="20"/>
              </w:rPr>
            </w:pPr>
            <w:r w:rsidRPr="00201516">
              <w:rPr>
                <w:rFonts w:ascii="Arial" w:hAnsi="Arial" w:cs="Arial"/>
                <w:sz w:val="20"/>
                <w:szCs w:val="20"/>
              </w:rPr>
              <w:t>Droplet size</w:t>
            </w:r>
          </w:p>
        </w:tc>
        <w:tc>
          <w:tcPr>
            <w:tcW w:w="2016" w:type="dxa"/>
            <w:vAlign w:val="center"/>
          </w:tcPr>
          <w:p w14:paraId="62BB008A" w14:textId="77777777" w:rsidR="002C0F5A"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Clear</w:t>
            </w:r>
          </w:p>
          <w:p w14:paraId="076208EC" w14:textId="59CA8840"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48 sec</w:t>
            </w:r>
          </w:p>
          <w:p w14:paraId="416D243D" w14:textId="6013E25D"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95.6 %</w:t>
            </w:r>
          </w:p>
          <w:p w14:paraId="039BE055" w14:textId="7357DCC1"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89.6 %</w:t>
            </w:r>
          </w:p>
          <w:p w14:paraId="2E921387" w14:textId="66E77F7A"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645.2 nm</w:t>
            </w:r>
          </w:p>
        </w:tc>
        <w:tc>
          <w:tcPr>
            <w:tcW w:w="2016" w:type="dxa"/>
            <w:vAlign w:val="center"/>
          </w:tcPr>
          <w:p w14:paraId="42E64E4D" w14:textId="77777777" w:rsidR="002C0F5A"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Clear</w:t>
            </w:r>
          </w:p>
          <w:p w14:paraId="2A469B53" w14:textId="7D9BAFF3"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52 sec</w:t>
            </w:r>
          </w:p>
          <w:p w14:paraId="715765CA" w14:textId="612E615F"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9</w:t>
            </w:r>
            <w:r w:rsidR="00C62C7D" w:rsidRPr="00201516">
              <w:rPr>
                <w:rFonts w:ascii="Arial" w:hAnsi="Arial" w:cs="Arial"/>
                <w:sz w:val="20"/>
                <w:szCs w:val="20"/>
              </w:rPr>
              <w:t>2</w:t>
            </w:r>
            <w:r w:rsidRPr="00201516">
              <w:rPr>
                <w:rFonts w:ascii="Arial" w:hAnsi="Arial" w:cs="Arial"/>
                <w:sz w:val="20"/>
                <w:szCs w:val="20"/>
              </w:rPr>
              <w:t>.</w:t>
            </w:r>
            <w:r w:rsidR="00C62C7D" w:rsidRPr="00201516">
              <w:rPr>
                <w:rFonts w:ascii="Arial" w:hAnsi="Arial" w:cs="Arial"/>
                <w:sz w:val="20"/>
                <w:szCs w:val="20"/>
              </w:rPr>
              <w:t>2</w:t>
            </w:r>
            <w:r w:rsidRPr="00201516">
              <w:rPr>
                <w:rFonts w:ascii="Arial" w:hAnsi="Arial" w:cs="Arial"/>
                <w:sz w:val="20"/>
                <w:szCs w:val="20"/>
              </w:rPr>
              <w:t xml:space="preserve"> %</w:t>
            </w:r>
          </w:p>
          <w:p w14:paraId="40E8FC0E" w14:textId="721B4DCA"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8</w:t>
            </w:r>
            <w:r w:rsidR="00C62C7D" w:rsidRPr="00201516">
              <w:rPr>
                <w:rFonts w:ascii="Arial" w:hAnsi="Arial" w:cs="Arial"/>
                <w:sz w:val="20"/>
                <w:szCs w:val="20"/>
              </w:rPr>
              <w:t>8</w:t>
            </w:r>
            <w:r w:rsidRPr="00201516">
              <w:rPr>
                <w:rFonts w:ascii="Arial" w:hAnsi="Arial" w:cs="Arial"/>
                <w:sz w:val="20"/>
                <w:szCs w:val="20"/>
              </w:rPr>
              <w:t>.</w:t>
            </w:r>
            <w:r w:rsidR="00C62C7D" w:rsidRPr="00201516">
              <w:rPr>
                <w:rFonts w:ascii="Arial" w:hAnsi="Arial" w:cs="Arial"/>
                <w:sz w:val="20"/>
                <w:szCs w:val="20"/>
              </w:rPr>
              <w:t>5</w:t>
            </w:r>
            <w:r w:rsidRPr="00201516">
              <w:rPr>
                <w:rFonts w:ascii="Arial" w:hAnsi="Arial" w:cs="Arial"/>
                <w:sz w:val="20"/>
                <w:szCs w:val="20"/>
              </w:rPr>
              <w:t xml:space="preserve"> %</w:t>
            </w:r>
          </w:p>
          <w:p w14:paraId="3503FA76" w14:textId="2433F4C3" w:rsidR="009702DF" w:rsidRPr="00201516" w:rsidRDefault="003E73D9"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715</w:t>
            </w:r>
            <w:r w:rsidR="009702DF" w:rsidRPr="00201516">
              <w:rPr>
                <w:rFonts w:ascii="Arial" w:hAnsi="Arial" w:cs="Arial"/>
                <w:sz w:val="20"/>
                <w:szCs w:val="20"/>
              </w:rPr>
              <w:t>.</w:t>
            </w:r>
            <w:r w:rsidRPr="00201516">
              <w:rPr>
                <w:rFonts w:ascii="Arial" w:hAnsi="Arial" w:cs="Arial"/>
                <w:sz w:val="20"/>
                <w:szCs w:val="20"/>
              </w:rPr>
              <w:t>8</w:t>
            </w:r>
            <w:r w:rsidR="009702DF" w:rsidRPr="00201516">
              <w:rPr>
                <w:rFonts w:ascii="Arial" w:hAnsi="Arial" w:cs="Arial"/>
                <w:sz w:val="20"/>
                <w:szCs w:val="20"/>
              </w:rPr>
              <w:t xml:space="preserve"> nm</w:t>
            </w:r>
          </w:p>
        </w:tc>
      </w:tr>
      <w:tr w:rsidR="00837E1E" w:rsidRPr="00837E1E" w14:paraId="6E5C5E87" w14:textId="77777777" w:rsidTr="00C62C7D">
        <w:tc>
          <w:tcPr>
            <w:tcW w:w="1728" w:type="dxa"/>
            <w:vAlign w:val="center"/>
          </w:tcPr>
          <w:p w14:paraId="0F4F4F66" w14:textId="32B15D62" w:rsidR="002C0F5A" w:rsidRPr="00201516" w:rsidRDefault="002C0F5A"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Accelerated condition</w:t>
            </w:r>
          </w:p>
        </w:tc>
        <w:tc>
          <w:tcPr>
            <w:tcW w:w="2880" w:type="dxa"/>
          </w:tcPr>
          <w:p w14:paraId="56CEF644" w14:textId="77777777" w:rsidR="002E38A5" w:rsidRPr="00201516" w:rsidRDefault="002E38A5" w:rsidP="002E38A5">
            <w:pPr>
              <w:pStyle w:val="ListParagraph"/>
              <w:spacing w:line="360" w:lineRule="auto"/>
              <w:ind w:left="0"/>
              <w:jc w:val="both"/>
              <w:rPr>
                <w:rFonts w:ascii="Arial" w:hAnsi="Arial" w:cs="Arial"/>
                <w:sz w:val="20"/>
                <w:szCs w:val="20"/>
              </w:rPr>
            </w:pPr>
            <w:r w:rsidRPr="00201516">
              <w:rPr>
                <w:rFonts w:ascii="Arial" w:hAnsi="Arial" w:cs="Arial"/>
                <w:sz w:val="20"/>
                <w:szCs w:val="20"/>
              </w:rPr>
              <w:t>Visual inspection</w:t>
            </w:r>
          </w:p>
          <w:p w14:paraId="5CCA7C79" w14:textId="609C4D37" w:rsidR="002E38A5" w:rsidRPr="00201516" w:rsidRDefault="002E38A5" w:rsidP="002E38A5">
            <w:pPr>
              <w:pStyle w:val="ListParagraph"/>
              <w:spacing w:line="360" w:lineRule="auto"/>
              <w:ind w:left="0"/>
              <w:jc w:val="both"/>
              <w:rPr>
                <w:rFonts w:ascii="Arial" w:hAnsi="Arial" w:cs="Arial"/>
                <w:sz w:val="20"/>
                <w:szCs w:val="20"/>
              </w:rPr>
            </w:pPr>
            <w:r w:rsidRPr="00201516">
              <w:rPr>
                <w:rFonts w:ascii="Arial" w:hAnsi="Arial" w:cs="Arial"/>
                <w:sz w:val="20"/>
                <w:szCs w:val="20"/>
              </w:rPr>
              <w:t>Self-</w:t>
            </w:r>
            <w:r w:rsidR="00077BB2" w:rsidRPr="00201516">
              <w:rPr>
                <w:rFonts w:ascii="Arial" w:hAnsi="Arial" w:cs="Arial"/>
                <w:sz w:val="20"/>
                <w:szCs w:val="20"/>
              </w:rPr>
              <w:t xml:space="preserve"> emulsification </w:t>
            </w:r>
            <w:r w:rsidRPr="00201516">
              <w:rPr>
                <w:rFonts w:ascii="Arial" w:hAnsi="Arial" w:cs="Arial"/>
                <w:sz w:val="20"/>
                <w:szCs w:val="20"/>
              </w:rPr>
              <w:t xml:space="preserve">time </w:t>
            </w:r>
          </w:p>
          <w:p w14:paraId="5F160BC4" w14:textId="74C6D715" w:rsidR="002E38A5" w:rsidRPr="00201516" w:rsidRDefault="002E38A5" w:rsidP="002E38A5">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Drug content </w:t>
            </w:r>
          </w:p>
          <w:p w14:paraId="6BCE47ED" w14:textId="4CDBEF07" w:rsidR="002E38A5" w:rsidRPr="00201516" w:rsidRDefault="002E38A5" w:rsidP="002E38A5">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 Transmittance </w:t>
            </w:r>
          </w:p>
          <w:p w14:paraId="70A5C34F" w14:textId="28183844" w:rsidR="002C0F5A" w:rsidRPr="00201516" w:rsidRDefault="002E38A5" w:rsidP="002E38A5">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Droplet size </w:t>
            </w:r>
          </w:p>
        </w:tc>
        <w:tc>
          <w:tcPr>
            <w:tcW w:w="2016" w:type="dxa"/>
            <w:vAlign w:val="center"/>
          </w:tcPr>
          <w:p w14:paraId="046BECAB" w14:textId="77777777"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Clear</w:t>
            </w:r>
          </w:p>
          <w:p w14:paraId="3B6321CE" w14:textId="77777777"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48 sec</w:t>
            </w:r>
          </w:p>
          <w:p w14:paraId="6514B2D3" w14:textId="77777777"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95.6 %</w:t>
            </w:r>
          </w:p>
          <w:p w14:paraId="661D446F" w14:textId="77777777"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89.6 %</w:t>
            </w:r>
          </w:p>
          <w:p w14:paraId="2242A3F0" w14:textId="505B43B8"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645.2 nm</w:t>
            </w:r>
          </w:p>
        </w:tc>
        <w:tc>
          <w:tcPr>
            <w:tcW w:w="2016" w:type="dxa"/>
            <w:vAlign w:val="center"/>
          </w:tcPr>
          <w:p w14:paraId="493536A5" w14:textId="77777777" w:rsidR="002C0F5A"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Clear</w:t>
            </w:r>
          </w:p>
          <w:p w14:paraId="19CC2A5C" w14:textId="3F49D40F"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55 sec</w:t>
            </w:r>
          </w:p>
          <w:p w14:paraId="61CF0E59" w14:textId="1C1A204A" w:rsidR="009702DF" w:rsidRPr="00201516" w:rsidRDefault="00C62C7D"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8</w:t>
            </w:r>
            <w:r w:rsidR="009702DF" w:rsidRPr="00201516">
              <w:rPr>
                <w:rFonts w:ascii="Arial" w:hAnsi="Arial" w:cs="Arial"/>
                <w:sz w:val="20"/>
                <w:szCs w:val="20"/>
              </w:rPr>
              <w:t>9.</w:t>
            </w:r>
            <w:r w:rsidRPr="00201516">
              <w:rPr>
                <w:rFonts w:ascii="Arial" w:hAnsi="Arial" w:cs="Arial"/>
                <w:sz w:val="20"/>
                <w:szCs w:val="20"/>
              </w:rPr>
              <w:t>2</w:t>
            </w:r>
            <w:r w:rsidR="009702DF" w:rsidRPr="00201516">
              <w:rPr>
                <w:rFonts w:ascii="Arial" w:hAnsi="Arial" w:cs="Arial"/>
                <w:sz w:val="20"/>
                <w:szCs w:val="20"/>
              </w:rPr>
              <w:t xml:space="preserve"> %</w:t>
            </w:r>
          </w:p>
          <w:p w14:paraId="5F665B39" w14:textId="7AAD401A" w:rsidR="009702DF" w:rsidRPr="00201516" w:rsidRDefault="009702DF"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9</w:t>
            </w:r>
            <w:r w:rsidR="003E73D9" w:rsidRPr="00201516">
              <w:rPr>
                <w:rFonts w:ascii="Arial" w:hAnsi="Arial" w:cs="Arial"/>
                <w:sz w:val="20"/>
                <w:szCs w:val="20"/>
              </w:rPr>
              <w:t>2</w:t>
            </w:r>
            <w:r w:rsidRPr="00201516">
              <w:rPr>
                <w:rFonts w:ascii="Arial" w:hAnsi="Arial" w:cs="Arial"/>
                <w:sz w:val="20"/>
                <w:szCs w:val="20"/>
              </w:rPr>
              <w:t>.</w:t>
            </w:r>
            <w:r w:rsidR="003E73D9" w:rsidRPr="00201516">
              <w:rPr>
                <w:rFonts w:ascii="Arial" w:hAnsi="Arial" w:cs="Arial"/>
                <w:sz w:val="20"/>
                <w:szCs w:val="20"/>
              </w:rPr>
              <w:t>0</w:t>
            </w:r>
            <w:r w:rsidRPr="00201516">
              <w:rPr>
                <w:rFonts w:ascii="Arial" w:hAnsi="Arial" w:cs="Arial"/>
                <w:sz w:val="20"/>
                <w:szCs w:val="20"/>
              </w:rPr>
              <w:t xml:space="preserve"> %</w:t>
            </w:r>
          </w:p>
          <w:p w14:paraId="7197F9F0" w14:textId="318FF52F" w:rsidR="009702DF" w:rsidRPr="00201516" w:rsidRDefault="003E73D9" w:rsidP="00C62C7D">
            <w:pPr>
              <w:pStyle w:val="ListParagraph"/>
              <w:spacing w:line="360" w:lineRule="auto"/>
              <w:ind w:left="0"/>
              <w:jc w:val="center"/>
              <w:rPr>
                <w:rFonts w:ascii="Arial" w:hAnsi="Arial" w:cs="Arial"/>
                <w:sz w:val="20"/>
                <w:szCs w:val="20"/>
              </w:rPr>
            </w:pPr>
            <w:r w:rsidRPr="00201516">
              <w:rPr>
                <w:rFonts w:ascii="Arial" w:hAnsi="Arial" w:cs="Arial"/>
                <w:sz w:val="20"/>
                <w:szCs w:val="20"/>
              </w:rPr>
              <w:t>749</w:t>
            </w:r>
            <w:r w:rsidR="009702DF" w:rsidRPr="00201516">
              <w:rPr>
                <w:rFonts w:ascii="Arial" w:hAnsi="Arial" w:cs="Arial"/>
                <w:sz w:val="20"/>
                <w:szCs w:val="20"/>
              </w:rPr>
              <w:t>.</w:t>
            </w:r>
            <w:r w:rsidRPr="00201516">
              <w:rPr>
                <w:rFonts w:ascii="Arial" w:hAnsi="Arial" w:cs="Arial"/>
                <w:sz w:val="20"/>
                <w:szCs w:val="20"/>
              </w:rPr>
              <w:t>1</w:t>
            </w:r>
            <w:r w:rsidR="009702DF" w:rsidRPr="00201516">
              <w:rPr>
                <w:rFonts w:ascii="Arial" w:hAnsi="Arial" w:cs="Arial"/>
                <w:sz w:val="20"/>
                <w:szCs w:val="20"/>
              </w:rPr>
              <w:t xml:space="preserve"> nm</w:t>
            </w:r>
          </w:p>
        </w:tc>
      </w:tr>
    </w:tbl>
    <w:p w14:paraId="45185918" w14:textId="77777777" w:rsidR="00A169B1" w:rsidRPr="00837E1E" w:rsidRDefault="00A169B1" w:rsidP="00DC11E1">
      <w:pPr>
        <w:pStyle w:val="ListParagraph"/>
        <w:spacing w:line="360" w:lineRule="auto"/>
        <w:jc w:val="both"/>
        <w:rPr>
          <w:rFonts w:ascii="Arial" w:hAnsi="Arial" w:cs="Arial"/>
        </w:rPr>
      </w:pPr>
    </w:p>
    <w:p w14:paraId="5F59ECAB" w14:textId="1BE92561" w:rsidR="0026417D" w:rsidRPr="00837E1E" w:rsidRDefault="00F7716A" w:rsidP="001909D2">
      <w:pPr>
        <w:pStyle w:val="Heading1"/>
      </w:pPr>
      <w:r w:rsidRPr="00837E1E">
        <w:lastRenderedPageBreak/>
        <w:t>CONCLUSION</w:t>
      </w:r>
    </w:p>
    <w:p w14:paraId="17D93836" w14:textId="42A89FE6" w:rsidR="0026417D" w:rsidRPr="0026417D" w:rsidRDefault="0026417D" w:rsidP="0026417D">
      <w:pPr>
        <w:spacing w:line="360" w:lineRule="auto"/>
        <w:jc w:val="both"/>
        <w:rPr>
          <w:rFonts w:ascii="Arial" w:hAnsi="Arial" w:cs="Arial"/>
          <w:sz w:val="20"/>
          <w:szCs w:val="20"/>
        </w:rPr>
      </w:pPr>
      <w:r w:rsidRPr="0026417D">
        <w:rPr>
          <w:rFonts w:ascii="Arial" w:hAnsi="Arial" w:cs="Arial"/>
          <w:sz w:val="20"/>
          <w:szCs w:val="20"/>
        </w:rPr>
        <w:t>This study successfully developed a Self-Micro Emulsifying Drug Delivery System (SMEDDS) for omega fatty acids, addressing the critical challenge of poor water solubility often found in nutraceuticals. By utilizing a specific mixture of Tween 80 and PEG 400, the researchers achieved a stable, isotropic formulation that rapidly emulsifies in water with a small droplet size (645.2 nm), which is essential for enhancing absorption.</w:t>
      </w:r>
    </w:p>
    <w:p w14:paraId="6900F1BD" w14:textId="7FC72135" w:rsidR="0026417D" w:rsidRPr="0026417D" w:rsidRDefault="0026417D" w:rsidP="0026417D">
      <w:pPr>
        <w:spacing w:line="360" w:lineRule="auto"/>
        <w:jc w:val="both"/>
        <w:rPr>
          <w:rFonts w:ascii="Arial" w:hAnsi="Arial" w:cs="Arial"/>
          <w:sz w:val="20"/>
          <w:szCs w:val="20"/>
        </w:rPr>
      </w:pPr>
      <w:r w:rsidRPr="0026417D">
        <w:rPr>
          <w:rFonts w:ascii="Arial" w:hAnsi="Arial" w:cs="Arial"/>
          <w:sz w:val="20"/>
          <w:szCs w:val="20"/>
        </w:rPr>
        <w:t xml:space="preserve">The study confirmed that SMEDDS significantly outperforms pure oily solutions in terms of drug release rates, offering a more effective delivery method for bioactive fatty acids. Furthermore, stability tests confirmed the formulation's robustness over </w:t>
      </w:r>
      <w:r w:rsidRPr="003367A9">
        <w:rPr>
          <w:rFonts w:ascii="Arial" w:hAnsi="Arial" w:cs="Arial"/>
          <w:sz w:val="20"/>
          <w:szCs w:val="20"/>
        </w:rPr>
        <w:t>a</w:t>
      </w:r>
      <w:r w:rsidRPr="0026417D">
        <w:rPr>
          <w:rFonts w:ascii="Arial" w:hAnsi="Arial" w:cs="Arial"/>
          <w:sz w:val="20"/>
          <w:szCs w:val="20"/>
        </w:rPr>
        <w:t xml:space="preserve"> month, indicating its potential for commercial scalability and use in the nutraceutical industry to treat conditions like cardiovascular disorders and neurodegeneration.</w:t>
      </w:r>
    </w:p>
    <w:p w14:paraId="3E4998EF" w14:textId="77777777" w:rsidR="000247D0" w:rsidRPr="00837E1E" w:rsidRDefault="000247D0" w:rsidP="00883EF8">
      <w:pPr>
        <w:spacing w:line="360" w:lineRule="auto"/>
        <w:jc w:val="both"/>
        <w:rPr>
          <w:rFonts w:ascii="Arial" w:hAnsi="Arial" w:cs="Arial"/>
        </w:rPr>
      </w:pPr>
    </w:p>
    <w:p w14:paraId="5C3AAFF9" w14:textId="414C115E" w:rsidR="000247D0" w:rsidRPr="00837E1E" w:rsidRDefault="00F7716A" w:rsidP="001909D2">
      <w:pPr>
        <w:pStyle w:val="Heading1"/>
      </w:pPr>
      <w:r w:rsidRPr="00837E1E">
        <w:t>REFERENCES</w:t>
      </w:r>
    </w:p>
    <w:p w14:paraId="6EFF3CE7" w14:textId="77777777" w:rsidR="00065AF6" w:rsidRPr="00065AF6" w:rsidRDefault="000247D0" w:rsidP="00065AF6">
      <w:pPr>
        <w:pStyle w:val="Bibliography"/>
        <w:rPr>
          <w:rFonts w:ascii="Arial" w:hAnsi="Arial" w:cs="Arial"/>
          <w:sz w:val="20"/>
        </w:rPr>
      </w:pPr>
      <w:r w:rsidRPr="003367A9">
        <w:rPr>
          <w:rFonts w:ascii="Arial" w:hAnsi="Arial" w:cs="Arial"/>
          <w:sz w:val="20"/>
          <w:szCs w:val="20"/>
        </w:rPr>
        <w:fldChar w:fldCharType="begin"/>
      </w:r>
      <w:r w:rsidR="0031724F" w:rsidRPr="003367A9">
        <w:rPr>
          <w:rFonts w:ascii="Arial" w:hAnsi="Arial" w:cs="Arial"/>
          <w:sz w:val="20"/>
          <w:szCs w:val="20"/>
        </w:rPr>
        <w:instrText xml:space="preserve"> ADDIN ZOTERO_BIBL {"uncited":[],"omitted":[],"custom":[]} CSL_BIBLIOGRAPHY </w:instrText>
      </w:r>
      <w:r w:rsidRPr="003367A9">
        <w:rPr>
          <w:rFonts w:ascii="Arial" w:hAnsi="Arial" w:cs="Arial"/>
          <w:sz w:val="20"/>
          <w:szCs w:val="20"/>
        </w:rPr>
        <w:fldChar w:fldCharType="separate"/>
      </w:r>
      <w:r w:rsidR="00065AF6" w:rsidRPr="00065AF6">
        <w:rPr>
          <w:rFonts w:ascii="Arial" w:hAnsi="Arial" w:cs="Arial"/>
          <w:sz w:val="20"/>
        </w:rPr>
        <w:t>Ahmad, J., Kohli, K., Mir, S.R., Amin, S., 2011. Formulation of self-nanoemulsifying drug delivery system for telmisartan with improved dissolution and oral bioavailability. J. Dispers. Sci. Technol. 32, 958–968.</w:t>
      </w:r>
    </w:p>
    <w:p w14:paraId="50D06300" w14:textId="77777777" w:rsidR="00065AF6" w:rsidRPr="00065AF6" w:rsidRDefault="00065AF6" w:rsidP="00065AF6">
      <w:pPr>
        <w:pStyle w:val="Bibliography"/>
        <w:rPr>
          <w:rFonts w:ascii="Arial" w:hAnsi="Arial" w:cs="Arial"/>
          <w:sz w:val="20"/>
        </w:rPr>
      </w:pPr>
      <w:r w:rsidRPr="00065AF6">
        <w:rPr>
          <w:rFonts w:ascii="Arial" w:hAnsi="Arial" w:cs="Arial"/>
          <w:sz w:val="20"/>
        </w:rPr>
        <w:t>Bahadur, S., Yadu, K., Baghel, P., Naurange, T., Sahu, M., 2020. Review of formulation and evaluation of self-micro emulsifying drug delivery system (SMEDDS). Sci. Pharm. Sci. 0, 25–35. https://doi.org/10.15587/2519-4852.2020.210825</w:t>
      </w:r>
    </w:p>
    <w:p w14:paraId="6572E538" w14:textId="77777777" w:rsidR="00065AF6" w:rsidRPr="00065AF6" w:rsidRDefault="00065AF6" w:rsidP="00065AF6">
      <w:pPr>
        <w:pStyle w:val="Bibliography"/>
        <w:rPr>
          <w:rFonts w:ascii="Arial" w:hAnsi="Arial" w:cs="Arial"/>
          <w:sz w:val="20"/>
        </w:rPr>
      </w:pPr>
      <w:r w:rsidRPr="00065AF6">
        <w:rPr>
          <w:rFonts w:ascii="Arial" w:hAnsi="Arial" w:cs="Arial"/>
          <w:sz w:val="20"/>
        </w:rPr>
        <w:t>Bellesi, F.A., Ruiz-Henestrosa, V.M.P., Pilosof, A.M., 2014. Behavior of protein interfacial films upon bile salts addition. Food Hydrocoll. 36, 115–122.</w:t>
      </w:r>
    </w:p>
    <w:p w14:paraId="03D0769B" w14:textId="77777777" w:rsidR="00065AF6" w:rsidRPr="00065AF6" w:rsidRDefault="00065AF6" w:rsidP="00065AF6">
      <w:pPr>
        <w:pStyle w:val="Bibliography"/>
        <w:rPr>
          <w:rFonts w:ascii="Arial" w:hAnsi="Arial" w:cs="Arial"/>
          <w:sz w:val="20"/>
        </w:rPr>
      </w:pPr>
      <w:r w:rsidRPr="00065AF6">
        <w:rPr>
          <w:rFonts w:ascii="Arial" w:hAnsi="Arial" w:cs="Arial"/>
          <w:sz w:val="20"/>
        </w:rPr>
        <w:t>DeFelice, S.L., 1995. The nutraceutical revolution: its impact on food industry R&amp;D. Trends Food Sci. Technol. 6, 59–61. https://doi.org/10.1016/S0924-2244(00)88944-X</w:t>
      </w:r>
    </w:p>
    <w:p w14:paraId="6F62C2F1" w14:textId="77777777" w:rsidR="00065AF6" w:rsidRPr="00065AF6" w:rsidRDefault="00065AF6" w:rsidP="00065AF6">
      <w:pPr>
        <w:pStyle w:val="Bibliography"/>
        <w:rPr>
          <w:rFonts w:ascii="Arial" w:hAnsi="Arial" w:cs="Arial"/>
          <w:sz w:val="20"/>
        </w:rPr>
      </w:pPr>
      <w:r w:rsidRPr="00065AF6">
        <w:rPr>
          <w:rFonts w:ascii="Arial" w:hAnsi="Arial" w:cs="Arial"/>
          <w:sz w:val="20"/>
        </w:rPr>
        <w:t>Dokania, S., Joshi, A.K., 2015. Self-microemulsifying drug delivery system (SMEDDS) – challenges and road ahead. Drug Deliv. 22, 675–690. https://doi.org/10.3109/10717544.2014.896058</w:t>
      </w:r>
    </w:p>
    <w:p w14:paraId="3ADD7EF4" w14:textId="77777777" w:rsidR="00065AF6" w:rsidRPr="00065AF6" w:rsidRDefault="00065AF6" w:rsidP="00065AF6">
      <w:pPr>
        <w:pStyle w:val="Bibliography"/>
        <w:rPr>
          <w:rFonts w:ascii="Arial" w:hAnsi="Arial" w:cs="Arial"/>
          <w:sz w:val="20"/>
        </w:rPr>
      </w:pPr>
      <w:r w:rsidRPr="00065AF6">
        <w:rPr>
          <w:rFonts w:ascii="Arial" w:hAnsi="Arial" w:cs="Arial"/>
          <w:sz w:val="20"/>
        </w:rPr>
        <w:t>Emad, N.A., Ahmed, B., Alhalmi, A., Alzobaidi, N., Al-Kubati, S.S., 2021. Recent progress in nanocarriers for direct nose to brain drug delivery. J. Drug Deliv. Sci. Technol. 64, 102642. https://doi.org/10.1016/j.jddst.2021.102642</w:t>
      </w:r>
    </w:p>
    <w:p w14:paraId="5E5C2397" w14:textId="77777777" w:rsidR="00065AF6" w:rsidRPr="00065AF6" w:rsidRDefault="00065AF6" w:rsidP="00065AF6">
      <w:pPr>
        <w:pStyle w:val="Bibliography"/>
        <w:rPr>
          <w:rFonts w:ascii="Arial" w:hAnsi="Arial" w:cs="Arial"/>
          <w:sz w:val="20"/>
        </w:rPr>
      </w:pPr>
      <w:r w:rsidRPr="00065AF6">
        <w:rPr>
          <w:rFonts w:ascii="Arial" w:hAnsi="Arial" w:cs="Arial"/>
          <w:sz w:val="20"/>
        </w:rPr>
        <w:t>Emad, N.A., Sultana, Y., Aqil, M., Saleh, A., Al Kamaly, O., Nasr, F.A., 2023. Omega-3 fatty acid-based self-microemulsifying drug delivery system (SMEDDS) of pioglitazone: Optimization, in vitro and in vivo studies. Saudi J. Biol. Sci. 30, 103778. https://doi.org/10.1016/j.sjbs.2023.103778</w:t>
      </w:r>
    </w:p>
    <w:p w14:paraId="0FCE469A" w14:textId="77777777" w:rsidR="00065AF6" w:rsidRPr="00065AF6" w:rsidRDefault="00065AF6" w:rsidP="00065AF6">
      <w:pPr>
        <w:pStyle w:val="Bibliography"/>
        <w:rPr>
          <w:rFonts w:ascii="Arial" w:hAnsi="Arial" w:cs="Arial"/>
          <w:sz w:val="20"/>
        </w:rPr>
      </w:pPr>
      <w:r w:rsidRPr="00065AF6">
        <w:rPr>
          <w:rFonts w:ascii="Arial" w:hAnsi="Arial" w:cs="Arial"/>
          <w:sz w:val="20"/>
        </w:rPr>
        <w:t>Gupta, A., Mishra, D., Mahajan, S., 2011. Preparation and in-vitro evaluation of self emulsifying drug delivery system of antihypertensive drug valsartan. Int J Pharm Life Sci 2, 633–639.</w:t>
      </w:r>
    </w:p>
    <w:p w14:paraId="77774740" w14:textId="77777777" w:rsidR="00065AF6" w:rsidRPr="00065AF6" w:rsidRDefault="00065AF6" w:rsidP="00065AF6">
      <w:pPr>
        <w:pStyle w:val="Bibliography"/>
        <w:rPr>
          <w:rFonts w:ascii="Arial" w:hAnsi="Arial" w:cs="Arial"/>
          <w:sz w:val="20"/>
        </w:rPr>
      </w:pPr>
      <w:r w:rsidRPr="00065AF6">
        <w:rPr>
          <w:rFonts w:ascii="Arial" w:hAnsi="Arial" w:cs="Arial"/>
          <w:sz w:val="20"/>
        </w:rPr>
        <w:t>Han, S.D., Jung, S.W., Jang, S.W., Son, M., Kim, B.M., Kang, M.J., 2015. Reduced Food-Effect on Intestinal Absorption of Dronedarone by Self-microemulsifying Drug Delivery System (SMEDDS). Biol. Pharm. Bull. 38, 1026–1032. https://doi.org/10.1248/bpb.b15-00110</w:t>
      </w:r>
    </w:p>
    <w:p w14:paraId="35F56321" w14:textId="77777777" w:rsidR="00065AF6" w:rsidRPr="00065AF6" w:rsidRDefault="00065AF6" w:rsidP="00065AF6">
      <w:pPr>
        <w:pStyle w:val="Bibliography"/>
        <w:rPr>
          <w:rFonts w:ascii="Arial" w:hAnsi="Arial" w:cs="Arial"/>
          <w:sz w:val="20"/>
        </w:rPr>
      </w:pPr>
      <w:r w:rsidRPr="00065AF6">
        <w:rPr>
          <w:rFonts w:ascii="Arial" w:hAnsi="Arial" w:cs="Arial"/>
          <w:sz w:val="20"/>
        </w:rPr>
        <w:t>Hauss, D.J., 2007. Oral lipid-based formulations. Adv. Drug Deliv. Rev. 59, 667–676. https://doi.org/10.1016/j.addr.2007.05.006</w:t>
      </w:r>
    </w:p>
    <w:p w14:paraId="21E8ACA7" w14:textId="77777777" w:rsidR="00065AF6" w:rsidRPr="00065AF6" w:rsidRDefault="00065AF6" w:rsidP="00065AF6">
      <w:pPr>
        <w:pStyle w:val="Bibliography"/>
        <w:rPr>
          <w:rFonts w:ascii="Arial" w:hAnsi="Arial" w:cs="Arial"/>
          <w:sz w:val="20"/>
        </w:rPr>
      </w:pPr>
      <w:r w:rsidRPr="00065AF6">
        <w:rPr>
          <w:rFonts w:ascii="Arial" w:hAnsi="Arial" w:cs="Arial"/>
          <w:sz w:val="20"/>
        </w:rPr>
        <w:t>Hsieh, C.-M., Yang, T.-L., Putri, A.D., Chen, C.-T., 2023. Application of Design of Experiments in the Development of Self-Microemulsifying Drug Delivery Systems. Pharmaceuticals 16, 283. https://doi.org/10.3390/ph16020283</w:t>
      </w:r>
    </w:p>
    <w:p w14:paraId="763436F7" w14:textId="77777777" w:rsidR="00065AF6" w:rsidRPr="00065AF6" w:rsidRDefault="00065AF6" w:rsidP="00065AF6">
      <w:pPr>
        <w:pStyle w:val="Bibliography"/>
        <w:rPr>
          <w:rFonts w:ascii="Arial" w:hAnsi="Arial" w:cs="Arial"/>
          <w:sz w:val="20"/>
        </w:rPr>
      </w:pPr>
      <w:r w:rsidRPr="00065AF6">
        <w:rPr>
          <w:rFonts w:ascii="Arial" w:hAnsi="Arial" w:cs="Arial"/>
          <w:sz w:val="20"/>
        </w:rPr>
        <w:t>Huo, T., Tao, C., Zhang, Minxin, Liu, Q., Lin, B., Liu, Z., Zhang, J., Zhang, Meijing, Yang, H., Wu, J., Sun, X., Zhang, Q., Song, H., 2018a. Preparation and comparison of tacrolimus-loaded solid dispersion and self-microemulsifying drug delivery system by in vitro/in vivo evaluation. Eur. J. Pharm. Sci. 114, 74–83. https://doi.org/10.1016/j.ejps.2017.12.002</w:t>
      </w:r>
    </w:p>
    <w:p w14:paraId="4C2D99B1" w14:textId="77777777" w:rsidR="00065AF6" w:rsidRPr="00065AF6" w:rsidRDefault="00065AF6" w:rsidP="00065AF6">
      <w:pPr>
        <w:pStyle w:val="Bibliography"/>
        <w:rPr>
          <w:rFonts w:ascii="Arial" w:hAnsi="Arial" w:cs="Arial"/>
          <w:sz w:val="20"/>
        </w:rPr>
      </w:pPr>
      <w:r w:rsidRPr="00065AF6">
        <w:rPr>
          <w:rFonts w:ascii="Arial" w:hAnsi="Arial" w:cs="Arial"/>
          <w:sz w:val="20"/>
        </w:rPr>
        <w:t xml:space="preserve">Huo, T., Tao, C., Zhang, Minxin, Liu, Q., Lin, B., Liu, Z., Zhang, J., Zhang, Meijing, Yang, H., Wu, J., Sun, X., Zhang, Q., Song, H., 2018b. Preparation and comparison of tacrolimus-loaded solid </w:t>
      </w:r>
      <w:r w:rsidRPr="00065AF6">
        <w:rPr>
          <w:rFonts w:ascii="Arial" w:hAnsi="Arial" w:cs="Arial"/>
          <w:sz w:val="20"/>
        </w:rPr>
        <w:lastRenderedPageBreak/>
        <w:t>dispersion and self-microemulsifying drug delivery system by in vitro/in vivo evaluation. Eur. J. Pharm. Sci. 114, 74–83. https://doi.org/10.1016/j.ejps.2017.12.002</w:t>
      </w:r>
    </w:p>
    <w:p w14:paraId="0C6DEDCD" w14:textId="77777777" w:rsidR="00065AF6" w:rsidRPr="00065AF6" w:rsidRDefault="00065AF6" w:rsidP="00065AF6">
      <w:pPr>
        <w:pStyle w:val="Bibliography"/>
        <w:rPr>
          <w:rFonts w:ascii="Arial" w:hAnsi="Arial" w:cs="Arial"/>
          <w:sz w:val="20"/>
        </w:rPr>
      </w:pPr>
      <w:r w:rsidRPr="00065AF6">
        <w:rPr>
          <w:rFonts w:ascii="Arial" w:hAnsi="Arial" w:cs="Arial"/>
          <w:sz w:val="20"/>
        </w:rPr>
        <w:t>Kang, B.K., Lee, J.S., Chon, S.K., Jeong, S.Y., Yuk, S.H., Khang, G., Lee, H.B., Cho, S.H., 2004. Development of self-microemulsifying drug delivery systems (SMEDDS) for oral bioavailability enhancement of simvastatin in beagle dogs. Int. J. Pharm. 274, 65–73.</w:t>
      </w:r>
    </w:p>
    <w:p w14:paraId="7048846C" w14:textId="77777777" w:rsidR="00065AF6" w:rsidRPr="00065AF6" w:rsidRDefault="00065AF6" w:rsidP="00065AF6">
      <w:pPr>
        <w:pStyle w:val="Bibliography"/>
        <w:rPr>
          <w:rFonts w:ascii="Arial" w:hAnsi="Arial" w:cs="Arial"/>
          <w:sz w:val="20"/>
        </w:rPr>
      </w:pPr>
      <w:r w:rsidRPr="00065AF6">
        <w:rPr>
          <w:rFonts w:ascii="Arial" w:hAnsi="Arial" w:cs="Arial"/>
          <w:sz w:val="20"/>
        </w:rPr>
        <w:t>Karamustafa, F., Çelebi, N., 2008. Development of an oral microemulsion formulation of alendronate: Effects of oil and co-surfactant type on phase behaviour. J. Microencapsul. 25, 315–323. https://doi.org/10.1080/02652040801977045</w:t>
      </w:r>
    </w:p>
    <w:p w14:paraId="290D10DB" w14:textId="77777777" w:rsidR="00065AF6" w:rsidRPr="00065AF6" w:rsidRDefault="00065AF6" w:rsidP="00065AF6">
      <w:pPr>
        <w:pStyle w:val="Bibliography"/>
        <w:rPr>
          <w:rFonts w:ascii="Arial" w:hAnsi="Arial" w:cs="Arial"/>
          <w:sz w:val="20"/>
        </w:rPr>
      </w:pPr>
      <w:r w:rsidRPr="00065AF6">
        <w:rPr>
          <w:rFonts w:ascii="Arial" w:hAnsi="Arial" w:cs="Arial"/>
          <w:sz w:val="20"/>
        </w:rPr>
        <w:t>Keservani, R.K., n.d. Chapter 9 - Nutraceutical Formulations and Challenges.</w:t>
      </w:r>
    </w:p>
    <w:p w14:paraId="754C7181" w14:textId="77777777" w:rsidR="00065AF6" w:rsidRPr="00065AF6" w:rsidRDefault="00065AF6" w:rsidP="00065AF6">
      <w:pPr>
        <w:pStyle w:val="Bibliography"/>
        <w:rPr>
          <w:rFonts w:ascii="Arial" w:hAnsi="Arial" w:cs="Arial"/>
          <w:sz w:val="20"/>
        </w:rPr>
      </w:pPr>
      <w:r w:rsidRPr="00065AF6">
        <w:rPr>
          <w:rFonts w:ascii="Arial" w:hAnsi="Arial" w:cs="Arial"/>
          <w:sz w:val="20"/>
        </w:rPr>
        <w:t>Kim, D.S., Cho, J.H., Park, J.H., Kim, J.S., Song, E.S., Kwon, J., Giri, B.R., Jin, S.G., Kim, K.S., Choi, H.-G., Kim, D.W., 2019. Self-microemulsifying drug delivery system (SMEDDS) for improved oral delivery and photostability of methotrexate. Int. J. Nanomedicine Volume 14, 4949–4960. https://doi.org/10.2147/IJN.S211014</w:t>
      </w:r>
    </w:p>
    <w:p w14:paraId="10AB5ACD" w14:textId="77777777" w:rsidR="00065AF6" w:rsidRPr="00065AF6" w:rsidRDefault="00065AF6" w:rsidP="00065AF6">
      <w:pPr>
        <w:pStyle w:val="Bibliography"/>
        <w:rPr>
          <w:rFonts w:ascii="Arial" w:hAnsi="Arial" w:cs="Arial"/>
          <w:sz w:val="20"/>
        </w:rPr>
      </w:pPr>
      <w:r w:rsidRPr="00065AF6">
        <w:rPr>
          <w:rFonts w:ascii="Arial" w:hAnsi="Arial" w:cs="Arial"/>
          <w:sz w:val="20"/>
        </w:rPr>
        <w:t>Kohli, K., Chopra, S., Dhar, D., Arora, S., Khar, R.K., 2010. Self-emulsifying drug delivery systems: an approach to enhance oral bioavailability. Drug Discov. Today 15, 958–965. https://doi.org/10.1016/j.drudis.2010.08.007</w:t>
      </w:r>
    </w:p>
    <w:p w14:paraId="18C7248B" w14:textId="77777777" w:rsidR="00065AF6" w:rsidRPr="00065AF6" w:rsidRDefault="00065AF6" w:rsidP="00065AF6">
      <w:pPr>
        <w:pStyle w:val="Bibliography"/>
        <w:rPr>
          <w:rFonts w:ascii="Arial" w:hAnsi="Arial" w:cs="Arial"/>
          <w:sz w:val="20"/>
        </w:rPr>
      </w:pPr>
      <w:r w:rsidRPr="00065AF6">
        <w:rPr>
          <w:rFonts w:ascii="Arial" w:hAnsi="Arial" w:cs="Arial"/>
          <w:sz w:val="20"/>
        </w:rPr>
        <w:t>Kumar, M.S., Shailaja, P., Murthy, K., Pradesh, A., 2011. Improvement of oral bioavailability of nifedipine through self-microemulsifing drug delivery systems. J Glob Trends Pharm Sci 2, 364–388.</w:t>
      </w:r>
    </w:p>
    <w:p w14:paraId="2AD1B992" w14:textId="77777777" w:rsidR="00065AF6" w:rsidRPr="00065AF6" w:rsidRDefault="00065AF6" w:rsidP="00065AF6">
      <w:pPr>
        <w:pStyle w:val="Bibliography"/>
        <w:rPr>
          <w:rFonts w:ascii="Arial" w:hAnsi="Arial" w:cs="Arial"/>
          <w:sz w:val="20"/>
        </w:rPr>
      </w:pPr>
      <w:r w:rsidRPr="00065AF6">
        <w:rPr>
          <w:rFonts w:ascii="Arial" w:hAnsi="Arial" w:cs="Arial"/>
          <w:sz w:val="20"/>
        </w:rPr>
        <w:t>Laddha, P., Suthar, V., Butani, S., 2014. Development and optimization of self microemulsifying drug delivery of domperidone. Braz. J. Pharm. Sci. 50, 91–100. https://doi.org/10.1590/S1984-82502011000100009</w:t>
      </w:r>
    </w:p>
    <w:p w14:paraId="4AC8DE0B" w14:textId="77777777" w:rsidR="00065AF6" w:rsidRPr="00065AF6" w:rsidRDefault="00065AF6" w:rsidP="00065AF6">
      <w:pPr>
        <w:pStyle w:val="Bibliography"/>
        <w:rPr>
          <w:rFonts w:ascii="Arial" w:hAnsi="Arial" w:cs="Arial"/>
          <w:sz w:val="20"/>
        </w:rPr>
      </w:pPr>
      <w:r w:rsidRPr="00065AF6">
        <w:rPr>
          <w:rFonts w:ascii="Arial" w:hAnsi="Arial" w:cs="Arial"/>
          <w:sz w:val="20"/>
        </w:rPr>
        <w:t>Lee, D.W., Marasini, N., Poudel, B.K., Kim, J.H., Cho, H.J., Moon, B.K., Choi, H.-G., Yong, C.S., Kim, J.O., 2014. Application of Box–Behnken design in the preparation and optimization of fenofibrate-loaded self-microemulsifying drug delivery system (SMEDDS). J. Microencapsul. 31, 31–40. https://doi.org/10.3109/02652048.2013.805837</w:t>
      </w:r>
    </w:p>
    <w:p w14:paraId="16FB3B31" w14:textId="77777777" w:rsidR="00065AF6" w:rsidRPr="00065AF6" w:rsidRDefault="00065AF6" w:rsidP="00065AF6">
      <w:pPr>
        <w:pStyle w:val="Bibliography"/>
        <w:rPr>
          <w:rFonts w:ascii="Arial" w:hAnsi="Arial" w:cs="Arial"/>
          <w:sz w:val="20"/>
        </w:rPr>
      </w:pPr>
      <w:r w:rsidRPr="00065AF6">
        <w:rPr>
          <w:rFonts w:ascii="Arial" w:hAnsi="Arial" w:cs="Arial"/>
          <w:sz w:val="20"/>
        </w:rPr>
        <w:t>Naso, J.N., Bellesi, F.A., Pizones Ruiz-Henestrosa, V.M., Pilosof, A.M.R., 2021. A new methodology to assess the solubility of fatty acids: Impact of food emulsifiers. Food Res. Int. 139, 109829. https://doi.org/10.1016/j.foodres.2020.109829</w:t>
      </w:r>
    </w:p>
    <w:p w14:paraId="3F1A8F8E" w14:textId="77777777" w:rsidR="00065AF6" w:rsidRPr="00065AF6" w:rsidRDefault="00065AF6" w:rsidP="00065AF6">
      <w:pPr>
        <w:pStyle w:val="Bibliography"/>
        <w:rPr>
          <w:rFonts w:ascii="Arial" w:hAnsi="Arial" w:cs="Arial"/>
          <w:sz w:val="20"/>
        </w:rPr>
      </w:pPr>
      <w:r w:rsidRPr="00065AF6">
        <w:rPr>
          <w:rFonts w:ascii="Arial" w:hAnsi="Arial" w:cs="Arial"/>
          <w:sz w:val="20"/>
        </w:rPr>
        <w:t>Patel, M.H., Sawant, K.K., 2019. Self microemulsifying drug delivery system of lurasidone hydrochloride for enhanced oral bioavailability by lymphatic targeting: In vitro, Caco-2 cell line and in vivo evaluation. Eur. J. Pharm. Sci. 138, 105027. https://doi.org/10.1016/j.ejps.2019.105027</w:t>
      </w:r>
    </w:p>
    <w:p w14:paraId="790222BC" w14:textId="77777777" w:rsidR="00065AF6" w:rsidRPr="00065AF6" w:rsidRDefault="00065AF6" w:rsidP="00065AF6">
      <w:pPr>
        <w:pStyle w:val="Bibliography"/>
        <w:rPr>
          <w:rFonts w:ascii="Arial" w:hAnsi="Arial" w:cs="Arial"/>
          <w:sz w:val="20"/>
        </w:rPr>
      </w:pPr>
      <w:r w:rsidRPr="00065AF6">
        <w:rPr>
          <w:rFonts w:ascii="Arial" w:hAnsi="Arial" w:cs="Arial"/>
          <w:sz w:val="20"/>
        </w:rPr>
        <w:t>Shah, A.V., Desai, H.H., Thool, P., Dalrymple, D., Serajuddin, A.T.M., 2018. Development of self-microemulsifying drug delivery system for oral delivery of poorly water-soluble nutraceuticals. Drug Dev. Ind. Pharm. 44, 895–901. https://doi.org/10.1080/03639045.2017.1419365</w:t>
      </w:r>
    </w:p>
    <w:p w14:paraId="61FB7291" w14:textId="77777777" w:rsidR="00065AF6" w:rsidRPr="00065AF6" w:rsidRDefault="00065AF6" w:rsidP="00065AF6">
      <w:pPr>
        <w:pStyle w:val="Bibliography"/>
        <w:rPr>
          <w:rFonts w:ascii="Arial" w:hAnsi="Arial" w:cs="Arial"/>
          <w:sz w:val="20"/>
        </w:rPr>
      </w:pPr>
      <w:r w:rsidRPr="00065AF6">
        <w:rPr>
          <w:rFonts w:ascii="Arial" w:hAnsi="Arial" w:cs="Arial"/>
          <w:sz w:val="20"/>
        </w:rPr>
        <w:t>Şimşek, H., Uçar, A., 2025. Functional Aspects of Polyunsaturated Fatty Acids as Nutraceuticals, in: Amir Ashraf, S., Adnan, M. (Eds.), Food Bioactives and Nutraceuticals. Springer Nature Singapore, Singapore, pp. 211–223. https://doi.org/10.1007/978-981-97-9723-3_8</w:t>
      </w:r>
    </w:p>
    <w:p w14:paraId="066710A7" w14:textId="77777777" w:rsidR="00065AF6" w:rsidRPr="00065AF6" w:rsidRDefault="00065AF6" w:rsidP="00065AF6">
      <w:pPr>
        <w:pStyle w:val="Bibliography"/>
        <w:rPr>
          <w:rFonts w:ascii="Arial" w:hAnsi="Arial" w:cs="Arial"/>
          <w:sz w:val="20"/>
        </w:rPr>
      </w:pPr>
      <w:r w:rsidRPr="00065AF6">
        <w:rPr>
          <w:rFonts w:ascii="Arial" w:hAnsi="Arial" w:cs="Arial"/>
          <w:sz w:val="20"/>
        </w:rPr>
        <w:t>Yang, T.-L., Hsieh, C.-M., Meng, L.-J., Tsai, T., Chen, C.-T., 2022. Oleic Acid-Based Self Micro-Emulsifying Delivery System for Enhancing Antifungal Activities of Clotrimazole. Pharmaceutics 14, 478. https://doi.org/10.3390/pharmaceutics14030478</w:t>
      </w:r>
    </w:p>
    <w:p w14:paraId="55001F72" w14:textId="1DA5F00F" w:rsidR="009B443A" w:rsidRPr="003367A9" w:rsidRDefault="000247D0" w:rsidP="00201516">
      <w:pPr>
        <w:spacing w:line="360" w:lineRule="auto"/>
        <w:jc w:val="both"/>
        <w:rPr>
          <w:sz w:val="20"/>
          <w:szCs w:val="20"/>
        </w:rPr>
      </w:pPr>
      <w:r w:rsidRPr="003367A9">
        <w:rPr>
          <w:rFonts w:ascii="Arial" w:hAnsi="Arial" w:cs="Arial"/>
          <w:sz w:val="20"/>
          <w:szCs w:val="20"/>
        </w:rPr>
        <w:fldChar w:fldCharType="end"/>
      </w:r>
    </w:p>
    <w:sectPr w:rsidR="009B443A" w:rsidRPr="003367A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8AC23" w14:textId="77777777" w:rsidR="00820C71" w:rsidRDefault="00820C71" w:rsidP="001D2425">
      <w:pPr>
        <w:spacing w:after="0" w:line="240" w:lineRule="auto"/>
      </w:pPr>
      <w:r>
        <w:separator/>
      </w:r>
    </w:p>
  </w:endnote>
  <w:endnote w:type="continuationSeparator" w:id="0">
    <w:p w14:paraId="3BFC5FE7" w14:textId="77777777" w:rsidR="00820C71" w:rsidRDefault="00820C71" w:rsidP="001D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23709" w14:textId="77777777" w:rsidR="001D2425" w:rsidRDefault="001D2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0879" w14:textId="77777777" w:rsidR="001D2425" w:rsidRDefault="001D24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4DD0" w14:textId="77777777" w:rsidR="001D2425" w:rsidRDefault="001D2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6FDC6" w14:textId="77777777" w:rsidR="00820C71" w:rsidRDefault="00820C71" w:rsidP="001D2425">
      <w:pPr>
        <w:spacing w:after="0" w:line="240" w:lineRule="auto"/>
      </w:pPr>
      <w:r>
        <w:separator/>
      </w:r>
    </w:p>
  </w:footnote>
  <w:footnote w:type="continuationSeparator" w:id="0">
    <w:p w14:paraId="3F2FA119" w14:textId="77777777" w:rsidR="00820C71" w:rsidRDefault="00820C71" w:rsidP="001D2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6D90" w14:textId="08B4F809" w:rsidR="001D2425" w:rsidRDefault="00FC552E">
    <w:pPr>
      <w:pStyle w:val="Header"/>
    </w:pPr>
    <w:r>
      <w:rPr>
        <w:noProof/>
      </w:rPr>
      <w:pict w14:anchorId="02A4D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CC3B" w14:textId="3CC59636" w:rsidR="001D2425" w:rsidRDefault="00FC552E">
    <w:pPr>
      <w:pStyle w:val="Header"/>
    </w:pPr>
    <w:r>
      <w:rPr>
        <w:noProof/>
      </w:rPr>
      <w:pict w14:anchorId="4F59A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86DE" w14:textId="412D3CAA" w:rsidR="001D2425" w:rsidRDefault="00FC552E">
    <w:pPr>
      <w:pStyle w:val="Header"/>
    </w:pPr>
    <w:r>
      <w:rPr>
        <w:noProof/>
      </w:rPr>
      <w:pict w14:anchorId="1397C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E0268"/>
    <w:multiLevelType w:val="multilevel"/>
    <w:tmpl w:val="8BCA445A"/>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0373451"/>
    <w:multiLevelType w:val="hybridMultilevel"/>
    <w:tmpl w:val="A4C0E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B04EC0"/>
    <w:multiLevelType w:val="hybridMultilevel"/>
    <w:tmpl w:val="0234D8E4"/>
    <w:lvl w:ilvl="0" w:tplc="6CA42F2A">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2"/>
  </w:num>
  <w:num w:numId="5">
    <w:abstractNumId w:val="2"/>
  </w:num>
  <w:num w:numId="6">
    <w:abstractNumId w:val="2"/>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B31"/>
    <w:rsid w:val="000003BA"/>
    <w:rsid w:val="0000506D"/>
    <w:rsid w:val="00010910"/>
    <w:rsid w:val="00014C52"/>
    <w:rsid w:val="000247D0"/>
    <w:rsid w:val="00056E28"/>
    <w:rsid w:val="00062A85"/>
    <w:rsid w:val="00065AF6"/>
    <w:rsid w:val="000738F1"/>
    <w:rsid w:val="00075492"/>
    <w:rsid w:val="00075AA8"/>
    <w:rsid w:val="00077BB2"/>
    <w:rsid w:val="000B367E"/>
    <w:rsid w:val="000B629D"/>
    <w:rsid w:val="000B74FD"/>
    <w:rsid w:val="000C28B0"/>
    <w:rsid w:val="000E4284"/>
    <w:rsid w:val="00103C89"/>
    <w:rsid w:val="00130B52"/>
    <w:rsid w:val="0013164F"/>
    <w:rsid w:val="0015361A"/>
    <w:rsid w:val="001552A0"/>
    <w:rsid w:val="00164260"/>
    <w:rsid w:val="001651BA"/>
    <w:rsid w:val="00165B19"/>
    <w:rsid w:val="001842D9"/>
    <w:rsid w:val="001909D2"/>
    <w:rsid w:val="00191EC7"/>
    <w:rsid w:val="001B1B55"/>
    <w:rsid w:val="001B59B9"/>
    <w:rsid w:val="001B5F0B"/>
    <w:rsid w:val="001B7309"/>
    <w:rsid w:val="001D2425"/>
    <w:rsid w:val="00201516"/>
    <w:rsid w:val="002219AA"/>
    <w:rsid w:val="00232301"/>
    <w:rsid w:val="002378E2"/>
    <w:rsid w:val="00237A6F"/>
    <w:rsid w:val="0026417D"/>
    <w:rsid w:val="00273E36"/>
    <w:rsid w:val="00274521"/>
    <w:rsid w:val="00285C10"/>
    <w:rsid w:val="00297BA2"/>
    <w:rsid w:val="00297C86"/>
    <w:rsid w:val="002B3B6D"/>
    <w:rsid w:val="002C0F5A"/>
    <w:rsid w:val="002C33FF"/>
    <w:rsid w:val="002C53DF"/>
    <w:rsid w:val="002D1C66"/>
    <w:rsid w:val="002D455A"/>
    <w:rsid w:val="002E38A5"/>
    <w:rsid w:val="0031026C"/>
    <w:rsid w:val="0031724F"/>
    <w:rsid w:val="003367A9"/>
    <w:rsid w:val="00361DED"/>
    <w:rsid w:val="003705C3"/>
    <w:rsid w:val="00386EDB"/>
    <w:rsid w:val="0039275E"/>
    <w:rsid w:val="00395C40"/>
    <w:rsid w:val="003A41FE"/>
    <w:rsid w:val="003B3B5D"/>
    <w:rsid w:val="003B4895"/>
    <w:rsid w:val="003E0081"/>
    <w:rsid w:val="003E5B48"/>
    <w:rsid w:val="003E73D9"/>
    <w:rsid w:val="003F0294"/>
    <w:rsid w:val="003F33B6"/>
    <w:rsid w:val="004274C5"/>
    <w:rsid w:val="0043034A"/>
    <w:rsid w:val="004332D0"/>
    <w:rsid w:val="00452581"/>
    <w:rsid w:val="00456A19"/>
    <w:rsid w:val="004642BB"/>
    <w:rsid w:val="00464E8B"/>
    <w:rsid w:val="004935FE"/>
    <w:rsid w:val="004A4C0C"/>
    <w:rsid w:val="004B4F1D"/>
    <w:rsid w:val="004C5720"/>
    <w:rsid w:val="004C6E3D"/>
    <w:rsid w:val="004D0E6B"/>
    <w:rsid w:val="004F392D"/>
    <w:rsid w:val="0052506B"/>
    <w:rsid w:val="00536CE0"/>
    <w:rsid w:val="005926F5"/>
    <w:rsid w:val="005A3836"/>
    <w:rsid w:val="005A4CDC"/>
    <w:rsid w:val="005D7C29"/>
    <w:rsid w:val="005E66A9"/>
    <w:rsid w:val="005F7D96"/>
    <w:rsid w:val="00604BC0"/>
    <w:rsid w:val="00615579"/>
    <w:rsid w:val="0062539D"/>
    <w:rsid w:val="006503E6"/>
    <w:rsid w:val="00666E7C"/>
    <w:rsid w:val="00670E88"/>
    <w:rsid w:val="00676083"/>
    <w:rsid w:val="006974EA"/>
    <w:rsid w:val="006A04B5"/>
    <w:rsid w:val="006A119E"/>
    <w:rsid w:val="006A1C55"/>
    <w:rsid w:val="006B17B8"/>
    <w:rsid w:val="006D04A8"/>
    <w:rsid w:val="006D531E"/>
    <w:rsid w:val="006F568E"/>
    <w:rsid w:val="007074D4"/>
    <w:rsid w:val="0071102C"/>
    <w:rsid w:val="007311F9"/>
    <w:rsid w:val="0076229A"/>
    <w:rsid w:val="00774606"/>
    <w:rsid w:val="00774D3A"/>
    <w:rsid w:val="007775AE"/>
    <w:rsid w:val="00784B96"/>
    <w:rsid w:val="007A2FA8"/>
    <w:rsid w:val="007A6650"/>
    <w:rsid w:val="007C1A23"/>
    <w:rsid w:val="007C3986"/>
    <w:rsid w:val="007C7ACA"/>
    <w:rsid w:val="007D6D42"/>
    <w:rsid w:val="007D7162"/>
    <w:rsid w:val="007E2600"/>
    <w:rsid w:val="007E389D"/>
    <w:rsid w:val="007E5A7F"/>
    <w:rsid w:val="007F033F"/>
    <w:rsid w:val="007F3976"/>
    <w:rsid w:val="0080079A"/>
    <w:rsid w:val="0081229B"/>
    <w:rsid w:val="00813280"/>
    <w:rsid w:val="00820C71"/>
    <w:rsid w:val="00825443"/>
    <w:rsid w:val="00825B31"/>
    <w:rsid w:val="00826A98"/>
    <w:rsid w:val="00836645"/>
    <w:rsid w:val="00837E1E"/>
    <w:rsid w:val="00844A36"/>
    <w:rsid w:val="0085151E"/>
    <w:rsid w:val="00883EF8"/>
    <w:rsid w:val="008A0BCF"/>
    <w:rsid w:val="008A7825"/>
    <w:rsid w:val="008A7E07"/>
    <w:rsid w:val="008C643A"/>
    <w:rsid w:val="008D1D53"/>
    <w:rsid w:val="008D22E1"/>
    <w:rsid w:val="008D4D83"/>
    <w:rsid w:val="008F0818"/>
    <w:rsid w:val="00907119"/>
    <w:rsid w:val="00926360"/>
    <w:rsid w:val="00947D79"/>
    <w:rsid w:val="009702DF"/>
    <w:rsid w:val="009842E8"/>
    <w:rsid w:val="009B443A"/>
    <w:rsid w:val="009D2F90"/>
    <w:rsid w:val="009D67D8"/>
    <w:rsid w:val="009E24D8"/>
    <w:rsid w:val="00A12ADF"/>
    <w:rsid w:val="00A169B1"/>
    <w:rsid w:val="00A450D7"/>
    <w:rsid w:val="00A51F14"/>
    <w:rsid w:val="00A56218"/>
    <w:rsid w:val="00A702BF"/>
    <w:rsid w:val="00A735E3"/>
    <w:rsid w:val="00A7635B"/>
    <w:rsid w:val="00A80D88"/>
    <w:rsid w:val="00A91106"/>
    <w:rsid w:val="00AA2BA7"/>
    <w:rsid w:val="00AC0E57"/>
    <w:rsid w:val="00AC4599"/>
    <w:rsid w:val="00AD5020"/>
    <w:rsid w:val="00AE441B"/>
    <w:rsid w:val="00AF6E6F"/>
    <w:rsid w:val="00AF70EA"/>
    <w:rsid w:val="00B216B9"/>
    <w:rsid w:val="00B34DE5"/>
    <w:rsid w:val="00B404C3"/>
    <w:rsid w:val="00B47B06"/>
    <w:rsid w:val="00B47DF4"/>
    <w:rsid w:val="00B53AF4"/>
    <w:rsid w:val="00B53B6B"/>
    <w:rsid w:val="00B565AF"/>
    <w:rsid w:val="00B57E4D"/>
    <w:rsid w:val="00B84D30"/>
    <w:rsid w:val="00B9074F"/>
    <w:rsid w:val="00BB1A05"/>
    <w:rsid w:val="00BB1E65"/>
    <w:rsid w:val="00BC047F"/>
    <w:rsid w:val="00BC3207"/>
    <w:rsid w:val="00BF4A3B"/>
    <w:rsid w:val="00BF5650"/>
    <w:rsid w:val="00C0347C"/>
    <w:rsid w:val="00C05D03"/>
    <w:rsid w:val="00C3265A"/>
    <w:rsid w:val="00C4188B"/>
    <w:rsid w:val="00C42CB9"/>
    <w:rsid w:val="00C60798"/>
    <w:rsid w:val="00C61D3D"/>
    <w:rsid w:val="00C62BAC"/>
    <w:rsid w:val="00C62C7D"/>
    <w:rsid w:val="00C740EA"/>
    <w:rsid w:val="00C802A3"/>
    <w:rsid w:val="00CC7F26"/>
    <w:rsid w:val="00CD64AF"/>
    <w:rsid w:val="00CD6B7A"/>
    <w:rsid w:val="00D04334"/>
    <w:rsid w:val="00D33250"/>
    <w:rsid w:val="00D56723"/>
    <w:rsid w:val="00D63581"/>
    <w:rsid w:val="00D71E4F"/>
    <w:rsid w:val="00D720A2"/>
    <w:rsid w:val="00D866FF"/>
    <w:rsid w:val="00DB2AE7"/>
    <w:rsid w:val="00DB38BD"/>
    <w:rsid w:val="00DC11E1"/>
    <w:rsid w:val="00DF6CE0"/>
    <w:rsid w:val="00E0242E"/>
    <w:rsid w:val="00E3527F"/>
    <w:rsid w:val="00E40E8A"/>
    <w:rsid w:val="00E42544"/>
    <w:rsid w:val="00E715BC"/>
    <w:rsid w:val="00E87FD3"/>
    <w:rsid w:val="00EB314E"/>
    <w:rsid w:val="00EC4120"/>
    <w:rsid w:val="00ED2FE1"/>
    <w:rsid w:val="00ED324A"/>
    <w:rsid w:val="00ED37AC"/>
    <w:rsid w:val="00EE1387"/>
    <w:rsid w:val="00EE7EDC"/>
    <w:rsid w:val="00F01DAE"/>
    <w:rsid w:val="00F01E4E"/>
    <w:rsid w:val="00F3618F"/>
    <w:rsid w:val="00F43AC4"/>
    <w:rsid w:val="00F44366"/>
    <w:rsid w:val="00F501B8"/>
    <w:rsid w:val="00F5033F"/>
    <w:rsid w:val="00F71214"/>
    <w:rsid w:val="00F73259"/>
    <w:rsid w:val="00F7716A"/>
    <w:rsid w:val="00F805D9"/>
    <w:rsid w:val="00F96561"/>
    <w:rsid w:val="00FA621D"/>
    <w:rsid w:val="00FA779B"/>
    <w:rsid w:val="00FB06C1"/>
    <w:rsid w:val="00FB5601"/>
    <w:rsid w:val="00FC552E"/>
    <w:rsid w:val="00FC6F76"/>
    <w:rsid w:val="00FD520C"/>
    <w:rsid w:val="00FD7241"/>
    <w:rsid w:val="00FD7AD6"/>
    <w:rsid w:val="00FF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E16F3E"/>
  <w15:chartTrackingRefBased/>
  <w15:docId w15:val="{A0E225AB-7C9F-4FDC-B99F-252DC08D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909D2"/>
    <w:pPr>
      <w:keepNext/>
      <w:keepLines/>
      <w:numPr>
        <w:numId w:val="2"/>
      </w:numPr>
      <w:spacing w:before="360" w:after="80" w:line="360" w:lineRule="auto"/>
      <w:outlineLvl w:val="0"/>
    </w:pPr>
    <w:rPr>
      <w:rFonts w:ascii="Arial" w:eastAsiaTheme="majorEastAsia" w:hAnsi="Arial" w:cs="Arial"/>
      <w:b/>
      <w:sz w:val="22"/>
      <w:szCs w:val="36"/>
    </w:rPr>
  </w:style>
  <w:style w:type="paragraph" w:styleId="Heading2">
    <w:name w:val="heading 2"/>
    <w:basedOn w:val="Normal"/>
    <w:next w:val="Normal"/>
    <w:link w:val="Heading2Char"/>
    <w:uiPriority w:val="9"/>
    <w:semiHidden/>
    <w:unhideWhenUsed/>
    <w:qFormat/>
    <w:rsid w:val="00825B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5B3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5B3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25B3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25B3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5B3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5B3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5B3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9D2"/>
    <w:rPr>
      <w:rFonts w:ascii="Arial" w:eastAsiaTheme="majorEastAsia" w:hAnsi="Arial" w:cs="Arial"/>
      <w:b/>
      <w:sz w:val="22"/>
      <w:szCs w:val="36"/>
    </w:rPr>
  </w:style>
  <w:style w:type="character" w:customStyle="1" w:styleId="Heading2Char">
    <w:name w:val="Heading 2 Char"/>
    <w:basedOn w:val="DefaultParagraphFont"/>
    <w:link w:val="Heading2"/>
    <w:uiPriority w:val="9"/>
    <w:semiHidden/>
    <w:rsid w:val="00825B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5B3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5B3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25B3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25B3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25B3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25B3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25B31"/>
    <w:rPr>
      <w:rFonts w:asciiTheme="minorHAnsi" w:eastAsiaTheme="majorEastAsia" w:hAnsiTheme="minorHAnsi" w:cstheme="majorBidi"/>
      <w:color w:val="272727" w:themeColor="text1" w:themeTint="D8"/>
    </w:rPr>
  </w:style>
  <w:style w:type="paragraph" w:styleId="Title">
    <w:name w:val="Title"/>
    <w:aliases w:val="Label"/>
    <w:basedOn w:val="Normal"/>
    <w:next w:val="Normal"/>
    <w:link w:val="TitleChar"/>
    <w:autoRedefine/>
    <w:uiPriority w:val="10"/>
    <w:qFormat/>
    <w:rsid w:val="001909D2"/>
    <w:pPr>
      <w:spacing w:after="80" w:line="276" w:lineRule="auto"/>
      <w:contextualSpacing/>
      <w:jc w:val="center"/>
    </w:pPr>
    <w:rPr>
      <w:rFonts w:ascii="Arial" w:eastAsiaTheme="majorEastAsia" w:hAnsi="Arial" w:cs="Arial"/>
      <w:b/>
      <w:bCs/>
      <w:spacing w:val="-10"/>
      <w:kern w:val="28"/>
      <w:sz w:val="20"/>
      <w:szCs w:val="56"/>
    </w:rPr>
  </w:style>
  <w:style w:type="character" w:customStyle="1" w:styleId="TitleChar">
    <w:name w:val="Title Char"/>
    <w:aliases w:val="Label Char"/>
    <w:basedOn w:val="DefaultParagraphFont"/>
    <w:link w:val="Title"/>
    <w:uiPriority w:val="10"/>
    <w:rsid w:val="001909D2"/>
    <w:rPr>
      <w:rFonts w:ascii="Arial" w:eastAsiaTheme="majorEastAsia" w:hAnsi="Arial" w:cs="Arial"/>
      <w:b/>
      <w:bCs/>
      <w:spacing w:val="-10"/>
      <w:kern w:val="28"/>
      <w:sz w:val="20"/>
      <w:szCs w:val="56"/>
    </w:rPr>
  </w:style>
  <w:style w:type="paragraph" w:styleId="Subtitle">
    <w:name w:val="Subtitle"/>
    <w:basedOn w:val="Normal"/>
    <w:next w:val="Normal"/>
    <w:link w:val="SubtitleChar"/>
    <w:uiPriority w:val="11"/>
    <w:qFormat/>
    <w:rsid w:val="00825B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B3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25B31"/>
    <w:pPr>
      <w:spacing w:before="160"/>
      <w:jc w:val="center"/>
    </w:pPr>
    <w:rPr>
      <w:i/>
      <w:iCs/>
      <w:color w:val="404040" w:themeColor="text1" w:themeTint="BF"/>
    </w:rPr>
  </w:style>
  <w:style w:type="character" w:customStyle="1" w:styleId="QuoteChar">
    <w:name w:val="Quote Char"/>
    <w:basedOn w:val="DefaultParagraphFont"/>
    <w:link w:val="Quote"/>
    <w:uiPriority w:val="29"/>
    <w:rsid w:val="00825B31"/>
    <w:rPr>
      <w:i/>
      <w:iCs/>
      <w:color w:val="404040" w:themeColor="text1" w:themeTint="BF"/>
    </w:rPr>
  </w:style>
  <w:style w:type="paragraph" w:styleId="ListParagraph">
    <w:name w:val="List Paragraph"/>
    <w:basedOn w:val="Normal"/>
    <w:uiPriority w:val="34"/>
    <w:qFormat/>
    <w:rsid w:val="00825B31"/>
    <w:pPr>
      <w:ind w:left="720"/>
      <w:contextualSpacing/>
    </w:pPr>
  </w:style>
  <w:style w:type="character" w:styleId="IntenseEmphasis">
    <w:name w:val="Intense Emphasis"/>
    <w:basedOn w:val="DefaultParagraphFont"/>
    <w:uiPriority w:val="21"/>
    <w:qFormat/>
    <w:rsid w:val="00825B31"/>
    <w:rPr>
      <w:i/>
      <w:iCs/>
      <w:color w:val="2F5496" w:themeColor="accent1" w:themeShade="BF"/>
    </w:rPr>
  </w:style>
  <w:style w:type="paragraph" w:styleId="IntenseQuote">
    <w:name w:val="Intense Quote"/>
    <w:basedOn w:val="Normal"/>
    <w:next w:val="Normal"/>
    <w:link w:val="IntenseQuoteChar"/>
    <w:uiPriority w:val="30"/>
    <w:qFormat/>
    <w:rsid w:val="00825B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5B31"/>
    <w:rPr>
      <w:i/>
      <w:iCs/>
      <w:color w:val="2F5496" w:themeColor="accent1" w:themeShade="BF"/>
    </w:rPr>
  </w:style>
  <w:style w:type="character" w:styleId="IntenseReference">
    <w:name w:val="Intense Reference"/>
    <w:basedOn w:val="DefaultParagraphFont"/>
    <w:uiPriority w:val="32"/>
    <w:qFormat/>
    <w:rsid w:val="00825B31"/>
    <w:rPr>
      <w:b/>
      <w:bCs/>
      <w:smallCaps/>
      <w:color w:val="2F5496" w:themeColor="accent1" w:themeShade="BF"/>
      <w:spacing w:val="5"/>
    </w:rPr>
  </w:style>
  <w:style w:type="paragraph" w:styleId="Header">
    <w:name w:val="header"/>
    <w:basedOn w:val="Normal"/>
    <w:link w:val="HeaderChar"/>
    <w:uiPriority w:val="99"/>
    <w:unhideWhenUsed/>
    <w:rsid w:val="001D2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425"/>
  </w:style>
  <w:style w:type="paragraph" w:styleId="Footer">
    <w:name w:val="footer"/>
    <w:basedOn w:val="Normal"/>
    <w:link w:val="FooterChar"/>
    <w:uiPriority w:val="99"/>
    <w:unhideWhenUsed/>
    <w:rsid w:val="001D2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425"/>
  </w:style>
  <w:style w:type="paragraph" w:styleId="Bibliography">
    <w:name w:val="Bibliography"/>
    <w:basedOn w:val="Normal"/>
    <w:next w:val="Normal"/>
    <w:uiPriority w:val="37"/>
    <w:unhideWhenUsed/>
    <w:rsid w:val="000247D0"/>
    <w:pPr>
      <w:spacing w:after="0" w:line="240" w:lineRule="auto"/>
      <w:ind w:left="720" w:hanging="720"/>
    </w:pPr>
  </w:style>
  <w:style w:type="table" w:styleId="TableGrid">
    <w:name w:val="Table Grid"/>
    <w:basedOn w:val="TableNormal"/>
    <w:uiPriority w:val="39"/>
    <w:rsid w:val="006D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3EF8"/>
    <w:pPr>
      <w:spacing w:after="200" w:line="240" w:lineRule="auto"/>
    </w:pPr>
    <w:rPr>
      <w:i/>
      <w:iCs/>
      <w:color w:val="44546A" w:themeColor="text2"/>
      <w:sz w:val="18"/>
      <w:szCs w:val="18"/>
    </w:rPr>
  </w:style>
  <w:style w:type="paragraph" w:styleId="NormalWeb">
    <w:name w:val="Normal (Web)"/>
    <w:basedOn w:val="Normal"/>
    <w:uiPriority w:val="99"/>
    <w:semiHidden/>
    <w:unhideWhenUsed/>
    <w:rsid w:val="00F5033F"/>
    <w:pPr>
      <w:spacing w:before="100" w:beforeAutospacing="1" w:after="100" w:afterAutospacing="1" w:line="240" w:lineRule="auto"/>
    </w:pPr>
    <w:rPr>
      <w:rFonts w:eastAsia="Times New Roman" w:cs="Times New Roman"/>
      <w:kern w:val="0"/>
      <w14:ligatures w14:val="none"/>
    </w:rPr>
  </w:style>
  <w:style w:type="character" w:styleId="Hyperlink">
    <w:name w:val="Hyperlink"/>
    <w:basedOn w:val="DefaultParagraphFont"/>
    <w:uiPriority w:val="99"/>
    <w:unhideWhenUsed/>
    <w:rsid w:val="00F01DAE"/>
    <w:rPr>
      <w:color w:val="0563C1" w:themeColor="hyperlink"/>
      <w:u w:val="single"/>
    </w:rPr>
  </w:style>
  <w:style w:type="character" w:styleId="UnresolvedMention">
    <w:name w:val="Unresolved Mention"/>
    <w:basedOn w:val="DefaultParagraphFont"/>
    <w:uiPriority w:val="99"/>
    <w:semiHidden/>
    <w:unhideWhenUsed/>
    <w:rsid w:val="00F01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SMEDDS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Sheet1!$D$4:$D$9</c:f>
              <c:numCache>
                <c:formatCode>General</c:formatCode>
                <c:ptCount val="6"/>
                <c:pt idx="0">
                  <c:v>5</c:v>
                </c:pt>
                <c:pt idx="1">
                  <c:v>10</c:v>
                </c:pt>
                <c:pt idx="2">
                  <c:v>15</c:v>
                </c:pt>
                <c:pt idx="3">
                  <c:v>30</c:v>
                </c:pt>
                <c:pt idx="4">
                  <c:v>45</c:v>
                </c:pt>
                <c:pt idx="5">
                  <c:v>60</c:v>
                </c:pt>
              </c:numCache>
            </c:numRef>
          </c:xVal>
          <c:yVal>
            <c:numRef>
              <c:f>Sheet1!$E$4:$E$9</c:f>
              <c:numCache>
                <c:formatCode>General</c:formatCode>
                <c:ptCount val="6"/>
                <c:pt idx="0">
                  <c:v>22</c:v>
                </c:pt>
                <c:pt idx="1">
                  <c:v>49</c:v>
                </c:pt>
                <c:pt idx="2">
                  <c:v>63</c:v>
                </c:pt>
                <c:pt idx="3">
                  <c:v>75</c:v>
                </c:pt>
                <c:pt idx="4">
                  <c:v>83</c:v>
                </c:pt>
                <c:pt idx="5">
                  <c:v>87</c:v>
                </c:pt>
              </c:numCache>
            </c:numRef>
          </c:yVal>
          <c:smooth val="1"/>
          <c:extLst>
            <c:ext xmlns:c16="http://schemas.microsoft.com/office/drawing/2014/chart" uri="{C3380CC4-5D6E-409C-BE32-E72D297353CC}">
              <c16:uniqueId val="{00000000-81AB-4CA5-A0EF-D326AE0443B7}"/>
            </c:ext>
          </c:extLst>
        </c:ser>
        <c:ser>
          <c:idx val="1"/>
          <c:order val="1"/>
          <c:tx>
            <c:v>Pure oil</c:v>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Pt>
            <c:idx val="4"/>
            <c:marker>
              <c:symbol val="circle"/>
              <c:size val="5"/>
              <c:spPr>
                <a:solidFill>
                  <a:schemeClr val="accent2"/>
                </a:solidFill>
                <a:ln w="9525">
                  <a:solidFill>
                    <a:schemeClr val="accent2"/>
                  </a:solidFill>
                </a:ln>
                <a:effectLst/>
              </c:spPr>
            </c:marker>
            <c:bubble3D val="0"/>
            <c:spPr>
              <a:ln w="19050" cap="sq">
                <a:solidFill>
                  <a:schemeClr val="accent2"/>
                </a:solidFill>
                <a:prstDash val="dash"/>
                <a:round/>
              </a:ln>
              <a:effectLst/>
            </c:spPr>
            <c:extLst>
              <c:ext xmlns:c16="http://schemas.microsoft.com/office/drawing/2014/chart" uri="{C3380CC4-5D6E-409C-BE32-E72D297353CC}">
                <c16:uniqueId val="{00000002-81AB-4CA5-A0EF-D326AE0443B7}"/>
              </c:ext>
            </c:extLst>
          </c:dPt>
          <c:xVal>
            <c:numRef>
              <c:f>Sheet1!$D$4:$D$9</c:f>
              <c:numCache>
                <c:formatCode>General</c:formatCode>
                <c:ptCount val="6"/>
                <c:pt idx="0">
                  <c:v>5</c:v>
                </c:pt>
                <c:pt idx="1">
                  <c:v>10</c:v>
                </c:pt>
                <c:pt idx="2">
                  <c:v>15</c:v>
                </c:pt>
                <c:pt idx="3">
                  <c:v>30</c:v>
                </c:pt>
                <c:pt idx="4">
                  <c:v>45</c:v>
                </c:pt>
                <c:pt idx="5">
                  <c:v>60</c:v>
                </c:pt>
              </c:numCache>
            </c:numRef>
          </c:xVal>
          <c:yVal>
            <c:numRef>
              <c:f>Sheet1!$F$4:$F$9</c:f>
              <c:numCache>
                <c:formatCode>General</c:formatCode>
                <c:ptCount val="6"/>
                <c:pt idx="0">
                  <c:v>4</c:v>
                </c:pt>
                <c:pt idx="1">
                  <c:v>9</c:v>
                </c:pt>
                <c:pt idx="2">
                  <c:v>12</c:v>
                </c:pt>
                <c:pt idx="3">
                  <c:v>19</c:v>
                </c:pt>
                <c:pt idx="4">
                  <c:v>25</c:v>
                </c:pt>
                <c:pt idx="5">
                  <c:v>31</c:v>
                </c:pt>
              </c:numCache>
            </c:numRef>
          </c:yVal>
          <c:smooth val="1"/>
          <c:extLst>
            <c:ext xmlns:c16="http://schemas.microsoft.com/office/drawing/2014/chart" uri="{C3380CC4-5D6E-409C-BE32-E72D297353CC}">
              <c16:uniqueId val="{00000001-81AB-4CA5-A0EF-D326AE0443B7}"/>
            </c:ext>
          </c:extLst>
        </c:ser>
        <c:dLbls>
          <c:showLegendKey val="0"/>
          <c:showVal val="0"/>
          <c:showCatName val="0"/>
          <c:showSerName val="0"/>
          <c:showPercent val="0"/>
          <c:showBubbleSize val="0"/>
        </c:dLbls>
        <c:axId val="412126920"/>
        <c:axId val="412125120"/>
      </c:scatterChart>
      <c:valAx>
        <c:axId val="412126920"/>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125120"/>
        <c:crosses val="autoZero"/>
        <c:crossBetween val="midCat"/>
        <c:majorUnit val="20"/>
      </c:valAx>
      <c:valAx>
        <c:axId val="4121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Cumulative drug release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126920"/>
        <c:crosses val="autoZero"/>
        <c:crossBetween val="midCat"/>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651AAD-6632-4373-95E0-6C88AC8D1DA9}">
  <we:reference id="wa200000368" version="1.0.0.0" store="en-US" storeType="OMEX"/>
  <we:alternateReferences>
    <we:reference id="wa200000368" version="1.0.0.0" store="en-US" storeType="OMEX"/>
  </we:alternateReferences>
  <we:properties>
    <we:property name="documentId" value="&quot;bf9f400688310af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ED45E-57D7-4BC9-82E9-D3E4C800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Pages>
  <Words>13028</Words>
  <Characters>74260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PC 1170</cp:lastModifiedBy>
  <cp:revision>13</cp:revision>
  <dcterms:created xsi:type="dcterms:W3CDTF">2026-01-19T08:40:00Z</dcterms:created>
  <dcterms:modified xsi:type="dcterms:W3CDTF">2026-01-21T09:04:00Z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id="Oovy5buU"/&gt;&lt;style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