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9F1E" w14:textId="77777777" w:rsidR="00754C9A" w:rsidRDefault="00754C9A" w:rsidP="00441B6F">
      <w:pPr>
        <w:pStyle w:val="Title"/>
        <w:spacing w:after="0"/>
        <w:jc w:val="both"/>
        <w:rPr>
          <w:rFonts w:ascii="Arial" w:hAnsi="Arial" w:cs="Arial"/>
        </w:rPr>
      </w:pPr>
    </w:p>
    <w:p w14:paraId="36E6ACDE" w14:textId="68614E43" w:rsidR="00A258C3" w:rsidRPr="00790ADA" w:rsidRDefault="005A52D9" w:rsidP="005A52D9">
      <w:pPr>
        <w:pStyle w:val="Author"/>
        <w:spacing w:line="240" w:lineRule="auto"/>
        <w:rPr>
          <w:rFonts w:ascii="Arial" w:hAnsi="Arial" w:cs="Arial"/>
          <w:sz w:val="36"/>
        </w:rPr>
      </w:pPr>
      <w:r w:rsidRPr="005A52D9">
        <w:rPr>
          <w:rFonts w:ascii="Arial" w:hAnsi="Arial" w:cs="Arial"/>
          <w:bCs/>
          <w:iCs/>
          <w:kern w:val="28"/>
          <w:sz w:val="36"/>
        </w:rPr>
        <w:t>Response of Growth and Yield of Shallot the True Shallot Seed (TSS) to the Application of PSB Liquid Organic Fertilizer and Inorganic Fertilizer</w:t>
      </w:r>
    </w:p>
    <w:p w14:paraId="6229139F" w14:textId="77777777" w:rsidR="005A52D9" w:rsidRDefault="005A52D9" w:rsidP="005A52D9">
      <w:pPr>
        <w:pStyle w:val="Author"/>
        <w:spacing w:line="240" w:lineRule="auto"/>
        <w:rPr>
          <w:rFonts w:ascii="Arial" w:hAnsi="Arial" w:cs="Arial"/>
        </w:rPr>
      </w:pPr>
    </w:p>
    <w:p w14:paraId="11638D25" w14:textId="77777777" w:rsidR="00790ADA" w:rsidRDefault="00790ADA" w:rsidP="00441B6F">
      <w:pPr>
        <w:pStyle w:val="Affiliation"/>
        <w:spacing w:after="0" w:line="240" w:lineRule="auto"/>
        <w:jc w:val="both"/>
        <w:rPr>
          <w:rFonts w:ascii="Arial" w:hAnsi="Arial" w:cs="Arial"/>
        </w:rPr>
      </w:pPr>
      <w:bookmarkStart w:id="0" w:name="_GoBack"/>
      <w:bookmarkEnd w:id="0"/>
    </w:p>
    <w:p w14:paraId="332A700D" w14:textId="77777777" w:rsidR="002C57D2" w:rsidRPr="00FB3A86" w:rsidRDefault="002C57D2" w:rsidP="00441B6F">
      <w:pPr>
        <w:pStyle w:val="Affiliation"/>
        <w:spacing w:after="0" w:line="240" w:lineRule="auto"/>
        <w:jc w:val="both"/>
        <w:rPr>
          <w:rFonts w:ascii="Arial" w:hAnsi="Arial" w:cs="Arial"/>
        </w:rPr>
      </w:pPr>
    </w:p>
    <w:p w14:paraId="7E19719E" w14:textId="07E2CFF9" w:rsidR="00B01FCD" w:rsidRPr="00FB3A86" w:rsidRDefault="006A5080" w:rsidP="00441B6F">
      <w:pPr>
        <w:pStyle w:val="Copyright"/>
        <w:spacing w:after="0" w:line="240" w:lineRule="auto"/>
        <w:jc w:val="both"/>
        <w:rPr>
          <w:rFonts w:ascii="Arial" w:hAnsi="Arial" w:cs="Arial"/>
        </w:rPr>
        <w:sectPr w:rsidR="00B01FCD" w:rsidRPr="00FB3A86" w:rsidSect="00FC32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78A509" wp14:editId="5A65A11E">
                <wp:extent cx="5303520" cy="635"/>
                <wp:effectExtent l="15240" t="13335" r="15240" b="15240"/>
                <wp:docPr id="7172726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9FE3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28C4DE" w14:textId="1615FF29" w:rsidR="00B01FCD" w:rsidRDefault="00B01FCD" w:rsidP="00441B6F">
      <w:pPr>
        <w:pStyle w:val="AbstHead"/>
        <w:spacing w:after="0"/>
        <w:jc w:val="both"/>
        <w:rPr>
          <w:rFonts w:ascii="Arial" w:hAnsi="Arial" w:cs="Arial"/>
        </w:rPr>
      </w:pPr>
      <w:r w:rsidRPr="00FB3A86">
        <w:rPr>
          <w:rFonts w:ascii="Arial" w:hAnsi="Arial" w:cs="Arial"/>
        </w:rPr>
        <w:t>ABSTRA</w:t>
      </w:r>
      <w:r w:rsidR="00170D62">
        <w:rPr>
          <w:rFonts w:ascii="Arial" w:hAnsi="Arial" w:cs="Arial"/>
        </w:rPr>
        <w:t>CT</w:t>
      </w:r>
      <w:r w:rsidRPr="00FB3A86">
        <w:rPr>
          <w:rFonts w:ascii="Arial" w:hAnsi="Arial" w:cs="Arial"/>
        </w:rPr>
        <w:t xml:space="preserve"> </w:t>
      </w:r>
    </w:p>
    <w:p w14:paraId="041545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9DB2B18" w14:textId="77777777" w:rsidTr="001E44FE">
        <w:tc>
          <w:tcPr>
            <w:tcW w:w="9576" w:type="dxa"/>
            <w:shd w:val="clear" w:color="auto" w:fill="F2F2F2"/>
          </w:tcPr>
          <w:p w14:paraId="2104A282" w14:textId="2B6196D6" w:rsidR="00505F06" w:rsidRPr="00BA1B01" w:rsidRDefault="005A52D9" w:rsidP="005A52D9">
            <w:pPr>
              <w:pStyle w:val="Body"/>
              <w:rPr>
                <w:rFonts w:ascii="Arial" w:eastAsia="Calibri" w:hAnsi="Arial" w:cs="Arial"/>
                <w:szCs w:val="22"/>
              </w:rPr>
            </w:pPr>
            <w:r w:rsidRPr="005A52D9">
              <w:rPr>
                <w:rFonts w:ascii="Arial" w:eastAsia="Calibri" w:hAnsi="Arial" w:cs="Arial"/>
                <w:szCs w:val="22"/>
              </w:rPr>
              <w:t>This study aims to analyze the effect of</w:t>
            </w:r>
            <w:r>
              <w:rPr>
                <w:rFonts w:ascii="Arial" w:eastAsia="Calibri" w:hAnsi="Arial" w:cs="Arial"/>
                <w:szCs w:val="22"/>
              </w:rPr>
              <w:t xml:space="preserve"> </w:t>
            </w:r>
            <w:r w:rsidRPr="005A52D9">
              <w:rPr>
                <w:rFonts w:ascii="Arial" w:eastAsia="Calibri" w:hAnsi="Arial" w:cs="Arial"/>
                <w:szCs w:val="22"/>
              </w:rPr>
              <w:t>liquid organic fertilizer application of Photosynthetic Bacteria (PSB) and inorganic fertilizer on the growth and yield of shallots (</w:t>
            </w:r>
            <w:r w:rsidRPr="005A52D9">
              <w:rPr>
                <w:rFonts w:ascii="Arial" w:eastAsia="Calibri" w:hAnsi="Arial" w:cs="Arial"/>
                <w:i/>
                <w:iCs/>
                <w:szCs w:val="22"/>
              </w:rPr>
              <w:t>Allium cepa</w:t>
            </w:r>
            <w:r w:rsidRPr="005A52D9">
              <w:rPr>
                <w:rFonts w:ascii="Arial" w:eastAsia="Calibri" w:hAnsi="Arial" w:cs="Arial"/>
                <w:szCs w:val="22"/>
              </w:rPr>
              <w:t xml:space="preserve"> L. var. </w:t>
            </w:r>
            <w:r w:rsidRPr="005A52D9">
              <w:rPr>
                <w:rFonts w:ascii="Arial" w:eastAsia="Calibri" w:hAnsi="Arial" w:cs="Arial"/>
                <w:i/>
                <w:iCs/>
                <w:szCs w:val="22"/>
              </w:rPr>
              <w:t>aggregatum</w:t>
            </w:r>
            <w:r w:rsidRPr="005A52D9">
              <w:rPr>
                <w:rFonts w:ascii="Arial" w:eastAsia="Calibri" w:hAnsi="Arial" w:cs="Arial"/>
                <w:szCs w:val="22"/>
              </w:rPr>
              <w:t>) based on True Shallot Seed (TSS), as well as to determine the optimal dose combination. This study was conducted in Rejang Lebong Regency, Bengkulu Province, Indonesia, at coordinates 3.459831° S and 102.615364° E at an altitude of approximately 1,100 m above sea level, from July to October 2025, using a one-factor Complete Randomized Block Design (CRBD) with seven treatment combinations and four replicates. The treatments consisted of 100% inorganic fertilizer (Urea, SP-36, KCl), a combination of inorganic fertilizer with PSB at concentrations of 10 and 20 ml/L, and PSB without inorganic fertilizer. The parameters observed included plant height, number of leaves, number of tillers, number of tubers per clump, fresh</w:t>
            </w:r>
            <w:r>
              <w:rPr>
                <w:rFonts w:ascii="Arial" w:eastAsia="Calibri" w:hAnsi="Arial" w:cs="Arial"/>
                <w:szCs w:val="22"/>
              </w:rPr>
              <w:t xml:space="preserve"> </w:t>
            </w:r>
            <w:r w:rsidRPr="005A52D9">
              <w:rPr>
                <w:rFonts w:ascii="Arial" w:eastAsia="Calibri" w:hAnsi="Arial" w:cs="Arial"/>
                <w:szCs w:val="22"/>
              </w:rPr>
              <w:t>and dry tuber weight, tuber diameter and height, and tuber yield per plot.</w:t>
            </w:r>
            <w:r>
              <w:rPr>
                <w:rFonts w:ascii="Arial" w:eastAsia="Calibri" w:hAnsi="Arial" w:cs="Arial"/>
                <w:szCs w:val="22"/>
              </w:rPr>
              <w:t xml:space="preserve"> </w:t>
            </w:r>
            <w:r w:rsidRPr="005A52D9">
              <w:rPr>
                <w:rFonts w:ascii="Arial" w:eastAsia="Calibri" w:hAnsi="Arial" w:cs="Arial"/>
                <w:szCs w:val="22"/>
              </w:rPr>
              <w:t>The data were analyzed using ANOVA and a 5% BNT test if there were significant differences. The results of the analysis showed that the combination of PSB fertilizer and inorganic fertilizer had no significant effect on all variables of growth and yield of TSS shallots. Descriptively, treatment P0 (100% inorganic fertilizer) produced the highest plant height (21.95 cm) and the highest number of leaves (4.05 leaves), while the highest number of tillers was obtained in treatment P5 (25% P0 + PSB 20 ml/L) at 2.65 tillers per clump. The insignificant effect of the treatment was likely influenced by suboptimal environmental conditions, such as relatively low temperature, high humidity, low light intensity, and acidic soil pH (5.19).</w:t>
            </w:r>
          </w:p>
        </w:tc>
      </w:tr>
    </w:tbl>
    <w:p w14:paraId="781117B3" w14:textId="77777777" w:rsidR="00636EB2" w:rsidRDefault="00636EB2" w:rsidP="00441B6F">
      <w:pPr>
        <w:pStyle w:val="Body"/>
        <w:spacing w:after="0"/>
        <w:rPr>
          <w:rFonts w:ascii="Arial" w:hAnsi="Arial" w:cs="Arial"/>
          <w:i/>
        </w:rPr>
      </w:pPr>
    </w:p>
    <w:p w14:paraId="0C62369A" w14:textId="29D8B1C3" w:rsidR="005A52D9" w:rsidRDefault="005A52D9" w:rsidP="005A52D9">
      <w:pPr>
        <w:pStyle w:val="Body"/>
        <w:jc w:val="left"/>
        <w:rPr>
          <w:rFonts w:ascii="Arial" w:hAnsi="Arial" w:cs="Arial"/>
          <w:i/>
        </w:rPr>
      </w:pPr>
      <w:r w:rsidRPr="005A52D9">
        <w:rPr>
          <w:rFonts w:ascii="Arial" w:hAnsi="Arial" w:cs="Arial"/>
          <w:b/>
          <w:bCs/>
          <w:i/>
        </w:rPr>
        <w:t>Keywords:</w:t>
      </w:r>
      <w:r>
        <w:rPr>
          <w:rFonts w:ascii="Arial" w:hAnsi="Arial" w:cs="Arial"/>
          <w:i/>
        </w:rPr>
        <w:t xml:space="preserve"> </w:t>
      </w:r>
      <w:r w:rsidR="001A382A">
        <w:rPr>
          <w:rFonts w:ascii="Arial" w:hAnsi="Arial" w:cs="Arial"/>
          <w:i/>
        </w:rPr>
        <w:t>S</w:t>
      </w:r>
      <w:r w:rsidRPr="00A37F3A">
        <w:rPr>
          <w:rFonts w:ascii="Arial" w:hAnsi="Arial" w:cs="Arial"/>
          <w:i/>
        </w:rPr>
        <w:t>hallot</w:t>
      </w:r>
      <w:r w:rsidR="00102BDF">
        <w:rPr>
          <w:rFonts w:ascii="Arial" w:hAnsi="Arial" w:cs="Arial"/>
          <w:i/>
        </w:rPr>
        <w:t>,</w:t>
      </w:r>
      <w:r w:rsidRPr="00A37F3A">
        <w:rPr>
          <w:rFonts w:ascii="Arial" w:hAnsi="Arial" w:cs="Arial"/>
          <w:i/>
        </w:rPr>
        <w:t xml:space="preserve"> True Shallot Seed (TSS)</w:t>
      </w:r>
      <w:r w:rsidR="00102BDF">
        <w:rPr>
          <w:rFonts w:ascii="Arial" w:hAnsi="Arial" w:cs="Arial"/>
          <w:i/>
        </w:rPr>
        <w:t>,</w:t>
      </w:r>
      <w:r w:rsidRPr="00A37F3A">
        <w:rPr>
          <w:rFonts w:ascii="Arial" w:hAnsi="Arial" w:cs="Arial"/>
          <w:i/>
        </w:rPr>
        <w:t xml:space="preserve"> Photosynthetic Bacteria (PSB)</w:t>
      </w:r>
      <w:r w:rsidR="001A382A">
        <w:rPr>
          <w:rFonts w:ascii="Arial" w:hAnsi="Arial" w:cs="Arial"/>
          <w:i/>
        </w:rPr>
        <w:t>,</w:t>
      </w:r>
      <w:r w:rsidRPr="00A37F3A">
        <w:rPr>
          <w:rFonts w:ascii="Arial" w:hAnsi="Arial" w:cs="Arial"/>
          <w:i/>
        </w:rPr>
        <w:t xml:space="preserve"> </w:t>
      </w:r>
      <w:r w:rsidR="001A382A">
        <w:rPr>
          <w:rFonts w:ascii="Arial" w:hAnsi="Arial" w:cs="Arial"/>
          <w:i/>
        </w:rPr>
        <w:t>I</w:t>
      </w:r>
      <w:r w:rsidRPr="00A37F3A">
        <w:rPr>
          <w:rFonts w:ascii="Arial" w:hAnsi="Arial" w:cs="Arial"/>
          <w:i/>
        </w:rPr>
        <w:t xml:space="preserve">norganic </w:t>
      </w:r>
      <w:r w:rsidR="001A382A">
        <w:rPr>
          <w:rFonts w:ascii="Arial" w:hAnsi="Arial" w:cs="Arial"/>
          <w:i/>
        </w:rPr>
        <w:t>F</w:t>
      </w:r>
      <w:r w:rsidRPr="00A37F3A">
        <w:rPr>
          <w:rFonts w:ascii="Arial" w:hAnsi="Arial" w:cs="Arial"/>
          <w:i/>
        </w:rPr>
        <w:t xml:space="preserve">ertilizer, </w:t>
      </w:r>
      <w:r w:rsidR="001A382A">
        <w:rPr>
          <w:rFonts w:ascii="Arial" w:hAnsi="Arial" w:cs="Arial"/>
          <w:i/>
        </w:rPr>
        <w:t>C</w:t>
      </w:r>
      <w:r w:rsidRPr="00A37F3A">
        <w:rPr>
          <w:rFonts w:ascii="Arial" w:hAnsi="Arial" w:cs="Arial"/>
          <w:i/>
        </w:rPr>
        <w:t xml:space="preserve">rop </w:t>
      </w:r>
      <w:r w:rsidR="001A382A">
        <w:rPr>
          <w:rFonts w:ascii="Arial" w:hAnsi="Arial" w:cs="Arial"/>
          <w:i/>
        </w:rPr>
        <w:t>P</w:t>
      </w:r>
      <w:r w:rsidRPr="00A37F3A">
        <w:rPr>
          <w:rFonts w:ascii="Arial" w:hAnsi="Arial" w:cs="Arial"/>
          <w:i/>
        </w:rPr>
        <w:t>roductivity.</w:t>
      </w:r>
    </w:p>
    <w:p w14:paraId="3C078AE8" w14:textId="77777777" w:rsidR="005A52D9" w:rsidRDefault="005A52D9" w:rsidP="005A52D9">
      <w:pPr>
        <w:pStyle w:val="AbstHead"/>
        <w:spacing w:after="0"/>
        <w:jc w:val="both"/>
        <w:rPr>
          <w:rFonts w:ascii="Arial" w:hAnsi="Arial" w:cs="Arial"/>
        </w:rPr>
      </w:pPr>
      <w:r>
        <w:rPr>
          <w:rFonts w:ascii="Arial" w:hAnsi="Arial" w:cs="Arial"/>
        </w:rPr>
        <w:t xml:space="preserve">1. </w:t>
      </w:r>
      <w:r w:rsidRPr="00181211">
        <w:rPr>
          <w:rFonts w:ascii="Arial" w:hAnsi="Arial" w:cs="Arial"/>
        </w:rPr>
        <w:t>Introductio</w:t>
      </w:r>
      <w:r>
        <w:rPr>
          <w:rFonts w:ascii="Arial" w:hAnsi="Arial" w:cs="Arial"/>
        </w:rPr>
        <w:t>n</w:t>
      </w:r>
    </w:p>
    <w:p w14:paraId="32D37723" w14:textId="77777777" w:rsidR="005A52D9" w:rsidRDefault="005A52D9" w:rsidP="005A52D9">
      <w:pPr>
        <w:pStyle w:val="Body"/>
        <w:spacing w:after="0"/>
        <w:sectPr w:rsidR="005A52D9" w:rsidSect="00FC322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1C5A677" w14:textId="0007553F" w:rsidR="00444492" w:rsidRDefault="00444492" w:rsidP="001A382A">
      <w:pPr>
        <w:widowControl w:val="0"/>
        <w:autoSpaceDE w:val="0"/>
        <w:autoSpaceDN w:val="0"/>
        <w:adjustRightInd w:val="0"/>
        <w:ind w:firstLine="720"/>
        <w:jc w:val="both"/>
        <w:rPr>
          <w:rFonts w:ascii="Arial" w:hAnsi="Arial" w:cs="Arial"/>
        </w:rPr>
      </w:pPr>
      <w:r w:rsidRPr="00444492">
        <w:rPr>
          <w:rFonts w:ascii="Arial" w:hAnsi="Arial" w:cs="Arial"/>
        </w:rPr>
        <w:t>Shallots (</w:t>
      </w:r>
      <w:r w:rsidRPr="00444492">
        <w:rPr>
          <w:rFonts w:ascii="Arial" w:hAnsi="Arial" w:cs="Arial"/>
          <w:i/>
          <w:iCs/>
        </w:rPr>
        <w:t>Allium cepa</w:t>
      </w:r>
      <w:r w:rsidRPr="00444492">
        <w:rPr>
          <w:rFonts w:ascii="Arial" w:hAnsi="Arial" w:cs="Arial"/>
        </w:rPr>
        <w:t xml:space="preserve"> L. var. </w:t>
      </w:r>
      <w:r w:rsidRPr="00444492">
        <w:rPr>
          <w:rFonts w:ascii="Arial" w:hAnsi="Arial" w:cs="Arial"/>
          <w:i/>
          <w:iCs/>
        </w:rPr>
        <w:t>aggregatum</w:t>
      </w:r>
      <w:r w:rsidRPr="00444492">
        <w:rPr>
          <w:rFonts w:ascii="Arial" w:hAnsi="Arial" w:cs="Arial"/>
        </w:rPr>
        <w:t xml:space="preserve">) are one of the leading vegetable commodities that are important to the community, both in terms of their high economic value and nutritional content. Almost every dish uses shallots as a main ingredient. In addition, this commodity is also a source of income and employment opportunities that contribute significantly to the regional economy </w:t>
      </w:r>
      <w:r>
        <w:rPr>
          <w:rFonts w:ascii="Arial" w:hAnsi="Arial" w:cs="Arial"/>
        </w:rPr>
        <w:fldChar w:fldCharType="begin" w:fldLock="1"/>
      </w:r>
      <w:r>
        <w:rPr>
          <w:rFonts w:ascii="Arial" w:hAnsi="Arial" w:cs="Arial"/>
        </w:rPr>
        <w:instrText>ADDIN CSL_CITATION {"citationItems":[{"id":"ITEM-1","itemData":{"ISSN":"2715-033X","author":[{"dropping-particle":"","family":"Sitepu","given":"Sri Mahareni","non-dropping-particle":"","parse-names":false,"suffix":""},{"dropping-particle":"","family":"Refnizuida","given":"Refnizuida","non-dropping-particle":"","parse-names":false,"suffix":""}],"container-title":"Jurnal Agroplasma","id":"ITEM-1","issue":"1","issued":{"date-parts":[["2023"]]},"page":"345-350","title":"Peningkatan Produksi Bawang Merah (Allium asclonicum L.) Akibat Pemberian NPK Fermentasi Berbagai Jenis Limbah Tanaman","type":"article-journal","volume":"10"},"uris":["http://www.mendeley.com/documents/?uuid=0371c78b-0e3b-4396-b31f-210b49a9dce0"]}],"mendeley":{"formattedCitation":"(Sitepu &amp; Refnizuida, 2023)","plainTextFormattedCitation":"(Sitepu &amp; Refnizuida, 2023)","previouslyFormattedCitation":"(Sitepu &amp; Refnizuida, 2023)"},"properties":{"noteIndex":0},"schema":"https://github.com/citation-style-language/schema/raw/master/csl-citation.json"}</w:instrText>
      </w:r>
      <w:r>
        <w:rPr>
          <w:rFonts w:ascii="Arial" w:hAnsi="Arial" w:cs="Arial"/>
        </w:rPr>
        <w:fldChar w:fldCharType="separate"/>
      </w:r>
      <w:r w:rsidRPr="00444492">
        <w:rPr>
          <w:rFonts w:ascii="Arial" w:hAnsi="Arial" w:cs="Arial"/>
          <w:noProof/>
        </w:rPr>
        <w:t>(Sitepu &amp; Refnizuida, 2023)</w:t>
      </w:r>
      <w:r>
        <w:rPr>
          <w:rFonts w:ascii="Arial" w:hAnsi="Arial" w:cs="Arial"/>
        </w:rPr>
        <w:fldChar w:fldCharType="end"/>
      </w:r>
      <w:r w:rsidR="005A52D9" w:rsidRPr="00ED4AFB">
        <w:rPr>
          <w:rFonts w:ascii="Arial" w:hAnsi="Arial" w:cs="Arial"/>
        </w:rPr>
        <w:t xml:space="preserve">. </w:t>
      </w:r>
    </w:p>
    <w:p w14:paraId="6EA431B7" w14:textId="77777777" w:rsidR="005A52D9" w:rsidRPr="00ED4AFB" w:rsidRDefault="005A52D9" w:rsidP="005A52D9">
      <w:pPr>
        <w:pStyle w:val="Body"/>
        <w:spacing w:after="0"/>
        <w:rPr>
          <w:rFonts w:ascii="Arial" w:hAnsi="Arial" w:cs="Arial"/>
        </w:rPr>
      </w:pPr>
    </w:p>
    <w:p w14:paraId="1D5F0C59" w14:textId="7F7BB229" w:rsidR="005A52D9" w:rsidRPr="00ED4AFB" w:rsidRDefault="005A52D9" w:rsidP="001A382A">
      <w:pPr>
        <w:pStyle w:val="Body"/>
        <w:spacing w:after="0"/>
        <w:ind w:firstLine="720"/>
        <w:rPr>
          <w:rFonts w:ascii="Arial" w:hAnsi="Arial" w:cs="Arial"/>
        </w:rPr>
      </w:pPr>
      <w:r w:rsidRPr="00ED4AFB">
        <w:rPr>
          <w:rFonts w:ascii="Arial" w:hAnsi="Arial" w:cs="Arial"/>
        </w:rPr>
        <w:t xml:space="preserve">Based on data from the Central Statistics Agency, national shallot production in 2021 reached 2,004,590 tons, then decreased by 1.11% in 2022 to 1,982,360 tons, and increased again by 0.14% to 1,985,233 tons in 2023. Although relatively stable nationally, shallot production in Bengkulu Province experienced quite sharp fluctuations, from 990 tons (2021) </w:t>
      </w:r>
      <w:r w:rsidRPr="00ED4AFB">
        <w:rPr>
          <w:rFonts w:ascii="Arial" w:hAnsi="Arial" w:cs="Arial"/>
        </w:rPr>
        <w:lastRenderedPageBreak/>
        <w:t xml:space="preserve">to 1,023 tons (2022), then dropped dramatically to 671 tons in 2023 </w:t>
      </w:r>
      <w:r w:rsidRPr="00ED4AFB">
        <w:rPr>
          <w:rFonts w:ascii="Arial" w:hAnsi="Arial" w:cs="Arial"/>
          <w:bCs/>
        </w:rPr>
        <w:fldChar w:fldCharType="begin" w:fldLock="1"/>
      </w:r>
      <w:r w:rsidR="00ED4AFB" w:rsidRPr="00ED4AFB">
        <w:rPr>
          <w:rFonts w:ascii="Arial" w:hAnsi="Arial" w:cs="Arial"/>
          <w:bCs/>
        </w:rPr>
        <w:instrText>ADDIN CSL_CITATION {"citationItems":[{"id":"ITEM-1","itemData":{"URL":"https://www.bps.go.id/id/statistics-table/2/NjEjMg==/production-of-vegetables.html","accessed":{"date-parts":[["2025","1","29"]]},"author":[{"dropping-particle":"","family":"Indonesia","given":"Badan Pusat Statistik","non-dropping-particle":"","parse-names":false,"suffix":""}],"id":"ITEM-1","issued":{"date-parts":[["2024"]]},"title":"Produksi tanaman sayuran","type":"webpage"},"uris":["http://www.mendeley.com/documents/?uuid=90599770-fd6c-4e7c-ba43-40f2ccbc52aa"]}],"mendeley":{"formattedCitation":"(Indonesia, 2024)","manualFormatting":"(CSA,2024)","plainTextFormattedCitation":"(Indonesia, 2024)","previouslyFormattedCitation":"(Indonesia, 2024)"},"properties":{"noteIndex":0},"schema":"https://github.com/citation-style-language/schema/raw/master/csl-citation.json"}</w:instrText>
      </w:r>
      <w:r w:rsidRPr="00ED4AFB">
        <w:rPr>
          <w:rFonts w:ascii="Arial" w:hAnsi="Arial" w:cs="Arial"/>
          <w:bCs/>
        </w:rPr>
        <w:fldChar w:fldCharType="separate"/>
      </w:r>
      <w:r w:rsidRPr="00ED4AFB">
        <w:rPr>
          <w:rFonts w:ascii="Arial" w:hAnsi="Arial" w:cs="Arial"/>
          <w:bCs/>
          <w:noProof/>
        </w:rPr>
        <w:t>(</w:t>
      </w:r>
      <w:r w:rsidR="00946CA7" w:rsidRPr="00ED4AFB">
        <w:rPr>
          <w:rFonts w:ascii="Arial" w:hAnsi="Arial" w:cs="Arial"/>
          <w:bCs/>
          <w:noProof/>
        </w:rPr>
        <w:t>CSA</w:t>
      </w:r>
      <w:r w:rsidRPr="00ED4AFB">
        <w:rPr>
          <w:rFonts w:ascii="Arial" w:hAnsi="Arial" w:cs="Arial"/>
          <w:bCs/>
          <w:noProof/>
        </w:rPr>
        <w:t>,</w:t>
      </w:r>
      <w:r w:rsidR="001A382A">
        <w:rPr>
          <w:rFonts w:ascii="Arial" w:hAnsi="Arial" w:cs="Arial"/>
          <w:bCs/>
          <w:noProof/>
        </w:rPr>
        <w:t xml:space="preserve"> </w:t>
      </w:r>
      <w:r w:rsidRPr="00ED4AFB">
        <w:rPr>
          <w:rFonts w:ascii="Arial" w:hAnsi="Arial" w:cs="Arial"/>
          <w:bCs/>
          <w:noProof/>
        </w:rPr>
        <w:t>2024)</w:t>
      </w:r>
      <w:r w:rsidRPr="00ED4AFB">
        <w:rPr>
          <w:rFonts w:ascii="Arial" w:hAnsi="Arial" w:cs="Arial"/>
          <w:bCs/>
        </w:rPr>
        <w:fldChar w:fldCharType="end"/>
      </w:r>
      <w:r w:rsidRPr="00ED4AFB">
        <w:rPr>
          <w:rFonts w:ascii="Arial" w:hAnsi="Arial" w:cs="Arial"/>
          <w:bCs/>
          <w:sz w:val="24"/>
          <w:szCs w:val="24"/>
        </w:rPr>
        <w:t>.</w:t>
      </w:r>
      <w:r w:rsidRPr="00ED4AFB">
        <w:t xml:space="preserve"> </w:t>
      </w:r>
      <w:r w:rsidRPr="00ED4AFB">
        <w:rPr>
          <w:rFonts w:ascii="Arial" w:hAnsi="Arial" w:cs="Arial"/>
        </w:rPr>
        <w:t>This decline indicates the need for continuous efforts to improve productivity.</w:t>
      </w:r>
    </w:p>
    <w:p w14:paraId="53A50930" w14:textId="56AE85C7" w:rsidR="005A52D9" w:rsidRPr="00ED4AFB" w:rsidRDefault="005A52D9" w:rsidP="00757DD0">
      <w:pPr>
        <w:pStyle w:val="Body"/>
        <w:spacing w:after="0"/>
        <w:ind w:firstLine="720"/>
        <w:rPr>
          <w:rFonts w:ascii="Arial" w:hAnsi="Arial" w:cs="Arial"/>
          <w:sz w:val="24"/>
          <w:szCs w:val="24"/>
        </w:rPr>
      </w:pPr>
      <w:r w:rsidRPr="00ED4AFB">
        <w:rPr>
          <w:rFonts w:ascii="Arial" w:hAnsi="Arial" w:cs="Arial"/>
        </w:rPr>
        <w:t xml:space="preserve">National shallot productivity ranges from 8 to 15 tons/ha and has increased from 10.30 tons/ha (2021) to 10.93 tons/ha in 2023 </w:t>
      </w:r>
      <w:r w:rsidRPr="00ED4AFB">
        <w:rPr>
          <w:rFonts w:ascii="Arial" w:hAnsi="Arial" w:cs="Arial"/>
          <w:bCs/>
          <w:color w:val="000000"/>
        </w:rPr>
        <w:fldChar w:fldCharType="begin" w:fldLock="1"/>
      </w:r>
      <w:r w:rsidR="00ED4AFB">
        <w:rPr>
          <w:rFonts w:ascii="Arial" w:hAnsi="Arial" w:cs="Arial"/>
          <w:bCs/>
          <w:color w:val="000000"/>
        </w:rPr>
        <w:instrText>ADDIN CSL_CITATION {"citationItems":[{"id":"ITEM-1","itemData":{"author":[{"dropping-particle":"","family":"Pertanian","given":"Kementerian","non-dropping-particle":"","parse-names":false,"suffix":""}],"container-title":"Direktorat Jenderal Hortikultura, Kementerian Pertanian. Jakarta (ID)","id":"ITEM-1","issued":{"date-parts":[["2024"]]},"title":"Angka tetap hortikultura 2023","type":"article-journal"},"uris":["http://www.mendeley.com/documents/?uuid=f0a6fa96-c4c3-422e-85c9-6787f10e2c04"]}],"mendeley":{"formattedCitation":"(Pertanian, 2024)","manualFormatting":"(Agriculture, 2024)","plainTextFormattedCitation":"(Pertanian, 2024)","previouslyFormattedCitation":"(Pertanian, 2024)"},"properties":{"noteIndex":0},"schema":"https://github.com/citation-style-language/schema/raw/master/csl-citation.json"}</w:instrText>
      </w:r>
      <w:r w:rsidRPr="00ED4AFB">
        <w:rPr>
          <w:rFonts w:ascii="Arial" w:hAnsi="Arial" w:cs="Arial"/>
          <w:bCs/>
          <w:color w:val="000000"/>
        </w:rPr>
        <w:fldChar w:fldCharType="separate"/>
      </w:r>
      <w:r w:rsidRPr="00ED4AFB">
        <w:rPr>
          <w:rFonts w:ascii="Arial" w:hAnsi="Arial" w:cs="Arial"/>
          <w:bCs/>
          <w:noProof/>
          <w:color w:val="000000"/>
        </w:rPr>
        <w:t>(</w:t>
      </w:r>
      <w:r w:rsidR="00946CA7" w:rsidRPr="00ED4AFB">
        <w:rPr>
          <w:rFonts w:ascii="Arial" w:hAnsi="Arial" w:cs="Arial"/>
          <w:bCs/>
          <w:noProof/>
          <w:color w:val="000000"/>
        </w:rPr>
        <w:t>Agriculture</w:t>
      </w:r>
      <w:r w:rsidRPr="00ED4AFB">
        <w:rPr>
          <w:rFonts w:ascii="Arial" w:hAnsi="Arial" w:cs="Arial"/>
          <w:bCs/>
          <w:noProof/>
          <w:color w:val="000000"/>
        </w:rPr>
        <w:t>, 2024)</w:t>
      </w:r>
      <w:r w:rsidRPr="00ED4AFB">
        <w:rPr>
          <w:rFonts w:ascii="Arial" w:hAnsi="Arial" w:cs="Arial"/>
          <w:bCs/>
          <w:color w:val="000000"/>
        </w:rPr>
        <w:fldChar w:fldCharType="end"/>
      </w:r>
      <w:r w:rsidRPr="00ED4AFB">
        <w:rPr>
          <w:rFonts w:ascii="Arial" w:hAnsi="Arial" w:cs="Arial"/>
          <w:bCs/>
          <w:color w:val="000000"/>
        </w:rPr>
        <w:t>.</w:t>
      </w:r>
      <w:r w:rsidRPr="00ED4AFB">
        <w:rPr>
          <w:rFonts w:ascii="Arial" w:hAnsi="Arial" w:cs="Arial"/>
          <w:bCs/>
          <w:color w:val="000000"/>
          <w:sz w:val="24"/>
          <w:szCs w:val="24"/>
        </w:rPr>
        <w:t xml:space="preserve"> </w:t>
      </w:r>
      <w:r w:rsidRPr="00ED4AFB">
        <w:rPr>
          <w:rFonts w:ascii="Arial" w:hAnsi="Arial" w:cs="Arial"/>
        </w:rPr>
        <w:t xml:space="preserve">One important effort to increase productivity is the use of high-quality seeds </w:t>
      </w:r>
      <w:r w:rsidRPr="00ED4AFB">
        <w:rPr>
          <w:rFonts w:ascii="Arial" w:hAnsi="Arial" w:cs="Arial"/>
        </w:rPr>
        <w:fldChar w:fldCharType="begin" w:fldLock="1"/>
      </w:r>
      <w:r w:rsidRPr="00ED4AFB">
        <w:rPr>
          <w:rFonts w:ascii="Arial" w:hAnsi="Arial" w:cs="Arial"/>
        </w:rPr>
        <w:instrText>ADDIN CSL_CITATION {"citationItems":[{"id":"ITEM-1","itemData":{"abstract":"Shallots (Allium ascalonicum L) are included in the superior national product. In increasing the production of shallots, fertilizers containing complete nutrients are needed from various agricultural wastes which are fermented anaerobically to obtain solid and liquid organic fertilizers. This research method uses a factorial Randomized Block Design (RAK) consisting of 2 factors studied with 16 treatment combinations and 2 replications. Factor I solid organic fertilizer (P) with a level of 0 kg/plot, 1.5 kg/plot, 2.5 kg/plot, 3.5 kg/plot, and factor 2 liquid organic fertilizer (C) with a level of 0 ml/liter water/plot, 250 ml/liter of water/plot, 450 ml/liter of water/plot, 650 ml/liter of water/plot. Parameters observed were plant height (cm), wet tuber weight (g), dry tuber weight (g), and production conversion per hectare (kg). The results of the study of the 4 parameters gave a significant effect on the 2 treatments. This is what the researcher hopes for and it is recommended that further research be carried out by providing a higher level of treatment for this research.","author":[{"dropping-particle":"","family":"Hakim","given":"Tharmizi","non-dropping-particle":"","parse-names":false,"suffix":""},{"dropping-particle":"","family":"Luta","given":"Devi Andriani","non-dropping-particle":"","parse-names":false,"suffix":""},{"dropping-particle":"","family":"Sitepu","given":"Diki Syahputra","non-dropping-particle":"","parse-names":false,"suffix":""}],"container-title":"PROSIDING","id":"ITEM-1","issued":{"date-parts":[["2022"]]},"page":"251-264","title":"Teknologi True Shallots Seed Dan Pemanfaatan Limbah Pertanian Pada Pertumbuhan Produksi Bawang Merah (Allium ascalonicum L)","type":"article-journal"},"uris":["http://www.mendeley.com/documents/?uuid=cfa8461e-cef7-42d7-9bde-ede976e22435"]}],"mendeley":{"formattedCitation":"(Hakim et al., 2022)","plainTextFormattedCitation":"(Hakim et al., 2022)","previouslyFormattedCitation":"(Hakim et al., 2022)"},"properties":{"noteIndex":0},"schema":"https://github.com/citation-style-language/schema/raw/master/csl-citation.json"}</w:instrText>
      </w:r>
      <w:r w:rsidRPr="00ED4AFB">
        <w:rPr>
          <w:rFonts w:ascii="Arial" w:hAnsi="Arial" w:cs="Arial"/>
        </w:rPr>
        <w:fldChar w:fldCharType="separate"/>
      </w:r>
      <w:r w:rsidRPr="00ED4AFB">
        <w:rPr>
          <w:rFonts w:ascii="Arial" w:hAnsi="Arial" w:cs="Arial"/>
          <w:noProof/>
        </w:rPr>
        <w:t>(Hakim et al., 2022)</w:t>
      </w:r>
      <w:r w:rsidRPr="00ED4AFB">
        <w:rPr>
          <w:rFonts w:ascii="Arial" w:hAnsi="Arial" w:cs="Arial"/>
        </w:rPr>
        <w:fldChar w:fldCharType="end"/>
      </w:r>
      <w:r w:rsidRPr="00ED4AFB">
        <w:rPr>
          <w:rFonts w:ascii="Arial" w:hAnsi="Arial" w:cs="Arial"/>
        </w:rPr>
        <w:t xml:space="preserve">. Until now, farmers have continued to rely on bulb seeds, even though True Shallot Seed (TSS) technology from seeds has many advantages, such as being more efficient, free from bulb pathogens, and capable of producing yields that are equal to or even higher than bulb seeds </w:t>
      </w:r>
      <w:r w:rsidRPr="00ED4AFB">
        <w:rPr>
          <w:rFonts w:ascii="Arial" w:hAnsi="Arial" w:cs="Arial"/>
        </w:rPr>
        <w:fldChar w:fldCharType="begin" w:fldLock="1"/>
      </w:r>
      <w:r w:rsidRPr="00ED4AFB">
        <w:rPr>
          <w:rFonts w:ascii="Arial" w:hAnsi="Arial" w:cs="Arial"/>
        </w:rPr>
        <w:instrText>ADDIN CSL_CITATION {"citationItems":[{"id":"ITEM-1","itemData":{"DOI":"10.37676/agritepa.v9i1.2234","ISSN":"2407-1315","abstract":"Onion red is wrong one commodity horticulture which includes plant vegetable and usually used for spice. Increase Request onion red cause needed cultivation plant onion red on condition stress drought for reach production highest . Study this aim for knowing type and dose as well as combination paclobutrazol and sour salicylate on condition stress drought for increase production onion red.Research this  held on house glass in the garden test Faculty Agriculture University North Sumatra Muhammadiyah . design experiments that have used in study this is design random factorial group with 3 factors . Factor first  level drought with 2 levels treatment ie : 80% capacity roomy and 40% capacity roomy . Factor second paclobutrazol with 4 levels treatment namely 0 mg/l, 15 mg/l, 30 mg/l, 45 mg/l. Factor third Sour salicylate with 3 levels namely 0 mg/l, 50 mg/l, 100 mg/l. Observation parameters observed _ is length plant , number leaf , weight Fresh Bulbs , Weight Bulbs Dry and Bulb Diameter. Results study show gift factor single paclobutrazol and factor single sour salicylate no increase growth and production onion red.. Giving paclobutrazol with level 45 mg/l at 80% capacity roomy have score long plant and amount leaf highest compared to 40% Capacity roomy . Giving sour salicylate on concentration 50 mg/l at condition 80% capacity roomy increase weight tubers fresh , tuber dry and tuber diameter . Interaction treatment paclobutrazole , acid salicylate and stress drought could increase growth and production on K1S1P3 combination.","author":[{"dropping-particle":"","family":"Cahyani","given":"Nisrina Ayu","non-dropping-particle":"","parse-names":false,"suffix":""},{"dropping-particle":"","family":"Hasanah","given":"Yaya","non-dropping-particle":"","parse-names":false,"suffix":""},{"dropping-particle":"","family":"Sarifuddin","given":"Sarifuddin","non-dropping-particle":"","parse-names":false,"suffix":""}],"container-title":"AGRITEPA: Jurnal Ilmu dan Teknologi Pertanian","id":"ITEM-1","issue":"1","issued":{"date-parts":[["2022"]]},"page":"181-196","title":"Increased Production Of True Shallot Seed With Applications Of Paclobutrazol And Salicylic Acid On Drought Conditions","type":"article-journal","volume":"9"},"uris":["http://www.mendeley.com/documents/?uuid=466879e4-26cf-4ecf-9eab-0cd37fe24209"]}],"mendeley":{"formattedCitation":"(Cahyani et al., 2022)","plainTextFormattedCitation":"(Cahyani et al., 2022)","previouslyFormattedCitation":"(Cahyani et al., 2022)"},"properties":{"noteIndex":0},"schema":"https://github.com/citation-style-language/schema/raw/master/csl-citation.json"}</w:instrText>
      </w:r>
      <w:r w:rsidRPr="00ED4AFB">
        <w:rPr>
          <w:rFonts w:ascii="Arial" w:hAnsi="Arial" w:cs="Arial"/>
        </w:rPr>
        <w:fldChar w:fldCharType="separate"/>
      </w:r>
      <w:r w:rsidRPr="00ED4AFB">
        <w:rPr>
          <w:rFonts w:ascii="Arial" w:hAnsi="Arial" w:cs="Arial"/>
          <w:noProof/>
        </w:rPr>
        <w:t>(Cahyani et al., 2022)</w:t>
      </w:r>
      <w:r w:rsidRPr="00ED4AFB">
        <w:rPr>
          <w:rFonts w:ascii="Arial" w:hAnsi="Arial" w:cs="Arial"/>
        </w:rPr>
        <w:fldChar w:fldCharType="end"/>
      </w:r>
      <w:r w:rsidRPr="00ED4AFB">
        <w:rPr>
          <w:rFonts w:ascii="Arial" w:hAnsi="Arial" w:cs="Arial"/>
          <w:sz w:val="24"/>
          <w:szCs w:val="24"/>
        </w:rPr>
        <w:t>.</w:t>
      </w:r>
    </w:p>
    <w:p w14:paraId="2928C3B6" w14:textId="4BDF88B1" w:rsidR="005A52D9" w:rsidRPr="00ED4AFB" w:rsidRDefault="005A52D9" w:rsidP="00757DD0">
      <w:pPr>
        <w:pStyle w:val="Body"/>
        <w:spacing w:after="0"/>
        <w:ind w:firstLine="720"/>
        <w:rPr>
          <w:rFonts w:ascii="Arial" w:hAnsi="Arial" w:cs="Arial"/>
          <w:lang w:val="en-ID"/>
        </w:rPr>
      </w:pPr>
      <w:r w:rsidRPr="00ED4AFB">
        <w:rPr>
          <w:rFonts w:ascii="Arial" w:hAnsi="Arial" w:cs="Arial"/>
        </w:rPr>
        <w:t xml:space="preserve">The success of TSS-based shallot cultivation is largely determined by the availability and management of nutrients through proper fertilization. However, fertilizer scarcity and the high cost of non-subsidized fertilizers are major obstacles in the field </w:t>
      </w:r>
      <w:r w:rsidRPr="00ED4AFB">
        <w:rPr>
          <w:rFonts w:ascii="Arial" w:hAnsi="Arial" w:cs="Arial"/>
        </w:rPr>
        <w:fldChar w:fldCharType="begin" w:fldLock="1"/>
      </w:r>
      <w:r w:rsidRPr="00ED4AFB">
        <w:rPr>
          <w:rFonts w:ascii="Arial" w:hAnsi="Arial" w:cs="Arial"/>
        </w:rPr>
        <w:instrText>ADDIN CSL_CITATION {"citationItems":[{"id":"ITEM-1","itemData":{"DOI":"10.54066/jrime-itb.v1i4.705","ISSN":"2985-623X","abstract":"This research was conducted to identify the effect of subsidized fertilizer restrictions on the income and production of lowland rice farmers. The method used is qualitative, with the study population consisting of 6 farmers. The sample was selected using simple random sampling, and the data used for analysis is descriptive data.\r The results showed that there were differences in farmer income before and after subsidized fertilizer restrictions. Before the restrictions, the average income of farmers reached IDR 12,299,250 per planting season with a total cost of IDR 6,075,750. However, after the restrictions, the average income of farmers decreased to IDR 10,537,083 per planting season, with total costs increasing to IDR 7,838,250 per planting season.\r In overcoming subsidized fertilizer restrictions, farmers have tried several solutions. However, until 2023, this solution is not yet fully effective. Therefore, the government of Kacangan Village took the initiative to partner with parties who could provide loan capital for rice farming and promote organic farming with the use of natural fertilizers as an alternative. This aims to overcome the constraints of subsidized fertilizer restrictions so that people can temporarily switch to using non-subsidized fertilizers.","author":[{"dropping-particle":"","family":"Febby Dany Lestary","given":"","non-dropping-particle":"","parse-names":false,"suffix":""},{"dropping-particle":"","family":"Muhammad Yasin","given":"","non-dropping-particle":"","parse-names":false,"suffix":""}],"container-title":"Jurnal Riset Manajemen Dan Ekonomi (Jrime)","id":"ITEM-1","issue":"4","issued":{"date-parts":[["2023"]]},"page":"53-58","title":"Analisis Dampak Kelangkaan Pupuk Terhadap Pendapatan Petani Padi Di Desa Kacangan Kabupaten Lamongan","type":"article-journal","volume":"1"},"uris":["http://www.mendeley.com/documents/?uuid=dc348203-ade3-4c7c-95d3-55288ba17a6a"]}],"mendeley":{"formattedCitation":"(Febby Dany Lestary &amp; Muhammad Yasin, 2023)","manualFormatting":"(Febby dan Yasin, 2023)","plainTextFormattedCitation":"(Febby Dany Lestary &amp; Muhammad Yasin, 2023)","previouslyFormattedCitation":"(Febby Dany Lestary &amp; Muhammad Yasin, 2023)"},"properties":{"noteIndex":0},"schema":"https://github.com/citation-style-language/schema/raw/master/csl-citation.json"}</w:instrText>
      </w:r>
      <w:r w:rsidRPr="00ED4AFB">
        <w:rPr>
          <w:rFonts w:ascii="Arial" w:hAnsi="Arial" w:cs="Arial"/>
        </w:rPr>
        <w:fldChar w:fldCharType="separate"/>
      </w:r>
      <w:r w:rsidRPr="00ED4AFB">
        <w:rPr>
          <w:rFonts w:ascii="Arial" w:hAnsi="Arial" w:cs="Arial"/>
          <w:noProof/>
        </w:rPr>
        <w:t>(Febby dan Yasin, 2023)</w:t>
      </w:r>
      <w:r w:rsidRPr="00ED4AFB">
        <w:rPr>
          <w:rFonts w:ascii="Arial" w:hAnsi="Arial" w:cs="Arial"/>
        </w:rPr>
        <w:fldChar w:fldCharType="end"/>
      </w:r>
      <w:r w:rsidRPr="00ED4AFB">
        <w:rPr>
          <w:rFonts w:ascii="Arial" w:hAnsi="Arial" w:cs="Arial"/>
          <w:sz w:val="16"/>
          <w:szCs w:val="16"/>
        </w:rPr>
        <w:t>.</w:t>
      </w:r>
      <w:r w:rsidRPr="00ED4AFB">
        <w:rPr>
          <w:rFonts w:ascii="Arial" w:hAnsi="Arial" w:cs="Arial"/>
        </w:rPr>
        <w:t xml:space="preserve"> Inorganic fertilizers can indeed provide nutrients quickly, but their excessive and continuous use can reduce soil and environmental quality </w:t>
      </w:r>
      <w:r w:rsidRPr="00ED4AFB">
        <w:rPr>
          <w:rFonts w:ascii="Arial" w:hAnsi="Arial" w:cs="Arial"/>
          <w:bCs/>
          <w:color w:val="000000"/>
        </w:rPr>
        <w:fldChar w:fldCharType="begin" w:fldLock="1"/>
      </w:r>
      <w:r w:rsidRPr="00ED4AFB">
        <w:rPr>
          <w:rFonts w:ascii="Arial" w:hAnsi="Arial" w:cs="Arial"/>
          <w:bCs/>
          <w:color w:val="000000"/>
        </w:rPr>
        <w:instrText>ADDIN CSL_CITATION {"citationItems":[{"id":"ITEM-1","itemData":{"URL":"ejurnal.uij.ac.id/index.php/AGR/index","abstract":"Penggunaan pupuk anorganik yang berlebihan dan berkelanjutan dapat menyebabkan penumpukan residu kimia di dalam tanah, yang pada akhirnya berdampak negatif terhadap struktur tanah dan lingkungan","author":[{"dropping-particle":"","family":"Saripi, S., &amp; Mawardi","given":"M","non-dropping-particle":"","parse-names":false,"suffix":""}],"container-title":"2025","id":"ITEM-1","issued":{"date-parts":[["2025"]]},"page":"38–53","title":"Pengaruh Pemberian Kombinasi Nutrisi NPK dengan PSB terhadap Pertumbuhan dan Hasil Cabai Merah (Capsicum annuum L.) di Polybag","type":"webpage"},"uris":["http://www.mendeley.com/documents/?uuid=56e71d3a-186c-4f43-bbc7-01fb0e649819"]}],"mendeley":{"formattedCitation":"(Saripi, S., &amp; Mawardi, 2025)","manualFormatting":"(Saripi dan Mawardi, 2025)","plainTextFormattedCitation":"(Saripi, S., &amp; Mawardi, 2025)","previouslyFormattedCitation":"(Saripi, S., &amp; Mawardi, 2025)"},"properties":{"noteIndex":0},"schema":"https://github.com/citation-style-language/schema/raw/master/csl-citation.json"}</w:instrText>
      </w:r>
      <w:r w:rsidRPr="00ED4AFB">
        <w:rPr>
          <w:rFonts w:ascii="Arial" w:hAnsi="Arial" w:cs="Arial"/>
          <w:bCs/>
          <w:color w:val="000000"/>
        </w:rPr>
        <w:fldChar w:fldCharType="separate"/>
      </w:r>
      <w:r w:rsidRPr="00ED4AFB">
        <w:rPr>
          <w:rFonts w:ascii="Arial" w:hAnsi="Arial" w:cs="Arial"/>
          <w:bCs/>
          <w:noProof/>
          <w:color w:val="000000"/>
        </w:rPr>
        <w:t>(Saripi dan Mawardi, 2025)</w:t>
      </w:r>
      <w:r w:rsidRPr="00ED4AFB">
        <w:rPr>
          <w:rFonts w:ascii="Arial" w:hAnsi="Arial" w:cs="Arial"/>
          <w:bCs/>
          <w:color w:val="000000"/>
        </w:rPr>
        <w:fldChar w:fldCharType="end"/>
      </w:r>
      <w:r w:rsidRPr="00ED4AFB">
        <w:rPr>
          <w:rFonts w:ascii="Arial" w:hAnsi="Arial" w:cs="Arial"/>
        </w:rPr>
        <w:t xml:space="preserve">. Therefore, it is necessary to apply location-specific balanced fertilization through a combination of organic and inorganic fertilizers </w:t>
      </w:r>
      <w:r w:rsidRPr="00ED4AFB">
        <w:rPr>
          <w:rFonts w:ascii="Arial" w:hAnsi="Arial" w:cs="Arial"/>
          <w:bCs/>
          <w:color w:val="000000"/>
        </w:rPr>
        <w:fldChar w:fldCharType="begin" w:fldLock="1"/>
      </w:r>
      <w:r w:rsidRPr="00ED4AFB">
        <w:rPr>
          <w:rFonts w:ascii="Arial" w:hAnsi="Arial" w:cs="Arial"/>
          <w:bCs/>
          <w:color w:val="000000"/>
        </w:rPr>
        <w:instrText>ADDIN CSL_CITATION {"citationItems":[{"id":"ITEM-1","itemData":{"DOI":"10.24843/ajoas.2020.v10.i01.p08","ISSN":"2088-155X","abstract":" Increased Yields Onion Plant and Changes of Soil Chemical Properties with Semiorganic Fertilization on Inceptisol Soil Tabanan. Thisexperiment to study the effects of inorganic fertilizer (P) and organic fertilizer (K) on the chemical properties as well as onion yields. A Factorial Randomized Block Design pot Experiment was conducted under Inceptisol soil conditions located at Kerambitan District, Tabanan Regency. The inorganic treatments consisted of P0 (control), P1 (50kg Phonska ha-1 + 200 kg ZA ha-1), P2 (100 kg Phonska ha-1 + 150 kg ZA ha-1), P3 (150 kg Phonska ha-1 + 100 kg.ZA ha-1). The organic treatments consisted of K0 (control), K1 (2 tons ha-1), K2 (4 tons ha-1), K3 (6 tons ha-1). Plant parameters observed including: plant height (cm), maximum number of leaves, maximum number of tubers, fresh and oven dry weight of tubers and hypothetical tubers fresh yields. The observed chemical soil properties including: soil pH and CEC.  All data were analyzed using variance analysis and Duncan's test (0.05). The results showed that all fertilization treatments have significant effects on most parameters observed except plant height, soil pH and CEC. The P2K2 (100 kg Phonska ha-1 + 150 kg ZA ha-1) and (4 tons ha-1) treatment resulted in the best effects on the number tubers (7.7 tubers), weight of fresh tubers (37.9 g), tubers dry weight (6.5 g) per pot respectively. The highest hypothetical yields (9.5 tons ha-1) were also found under this treatment as well as the highest soil pH (6.6) and CEC (46.8 me 100g-1 of soil).","author":[{"dropping-particle":"","family":"SUPADMA","given":"A.A. NYOMAN","non-dropping-particle":"","parse-names":false,"suffix":""},{"dropping-particle":"","family":"DANA","given":"I MADE","non-dropping-particle":"","parse-names":false,"suffix":""},{"dropping-particle":"","family":"ARTHAGAMA","given":"I DEWA MADE","non-dropping-particle":"","parse-names":false,"suffix":""}],"container-title":"Agrotrop : Journal on Agriculture Science","id":"ITEM-1","issue":"1","issued":{"date-parts":[["2020"]]},"page":"67","title":"Peningkatan Hasil Bawang Merah dan Perubahan Sifat Kimia Tanah dengan Pemupukan Berimbang Semi Organik pada Tanah Inceptisol","type":"article-journal","volume":"10"},"uris":["http://www.mendeley.com/documents/?uuid=deef905c-4aa0-4bdc-9b56-dbadd291fd72"]}],"mendeley":{"formattedCitation":"(SUPADMA et al., 2020)","manualFormatting":"(Supadma et al., 2020)","plainTextFormattedCitation":"(SUPADMA et al., 2020)","previouslyFormattedCitation":"(SUPADMA et al., 2020)"},"properties":{"noteIndex":0},"schema":"https://github.com/citation-style-language/schema/raw/master/csl-citation.json"}</w:instrText>
      </w:r>
      <w:r w:rsidRPr="00ED4AFB">
        <w:rPr>
          <w:rFonts w:ascii="Arial" w:hAnsi="Arial" w:cs="Arial"/>
          <w:bCs/>
          <w:color w:val="000000"/>
        </w:rPr>
        <w:fldChar w:fldCharType="separate"/>
      </w:r>
      <w:r w:rsidRPr="00ED4AFB">
        <w:rPr>
          <w:rFonts w:ascii="Arial" w:hAnsi="Arial" w:cs="Arial"/>
          <w:bCs/>
          <w:noProof/>
          <w:color w:val="000000"/>
        </w:rPr>
        <w:t>(Supadma et al., 2020)</w:t>
      </w:r>
      <w:r w:rsidRPr="00ED4AFB">
        <w:rPr>
          <w:rFonts w:ascii="Arial" w:hAnsi="Arial" w:cs="Arial"/>
          <w:bCs/>
          <w:color w:val="000000"/>
        </w:rPr>
        <w:fldChar w:fldCharType="end"/>
      </w:r>
      <w:r w:rsidRPr="00ED4AFB">
        <w:rPr>
          <w:rFonts w:ascii="Arial" w:hAnsi="Arial" w:cs="Arial"/>
          <w:bCs/>
          <w:color w:val="000000"/>
        </w:rPr>
        <w:t>.</w:t>
      </w:r>
    </w:p>
    <w:p w14:paraId="44EE0653" w14:textId="77777777" w:rsidR="00757DD0" w:rsidRPr="00ED4AFB" w:rsidRDefault="005A52D9" w:rsidP="00757DD0">
      <w:pPr>
        <w:pStyle w:val="Body"/>
        <w:spacing w:after="0"/>
        <w:ind w:firstLine="720"/>
        <w:rPr>
          <w:rFonts w:ascii="Arial" w:hAnsi="Arial" w:cs="Arial"/>
          <w:lang w:val="en-US"/>
        </w:rPr>
      </w:pPr>
      <w:r w:rsidRPr="00ED4AFB">
        <w:rPr>
          <w:rFonts w:ascii="Arial" w:hAnsi="Arial" w:cs="Arial"/>
        </w:rPr>
        <w:t xml:space="preserve">One potential alternative to liquid organic fertilizer is Photosynthetic Bacteria (PSB) </w:t>
      </w:r>
      <w:r w:rsidRPr="00ED4AFB">
        <w:rPr>
          <w:rFonts w:ascii="Arial" w:hAnsi="Arial" w:cs="Arial"/>
          <w:noProof/>
        </w:rPr>
        <w:fldChar w:fldCharType="begin" w:fldLock="1"/>
      </w:r>
      <w:r w:rsidRPr="00ED4AFB">
        <w:rPr>
          <w:rFonts w:ascii="Arial" w:hAnsi="Arial" w:cs="Arial"/>
          <w:noProof/>
        </w:rPr>
        <w:instrText>ADDIN CSL_CITATION {"citationItems":[{"id":"ITEM-1","itemData":{"ISSN":"2721-4834","abstract":"Dalam rangka melakukan kegiatan pengabdian ini kami melakukan pembuatan pupuk Pollen Stimulating Fertilizer dan eco enzim dengan menggunakan bahan-bahan yang tersedia di rumah tangga. Dalam kegiatan ini kami memiliki tujuan agar para ibu rumah tangga dapat memanfaatkan bahan-bahan yang tersedia baik dalam bentuk bahan masakan hingga limbah yang dihasilkan oleh bahan masakan tersebut. Limbah yang dihasilkan oleh bahan masakan tersebut dapat dimanfaatkan menjadi pupuk organik yang dapat bermanfaat bagi tanaman maupun lingkungan.","author":[{"dropping-particle":"","family":"Mandataris","given":"Mandataris","non-dropping-particle":"","parse-names":false,"suffix":""},{"dropping-particle":"","family":"Rianto","given":"Farel","non-dropping-particle":"","parse-names":false,"suffix":""},{"dropping-particle":"","family":"Madina","given":"Farah","non-dropping-particle":"","parse-names":false,"suffix":""},{"dropping-particle":"","family":"Kurnia","given":"Rio","non-dropping-particle":"","parse-names":false,"suffix":""},{"dropping-particle":"","family":"Septiasari","given":"Retno Dwi","non-dropping-particle":"","parse-names":false,"suffix":""},{"dropping-particle":"","family":"Sinaga","given":"Cindy Dortio","non-dropping-particle":"","parse-names":false,"suffix":""},{"dropping-particle":"","family":"Sitompul","given":"Donna","non-dropping-particle":"","parse-names":false,"suffix":""},{"dropping-particle":"","family":"Silaen","given":"Risa Elyafatma","non-dropping-particle":"","parse-names":false,"suffix":""},{"dropping-particle":"","family":"Wijiyanti","given":"Trisna","non-dropping-particle":"","parse-names":false,"suffix":""},{"dropping-particle":"","family":"Utami","given":"Andriani Nur","non-dropping-particle":"","parse-names":false,"suffix":""}],"container-title":"Madaniya","id":"ITEM-1","issue":"1","issued":{"date-parts":[["2024"]]},"page":"27-36","title":"Pembuatan Pupuk PSB dan Eco Enzim dari Telur Ayam dan Limbah Organik","type":"article-journal","volume":"5"},"uris":["http://www.mendeley.com/documents/?uuid=bc465fb7-4a2b-4cca-b613-186c5ce4cc30"]}],"mendeley":{"formattedCitation":"(Mandataris et al., 2024)","plainTextFormattedCitation":"(Mandataris et al., 2024)","previouslyFormattedCitation":"(Mandataris et al., 2024)"},"properties":{"noteIndex":0},"schema":"https://github.com/citation-style-language/schema/raw/master/csl-citation.json"}</w:instrText>
      </w:r>
      <w:r w:rsidRPr="00ED4AFB">
        <w:rPr>
          <w:rFonts w:ascii="Arial" w:hAnsi="Arial" w:cs="Arial"/>
          <w:noProof/>
        </w:rPr>
        <w:fldChar w:fldCharType="separate"/>
      </w:r>
      <w:r w:rsidRPr="00ED4AFB">
        <w:rPr>
          <w:rFonts w:ascii="Arial" w:hAnsi="Arial" w:cs="Arial"/>
          <w:noProof/>
        </w:rPr>
        <w:t>(Mandataris et al., 2024)</w:t>
      </w:r>
      <w:r w:rsidRPr="00ED4AFB">
        <w:rPr>
          <w:rFonts w:ascii="Arial" w:hAnsi="Arial" w:cs="Arial"/>
          <w:noProof/>
        </w:rPr>
        <w:fldChar w:fldCharType="end"/>
      </w:r>
      <w:r w:rsidRPr="00ED4AFB">
        <w:rPr>
          <w:rFonts w:ascii="Arial" w:hAnsi="Arial" w:cs="Arial"/>
        </w:rPr>
        <w:t xml:space="preserve">. PSB can increase nitrogen availability, improve soil properties, and stimulate plant growth through bacterial photosynthesis </w:t>
      </w:r>
      <w:r w:rsidRPr="00ED4AFB">
        <w:rPr>
          <w:rFonts w:ascii="Arial" w:hAnsi="Arial" w:cs="Arial"/>
          <w:noProof/>
        </w:rPr>
        <w:fldChar w:fldCharType="begin" w:fldLock="1"/>
      </w:r>
      <w:r w:rsidRPr="00ED4AFB">
        <w:rPr>
          <w:rFonts w:ascii="Arial" w:hAnsi="Arial" w:cs="Arial"/>
          <w:noProof/>
        </w:rPr>
        <w:instrText>ADDIN CSL_CITATION {"citationItems":[{"id":"ITEM-1","itemData":{"URL":"https://www.sciencedirect.com/science/article/pii/S2215017X20306093","author":[{"dropping-particle":"","family":"George, D. M., Vincent, A. S., &amp; Mackey","given":"H. R","non-dropping-particle":"","parse-names":false,"suffix":""}],"id":"ITEM-1","issued":{"date-parts":[["2020"]]},"title":"An overview of anoxygenic phototrophic bacteria and their applications in environmental biotechnology for sustainable Resource recovery","type":"webpage"},"uris":["http://www.mendeley.com/documents/?uuid=d18d74ce-9a81-443f-b2e5-0f7df2a7d6ef"]}],"mendeley":{"formattedCitation":"(George, D. M., Vincent, A. S., &amp; Mackey, 2020)","manualFormatting":"(George et al., 2020)","plainTextFormattedCitation":"(George, D. M., Vincent, A. S., &amp; Mackey, 2020)","previouslyFormattedCitation":"(George, D. M., Vincent, A. S., &amp; Mackey, 2020)"},"properties":{"noteIndex":0},"schema":"https://github.com/citation-style-language/schema/raw/master/csl-citation.json"}</w:instrText>
      </w:r>
      <w:r w:rsidRPr="00ED4AFB">
        <w:rPr>
          <w:rFonts w:ascii="Arial" w:hAnsi="Arial" w:cs="Arial"/>
          <w:noProof/>
        </w:rPr>
        <w:fldChar w:fldCharType="separate"/>
      </w:r>
      <w:r w:rsidRPr="00ED4AFB">
        <w:rPr>
          <w:rFonts w:ascii="Arial" w:hAnsi="Arial" w:cs="Arial"/>
          <w:noProof/>
        </w:rPr>
        <w:t>(George et al., 2020)</w:t>
      </w:r>
      <w:r w:rsidRPr="00ED4AFB">
        <w:rPr>
          <w:rFonts w:ascii="Arial" w:hAnsi="Arial" w:cs="Arial"/>
          <w:noProof/>
        </w:rPr>
        <w:fldChar w:fldCharType="end"/>
      </w:r>
      <w:r w:rsidRPr="00ED4AFB">
        <w:rPr>
          <w:rFonts w:ascii="Arial" w:hAnsi="Arial" w:cs="Arial"/>
        </w:rPr>
        <w:t xml:space="preserve">. </w:t>
      </w:r>
      <w:r w:rsidRPr="00ED4AFB">
        <w:rPr>
          <w:rFonts w:ascii="Arial" w:hAnsi="Arial" w:cs="Arial"/>
          <w:lang w:val="en-US"/>
        </w:rPr>
        <w:t>The correct application of PSB, both in terms of timing and dosage, has been proven to affect its effectiveness in supporting shallot growth</w:t>
      </w:r>
      <w:r w:rsidRPr="00ED4AFB">
        <w:rPr>
          <w:rFonts w:ascii="Arial" w:hAnsi="Arial" w:cs="Arial"/>
        </w:rPr>
        <w:t xml:space="preserve"> </w:t>
      </w:r>
      <w:r w:rsidRPr="00ED4AFB">
        <w:rPr>
          <w:rFonts w:ascii="Arial" w:hAnsi="Arial" w:cs="Arial"/>
          <w:noProof/>
        </w:rPr>
        <w:fldChar w:fldCharType="begin" w:fldLock="1"/>
      </w:r>
      <w:r w:rsidRPr="00ED4AFB">
        <w:rPr>
          <w:rFonts w:ascii="Arial" w:hAnsi="Arial" w:cs="Arial"/>
          <w:noProof/>
        </w:rPr>
        <w:instrText>ADDIN CSL_CITATION {"citationItems":[{"id":"ITEM-1","itemData":{"DOI":"10.57152/consen.v2i2.463","ISSN":"2828-9943","abstract":"This service activity aims to increase students' knowledge about photosynthetic bacteria as plant fertilizers, so that they can increase student awareness to increase knowledge and it is hoped that knowledge can be used as capital for entrepreneurship. This activity also provides knowledge about photosynthetic bacteria starting from the understanding, characteristics to the working mechanism of bacteria. Methods and techniques of socialization consist of: planning, action and reflection. In planning, the preparation and dissemination of activities were carried out, at the action stage, the service was carried out starting with the exposure of photosynthetic bacteria, the working mechanism of bacteria and their benefits as plant fertilizers, and a question and answer session was held. The next stage is reflection, which is done by analyzing the participants' responses to the activities that have been carried out. In this service activity, the students were enthusiastic.","author":[{"dropping-particle":"","family":"Brahmana","given":"Eti Meirina Brahmana","non-dropping-particle":"","parse-names":false,"suffix":""},{"dropping-particle":"","family":"Dahlia","given":"Dahlia","non-dropping-particle":"","parse-names":false,"suffix":""},{"dropping-particle":"","family":"Mubarrak","given":"Jismi","non-dropping-particle":"","parse-names":false,"suffix":""},{"dropping-particle":"","family":"Lestari","given":"Rena Lestari","non-dropping-particle":"","parse-names":false,"suffix":""},{"dropping-particle":"","family":"Karno","given":"Rio Karno","non-dropping-particle":"","parse-names":false,"suffix":""},{"dropping-particle":"","family":"Purnama","given":"Arief Anthonius Purnama","non-dropping-particle":"","parse-names":false,"suffix":""}],"container-title":"CONSEN: Indonesian Journal of Community Services and Engagement","id":"ITEM-1","issue":"2","issued":{"date-parts":[["2022"]]},"page":"67-71","title":"Sosialisasi Pembuatan Bakteri Fotosintesis sebagai Penyubur Tanaman","type":"article-journal","volume":"2"},"uris":["http://www.mendeley.com/documents/?uuid=039189c2-1a1a-46dd-b476-b0998eee1607"]}],"mendeley":{"formattedCitation":"(Brahmana et al., 2022)","plainTextFormattedCitation":"(Brahmana et al., 2022)","previouslyFormattedCitation":"(Brahmana et al., 2022)"},"properties":{"noteIndex":0},"schema":"https://github.com/citation-style-language/schema/raw/master/csl-citation.json"}</w:instrText>
      </w:r>
      <w:r w:rsidRPr="00ED4AFB">
        <w:rPr>
          <w:rFonts w:ascii="Arial" w:hAnsi="Arial" w:cs="Arial"/>
          <w:noProof/>
        </w:rPr>
        <w:fldChar w:fldCharType="separate"/>
      </w:r>
      <w:r w:rsidRPr="00ED4AFB">
        <w:rPr>
          <w:rFonts w:ascii="Arial" w:hAnsi="Arial" w:cs="Arial"/>
          <w:noProof/>
        </w:rPr>
        <w:t>(Brahmana et al., 2022)</w:t>
      </w:r>
      <w:r w:rsidRPr="00ED4AFB">
        <w:rPr>
          <w:rFonts w:ascii="Arial" w:hAnsi="Arial" w:cs="Arial"/>
          <w:noProof/>
        </w:rPr>
        <w:fldChar w:fldCharType="end"/>
      </w:r>
      <w:r w:rsidRPr="00ED4AFB">
        <w:rPr>
          <w:rFonts w:ascii="Arial" w:hAnsi="Arial" w:cs="Arial"/>
        </w:rPr>
        <w:t>.</w:t>
      </w:r>
    </w:p>
    <w:p w14:paraId="60946927" w14:textId="50337066" w:rsidR="00950E90" w:rsidRPr="00ED4AFB" w:rsidRDefault="005A52D9" w:rsidP="00757DD0">
      <w:pPr>
        <w:pStyle w:val="Body"/>
        <w:spacing w:after="0"/>
        <w:ind w:firstLine="720"/>
        <w:rPr>
          <w:rFonts w:ascii="Arial" w:hAnsi="Arial" w:cs="Arial"/>
          <w:lang w:val="en-US"/>
        </w:rPr>
      </w:pPr>
      <w:r w:rsidRPr="00ED4AFB">
        <w:rPr>
          <w:rFonts w:ascii="Arial" w:hAnsi="Arial" w:cs="Arial"/>
          <w:lang w:val="en-US"/>
        </w:rPr>
        <w:t>In addition to PSB, inorganic N, P, and K fertilization in shallots is location-specific and is still often carried out by farmers without regard to dosage balance</w:t>
      </w:r>
      <w:r w:rsidR="006A5080">
        <w:rPr>
          <w:rFonts w:ascii="Arial" w:hAnsi="Arial" w:cs="Arial"/>
          <w:lang w:val="en-US"/>
        </w:rPr>
        <w:t xml:space="preserve"> </w:t>
      </w:r>
      <w:r w:rsidR="006A5080">
        <w:rPr>
          <w:rFonts w:ascii="Arial" w:hAnsi="Arial" w:cs="Arial"/>
        </w:rPr>
        <w:fldChar w:fldCharType="begin" w:fldLock="1"/>
      </w:r>
      <w:r w:rsidR="006A5080">
        <w:rPr>
          <w:rFonts w:ascii="Arial" w:hAnsi="Arial" w:cs="Arial"/>
        </w:rPr>
        <w:instrText>ADDIN CSL_CITATION {"citationItems":[{"id":"ITEM-1","itemData":{"DOI":"10.55259/jiip.v27i1.569","ISSN":"1858-1226","abstract":"Penelitian ini bertujuan untuk mengetahui efektivitas pupuk majemuk NPK (12-12-17-2) Merek “DAUN SAWIT” terhadap pertumbuhan dan hasil bawang merah. Metode pengkajian menggunakan Rancangan Acak Kelompok dengan 9 perlakuan dan 3 ulangan, terdiri dari 7 perlakuan penggunaan  level dosis pupuk NPK (12-12-17-2) merek  \"DAUN SAWIT\" yang dikombinasi dengan pupuk Standar (diberi simbol C - I), 1 perlakuan pupuk standar tanpa pupuk NPK (12-12-17-2) merek “DAUN SAWIT” (diberi simbol B) dan 1 perlakuan tanpa pupuk sebagai kontrol (diberi simbol A). Pengamatan komponen hasil dilakukan terhadap bobot umbi tiap rumpun, bobot umbi tiap petak dan bobot umbi tiap hektar.  Hasil analisis statistik terhadap pengamatan karakter komponen hasil terlihat bahwa bobot umbi tiap rumpun dan bobot umbi tiap petak atau tiap hektar menunjukkan adanya beda nyata antara tanaman yang diberi pupuk dengan yang tidak dipupuk.Hasil analisis statistik terhadap bobot umbi basah tiap rumpun terlihat bahwa pada perlakuan tanpa pupuk (kontrol) berbeda nyata dengan tanaman yang dipupuk. Tanaman yang dipupuk dengan NPK (12-12-17-2) Merek “DAUN SAWIT” mulai dosis 75  kg/ha sampai dosis 525 kg/ha dalam basis pemupukan ZA + SP36 + KCl standar menunjukkan tidak  beda nyata dengan tanaman yang dipupuk dengan dosis standar (yang menggunakan pupuk 300 kg/ha Phonska, 400 kg/ha ZA, 150 kg/ha SP 36 dan 100 kg/ha KCl). Hasil analisis statistik terhadap bobot umbi Kering tiap petak dan tiap hektar  terlihat bahwa pada perlakuan tanpa pupuk memberikan hasil yang paling rendah.","author":[{"dropping-particle":"","family":"Sumianto","given":"Djoko","non-dropping-particle":"","parse-names":false,"suffix":""}],"container-title":"Jurnal Ilmu-Ilmu Pertanian","id":"ITEM-1","issue":"1","issued":{"date-parts":[["2021"]]},"page":"8","title":"Uji Efektivitas Pupuk Npk (12-12-17-2) Merek “Daun Sawit” Pada Budidaya Bawang Merah","type":"article-journal","volume":"27"},"uris":["http://www.mendeley.com/documents/?uuid=d806598d-0368-4c42-83f9-4ce5cdc3f27f"]}],"mendeley":{"formattedCitation":"(Sumianto, 2021)","plainTextFormattedCitation":"(Sumianto, 2021)","previouslyFormattedCitation":"(Sumianto, 2021)"},"properties":{"noteIndex":0},"schema":"https://github.com/citation-style-language/schema/raw/master/csl-citation.json"}</w:instrText>
      </w:r>
      <w:r w:rsidR="006A5080">
        <w:rPr>
          <w:rFonts w:ascii="Arial" w:hAnsi="Arial" w:cs="Arial"/>
        </w:rPr>
        <w:fldChar w:fldCharType="separate"/>
      </w:r>
      <w:r w:rsidR="006A5080" w:rsidRPr="006A5080">
        <w:rPr>
          <w:rFonts w:ascii="Arial" w:hAnsi="Arial" w:cs="Arial"/>
          <w:noProof/>
        </w:rPr>
        <w:t>(Sumianto, 2021)</w:t>
      </w:r>
      <w:r w:rsidR="006A5080">
        <w:rPr>
          <w:rFonts w:ascii="Arial" w:hAnsi="Arial" w:cs="Arial"/>
        </w:rPr>
        <w:fldChar w:fldCharType="end"/>
      </w:r>
      <w:r w:rsidRPr="00ED4AFB">
        <w:rPr>
          <w:rFonts w:ascii="Arial" w:hAnsi="Arial" w:cs="Arial"/>
        </w:rPr>
        <w:t xml:space="preserve">. Fertilizer recommendations for shallots generally range from 200 kg/ha of urea, 90–150 kg/ha of SP-36, and 150–200 kg/ha of KCl </w:t>
      </w:r>
      <w:r w:rsidRPr="00ED4AFB">
        <w:rPr>
          <w:rFonts w:ascii="Arial" w:hAnsi="Arial" w:cs="Arial"/>
          <w:noProof/>
        </w:rPr>
        <w:fldChar w:fldCharType="begin" w:fldLock="1"/>
      </w:r>
      <w:r w:rsidRPr="00ED4AFB">
        <w:rPr>
          <w:rFonts w:ascii="Arial" w:hAnsi="Arial" w:cs="Arial"/>
          <w:noProof/>
        </w:rPr>
        <w:instrText>ADDIN CSL_CITATION {"citationItems":[{"id":"ITEM-1","itemData":{"ISBN":"9786235497310","abstract":"… Beberapa varietas bawang merah seperti Bima dan Trisula dapat menghasilkan … Media semai benih biji berupa campuran tanah : pupuk kandang : arang sekam atau cocopeat = 1:1:1. …","author":[{"dropping-particle":"","family":"Susanto","given":"Heru","non-dropping-particle":"","parse-names":false,"suffix":""},{"dropping-particle":"","family":"Histifarina","given":"Dian","non-dropping-particle":"","parse-names":false,"suffix":""},{"dropping-particle":"","family":"Hamdani","given":"Kiki Kusyaeri","non-dropping-particle":"","parse-names":false,"suffix":""}],"container-title":"Books.Google.Com","id":"ITEM-1","issued":{"date-parts":[["2022"]]},"number-of-pages":"1-123","title":"BUDIDAYA BAWANG MERAH ASAL BIJI: Pembelajaran Dan Pengalaman Dari Lapangan","type":"book"},"uris":["http://www.mendeley.com/documents/?uuid=ef87ed36-e601-336e-8421-837241b4e464"]}],"mendeley":{"formattedCitation":"(Susanto et al., 2022)","plainTextFormattedCitation":"(Susanto et al., 2022)","previouslyFormattedCitation":"(Susanto et al., 2022)"},"properties":{"noteIndex":0},"schema":"https://github.com/citation-style-language/schema/raw/master/csl-citation.json"}</w:instrText>
      </w:r>
      <w:r w:rsidRPr="00ED4AFB">
        <w:rPr>
          <w:rFonts w:ascii="Arial" w:hAnsi="Arial" w:cs="Arial"/>
          <w:noProof/>
        </w:rPr>
        <w:fldChar w:fldCharType="separate"/>
      </w:r>
      <w:r w:rsidRPr="00ED4AFB">
        <w:rPr>
          <w:rFonts w:ascii="Arial" w:hAnsi="Arial" w:cs="Arial"/>
          <w:noProof/>
        </w:rPr>
        <w:t>(Susanto et al., 2022)</w:t>
      </w:r>
      <w:r w:rsidRPr="00ED4AFB">
        <w:rPr>
          <w:rFonts w:ascii="Arial" w:hAnsi="Arial" w:cs="Arial"/>
          <w:noProof/>
        </w:rPr>
        <w:fldChar w:fldCharType="end"/>
      </w:r>
      <w:r w:rsidRPr="00ED4AFB">
        <w:rPr>
          <w:rFonts w:ascii="Arial" w:hAnsi="Arial" w:cs="Arial"/>
          <w:noProof/>
          <w:sz w:val="24"/>
          <w:szCs w:val="24"/>
        </w:rPr>
        <w:t xml:space="preserve">. </w:t>
      </w:r>
      <w:r w:rsidRPr="00ED4AFB">
        <w:rPr>
          <w:rFonts w:ascii="Arial" w:hAnsi="Arial" w:cs="Arial"/>
        </w:rPr>
        <w:t xml:space="preserve">The combination of organic and inorganic fertilizers has been reported to improve the physical and chemical properties of soil and increase crop growth and yield </w:t>
      </w:r>
      <w:r w:rsidRPr="00ED4AFB">
        <w:rPr>
          <w:rFonts w:ascii="Arial" w:hAnsi="Arial" w:cs="Arial"/>
          <w:noProof/>
        </w:rPr>
        <w:fldChar w:fldCharType="begin" w:fldLock="1"/>
      </w:r>
      <w:r w:rsidR="00C865DE">
        <w:rPr>
          <w:rFonts w:ascii="Arial" w:hAnsi="Arial" w:cs="Arial"/>
          <w:noProof/>
        </w:rPr>
        <w:instrText>ADDIN CSL_CITATION {"citationItems":[{"id":"ITEM-1","itemData":{"DOI":"10.46549/jipvet.v10i1.87","ISSN":"2620-939X","abstract":"This study aims to determine the effect of inorganic fertilizer, organic fertilizer, and the combination of both on the growth of king grass (Pennisetum purpurephoides). The research method was a completely random design with 4 treatments and 5 replications. The research treatments consisted of A (without fertilizer), B (100% inorganic fertilizer), C (100% organic fertilizer), and D (50% inorganic and 50% organic fertilizer). The result of the study shows that inorganic, organic, and its fertilizer combination treatment has a non-significant effect on the height of the plant, the length and width of the leaf, and the length of its segments, while inorganic and organic fertilizer treatment has a significant effect on the stem diameter. The conclusion is that the use of 100 % organic fertilizer has better results for the vegetative growth of king grass (Pennisetum purpurephoides) compared to the use of inorganic fertilizer and its combination.","author":[{"dropping-particle":"","family":"Aritonang","given":"Sonria","non-dropping-particle":"","parse-names":false,"suffix":""},{"dropping-particle":"","family":"Rumetor","given":"Sientje Daisy","non-dropping-particle":"","parse-names":false,"suffix":""},{"dropping-particle":"","family":"Yoku","given":"Onesimus","non-dropping-particle":"","parse-names":false,"suffix":""}],"container-title":"Jurnal Ilmu Peternakan dan Veteriner Tropis (Journal of Tropical Animal and Veterinary Science)","id":"ITEM-1","issue":"1","issued":{"date-parts":[["2020"]]},"page":"29","title":"Pertumbuhan Vegetatif Rumput Raja (Pennisetum purpureophoides) dengan Perlakuan Pupuk Anorganik Dan Organik","type":"article-journal","volume":"10"},"uris":["http://www.mendeley.com/documents/?uuid=4a4daf69-8931-4ff8-a797-3a7e0c4ddd73"]}],"mendeley":{"formattedCitation":"(S. Aritonang et al., 2020)","manualFormatting":"(Aritonang et al., 2020)","plainTextFormattedCitation":"(S. Aritonang et al., 2020)","previouslyFormattedCitation":"(S. Aritonang et al., 2020)"},"properties":{"noteIndex":0},"schema":"https://github.com/citation-style-language/schema/raw/master/csl-citation.json"}</w:instrText>
      </w:r>
      <w:r w:rsidRPr="00ED4AFB">
        <w:rPr>
          <w:rFonts w:ascii="Arial" w:hAnsi="Arial" w:cs="Arial"/>
          <w:noProof/>
        </w:rPr>
        <w:fldChar w:fldCharType="separate"/>
      </w:r>
      <w:r w:rsidRPr="00ED4AFB">
        <w:rPr>
          <w:rFonts w:ascii="Arial" w:hAnsi="Arial" w:cs="Arial"/>
          <w:noProof/>
        </w:rPr>
        <w:t>(Aritonang et al., 2020)</w:t>
      </w:r>
      <w:r w:rsidRPr="00ED4AFB">
        <w:rPr>
          <w:rFonts w:ascii="Arial" w:hAnsi="Arial" w:cs="Arial"/>
          <w:noProof/>
        </w:rPr>
        <w:fldChar w:fldCharType="end"/>
      </w:r>
      <w:r w:rsidRPr="00ED4AFB">
        <w:rPr>
          <w:rFonts w:ascii="Arial" w:hAnsi="Arial" w:cs="Arial"/>
          <w:noProof/>
        </w:rPr>
        <w:t>. Based on this description, research needs to be conducted to assess the growth response and yield of TSS-based shallots to the application of PSB liquid organic fertilizer and inorganic fertilizer as a basis for developing more efficient and sustainable fertilization technology.</w:t>
      </w:r>
    </w:p>
    <w:p w14:paraId="05A59F36" w14:textId="77777777" w:rsidR="00757DD0" w:rsidRPr="00757DD0" w:rsidRDefault="00757DD0" w:rsidP="00757DD0">
      <w:pPr>
        <w:pStyle w:val="Body"/>
        <w:spacing w:after="0"/>
        <w:ind w:firstLine="720"/>
        <w:rPr>
          <w:rFonts w:ascii="Arial" w:hAnsi="Arial" w:cs="Arial"/>
          <w:lang w:val="en-US"/>
        </w:rPr>
      </w:pPr>
    </w:p>
    <w:p w14:paraId="106D361B" w14:textId="5F0684CE" w:rsidR="005A52D9" w:rsidRDefault="005A52D9" w:rsidP="005A52D9">
      <w:pPr>
        <w:pStyle w:val="AbstHead"/>
        <w:spacing w:after="0"/>
        <w:jc w:val="both"/>
        <w:rPr>
          <w:rFonts w:ascii="Arial" w:hAnsi="Arial" w:cs="Arial"/>
        </w:rPr>
      </w:pPr>
      <w:r>
        <w:rPr>
          <w:rFonts w:ascii="Arial" w:hAnsi="Arial" w:cs="Arial"/>
        </w:rPr>
        <w:t xml:space="preserve">2. </w:t>
      </w:r>
      <w:r w:rsidRPr="005A52D9">
        <w:rPr>
          <w:rFonts w:ascii="Arial" w:hAnsi="Arial" w:cs="Arial"/>
        </w:rPr>
        <w:t>MATERIALS AND METHODS</w:t>
      </w:r>
    </w:p>
    <w:p w14:paraId="48C17543" w14:textId="7D96216C" w:rsidR="005A52D9" w:rsidRDefault="005A52D9" w:rsidP="005A52D9">
      <w:pPr>
        <w:pStyle w:val="AbstHead"/>
        <w:spacing w:after="0"/>
        <w:jc w:val="both"/>
        <w:rPr>
          <w:rFonts w:ascii="Arial" w:hAnsi="Arial" w:cs="Arial"/>
        </w:rPr>
      </w:pPr>
      <w:r>
        <w:rPr>
          <w:rFonts w:ascii="Arial" w:hAnsi="Arial" w:cs="Arial"/>
        </w:rPr>
        <w:t xml:space="preserve">2.1 </w:t>
      </w:r>
      <w:r w:rsidRPr="005A52D9">
        <w:rPr>
          <w:rFonts w:ascii="Arial" w:hAnsi="Arial" w:cs="Arial"/>
          <w:caps w:val="0"/>
        </w:rPr>
        <w:t>Time, Location, and Research Design</w:t>
      </w:r>
    </w:p>
    <w:p w14:paraId="16010D35" w14:textId="77777777" w:rsidR="005A52D9" w:rsidRDefault="005A52D9" w:rsidP="005A52D9">
      <w:pPr>
        <w:pStyle w:val="Body"/>
        <w:spacing w:after="0"/>
        <w:rPr>
          <w:rFonts w:ascii="Arial" w:hAnsi="Arial" w:cs="Arial"/>
        </w:rPr>
        <w:sectPr w:rsidR="005A52D9" w:rsidSect="00FC322D">
          <w:type w:val="continuous"/>
          <w:pgSz w:w="12240" w:h="15840"/>
          <w:pgMar w:top="1440" w:right="2016" w:bottom="2016" w:left="2016" w:header="720" w:footer="1123" w:gutter="0"/>
          <w:cols w:space="720"/>
          <w:docGrid w:linePitch="272"/>
        </w:sectPr>
      </w:pPr>
    </w:p>
    <w:p w14:paraId="41670C60" w14:textId="5274BDE3" w:rsidR="005A52D9" w:rsidRDefault="00B91AC2" w:rsidP="00757DD0">
      <w:pPr>
        <w:pStyle w:val="Body"/>
        <w:spacing w:after="0"/>
        <w:ind w:firstLine="720"/>
        <w:rPr>
          <w:rFonts w:ascii="Arial" w:hAnsi="Arial" w:cs="Arial"/>
        </w:rPr>
      </w:pPr>
      <w:r w:rsidRPr="00B91AC2">
        <w:rPr>
          <w:rFonts w:ascii="Arial" w:hAnsi="Arial" w:cs="Arial"/>
        </w:rPr>
        <w:t xml:space="preserve">This study was conducted from July to October 2025 in Rejang Lebong District, Bengkulu Province, Indonesia, at coordinates 3.459831° S and 102.615364° E, at an altitude of approximately 1,100 m above sea level. This study used a one-factor Complete Randomized Block Design (CRBD), consisting of seven treatment combinations, namely P0 (100% inorganic fertilizer), P1 (50% P0 + </w:t>
      </w:r>
      <w:r>
        <w:rPr>
          <w:rFonts w:ascii="Arial" w:hAnsi="Arial" w:cs="Arial"/>
        </w:rPr>
        <w:t>LOF</w:t>
      </w:r>
      <w:r w:rsidRPr="00B91AC2">
        <w:rPr>
          <w:rFonts w:ascii="Arial" w:hAnsi="Arial" w:cs="Arial"/>
        </w:rPr>
        <w:t xml:space="preserve"> PSB 10 ml/L), P2 (25% P0 + </w:t>
      </w:r>
      <w:r>
        <w:rPr>
          <w:rFonts w:ascii="Arial" w:hAnsi="Arial" w:cs="Arial"/>
        </w:rPr>
        <w:t>LOF</w:t>
      </w:r>
      <w:r w:rsidRPr="00B91AC2">
        <w:rPr>
          <w:rFonts w:ascii="Arial" w:hAnsi="Arial" w:cs="Arial"/>
        </w:rPr>
        <w:t xml:space="preserve"> PSB 10 ml/L), P3 (100% </w:t>
      </w:r>
      <w:r>
        <w:rPr>
          <w:rFonts w:ascii="Arial" w:hAnsi="Arial" w:cs="Arial"/>
        </w:rPr>
        <w:t>LOF</w:t>
      </w:r>
      <w:r w:rsidRPr="00B91AC2">
        <w:rPr>
          <w:rFonts w:ascii="Arial" w:hAnsi="Arial" w:cs="Arial"/>
        </w:rPr>
        <w:t xml:space="preserve"> PSB 10 ml/L (without inorganic fertilizer)),  P4 (50% P0 + </w:t>
      </w:r>
      <w:r>
        <w:rPr>
          <w:rFonts w:ascii="Arial" w:hAnsi="Arial" w:cs="Arial"/>
        </w:rPr>
        <w:t>LOF</w:t>
      </w:r>
      <w:r w:rsidRPr="00B91AC2">
        <w:rPr>
          <w:rFonts w:ascii="Arial" w:hAnsi="Arial" w:cs="Arial"/>
        </w:rPr>
        <w:t xml:space="preserve"> PSB 20 ml/L), P5 (25% P0 + </w:t>
      </w:r>
      <w:r>
        <w:rPr>
          <w:rFonts w:ascii="Arial" w:hAnsi="Arial" w:cs="Arial"/>
        </w:rPr>
        <w:t>LOF</w:t>
      </w:r>
      <w:r w:rsidRPr="00B91AC2">
        <w:rPr>
          <w:rFonts w:ascii="Arial" w:hAnsi="Arial" w:cs="Arial"/>
        </w:rPr>
        <w:t xml:space="preserve"> PSB 20 ml/L), P6 (100% </w:t>
      </w:r>
      <w:r>
        <w:rPr>
          <w:rFonts w:ascii="Arial" w:hAnsi="Arial" w:cs="Arial"/>
        </w:rPr>
        <w:t>LOF</w:t>
      </w:r>
      <w:r w:rsidRPr="00B91AC2">
        <w:rPr>
          <w:rFonts w:ascii="Arial" w:hAnsi="Arial" w:cs="Arial"/>
        </w:rPr>
        <w:t xml:space="preserve"> PSB 20 ml/L (without inorganic fertilizer)). Each treatment was repeated 4 times, resulting in 28 experimental plots.</w:t>
      </w:r>
    </w:p>
    <w:p w14:paraId="0568DAE4" w14:textId="77777777" w:rsidR="00B91AC2" w:rsidRDefault="00B91AC2" w:rsidP="005A52D9">
      <w:pPr>
        <w:pStyle w:val="Body"/>
        <w:tabs>
          <w:tab w:val="left" w:pos="2667"/>
        </w:tabs>
        <w:spacing w:after="0"/>
        <w:rPr>
          <w:rFonts w:ascii="Arial" w:hAnsi="Arial" w:cs="Arial"/>
          <w:b/>
          <w:bCs/>
          <w:sz w:val="22"/>
          <w:szCs w:val="22"/>
        </w:rPr>
      </w:pPr>
    </w:p>
    <w:p w14:paraId="5F5DA5CD" w14:textId="4C5BBB95" w:rsidR="005A52D9" w:rsidRDefault="005A52D9" w:rsidP="005A52D9">
      <w:pPr>
        <w:pStyle w:val="Body"/>
        <w:tabs>
          <w:tab w:val="left" w:pos="2667"/>
        </w:tabs>
        <w:spacing w:after="0"/>
        <w:rPr>
          <w:rFonts w:ascii="Arial" w:hAnsi="Arial" w:cs="Arial"/>
          <w:b/>
          <w:bCs/>
          <w:sz w:val="22"/>
          <w:szCs w:val="22"/>
        </w:rPr>
      </w:pPr>
      <w:r w:rsidRPr="006D434D">
        <w:rPr>
          <w:rFonts w:ascii="Arial" w:hAnsi="Arial" w:cs="Arial"/>
          <w:b/>
          <w:bCs/>
          <w:sz w:val="22"/>
          <w:szCs w:val="22"/>
        </w:rPr>
        <w:t xml:space="preserve">2.2 </w:t>
      </w:r>
      <w:r w:rsidR="00B91AC2" w:rsidRPr="00B91AC2">
        <w:rPr>
          <w:rFonts w:ascii="Arial" w:hAnsi="Arial" w:cs="Arial"/>
          <w:b/>
          <w:bCs/>
          <w:sz w:val="22"/>
          <w:szCs w:val="22"/>
        </w:rPr>
        <w:t>Research Stage</w:t>
      </w:r>
      <w:r>
        <w:rPr>
          <w:rFonts w:ascii="Arial" w:hAnsi="Arial" w:cs="Arial"/>
          <w:b/>
          <w:bCs/>
          <w:sz w:val="22"/>
          <w:szCs w:val="22"/>
        </w:rPr>
        <w:tab/>
      </w:r>
    </w:p>
    <w:p w14:paraId="0FDC46A5" w14:textId="483807D4" w:rsidR="005A52D9" w:rsidRDefault="005A52D9" w:rsidP="005A52D9">
      <w:pPr>
        <w:pStyle w:val="Body"/>
        <w:tabs>
          <w:tab w:val="left" w:pos="2667"/>
        </w:tabs>
        <w:spacing w:after="0"/>
        <w:rPr>
          <w:rFonts w:ascii="Arial" w:hAnsi="Arial" w:cs="Arial"/>
          <w:b/>
          <w:bCs/>
        </w:rPr>
      </w:pPr>
      <w:r w:rsidRPr="006D434D">
        <w:rPr>
          <w:rFonts w:ascii="Arial" w:hAnsi="Arial" w:cs="Arial"/>
          <w:b/>
          <w:bCs/>
        </w:rPr>
        <w:t xml:space="preserve">2.2.1 </w:t>
      </w:r>
      <w:r w:rsidR="00B91AC2" w:rsidRPr="00B91AC2">
        <w:rPr>
          <w:rFonts w:ascii="Arial" w:hAnsi="Arial" w:cs="Arial"/>
          <w:b/>
          <w:bCs/>
        </w:rPr>
        <w:t>Production of PSB (Photosynthetic Bacteria) liquid organic fertilizer</w:t>
      </w:r>
    </w:p>
    <w:p w14:paraId="108ED174" w14:textId="3C271248" w:rsidR="005A52D9" w:rsidRDefault="00757DD0" w:rsidP="00757DD0">
      <w:pPr>
        <w:pStyle w:val="Body"/>
        <w:tabs>
          <w:tab w:val="left" w:pos="709"/>
        </w:tabs>
        <w:spacing w:after="0"/>
        <w:rPr>
          <w:rFonts w:ascii="Arial" w:hAnsi="Arial" w:cs="Arial"/>
        </w:rPr>
      </w:pPr>
      <w:r>
        <w:rPr>
          <w:rFonts w:ascii="Arial" w:hAnsi="Arial" w:cs="Arial"/>
        </w:rPr>
        <w:tab/>
      </w:r>
      <w:r w:rsidR="00B91AC2" w:rsidRPr="00B91AC2">
        <w:rPr>
          <w:rFonts w:ascii="Arial" w:hAnsi="Arial" w:cs="Arial"/>
        </w:rPr>
        <w:t xml:space="preserve">PSB liquid organic fertilizer is made through a simple fermentation process. Well water or rainwater is poured into a 15-liter transparent gallon, then a mixture of nutrients consisting of eggs, salt, flavoring, and homogenized oyster sauce is added. After that, PSB starter is added to the gallon, the container is tightly closed, and it is dried under direct sunlight for ±2 weeks. Successful fermentation is indicated by a change in the color of the solution to red, purplish red, or reddish brown. Once the fermentation process is complete, PSB liquid organic fertilizer is ready for use </w:t>
      </w:r>
      <w:r w:rsidR="005A52D9" w:rsidRPr="006D434D">
        <w:rPr>
          <w:rFonts w:ascii="Arial" w:hAnsi="Arial" w:cs="Arial"/>
        </w:rPr>
        <w:fldChar w:fldCharType="begin" w:fldLock="1"/>
      </w:r>
      <w:r w:rsidR="005A52D9" w:rsidRPr="006D434D">
        <w:rPr>
          <w:rFonts w:ascii="Arial" w:hAnsi="Arial" w:cs="Arial"/>
        </w:rPr>
        <w:instrText>ADDIN CSL_CITATION {"citationItems":[{"id":"ITEM-1","itemData":{"DOI":"10.29244/jpim.5.2.218-225","abstract":"Petani membutuhkan pupuk baik organik maupun anorganik yang dapat membantu dalam meningkatkan produktivitas pertaniannya. Begitupun dengan masyarakat Desa Argapura yang terletak di Kecamatan Cigudeg, Kabupaten Bogor, yang masih banyak beraktivitas sebagai petani dan pekebun. Namun, sebagian besar petani di desa tersebut masih mengandalkan pupuk anorganik yang dapat berdampak buruk bagi ekosistem di sekitarnya dan cenderung membutuhkan biaya yang lebih besar dibandingkan pupuk organik. Untuk mengatasi permasalahan tersebut, maka dilakukan penyuluhan mengenai pembuatan pupuk organik photosynthetic bacteria (PSB). Kegiatan ini bertujuan untuk mengoptimalkan sumber daya petani hingga mampu membuat pupuk PSB secara mandiri dan menggunakannya sebagai pupuk pendukung yang dapat memaksimalkan produktivitas pertanian serta mengurangi penggunaan pupuk anorganik. Pelaksanaan penyuluhan diawali dengan mengukur pengetahuan para petani mengenai pupuk PSB, kemudian pemberian materi pupuk PSB, demonstrasi pembuatan pupuk PSB, dan terakhir memberikan motivasi kepada petani bahwa produk pupuk PSB yang dihasilkan dapat menjadi peluang usaha. Sebelum didemonstrasikan secara langsung kepada para petani, pupuk PSB telah melalui eksperimen dan uji coba terhadap tanaman cabai terlebih dahulu serta dilakukan pengemasan dan pelabelan pada produk pupuk PSB yang sudah jadi. Hasil dari penyuluhan ini adalah adanya peningkatan pengetahuan para petani tentang pupuk alternatif yaitu pupuk PSB dan cara pembuatannya serta tumbuhnya jiwa kewirausahaan para petani. Hasil lainnya yaitu terciptanya produk dan video edukasi pupuk PSB.","author":[{"dropping-particle":"","family":"Rizqi","given":"Muzaki Alfa","non-dropping-particle":"","parse-names":false,"suffix":""},{"dropping-particle":"","family":"Laupa","given":"Muhammad Fajar Arsyad","non-dropping-particle":"","parse-names":false,"suffix":""},{"dropping-particle":"","family":"Risma","given":"Lintang Cinta Aninia","non-dropping-particle":"","parse-names":false,"suffix":""},{"dropping-particle":"","family":"Ekaputri","given":"Dhea","non-dropping-particle":"","parse-names":false,"suffix":""},{"dropping-particle":"","family":"Da'inawari","given":"Kamilah","non-dropping-particle":"","parse-names":false,"suffix":""},{"dropping-particle":"","family":"Saragi","given":"Lewina Blesmira","non-dropping-particle":"","parse-names":false,"suffix":""},{"dropping-particle":"","family":"Rahman","given":"Kanaya Aulia","non-dropping-particle":"","parse-names":false,"suffix":""},{"dropping-particle":"","family":"Apriastika","given":"Intan Nurul","non-dropping-particle":"","parse-names":false,"suffix":""}],"container-title":"Jurnal Pusat Inovasi Masyarakat (PIM)","id":"ITEM-1","issue":"2","issued":{"date-parts":[["2023"]]},"page":"218-225","title":"Penyuluhan Pembuatan Pupuk Photosynthetic Bacteria (PSB) sebagai Upaya Peningkatan Produktivitas Pertanian di Desa Argapura, Bogor","type":"article-journal","volume":"5"},"uris":["http://www.mendeley.com/documents/?uuid=6522be83-81bb-4ef5-bc30-9124edec6b3f"]}],"mendeley":{"formattedCitation":"(Rizqi et al., 2023)","plainTextFormattedCitation":"(Rizqi et al., 2023)","previouslyFormattedCitation":"(Rizqi et al., 2023)"},"properties":{"noteIndex":0},"schema":"https://github.com/citation-style-language/schema/raw/master/csl-citation.json"}</w:instrText>
      </w:r>
      <w:r w:rsidR="005A52D9" w:rsidRPr="006D434D">
        <w:rPr>
          <w:rFonts w:ascii="Arial" w:hAnsi="Arial" w:cs="Arial"/>
        </w:rPr>
        <w:fldChar w:fldCharType="separate"/>
      </w:r>
      <w:r w:rsidR="005A52D9" w:rsidRPr="006D434D">
        <w:rPr>
          <w:rFonts w:ascii="Arial" w:hAnsi="Arial" w:cs="Arial"/>
          <w:noProof/>
        </w:rPr>
        <w:t xml:space="preserve">(Rizqi </w:t>
      </w:r>
      <w:r w:rsidR="005A52D9" w:rsidRPr="00ED4AFB">
        <w:rPr>
          <w:rFonts w:ascii="Arial" w:hAnsi="Arial" w:cs="Arial"/>
          <w:noProof/>
        </w:rPr>
        <w:t>et al</w:t>
      </w:r>
      <w:r w:rsidR="005A52D9" w:rsidRPr="006D434D">
        <w:rPr>
          <w:rFonts w:ascii="Arial" w:hAnsi="Arial" w:cs="Arial"/>
          <w:noProof/>
        </w:rPr>
        <w:t>., 2023)</w:t>
      </w:r>
      <w:r w:rsidR="005A52D9" w:rsidRPr="006D434D">
        <w:rPr>
          <w:rFonts w:ascii="Arial" w:hAnsi="Arial" w:cs="Arial"/>
        </w:rPr>
        <w:fldChar w:fldCharType="end"/>
      </w:r>
      <w:r w:rsidR="005A52D9" w:rsidRPr="006D434D">
        <w:rPr>
          <w:rFonts w:ascii="Arial" w:hAnsi="Arial" w:cs="Arial"/>
        </w:rPr>
        <w:t>.</w:t>
      </w:r>
    </w:p>
    <w:p w14:paraId="52061ABE" w14:textId="77777777" w:rsidR="005A52D9" w:rsidRDefault="005A52D9" w:rsidP="005A52D9">
      <w:pPr>
        <w:pStyle w:val="Body"/>
        <w:tabs>
          <w:tab w:val="left" w:pos="2667"/>
        </w:tabs>
        <w:spacing w:after="0"/>
        <w:rPr>
          <w:rFonts w:ascii="Arial" w:hAnsi="Arial" w:cs="Arial"/>
        </w:rPr>
      </w:pPr>
    </w:p>
    <w:p w14:paraId="6AEE71B8" w14:textId="39EBBA53" w:rsidR="005A52D9" w:rsidRPr="00757DD0" w:rsidRDefault="005A52D9" w:rsidP="005A52D9">
      <w:pPr>
        <w:pStyle w:val="Body"/>
        <w:tabs>
          <w:tab w:val="left" w:pos="2667"/>
        </w:tabs>
        <w:spacing w:after="0"/>
        <w:rPr>
          <w:rFonts w:ascii="Arial" w:hAnsi="Arial" w:cs="Arial"/>
          <w:b/>
          <w:bCs/>
        </w:rPr>
      </w:pPr>
      <w:r w:rsidRPr="006D434D">
        <w:rPr>
          <w:rFonts w:ascii="Arial" w:hAnsi="Arial" w:cs="Arial"/>
          <w:b/>
          <w:bCs/>
        </w:rPr>
        <w:t>2.2.</w:t>
      </w:r>
      <w:r>
        <w:rPr>
          <w:rFonts w:ascii="Arial" w:hAnsi="Arial" w:cs="Arial"/>
          <w:b/>
          <w:bCs/>
        </w:rPr>
        <w:t>2</w:t>
      </w:r>
      <w:r w:rsidRPr="006D434D">
        <w:rPr>
          <w:rFonts w:ascii="Arial" w:hAnsi="Arial" w:cs="Arial"/>
          <w:b/>
          <w:bCs/>
        </w:rPr>
        <w:t xml:space="preserve"> </w:t>
      </w:r>
      <w:r w:rsidR="00B91AC2" w:rsidRPr="00B91AC2">
        <w:rPr>
          <w:rFonts w:ascii="Arial" w:hAnsi="Arial" w:cs="Arial"/>
          <w:b/>
          <w:bCs/>
        </w:rPr>
        <w:t>Sowing shallot seeds</w:t>
      </w:r>
    </w:p>
    <w:p w14:paraId="4B58E8A8" w14:textId="1E4B49BD" w:rsidR="005A52D9" w:rsidRDefault="00757DD0" w:rsidP="00757DD0">
      <w:pPr>
        <w:pStyle w:val="Body"/>
        <w:tabs>
          <w:tab w:val="left" w:pos="709"/>
        </w:tabs>
        <w:spacing w:after="0"/>
        <w:rPr>
          <w:rFonts w:ascii="Arial" w:hAnsi="Arial" w:cs="Arial"/>
        </w:rPr>
      </w:pPr>
      <w:r>
        <w:rPr>
          <w:rFonts w:ascii="Arial" w:hAnsi="Arial" w:cs="Arial"/>
        </w:rPr>
        <w:lastRenderedPageBreak/>
        <w:tab/>
      </w:r>
      <w:r w:rsidR="00B91AC2" w:rsidRPr="00B91AC2">
        <w:rPr>
          <w:rFonts w:ascii="Arial" w:hAnsi="Arial" w:cs="Arial"/>
        </w:rPr>
        <w:t>Sowing of Sanren F1 True Shallot Seed (TSS) shallot seeds was carried out using a mixture of soil, manure, and charcoal husks in a ratio of 2:1:1. TSS seeds were soaked overnight and only seeds that sank were used because they had better viability. The sowing medium was placed in a container, the seeds were planted, and covered lightly with the medium. Watering was carried out using PSB liquid organic fertilizer at a concentration of 3 ml L</w:t>
      </w:r>
      <w:r w:rsidR="00B91AC2" w:rsidRPr="00B91AC2">
        <w:rPr>
          <w:rFonts w:ascii="Cambria Math" w:hAnsi="Cambria Math" w:cs="Cambria Math"/>
        </w:rPr>
        <w:t>⁻</w:t>
      </w:r>
      <w:r w:rsidR="00B91AC2" w:rsidRPr="00B91AC2">
        <w:rPr>
          <w:rFonts w:ascii="Arial" w:hAnsi="Arial" w:cs="Arial"/>
        </w:rPr>
        <w:t>¹ water. The seedbed was covered and placed in a shady place to protect the seedlings from direct sunlight and excessive rain. The seedlings were ready to be transferred to the field after 30–35 days or when they had 4–5 leaves.</w:t>
      </w:r>
    </w:p>
    <w:p w14:paraId="257A6DFD" w14:textId="77777777" w:rsidR="00B91AC2" w:rsidRDefault="00B91AC2" w:rsidP="005A52D9">
      <w:pPr>
        <w:pStyle w:val="Body"/>
        <w:tabs>
          <w:tab w:val="left" w:pos="2667"/>
        </w:tabs>
        <w:spacing w:after="0"/>
        <w:rPr>
          <w:rFonts w:ascii="Arial" w:hAnsi="Arial" w:cs="Arial"/>
        </w:rPr>
      </w:pPr>
    </w:p>
    <w:p w14:paraId="01462F32" w14:textId="56DCE6CC" w:rsidR="005A52D9" w:rsidRPr="00757DD0" w:rsidRDefault="005A52D9" w:rsidP="005A52D9">
      <w:pPr>
        <w:pStyle w:val="Body"/>
        <w:tabs>
          <w:tab w:val="left" w:pos="2667"/>
        </w:tabs>
        <w:spacing w:after="0"/>
        <w:rPr>
          <w:rFonts w:ascii="Arial" w:hAnsi="Arial" w:cs="Arial"/>
          <w:b/>
          <w:bCs/>
        </w:rPr>
      </w:pPr>
      <w:r w:rsidRPr="006D434D">
        <w:rPr>
          <w:rFonts w:ascii="Arial" w:hAnsi="Arial" w:cs="Arial"/>
          <w:b/>
          <w:bCs/>
        </w:rPr>
        <w:t>2.2.</w:t>
      </w:r>
      <w:r>
        <w:rPr>
          <w:rFonts w:ascii="Arial" w:hAnsi="Arial" w:cs="Arial"/>
          <w:b/>
          <w:bCs/>
        </w:rPr>
        <w:t>3</w:t>
      </w:r>
      <w:r w:rsidRPr="006D434D">
        <w:rPr>
          <w:rFonts w:ascii="Arial" w:hAnsi="Arial" w:cs="Arial"/>
          <w:b/>
          <w:bCs/>
        </w:rPr>
        <w:t xml:space="preserve"> </w:t>
      </w:r>
      <w:r w:rsidR="00B91AC2" w:rsidRPr="00B91AC2">
        <w:rPr>
          <w:rFonts w:ascii="Arial" w:hAnsi="Arial" w:cs="Arial"/>
          <w:b/>
          <w:bCs/>
        </w:rPr>
        <w:t>Planting</w:t>
      </w:r>
    </w:p>
    <w:p w14:paraId="5310736E" w14:textId="469661F4" w:rsidR="005A52D9" w:rsidRDefault="00B91AC2" w:rsidP="00757DD0">
      <w:pPr>
        <w:pStyle w:val="Body"/>
        <w:spacing w:after="0"/>
        <w:ind w:firstLine="720"/>
        <w:rPr>
          <w:rFonts w:ascii="Arial" w:hAnsi="Arial" w:cs="Arial"/>
        </w:rPr>
      </w:pPr>
      <w:r w:rsidRPr="00B91AC2">
        <w:rPr>
          <w:rFonts w:ascii="Arial" w:hAnsi="Arial" w:cs="Arial"/>
        </w:rPr>
        <w:t>Land preparation was carried out two weeks before planting by first tilling the soil to a depth of 20–30 cm to loosen it, then dividing it into 1 m × 1 m experimental plots according to the treatment design. Red onion seedlings from the nursery are transplanted to the field at 30–35 days old and planted at a spacing of 20 cm × 20 cm, with one seedling per planting hole.</w:t>
      </w:r>
    </w:p>
    <w:p w14:paraId="5BAF4D3F" w14:textId="77777777" w:rsidR="005A52D9" w:rsidRDefault="005A52D9" w:rsidP="005A52D9">
      <w:pPr>
        <w:pStyle w:val="Body"/>
        <w:spacing w:after="0"/>
        <w:rPr>
          <w:rFonts w:ascii="Arial" w:hAnsi="Arial" w:cs="Arial"/>
        </w:rPr>
      </w:pPr>
    </w:p>
    <w:p w14:paraId="1CA30947" w14:textId="4A586AD2" w:rsidR="005A52D9" w:rsidRDefault="005A52D9" w:rsidP="005A52D9">
      <w:pPr>
        <w:pStyle w:val="Body"/>
        <w:tabs>
          <w:tab w:val="left" w:pos="2667"/>
        </w:tabs>
        <w:spacing w:after="0"/>
        <w:rPr>
          <w:rFonts w:ascii="Arial" w:hAnsi="Arial" w:cs="Arial"/>
          <w:b/>
          <w:bCs/>
        </w:rPr>
      </w:pPr>
      <w:r w:rsidRPr="006D434D">
        <w:rPr>
          <w:rFonts w:ascii="Arial" w:hAnsi="Arial" w:cs="Arial"/>
          <w:b/>
          <w:bCs/>
        </w:rPr>
        <w:t>2.2.</w:t>
      </w:r>
      <w:r>
        <w:rPr>
          <w:rFonts w:ascii="Arial" w:hAnsi="Arial" w:cs="Arial"/>
          <w:b/>
          <w:bCs/>
        </w:rPr>
        <w:t>4</w:t>
      </w:r>
      <w:r w:rsidRPr="006D434D">
        <w:rPr>
          <w:rFonts w:ascii="Arial" w:hAnsi="Arial" w:cs="Arial"/>
          <w:b/>
          <w:bCs/>
        </w:rPr>
        <w:t xml:space="preserve"> </w:t>
      </w:r>
      <w:r w:rsidR="00B91AC2" w:rsidRPr="00B91AC2">
        <w:rPr>
          <w:rFonts w:ascii="Arial" w:hAnsi="Arial" w:cs="Arial"/>
          <w:b/>
          <w:bCs/>
        </w:rPr>
        <w:t>Maintenance</w:t>
      </w:r>
    </w:p>
    <w:p w14:paraId="012F23C2" w14:textId="0FF863C0" w:rsidR="00B91AC2" w:rsidRDefault="00757DD0" w:rsidP="00757DD0">
      <w:pPr>
        <w:pStyle w:val="Body"/>
        <w:tabs>
          <w:tab w:val="left" w:pos="709"/>
        </w:tabs>
        <w:spacing w:after="0"/>
        <w:rPr>
          <w:rFonts w:ascii="Arial" w:hAnsi="Arial" w:cs="Arial"/>
        </w:rPr>
      </w:pPr>
      <w:r>
        <w:rPr>
          <w:rFonts w:ascii="Arial" w:hAnsi="Arial" w:cs="Arial"/>
        </w:rPr>
        <w:tab/>
      </w:r>
      <w:r w:rsidR="00B91AC2" w:rsidRPr="00B91AC2">
        <w:rPr>
          <w:rFonts w:ascii="Arial" w:hAnsi="Arial" w:cs="Arial"/>
        </w:rPr>
        <w:t>Plant care is carried out intensively through regular watering according to weather conditions to maintain soil moisture. Fertilization uses inorganic fertilizers (Urea, SP-36, and KCl) and PSB liquid organic fertilizer. Half of the inorganic fertilizer dose is given at transplanting and half of the Urea dose is given again at 21 days after transplanting. PSB fertilizer is applied once a week from 7 days after transplanting to 12 days after transplanting at a dose of 100 ml per plant through watering around the base of the stem. Pest and disease control is carried out in an integrated manner, and plant growth is monitored regularly to support optimal productivity. Plant morphology observation.</w:t>
      </w:r>
    </w:p>
    <w:p w14:paraId="57DA780A" w14:textId="77777777" w:rsidR="00B91AC2" w:rsidRDefault="00B91AC2" w:rsidP="005A52D9">
      <w:pPr>
        <w:pStyle w:val="Body"/>
        <w:tabs>
          <w:tab w:val="left" w:pos="2667"/>
        </w:tabs>
        <w:spacing w:after="0"/>
        <w:rPr>
          <w:rFonts w:ascii="Arial" w:hAnsi="Arial" w:cs="Arial"/>
        </w:rPr>
      </w:pPr>
    </w:p>
    <w:p w14:paraId="29806A6F" w14:textId="3F62E5BC" w:rsidR="00B91AC2" w:rsidRPr="00757DD0" w:rsidRDefault="005A52D9" w:rsidP="005A52D9">
      <w:pPr>
        <w:pStyle w:val="Body"/>
        <w:tabs>
          <w:tab w:val="left" w:pos="2667"/>
        </w:tabs>
        <w:spacing w:after="0"/>
        <w:rPr>
          <w:rFonts w:ascii="Arial" w:hAnsi="Arial" w:cs="Arial"/>
          <w:b/>
          <w:bCs/>
        </w:rPr>
      </w:pPr>
      <w:r w:rsidRPr="006D434D">
        <w:rPr>
          <w:rFonts w:ascii="Arial" w:hAnsi="Arial" w:cs="Arial"/>
          <w:b/>
          <w:bCs/>
        </w:rPr>
        <w:t>2.2.</w:t>
      </w:r>
      <w:r>
        <w:rPr>
          <w:rFonts w:ascii="Arial" w:hAnsi="Arial" w:cs="Arial"/>
          <w:b/>
          <w:bCs/>
        </w:rPr>
        <w:t>5</w:t>
      </w:r>
      <w:r w:rsidRPr="006D434D">
        <w:rPr>
          <w:rFonts w:ascii="Arial" w:hAnsi="Arial" w:cs="Arial"/>
          <w:b/>
          <w:bCs/>
        </w:rPr>
        <w:t xml:space="preserve"> </w:t>
      </w:r>
      <w:r w:rsidR="00B91AC2" w:rsidRPr="00B91AC2">
        <w:rPr>
          <w:rFonts w:ascii="Arial" w:hAnsi="Arial" w:cs="Arial"/>
          <w:b/>
          <w:bCs/>
        </w:rPr>
        <w:t>Plant morphology observation</w:t>
      </w:r>
    </w:p>
    <w:p w14:paraId="4B1C52DB" w14:textId="1A56F238" w:rsidR="005A52D9" w:rsidRDefault="00B91AC2" w:rsidP="00757DD0">
      <w:pPr>
        <w:ind w:firstLine="720"/>
        <w:jc w:val="both"/>
        <w:rPr>
          <w:rFonts w:ascii="Arial" w:hAnsi="Arial" w:cs="Arial"/>
        </w:rPr>
      </w:pPr>
      <w:r w:rsidRPr="00B91AC2">
        <w:rPr>
          <w:rFonts w:ascii="Arial" w:hAnsi="Arial" w:cs="Arial"/>
        </w:rPr>
        <w:t>Plant morphology observations were conducted by observing plant height, number of leaves per plant, and number of tillers per plant. These observations were conducted periodically, once a week.</w:t>
      </w:r>
    </w:p>
    <w:p w14:paraId="27340137" w14:textId="01888767" w:rsidR="00950E90" w:rsidRDefault="00950E90" w:rsidP="005A52D9">
      <w:pPr>
        <w:jc w:val="both"/>
        <w:rPr>
          <w:rFonts w:ascii="Arial" w:hAnsi="Arial" w:cs="Arial"/>
        </w:rPr>
      </w:pPr>
    </w:p>
    <w:p w14:paraId="54EF384A" w14:textId="40279189" w:rsidR="005A52D9" w:rsidRDefault="005A52D9" w:rsidP="005A52D9">
      <w:pPr>
        <w:pStyle w:val="Body"/>
        <w:tabs>
          <w:tab w:val="left" w:pos="2667"/>
        </w:tabs>
        <w:spacing w:after="0"/>
        <w:rPr>
          <w:rFonts w:ascii="Arial" w:hAnsi="Arial" w:cs="Arial"/>
          <w:b/>
          <w:bCs/>
        </w:rPr>
      </w:pPr>
      <w:r w:rsidRPr="006D434D">
        <w:rPr>
          <w:rFonts w:ascii="Arial" w:hAnsi="Arial" w:cs="Arial"/>
          <w:b/>
          <w:bCs/>
        </w:rPr>
        <w:t>2.2.</w:t>
      </w:r>
      <w:r>
        <w:rPr>
          <w:rFonts w:ascii="Arial" w:hAnsi="Arial" w:cs="Arial"/>
          <w:b/>
          <w:bCs/>
        </w:rPr>
        <w:t>6</w:t>
      </w:r>
      <w:r w:rsidRPr="006D434D">
        <w:rPr>
          <w:rFonts w:ascii="Arial" w:hAnsi="Arial" w:cs="Arial"/>
          <w:b/>
          <w:bCs/>
        </w:rPr>
        <w:t xml:space="preserve"> </w:t>
      </w:r>
      <w:r w:rsidR="00B91AC2" w:rsidRPr="00B91AC2">
        <w:rPr>
          <w:rFonts w:ascii="Arial" w:hAnsi="Arial" w:cs="Arial"/>
          <w:b/>
          <w:bCs/>
        </w:rPr>
        <w:t>Harvesting</w:t>
      </w:r>
    </w:p>
    <w:p w14:paraId="17D60E27" w14:textId="486D2303" w:rsidR="005A52D9" w:rsidRDefault="00B91AC2" w:rsidP="00757DD0">
      <w:pPr>
        <w:pStyle w:val="Body"/>
        <w:spacing w:after="0"/>
        <w:ind w:firstLine="720"/>
        <w:rPr>
          <w:rFonts w:ascii="Arial" w:hAnsi="Arial" w:cs="Arial"/>
        </w:rPr>
      </w:pPr>
      <w:r w:rsidRPr="00B91AC2">
        <w:rPr>
          <w:rFonts w:ascii="Arial" w:hAnsi="Arial" w:cs="Arial"/>
        </w:rPr>
        <w:t>TSS shallots are harvested approximately 60–70 days after planting, when the leaves turn yellow, wither, and fall over. The bulbs are pulled out of the ground and dried until the skin is dry before being stored in a dry, cool place to maintain quality.</w:t>
      </w:r>
    </w:p>
    <w:p w14:paraId="4C672A46" w14:textId="77777777" w:rsidR="00B91AC2" w:rsidRDefault="00B91AC2" w:rsidP="005A52D9">
      <w:pPr>
        <w:pStyle w:val="Body"/>
        <w:spacing w:after="0"/>
        <w:rPr>
          <w:rFonts w:ascii="Arial" w:hAnsi="Arial" w:cs="Arial"/>
        </w:rPr>
      </w:pPr>
    </w:p>
    <w:p w14:paraId="65B3E88A" w14:textId="271CF884" w:rsidR="005A52D9" w:rsidRPr="00D53289" w:rsidRDefault="005A52D9" w:rsidP="00B91AC2">
      <w:pPr>
        <w:pStyle w:val="Body"/>
        <w:spacing w:after="0"/>
        <w:jc w:val="left"/>
        <w:rPr>
          <w:rFonts w:ascii="Arial" w:hAnsi="Arial" w:cs="Arial"/>
          <w:sz w:val="22"/>
          <w:szCs w:val="22"/>
        </w:rPr>
        <w:sectPr w:rsidR="005A52D9" w:rsidRPr="00D53289" w:rsidSect="00FC322D">
          <w:type w:val="continuous"/>
          <w:pgSz w:w="12240" w:h="15840"/>
          <w:pgMar w:top="1440" w:right="2016" w:bottom="2016" w:left="2016" w:header="720" w:footer="1123" w:gutter="0"/>
          <w:cols w:space="720"/>
          <w:docGrid w:linePitch="272"/>
        </w:sectPr>
      </w:pPr>
      <w:r w:rsidRPr="00D53289">
        <w:rPr>
          <w:rFonts w:ascii="Arial" w:hAnsi="Arial" w:cs="Arial"/>
          <w:b/>
          <w:bCs/>
          <w:sz w:val="22"/>
          <w:szCs w:val="22"/>
        </w:rPr>
        <w:t xml:space="preserve">2.3 </w:t>
      </w:r>
      <w:r w:rsidR="00B91AC2" w:rsidRPr="00B91AC2">
        <w:rPr>
          <w:rFonts w:ascii="Arial" w:hAnsi="Arial" w:cs="Arial"/>
          <w:b/>
          <w:bCs/>
          <w:sz w:val="22"/>
          <w:szCs w:val="22"/>
        </w:rPr>
        <w:t>Data Analysis</w:t>
      </w:r>
    </w:p>
    <w:p w14:paraId="2EE64383" w14:textId="6541E81D" w:rsidR="00790ADA" w:rsidRDefault="00B91AC2" w:rsidP="00757DD0">
      <w:pPr>
        <w:pStyle w:val="Body"/>
        <w:spacing w:after="0"/>
        <w:ind w:firstLine="720"/>
        <w:rPr>
          <w:rFonts w:ascii="Arial" w:hAnsi="Arial" w:cs="Arial"/>
        </w:rPr>
      </w:pPr>
      <w:r w:rsidRPr="00B91AC2">
        <w:rPr>
          <w:rFonts w:ascii="Arial" w:hAnsi="Arial" w:cs="Arial"/>
        </w:rPr>
        <w:t>The observation data were analyzed using Analysis of Variance (ANOVA) to evaluate the effect of treatment on shallot growth and yield. If the analysis results showed significant differences, the Least Significant Difference (LSD) test was conducted at a 5% confidence level to determine the differences between treatments in more detail.</w:t>
      </w:r>
    </w:p>
    <w:p w14:paraId="2AA3A7E7" w14:textId="77777777" w:rsidR="00B91AC2" w:rsidRPr="00FB3A86" w:rsidRDefault="00B91AC2" w:rsidP="00441B6F">
      <w:pPr>
        <w:pStyle w:val="Body"/>
        <w:spacing w:after="0"/>
        <w:rPr>
          <w:rFonts w:ascii="Arial" w:hAnsi="Arial" w:cs="Arial"/>
        </w:rPr>
      </w:pPr>
    </w:p>
    <w:p w14:paraId="4140629F" w14:textId="589FAEFC" w:rsidR="00B91AC2" w:rsidRDefault="00B91AC2" w:rsidP="00B91AC2">
      <w:pPr>
        <w:pStyle w:val="Head1"/>
        <w:spacing w:after="0"/>
        <w:jc w:val="both"/>
        <w:rPr>
          <w:rFonts w:ascii="Arial" w:hAnsi="Arial" w:cs="Arial"/>
          <w:caps w:val="0"/>
        </w:rPr>
      </w:pPr>
      <w:r>
        <w:rPr>
          <w:rFonts w:ascii="Arial" w:hAnsi="Arial" w:cs="Arial"/>
        </w:rPr>
        <w:t xml:space="preserve">3. </w:t>
      </w:r>
      <w:r w:rsidRPr="00B91AC2">
        <w:rPr>
          <w:rFonts w:ascii="Arial" w:hAnsi="Arial" w:cs="Arial"/>
          <w:caps w:val="0"/>
        </w:rPr>
        <w:t>Results and Discussion</w:t>
      </w:r>
    </w:p>
    <w:p w14:paraId="5E145563" w14:textId="77777777" w:rsidR="00B91AC2" w:rsidRDefault="00B91AC2" w:rsidP="00B91AC2">
      <w:pPr>
        <w:pStyle w:val="Body"/>
        <w:spacing w:after="0"/>
        <w:rPr>
          <w:rFonts w:ascii="Arial" w:hAnsi="Arial" w:cs="Arial"/>
        </w:rPr>
        <w:sectPr w:rsidR="00B91AC2" w:rsidSect="00FC322D">
          <w:type w:val="continuous"/>
          <w:pgSz w:w="12240" w:h="15840"/>
          <w:pgMar w:top="1440" w:right="2016" w:bottom="2016" w:left="2016" w:header="720" w:footer="1123" w:gutter="0"/>
          <w:cols w:space="720"/>
          <w:docGrid w:linePitch="272"/>
        </w:sectPr>
      </w:pPr>
    </w:p>
    <w:p w14:paraId="5D1F92AB" w14:textId="17D33B99" w:rsidR="00B91AC2" w:rsidRDefault="00B91AC2" w:rsidP="00757DD0">
      <w:pPr>
        <w:pStyle w:val="Body"/>
        <w:spacing w:after="0"/>
        <w:ind w:firstLine="720"/>
        <w:rPr>
          <w:rFonts w:ascii="Arial" w:hAnsi="Arial" w:cs="Arial"/>
          <w:lang w:val="en-US"/>
        </w:rPr>
      </w:pPr>
      <w:r w:rsidRPr="00B91AC2">
        <w:rPr>
          <w:rFonts w:ascii="Arial" w:hAnsi="Arial" w:cs="Arial"/>
        </w:rPr>
        <w:t>Climate conditions during the study period, according to the Meteorology, Climatology and Geophysics Agency in 2025, showed that monthly rainfall in the period July–October was 47, 197, 308, and 160 mm, respectively, with a daily average of 3–11 mm, which is still relatively suitable for shallot growth, ranging from 100–200 mm/month</w:t>
      </w:r>
      <w:r>
        <w:rPr>
          <w:rFonts w:ascii="Arial" w:hAnsi="Arial" w:cs="Arial"/>
        </w:rPr>
        <w:t xml:space="preserve"> </w:t>
      </w:r>
      <w:r w:rsidRPr="008F6471">
        <w:rPr>
          <w:rFonts w:ascii="Arial" w:hAnsi="Arial" w:cs="Arial"/>
        </w:rPr>
        <w:fldChar w:fldCharType="begin" w:fldLock="1"/>
      </w:r>
      <w:r w:rsidRPr="008F6471">
        <w:rPr>
          <w:rFonts w:ascii="Arial" w:hAnsi="Arial" w:cs="Arial"/>
        </w:rPr>
        <w:instrText>ADDIN CSL_CITATION {"citationItems":[{"id":"ITEM-1","itemData":{"DOI":"10.26418/jspe.v11i4.58283","abstract":"Bawang merah (Allium ascalonicum L.) merupakan salah satu komoditas tanaman hortikultura yang banyak dikonsumsi manusia sebagai campuran bumbu masak setelah cabe. Selain sebagai campuran bumbu masak, bawang merah juga dijual dalam bentuk olahan seperti ekstrak bawang merah, bubuk, minyak atsiri, bawang goreng bahkan sebagai bahan obat untuk menurunkan kadar kolesterol, gula darah, mencegah penggumpalan darah, menurunkan tekanan darah serta memperlancar aliran darah. Sebagai komoditas hortikultura yang banyak dikonsumsi masyarakat maka diperlukan upaya untuk meningkatkan produksi bawang merah, salah satunya adalah pemanfaatan lahan gambut sebagai areal tanam bawang merah. Tanah gambut memiliki beberapa masalah berupa rendahnya ketersediaan unsur hara, terutama kalium. Salah satu upaya yang dapat dilakukan untuk meningkatkan produktivitas lahan gambut adalah dengan pemberian pupuk kotoran sapi dan kalium. Tujuan penelitian ini yaitu untuk mengetahui dosis interaksi pemberian pupuk kotoran sapi dan kalium terhadap pertumbuhan dan hasil tanaman bawang merah pada tanah gambut. Metode penelitian menggunakan rancangan acak lengkap faktorial dengan faktor pertama adalah pupuk kotoran sapi dan faktor kedua adalah kalium. Hasil penelitian menunjukan bahwa tidak terdapat interaksi terhadap pemberian pupuk kotoran sapi dan kalium pada semua variabel pertumbuhan dan hasil tanaman bawang merah pada tanah gambut.Kata Kunci   : Bawang Merah, Gambut, Kalium, Pupuk Kotoran Sapi","author":[{"dropping-particle":"","family":"Sofiani","given":"Zizi","non-dropping-particle":"","parse-names":false,"suffix":""},{"dropping-particle":"","family":"Santoso","given":"Eddy","non-dropping-particle":"","parse-names":false,"suffix":""},{"dropping-particle":"","family":"Surachman","given":"Surachman","non-dropping-particle":"","parse-names":false,"suffix":""}],"container-title":"Jurnal Sains Pertanian Equator","id":"ITEM-1","issue":"4","issued":{"date-parts":[["2022"]]},"page":"158","title":"Respon Pertumbuhan Dan Hasil Tanaman Bawang Merah Terhadap Pemberian Pupuk Kotoran Sapi Dan Kalium Pada Tanah Gambut","type":"article-journal","volume":"11"},"uris":["http://www.mendeley.com/documents/?uuid=fb4e8cdb-2379-4ae2-95a7-9c744cb1a503"]}],"mendeley":{"formattedCitation":"(Sofiani et al., 2022)","plainTextFormattedCitation":"(Sofiani et al., 2022)","previouslyFormattedCitation":"(Sofiani et al., 2022)"},"properties":{"noteIndex":0},"schema":"https://github.com/citation-style-language/schema/raw/master/csl-citation.json"}</w:instrText>
      </w:r>
      <w:r w:rsidRPr="008F6471">
        <w:rPr>
          <w:rFonts w:ascii="Arial" w:hAnsi="Arial" w:cs="Arial"/>
        </w:rPr>
        <w:fldChar w:fldCharType="separate"/>
      </w:r>
      <w:r w:rsidRPr="008F6471">
        <w:rPr>
          <w:rFonts w:ascii="Arial" w:hAnsi="Arial" w:cs="Arial"/>
          <w:noProof/>
        </w:rPr>
        <w:t>(Sofiani</w:t>
      </w:r>
      <w:r w:rsidRPr="008F6471">
        <w:rPr>
          <w:rFonts w:ascii="Arial" w:hAnsi="Arial" w:cs="Arial"/>
          <w:i/>
          <w:iCs/>
          <w:noProof/>
        </w:rPr>
        <w:t xml:space="preserve"> </w:t>
      </w:r>
      <w:r w:rsidRPr="00ED4AFB">
        <w:rPr>
          <w:rFonts w:ascii="Arial" w:hAnsi="Arial" w:cs="Arial"/>
          <w:noProof/>
        </w:rPr>
        <w:t>et al.</w:t>
      </w:r>
      <w:r w:rsidRPr="008F6471">
        <w:rPr>
          <w:rFonts w:ascii="Arial" w:hAnsi="Arial" w:cs="Arial"/>
          <w:noProof/>
        </w:rPr>
        <w:t>, 2022)</w:t>
      </w:r>
      <w:r w:rsidRPr="008F6471">
        <w:rPr>
          <w:rFonts w:ascii="Arial" w:hAnsi="Arial" w:cs="Arial"/>
        </w:rPr>
        <w:fldChar w:fldCharType="end"/>
      </w:r>
      <w:r w:rsidRPr="008F6471">
        <w:rPr>
          <w:rFonts w:ascii="Arial" w:hAnsi="Arial" w:cs="Arial"/>
          <w:lang w:val="en-US"/>
        </w:rPr>
        <w:t xml:space="preserve">. </w:t>
      </w:r>
      <w:r w:rsidRPr="00B91AC2">
        <w:rPr>
          <w:rFonts w:ascii="Arial" w:hAnsi="Arial" w:cs="Arial"/>
          <w:lang w:val="en-US"/>
        </w:rPr>
        <w:t>However, the average air temperature ranges from 23–24°C, slightly lower than the optimal temperature of 25–32°C, and the air humidity is very high (92–93%), because the ideal relative humidity for shallots is in the range of 50–70%</w:t>
      </w:r>
      <w:r>
        <w:rPr>
          <w:rFonts w:ascii="Arial" w:hAnsi="Arial" w:cs="Arial"/>
          <w:lang w:val="en-US"/>
        </w:rPr>
        <w:t xml:space="preserve"> </w:t>
      </w:r>
      <w:r w:rsidRPr="008F6471">
        <w:rPr>
          <w:rFonts w:ascii="Arial" w:hAnsi="Arial" w:cs="Arial"/>
        </w:rPr>
        <w:fldChar w:fldCharType="begin" w:fldLock="1"/>
      </w:r>
      <w:r w:rsidRPr="008F6471">
        <w:rPr>
          <w:rFonts w:ascii="Arial" w:hAnsi="Arial" w:cs="Arial"/>
        </w:rPr>
        <w:instrText>ADDIN CSL_CITATION {"citationItems":[{"id":"ITEM-1","itemData":{"author":[{"dropping-particle":"","family":"Kurniawan","given":"Yohanes Jordy","non-dropping-particle":"","parse-names":false,"suffix":""},{"dropping-particle":"","family":"Surachman","given":"","non-dropping-particle":"","parse-names":false,"suffix":""},{"dropping-particle":"","family":"Palupi","given":"Tantri","non-dropping-particle":"","parse-names":false,"suffix":""}],"container-title":"Program Studi Agroteknologi, Fakultas Pertanian, Universitas Tanjungpura, Pontianak, Indonesia","id":"ITEM-1","issue":"4","issued":{"date-parts":[["2024"]]},"page":"1171-1179","title":"Pengaruh Kombinasi Asam Humat Dan Npk","type":"article-journal","volume":"13"},"uris":["http://www.mendeley.com/documents/?uuid=7aa76fac-220b-44e3-9397-afd774324b51"]}],"mendeley":{"formattedCitation":"(Kurniawan et al., 2024)","plainTextFormattedCitation":"(Kurniawan et al., 2024)","previouslyFormattedCitation":"(Kurniawan et al., 2024)"},"properties":{"noteIndex":0},"schema":"https://github.com/citation-style-language/schema/raw/master/csl-citation.json"}</w:instrText>
      </w:r>
      <w:r w:rsidRPr="008F6471">
        <w:rPr>
          <w:rFonts w:ascii="Arial" w:hAnsi="Arial" w:cs="Arial"/>
        </w:rPr>
        <w:fldChar w:fldCharType="separate"/>
      </w:r>
      <w:r w:rsidRPr="008F6471">
        <w:rPr>
          <w:rFonts w:ascii="Arial" w:hAnsi="Arial" w:cs="Arial"/>
          <w:noProof/>
        </w:rPr>
        <w:t xml:space="preserve">(Kurniawan </w:t>
      </w:r>
      <w:r w:rsidRPr="00ED4AFB">
        <w:rPr>
          <w:rFonts w:ascii="Arial" w:hAnsi="Arial" w:cs="Arial"/>
          <w:noProof/>
        </w:rPr>
        <w:t>et al.</w:t>
      </w:r>
      <w:r w:rsidRPr="008F6471">
        <w:rPr>
          <w:rFonts w:ascii="Arial" w:hAnsi="Arial" w:cs="Arial"/>
          <w:noProof/>
        </w:rPr>
        <w:t>, 2024)</w:t>
      </w:r>
      <w:r w:rsidRPr="008F6471">
        <w:rPr>
          <w:rFonts w:ascii="Arial" w:hAnsi="Arial" w:cs="Arial"/>
        </w:rPr>
        <w:fldChar w:fldCharType="end"/>
      </w:r>
      <w:r w:rsidRPr="008F6471">
        <w:rPr>
          <w:rFonts w:ascii="Arial" w:hAnsi="Arial" w:cs="Arial"/>
        </w:rPr>
        <w:t xml:space="preserve">. </w:t>
      </w:r>
      <w:r w:rsidRPr="00B91AC2">
        <w:rPr>
          <w:rFonts w:ascii="Arial" w:hAnsi="Arial" w:cs="Arial"/>
        </w:rPr>
        <w:t>Meanwhile, the duration of sunlight exposure is low (33–56%), far below the requirement for shallots, which is around 70%</w:t>
      </w:r>
      <w:r w:rsidRPr="008F6471">
        <w:rPr>
          <w:rFonts w:ascii="Arial" w:hAnsi="Arial" w:cs="Arial"/>
          <w:lang w:val="en-US"/>
        </w:rPr>
        <w:t xml:space="preserve"> </w:t>
      </w:r>
      <w:r w:rsidRPr="008F6471">
        <w:rPr>
          <w:rFonts w:ascii="Arial" w:hAnsi="Arial" w:cs="Arial"/>
        </w:rPr>
        <w:fldChar w:fldCharType="begin" w:fldLock="1"/>
      </w:r>
      <w:r w:rsidRPr="008F6471">
        <w:rPr>
          <w:rFonts w:ascii="Arial" w:hAnsi="Arial" w:cs="Arial"/>
        </w:rPr>
        <w:instrText>ADDIN CSL_CITATION {"citationItems":[{"id":"ITEM-1","itemData":{"ISBN":"7211418192","ISSN":"23194081","PMID":"25246403","abstract":"The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Hidayat","given":"Achmad","non-dropping-particle":"","parse-names":false,"suffix":""},{"dropping-particle":"","family":"Sumarni","given":"Nani","non-dropping-particle":"","parse-names":false,"suffix":""}],"container-title":"Budidaya Bawang Merah","id":"ITEM-1","issued":{"date-parts":[["2005"]]},"number-of-pages":"22","title":"BALAI PENELITIAN TANAMAN SAYURAN","type":"book","volume":"3"},"uris":["http://www.mendeley.com/documents/?uuid=340bf7b3-bb07-4205-9c20-269e0f2b36b2"]}],"mendeley":{"formattedCitation":"(Hidayat &amp; Sumarni, 2005)","manualFormatting":"(Sumarni &amp; Hidayat, 2005)","plainTextFormattedCitation":"(Hidayat &amp; Sumarni, 2005)","previouslyFormattedCitation":"(Hidayat &amp; Sumarni, 2005)"},"properties":{"noteIndex":0},"schema":"https://github.com/citation-style-language/schema/raw/master/csl-citation.json"}</w:instrText>
      </w:r>
      <w:r w:rsidRPr="008F6471">
        <w:rPr>
          <w:rFonts w:ascii="Arial" w:hAnsi="Arial" w:cs="Arial"/>
        </w:rPr>
        <w:fldChar w:fldCharType="separate"/>
      </w:r>
      <w:r w:rsidRPr="008F6471">
        <w:rPr>
          <w:rFonts w:ascii="Arial" w:hAnsi="Arial" w:cs="Arial"/>
          <w:noProof/>
        </w:rPr>
        <w:t>(Sumarni &amp; Hidayat, 2005)</w:t>
      </w:r>
      <w:r w:rsidRPr="008F6471">
        <w:rPr>
          <w:rFonts w:ascii="Arial" w:hAnsi="Arial" w:cs="Arial"/>
        </w:rPr>
        <w:fldChar w:fldCharType="end"/>
      </w:r>
      <w:r>
        <w:rPr>
          <w:rFonts w:ascii="Arial" w:hAnsi="Arial" w:cs="Arial"/>
          <w:lang w:val="en-US"/>
        </w:rPr>
        <w:t>.</w:t>
      </w:r>
      <w:r w:rsidRPr="008F6471">
        <w:rPr>
          <w:rFonts w:ascii="Arial" w:hAnsi="Arial" w:cs="Arial"/>
          <w:lang w:val="en-US"/>
        </w:rPr>
        <w:t xml:space="preserve"> </w:t>
      </w:r>
      <w:r w:rsidRPr="00B91AC2">
        <w:rPr>
          <w:rFonts w:ascii="Arial" w:hAnsi="Arial" w:cs="Arial"/>
          <w:lang w:val="en-US"/>
        </w:rPr>
        <w:t xml:space="preserve">The combination of low temperatures, high humidity, </w:t>
      </w:r>
      <w:r w:rsidRPr="00B91AC2">
        <w:rPr>
          <w:rFonts w:ascii="Arial" w:hAnsi="Arial" w:cs="Arial"/>
          <w:lang w:val="en-US"/>
        </w:rPr>
        <w:lastRenderedPageBreak/>
        <w:t>and low light intensity meant that the climatic conditions during the study were not optimal for shallot growth and yield.</w:t>
      </w:r>
    </w:p>
    <w:p w14:paraId="0B8C8553" w14:textId="70B9C7D2" w:rsidR="00B91AC2" w:rsidRDefault="00B91AC2" w:rsidP="00757DD0">
      <w:pPr>
        <w:pStyle w:val="Body"/>
        <w:spacing w:after="0"/>
        <w:ind w:firstLine="720"/>
        <w:rPr>
          <w:rFonts w:ascii="Arial" w:hAnsi="Arial" w:cs="Arial"/>
          <w:lang w:val="en-US"/>
        </w:rPr>
      </w:pPr>
      <w:r w:rsidRPr="00B91AC2">
        <w:rPr>
          <w:rFonts w:ascii="Arial" w:hAnsi="Arial" w:cs="Arial"/>
          <w:lang w:val="en-US"/>
        </w:rPr>
        <w:t>The soil used was topsoil with a pH of 5.19, which is acidic and below the optimal range for shallots, which is pH 5.6–6.5 (</w:t>
      </w:r>
      <w:proofErr w:type="spellStart"/>
      <w:r w:rsidRPr="00B91AC2">
        <w:rPr>
          <w:rFonts w:ascii="Arial" w:hAnsi="Arial" w:cs="Arial"/>
          <w:lang w:val="en-US"/>
        </w:rPr>
        <w:t>Salimeni</w:t>
      </w:r>
      <w:proofErr w:type="spellEnd"/>
      <w:r w:rsidRPr="00B91AC2">
        <w:rPr>
          <w:rFonts w:ascii="Arial" w:hAnsi="Arial" w:cs="Arial"/>
          <w:lang w:val="en-US"/>
        </w:rPr>
        <w:t>, 2023). These conditions have the potential to reduce the availability and absorption of nutrients, thereby inhibiting plant growth.</w:t>
      </w:r>
    </w:p>
    <w:p w14:paraId="37E742B5" w14:textId="49DCA101" w:rsidR="00B91AC2" w:rsidRDefault="00950E90" w:rsidP="00757DD0">
      <w:pPr>
        <w:pStyle w:val="Body"/>
        <w:spacing w:after="0"/>
        <w:ind w:firstLine="720"/>
        <w:rPr>
          <w:rFonts w:ascii="Arial" w:hAnsi="Arial" w:cs="Arial"/>
          <w:lang w:val="en-US"/>
        </w:rPr>
      </w:pPr>
      <w:r w:rsidRPr="00950E90">
        <w:rPr>
          <w:rFonts w:ascii="Arial" w:hAnsi="Arial" w:cs="Arial"/>
          <w:lang w:val="en-US"/>
        </w:rPr>
        <w:t xml:space="preserve">The </w:t>
      </w:r>
      <w:proofErr w:type="spellStart"/>
      <w:r w:rsidRPr="00950E90">
        <w:rPr>
          <w:rFonts w:ascii="Arial" w:hAnsi="Arial" w:cs="Arial"/>
          <w:lang w:val="en-US"/>
        </w:rPr>
        <w:t>Sanren</w:t>
      </w:r>
      <w:proofErr w:type="spellEnd"/>
      <w:r w:rsidRPr="00950E90">
        <w:rPr>
          <w:rFonts w:ascii="Arial" w:hAnsi="Arial" w:cs="Arial"/>
          <w:lang w:val="en-US"/>
        </w:rPr>
        <w:t xml:space="preserve"> F1 variety of TSS shallot used showed good growth and relatively uniform vegetative growth, with the potential to form 2–4 tillers per clump. During the study, the plants showed normal initial growth and the number of tillers increased from 7 MST to a maximum at 11 MST, indicating good variety performance even though environmental conditions were not optimal.</w:t>
      </w:r>
    </w:p>
    <w:p w14:paraId="5C6571BF" w14:textId="77777777" w:rsidR="00950E90" w:rsidRDefault="00950E90" w:rsidP="00B91AC2">
      <w:pPr>
        <w:pStyle w:val="Body"/>
        <w:spacing w:after="0"/>
        <w:rPr>
          <w:rFonts w:ascii="Arial" w:hAnsi="Arial" w:cs="Arial"/>
          <w:lang w:val="en-US"/>
        </w:rPr>
      </w:pPr>
    </w:p>
    <w:p w14:paraId="3DF6DCE4" w14:textId="77777777" w:rsidR="00B91AC2" w:rsidRDefault="00B91AC2" w:rsidP="00102BDF">
      <w:pPr>
        <w:pStyle w:val="Body"/>
        <w:spacing w:after="0"/>
        <w:jc w:val="center"/>
        <w:rPr>
          <w:rFonts w:ascii="Arial" w:hAnsi="Arial" w:cs="Arial"/>
          <w:lang w:val="en-US"/>
        </w:rPr>
      </w:pPr>
      <w:r>
        <w:rPr>
          <w:rFonts w:asciiTheme="majorBidi" w:hAnsiTheme="majorBidi" w:cstheme="majorBidi"/>
          <w:noProof/>
          <w:sz w:val="24"/>
          <w:szCs w:val="24"/>
        </w:rPr>
        <w:drawing>
          <wp:inline distT="0" distB="0" distL="0" distR="0" wp14:anchorId="7FE898AE" wp14:editId="19363576">
            <wp:extent cx="5029200" cy="1849999"/>
            <wp:effectExtent l="0" t="0" r="0" b="0"/>
            <wp:docPr id="1149178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78770" name="Picture 2"/>
                    <pic:cNvPicPr/>
                  </pic:nvPicPr>
                  <pic:blipFill rotWithShape="1">
                    <a:blip r:embed="rId18" cstate="print">
                      <a:extLst>
                        <a:ext uri="{28A0092B-C50C-407E-A947-70E740481C1C}">
                          <a14:useLocalDpi xmlns:a14="http://schemas.microsoft.com/office/drawing/2010/main" val="0"/>
                        </a:ext>
                      </a:extLst>
                    </a:blip>
                    <a:srcRect l="6200" r="5014"/>
                    <a:stretch>
                      <a:fillRect/>
                    </a:stretch>
                  </pic:blipFill>
                  <pic:spPr bwMode="auto">
                    <a:xfrm>
                      <a:off x="0" y="0"/>
                      <a:ext cx="5069545" cy="1864840"/>
                    </a:xfrm>
                    <a:prstGeom prst="rect">
                      <a:avLst/>
                    </a:prstGeom>
                    <a:ln>
                      <a:noFill/>
                    </a:ln>
                    <a:extLst>
                      <a:ext uri="{53640926-AAD7-44D8-BBD7-CCE9431645EC}">
                        <a14:shadowObscured xmlns:a14="http://schemas.microsoft.com/office/drawing/2010/main"/>
                      </a:ext>
                    </a:extLst>
                  </pic:spPr>
                </pic:pic>
              </a:graphicData>
            </a:graphic>
          </wp:inline>
        </w:drawing>
      </w:r>
    </w:p>
    <w:p w14:paraId="4284E714" w14:textId="77777777" w:rsidR="00B91AC2" w:rsidRDefault="00B91AC2" w:rsidP="00B91AC2">
      <w:pPr>
        <w:pStyle w:val="Body"/>
        <w:spacing w:after="0"/>
        <w:jc w:val="center"/>
        <w:rPr>
          <w:rFonts w:ascii="Arial" w:hAnsi="Arial" w:cs="Arial"/>
          <w:lang w:val="en-US"/>
        </w:rPr>
      </w:pPr>
    </w:p>
    <w:p w14:paraId="7943D021" w14:textId="330BEC5F" w:rsidR="00B91AC2" w:rsidRPr="00757DD0" w:rsidRDefault="001A382A" w:rsidP="00757DD0">
      <w:pPr>
        <w:pStyle w:val="Body"/>
        <w:jc w:val="center"/>
        <w:rPr>
          <w:rFonts w:ascii="Arial" w:hAnsi="Arial" w:cs="Arial"/>
          <w:b/>
          <w:bCs/>
          <w:lang w:val="en-US"/>
        </w:rPr>
      </w:pPr>
      <w:r w:rsidRPr="001A382A">
        <w:rPr>
          <w:rFonts w:ascii="Arial" w:hAnsi="Arial" w:cs="Arial"/>
          <w:b/>
          <w:bCs/>
        </w:rPr>
        <w:t>Figure</w:t>
      </w:r>
      <w:r w:rsidR="00B91AC2" w:rsidRPr="00A90ABF">
        <w:rPr>
          <w:rFonts w:ascii="Arial" w:hAnsi="Arial" w:cs="Arial"/>
          <w:b/>
          <w:bCs/>
          <w:lang w:val="en-US"/>
        </w:rPr>
        <w:t xml:space="preserve"> 1. </w:t>
      </w:r>
      <w:r w:rsidR="00950E90" w:rsidRPr="00950E90">
        <w:rPr>
          <w:rFonts w:ascii="Arial" w:hAnsi="Arial" w:cs="Arial"/>
          <w:b/>
          <w:bCs/>
          <w:lang w:val="en-US"/>
        </w:rPr>
        <w:t>The appearance of TSS shallot plants treated with PSB liquid organic fertilizer and inorganic fertilizer</w:t>
      </w:r>
    </w:p>
    <w:p w14:paraId="0E28C805" w14:textId="2CA222EF" w:rsidR="00B91AC2" w:rsidRDefault="00B91AC2" w:rsidP="00B91AC2">
      <w:pPr>
        <w:pStyle w:val="Body"/>
        <w:spacing w:after="0"/>
        <w:rPr>
          <w:rFonts w:ascii="Arial" w:hAnsi="Arial" w:cs="Arial"/>
          <w:b/>
          <w:bCs/>
        </w:rPr>
      </w:pPr>
      <w:r w:rsidRPr="00A90ABF">
        <w:rPr>
          <w:rFonts w:ascii="Arial" w:hAnsi="Arial" w:cs="Arial"/>
          <w:b/>
          <w:bCs/>
        </w:rPr>
        <w:t xml:space="preserve">3.1 </w:t>
      </w:r>
      <w:r w:rsidR="00950E90" w:rsidRPr="00950E90">
        <w:rPr>
          <w:rFonts w:ascii="Arial" w:hAnsi="Arial" w:cs="Arial"/>
          <w:b/>
          <w:bCs/>
        </w:rPr>
        <w:t>Growth Patterns of Shallots</w:t>
      </w:r>
    </w:p>
    <w:p w14:paraId="5B6B31F5" w14:textId="77777777" w:rsidR="00950E90" w:rsidRDefault="00950E90" w:rsidP="00757DD0">
      <w:pPr>
        <w:pStyle w:val="Body"/>
        <w:spacing w:after="0"/>
        <w:ind w:firstLine="720"/>
        <w:rPr>
          <w:rFonts w:ascii="Arial" w:hAnsi="Arial" w:cs="Arial"/>
        </w:rPr>
      </w:pPr>
      <w:r w:rsidRPr="00950E90">
        <w:rPr>
          <w:rFonts w:ascii="Arial" w:hAnsi="Arial" w:cs="Arial"/>
        </w:rPr>
        <w:t>The growth of shallots was observed through vegetative parameters such as plant height, number of leaves, and number of tillers as indicators of plant response to treatment and environment. Plant height and number of leaves were observed periodically from 1 to 5 weeks after sowing, while the number of tillers was observed at 7 to 11 weeks after sowing to see the dynamics of tiller formation related to bulb formation potential.</w:t>
      </w:r>
    </w:p>
    <w:p w14:paraId="16C28AED" w14:textId="77777777" w:rsidR="00950E90" w:rsidRDefault="00950E90" w:rsidP="00B91AC2">
      <w:pPr>
        <w:pStyle w:val="Body"/>
        <w:spacing w:after="0"/>
        <w:rPr>
          <w:rFonts w:ascii="Arial" w:hAnsi="Arial" w:cs="Arial"/>
        </w:rPr>
      </w:pPr>
    </w:p>
    <w:p w14:paraId="3F6CEC66" w14:textId="77777777" w:rsidR="00757DD0" w:rsidRDefault="00B91AC2" w:rsidP="00757DD0">
      <w:pPr>
        <w:pStyle w:val="Body"/>
        <w:spacing w:after="0"/>
        <w:rPr>
          <w:rFonts w:ascii="Arial" w:hAnsi="Arial" w:cs="Arial"/>
          <w:b/>
          <w:bCs/>
          <w:lang w:val="en-US"/>
        </w:rPr>
      </w:pPr>
      <w:r w:rsidRPr="00A90ABF">
        <w:rPr>
          <w:rFonts w:ascii="Arial" w:hAnsi="Arial" w:cs="Arial"/>
          <w:b/>
          <w:bCs/>
        </w:rPr>
        <w:t>3.1</w:t>
      </w:r>
      <w:r>
        <w:rPr>
          <w:rFonts w:ascii="Arial" w:hAnsi="Arial" w:cs="Arial"/>
          <w:b/>
          <w:bCs/>
        </w:rPr>
        <w:t>.1</w:t>
      </w:r>
      <w:r w:rsidRPr="00A90ABF">
        <w:rPr>
          <w:rFonts w:ascii="Arial" w:hAnsi="Arial" w:cs="Arial"/>
          <w:b/>
          <w:bCs/>
        </w:rPr>
        <w:t xml:space="preserve"> </w:t>
      </w:r>
      <w:r w:rsidR="00950E90" w:rsidRPr="00950E90">
        <w:rPr>
          <w:rFonts w:ascii="Arial" w:hAnsi="Arial" w:cs="Arial"/>
          <w:b/>
          <w:bCs/>
          <w:lang w:val="en-US"/>
        </w:rPr>
        <w:t>Plant Height Growth Pattern (cm)</w:t>
      </w:r>
    </w:p>
    <w:p w14:paraId="249C3E44" w14:textId="0C98C8DD" w:rsidR="00B91AC2" w:rsidRPr="00757DD0" w:rsidRDefault="00950E90" w:rsidP="00757DD0">
      <w:pPr>
        <w:pStyle w:val="Body"/>
        <w:spacing w:after="0"/>
        <w:ind w:firstLine="720"/>
        <w:rPr>
          <w:rFonts w:ascii="Arial" w:hAnsi="Arial" w:cs="Arial"/>
          <w:b/>
          <w:bCs/>
          <w:lang w:val="en-US"/>
        </w:rPr>
      </w:pPr>
      <w:r w:rsidRPr="00950E90">
        <w:rPr>
          <w:rFonts w:ascii="Arial" w:hAnsi="Arial" w:cs="Arial"/>
        </w:rPr>
        <w:t>The growth pattern of shallot plants reflects the plants' response to nutrient availability and environmental conditions during the vegetative phase. Plant height increases gradually as the plants age through irreversible cell division and elongation. Plant height is also an important indicator for assessing plant response to environmental influences and treatments</w:t>
      </w:r>
      <w:r w:rsidR="00ED4AFB">
        <w:rPr>
          <w:rFonts w:ascii="Arial" w:hAnsi="Arial" w:cs="Arial"/>
        </w:rPr>
        <w:t xml:space="preserve"> </w:t>
      </w:r>
      <w:r w:rsidR="00ED4AFB">
        <w:rPr>
          <w:rFonts w:ascii="Arial" w:hAnsi="Arial" w:cs="Arial"/>
        </w:rPr>
        <w:fldChar w:fldCharType="begin" w:fldLock="1"/>
      </w:r>
      <w:r w:rsidR="00ED4AFB">
        <w:rPr>
          <w:rFonts w:ascii="Arial" w:hAnsi="Arial" w:cs="Arial"/>
        </w:rPr>
        <w:instrText>ADDIN CSL_CITATION {"citationItems":[{"id":"ITEM-1","itemData":{"DOI":"10.1515/agri-2016-0007","ISSN":"13384376","abstract":"A study was carried out in Central Bohemia to understand the effect of row spacing and stand density on plant morphology, productivity and quality of silage maize in two row spacing treatments (0.70 m and 0.35 m) at two stand densities (92,000 plants/ha and 110,000 plants/ha). The results of the study showed that row spacing and stand density had no effect on plant height or weight; however, significantly higher ear ratio and dry matter content was found in narrow rows at 110,000 plants/ha. It was observed that plant morphology was affected more by the interaction between row spacing and stand density than by a single effect of tested factors. Significantly higher dry matter yield was recorded at higher stand density, but there was no row spacing × stand density interaction. Row spacing had no impact on the whole plant neutral detergent fiber (NDF) content, crude protein of stover and starch content of ear, while narrow rows resulted in almost significantly higher stover NDF content. Our results suggest that narrow rows could be advantageous for maize morphology and quality in cases where higher stand density is applied.","author":[{"dropping-particle":"","family":"Jirmanová","given":"Jana","non-dropping-particle":"","parse-names":false,"suffix":""},{"dropping-particle":"","family":"Fuksa","given":"Pavel","non-dropping-particle":"","parse-names":false,"suffix":""},{"dropping-particle":"","family":"Hakl","given":"Josef","non-dropping-particle":"","parse-names":false,"suffix":""},{"dropping-particle":"","family":"Brant","given":"Václav","non-dropping-particle":"","parse-names":false,"suffix":""},{"dropping-particle":"","family":"Šantrůček","given":"Jaromír","non-dropping-particle":"","parse-names":false,"suffix":""}],"container-title":"Agriculture (Pol'nohospodarstvo)","id":"ITEM-1","issue":"2","issued":{"date-parts":[["2016"]]},"page":"62-71","title":"Effect of different plant arrangements on maize morphology and forage quality","type":"article-journal","volume":"62"},"uris":["http://www.mendeley.com/documents/?uuid=b8d7c85c-5d02-4480-b85d-a7eee54ce5b9"]}],"mendeley":{"formattedCitation":"(Jirmanová et al., 2016)","plainTextFormattedCitation":"(Jirmanová et al., 2016)","previouslyFormattedCitation":"(Jirmanová et al., 2016)"},"properties":{"noteIndex":0},"schema":"https://github.com/citation-style-language/schema/raw/master/csl-citation.json"}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(Jirmanová et al., 2016)</w:t>
      </w:r>
      <w:r w:rsidR="00ED4AFB">
        <w:rPr>
          <w:rFonts w:ascii="Arial" w:hAnsi="Arial" w:cs="Arial"/>
        </w:rPr>
        <w:fldChar w:fldCharType="end"/>
      </w:r>
      <w:r w:rsidR="00B91AC2" w:rsidRPr="000D77A6">
        <w:rPr>
          <w:rFonts w:ascii="Arial" w:hAnsi="Arial" w:cs="Arial"/>
        </w:rPr>
        <w:t xml:space="preserve">. </w:t>
      </w:r>
      <w:r w:rsidRPr="00950E90">
        <w:rPr>
          <w:rFonts w:ascii="Arial" w:hAnsi="Arial" w:cs="Arial"/>
        </w:rPr>
        <w:t>The pattern of red onion height increase at 1–5 MST from seven treatment combinations is presented in Figure 2.</w:t>
      </w:r>
    </w:p>
    <w:p w14:paraId="3550042A" w14:textId="77777777" w:rsidR="00992868" w:rsidRDefault="00992868" w:rsidP="00B91AC2">
      <w:pPr>
        <w:pStyle w:val="Body"/>
        <w:spacing w:after="0"/>
        <w:rPr>
          <w:rFonts w:ascii="Arial" w:hAnsi="Arial" w:cs="Arial"/>
        </w:rPr>
      </w:pPr>
    </w:p>
    <w:p w14:paraId="0F203C37" w14:textId="60E89E4F" w:rsidR="00992868" w:rsidRDefault="00992868" w:rsidP="000B3B46">
      <w:pPr>
        <w:pStyle w:val="Body"/>
        <w:spacing w:after="0"/>
        <w:jc w:val="center"/>
        <w:rPr>
          <w:rFonts w:ascii="Arial" w:hAnsi="Arial" w:cs="Arial"/>
        </w:rPr>
      </w:pPr>
      <w:r>
        <w:rPr>
          <w:noProof/>
        </w:rPr>
        <w:lastRenderedPageBreak/>
        <w:drawing>
          <wp:inline distT="0" distB="0" distL="0" distR="0" wp14:anchorId="570E2107" wp14:editId="5415EBB3">
            <wp:extent cx="4601737" cy="2787805"/>
            <wp:effectExtent l="0" t="0" r="8890" b="12700"/>
            <wp:docPr id="836393780" name="Chart 1">
              <a:extLst xmlns:a="http://schemas.openxmlformats.org/drawingml/2006/main">
                <a:ext uri="{FF2B5EF4-FFF2-40B4-BE49-F238E27FC236}">
                  <a16:creationId xmlns:a16="http://schemas.microsoft.com/office/drawing/2014/main" id="{DEEAFD2D-D6BC-D92F-F8B0-15F3D651BB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C024E6" w14:textId="29B05C02" w:rsidR="000B3B46" w:rsidRDefault="00897C17" w:rsidP="00757DD0">
      <w:pPr>
        <w:pStyle w:val="Body"/>
        <w:spacing w:after="0"/>
        <w:ind w:left="426" w:right="411"/>
        <w:rPr>
          <w:rFonts w:ascii="Arial" w:hAnsi="Arial" w:cs="Arial"/>
        </w:rPr>
      </w:pPr>
      <w:r>
        <w:rPr>
          <w:rFonts w:ascii="Arial" w:hAnsi="Arial" w:cs="Arial"/>
        </w:rPr>
        <w:t>Note</w:t>
      </w:r>
      <w:r w:rsidR="00992868" w:rsidRPr="00992868">
        <w:rPr>
          <w:rFonts w:ascii="Arial" w:hAnsi="Arial" w:cs="Arial"/>
        </w:rPr>
        <w:t xml:space="preserve">: P0 (100% inorganic fertilizer), P1 (50% P0 + </w:t>
      </w:r>
      <w:r w:rsidR="000B3B46">
        <w:rPr>
          <w:rFonts w:ascii="Arial" w:hAnsi="Arial" w:cs="Arial"/>
        </w:rPr>
        <w:t>LOF</w:t>
      </w:r>
      <w:r w:rsidR="00992868" w:rsidRPr="00992868">
        <w:rPr>
          <w:rFonts w:ascii="Arial" w:hAnsi="Arial" w:cs="Arial"/>
        </w:rPr>
        <w:t xml:space="preserve"> PSB 10 ml/L), P2 (25% P0 + </w:t>
      </w:r>
      <w:r w:rsidR="000B3B46">
        <w:rPr>
          <w:rFonts w:ascii="Arial" w:hAnsi="Arial" w:cs="Arial"/>
        </w:rPr>
        <w:t xml:space="preserve">LOF </w:t>
      </w:r>
      <w:r w:rsidR="00992868" w:rsidRPr="00992868">
        <w:rPr>
          <w:rFonts w:ascii="Arial" w:hAnsi="Arial" w:cs="Arial"/>
        </w:rPr>
        <w:t xml:space="preserve">PSB 10 ml/L), P3 (100% </w:t>
      </w:r>
      <w:r w:rsidR="000B3B46">
        <w:rPr>
          <w:rFonts w:ascii="Arial" w:hAnsi="Arial" w:cs="Arial"/>
        </w:rPr>
        <w:t>LOF</w:t>
      </w:r>
      <w:r w:rsidR="00992868" w:rsidRPr="00992868">
        <w:rPr>
          <w:rFonts w:ascii="Arial" w:hAnsi="Arial" w:cs="Arial"/>
        </w:rPr>
        <w:t xml:space="preserve"> PSB 10 ml/L (without inorganic fertilizer)), P4 (50% P0 + </w:t>
      </w:r>
      <w:r w:rsidR="000B3B46">
        <w:rPr>
          <w:rFonts w:ascii="Arial" w:hAnsi="Arial" w:cs="Arial"/>
        </w:rPr>
        <w:t>LOF</w:t>
      </w:r>
      <w:r w:rsidR="00992868" w:rsidRPr="00992868">
        <w:rPr>
          <w:rFonts w:ascii="Arial" w:hAnsi="Arial" w:cs="Arial"/>
        </w:rPr>
        <w:t xml:space="preserve"> PSB 20 ml/L), P5 (25% P0 + </w:t>
      </w:r>
      <w:r w:rsidR="000B3B46">
        <w:rPr>
          <w:rFonts w:ascii="Arial" w:hAnsi="Arial" w:cs="Arial"/>
        </w:rPr>
        <w:t>LOF</w:t>
      </w:r>
      <w:r w:rsidR="00992868" w:rsidRPr="00992868">
        <w:rPr>
          <w:rFonts w:ascii="Arial" w:hAnsi="Arial" w:cs="Arial"/>
        </w:rPr>
        <w:t xml:space="preserve"> PSB 20 ml/L), P6 (100% </w:t>
      </w:r>
      <w:r w:rsidR="000B3B46">
        <w:rPr>
          <w:rFonts w:ascii="Arial" w:hAnsi="Arial" w:cs="Arial"/>
        </w:rPr>
        <w:t>LOF</w:t>
      </w:r>
      <w:r w:rsidR="00992868" w:rsidRPr="00992868">
        <w:rPr>
          <w:rFonts w:ascii="Arial" w:hAnsi="Arial" w:cs="Arial"/>
        </w:rPr>
        <w:t xml:space="preserve"> PSB 20 ml/L (without inorganic fertilizer)).</w:t>
      </w:r>
    </w:p>
    <w:p w14:paraId="5E4B1EAD" w14:textId="02DC844D" w:rsidR="000B3B46" w:rsidRDefault="000B3B46" w:rsidP="00757DD0">
      <w:pPr>
        <w:pStyle w:val="Body"/>
        <w:spacing w:after="0"/>
        <w:ind w:firstLine="426"/>
        <w:rPr>
          <w:rFonts w:ascii="Arial" w:hAnsi="Arial" w:cs="Arial"/>
        </w:rPr>
      </w:pPr>
      <w:r w:rsidRPr="000B3B46">
        <w:rPr>
          <w:rFonts w:ascii="Arial" w:hAnsi="Arial" w:cs="Arial"/>
        </w:rPr>
        <w:t>Figure 2. Plant height growth patterns from seven treatment combinations</w:t>
      </w:r>
    </w:p>
    <w:p w14:paraId="61FE122C" w14:textId="77777777" w:rsidR="00950E90" w:rsidRDefault="00950E90" w:rsidP="00B91AC2">
      <w:pPr>
        <w:pStyle w:val="Body"/>
        <w:spacing w:after="0"/>
        <w:rPr>
          <w:rFonts w:ascii="Arial" w:hAnsi="Arial" w:cs="Arial"/>
        </w:rPr>
      </w:pPr>
    </w:p>
    <w:p w14:paraId="190D872E" w14:textId="6A8F0932" w:rsidR="00B91AC2" w:rsidRDefault="00950E90" w:rsidP="00757DD0">
      <w:pPr>
        <w:pStyle w:val="Body"/>
        <w:spacing w:after="0"/>
        <w:ind w:firstLine="720"/>
        <w:rPr>
          <w:rFonts w:ascii="Arial" w:hAnsi="Arial" w:cs="Arial"/>
        </w:rPr>
      </w:pPr>
      <w:r w:rsidRPr="00950E90">
        <w:rPr>
          <w:rFonts w:ascii="Arial" w:hAnsi="Arial" w:cs="Arial"/>
        </w:rPr>
        <w:t>At the beginning of the observation (1–2 MST), all treatments showed relatively low heights of TSS shallot plants because the plants were still in the early adaptation phase. Entering the age of 3 MST to 5 MST, plant height increased gradually in all treatments. At the end of the observation period, treatment P0 produced the highest plant height (21.96 cm), followed by P1 (21.47 cm) and P5 (20.79 cm), while P6 and P3 showed the lowest plant height (17.40–17.64 cm). These values were still lower than the description of the Sanren F1 variety (54.03–56.50 cm), indicating that growth conditions were not optimal. Although there were variations between treatments, in general, the pattern of plant height growth increased in all treatments and did not show a significant difference in the rate of red onion height increase</w:t>
      </w:r>
      <w:r w:rsidR="00B91AC2" w:rsidRPr="000D77A6">
        <w:rPr>
          <w:rFonts w:ascii="Arial" w:hAnsi="Arial" w:cs="Arial"/>
        </w:rPr>
        <w:t xml:space="preserve"> </w:t>
      </w:r>
      <w:r w:rsidR="00ED4AFB">
        <w:rPr>
          <w:rFonts w:ascii="Arial" w:hAnsi="Arial" w:cs="Arial"/>
        </w:rPr>
        <w:fldChar w:fldCharType="begin" w:fldLock="1"/>
      </w:r>
      <w:r w:rsidR="00ED4AFB">
        <w:rPr>
          <w:rFonts w:ascii="Arial" w:hAnsi="Arial" w:cs="Arial"/>
        </w:rPr>
        <w:instrText>ADDIN CSL_CITATION {"citationItems":[{"id":"ITEM-1","itemData":{"abstract":"… Presentase pembungaan bawang merah rendah disebabkan oleh faktor iklim, … bawang merah diharapkan pada umbi bawang merah dapat menginisiasi pembungaan bawang merah. …","author":[{"dropping-particle":"","family":"Ramadani","given":"Ratih","non-dropping-particle":"","parse-names":false,"suffix":""}],"id":"ITEM-1","issued":{"date-parts":[["2020"]]},"page":"1-56","title":"Pengaruh Vernalisasi dan Pemberian BAP terhadap Pertumbuhan Vegetatif dan Generatif Tanaman Bawang Merah (Allium ascalonicum L.) Varietas Bauji","type":"article-journal"},"uris":["http://www.mendeley.com/documents/?uuid=96754bc1-7b0a-474e-b59b-9e7f46c37ed7"]}],"mendeley":{"formattedCitation":"(Ramadani, 2020)","plainTextFormattedCitation":"(Ramadani, 2020)","previouslyFormattedCitation":"(Ramadani, 2020)"},"properties":{"noteIndex":0},"schema":"https://github.com/citation-style-language/schema/raw/master/csl-citation.json"}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(Ramadani, 2020)</w:t>
      </w:r>
      <w:r w:rsidR="00ED4AFB">
        <w:rPr>
          <w:rFonts w:ascii="Arial" w:hAnsi="Arial" w:cs="Arial"/>
        </w:rPr>
        <w:fldChar w:fldCharType="end"/>
      </w:r>
      <w:r w:rsidR="00B91AC2" w:rsidRPr="000D77A6">
        <w:rPr>
          <w:rFonts w:ascii="Arial" w:hAnsi="Arial" w:cs="Arial"/>
        </w:rPr>
        <w:t>.</w:t>
      </w:r>
    </w:p>
    <w:p w14:paraId="2BE6140E" w14:textId="77777777" w:rsidR="00B91AC2" w:rsidRDefault="00B91AC2" w:rsidP="00B91AC2">
      <w:pPr>
        <w:pStyle w:val="Body"/>
        <w:spacing w:after="0"/>
        <w:rPr>
          <w:rFonts w:ascii="Arial" w:hAnsi="Arial" w:cs="Arial"/>
          <w:b/>
          <w:bCs/>
        </w:rPr>
      </w:pPr>
    </w:p>
    <w:p w14:paraId="349C2E89" w14:textId="03DAEBB8" w:rsidR="00B91AC2" w:rsidRDefault="00B91AC2" w:rsidP="00B91AC2">
      <w:pPr>
        <w:pStyle w:val="Body"/>
        <w:spacing w:after="0"/>
        <w:rPr>
          <w:rFonts w:ascii="Arial" w:hAnsi="Arial" w:cs="Arial"/>
          <w:b/>
          <w:bCs/>
        </w:rPr>
      </w:pPr>
      <w:r w:rsidRPr="00A90ABF">
        <w:rPr>
          <w:rFonts w:ascii="Arial" w:hAnsi="Arial" w:cs="Arial"/>
          <w:b/>
          <w:bCs/>
        </w:rPr>
        <w:t>3.1</w:t>
      </w:r>
      <w:r>
        <w:rPr>
          <w:rFonts w:ascii="Arial" w:hAnsi="Arial" w:cs="Arial"/>
          <w:b/>
          <w:bCs/>
        </w:rPr>
        <w:t>.2</w:t>
      </w:r>
      <w:r w:rsidRPr="00A90ABF">
        <w:rPr>
          <w:rFonts w:ascii="Arial" w:hAnsi="Arial" w:cs="Arial"/>
          <w:b/>
          <w:bCs/>
        </w:rPr>
        <w:t xml:space="preserve"> </w:t>
      </w:r>
      <w:r w:rsidR="00950E90" w:rsidRPr="00950E90">
        <w:rPr>
          <w:rFonts w:ascii="Arial" w:hAnsi="Arial" w:cs="Arial"/>
          <w:b/>
          <w:bCs/>
        </w:rPr>
        <w:t>Leaf Number Growth Pattern (sheets)</w:t>
      </w:r>
    </w:p>
    <w:p w14:paraId="58175F85" w14:textId="1288C256" w:rsidR="00B91AC2" w:rsidRDefault="00950E90" w:rsidP="00757DD0">
      <w:pPr>
        <w:pStyle w:val="Body"/>
        <w:spacing w:after="0"/>
        <w:ind w:firstLine="720"/>
        <w:rPr>
          <w:rFonts w:ascii="Arial" w:hAnsi="Arial" w:cs="Arial"/>
        </w:rPr>
      </w:pPr>
      <w:r w:rsidRPr="00950E90">
        <w:rPr>
          <w:rFonts w:ascii="Arial" w:hAnsi="Arial" w:cs="Arial"/>
        </w:rPr>
        <w:t>The number of leaves is an important parameter for assessing the vegetative growth of shallots because it reflects photosynthetic capacity and nutrient absorption efficiency. Leaves function as the main organ where photosynthesis takes place, which plays a role in cell growth and elongation</w:t>
      </w:r>
      <w:r>
        <w:rPr>
          <w:rFonts w:ascii="Arial" w:hAnsi="Arial" w:cs="Arial"/>
        </w:rPr>
        <w:t xml:space="preserve"> </w:t>
      </w:r>
      <w:r w:rsidR="00ED4AFB">
        <w:rPr>
          <w:rFonts w:ascii="Arial" w:hAnsi="Arial" w:cs="Arial"/>
        </w:rPr>
        <w:fldChar w:fldCharType="begin" w:fldLock="1"/>
      </w:r>
      <w:r w:rsidR="00ED4AFB">
        <w:rPr>
          <w:rFonts w:ascii="Arial" w:hAnsi="Arial" w:cs="Arial"/>
        </w:rPr>
        <w:instrText>ADDIN CSL_CITATION {"citationItems":[{"id":"ITEM-1","itemData":{"ISBN":"9789791230742","author":[{"dropping-particle":"","family":"Zamriyetti, Sulardi, Tengku Siti Habsyah","given":"Oktaviani Sherly Ndraha","non-dropping-particle":"","parse-names":false,"suffix":""}],"id":"ITEM-1","issued":{"date-parts":[["2022"]]},"page":"978-979","title":"Peningkatan Pertumbuhan dan Produksi Tiga Varietas Bawang Merah ( Allium ascalonicum L .) Asal Biji Terhadap Pemberian PGPR","type":"article-journal"},"uris":["http://www.mendeley.com/documents/?uuid=632afc22-1690-4487-9d72-0f1d1fd1f87b"]}],"mendeley":{"formattedCitation":"(Zamriyetti, Sulardi, Tengku Siti Habsyah, 2022)","manualFormatting":"(Zamriyetti et al., 2022)","plainTextFormattedCitation":"(Zamriyetti, Sulardi, Tengku Siti Habsyah, 2022)","previouslyFormattedCitation":"(Zamriyetti, Sulardi, Tengku Siti Habsyah, 2022)"},"properties":{"noteIndex":0},"schema":"https://github.com/citation-style-language/schema/raw/master/csl-citation.json"}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 xml:space="preserve">(Zamriyetti </w:t>
      </w:r>
      <w:r w:rsidR="00ED4AFB" w:rsidRPr="009B454F">
        <w:rPr>
          <w:rFonts w:ascii="Arial" w:hAnsi="Arial" w:cs="Arial"/>
          <w:noProof/>
        </w:rPr>
        <w:t>et al</w:t>
      </w:r>
      <w:r w:rsidR="00ED4AFB">
        <w:rPr>
          <w:rFonts w:ascii="Arial" w:hAnsi="Arial" w:cs="Arial"/>
          <w:noProof/>
        </w:rPr>
        <w:t>.</w:t>
      </w:r>
      <w:r w:rsidR="00ED4AFB" w:rsidRPr="00ED4AFB">
        <w:rPr>
          <w:rFonts w:ascii="Arial" w:hAnsi="Arial" w:cs="Arial"/>
          <w:noProof/>
        </w:rPr>
        <w:t>, 2022)</w:t>
      </w:r>
      <w:r w:rsidR="00ED4AFB">
        <w:rPr>
          <w:rFonts w:ascii="Arial" w:hAnsi="Arial" w:cs="Arial"/>
        </w:rPr>
        <w:fldChar w:fldCharType="end"/>
      </w:r>
      <w:r w:rsidR="00B91AC2" w:rsidRPr="009B454F">
        <w:rPr>
          <w:rFonts w:ascii="Arial" w:hAnsi="Arial" w:cs="Arial"/>
        </w:rPr>
        <w:t xml:space="preserve">. </w:t>
      </w:r>
      <w:r w:rsidRPr="00950E90">
        <w:rPr>
          <w:rFonts w:ascii="Arial" w:hAnsi="Arial" w:cs="Arial"/>
        </w:rPr>
        <w:t>The pattern of increase in the number of shallot leaves at 1–5 weeks after planting for the seven treatment combinations is shown in Figure 3.</w:t>
      </w:r>
    </w:p>
    <w:p w14:paraId="49ACF2DF" w14:textId="77777777" w:rsidR="000B3B46" w:rsidRDefault="000B3B46" w:rsidP="00B91AC2">
      <w:pPr>
        <w:pStyle w:val="Body"/>
        <w:spacing w:after="0"/>
        <w:rPr>
          <w:rFonts w:ascii="Arial" w:hAnsi="Arial" w:cs="Arial"/>
        </w:rPr>
      </w:pPr>
    </w:p>
    <w:p w14:paraId="518E4248" w14:textId="73C7D84D" w:rsidR="000B3B46" w:rsidRDefault="000B3B46" w:rsidP="00757DD0">
      <w:pPr>
        <w:pStyle w:val="Body"/>
        <w:spacing w:after="0"/>
        <w:jc w:val="center"/>
        <w:rPr>
          <w:rFonts w:ascii="Arial" w:hAnsi="Arial" w:cs="Arial"/>
        </w:rPr>
      </w:pPr>
      <w:r>
        <w:rPr>
          <w:noProof/>
        </w:rPr>
        <w:lastRenderedPageBreak/>
        <w:drawing>
          <wp:inline distT="0" distB="0" distL="0" distR="0" wp14:anchorId="54C1FF40" wp14:editId="316A2F10">
            <wp:extent cx="4572000" cy="2743200"/>
            <wp:effectExtent l="0" t="0" r="0" b="0"/>
            <wp:docPr id="485972703" name="Chart 1">
              <a:extLst xmlns:a="http://schemas.openxmlformats.org/drawingml/2006/main">
                <a:ext uri="{FF2B5EF4-FFF2-40B4-BE49-F238E27FC236}">
                  <a16:creationId xmlns:a16="http://schemas.microsoft.com/office/drawing/2014/main" id="{0E0C2A25-5994-16AD-4EDC-27DDE0587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AC2AC2" w14:textId="1F050EA1" w:rsidR="000B3B46" w:rsidRDefault="00897C17" w:rsidP="00757DD0">
      <w:pPr>
        <w:pStyle w:val="Body"/>
        <w:spacing w:after="0"/>
        <w:ind w:left="426" w:right="411"/>
        <w:rPr>
          <w:rFonts w:ascii="Arial" w:hAnsi="Arial" w:cs="Arial"/>
        </w:rPr>
      </w:pPr>
      <w:r>
        <w:rPr>
          <w:rFonts w:ascii="Arial" w:hAnsi="Arial" w:cs="Arial"/>
        </w:rPr>
        <w:t>Note</w:t>
      </w:r>
      <w:r w:rsidR="000B3B46" w:rsidRPr="00992868">
        <w:rPr>
          <w:rFonts w:ascii="Arial" w:hAnsi="Arial" w:cs="Arial"/>
        </w:rPr>
        <w:t xml:space="preserve">: P0 (100% inorganic fertilizer), P1 (50% P0 + </w:t>
      </w:r>
      <w:r w:rsidR="000B3B46">
        <w:rPr>
          <w:rFonts w:ascii="Arial" w:hAnsi="Arial" w:cs="Arial"/>
        </w:rPr>
        <w:t>LOF</w:t>
      </w:r>
      <w:r w:rsidR="000B3B46" w:rsidRPr="00992868">
        <w:rPr>
          <w:rFonts w:ascii="Arial" w:hAnsi="Arial" w:cs="Arial"/>
        </w:rPr>
        <w:t xml:space="preserve"> PSB 10 ml/L), P2 (25% P0 + </w:t>
      </w:r>
      <w:r w:rsidR="000B3B46">
        <w:rPr>
          <w:rFonts w:ascii="Arial" w:hAnsi="Arial" w:cs="Arial"/>
        </w:rPr>
        <w:t xml:space="preserve">LOF </w:t>
      </w:r>
      <w:r w:rsidR="000B3B46" w:rsidRPr="00992868">
        <w:rPr>
          <w:rFonts w:ascii="Arial" w:hAnsi="Arial" w:cs="Arial"/>
        </w:rPr>
        <w:t xml:space="preserve">PSB 10 ml/L), P3 (100% </w:t>
      </w:r>
      <w:r w:rsidR="000B3B46">
        <w:rPr>
          <w:rFonts w:ascii="Arial" w:hAnsi="Arial" w:cs="Arial"/>
        </w:rPr>
        <w:t>LOF</w:t>
      </w:r>
      <w:r w:rsidR="000B3B46" w:rsidRPr="00992868">
        <w:rPr>
          <w:rFonts w:ascii="Arial" w:hAnsi="Arial" w:cs="Arial"/>
        </w:rPr>
        <w:t xml:space="preserve"> PSB 10 ml/L (without inorganic fertilizer)), P4 (50% P0 + </w:t>
      </w:r>
      <w:r w:rsidR="000B3B46">
        <w:rPr>
          <w:rFonts w:ascii="Arial" w:hAnsi="Arial" w:cs="Arial"/>
        </w:rPr>
        <w:t>LOF</w:t>
      </w:r>
      <w:r w:rsidR="000B3B46" w:rsidRPr="00992868">
        <w:rPr>
          <w:rFonts w:ascii="Arial" w:hAnsi="Arial" w:cs="Arial"/>
        </w:rPr>
        <w:t xml:space="preserve"> PSB 20 ml/L), P5 (25% P0 + </w:t>
      </w:r>
      <w:r w:rsidR="000B3B46">
        <w:rPr>
          <w:rFonts w:ascii="Arial" w:hAnsi="Arial" w:cs="Arial"/>
        </w:rPr>
        <w:t>LOF</w:t>
      </w:r>
      <w:r w:rsidR="000B3B46" w:rsidRPr="00992868">
        <w:rPr>
          <w:rFonts w:ascii="Arial" w:hAnsi="Arial" w:cs="Arial"/>
        </w:rPr>
        <w:t xml:space="preserve"> PSB 20 ml/L), P6 (100% </w:t>
      </w:r>
      <w:r w:rsidR="000B3B46">
        <w:rPr>
          <w:rFonts w:ascii="Arial" w:hAnsi="Arial" w:cs="Arial"/>
        </w:rPr>
        <w:t>LOF</w:t>
      </w:r>
      <w:r w:rsidR="000B3B46" w:rsidRPr="00992868">
        <w:rPr>
          <w:rFonts w:ascii="Arial" w:hAnsi="Arial" w:cs="Arial"/>
        </w:rPr>
        <w:t xml:space="preserve"> PSB 20 ml/L (without inorganic fertilizer)).</w:t>
      </w:r>
    </w:p>
    <w:p w14:paraId="503EF16B" w14:textId="77777777" w:rsidR="00757DD0" w:rsidRDefault="000B3B46" w:rsidP="00757DD0">
      <w:pPr>
        <w:pStyle w:val="Body"/>
        <w:spacing w:after="0"/>
        <w:ind w:left="426"/>
        <w:rPr>
          <w:rFonts w:ascii="Arial" w:hAnsi="Arial" w:cs="Arial"/>
        </w:rPr>
      </w:pPr>
      <w:r w:rsidRPr="000B3B46">
        <w:rPr>
          <w:rFonts w:ascii="Arial" w:hAnsi="Arial" w:cs="Arial"/>
        </w:rPr>
        <w:t xml:space="preserve">Figure 3. Pattern of increase in the number of shallot leaves from seven treatment </w:t>
      </w:r>
      <w:r w:rsidR="00757DD0">
        <w:rPr>
          <w:rFonts w:ascii="Arial" w:hAnsi="Arial" w:cs="Arial"/>
        </w:rPr>
        <w:t xml:space="preserve"> </w:t>
      </w:r>
    </w:p>
    <w:p w14:paraId="78E1A805" w14:textId="0003A927" w:rsidR="000B3B46" w:rsidRDefault="00757DD0" w:rsidP="00757DD0">
      <w:pPr>
        <w:pStyle w:val="Body"/>
        <w:spacing w:after="0"/>
        <w:ind w:left="426"/>
        <w:rPr>
          <w:rFonts w:ascii="Arial" w:hAnsi="Arial" w:cs="Arial"/>
        </w:rPr>
      </w:pPr>
      <w:r>
        <w:rPr>
          <w:rFonts w:ascii="Arial" w:hAnsi="Arial" w:cs="Arial"/>
        </w:rPr>
        <w:t xml:space="preserve">               </w:t>
      </w:r>
      <w:r w:rsidR="000B3B46" w:rsidRPr="000B3B46">
        <w:rPr>
          <w:rFonts w:ascii="Arial" w:hAnsi="Arial" w:cs="Arial"/>
        </w:rPr>
        <w:t>combinations</w:t>
      </w:r>
    </w:p>
    <w:p w14:paraId="19487409" w14:textId="77777777" w:rsidR="00950E90" w:rsidRDefault="00950E90" w:rsidP="00B91AC2">
      <w:pPr>
        <w:pStyle w:val="Body"/>
        <w:spacing w:after="0"/>
        <w:rPr>
          <w:rFonts w:ascii="Arial" w:hAnsi="Arial" w:cs="Arial"/>
        </w:rPr>
      </w:pPr>
    </w:p>
    <w:p w14:paraId="1FA994E5" w14:textId="75B40AE3" w:rsidR="00B91AC2" w:rsidRDefault="00950E90" w:rsidP="00757DD0">
      <w:pPr>
        <w:pStyle w:val="Body"/>
        <w:spacing w:after="0"/>
        <w:ind w:firstLine="720"/>
        <w:rPr>
          <w:rFonts w:ascii="Arial" w:hAnsi="Arial" w:cs="Arial"/>
        </w:rPr>
      </w:pPr>
      <w:r w:rsidRPr="00950E90">
        <w:rPr>
          <w:rFonts w:ascii="Arial" w:hAnsi="Arial" w:cs="Arial"/>
        </w:rPr>
        <w:t>At the beginning of the observation (1–2 MST), all treatments showed a low and relatively uniform number of TSS red onion leaves because the plants were in the adaptation phase. Entering the age of 3–5 MST, the number of leaves increased gradually in all treatments with a relatively similar growth pattern. Descriptively, P0 (4.05 leaves) and P5 (4.00 leaves) tended to be higher, while P3 (3.45 leaves) was the lowest. These values were still far below the description of the Sanren F1 variety (29–36 leaves), indicating that growth conditions were not yet optimal. In general, the treatment combinations did not have a significant effect on leaf formation, so the increase in the number of leaves was more influenced by plant age and relatively homogeneous environmental conditions during the observation period.</w:t>
      </w:r>
    </w:p>
    <w:p w14:paraId="3705F0CD" w14:textId="77777777" w:rsidR="00950E90" w:rsidRDefault="00950E90" w:rsidP="00B91AC2">
      <w:pPr>
        <w:pStyle w:val="Body"/>
        <w:spacing w:after="0"/>
        <w:rPr>
          <w:rFonts w:ascii="Arial" w:hAnsi="Arial" w:cs="Arial"/>
        </w:rPr>
      </w:pPr>
    </w:p>
    <w:p w14:paraId="1837DF06" w14:textId="1BCF7D0B" w:rsidR="00950E90" w:rsidRDefault="00B91AC2" w:rsidP="00B91AC2">
      <w:pPr>
        <w:pStyle w:val="Body"/>
        <w:spacing w:after="0"/>
        <w:rPr>
          <w:rFonts w:ascii="Arial" w:hAnsi="Arial" w:cs="Arial"/>
        </w:rPr>
      </w:pPr>
      <w:r w:rsidRPr="00A90ABF">
        <w:rPr>
          <w:rFonts w:ascii="Arial" w:hAnsi="Arial" w:cs="Arial"/>
          <w:b/>
          <w:bCs/>
        </w:rPr>
        <w:t>3.1</w:t>
      </w:r>
      <w:r>
        <w:rPr>
          <w:rFonts w:ascii="Arial" w:hAnsi="Arial" w:cs="Arial"/>
          <w:b/>
          <w:bCs/>
        </w:rPr>
        <w:t>.3</w:t>
      </w:r>
      <w:r w:rsidRPr="00A90ABF">
        <w:rPr>
          <w:rFonts w:ascii="Arial" w:hAnsi="Arial" w:cs="Arial"/>
          <w:b/>
          <w:bCs/>
        </w:rPr>
        <w:t xml:space="preserve"> </w:t>
      </w:r>
      <w:r w:rsidR="00950E90" w:rsidRPr="00950E90">
        <w:rPr>
          <w:rFonts w:ascii="Arial" w:hAnsi="Arial" w:cs="Arial"/>
          <w:b/>
          <w:bCs/>
        </w:rPr>
        <w:t>Pattern of Tiller Development</w:t>
      </w:r>
    </w:p>
    <w:p w14:paraId="17C72A0D" w14:textId="7C19819C" w:rsidR="001D2FF3" w:rsidRDefault="00950E90" w:rsidP="001D2FF3">
      <w:pPr>
        <w:pStyle w:val="Body"/>
        <w:spacing w:after="0"/>
        <w:ind w:firstLine="720"/>
        <w:rPr>
          <w:rFonts w:ascii="Arial" w:hAnsi="Arial" w:cs="Arial"/>
        </w:rPr>
      </w:pPr>
      <w:r w:rsidRPr="00950E90">
        <w:rPr>
          <w:rFonts w:ascii="Arial" w:hAnsi="Arial" w:cs="Arial"/>
        </w:rPr>
        <w:t>The number of suckers is an important parameter in assessing the growth of TSS shallots because it plays a direct role in bulb formation. Suckers emerge from the base of the leaves as the plant ages. Sucker formation is influenced by genetic factors and cultivation practices, including the treatment of seed bulbs</w:t>
      </w:r>
      <w:r>
        <w:rPr>
          <w:rFonts w:ascii="Arial" w:hAnsi="Arial" w:cs="Arial"/>
        </w:rPr>
        <w:t xml:space="preserve"> </w:t>
      </w:r>
      <w:r w:rsidR="00ED4AFB">
        <w:rPr>
          <w:rFonts w:ascii="Arial" w:hAnsi="Arial" w:cs="Arial"/>
        </w:rPr>
        <w:fldChar w:fldCharType="begin" w:fldLock="1"/>
      </w:r>
      <w:r w:rsidR="00ED4AFB">
        <w:rPr>
          <w:rFonts w:ascii="Arial" w:hAnsi="Arial" w:cs="Arial"/>
        </w:rPr>
        <w:instrText>ADDIN CSL_CITATION {"citationItems":[{"id":"ITEM-1","itemData":{"ISSN":"2580-8621","abstract":"The study was conducted in Sajen Village, Pacet District, Mojokerto Regency. The purpose of this study was to describe and analyze the strategy of developing farming to improve the welfare of the onion farmers in that area. In the Data Collection Phase, use the IFAS and EFAS matrices. The next stage, namely the Analysis Phase, is to collect all information that affects the development of the business. Next is to place the information gathered into the strategy formulation model, namely the SWOT matrix in internal and external factors, then the appropriate results are determined. In the final stage, use the SWOT Matrix. From the IFAS and EFAS Matrix, the value of x is 0.49 and the value of y is 0.57. The strategy of developing shallot farming in Sajen village is in quadrant I, meaning that onion has strength factors in good conditions but onion farmers have not taken advantage of the opportunities that exist so that onion has not yet developed. For this reason, aggressive strategy is needed, namely expanding and maximizing growth by utilizing existing opportunities and strengths (strength-opportunities strategy).","author":[{"dropping-particle":"","family":"Darmawan","given":"Didit","non-dropping-particle":"","parse-names":false,"suffix":""}],"container-title":"Agrimas","id":"ITEM-1","issue":"1","issued":{"date-parts":[["2018"]]},"page":"13-22","title":"Strategi Pengembangan Usahatani Bawang Merah di Desa Sajen, Kecamatan Pacet, Kabupaten Mojokerto","type":"article-journal","volume":"2"},"uris":["http://www.mendeley.com/documents/?uuid=de87d551-f001-4290-87f2-6b4ad887bd4b"]}],"mendeley":{"formattedCitation":"(Darmawan, 2018)","plainTextFormattedCitation":"(Darmawan, 2018)","previouslyFormattedCitation":"(Darmawan, 2018)"},"properties":{"noteIndex":0},"schema":"https://github.com/citation-style-language/schema/raw/master/csl-citation.json"}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(Darmawan, 2018)</w:t>
      </w:r>
      <w:r w:rsidR="00ED4AFB">
        <w:rPr>
          <w:rFonts w:ascii="Arial" w:hAnsi="Arial" w:cs="Arial"/>
        </w:rPr>
        <w:fldChar w:fldCharType="end"/>
      </w:r>
      <w:r w:rsidR="00B91AC2" w:rsidRPr="00600FBF">
        <w:rPr>
          <w:rFonts w:ascii="Arial" w:hAnsi="Arial" w:cs="Arial"/>
        </w:rPr>
        <w:t xml:space="preserve">. </w:t>
      </w:r>
      <w:r w:rsidRPr="00950E90">
        <w:rPr>
          <w:rFonts w:ascii="Arial" w:hAnsi="Arial" w:cs="Arial"/>
        </w:rPr>
        <w:t>The pattern of increase in the number of shallot seedlings at 7–11 days after planting from seven treatment combinations is shown in Figure 4.</w:t>
      </w:r>
    </w:p>
    <w:p w14:paraId="73D4A41A" w14:textId="65238368" w:rsidR="000B3B46" w:rsidRDefault="001D2FF3" w:rsidP="00757DD0">
      <w:pPr>
        <w:pStyle w:val="Body"/>
        <w:spacing w:after="0"/>
        <w:jc w:val="center"/>
        <w:rPr>
          <w:rFonts w:ascii="Arial" w:hAnsi="Arial" w:cs="Arial"/>
        </w:rPr>
      </w:pPr>
      <w:r>
        <w:rPr>
          <w:noProof/>
        </w:rPr>
        <w:lastRenderedPageBreak/>
        <w:drawing>
          <wp:inline distT="0" distB="0" distL="0" distR="0" wp14:anchorId="511FE5C2" wp14:editId="3AAB702A">
            <wp:extent cx="4572000" cy="2743200"/>
            <wp:effectExtent l="0" t="0" r="0" b="0"/>
            <wp:docPr id="1308012485" name="Chart 1">
              <a:extLst xmlns:a="http://schemas.openxmlformats.org/drawingml/2006/main">
                <a:ext uri="{FF2B5EF4-FFF2-40B4-BE49-F238E27FC236}">
                  <a16:creationId xmlns:a16="http://schemas.microsoft.com/office/drawing/2014/main" id="{376762BE-77FB-76AD-F4A4-E83DD9EAA3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D55BCA" w14:textId="4B571B19" w:rsidR="000B3B46" w:rsidRDefault="00897C17" w:rsidP="00757DD0">
      <w:pPr>
        <w:pStyle w:val="Body"/>
        <w:spacing w:after="0"/>
        <w:ind w:left="426" w:right="411"/>
        <w:rPr>
          <w:rFonts w:ascii="Arial" w:hAnsi="Arial" w:cs="Arial"/>
        </w:rPr>
      </w:pPr>
      <w:r>
        <w:rPr>
          <w:rFonts w:ascii="Arial" w:hAnsi="Arial" w:cs="Arial"/>
        </w:rPr>
        <w:t>Note</w:t>
      </w:r>
      <w:r w:rsidR="000B3B46" w:rsidRPr="00992868">
        <w:rPr>
          <w:rFonts w:ascii="Arial" w:hAnsi="Arial" w:cs="Arial"/>
        </w:rPr>
        <w:t xml:space="preserve">: P0 (100% inorganic fertilizer), P1 (50% P0 + </w:t>
      </w:r>
      <w:r w:rsidR="000B3B46">
        <w:rPr>
          <w:rFonts w:ascii="Arial" w:hAnsi="Arial" w:cs="Arial"/>
        </w:rPr>
        <w:t>LOF</w:t>
      </w:r>
      <w:r w:rsidR="000B3B46" w:rsidRPr="00992868">
        <w:rPr>
          <w:rFonts w:ascii="Arial" w:hAnsi="Arial" w:cs="Arial"/>
        </w:rPr>
        <w:t xml:space="preserve"> PSB 10 ml/L), P2 (25% P0 + </w:t>
      </w:r>
      <w:r w:rsidR="000B3B46">
        <w:rPr>
          <w:rFonts w:ascii="Arial" w:hAnsi="Arial" w:cs="Arial"/>
        </w:rPr>
        <w:t xml:space="preserve">LOF </w:t>
      </w:r>
      <w:r w:rsidR="000B3B46" w:rsidRPr="00992868">
        <w:rPr>
          <w:rFonts w:ascii="Arial" w:hAnsi="Arial" w:cs="Arial"/>
        </w:rPr>
        <w:t xml:space="preserve">PSB 10 ml/L), P3 (100% </w:t>
      </w:r>
      <w:r w:rsidR="000B3B46">
        <w:rPr>
          <w:rFonts w:ascii="Arial" w:hAnsi="Arial" w:cs="Arial"/>
        </w:rPr>
        <w:t>LOF</w:t>
      </w:r>
      <w:r w:rsidR="000B3B46" w:rsidRPr="00992868">
        <w:rPr>
          <w:rFonts w:ascii="Arial" w:hAnsi="Arial" w:cs="Arial"/>
        </w:rPr>
        <w:t xml:space="preserve"> PSB 10 ml/L (without inorganic fertilizer)), P4 (50% P0 + </w:t>
      </w:r>
      <w:r w:rsidR="000B3B46">
        <w:rPr>
          <w:rFonts w:ascii="Arial" w:hAnsi="Arial" w:cs="Arial"/>
        </w:rPr>
        <w:t>LOF</w:t>
      </w:r>
      <w:r w:rsidR="000B3B46" w:rsidRPr="00992868">
        <w:rPr>
          <w:rFonts w:ascii="Arial" w:hAnsi="Arial" w:cs="Arial"/>
        </w:rPr>
        <w:t xml:space="preserve"> PSB 20 ml/L), P5 (25% P0 + </w:t>
      </w:r>
      <w:r w:rsidR="000B3B46">
        <w:rPr>
          <w:rFonts w:ascii="Arial" w:hAnsi="Arial" w:cs="Arial"/>
        </w:rPr>
        <w:t>LOF</w:t>
      </w:r>
      <w:r w:rsidR="000B3B46" w:rsidRPr="00992868">
        <w:rPr>
          <w:rFonts w:ascii="Arial" w:hAnsi="Arial" w:cs="Arial"/>
        </w:rPr>
        <w:t xml:space="preserve"> PSB 20 ml/L), P6 (100% </w:t>
      </w:r>
      <w:r w:rsidR="000B3B46">
        <w:rPr>
          <w:rFonts w:ascii="Arial" w:hAnsi="Arial" w:cs="Arial"/>
        </w:rPr>
        <w:t>LOF</w:t>
      </w:r>
      <w:r w:rsidR="000B3B46" w:rsidRPr="00992868">
        <w:rPr>
          <w:rFonts w:ascii="Arial" w:hAnsi="Arial" w:cs="Arial"/>
        </w:rPr>
        <w:t xml:space="preserve"> PSB 20 ml/L (without inorganic fertilizer)).</w:t>
      </w:r>
    </w:p>
    <w:p w14:paraId="1ED53A6E" w14:textId="77777777" w:rsidR="00757DD0" w:rsidRDefault="000B3B46" w:rsidP="00757DD0">
      <w:pPr>
        <w:pStyle w:val="Body"/>
        <w:spacing w:after="0"/>
        <w:ind w:firstLine="426"/>
        <w:rPr>
          <w:rFonts w:ascii="Arial" w:hAnsi="Arial" w:cs="Arial"/>
        </w:rPr>
      </w:pPr>
      <w:r w:rsidRPr="000B3B46">
        <w:rPr>
          <w:rFonts w:ascii="Arial" w:hAnsi="Arial" w:cs="Arial"/>
        </w:rPr>
        <w:t xml:space="preserve">Figure 4. Pattern of increase in the number of offspring from seven treatment </w:t>
      </w:r>
    </w:p>
    <w:p w14:paraId="60F5DF8C" w14:textId="1A535C85" w:rsidR="00950E90" w:rsidRDefault="00757DD0" w:rsidP="00757DD0">
      <w:pPr>
        <w:pStyle w:val="Body"/>
        <w:spacing w:after="0"/>
        <w:ind w:left="720"/>
        <w:rPr>
          <w:rFonts w:ascii="Arial" w:hAnsi="Arial" w:cs="Arial"/>
        </w:rPr>
      </w:pPr>
      <w:r>
        <w:rPr>
          <w:rFonts w:ascii="Arial" w:hAnsi="Arial" w:cs="Arial"/>
        </w:rPr>
        <w:t xml:space="preserve">          </w:t>
      </w:r>
      <w:r w:rsidR="000B3B46" w:rsidRPr="000B3B46">
        <w:rPr>
          <w:rFonts w:ascii="Arial" w:hAnsi="Arial" w:cs="Arial"/>
        </w:rPr>
        <w:t>combinations</w:t>
      </w:r>
    </w:p>
    <w:p w14:paraId="37777249" w14:textId="77777777" w:rsidR="000B3B46" w:rsidRDefault="000B3B46" w:rsidP="00B91AC2">
      <w:pPr>
        <w:pStyle w:val="Body"/>
        <w:spacing w:after="0"/>
        <w:rPr>
          <w:rFonts w:ascii="Arial" w:hAnsi="Arial" w:cs="Arial"/>
        </w:rPr>
      </w:pPr>
    </w:p>
    <w:p w14:paraId="1A1CB84E" w14:textId="3B26362A" w:rsidR="00B91AC2" w:rsidRPr="00600FBF" w:rsidRDefault="000E4CD0" w:rsidP="00757DD0">
      <w:pPr>
        <w:pStyle w:val="Body"/>
        <w:spacing w:after="0"/>
        <w:ind w:firstLine="720"/>
        <w:rPr>
          <w:rFonts w:ascii="Arial" w:hAnsi="Arial" w:cs="Arial"/>
          <w:sz w:val="16"/>
          <w:szCs w:val="16"/>
        </w:rPr>
      </w:pPr>
      <w:r w:rsidRPr="000E4CD0">
        <w:rPr>
          <w:rFonts w:ascii="Arial" w:hAnsi="Arial" w:cs="Arial"/>
        </w:rPr>
        <w:t>At the beginning of the observation (7–8 MST), all treatments showed a relatively similar number of tillers, around one tiller per plant, because tiller formation was still slow. Entering the age of 9–11 MST, the number of tillers increased more clearly in all treatments. At the end of the observation period, treatment P5 produced the highest number of tillers (2.65 tillers per plant), followed by P1 and P0 (2.50 tillers), in accordance with the description of the Sanren F1 variety (2–4 tillers per clump), while P3 produced the lowest number (1.75 tillers). In general, the number of tillers was more influenced by plant age and environmental conditions than by fertilization treatments, so that growth was relatively uniform in TSS shallots</w:t>
      </w:r>
      <w:r>
        <w:rPr>
          <w:rFonts w:ascii="Arial" w:hAnsi="Arial" w:cs="Arial"/>
        </w:rPr>
        <w:t xml:space="preserve"> </w:t>
      </w:r>
      <w:r w:rsidR="00ED4AFB">
        <w:rPr>
          <w:rFonts w:ascii="Arial" w:hAnsi="Arial" w:cs="Arial"/>
        </w:rPr>
        <w:fldChar w:fldCharType="begin" w:fldLock="1"/>
      </w:r>
      <w:r w:rsidR="00ED4AFB">
        <w:rPr>
          <w:rFonts w:ascii="Arial" w:hAnsi="Arial" w:cs="Arial"/>
        </w:rPr>
        <w:instrText>ADDIN CSL_CITATION {"citationItems":[{"id":"ITEM-1","itemData":{"abstract":"Shallot is a horticultural commodity that has high economic value and has good market prospects because it contains high nutrition and can be used as spices and ingredients for traditional medicine. However, shallot production in Indonesia still often fluctuates and even experiences a shortage in meeting the needs of domestic consumers. To increase shallot production, this can be done through intensification efforts, namely by improving cultivation techniques, including the use of organic fertilizers, proper fertilization, and the use of superior varieties. This study used a factorial randomized block design consisting of 2 treatment factors, namely factor I was fermented NPK (F) consisting of 0 ml, 250 ml, 500 ml and 750 ml. Factor II was the variety (V) of the Brebes Bima variety, the Probolinggo variety and the Nganjuk variety. The data analysis method was a factorial randomized block design (RBD). The results showed that the application of fermented NPK and the use of varieties had a very significant effect on the number of tillers per clump (saplings), production per sample (g), production per plot (g), tuber diameter (mm)","author":[{"dropping-particle":"","family":"Sri Mahareni","given":"Refnizuida","non-dropping-particle":"","parse-names":false,"suffix":""}],"container-title":"JURNAL AGROPLASMA,","id":"ITEM-1","issue":"I","issued":{"date-parts":[["2023"]]},"page":"345-350","title":"Peningkatan Produksi Bawang Merah (Allium asclonicum L.) Akibat Pemberian NPK Fermentasi Berbagai Jenis Limbah Tanaman","type":"article-journal","volume":"x"},"uris":["http://www.mendeley.com/documents/?uuid=4c893efd-d0bf-49f8-bb90-0abd056fa317"]}],"mendeley":{"formattedCitation":"(Sri Mahareni, 2023)","manualFormatting":"(Sri, 2023)","plainTextFormattedCitation":"(Sri Mahareni, 2023)","previouslyFormattedCitation":"(Sri Mahareni, 2023)"},"properties":{"noteIndex":0},"schema":"https://github.com/citation-style-language/schema/raw/master/csl-citation.json"}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(Sri, 2023)</w:t>
      </w:r>
      <w:r w:rsidR="00ED4AFB">
        <w:rPr>
          <w:rFonts w:ascii="Arial" w:hAnsi="Arial" w:cs="Arial"/>
        </w:rPr>
        <w:fldChar w:fldCharType="end"/>
      </w:r>
      <w:r w:rsidR="00B91AC2" w:rsidRPr="00600FBF">
        <w:rPr>
          <w:rFonts w:ascii="Arial" w:hAnsi="Arial" w:cs="Arial"/>
        </w:rPr>
        <w:t>.</w:t>
      </w:r>
    </w:p>
    <w:p w14:paraId="5AD740D5" w14:textId="77777777" w:rsidR="00B91AC2" w:rsidRDefault="00B91AC2" w:rsidP="00B91AC2">
      <w:pPr>
        <w:pStyle w:val="Body"/>
        <w:spacing w:after="0"/>
        <w:rPr>
          <w:rFonts w:ascii="Arial" w:hAnsi="Arial" w:cs="Arial"/>
        </w:rPr>
      </w:pPr>
    </w:p>
    <w:p w14:paraId="1C98C9DD" w14:textId="73C0CF71" w:rsidR="00B91AC2" w:rsidRPr="00757DD0" w:rsidRDefault="00B91AC2" w:rsidP="00B91AC2">
      <w:pPr>
        <w:pStyle w:val="Body"/>
        <w:spacing w:after="0"/>
        <w:rPr>
          <w:rFonts w:ascii="Arial" w:hAnsi="Arial" w:cs="Arial"/>
          <w:b/>
          <w:sz w:val="22"/>
          <w:szCs w:val="22"/>
        </w:rPr>
      </w:pPr>
      <w:r w:rsidRPr="000B67E4">
        <w:rPr>
          <w:rFonts w:ascii="Arial" w:hAnsi="Arial" w:cs="Arial"/>
          <w:b/>
          <w:bCs/>
          <w:sz w:val="22"/>
          <w:szCs w:val="22"/>
        </w:rPr>
        <w:t xml:space="preserve">3.2 </w:t>
      </w:r>
      <w:r w:rsidR="000E4CD0" w:rsidRPr="000B67E4">
        <w:rPr>
          <w:rFonts w:ascii="Arial" w:hAnsi="Arial" w:cs="Arial"/>
          <w:b/>
          <w:sz w:val="22"/>
          <w:szCs w:val="22"/>
        </w:rPr>
        <w:t>Summary of Analysis of Variance Results</w:t>
      </w:r>
    </w:p>
    <w:p w14:paraId="15B5422F" w14:textId="23D3ED8E" w:rsidR="001D2FF3" w:rsidRDefault="000E4CD0" w:rsidP="001D2FF3">
      <w:pPr>
        <w:pStyle w:val="Body"/>
        <w:spacing w:after="0"/>
        <w:ind w:firstLine="720"/>
        <w:rPr>
          <w:rFonts w:ascii="Arial" w:hAnsi="Arial" w:cs="Arial"/>
          <w:color w:val="000000" w:themeColor="text1"/>
        </w:rPr>
      </w:pPr>
      <w:r w:rsidRPr="000E4CD0">
        <w:rPr>
          <w:rFonts w:ascii="Arial" w:hAnsi="Arial" w:cs="Arial"/>
        </w:rPr>
        <w:t>The results of the variance analysis of all variables are presented in (Table 1). The results showed that the POC PSB and inorganic treatments did not have a significant effect on all observation variables. Meanwhile, the block factor had a significant effect on tuber height and tuber yield per plot. The coefficient of variation (CV) is a measure of the accuracy of research data, where the higher the coefficient of variation, the lower the accuracy of the research, and vice versa</w:t>
      </w:r>
      <w:r w:rsidR="00B91AC2" w:rsidRPr="00600FBF">
        <w:rPr>
          <w:rFonts w:ascii="Arial" w:hAnsi="Arial" w:cs="Arial"/>
          <w:color w:val="000000" w:themeColor="text1"/>
        </w:rPr>
        <w:t xml:space="preserve"> </w:t>
      </w:r>
      <w:r w:rsidR="00ED4AFB">
        <w:rPr>
          <w:rFonts w:ascii="Arial" w:hAnsi="Arial" w:cs="Arial"/>
          <w:color w:val="000000" w:themeColor="text1"/>
        </w:rPr>
        <w:fldChar w:fldCharType="begin" w:fldLock="1"/>
      </w:r>
      <w:r w:rsidR="00ED4AFB">
        <w:rPr>
          <w:rFonts w:ascii="Arial" w:hAnsi="Arial" w:cs="Arial"/>
          <w:color w:val="000000" w:themeColor="text1"/>
        </w:rPr>
        <w:instrText>ADDIN CSL_CITATION {"citationItems":[{"id":"ITEM-1","itemData":{"URL":"https://digilib.uinsgd.ac.id/id/eprint/39901","abstract":"Produktivitas bawang merah mengalami penurunan sejak tahun 2014, salah satunya karena penyakit busuk pangkal bawang yang disebabkan oleh jamur patogen Fusarium oxysporum f.sp cepae. Penelitian ini bertujuan untuk menguji kemampuan Fusarium oxysporum f.sp cepae hipovirulen hasil penyinaran ultra violet dan lama penyinaran terhadap peningkatan resistensi tanaman bawang merah dalam menekan intensitas serangan Fusarium oxysporum f.sp cepae. Penelitian dilaksanakan di Laboratorium Cendawan Satuan Pelayanan Balai Perlindungan Tanaman Pangan dan Hortikultura Provinsi Jawa Barat, Laboratorium Hama dan Laboratorium Cendawan Stasiun Karantina Pertanian Kelas I Bandung, Rumah Kaca Balai Pengawas dan Sertifikasi Benih Tanaman Pangan dan Hortikultura Provinsi Jawa Barat pada bulan April-Oktober 2020. Penelitian ini dilaksanakan secara in vitro dan in vivo, penelitian secara in vitro dilakukan menggunakan rancangan acak lengkap (RAL) non faktorial dengan 5 perlakuan yaitu A, B, C, D, dan E (tanpa penyinaran UV, penyinaran UV selama 15, 30, 45, dan 60 menit) dan 4 ulangan. Sedangkan penelitian secara in vivo dilakukan menggunakan rancangan acak kelompok (RAK) non faktorial dengan 6 perlakuan yaitu A+, A-, B, C, D, E (tanpa perlakuan, penambahan Fusarium oxysporum f.sp cepae patogen, patogen + perendaman isolat hipovirulen penyinaran UV 15 menit, 30 menit, 45 menit, dan 60 menit) dan 4 ulangan. Hasil penelitian menunjukkan bahwa Fusarium oxysporum f.sp cepae hipovirulen hasil penyinaran UV mampu meningkatkan sistem ketahanan tanaman bawang merah dalam menekan intensitas penyakit Fusarium oxysporum f.sp cepae dengan lama penyinaran paling efektif untuk menurunkan patogenitas adalah 15 menit.","author":[{"dropping-particle":"","family":"Ullatifah","given":"Raynisa","non-dropping-particle":"","parse-names":false,"suffix":""}],"id":"ITEM-1","issued":{"date-parts":[["2021"]]},"title":"PENINGKATAN RESISTENSI TANAMAN BAWANG MERAH (Allium ascalonicum L.) VARIETAS BATU IJO TERHADAP PENYAKIT BUSUK PANGKAL MENGGUNAKAN JAMUR Fusarium oxysporum f.sp cepae HIPOVIRULEN","type":"webpage"},"uris":["http://www.mendeley.com/documents/?uuid=0c16f6f9-7658-4253-be7b-68021795337d"]}],"mendeley":{"formattedCitation":"(Ullatifah, 2021)","plainTextFormattedCitation":"(Ullatifah, 2021)","previouslyFormattedCitation":"(Ullatifah, 2021)"},"properties":{"noteIndex":0},"schema":"https://github.com/citation-style-language/schema/raw/master/csl-citation.json"}</w:instrText>
      </w:r>
      <w:r w:rsidR="00ED4AFB">
        <w:rPr>
          <w:rFonts w:ascii="Arial" w:hAnsi="Arial" w:cs="Arial"/>
          <w:color w:val="000000" w:themeColor="text1"/>
        </w:rPr>
        <w:fldChar w:fldCharType="separate"/>
      </w:r>
      <w:r w:rsidR="00ED4AFB" w:rsidRPr="00ED4AFB">
        <w:rPr>
          <w:rFonts w:ascii="Arial" w:hAnsi="Arial" w:cs="Arial"/>
          <w:noProof/>
          <w:color w:val="000000" w:themeColor="text1"/>
        </w:rPr>
        <w:t>(Ullatifah, 2021)</w:t>
      </w:r>
      <w:r w:rsidR="00ED4AFB">
        <w:rPr>
          <w:rFonts w:ascii="Arial" w:hAnsi="Arial" w:cs="Arial"/>
          <w:color w:val="000000" w:themeColor="text1"/>
        </w:rPr>
        <w:fldChar w:fldCharType="end"/>
      </w:r>
      <w:r w:rsidR="00B91AC2">
        <w:rPr>
          <w:rFonts w:ascii="Arial" w:hAnsi="Arial" w:cs="Arial"/>
          <w:color w:val="000000" w:themeColor="text1"/>
        </w:rPr>
        <w:t>.</w:t>
      </w:r>
    </w:p>
    <w:p w14:paraId="26DA83DC" w14:textId="77777777" w:rsidR="001D2FF3" w:rsidRDefault="001D2FF3" w:rsidP="001D2FF3">
      <w:pPr>
        <w:pStyle w:val="Body"/>
        <w:spacing w:after="0"/>
        <w:ind w:firstLine="720"/>
        <w:rPr>
          <w:rFonts w:ascii="Arial" w:hAnsi="Arial" w:cs="Arial"/>
          <w:color w:val="000000" w:themeColor="text1"/>
        </w:rPr>
      </w:pPr>
    </w:p>
    <w:p w14:paraId="19E52552" w14:textId="77777777" w:rsidR="001D2FF3" w:rsidRDefault="001D2FF3" w:rsidP="001D2FF3">
      <w:pPr>
        <w:pStyle w:val="Body"/>
        <w:spacing w:after="0"/>
        <w:ind w:firstLine="720"/>
        <w:rPr>
          <w:rFonts w:ascii="Arial" w:hAnsi="Arial" w:cs="Arial"/>
          <w:color w:val="000000" w:themeColor="text1"/>
        </w:rPr>
      </w:pPr>
    </w:p>
    <w:p w14:paraId="08C471E4" w14:textId="77777777" w:rsidR="001D2FF3" w:rsidRDefault="001D2FF3" w:rsidP="001D2FF3">
      <w:pPr>
        <w:pStyle w:val="Body"/>
        <w:spacing w:after="0"/>
        <w:ind w:firstLine="720"/>
        <w:rPr>
          <w:rFonts w:ascii="Arial" w:hAnsi="Arial" w:cs="Arial"/>
          <w:color w:val="000000" w:themeColor="text1"/>
        </w:rPr>
      </w:pPr>
    </w:p>
    <w:p w14:paraId="12136D48" w14:textId="77777777" w:rsidR="001D2FF3" w:rsidRDefault="001D2FF3" w:rsidP="001D2FF3">
      <w:pPr>
        <w:pStyle w:val="Body"/>
        <w:spacing w:after="0"/>
        <w:ind w:firstLine="720"/>
        <w:rPr>
          <w:rFonts w:ascii="Arial" w:hAnsi="Arial" w:cs="Arial"/>
          <w:color w:val="000000" w:themeColor="text1"/>
        </w:rPr>
      </w:pPr>
    </w:p>
    <w:p w14:paraId="4A22B577" w14:textId="77777777" w:rsidR="001D2FF3" w:rsidRDefault="001D2FF3" w:rsidP="001D2FF3">
      <w:pPr>
        <w:pStyle w:val="Body"/>
        <w:spacing w:after="0"/>
        <w:ind w:firstLine="720"/>
        <w:rPr>
          <w:rFonts w:ascii="Arial" w:hAnsi="Arial" w:cs="Arial"/>
          <w:color w:val="000000" w:themeColor="text1"/>
        </w:rPr>
      </w:pPr>
    </w:p>
    <w:p w14:paraId="5580BB85" w14:textId="77777777" w:rsidR="001D2FF3" w:rsidRDefault="001D2FF3" w:rsidP="001D2FF3">
      <w:pPr>
        <w:pStyle w:val="Body"/>
        <w:spacing w:after="0"/>
        <w:ind w:firstLine="720"/>
        <w:rPr>
          <w:rFonts w:ascii="Arial" w:hAnsi="Arial" w:cs="Arial"/>
          <w:color w:val="000000" w:themeColor="text1"/>
        </w:rPr>
      </w:pPr>
    </w:p>
    <w:p w14:paraId="04DE8A6E" w14:textId="77777777" w:rsidR="001D2FF3" w:rsidRDefault="001D2FF3" w:rsidP="001D2FF3">
      <w:pPr>
        <w:pStyle w:val="Body"/>
        <w:spacing w:after="0"/>
        <w:ind w:firstLine="720"/>
        <w:rPr>
          <w:rFonts w:ascii="Arial" w:hAnsi="Arial" w:cs="Arial"/>
          <w:color w:val="000000" w:themeColor="text1"/>
        </w:rPr>
      </w:pPr>
    </w:p>
    <w:p w14:paraId="36604C10" w14:textId="77777777" w:rsidR="001D2FF3" w:rsidRDefault="001D2FF3" w:rsidP="001D2FF3">
      <w:pPr>
        <w:pStyle w:val="Body"/>
        <w:spacing w:after="0"/>
        <w:ind w:firstLine="720"/>
        <w:rPr>
          <w:rFonts w:ascii="Arial" w:hAnsi="Arial" w:cs="Arial"/>
          <w:color w:val="000000" w:themeColor="text1"/>
        </w:rPr>
      </w:pPr>
    </w:p>
    <w:p w14:paraId="32969BB7" w14:textId="77777777" w:rsidR="001D2FF3" w:rsidRDefault="001D2FF3" w:rsidP="001D2FF3">
      <w:pPr>
        <w:pStyle w:val="Body"/>
        <w:spacing w:after="0"/>
        <w:ind w:firstLine="720"/>
        <w:rPr>
          <w:rFonts w:ascii="Arial" w:hAnsi="Arial" w:cs="Arial"/>
          <w:color w:val="000000" w:themeColor="text1"/>
        </w:rPr>
      </w:pPr>
    </w:p>
    <w:p w14:paraId="57E2EDD9" w14:textId="77777777" w:rsidR="001D2FF3" w:rsidRPr="000B67E4" w:rsidRDefault="001D2FF3" w:rsidP="001D2FF3">
      <w:pPr>
        <w:pStyle w:val="Body"/>
        <w:spacing w:after="0"/>
        <w:ind w:firstLine="720"/>
        <w:rPr>
          <w:rFonts w:ascii="Arial" w:hAnsi="Arial" w:cs="Arial"/>
          <w:color w:val="000000" w:themeColor="text1"/>
        </w:rPr>
      </w:pPr>
    </w:p>
    <w:p w14:paraId="5650E502" w14:textId="0B84AA26" w:rsidR="000B67E4" w:rsidRDefault="000B67E4" w:rsidP="000B67E4">
      <w:pPr>
        <w:pStyle w:val="Body"/>
        <w:spacing w:after="0"/>
        <w:rPr>
          <w:rFonts w:ascii="Arial" w:hAnsi="Arial" w:cs="Arial"/>
          <w:color w:val="000000" w:themeColor="text1"/>
        </w:rPr>
      </w:pPr>
      <w:r w:rsidRPr="000B67E4">
        <w:rPr>
          <w:rFonts w:ascii="Arial" w:hAnsi="Arial" w:cs="Arial"/>
          <w:color w:val="000000" w:themeColor="text1"/>
        </w:rPr>
        <w:lastRenderedPageBreak/>
        <w:t>Table 1.</w:t>
      </w:r>
      <w:r w:rsidR="000973D7">
        <w:rPr>
          <w:rFonts w:ascii="Arial" w:hAnsi="Arial" w:cs="Arial"/>
          <w:color w:val="000000" w:themeColor="text1"/>
        </w:rPr>
        <w:t xml:space="preserve"> </w:t>
      </w:r>
      <w:r w:rsidR="000973D7" w:rsidRPr="000973D7">
        <w:rPr>
          <w:rFonts w:ascii="Arial" w:hAnsi="Arial" w:cs="Arial"/>
          <w:color w:val="000000" w:themeColor="text1"/>
        </w:rPr>
        <w:t>Summary of the results of the analysis of variance of growth and yield of shallots for seven treatment combinations</w:t>
      </w:r>
    </w:p>
    <w:tbl>
      <w:tblPr>
        <w:tblW w:w="7920" w:type="dxa"/>
        <w:jc w:val="center"/>
        <w:tblLayout w:type="fixed"/>
        <w:tblLook w:val="04A0" w:firstRow="1" w:lastRow="0" w:firstColumn="1" w:lastColumn="0" w:noHBand="0" w:noVBand="1"/>
      </w:tblPr>
      <w:tblGrid>
        <w:gridCol w:w="540"/>
        <w:gridCol w:w="2880"/>
        <w:gridCol w:w="1469"/>
        <w:gridCol w:w="1263"/>
        <w:gridCol w:w="1768"/>
      </w:tblGrid>
      <w:tr w:rsidR="000B67E4" w:rsidRPr="000973D7" w14:paraId="2D734064" w14:textId="77777777" w:rsidTr="002C7F3A">
        <w:trPr>
          <w:trHeight w:val="324"/>
          <w:jc w:val="center"/>
        </w:trPr>
        <w:tc>
          <w:tcPr>
            <w:tcW w:w="540" w:type="dxa"/>
            <w:vMerge w:val="restart"/>
            <w:tcBorders>
              <w:top w:val="single" w:sz="4" w:space="0" w:color="auto"/>
              <w:left w:val="nil"/>
              <w:right w:val="nil"/>
            </w:tcBorders>
            <w:noWrap/>
            <w:vAlign w:val="center"/>
            <w:hideMark/>
          </w:tcPr>
          <w:p w14:paraId="1A866FEA" w14:textId="77777777" w:rsidR="000B67E4" w:rsidRPr="000973D7" w:rsidRDefault="000B67E4" w:rsidP="00C75126">
            <w:pPr>
              <w:rPr>
                <w:rFonts w:ascii="Arial" w:hAnsi="Arial" w:cs="Arial"/>
                <w:color w:val="000000"/>
              </w:rPr>
            </w:pPr>
            <w:r w:rsidRPr="000973D7">
              <w:rPr>
                <w:rFonts w:ascii="Arial" w:hAnsi="Arial" w:cs="Arial"/>
                <w:color w:val="000000"/>
              </w:rPr>
              <w:t>No</w:t>
            </w:r>
          </w:p>
        </w:tc>
        <w:tc>
          <w:tcPr>
            <w:tcW w:w="2880" w:type="dxa"/>
            <w:vMerge w:val="restart"/>
            <w:tcBorders>
              <w:top w:val="single" w:sz="4" w:space="0" w:color="auto"/>
              <w:left w:val="nil"/>
            </w:tcBorders>
            <w:noWrap/>
            <w:vAlign w:val="center"/>
            <w:hideMark/>
          </w:tcPr>
          <w:p w14:paraId="32802D24" w14:textId="77777777" w:rsidR="000B67E4" w:rsidRPr="000973D7" w:rsidRDefault="000B67E4" w:rsidP="00C75126">
            <w:pPr>
              <w:rPr>
                <w:rFonts w:ascii="Arial" w:hAnsi="Arial" w:cs="Arial"/>
                <w:color w:val="000000"/>
              </w:rPr>
            </w:pPr>
            <w:r w:rsidRPr="000973D7">
              <w:rPr>
                <w:rFonts w:ascii="Arial" w:hAnsi="Arial" w:cs="Arial"/>
                <w:color w:val="000000"/>
              </w:rPr>
              <w:t>Observation Variables</w:t>
            </w:r>
          </w:p>
        </w:tc>
        <w:tc>
          <w:tcPr>
            <w:tcW w:w="2732" w:type="dxa"/>
            <w:gridSpan w:val="2"/>
            <w:tcBorders>
              <w:top w:val="single" w:sz="4" w:space="0" w:color="auto"/>
            </w:tcBorders>
            <w:noWrap/>
            <w:vAlign w:val="center"/>
            <w:hideMark/>
          </w:tcPr>
          <w:p w14:paraId="7A507C57" w14:textId="77777777" w:rsidR="000B67E4" w:rsidRPr="000973D7" w:rsidRDefault="009317B7" w:rsidP="00C75126">
            <w:pPr>
              <w:jc w:val="center"/>
              <w:rPr>
                <w:rFonts w:ascii="Arial" w:eastAsiaTheme="minorEastAsia" w:hAnsi="Arial" w:cs="Arial"/>
                <w:iCs/>
              </w:rPr>
            </w:pPr>
            <m:oMathPara>
              <m:oMath>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calculated</m:t>
                    </m:r>
                  </m:sub>
                </m:sSub>
              </m:oMath>
            </m:oMathPara>
          </w:p>
        </w:tc>
        <w:tc>
          <w:tcPr>
            <w:tcW w:w="1768" w:type="dxa"/>
            <w:vMerge w:val="restart"/>
            <w:tcBorders>
              <w:top w:val="single" w:sz="4" w:space="0" w:color="auto"/>
              <w:left w:val="nil"/>
              <w:right w:val="nil"/>
            </w:tcBorders>
            <w:vAlign w:val="center"/>
          </w:tcPr>
          <w:p w14:paraId="7CBF13A2" w14:textId="77777777" w:rsidR="000B67E4" w:rsidRPr="000973D7" w:rsidRDefault="000B67E4" w:rsidP="00C75126">
            <w:pPr>
              <w:jc w:val="center"/>
              <w:rPr>
                <w:rFonts w:ascii="Arial" w:eastAsiaTheme="minorEastAsia" w:hAnsi="Arial" w:cs="Arial"/>
                <w:iCs/>
              </w:rPr>
            </w:pPr>
            <w:r w:rsidRPr="000973D7">
              <w:rPr>
                <w:rFonts w:ascii="Arial" w:hAnsi="Arial" w:cs="Arial"/>
              </w:rPr>
              <w:t>coefficient of variation%</w:t>
            </w:r>
          </w:p>
          <w:p w14:paraId="49611BC5" w14:textId="77777777" w:rsidR="000B67E4" w:rsidRPr="000973D7" w:rsidRDefault="000B67E4" w:rsidP="00C75126">
            <w:pPr>
              <w:ind w:right="256"/>
              <w:jc w:val="center"/>
              <w:rPr>
                <w:rFonts w:ascii="Arial" w:hAnsi="Arial" w:cs="Arial"/>
                <w:iCs/>
                <w:color w:val="000000"/>
              </w:rPr>
            </w:pPr>
          </w:p>
        </w:tc>
      </w:tr>
      <w:tr w:rsidR="000B67E4" w:rsidRPr="000973D7" w14:paraId="11461558" w14:textId="77777777" w:rsidTr="002C7F3A">
        <w:trPr>
          <w:trHeight w:val="216"/>
          <w:jc w:val="center"/>
        </w:trPr>
        <w:tc>
          <w:tcPr>
            <w:tcW w:w="540" w:type="dxa"/>
            <w:vMerge/>
            <w:tcBorders>
              <w:left w:val="nil"/>
              <w:bottom w:val="single" w:sz="4" w:space="0" w:color="auto"/>
              <w:right w:val="nil"/>
            </w:tcBorders>
            <w:noWrap/>
            <w:vAlign w:val="center"/>
          </w:tcPr>
          <w:p w14:paraId="3979FE6A" w14:textId="77777777" w:rsidR="000B67E4" w:rsidRPr="000973D7" w:rsidRDefault="000B67E4" w:rsidP="00C75126">
            <w:pPr>
              <w:rPr>
                <w:rFonts w:ascii="Arial" w:hAnsi="Arial" w:cs="Arial"/>
                <w:color w:val="000000"/>
              </w:rPr>
            </w:pPr>
          </w:p>
        </w:tc>
        <w:tc>
          <w:tcPr>
            <w:tcW w:w="2880" w:type="dxa"/>
            <w:vMerge/>
            <w:tcBorders>
              <w:left w:val="nil"/>
              <w:bottom w:val="single" w:sz="4" w:space="0" w:color="auto"/>
            </w:tcBorders>
            <w:noWrap/>
            <w:vAlign w:val="center"/>
          </w:tcPr>
          <w:p w14:paraId="18220A4B" w14:textId="77777777" w:rsidR="000B67E4" w:rsidRPr="000973D7" w:rsidRDefault="000B67E4" w:rsidP="00C75126">
            <w:pPr>
              <w:rPr>
                <w:rFonts w:ascii="Arial" w:hAnsi="Arial" w:cs="Arial"/>
                <w:color w:val="000000"/>
              </w:rPr>
            </w:pPr>
          </w:p>
        </w:tc>
        <w:tc>
          <w:tcPr>
            <w:tcW w:w="1469" w:type="dxa"/>
            <w:tcBorders>
              <w:bottom w:val="single" w:sz="4" w:space="0" w:color="auto"/>
            </w:tcBorders>
            <w:noWrap/>
            <w:vAlign w:val="center"/>
          </w:tcPr>
          <w:p w14:paraId="6CF1944B" w14:textId="77777777" w:rsidR="000B67E4" w:rsidRPr="000973D7" w:rsidRDefault="000B67E4" w:rsidP="00C75126">
            <w:pPr>
              <w:jc w:val="center"/>
              <w:rPr>
                <w:rFonts w:ascii="Arial" w:hAnsi="Arial" w:cs="Arial"/>
                <w:iCs/>
                <w:color w:val="000000"/>
              </w:rPr>
            </w:pPr>
            <w:r w:rsidRPr="000973D7">
              <w:rPr>
                <w:rFonts w:ascii="Arial" w:hAnsi="Arial" w:cs="Arial"/>
                <w:iCs/>
                <w:color w:val="000000"/>
              </w:rPr>
              <w:t>Block</w:t>
            </w:r>
          </w:p>
        </w:tc>
        <w:tc>
          <w:tcPr>
            <w:tcW w:w="1263" w:type="dxa"/>
            <w:tcBorders>
              <w:bottom w:val="single" w:sz="4" w:space="0" w:color="auto"/>
            </w:tcBorders>
            <w:vAlign w:val="center"/>
          </w:tcPr>
          <w:p w14:paraId="0AD2F22B" w14:textId="77777777" w:rsidR="000B67E4" w:rsidRPr="000973D7" w:rsidRDefault="000B67E4" w:rsidP="00C75126">
            <w:pPr>
              <w:rPr>
                <w:rFonts w:ascii="Arial" w:hAnsi="Arial" w:cs="Arial"/>
                <w:iCs/>
                <w:color w:val="000000"/>
              </w:rPr>
            </w:pPr>
            <w:r w:rsidRPr="000973D7">
              <w:rPr>
                <w:rFonts w:ascii="Arial" w:hAnsi="Arial" w:cs="Arial"/>
              </w:rPr>
              <w:t xml:space="preserve">Treatment </w:t>
            </w:r>
          </w:p>
        </w:tc>
        <w:tc>
          <w:tcPr>
            <w:tcW w:w="1768" w:type="dxa"/>
            <w:vMerge/>
            <w:tcBorders>
              <w:left w:val="nil"/>
              <w:bottom w:val="single" w:sz="4" w:space="0" w:color="auto"/>
              <w:right w:val="nil"/>
            </w:tcBorders>
            <w:vAlign w:val="center"/>
          </w:tcPr>
          <w:p w14:paraId="59A104E8" w14:textId="77777777" w:rsidR="000B67E4" w:rsidRPr="000973D7" w:rsidRDefault="000B67E4" w:rsidP="00C75126">
            <w:pPr>
              <w:jc w:val="center"/>
              <w:rPr>
                <w:rFonts w:ascii="Arial" w:eastAsia="Calibri" w:hAnsi="Arial" w:cs="Arial"/>
                <w:iCs/>
              </w:rPr>
            </w:pPr>
          </w:p>
        </w:tc>
      </w:tr>
      <w:tr w:rsidR="000B67E4" w:rsidRPr="000973D7" w14:paraId="14FB43EB" w14:textId="77777777" w:rsidTr="003A0190">
        <w:trPr>
          <w:trHeight w:val="262"/>
          <w:jc w:val="center"/>
        </w:trPr>
        <w:tc>
          <w:tcPr>
            <w:tcW w:w="540" w:type="dxa"/>
            <w:tcBorders>
              <w:top w:val="nil"/>
              <w:left w:val="nil"/>
              <w:bottom w:val="nil"/>
              <w:right w:val="nil"/>
            </w:tcBorders>
            <w:noWrap/>
            <w:vAlign w:val="center"/>
            <w:hideMark/>
          </w:tcPr>
          <w:p w14:paraId="48AD9B5F" w14:textId="77777777" w:rsidR="000B67E4" w:rsidRPr="000973D7" w:rsidRDefault="000B67E4" w:rsidP="00C75126">
            <w:pPr>
              <w:jc w:val="center"/>
              <w:rPr>
                <w:rFonts w:ascii="Arial" w:hAnsi="Arial" w:cs="Arial"/>
                <w:color w:val="000000"/>
              </w:rPr>
            </w:pPr>
            <w:r w:rsidRPr="000973D7">
              <w:rPr>
                <w:rFonts w:ascii="Arial" w:hAnsi="Arial" w:cs="Arial"/>
                <w:color w:val="000000"/>
              </w:rPr>
              <w:t>1</w:t>
            </w:r>
          </w:p>
        </w:tc>
        <w:tc>
          <w:tcPr>
            <w:tcW w:w="2880" w:type="dxa"/>
            <w:tcBorders>
              <w:top w:val="nil"/>
              <w:left w:val="nil"/>
              <w:bottom w:val="nil"/>
              <w:right w:val="nil"/>
            </w:tcBorders>
            <w:noWrap/>
            <w:hideMark/>
          </w:tcPr>
          <w:p w14:paraId="472E7383" w14:textId="77777777" w:rsidR="000B67E4" w:rsidRPr="000973D7" w:rsidRDefault="000B67E4" w:rsidP="00C75126">
            <w:pPr>
              <w:rPr>
                <w:rFonts w:ascii="Arial" w:hAnsi="Arial" w:cs="Arial"/>
                <w:color w:val="000000"/>
              </w:rPr>
            </w:pPr>
            <w:r w:rsidRPr="000973D7">
              <w:rPr>
                <w:rFonts w:ascii="Arial" w:hAnsi="Arial" w:cs="Arial"/>
              </w:rPr>
              <w:t>Plant Height</w:t>
            </w:r>
          </w:p>
        </w:tc>
        <w:tc>
          <w:tcPr>
            <w:tcW w:w="1469" w:type="dxa"/>
            <w:tcBorders>
              <w:top w:val="nil"/>
              <w:left w:val="nil"/>
              <w:bottom w:val="nil"/>
            </w:tcBorders>
            <w:noWrap/>
            <w:vAlign w:val="center"/>
            <w:hideMark/>
          </w:tcPr>
          <w:p w14:paraId="5C1246EC" w14:textId="77777777" w:rsidR="000B67E4" w:rsidRPr="000973D7" w:rsidRDefault="009317B7" w:rsidP="00C75126">
            <w:pPr>
              <w:jc w:val="center"/>
              <w:rPr>
                <w:rFonts w:ascii="Arial" w:hAnsi="Arial" w:cs="Arial"/>
                <w:color w:val="000000"/>
                <w:vertAlign w:val="superscript"/>
              </w:rPr>
            </w:pPr>
            <m:oMathPara>
              <m:oMath>
                <m:sSup>
                  <m:sSupPr>
                    <m:ctrlPr>
                      <w:rPr>
                        <w:rFonts w:ascii="Cambria Math" w:hAnsi="Cambria Math" w:cs="Arial"/>
                        <w:i/>
                        <w:color w:val="000000"/>
                      </w:rPr>
                    </m:ctrlPr>
                  </m:sSupPr>
                  <m:e>
                    <m:r>
                      <w:rPr>
                        <w:rFonts w:ascii="Cambria Math" w:hAnsi="Cambria Math" w:cs="Arial"/>
                        <w:color w:val="000000"/>
                      </w:rPr>
                      <m:t>1,59</m:t>
                    </m:r>
                  </m:e>
                  <m:sup>
                    <m:r>
                      <w:rPr>
                        <w:rFonts w:ascii="Cambria Math" w:hAnsi="Cambria Math" w:cs="Arial"/>
                        <w:color w:val="000000"/>
                      </w:rPr>
                      <m:t>ns</m:t>
                    </m:r>
                  </m:sup>
                </m:sSup>
              </m:oMath>
            </m:oMathPara>
          </w:p>
        </w:tc>
        <w:tc>
          <w:tcPr>
            <w:tcW w:w="1263" w:type="dxa"/>
            <w:tcBorders>
              <w:top w:val="single" w:sz="4" w:space="0" w:color="auto"/>
            </w:tcBorders>
            <w:noWrap/>
            <w:vAlign w:val="center"/>
            <w:hideMark/>
          </w:tcPr>
          <w:p w14:paraId="4437BFE0"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0,70</m:t>
                    </m:r>
                  </m:e>
                  <m:sup>
                    <m:r>
                      <w:rPr>
                        <w:rFonts w:ascii="Cambria Math" w:hAnsi="Cambria Math" w:cs="Arial"/>
                        <w:color w:val="000000"/>
                      </w:rPr>
                      <m:t>ns</m:t>
                    </m:r>
                  </m:sup>
                </m:sSup>
              </m:oMath>
            </m:oMathPara>
          </w:p>
        </w:tc>
        <w:tc>
          <w:tcPr>
            <w:tcW w:w="1768" w:type="dxa"/>
            <w:tcBorders>
              <w:top w:val="single" w:sz="4" w:space="0" w:color="auto"/>
              <w:left w:val="nil"/>
            </w:tcBorders>
            <w:vAlign w:val="center"/>
          </w:tcPr>
          <w:p w14:paraId="29C8BCAF"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22,78</m:t>
                </m:r>
              </m:oMath>
            </m:oMathPara>
          </w:p>
        </w:tc>
      </w:tr>
      <w:tr w:rsidR="000B67E4" w:rsidRPr="000973D7" w14:paraId="0D3800FD" w14:textId="77777777" w:rsidTr="002C7F3A">
        <w:trPr>
          <w:trHeight w:val="80"/>
          <w:jc w:val="center"/>
        </w:trPr>
        <w:tc>
          <w:tcPr>
            <w:tcW w:w="540" w:type="dxa"/>
            <w:tcBorders>
              <w:top w:val="nil"/>
              <w:left w:val="nil"/>
              <w:bottom w:val="nil"/>
              <w:right w:val="nil"/>
            </w:tcBorders>
            <w:noWrap/>
            <w:vAlign w:val="center"/>
            <w:hideMark/>
          </w:tcPr>
          <w:p w14:paraId="066946A5" w14:textId="77777777" w:rsidR="000B67E4" w:rsidRPr="000973D7" w:rsidRDefault="000B67E4" w:rsidP="00C75126">
            <w:pPr>
              <w:jc w:val="center"/>
              <w:rPr>
                <w:rFonts w:ascii="Arial" w:hAnsi="Arial" w:cs="Arial"/>
                <w:color w:val="000000"/>
              </w:rPr>
            </w:pPr>
            <w:r w:rsidRPr="000973D7">
              <w:rPr>
                <w:rFonts w:ascii="Arial" w:hAnsi="Arial" w:cs="Arial"/>
                <w:color w:val="000000"/>
              </w:rPr>
              <w:t>2</w:t>
            </w:r>
          </w:p>
        </w:tc>
        <w:tc>
          <w:tcPr>
            <w:tcW w:w="2880" w:type="dxa"/>
            <w:tcBorders>
              <w:top w:val="nil"/>
              <w:left w:val="nil"/>
              <w:bottom w:val="nil"/>
              <w:right w:val="nil"/>
            </w:tcBorders>
            <w:noWrap/>
            <w:hideMark/>
          </w:tcPr>
          <w:p w14:paraId="0FC7EB3B" w14:textId="77777777" w:rsidR="000B67E4" w:rsidRPr="000973D7" w:rsidRDefault="000B67E4" w:rsidP="00C75126">
            <w:pPr>
              <w:rPr>
                <w:rFonts w:ascii="Arial" w:hAnsi="Arial" w:cs="Arial"/>
                <w:color w:val="000000"/>
              </w:rPr>
            </w:pPr>
            <w:r w:rsidRPr="000973D7">
              <w:rPr>
                <w:rFonts w:ascii="Arial" w:hAnsi="Arial" w:cs="Arial"/>
              </w:rPr>
              <w:t>Number of Leaves per Clump</w:t>
            </w:r>
          </w:p>
        </w:tc>
        <w:tc>
          <w:tcPr>
            <w:tcW w:w="1469" w:type="dxa"/>
            <w:tcBorders>
              <w:top w:val="nil"/>
              <w:left w:val="nil"/>
              <w:bottom w:val="nil"/>
              <w:right w:val="nil"/>
            </w:tcBorders>
            <w:noWrap/>
            <w:vAlign w:val="center"/>
            <w:hideMark/>
          </w:tcPr>
          <w:p w14:paraId="0397EE42"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m:rPr>
                        <m:sty m:val="p"/>
                      </m:rPr>
                      <w:rPr>
                        <w:rFonts w:ascii="Cambria Math" w:hAnsi="Cambria Math" w:cs="Arial"/>
                        <w:color w:val="000000"/>
                      </w:rPr>
                      <m:t>0,68</m:t>
                    </m:r>
                  </m:e>
                  <m:sup>
                    <m:r>
                      <w:rPr>
                        <w:rFonts w:ascii="Cambria Math" w:hAnsi="Cambria Math" w:cs="Arial"/>
                        <w:color w:val="000000"/>
                      </w:rPr>
                      <m:t>ns</m:t>
                    </m:r>
                  </m:sup>
                </m:sSup>
              </m:oMath>
            </m:oMathPara>
          </w:p>
        </w:tc>
        <w:tc>
          <w:tcPr>
            <w:tcW w:w="1263" w:type="dxa"/>
            <w:tcBorders>
              <w:left w:val="nil"/>
              <w:bottom w:val="nil"/>
            </w:tcBorders>
            <w:noWrap/>
            <w:vAlign w:val="center"/>
            <w:hideMark/>
          </w:tcPr>
          <w:p w14:paraId="769C19D0"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m:rPr>
                        <m:sty m:val="p"/>
                      </m:rPr>
                      <w:rPr>
                        <w:rFonts w:ascii="Cambria Math" w:hAnsi="Cambria Math" w:cs="Arial"/>
                        <w:color w:val="000000"/>
                      </w:rPr>
                      <m:t>0,50</m:t>
                    </m:r>
                  </m:e>
                  <m:sup>
                    <m:r>
                      <w:rPr>
                        <w:rFonts w:ascii="Cambria Math" w:hAnsi="Cambria Math" w:cs="Arial"/>
                        <w:color w:val="000000"/>
                      </w:rPr>
                      <m:t>ns</m:t>
                    </m:r>
                  </m:sup>
                </m:sSup>
              </m:oMath>
            </m:oMathPara>
          </w:p>
        </w:tc>
        <w:tc>
          <w:tcPr>
            <w:tcW w:w="1768" w:type="dxa"/>
            <w:tcBorders>
              <w:bottom w:val="nil"/>
              <w:right w:val="nil"/>
            </w:tcBorders>
            <w:vAlign w:val="center"/>
          </w:tcPr>
          <w:p w14:paraId="5D973779"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16,81</m:t>
                </m:r>
              </m:oMath>
            </m:oMathPara>
          </w:p>
        </w:tc>
      </w:tr>
      <w:tr w:rsidR="000B67E4" w:rsidRPr="000973D7" w14:paraId="19D1F72D" w14:textId="77777777" w:rsidTr="002C7F3A">
        <w:trPr>
          <w:trHeight w:val="195"/>
          <w:jc w:val="center"/>
        </w:trPr>
        <w:tc>
          <w:tcPr>
            <w:tcW w:w="540" w:type="dxa"/>
            <w:tcBorders>
              <w:top w:val="nil"/>
              <w:left w:val="nil"/>
              <w:bottom w:val="nil"/>
              <w:right w:val="nil"/>
            </w:tcBorders>
            <w:noWrap/>
            <w:vAlign w:val="center"/>
            <w:hideMark/>
          </w:tcPr>
          <w:p w14:paraId="388AB032" w14:textId="77777777" w:rsidR="000B67E4" w:rsidRPr="000973D7" w:rsidRDefault="000B67E4" w:rsidP="00C75126">
            <w:pPr>
              <w:jc w:val="center"/>
              <w:rPr>
                <w:rFonts w:ascii="Arial" w:hAnsi="Arial" w:cs="Arial"/>
                <w:color w:val="000000"/>
              </w:rPr>
            </w:pPr>
            <w:r w:rsidRPr="000973D7">
              <w:rPr>
                <w:rFonts w:ascii="Arial" w:hAnsi="Arial" w:cs="Arial"/>
                <w:color w:val="000000"/>
              </w:rPr>
              <w:t>3</w:t>
            </w:r>
          </w:p>
        </w:tc>
        <w:tc>
          <w:tcPr>
            <w:tcW w:w="2880" w:type="dxa"/>
            <w:tcBorders>
              <w:top w:val="nil"/>
              <w:left w:val="nil"/>
              <w:bottom w:val="nil"/>
              <w:right w:val="nil"/>
            </w:tcBorders>
            <w:noWrap/>
            <w:hideMark/>
          </w:tcPr>
          <w:p w14:paraId="3B96302D" w14:textId="03C9A6B2" w:rsidR="000B67E4" w:rsidRPr="000973D7" w:rsidRDefault="000B67E4" w:rsidP="00C75126">
            <w:pPr>
              <w:rPr>
                <w:rFonts w:ascii="Arial" w:hAnsi="Arial" w:cs="Arial"/>
                <w:color w:val="000000"/>
              </w:rPr>
            </w:pPr>
            <w:r w:rsidRPr="000973D7">
              <w:rPr>
                <w:rFonts w:ascii="Arial" w:hAnsi="Arial" w:cs="Arial"/>
              </w:rPr>
              <w:t xml:space="preserve">Number of </w:t>
            </w:r>
            <w:r w:rsidR="003A0190">
              <w:rPr>
                <w:rFonts w:ascii="Arial" w:hAnsi="Arial" w:cs="Arial"/>
              </w:rPr>
              <w:t>Tillers</w:t>
            </w:r>
            <w:r w:rsidRPr="000973D7">
              <w:rPr>
                <w:rFonts w:ascii="Arial" w:hAnsi="Arial" w:cs="Arial"/>
              </w:rPr>
              <w:t xml:space="preserve"> per Clump </w:t>
            </w:r>
          </w:p>
        </w:tc>
        <w:tc>
          <w:tcPr>
            <w:tcW w:w="1469" w:type="dxa"/>
            <w:tcBorders>
              <w:top w:val="nil"/>
              <w:left w:val="nil"/>
              <w:bottom w:val="nil"/>
              <w:right w:val="nil"/>
            </w:tcBorders>
            <w:noWrap/>
            <w:vAlign w:val="center"/>
            <w:hideMark/>
          </w:tcPr>
          <w:p w14:paraId="0BC3092A"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2,06</m:t>
                    </m:r>
                  </m:e>
                  <m:sup>
                    <m:r>
                      <w:rPr>
                        <w:rFonts w:ascii="Cambria Math" w:hAnsi="Cambria Math" w:cs="Arial"/>
                        <w:color w:val="000000"/>
                      </w:rPr>
                      <m:t>ns</m:t>
                    </m:r>
                  </m:sup>
                </m:sSup>
              </m:oMath>
            </m:oMathPara>
          </w:p>
        </w:tc>
        <w:tc>
          <w:tcPr>
            <w:tcW w:w="1263" w:type="dxa"/>
            <w:tcBorders>
              <w:top w:val="nil"/>
              <w:left w:val="nil"/>
              <w:bottom w:val="nil"/>
              <w:right w:val="nil"/>
            </w:tcBorders>
            <w:noWrap/>
            <w:vAlign w:val="center"/>
            <w:hideMark/>
          </w:tcPr>
          <w:p w14:paraId="5443496D"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1,20</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3464CB24"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25,75</m:t>
                </m:r>
              </m:oMath>
            </m:oMathPara>
          </w:p>
        </w:tc>
      </w:tr>
      <w:tr w:rsidR="000B67E4" w:rsidRPr="000973D7" w14:paraId="396F364B" w14:textId="77777777" w:rsidTr="002C7F3A">
        <w:trPr>
          <w:trHeight w:val="80"/>
          <w:jc w:val="center"/>
        </w:trPr>
        <w:tc>
          <w:tcPr>
            <w:tcW w:w="540" w:type="dxa"/>
            <w:tcBorders>
              <w:top w:val="nil"/>
              <w:left w:val="nil"/>
              <w:bottom w:val="nil"/>
              <w:right w:val="nil"/>
            </w:tcBorders>
            <w:noWrap/>
            <w:vAlign w:val="center"/>
            <w:hideMark/>
          </w:tcPr>
          <w:p w14:paraId="27043DAF" w14:textId="77777777" w:rsidR="000B67E4" w:rsidRPr="000973D7" w:rsidRDefault="000B67E4" w:rsidP="00C75126">
            <w:pPr>
              <w:jc w:val="center"/>
              <w:rPr>
                <w:rFonts w:ascii="Arial" w:hAnsi="Arial" w:cs="Arial"/>
                <w:color w:val="000000"/>
              </w:rPr>
            </w:pPr>
            <w:r w:rsidRPr="000973D7">
              <w:rPr>
                <w:rFonts w:ascii="Arial" w:hAnsi="Arial" w:cs="Arial"/>
                <w:color w:val="000000"/>
              </w:rPr>
              <w:t>4</w:t>
            </w:r>
          </w:p>
        </w:tc>
        <w:tc>
          <w:tcPr>
            <w:tcW w:w="2880" w:type="dxa"/>
            <w:tcBorders>
              <w:top w:val="nil"/>
              <w:left w:val="nil"/>
              <w:bottom w:val="nil"/>
              <w:right w:val="nil"/>
            </w:tcBorders>
            <w:noWrap/>
            <w:hideMark/>
          </w:tcPr>
          <w:p w14:paraId="68BF2F39" w14:textId="77777777" w:rsidR="000B67E4" w:rsidRPr="000973D7" w:rsidRDefault="000B67E4" w:rsidP="00C75126">
            <w:pPr>
              <w:rPr>
                <w:rFonts w:ascii="Arial" w:hAnsi="Arial" w:cs="Arial"/>
                <w:color w:val="000000"/>
              </w:rPr>
            </w:pPr>
            <w:r w:rsidRPr="000973D7">
              <w:rPr>
                <w:rFonts w:ascii="Arial" w:hAnsi="Arial" w:cs="Arial"/>
              </w:rPr>
              <w:t xml:space="preserve">Number of Tubers per Clump </w:t>
            </w:r>
          </w:p>
        </w:tc>
        <w:tc>
          <w:tcPr>
            <w:tcW w:w="1469" w:type="dxa"/>
            <w:tcBorders>
              <w:top w:val="nil"/>
              <w:left w:val="nil"/>
              <w:bottom w:val="nil"/>
              <w:right w:val="nil"/>
            </w:tcBorders>
            <w:noWrap/>
            <w:vAlign w:val="center"/>
            <w:hideMark/>
          </w:tcPr>
          <w:p w14:paraId="098396F2"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2,06</m:t>
                    </m:r>
                  </m:e>
                  <m:sup>
                    <m:r>
                      <w:rPr>
                        <w:rFonts w:ascii="Cambria Math" w:hAnsi="Cambria Math" w:cs="Arial"/>
                        <w:color w:val="000000"/>
                      </w:rPr>
                      <m:t>ns</m:t>
                    </m:r>
                  </m:sup>
                </m:sSup>
              </m:oMath>
            </m:oMathPara>
          </w:p>
        </w:tc>
        <w:tc>
          <w:tcPr>
            <w:tcW w:w="1263" w:type="dxa"/>
            <w:tcBorders>
              <w:top w:val="nil"/>
              <w:left w:val="nil"/>
              <w:bottom w:val="nil"/>
              <w:right w:val="nil"/>
            </w:tcBorders>
            <w:noWrap/>
            <w:vAlign w:val="center"/>
            <w:hideMark/>
          </w:tcPr>
          <w:p w14:paraId="18427159"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1,20</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480315FC"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25,75</m:t>
                </m:r>
              </m:oMath>
            </m:oMathPara>
          </w:p>
        </w:tc>
      </w:tr>
      <w:tr w:rsidR="000B67E4" w:rsidRPr="000973D7" w14:paraId="0E5ACF70" w14:textId="77777777" w:rsidTr="002C7F3A">
        <w:trPr>
          <w:trHeight w:val="195"/>
          <w:jc w:val="center"/>
        </w:trPr>
        <w:tc>
          <w:tcPr>
            <w:tcW w:w="540" w:type="dxa"/>
            <w:tcBorders>
              <w:top w:val="nil"/>
              <w:left w:val="nil"/>
              <w:bottom w:val="nil"/>
              <w:right w:val="nil"/>
            </w:tcBorders>
            <w:noWrap/>
            <w:vAlign w:val="center"/>
            <w:hideMark/>
          </w:tcPr>
          <w:p w14:paraId="7A82BB9A" w14:textId="77777777" w:rsidR="000B67E4" w:rsidRPr="000973D7" w:rsidRDefault="000B67E4" w:rsidP="00C75126">
            <w:pPr>
              <w:jc w:val="center"/>
              <w:rPr>
                <w:rFonts w:ascii="Arial" w:hAnsi="Arial" w:cs="Arial"/>
                <w:color w:val="000000"/>
              </w:rPr>
            </w:pPr>
            <w:r w:rsidRPr="000973D7">
              <w:rPr>
                <w:rFonts w:ascii="Arial" w:hAnsi="Arial" w:cs="Arial"/>
                <w:color w:val="000000"/>
              </w:rPr>
              <w:t>5</w:t>
            </w:r>
          </w:p>
        </w:tc>
        <w:tc>
          <w:tcPr>
            <w:tcW w:w="2880" w:type="dxa"/>
            <w:tcBorders>
              <w:top w:val="nil"/>
              <w:left w:val="nil"/>
              <w:bottom w:val="nil"/>
              <w:right w:val="nil"/>
            </w:tcBorders>
            <w:noWrap/>
            <w:hideMark/>
          </w:tcPr>
          <w:p w14:paraId="0463F36B" w14:textId="77777777" w:rsidR="000B67E4" w:rsidRPr="000973D7" w:rsidRDefault="000B67E4" w:rsidP="00C75126">
            <w:pPr>
              <w:rPr>
                <w:rFonts w:ascii="Arial" w:hAnsi="Arial" w:cs="Arial"/>
                <w:color w:val="000000"/>
              </w:rPr>
            </w:pPr>
            <w:r w:rsidRPr="000973D7">
              <w:rPr>
                <w:rFonts w:ascii="Arial" w:hAnsi="Arial" w:cs="Arial"/>
              </w:rPr>
              <w:t>Fresh Weight of Tubers per Clump</w:t>
            </w:r>
          </w:p>
        </w:tc>
        <w:tc>
          <w:tcPr>
            <w:tcW w:w="1469" w:type="dxa"/>
            <w:tcBorders>
              <w:top w:val="nil"/>
              <w:left w:val="nil"/>
              <w:bottom w:val="nil"/>
              <w:right w:val="nil"/>
            </w:tcBorders>
            <w:noWrap/>
            <w:vAlign w:val="center"/>
            <w:hideMark/>
          </w:tcPr>
          <w:p w14:paraId="097DF5B7"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2,80</m:t>
                    </m:r>
                  </m:e>
                  <m:sup>
                    <m:r>
                      <w:rPr>
                        <w:rFonts w:ascii="Cambria Math" w:hAnsi="Cambria Math" w:cs="Arial"/>
                        <w:color w:val="000000"/>
                      </w:rPr>
                      <m:t>ns</m:t>
                    </m:r>
                  </m:sup>
                </m:sSup>
              </m:oMath>
            </m:oMathPara>
          </w:p>
        </w:tc>
        <w:tc>
          <w:tcPr>
            <w:tcW w:w="1263" w:type="dxa"/>
            <w:tcBorders>
              <w:top w:val="nil"/>
              <w:left w:val="nil"/>
              <w:bottom w:val="nil"/>
              <w:right w:val="nil"/>
            </w:tcBorders>
            <w:noWrap/>
            <w:vAlign w:val="center"/>
            <w:hideMark/>
          </w:tcPr>
          <w:p w14:paraId="4048168B"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1,28</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28959AA7"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vertAlign w:val="superscript"/>
                      </w:rPr>
                    </m:ctrlPr>
                  </m:sSupPr>
                  <m:e>
                    <m:r>
                      <w:rPr>
                        <w:rFonts w:ascii="Cambria Math" w:hAnsi="Cambria Math" w:cs="Arial"/>
                        <w:color w:val="000000"/>
                        <w:vertAlign w:val="superscript"/>
                      </w:rPr>
                      <m:t>12,58</m:t>
                    </m:r>
                  </m:e>
                  <m:sup>
                    <m:r>
                      <w:rPr>
                        <w:rFonts w:ascii="Cambria Math" w:hAnsi="Cambria Math" w:cs="Arial"/>
                        <w:color w:val="000000"/>
                        <w:vertAlign w:val="superscript"/>
                      </w:rPr>
                      <m:t>T</m:t>
                    </m:r>
                  </m:sup>
                </m:sSup>
              </m:oMath>
            </m:oMathPara>
          </w:p>
        </w:tc>
      </w:tr>
      <w:tr w:rsidR="000B67E4" w:rsidRPr="000973D7" w14:paraId="1CF2709C" w14:textId="77777777" w:rsidTr="002C7F3A">
        <w:trPr>
          <w:trHeight w:val="195"/>
          <w:jc w:val="center"/>
        </w:trPr>
        <w:tc>
          <w:tcPr>
            <w:tcW w:w="540" w:type="dxa"/>
            <w:tcBorders>
              <w:top w:val="nil"/>
              <w:left w:val="nil"/>
              <w:bottom w:val="nil"/>
              <w:right w:val="nil"/>
            </w:tcBorders>
            <w:noWrap/>
            <w:vAlign w:val="center"/>
            <w:hideMark/>
          </w:tcPr>
          <w:p w14:paraId="4CD4BC33" w14:textId="77777777" w:rsidR="000B67E4" w:rsidRPr="000973D7" w:rsidRDefault="000B67E4" w:rsidP="00C75126">
            <w:pPr>
              <w:jc w:val="center"/>
              <w:rPr>
                <w:rFonts w:ascii="Arial" w:hAnsi="Arial" w:cs="Arial"/>
                <w:color w:val="000000"/>
              </w:rPr>
            </w:pPr>
            <w:r w:rsidRPr="000973D7">
              <w:rPr>
                <w:rFonts w:ascii="Arial" w:hAnsi="Arial" w:cs="Arial"/>
                <w:color w:val="000000"/>
              </w:rPr>
              <w:t>6</w:t>
            </w:r>
          </w:p>
        </w:tc>
        <w:tc>
          <w:tcPr>
            <w:tcW w:w="2880" w:type="dxa"/>
            <w:tcBorders>
              <w:top w:val="nil"/>
              <w:left w:val="nil"/>
              <w:bottom w:val="nil"/>
              <w:right w:val="nil"/>
            </w:tcBorders>
            <w:noWrap/>
            <w:hideMark/>
          </w:tcPr>
          <w:p w14:paraId="1844D96E" w14:textId="77777777" w:rsidR="000B67E4" w:rsidRPr="000973D7" w:rsidRDefault="000B67E4" w:rsidP="00C75126">
            <w:pPr>
              <w:rPr>
                <w:rFonts w:ascii="Arial" w:hAnsi="Arial" w:cs="Arial"/>
                <w:color w:val="000000"/>
              </w:rPr>
            </w:pPr>
            <w:r w:rsidRPr="000973D7">
              <w:rPr>
                <w:rFonts w:ascii="Arial" w:hAnsi="Arial" w:cs="Arial"/>
              </w:rPr>
              <w:t>Dry Weight of Tubers per Clump</w:t>
            </w:r>
          </w:p>
        </w:tc>
        <w:tc>
          <w:tcPr>
            <w:tcW w:w="1469" w:type="dxa"/>
            <w:tcBorders>
              <w:top w:val="nil"/>
              <w:left w:val="nil"/>
              <w:bottom w:val="nil"/>
              <w:right w:val="nil"/>
            </w:tcBorders>
            <w:noWrap/>
            <w:vAlign w:val="center"/>
            <w:hideMark/>
          </w:tcPr>
          <w:p w14:paraId="24560FD4"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2,50</m:t>
                    </m:r>
                  </m:e>
                  <m:sup>
                    <m:r>
                      <w:rPr>
                        <w:rFonts w:ascii="Cambria Math" w:hAnsi="Cambria Math" w:cs="Arial"/>
                        <w:color w:val="000000"/>
                      </w:rPr>
                      <m:t>ns</m:t>
                    </m:r>
                  </m:sup>
                </m:sSup>
              </m:oMath>
            </m:oMathPara>
          </w:p>
        </w:tc>
        <w:tc>
          <w:tcPr>
            <w:tcW w:w="1263" w:type="dxa"/>
            <w:tcBorders>
              <w:top w:val="nil"/>
              <w:left w:val="nil"/>
              <w:bottom w:val="nil"/>
              <w:right w:val="nil"/>
            </w:tcBorders>
            <w:noWrap/>
            <w:vAlign w:val="center"/>
            <w:hideMark/>
          </w:tcPr>
          <w:p w14:paraId="14A9FAB4"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1,06</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58039831"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vertAlign w:val="superscript"/>
                      </w:rPr>
                    </m:ctrlPr>
                  </m:sSupPr>
                  <m:e>
                    <m:r>
                      <w:rPr>
                        <w:rFonts w:ascii="Cambria Math" w:hAnsi="Cambria Math" w:cs="Arial"/>
                        <w:color w:val="000000"/>
                        <w:vertAlign w:val="superscript"/>
                      </w:rPr>
                      <m:t>14,06</m:t>
                    </m:r>
                  </m:e>
                  <m:sup>
                    <m:r>
                      <w:rPr>
                        <w:rFonts w:ascii="Cambria Math" w:hAnsi="Cambria Math" w:cs="Arial"/>
                        <w:color w:val="000000"/>
                        <w:vertAlign w:val="superscript"/>
                      </w:rPr>
                      <m:t>T</m:t>
                    </m:r>
                  </m:sup>
                </m:sSup>
              </m:oMath>
            </m:oMathPara>
          </w:p>
        </w:tc>
      </w:tr>
      <w:tr w:rsidR="000B67E4" w:rsidRPr="000973D7" w14:paraId="3E1267A0" w14:textId="77777777" w:rsidTr="002C7F3A">
        <w:trPr>
          <w:trHeight w:val="195"/>
          <w:jc w:val="center"/>
        </w:trPr>
        <w:tc>
          <w:tcPr>
            <w:tcW w:w="540" w:type="dxa"/>
            <w:tcBorders>
              <w:top w:val="nil"/>
              <w:left w:val="nil"/>
              <w:bottom w:val="nil"/>
              <w:right w:val="nil"/>
            </w:tcBorders>
            <w:noWrap/>
            <w:vAlign w:val="center"/>
            <w:hideMark/>
          </w:tcPr>
          <w:p w14:paraId="1BD6DE3A" w14:textId="77777777" w:rsidR="000B67E4" w:rsidRPr="000973D7" w:rsidRDefault="000B67E4" w:rsidP="00C75126">
            <w:pPr>
              <w:jc w:val="center"/>
              <w:rPr>
                <w:rFonts w:ascii="Arial" w:hAnsi="Arial" w:cs="Arial"/>
                <w:color w:val="000000"/>
              </w:rPr>
            </w:pPr>
            <w:r w:rsidRPr="000973D7">
              <w:rPr>
                <w:rFonts w:ascii="Arial" w:hAnsi="Arial" w:cs="Arial"/>
                <w:color w:val="000000"/>
              </w:rPr>
              <w:t>7</w:t>
            </w:r>
          </w:p>
        </w:tc>
        <w:tc>
          <w:tcPr>
            <w:tcW w:w="2880" w:type="dxa"/>
            <w:tcBorders>
              <w:top w:val="nil"/>
              <w:left w:val="nil"/>
              <w:bottom w:val="nil"/>
              <w:right w:val="nil"/>
            </w:tcBorders>
            <w:noWrap/>
            <w:hideMark/>
          </w:tcPr>
          <w:p w14:paraId="1D180A79" w14:textId="77777777" w:rsidR="000B67E4" w:rsidRPr="000973D7" w:rsidRDefault="000B67E4" w:rsidP="00C75126">
            <w:pPr>
              <w:rPr>
                <w:rFonts w:ascii="Arial" w:hAnsi="Arial" w:cs="Arial"/>
                <w:color w:val="000000"/>
              </w:rPr>
            </w:pPr>
            <w:r w:rsidRPr="000973D7">
              <w:rPr>
                <w:rFonts w:ascii="Arial" w:hAnsi="Arial" w:cs="Arial"/>
              </w:rPr>
              <w:t xml:space="preserve">Tuber Diameter </w:t>
            </w:r>
          </w:p>
        </w:tc>
        <w:tc>
          <w:tcPr>
            <w:tcW w:w="1469" w:type="dxa"/>
            <w:tcBorders>
              <w:top w:val="nil"/>
              <w:left w:val="nil"/>
              <w:bottom w:val="nil"/>
              <w:right w:val="nil"/>
            </w:tcBorders>
            <w:noWrap/>
            <w:vAlign w:val="center"/>
            <w:hideMark/>
          </w:tcPr>
          <w:p w14:paraId="3E568EA9"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1,57</m:t>
                    </m:r>
                  </m:e>
                  <m:sup>
                    <m:r>
                      <w:rPr>
                        <w:rFonts w:ascii="Cambria Math" w:hAnsi="Cambria Math" w:cs="Arial"/>
                        <w:color w:val="000000"/>
                      </w:rPr>
                      <m:t>ns</m:t>
                    </m:r>
                  </m:sup>
                </m:sSup>
              </m:oMath>
            </m:oMathPara>
          </w:p>
        </w:tc>
        <w:tc>
          <w:tcPr>
            <w:tcW w:w="1263" w:type="dxa"/>
            <w:tcBorders>
              <w:top w:val="nil"/>
              <w:left w:val="nil"/>
              <w:bottom w:val="nil"/>
              <w:right w:val="nil"/>
            </w:tcBorders>
            <w:noWrap/>
            <w:vAlign w:val="center"/>
            <w:hideMark/>
          </w:tcPr>
          <w:p w14:paraId="19ABC6E8"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0,66</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6DFA8021"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16,08</m:t>
                </m:r>
              </m:oMath>
            </m:oMathPara>
          </w:p>
        </w:tc>
      </w:tr>
      <w:tr w:rsidR="000B67E4" w:rsidRPr="000973D7" w14:paraId="5E3BAF10" w14:textId="77777777" w:rsidTr="002C7F3A">
        <w:trPr>
          <w:trHeight w:val="195"/>
          <w:jc w:val="center"/>
        </w:trPr>
        <w:tc>
          <w:tcPr>
            <w:tcW w:w="540" w:type="dxa"/>
            <w:tcBorders>
              <w:top w:val="nil"/>
              <w:left w:val="nil"/>
              <w:bottom w:val="nil"/>
              <w:right w:val="nil"/>
            </w:tcBorders>
            <w:noWrap/>
            <w:vAlign w:val="center"/>
            <w:hideMark/>
          </w:tcPr>
          <w:p w14:paraId="631E45DB" w14:textId="77777777" w:rsidR="000B67E4" w:rsidRPr="000973D7" w:rsidRDefault="000B67E4" w:rsidP="00C75126">
            <w:pPr>
              <w:jc w:val="center"/>
              <w:rPr>
                <w:rFonts w:ascii="Arial" w:hAnsi="Arial" w:cs="Arial"/>
                <w:color w:val="000000"/>
              </w:rPr>
            </w:pPr>
            <w:r w:rsidRPr="000973D7">
              <w:rPr>
                <w:rFonts w:ascii="Arial" w:hAnsi="Arial" w:cs="Arial"/>
                <w:color w:val="000000"/>
              </w:rPr>
              <w:t>8</w:t>
            </w:r>
          </w:p>
        </w:tc>
        <w:tc>
          <w:tcPr>
            <w:tcW w:w="2880" w:type="dxa"/>
            <w:tcBorders>
              <w:top w:val="nil"/>
              <w:left w:val="nil"/>
              <w:bottom w:val="nil"/>
              <w:right w:val="nil"/>
            </w:tcBorders>
            <w:noWrap/>
            <w:hideMark/>
          </w:tcPr>
          <w:p w14:paraId="1B6ACF82" w14:textId="77777777" w:rsidR="000B67E4" w:rsidRPr="000973D7" w:rsidRDefault="000B67E4" w:rsidP="00C75126">
            <w:pPr>
              <w:rPr>
                <w:rFonts w:ascii="Arial" w:hAnsi="Arial" w:cs="Arial"/>
                <w:color w:val="000000"/>
              </w:rPr>
            </w:pPr>
            <w:r w:rsidRPr="000973D7">
              <w:rPr>
                <w:rFonts w:ascii="Arial" w:hAnsi="Arial" w:cs="Arial"/>
              </w:rPr>
              <w:t xml:space="preserve">Tuber Height </w:t>
            </w:r>
          </w:p>
        </w:tc>
        <w:tc>
          <w:tcPr>
            <w:tcW w:w="1469" w:type="dxa"/>
            <w:tcBorders>
              <w:top w:val="nil"/>
              <w:left w:val="nil"/>
              <w:bottom w:val="nil"/>
              <w:right w:val="nil"/>
            </w:tcBorders>
            <w:noWrap/>
            <w:vAlign w:val="center"/>
            <w:hideMark/>
          </w:tcPr>
          <w:p w14:paraId="6BA765BF"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6,00</m:t>
                    </m:r>
                  </m:e>
                  <m:sup>
                    <m:r>
                      <w:rPr>
                        <w:rFonts w:ascii="Cambria Math" w:hAnsi="Cambria Math" w:cs="Arial"/>
                        <w:color w:val="000000"/>
                      </w:rPr>
                      <m:t>*</m:t>
                    </m:r>
                  </m:sup>
                </m:sSup>
              </m:oMath>
            </m:oMathPara>
          </w:p>
        </w:tc>
        <w:tc>
          <w:tcPr>
            <w:tcW w:w="1263" w:type="dxa"/>
            <w:tcBorders>
              <w:top w:val="nil"/>
              <w:left w:val="nil"/>
              <w:bottom w:val="nil"/>
              <w:right w:val="nil"/>
            </w:tcBorders>
            <w:noWrap/>
            <w:vAlign w:val="center"/>
            <w:hideMark/>
          </w:tcPr>
          <w:p w14:paraId="0FF74115"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0,39</m:t>
                    </m:r>
                  </m:e>
                  <m:sup>
                    <m:r>
                      <w:rPr>
                        <w:rFonts w:ascii="Cambria Math" w:hAnsi="Cambria Math" w:cs="Arial"/>
                        <w:color w:val="000000"/>
                      </w:rPr>
                      <m:t>ns</m:t>
                    </m:r>
                  </m:sup>
                </m:sSup>
              </m:oMath>
            </m:oMathPara>
          </w:p>
        </w:tc>
        <w:tc>
          <w:tcPr>
            <w:tcW w:w="1768" w:type="dxa"/>
            <w:tcBorders>
              <w:top w:val="nil"/>
              <w:left w:val="nil"/>
              <w:bottom w:val="nil"/>
              <w:right w:val="nil"/>
            </w:tcBorders>
            <w:vAlign w:val="center"/>
          </w:tcPr>
          <w:p w14:paraId="1B887D4D" w14:textId="77777777" w:rsidR="000B67E4" w:rsidRPr="000973D7" w:rsidRDefault="000B67E4" w:rsidP="00C75126">
            <w:pPr>
              <w:jc w:val="center"/>
              <w:rPr>
                <w:rFonts w:ascii="Arial" w:hAnsi="Arial" w:cs="Arial"/>
                <w:color w:val="000000"/>
              </w:rPr>
            </w:pPr>
            <m:oMathPara>
              <m:oMath>
                <m:r>
                  <w:rPr>
                    <w:rFonts w:ascii="Cambria Math" w:hAnsi="Cambria Math" w:cs="Arial"/>
                    <w:color w:val="000000"/>
                  </w:rPr>
                  <m:t>8,80</m:t>
                </m:r>
              </m:oMath>
            </m:oMathPara>
          </w:p>
        </w:tc>
      </w:tr>
      <w:tr w:rsidR="000B67E4" w:rsidRPr="000973D7" w14:paraId="3EF50B3D" w14:textId="77777777" w:rsidTr="003A0190">
        <w:trPr>
          <w:trHeight w:val="163"/>
          <w:jc w:val="center"/>
        </w:trPr>
        <w:tc>
          <w:tcPr>
            <w:tcW w:w="540" w:type="dxa"/>
            <w:tcBorders>
              <w:top w:val="nil"/>
              <w:left w:val="nil"/>
              <w:right w:val="nil"/>
            </w:tcBorders>
            <w:noWrap/>
            <w:vAlign w:val="center"/>
            <w:hideMark/>
          </w:tcPr>
          <w:p w14:paraId="32B7EC94" w14:textId="77777777" w:rsidR="000B67E4" w:rsidRPr="000973D7" w:rsidRDefault="000B67E4" w:rsidP="00C75126">
            <w:pPr>
              <w:jc w:val="center"/>
              <w:rPr>
                <w:rFonts w:ascii="Arial" w:hAnsi="Arial" w:cs="Arial"/>
                <w:color w:val="000000"/>
              </w:rPr>
            </w:pPr>
            <w:r w:rsidRPr="000973D7">
              <w:rPr>
                <w:rFonts w:ascii="Arial" w:hAnsi="Arial" w:cs="Arial"/>
                <w:color w:val="000000"/>
              </w:rPr>
              <w:t>9</w:t>
            </w:r>
          </w:p>
        </w:tc>
        <w:tc>
          <w:tcPr>
            <w:tcW w:w="2880" w:type="dxa"/>
            <w:tcBorders>
              <w:top w:val="nil"/>
              <w:left w:val="nil"/>
              <w:right w:val="nil"/>
            </w:tcBorders>
            <w:noWrap/>
            <w:hideMark/>
          </w:tcPr>
          <w:p w14:paraId="54FBB598" w14:textId="77777777" w:rsidR="000B67E4" w:rsidRPr="000973D7" w:rsidRDefault="000B67E4" w:rsidP="00C75126">
            <w:pPr>
              <w:rPr>
                <w:rFonts w:ascii="Arial" w:hAnsi="Arial" w:cs="Arial"/>
                <w:color w:val="000000"/>
              </w:rPr>
            </w:pPr>
            <w:r w:rsidRPr="000973D7">
              <w:rPr>
                <w:rFonts w:ascii="Arial" w:hAnsi="Arial" w:cs="Arial"/>
              </w:rPr>
              <w:t xml:space="preserve">Tuber Yield per Plot </w:t>
            </w:r>
          </w:p>
        </w:tc>
        <w:tc>
          <w:tcPr>
            <w:tcW w:w="1469" w:type="dxa"/>
            <w:tcBorders>
              <w:top w:val="nil"/>
              <w:left w:val="nil"/>
              <w:right w:val="nil"/>
            </w:tcBorders>
            <w:noWrap/>
            <w:vAlign w:val="center"/>
            <w:hideMark/>
          </w:tcPr>
          <w:p w14:paraId="57725B2A"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3,61</m:t>
                    </m:r>
                  </m:e>
                  <m:sup>
                    <m:r>
                      <w:rPr>
                        <w:rFonts w:ascii="Cambria Math" w:hAnsi="Cambria Math" w:cs="Arial"/>
                        <w:color w:val="000000"/>
                      </w:rPr>
                      <m:t>*</m:t>
                    </m:r>
                  </m:sup>
                </m:sSup>
              </m:oMath>
            </m:oMathPara>
          </w:p>
        </w:tc>
        <w:tc>
          <w:tcPr>
            <w:tcW w:w="1263" w:type="dxa"/>
            <w:tcBorders>
              <w:top w:val="nil"/>
              <w:left w:val="nil"/>
              <w:right w:val="nil"/>
            </w:tcBorders>
            <w:noWrap/>
            <w:vAlign w:val="center"/>
            <w:hideMark/>
          </w:tcPr>
          <w:p w14:paraId="59203705"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rPr>
                    </m:ctrlPr>
                  </m:sSupPr>
                  <m:e>
                    <m:r>
                      <w:rPr>
                        <w:rFonts w:ascii="Cambria Math" w:hAnsi="Cambria Math" w:cs="Arial"/>
                        <w:color w:val="000000"/>
                      </w:rPr>
                      <m:t>1,33</m:t>
                    </m:r>
                  </m:e>
                  <m:sup>
                    <m:r>
                      <w:rPr>
                        <w:rFonts w:ascii="Cambria Math" w:hAnsi="Cambria Math" w:cs="Arial"/>
                        <w:color w:val="000000"/>
                      </w:rPr>
                      <m:t>ns</m:t>
                    </m:r>
                  </m:sup>
                </m:sSup>
              </m:oMath>
            </m:oMathPara>
          </w:p>
        </w:tc>
        <w:tc>
          <w:tcPr>
            <w:tcW w:w="1768" w:type="dxa"/>
            <w:tcBorders>
              <w:top w:val="nil"/>
              <w:left w:val="nil"/>
              <w:right w:val="nil"/>
            </w:tcBorders>
            <w:vAlign w:val="center"/>
          </w:tcPr>
          <w:p w14:paraId="43EB8FB6" w14:textId="77777777" w:rsidR="000B67E4" w:rsidRPr="000973D7" w:rsidRDefault="009317B7" w:rsidP="00C75126">
            <w:pPr>
              <w:jc w:val="center"/>
              <w:rPr>
                <w:rFonts w:ascii="Arial" w:hAnsi="Arial" w:cs="Arial"/>
                <w:color w:val="000000"/>
              </w:rPr>
            </w:pPr>
            <m:oMathPara>
              <m:oMath>
                <m:sSup>
                  <m:sSupPr>
                    <m:ctrlPr>
                      <w:rPr>
                        <w:rFonts w:ascii="Cambria Math" w:hAnsi="Cambria Math" w:cs="Arial"/>
                        <w:i/>
                        <w:color w:val="000000"/>
                        <w:vertAlign w:val="superscript"/>
                      </w:rPr>
                    </m:ctrlPr>
                  </m:sSupPr>
                  <m:e>
                    <m:r>
                      <w:rPr>
                        <w:rFonts w:ascii="Cambria Math" w:hAnsi="Cambria Math" w:cs="Arial"/>
                        <w:color w:val="000000"/>
                        <w:vertAlign w:val="superscript"/>
                      </w:rPr>
                      <m:t>10,11</m:t>
                    </m:r>
                  </m:e>
                  <m:sup>
                    <m:r>
                      <w:rPr>
                        <w:rFonts w:ascii="Cambria Math" w:hAnsi="Cambria Math" w:cs="Arial"/>
                        <w:color w:val="000000"/>
                        <w:vertAlign w:val="superscript"/>
                      </w:rPr>
                      <m:t>T</m:t>
                    </m:r>
                  </m:sup>
                </m:sSup>
              </m:oMath>
            </m:oMathPara>
          </w:p>
        </w:tc>
      </w:tr>
      <w:tr w:rsidR="000B67E4" w:rsidRPr="000973D7" w14:paraId="0118A244" w14:textId="77777777" w:rsidTr="003A0190">
        <w:trPr>
          <w:trHeight w:val="209"/>
          <w:jc w:val="center"/>
        </w:trPr>
        <w:tc>
          <w:tcPr>
            <w:tcW w:w="540" w:type="dxa"/>
            <w:tcBorders>
              <w:top w:val="nil"/>
              <w:left w:val="nil"/>
              <w:right w:val="nil"/>
            </w:tcBorders>
            <w:noWrap/>
            <w:vAlign w:val="center"/>
          </w:tcPr>
          <w:p w14:paraId="59BCFFFF" w14:textId="77777777" w:rsidR="000B67E4" w:rsidRPr="000973D7" w:rsidRDefault="000B67E4" w:rsidP="00C75126">
            <w:pPr>
              <w:jc w:val="center"/>
              <w:rPr>
                <w:rFonts w:ascii="Arial" w:hAnsi="Arial" w:cs="Arial"/>
                <w:color w:val="000000"/>
              </w:rPr>
            </w:pPr>
            <w:r w:rsidRPr="000973D7">
              <w:rPr>
                <w:rFonts w:ascii="Arial" w:hAnsi="Arial" w:cs="Arial"/>
                <w:color w:val="000000"/>
              </w:rPr>
              <w:t>10</w:t>
            </w:r>
          </w:p>
        </w:tc>
        <w:tc>
          <w:tcPr>
            <w:tcW w:w="2880" w:type="dxa"/>
            <w:tcBorders>
              <w:top w:val="nil"/>
              <w:left w:val="nil"/>
              <w:right w:val="nil"/>
            </w:tcBorders>
            <w:noWrap/>
          </w:tcPr>
          <w:p w14:paraId="42B5B580" w14:textId="77777777" w:rsidR="000B67E4" w:rsidRPr="000973D7" w:rsidRDefault="000B67E4" w:rsidP="00C75126">
            <w:pPr>
              <w:rPr>
                <w:rFonts w:ascii="Arial" w:hAnsi="Arial" w:cs="Arial"/>
                <w:color w:val="000000"/>
              </w:rPr>
            </w:pPr>
            <w:r w:rsidRPr="000973D7">
              <w:rPr>
                <w:rFonts w:ascii="Arial" w:hAnsi="Arial" w:cs="Arial"/>
              </w:rPr>
              <w:t>Harvest Age</w:t>
            </w:r>
          </w:p>
        </w:tc>
        <w:tc>
          <w:tcPr>
            <w:tcW w:w="1469" w:type="dxa"/>
            <w:tcBorders>
              <w:top w:val="nil"/>
              <w:left w:val="nil"/>
              <w:right w:val="nil"/>
            </w:tcBorders>
            <w:noWrap/>
            <w:vAlign w:val="center"/>
          </w:tcPr>
          <w:p w14:paraId="5000BD80" w14:textId="77777777" w:rsidR="000B67E4" w:rsidRPr="000973D7" w:rsidRDefault="000B67E4" w:rsidP="00C75126">
            <w:pPr>
              <w:jc w:val="center"/>
              <w:rPr>
                <w:rFonts w:ascii="Arial" w:hAnsi="Arial" w:cs="Arial"/>
                <w:color w:val="000000"/>
              </w:rPr>
            </w:pPr>
            <w:r w:rsidRPr="000973D7">
              <w:rPr>
                <w:rFonts w:ascii="Arial" w:hAnsi="Arial" w:cs="Arial"/>
                <w:color w:val="000000"/>
              </w:rPr>
              <w:t>-</w:t>
            </w:r>
          </w:p>
        </w:tc>
        <w:tc>
          <w:tcPr>
            <w:tcW w:w="1263" w:type="dxa"/>
            <w:tcBorders>
              <w:top w:val="nil"/>
              <w:left w:val="nil"/>
              <w:right w:val="nil"/>
            </w:tcBorders>
            <w:noWrap/>
            <w:vAlign w:val="center"/>
          </w:tcPr>
          <w:p w14:paraId="4772B4B6" w14:textId="77777777" w:rsidR="000B67E4" w:rsidRPr="000973D7" w:rsidRDefault="000B67E4" w:rsidP="00C75126">
            <w:pPr>
              <w:jc w:val="center"/>
              <w:rPr>
                <w:rFonts w:ascii="Arial" w:hAnsi="Arial" w:cs="Arial"/>
                <w:color w:val="000000"/>
              </w:rPr>
            </w:pPr>
            <w:r w:rsidRPr="000973D7">
              <w:rPr>
                <w:rFonts w:ascii="Arial" w:hAnsi="Arial" w:cs="Arial"/>
                <w:color w:val="000000"/>
              </w:rPr>
              <w:t>-</w:t>
            </w:r>
          </w:p>
        </w:tc>
        <w:tc>
          <w:tcPr>
            <w:tcW w:w="1768" w:type="dxa"/>
            <w:tcBorders>
              <w:top w:val="nil"/>
              <w:left w:val="nil"/>
              <w:right w:val="nil"/>
            </w:tcBorders>
            <w:vAlign w:val="center"/>
          </w:tcPr>
          <w:p w14:paraId="168B8276" w14:textId="77777777" w:rsidR="000B67E4" w:rsidRPr="000973D7" w:rsidRDefault="000B67E4" w:rsidP="00C75126">
            <w:pPr>
              <w:jc w:val="center"/>
              <w:rPr>
                <w:rFonts w:ascii="Arial" w:hAnsi="Arial" w:cs="Arial"/>
                <w:color w:val="000000"/>
                <w:vertAlign w:val="superscript"/>
              </w:rPr>
            </w:pPr>
            <w:r w:rsidRPr="000973D7">
              <w:rPr>
                <w:rFonts w:ascii="Arial" w:hAnsi="Arial" w:cs="Arial"/>
                <w:color w:val="000000"/>
                <w:vertAlign w:val="superscript"/>
              </w:rPr>
              <w:t>-</w:t>
            </w:r>
          </w:p>
        </w:tc>
      </w:tr>
      <w:tr w:rsidR="000B67E4" w:rsidRPr="000973D7" w14:paraId="0CC66531" w14:textId="77777777" w:rsidTr="002C7F3A">
        <w:trPr>
          <w:trHeight w:val="353"/>
          <w:jc w:val="center"/>
        </w:trPr>
        <w:tc>
          <w:tcPr>
            <w:tcW w:w="540" w:type="dxa"/>
            <w:tcBorders>
              <w:left w:val="nil"/>
              <w:bottom w:val="single" w:sz="4" w:space="0" w:color="auto"/>
              <w:right w:val="nil"/>
            </w:tcBorders>
            <w:noWrap/>
            <w:vAlign w:val="center"/>
          </w:tcPr>
          <w:p w14:paraId="2915C36D" w14:textId="77777777" w:rsidR="000B67E4" w:rsidRPr="000973D7" w:rsidRDefault="000B67E4" w:rsidP="00C75126">
            <w:pPr>
              <w:jc w:val="center"/>
              <w:rPr>
                <w:rFonts w:ascii="Arial" w:hAnsi="Arial" w:cs="Arial"/>
                <w:color w:val="000000"/>
              </w:rPr>
            </w:pPr>
            <w:r w:rsidRPr="000973D7">
              <w:rPr>
                <w:rFonts w:ascii="Arial" w:hAnsi="Arial" w:cs="Arial"/>
                <w:color w:val="000000"/>
              </w:rPr>
              <w:t>11</w:t>
            </w:r>
          </w:p>
        </w:tc>
        <w:tc>
          <w:tcPr>
            <w:tcW w:w="2880" w:type="dxa"/>
            <w:tcBorders>
              <w:left w:val="nil"/>
              <w:bottom w:val="single" w:sz="4" w:space="0" w:color="auto"/>
              <w:right w:val="nil"/>
            </w:tcBorders>
            <w:noWrap/>
          </w:tcPr>
          <w:p w14:paraId="42F6F355" w14:textId="77777777" w:rsidR="000B67E4" w:rsidRPr="000973D7" w:rsidRDefault="000B67E4" w:rsidP="00C75126">
            <w:pPr>
              <w:rPr>
                <w:rFonts w:ascii="Arial" w:hAnsi="Arial" w:cs="Arial"/>
                <w:color w:val="000000"/>
              </w:rPr>
            </w:pPr>
            <w:r w:rsidRPr="000973D7">
              <w:rPr>
                <w:rFonts w:ascii="Arial" w:hAnsi="Arial" w:cs="Arial"/>
              </w:rPr>
              <w:t>Percentage of Plants that Grow</w:t>
            </w:r>
          </w:p>
        </w:tc>
        <w:tc>
          <w:tcPr>
            <w:tcW w:w="1469" w:type="dxa"/>
            <w:tcBorders>
              <w:left w:val="nil"/>
              <w:bottom w:val="single" w:sz="4" w:space="0" w:color="auto"/>
              <w:right w:val="nil"/>
            </w:tcBorders>
            <w:noWrap/>
            <w:vAlign w:val="center"/>
          </w:tcPr>
          <w:p w14:paraId="16E1D4D7" w14:textId="77777777" w:rsidR="000B67E4" w:rsidRPr="000973D7" w:rsidRDefault="000B67E4" w:rsidP="00C75126">
            <w:pPr>
              <w:jc w:val="center"/>
              <w:rPr>
                <w:rFonts w:ascii="Arial" w:hAnsi="Arial" w:cs="Arial"/>
                <w:color w:val="000000"/>
              </w:rPr>
            </w:pPr>
            <w:r w:rsidRPr="000973D7">
              <w:rPr>
                <w:rFonts w:ascii="Arial" w:hAnsi="Arial" w:cs="Arial"/>
                <w:color w:val="000000"/>
              </w:rPr>
              <w:t>-</w:t>
            </w:r>
          </w:p>
        </w:tc>
        <w:tc>
          <w:tcPr>
            <w:tcW w:w="1263" w:type="dxa"/>
            <w:tcBorders>
              <w:left w:val="nil"/>
              <w:bottom w:val="single" w:sz="4" w:space="0" w:color="auto"/>
              <w:right w:val="nil"/>
            </w:tcBorders>
            <w:noWrap/>
            <w:vAlign w:val="center"/>
          </w:tcPr>
          <w:p w14:paraId="70AF0CE0" w14:textId="77777777" w:rsidR="000B67E4" w:rsidRPr="000973D7" w:rsidRDefault="000B67E4" w:rsidP="00C75126">
            <w:pPr>
              <w:jc w:val="center"/>
              <w:rPr>
                <w:rFonts w:ascii="Arial" w:hAnsi="Arial" w:cs="Arial"/>
                <w:color w:val="000000"/>
              </w:rPr>
            </w:pPr>
            <w:r w:rsidRPr="000973D7">
              <w:rPr>
                <w:rFonts w:ascii="Arial" w:hAnsi="Arial" w:cs="Arial"/>
                <w:color w:val="000000"/>
              </w:rPr>
              <w:t>-</w:t>
            </w:r>
          </w:p>
        </w:tc>
        <w:tc>
          <w:tcPr>
            <w:tcW w:w="1768" w:type="dxa"/>
            <w:tcBorders>
              <w:left w:val="nil"/>
              <w:bottom w:val="single" w:sz="4" w:space="0" w:color="auto"/>
              <w:right w:val="nil"/>
            </w:tcBorders>
            <w:vAlign w:val="center"/>
          </w:tcPr>
          <w:p w14:paraId="068DE63D" w14:textId="77777777" w:rsidR="000B67E4" w:rsidRPr="000973D7" w:rsidRDefault="000B67E4" w:rsidP="00C75126">
            <w:pPr>
              <w:jc w:val="center"/>
              <w:rPr>
                <w:rFonts w:ascii="Arial" w:hAnsi="Arial" w:cs="Arial"/>
                <w:color w:val="000000"/>
                <w:vertAlign w:val="superscript"/>
              </w:rPr>
            </w:pPr>
            <w:r w:rsidRPr="000973D7">
              <w:rPr>
                <w:rFonts w:ascii="Arial" w:hAnsi="Arial" w:cs="Arial"/>
                <w:color w:val="000000"/>
              </w:rPr>
              <w:t>-</w:t>
            </w:r>
          </w:p>
        </w:tc>
      </w:tr>
      <w:tr w:rsidR="000B67E4" w:rsidRPr="000973D7" w14:paraId="6CFCC41B" w14:textId="77777777" w:rsidTr="002C7F3A">
        <w:trPr>
          <w:trHeight w:val="353"/>
          <w:jc w:val="center"/>
        </w:trPr>
        <w:tc>
          <w:tcPr>
            <w:tcW w:w="540" w:type="dxa"/>
            <w:tcBorders>
              <w:top w:val="single" w:sz="4" w:space="0" w:color="auto"/>
              <w:left w:val="nil"/>
              <w:bottom w:val="single" w:sz="4" w:space="0" w:color="auto"/>
              <w:right w:val="nil"/>
            </w:tcBorders>
            <w:noWrap/>
            <w:hideMark/>
          </w:tcPr>
          <w:p w14:paraId="3224B0AA" w14:textId="77777777" w:rsidR="000B67E4" w:rsidRPr="000973D7" w:rsidRDefault="000B67E4" w:rsidP="00C75126">
            <w:pPr>
              <w:rPr>
                <w:rFonts w:ascii="Arial" w:hAnsi="Arial" w:cs="Arial"/>
                <w:color w:val="000000"/>
              </w:rPr>
            </w:pPr>
          </w:p>
        </w:tc>
        <w:tc>
          <w:tcPr>
            <w:tcW w:w="2880" w:type="dxa"/>
            <w:tcBorders>
              <w:top w:val="single" w:sz="4" w:space="0" w:color="auto"/>
              <w:left w:val="nil"/>
              <w:bottom w:val="single" w:sz="4" w:space="0" w:color="auto"/>
              <w:right w:val="nil"/>
            </w:tcBorders>
            <w:noWrap/>
            <w:hideMark/>
          </w:tcPr>
          <w:p w14:paraId="449A3583" w14:textId="77777777" w:rsidR="000B67E4" w:rsidRPr="000973D7" w:rsidRDefault="009317B7" w:rsidP="00C75126">
            <w:pPr>
              <w:rPr>
                <w:rFonts w:ascii="Arial" w:hAnsi="Arial" w:cs="Arial"/>
                <w:iCs/>
                <w:color w:val="000000"/>
              </w:rPr>
            </w:pPr>
            <m:oMath>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table</m:t>
                  </m:r>
                </m:sub>
              </m:sSub>
            </m:oMath>
            <w:r w:rsidR="000B67E4" w:rsidRPr="000973D7">
              <w:rPr>
                <w:rFonts w:ascii="Arial" w:hAnsi="Arial" w:cs="Arial"/>
                <w:iCs/>
                <w:color w:val="000000"/>
              </w:rPr>
              <w:t xml:space="preserve"> 5%</w:t>
            </w:r>
          </w:p>
        </w:tc>
        <w:tc>
          <w:tcPr>
            <w:tcW w:w="1469" w:type="dxa"/>
            <w:tcBorders>
              <w:top w:val="single" w:sz="4" w:space="0" w:color="auto"/>
              <w:left w:val="nil"/>
              <w:bottom w:val="single" w:sz="4" w:space="0" w:color="auto"/>
              <w:right w:val="nil"/>
            </w:tcBorders>
            <w:noWrap/>
            <w:vAlign w:val="center"/>
            <w:hideMark/>
          </w:tcPr>
          <w:p w14:paraId="6B03AE91" w14:textId="77777777" w:rsidR="000B67E4" w:rsidRPr="000973D7" w:rsidRDefault="000B67E4" w:rsidP="00C75126">
            <w:pPr>
              <w:jc w:val="center"/>
              <w:rPr>
                <w:rFonts w:ascii="Arial" w:hAnsi="Arial" w:cs="Arial"/>
                <w:color w:val="000000"/>
              </w:rPr>
            </w:pPr>
            <w:r w:rsidRPr="000973D7">
              <w:rPr>
                <w:rFonts w:ascii="Arial" w:hAnsi="Arial" w:cs="Arial"/>
                <w:color w:val="000000"/>
              </w:rPr>
              <w:t>3,16</w:t>
            </w:r>
          </w:p>
        </w:tc>
        <w:tc>
          <w:tcPr>
            <w:tcW w:w="1263" w:type="dxa"/>
            <w:tcBorders>
              <w:top w:val="single" w:sz="4" w:space="0" w:color="auto"/>
              <w:left w:val="nil"/>
              <w:bottom w:val="single" w:sz="4" w:space="0" w:color="auto"/>
              <w:right w:val="nil"/>
            </w:tcBorders>
            <w:noWrap/>
            <w:vAlign w:val="center"/>
            <w:hideMark/>
          </w:tcPr>
          <w:p w14:paraId="074CD190" w14:textId="77777777" w:rsidR="000B67E4" w:rsidRPr="000973D7" w:rsidRDefault="000B67E4" w:rsidP="00C75126">
            <w:pPr>
              <w:jc w:val="center"/>
              <w:rPr>
                <w:rFonts w:ascii="Arial" w:hAnsi="Arial" w:cs="Arial"/>
                <w:color w:val="000000"/>
              </w:rPr>
            </w:pPr>
            <w:r w:rsidRPr="000973D7">
              <w:rPr>
                <w:rFonts w:ascii="Arial" w:hAnsi="Arial" w:cs="Arial"/>
                <w:color w:val="000000"/>
              </w:rPr>
              <w:t>2,66</w:t>
            </w:r>
          </w:p>
        </w:tc>
        <w:tc>
          <w:tcPr>
            <w:tcW w:w="1768" w:type="dxa"/>
            <w:tcBorders>
              <w:top w:val="single" w:sz="4" w:space="0" w:color="auto"/>
              <w:left w:val="nil"/>
              <w:bottom w:val="single" w:sz="4" w:space="0" w:color="auto"/>
              <w:right w:val="nil"/>
            </w:tcBorders>
          </w:tcPr>
          <w:p w14:paraId="29102F8C" w14:textId="77777777" w:rsidR="000B67E4" w:rsidRPr="000973D7" w:rsidRDefault="000B67E4" w:rsidP="00C75126">
            <w:pPr>
              <w:rPr>
                <w:rFonts w:ascii="Arial" w:hAnsi="Arial" w:cs="Arial"/>
                <w:color w:val="000000"/>
              </w:rPr>
            </w:pPr>
          </w:p>
        </w:tc>
      </w:tr>
    </w:tbl>
    <w:p w14:paraId="6CB32103" w14:textId="4FA08711" w:rsidR="000B67E4" w:rsidRPr="000B67E4" w:rsidRDefault="000B67E4" w:rsidP="00B91AC2">
      <w:pPr>
        <w:pStyle w:val="Body"/>
        <w:spacing w:after="0"/>
        <w:rPr>
          <w:rFonts w:ascii="Arial" w:hAnsi="Arial" w:cs="Arial"/>
        </w:rPr>
      </w:pPr>
      <w:r w:rsidRPr="000B67E4">
        <w:rPr>
          <w:rFonts w:ascii="Arial" w:hAnsi="Arial" w:cs="Arial"/>
        </w:rPr>
        <w:t>Note: *: Significantly influential at the 5% level, ns: Not significantly influential at the 5% level, T=Transformation =√(x + 0.5), variables 10-11 data are not allowed/do not meet the requirements for statistical testing.</w:t>
      </w:r>
    </w:p>
    <w:p w14:paraId="0135313D" w14:textId="77777777" w:rsidR="00B91AC2" w:rsidRDefault="00B91AC2" w:rsidP="00B91AC2">
      <w:pPr>
        <w:pStyle w:val="Body"/>
        <w:spacing w:after="0"/>
        <w:rPr>
          <w:rFonts w:ascii="Arial" w:hAnsi="Arial" w:cs="Arial"/>
        </w:rPr>
      </w:pPr>
    </w:p>
    <w:p w14:paraId="74EF29E8" w14:textId="2C384B36" w:rsidR="00B91AC2" w:rsidRPr="00757DD0" w:rsidRDefault="00B91AC2" w:rsidP="00B91AC2">
      <w:pPr>
        <w:pStyle w:val="Body"/>
        <w:spacing w:after="0"/>
        <w:rPr>
          <w:rFonts w:ascii="Arial" w:hAnsi="Arial" w:cs="Arial"/>
          <w:b/>
          <w:sz w:val="22"/>
          <w:szCs w:val="22"/>
        </w:rPr>
      </w:pPr>
      <w:r w:rsidRPr="004A1E22">
        <w:rPr>
          <w:rFonts w:ascii="Arial" w:hAnsi="Arial" w:cs="Arial"/>
          <w:b/>
          <w:bCs/>
          <w:sz w:val="22"/>
          <w:szCs w:val="22"/>
        </w:rPr>
        <w:t xml:space="preserve">3.3 </w:t>
      </w:r>
      <w:r w:rsidR="000E4CD0" w:rsidRPr="000E4CD0">
        <w:rPr>
          <w:rFonts w:ascii="Arial" w:hAnsi="Arial" w:cs="Arial"/>
          <w:b/>
          <w:bCs/>
          <w:sz w:val="22"/>
          <w:szCs w:val="22"/>
        </w:rPr>
        <w:t>The Effect of PSB Liquid Organic Fertilizer and Inorganic Fertilizer on the Vegetative Growth of TSS Shallots</w:t>
      </w:r>
    </w:p>
    <w:p w14:paraId="080D42D5" w14:textId="6D775DE1" w:rsidR="002C7F3A" w:rsidRDefault="000E4CD0" w:rsidP="00ED4AFB">
      <w:pPr>
        <w:pStyle w:val="Body"/>
        <w:spacing w:after="0"/>
        <w:ind w:firstLine="720"/>
        <w:rPr>
          <w:rFonts w:ascii="Arial" w:hAnsi="Arial" w:cs="Arial"/>
        </w:rPr>
      </w:pPr>
      <w:r w:rsidRPr="000E4CD0">
        <w:rPr>
          <w:rFonts w:ascii="Arial" w:hAnsi="Arial" w:cs="Arial"/>
        </w:rPr>
        <w:t>The results of the analysis of variance show that the treatment of 7 combinations of liquid organic fertilizer and inorganic fertilizer had no significant effect on all variables of red onion vegetative growth, namely plant height, number of leaves, and number of tillers. The plant height variable P0 showed the highest result, namely 21.95 cm, while the lowest height was P6, namely 17.40 cm. The variable with the highest number of leaves was P0, with 4.05 leaves, while P3 had the lowest number of leaves, with 3.45 leaves. The variable with the highest number of tillers was P5, with 2.65 tillers per clump, while the lowest was P3, with 1.75 tillers per clump. (Table 2)</w:t>
      </w:r>
    </w:p>
    <w:p w14:paraId="4FFC727D" w14:textId="77777777" w:rsidR="00181D47" w:rsidRDefault="00181D47" w:rsidP="00ED4AFB">
      <w:pPr>
        <w:pStyle w:val="Body"/>
        <w:spacing w:after="0"/>
        <w:ind w:firstLine="720"/>
        <w:rPr>
          <w:rFonts w:ascii="Arial" w:hAnsi="Arial" w:cs="Arial"/>
        </w:rPr>
      </w:pPr>
    </w:p>
    <w:p w14:paraId="48185031" w14:textId="77777777" w:rsidR="00181D47" w:rsidRDefault="002C7F3A" w:rsidP="00B91AC2">
      <w:pPr>
        <w:pStyle w:val="Body"/>
        <w:spacing w:after="0"/>
        <w:rPr>
          <w:rFonts w:ascii="Arial" w:hAnsi="Arial" w:cs="Arial"/>
        </w:rPr>
      </w:pPr>
      <w:r w:rsidRPr="002C7F3A">
        <w:rPr>
          <w:rFonts w:ascii="Arial" w:hAnsi="Arial" w:cs="Arial"/>
        </w:rPr>
        <w:t xml:space="preserve">Table 2. Average data on the effect of seven treatment combinations on the vegetative growth </w:t>
      </w:r>
      <w:r w:rsidR="00181D47">
        <w:rPr>
          <w:rFonts w:ascii="Arial" w:hAnsi="Arial" w:cs="Arial"/>
        </w:rPr>
        <w:t xml:space="preserve"> </w:t>
      </w:r>
    </w:p>
    <w:p w14:paraId="52A18272" w14:textId="5B431161" w:rsidR="002C7F3A" w:rsidRDefault="00181D47" w:rsidP="00B91AC2">
      <w:pPr>
        <w:pStyle w:val="Body"/>
        <w:spacing w:after="0"/>
        <w:rPr>
          <w:rFonts w:ascii="Arial" w:hAnsi="Arial" w:cs="Arial"/>
        </w:rPr>
      </w:pPr>
      <w:r>
        <w:rPr>
          <w:rFonts w:ascii="Arial" w:hAnsi="Arial" w:cs="Arial"/>
        </w:rPr>
        <w:t xml:space="preserve">              </w:t>
      </w:r>
      <w:r w:rsidR="002C7F3A" w:rsidRPr="002C7F3A">
        <w:rPr>
          <w:rFonts w:ascii="Arial" w:hAnsi="Arial" w:cs="Arial"/>
        </w:rPr>
        <w:t>of TSS shallot plants</w:t>
      </w:r>
    </w:p>
    <w:tbl>
      <w:tblPr>
        <w:tblW w:w="7925" w:type="dxa"/>
        <w:jc w:val="center"/>
        <w:tblLayout w:type="fixed"/>
        <w:tblLook w:val="04A0" w:firstRow="1" w:lastRow="0" w:firstColumn="1" w:lastColumn="0" w:noHBand="0" w:noVBand="1"/>
      </w:tblPr>
      <w:tblGrid>
        <w:gridCol w:w="3240"/>
        <w:gridCol w:w="1625"/>
        <w:gridCol w:w="1620"/>
        <w:gridCol w:w="1440"/>
      </w:tblGrid>
      <w:tr w:rsidR="002C7F3A" w:rsidRPr="002C7F3A" w14:paraId="077C823B" w14:textId="77777777" w:rsidTr="002C7F3A">
        <w:trPr>
          <w:trHeight w:val="402"/>
          <w:jc w:val="center"/>
        </w:trPr>
        <w:tc>
          <w:tcPr>
            <w:tcW w:w="3240" w:type="dxa"/>
            <w:tcBorders>
              <w:top w:val="single" w:sz="4" w:space="0" w:color="auto"/>
              <w:bottom w:val="single" w:sz="4" w:space="0" w:color="auto"/>
            </w:tcBorders>
            <w:noWrap/>
            <w:vAlign w:val="center"/>
            <w:hideMark/>
          </w:tcPr>
          <w:p w14:paraId="19163C70" w14:textId="77777777" w:rsidR="002C7F3A" w:rsidRPr="002C7F3A" w:rsidRDefault="002C7F3A" w:rsidP="00C75126">
            <w:pPr>
              <w:jc w:val="center"/>
              <w:rPr>
                <w:rFonts w:ascii="Arial" w:hAnsi="Arial" w:cs="Arial"/>
                <w:color w:val="000000"/>
              </w:rPr>
            </w:pPr>
            <w:r w:rsidRPr="002C7F3A">
              <w:rPr>
                <w:rFonts w:ascii="Arial" w:hAnsi="Arial" w:cs="Arial"/>
                <w:color w:val="000000"/>
              </w:rPr>
              <w:t>Treatment</w:t>
            </w:r>
          </w:p>
        </w:tc>
        <w:tc>
          <w:tcPr>
            <w:tcW w:w="1625" w:type="dxa"/>
            <w:tcBorders>
              <w:top w:val="single" w:sz="4" w:space="0" w:color="auto"/>
              <w:bottom w:val="single" w:sz="4" w:space="0" w:color="auto"/>
            </w:tcBorders>
            <w:noWrap/>
            <w:vAlign w:val="center"/>
            <w:hideMark/>
          </w:tcPr>
          <w:p w14:paraId="0519532E" w14:textId="77777777" w:rsidR="002C7F3A" w:rsidRPr="002C7F3A" w:rsidRDefault="002C7F3A" w:rsidP="00C75126">
            <w:pPr>
              <w:jc w:val="center"/>
              <w:rPr>
                <w:rFonts w:ascii="Arial" w:hAnsi="Arial" w:cs="Arial"/>
                <w:color w:val="000000"/>
              </w:rPr>
            </w:pPr>
            <w:r w:rsidRPr="002C7F3A">
              <w:rPr>
                <w:rFonts w:ascii="Arial" w:hAnsi="Arial" w:cs="Arial"/>
                <w:color w:val="000000"/>
              </w:rPr>
              <w:t>Plant Height (cm)</w:t>
            </w:r>
          </w:p>
        </w:tc>
        <w:tc>
          <w:tcPr>
            <w:tcW w:w="1620" w:type="dxa"/>
            <w:tcBorders>
              <w:top w:val="single" w:sz="4" w:space="0" w:color="auto"/>
              <w:bottom w:val="single" w:sz="4" w:space="0" w:color="auto"/>
            </w:tcBorders>
            <w:noWrap/>
            <w:vAlign w:val="center"/>
            <w:hideMark/>
          </w:tcPr>
          <w:p w14:paraId="3798D1EB" w14:textId="77777777" w:rsidR="002C7F3A" w:rsidRPr="002C7F3A" w:rsidRDefault="002C7F3A" w:rsidP="00C75126">
            <w:pPr>
              <w:jc w:val="center"/>
              <w:rPr>
                <w:rFonts w:ascii="Arial" w:hAnsi="Arial" w:cs="Arial"/>
                <w:color w:val="000000"/>
              </w:rPr>
            </w:pPr>
            <w:r w:rsidRPr="002C7F3A">
              <w:rPr>
                <w:rFonts w:ascii="Arial" w:hAnsi="Arial" w:cs="Arial"/>
                <w:color w:val="000000"/>
              </w:rPr>
              <w:t>Number of Leaves</w:t>
            </w:r>
          </w:p>
        </w:tc>
        <w:tc>
          <w:tcPr>
            <w:tcW w:w="1440" w:type="dxa"/>
            <w:tcBorders>
              <w:top w:val="single" w:sz="4" w:space="0" w:color="auto"/>
              <w:bottom w:val="single" w:sz="4" w:space="0" w:color="auto"/>
            </w:tcBorders>
            <w:vAlign w:val="center"/>
          </w:tcPr>
          <w:p w14:paraId="7CBA05C6" w14:textId="77777777" w:rsidR="002C7F3A" w:rsidRPr="002C7F3A" w:rsidRDefault="002C7F3A" w:rsidP="00C75126">
            <w:pPr>
              <w:jc w:val="center"/>
              <w:rPr>
                <w:rFonts w:ascii="Arial" w:hAnsi="Arial" w:cs="Arial"/>
                <w:color w:val="000000"/>
              </w:rPr>
            </w:pPr>
            <w:r w:rsidRPr="002C7F3A">
              <w:rPr>
                <w:rFonts w:ascii="Arial" w:hAnsi="Arial" w:cs="Arial"/>
                <w:color w:val="000000"/>
              </w:rPr>
              <w:t>Number of tillers</w:t>
            </w:r>
          </w:p>
        </w:tc>
      </w:tr>
      <w:tr w:rsidR="002C7F3A" w:rsidRPr="002C7F3A" w14:paraId="0F8097DF" w14:textId="77777777" w:rsidTr="002C7F3A">
        <w:trPr>
          <w:trHeight w:val="352"/>
          <w:jc w:val="center"/>
        </w:trPr>
        <w:tc>
          <w:tcPr>
            <w:tcW w:w="3240" w:type="dxa"/>
            <w:tcBorders>
              <w:top w:val="single" w:sz="4" w:space="0" w:color="auto"/>
              <w:bottom w:val="nil"/>
            </w:tcBorders>
            <w:noWrap/>
            <w:vAlign w:val="center"/>
            <w:hideMark/>
          </w:tcPr>
          <w:p w14:paraId="4E9CCA4E" w14:textId="77777777" w:rsidR="002C7F3A" w:rsidRPr="002C7F3A" w:rsidRDefault="002C7F3A" w:rsidP="00C75126">
            <w:pPr>
              <w:rPr>
                <w:rFonts w:ascii="Arial" w:hAnsi="Arial" w:cs="Arial"/>
                <w:color w:val="000000"/>
              </w:rPr>
            </w:pPr>
            <w:r w:rsidRPr="002C7F3A">
              <w:rPr>
                <w:rFonts w:ascii="Arial" w:hAnsi="Arial" w:cs="Arial"/>
                <w:color w:val="000000"/>
              </w:rPr>
              <w:t xml:space="preserve">P0 </w:t>
            </w:r>
            <w:r w:rsidRPr="002C7F3A">
              <w:rPr>
                <w:rFonts w:ascii="Arial" w:hAnsi="Arial" w:cs="Arial"/>
                <w:bCs/>
              </w:rPr>
              <w:t>(100% inorganic fertilizer)</w:t>
            </w:r>
          </w:p>
        </w:tc>
        <w:tc>
          <w:tcPr>
            <w:tcW w:w="1625" w:type="dxa"/>
            <w:tcBorders>
              <w:top w:val="single" w:sz="4" w:space="0" w:color="auto"/>
              <w:bottom w:val="nil"/>
            </w:tcBorders>
            <w:noWrap/>
            <w:vAlign w:val="center"/>
            <w:hideMark/>
          </w:tcPr>
          <w:p w14:paraId="7009E701" w14:textId="77777777" w:rsidR="002C7F3A" w:rsidRPr="002C7F3A" w:rsidRDefault="002C7F3A" w:rsidP="00C75126">
            <w:pPr>
              <w:pStyle w:val="Default"/>
              <w:jc w:val="center"/>
              <w:rPr>
                <w:rFonts w:ascii="Arial" w:hAnsi="Arial" w:cs="Arial"/>
                <w:sz w:val="20"/>
                <w:szCs w:val="20"/>
              </w:rPr>
            </w:pPr>
            <m:oMathPara>
              <m:oMath>
                <m:r>
                  <w:rPr>
                    <w:rFonts w:ascii="Cambria Math" w:hAnsi="Cambria Math" w:cs="Arial"/>
                    <w:sz w:val="20"/>
                    <w:szCs w:val="20"/>
                  </w:rPr>
                  <m:t>21,95±4,41</m:t>
                </m:r>
              </m:oMath>
            </m:oMathPara>
          </w:p>
          <w:p w14:paraId="46EFF4F1" w14:textId="77777777" w:rsidR="002C7F3A" w:rsidRPr="002C7F3A" w:rsidRDefault="002C7F3A" w:rsidP="00C75126">
            <w:pPr>
              <w:jc w:val="center"/>
              <w:rPr>
                <w:rFonts w:ascii="Arial" w:hAnsi="Arial" w:cs="Arial"/>
                <w:color w:val="000000"/>
                <w:vertAlign w:val="superscript"/>
              </w:rPr>
            </w:pPr>
          </w:p>
        </w:tc>
        <w:tc>
          <w:tcPr>
            <w:tcW w:w="1620" w:type="dxa"/>
            <w:tcBorders>
              <w:top w:val="single" w:sz="4" w:space="0" w:color="auto"/>
              <w:bottom w:val="nil"/>
            </w:tcBorders>
            <w:noWrap/>
            <w:vAlign w:val="center"/>
            <w:hideMark/>
          </w:tcPr>
          <w:p w14:paraId="7E94AAD2"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4,05±0,9</m:t>
                </m:r>
              </m:oMath>
            </m:oMathPara>
          </w:p>
        </w:tc>
        <w:tc>
          <w:tcPr>
            <w:tcW w:w="1440" w:type="dxa"/>
            <w:tcBorders>
              <w:top w:val="single" w:sz="4" w:space="0" w:color="auto"/>
              <w:bottom w:val="nil"/>
            </w:tcBorders>
            <w:vAlign w:val="center"/>
          </w:tcPr>
          <w:p w14:paraId="286A425C"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2,5±0,96</m:t>
                </m:r>
              </m:oMath>
            </m:oMathPara>
          </w:p>
        </w:tc>
      </w:tr>
      <w:tr w:rsidR="002C7F3A" w:rsidRPr="002C7F3A" w14:paraId="34B1EED8" w14:textId="77777777" w:rsidTr="002C7F3A">
        <w:trPr>
          <w:trHeight w:val="80"/>
          <w:jc w:val="center"/>
        </w:trPr>
        <w:tc>
          <w:tcPr>
            <w:tcW w:w="3240" w:type="dxa"/>
            <w:tcBorders>
              <w:top w:val="nil"/>
              <w:bottom w:val="nil"/>
            </w:tcBorders>
            <w:noWrap/>
            <w:vAlign w:val="center"/>
            <w:hideMark/>
          </w:tcPr>
          <w:p w14:paraId="534EEE53" w14:textId="77777777" w:rsidR="002C7F3A" w:rsidRPr="002C7F3A" w:rsidRDefault="002C7F3A" w:rsidP="00C75126">
            <w:pPr>
              <w:rPr>
                <w:rFonts w:ascii="Arial" w:hAnsi="Arial" w:cs="Arial"/>
                <w:color w:val="000000"/>
              </w:rPr>
            </w:pPr>
            <w:r w:rsidRPr="002C7F3A">
              <w:rPr>
                <w:rFonts w:ascii="Arial" w:hAnsi="Arial" w:cs="Arial"/>
                <w:color w:val="000000"/>
              </w:rPr>
              <w:t xml:space="preserve">P1 </w:t>
            </w:r>
            <w:r w:rsidRPr="002C7F3A">
              <w:rPr>
                <w:rFonts w:ascii="Arial" w:hAnsi="Arial" w:cs="Arial"/>
                <w:bCs/>
              </w:rPr>
              <w:t>(50% P0 + LOF PSB 10 ml/L)</w:t>
            </w:r>
          </w:p>
        </w:tc>
        <w:tc>
          <w:tcPr>
            <w:tcW w:w="1625" w:type="dxa"/>
            <w:tcBorders>
              <w:top w:val="nil"/>
              <w:bottom w:val="nil"/>
            </w:tcBorders>
            <w:noWrap/>
            <w:vAlign w:val="center"/>
            <w:hideMark/>
          </w:tcPr>
          <w:p w14:paraId="1619B55B"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21,46±4,49</m:t>
                </m:r>
              </m:oMath>
            </m:oMathPara>
          </w:p>
        </w:tc>
        <w:tc>
          <w:tcPr>
            <w:tcW w:w="1620" w:type="dxa"/>
            <w:tcBorders>
              <w:top w:val="nil"/>
              <w:bottom w:val="nil"/>
            </w:tcBorders>
            <w:noWrap/>
            <w:vAlign w:val="center"/>
            <w:hideMark/>
          </w:tcPr>
          <w:p w14:paraId="734F174F"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3,95±0,19</m:t>
                </m:r>
              </m:oMath>
            </m:oMathPara>
          </w:p>
        </w:tc>
        <w:tc>
          <w:tcPr>
            <w:tcW w:w="1440" w:type="dxa"/>
            <w:tcBorders>
              <w:top w:val="nil"/>
              <w:bottom w:val="nil"/>
            </w:tcBorders>
            <w:vAlign w:val="center"/>
          </w:tcPr>
          <w:p w14:paraId="3C3E14D4"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2,5±0,53</m:t>
                </m:r>
              </m:oMath>
            </m:oMathPara>
          </w:p>
        </w:tc>
      </w:tr>
      <w:tr w:rsidR="002C7F3A" w:rsidRPr="002C7F3A" w14:paraId="54679EC8" w14:textId="77777777" w:rsidTr="002C7F3A">
        <w:trPr>
          <w:trHeight w:val="195"/>
          <w:jc w:val="center"/>
        </w:trPr>
        <w:tc>
          <w:tcPr>
            <w:tcW w:w="3240" w:type="dxa"/>
            <w:tcBorders>
              <w:top w:val="nil"/>
              <w:bottom w:val="nil"/>
            </w:tcBorders>
            <w:noWrap/>
            <w:vAlign w:val="center"/>
            <w:hideMark/>
          </w:tcPr>
          <w:p w14:paraId="2924A88A" w14:textId="77777777" w:rsidR="002C7F3A" w:rsidRPr="002C7F3A" w:rsidRDefault="002C7F3A" w:rsidP="00C75126">
            <w:pPr>
              <w:rPr>
                <w:rFonts w:ascii="Arial" w:hAnsi="Arial" w:cs="Arial"/>
                <w:color w:val="000000"/>
              </w:rPr>
            </w:pPr>
            <w:r w:rsidRPr="002C7F3A">
              <w:rPr>
                <w:rFonts w:ascii="Arial" w:hAnsi="Arial" w:cs="Arial"/>
                <w:color w:val="000000"/>
              </w:rPr>
              <w:t xml:space="preserve">P2 </w:t>
            </w:r>
            <w:r w:rsidRPr="002C7F3A">
              <w:rPr>
                <w:rFonts w:ascii="Arial" w:hAnsi="Arial" w:cs="Arial"/>
                <w:bCs/>
              </w:rPr>
              <w:t>(25% P0 + LOF PSB 10 ml/L)</w:t>
            </w:r>
          </w:p>
        </w:tc>
        <w:tc>
          <w:tcPr>
            <w:tcW w:w="1625" w:type="dxa"/>
            <w:tcBorders>
              <w:top w:val="nil"/>
              <w:bottom w:val="nil"/>
            </w:tcBorders>
            <w:noWrap/>
            <w:vAlign w:val="center"/>
            <w:hideMark/>
          </w:tcPr>
          <w:p w14:paraId="7E628853" w14:textId="77777777" w:rsidR="002C7F3A" w:rsidRPr="002C7F3A" w:rsidRDefault="002C7F3A" w:rsidP="00C75126">
            <w:pPr>
              <w:jc w:val="center"/>
              <w:rPr>
                <w:rFonts w:ascii="Arial" w:hAnsi="Arial" w:cs="Arial"/>
                <w:color w:val="000000"/>
              </w:rPr>
            </w:pPr>
            <m:oMathPara>
              <m:oMath>
                <m:r>
                  <m:rPr>
                    <m:sty m:val="p"/>
                  </m:rPr>
                  <w:rPr>
                    <w:rFonts w:ascii="Cambria Math" w:hAnsi="Cambria Math" w:cs="Arial"/>
                    <w:color w:val="000000"/>
                  </w:rPr>
                  <m:t>19,71±4,95</m:t>
                </m:r>
              </m:oMath>
            </m:oMathPara>
          </w:p>
        </w:tc>
        <w:tc>
          <w:tcPr>
            <w:tcW w:w="1620" w:type="dxa"/>
            <w:tcBorders>
              <w:top w:val="nil"/>
              <w:bottom w:val="nil"/>
            </w:tcBorders>
            <w:noWrap/>
            <w:vAlign w:val="center"/>
            <w:hideMark/>
          </w:tcPr>
          <w:p w14:paraId="2514E252"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3,8±0,37</m:t>
                </m:r>
              </m:oMath>
            </m:oMathPara>
          </w:p>
        </w:tc>
        <w:tc>
          <w:tcPr>
            <w:tcW w:w="1440" w:type="dxa"/>
            <w:tcBorders>
              <w:top w:val="nil"/>
              <w:bottom w:val="nil"/>
            </w:tcBorders>
            <w:vAlign w:val="center"/>
          </w:tcPr>
          <w:p w14:paraId="2D3B3B88"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2±0,43</m:t>
                </m:r>
              </m:oMath>
            </m:oMathPara>
          </w:p>
        </w:tc>
      </w:tr>
      <w:tr w:rsidR="002C7F3A" w:rsidRPr="002C7F3A" w14:paraId="1311B884" w14:textId="77777777" w:rsidTr="002C7F3A">
        <w:trPr>
          <w:trHeight w:val="80"/>
          <w:jc w:val="center"/>
        </w:trPr>
        <w:tc>
          <w:tcPr>
            <w:tcW w:w="3240" w:type="dxa"/>
            <w:tcBorders>
              <w:top w:val="nil"/>
              <w:bottom w:val="nil"/>
            </w:tcBorders>
            <w:noWrap/>
            <w:vAlign w:val="center"/>
            <w:hideMark/>
          </w:tcPr>
          <w:p w14:paraId="26433859" w14:textId="50DE20DF" w:rsidR="002C7F3A" w:rsidRPr="002C7F3A" w:rsidRDefault="002C7F3A" w:rsidP="00C75126">
            <w:pPr>
              <w:rPr>
                <w:rFonts w:ascii="Arial" w:hAnsi="Arial" w:cs="Arial"/>
                <w:color w:val="000000"/>
              </w:rPr>
            </w:pPr>
            <w:r w:rsidRPr="002C7F3A">
              <w:rPr>
                <w:rFonts w:ascii="Arial" w:hAnsi="Arial" w:cs="Arial"/>
                <w:color w:val="000000"/>
              </w:rPr>
              <w:t xml:space="preserve">P3 </w:t>
            </w:r>
            <w:r w:rsidRPr="002C7F3A">
              <w:rPr>
                <w:rFonts w:ascii="Arial" w:hAnsi="Arial" w:cs="Arial"/>
                <w:bCs/>
              </w:rPr>
              <w:t>(100% LOF PSB 10 ml/L (without inorganic fertilizer))</w:t>
            </w:r>
          </w:p>
        </w:tc>
        <w:tc>
          <w:tcPr>
            <w:tcW w:w="1625" w:type="dxa"/>
            <w:tcBorders>
              <w:top w:val="nil"/>
              <w:bottom w:val="nil"/>
            </w:tcBorders>
            <w:noWrap/>
            <w:vAlign w:val="center"/>
            <w:hideMark/>
          </w:tcPr>
          <w:p w14:paraId="7BD57210"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17,63±2,92</m:t>
                </m:r>
              </m:oMath>
            </m:oMathPara>
          </w:p>
        </w:tc>
        <w:tc>
          <w:tcPr>
            <w:tcW w:w="1620" w:type="dxa"/>
            <w:tcBorders>
              <w:top w:val="nil"/>
              <w:bottom w:val="nil"/>
            </w:tcBorders>
            <w:noWrap/>
            <w:vAlign w:val="center"/>
            <w:hideMark/>
          </w:tcPr>
          <w:p w14:paraId="4685D7CF"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3,45±0,1</m:t>
                </m:r>
              </m:oMath>
            </m:oMathPara>
          </w:p>
        </w:tc>
        <w:tc>
          <w:tcPr>
            <w:tcW w:w="1440" w:type="dxa"/>
            <w:tcBorders>
              <w:top w:val="nil"/>
              <w:bottom w:val="nil"/>
            </w:tcBorders>
            <w:vAlign w:val="center"/>
          </w:tcPr>
          <w:p w14:paraId="17B4EDC1" w14:textId="77777777" w:rsidR="002C7F3A" w:rsidRPr="002C7F3A" w:rsidRDefault="002C7F3A" w:rsidP="00C75126">
            <w:pPr>
              <w:jc w:val="center"/>
              <w:rPr>
                <w:rFonts w:ascii="Arial" w:hAnsi="Arial" w:cs="Arial"/>
                <w:color w:val="000000"/>
              </w:rPr>
            </w:pPr>
            <w:r w:rsidRPr="002C7F3A">
              <w:rPr>
                <w:rFonts w:ascii="Arial" w:hAnsi="Arial" w:cs="Arial"/>
                <w:color w:val="000000"/>
              </w:rPr>
              <w:t>1,75</w:t>
            </w:r>
            <m:oMath>
              <m:r>
                <w:rPr>
                  <w:rFonts w:ascii="Cambria Math" w:hAnsi="Cambria Math" w:cs="Arial"/>
                  <w:color w:val="000000"/>
                </w:rPr>
                <m:t>±0,3</m:t>
              </m:r>
            </m:oMath>
          </w:p>
        </w:tc>
      </w:tr>
      <w:tr w:rsidR="002C7F3A" w:rsidRPr="002C7F3A" w14:paraId="2DE6FED7" w14:textId="77777777" w:rsidTr="002C7F3A">
        <w:trPr>
          <w:trHeight w:val="195"/>
          <w:jc w:val="center"/>
        </w:trPr>
        <w:tc>
          <w:tcPr>
            <w:tcW w:w="3240" w:type="dxa"/>
            <w:tcBorders>
              <w:top w:val="nil"/>
              <w:bottom w:val="nil"/>
            </w:tcBorders>
            <w:noWrap/>
            <w:vAlign w:val="center"/>
            <w:hideMark/>
          </w:tcPr>
          <w:p w14:paraId="29E06AA9" w14:textId="77777777" w:rsidR="002C7F3A" w:rsidRPr="002C7F3A" w:rsidRDefault="002C7F3A" w:rsidP="00C75126">
            <w:pPr>
              <w:rPr>
                <w:rFonts w:ascii="Arial" w:hAnsi="Arial" w:cs="Arial"/>
                <w:color w:val="000000"/>
              </w:rPr>
            </w:pPr>
            <w:r w:rsidRPr="002C7F3A">
              <w:rPr>
                <w:rFonts w:ascii="Arial" w:hAnsi="Arial" w:cs="Arial"/>
                <w:color w:val="000000"/>
              </w:rPr>
              <w:t xml:space="preserve">P4 </w:t>
            </w:r>
            <w:r w:rsidRPr="002C7F3A">
              <w:rPr>
                <w:rFonts w:ascii="Arial" w:hAnsi="Arial" w:cs="Arial"/>
                <w:bCs/>
              </w:rPr>
              <w:t>(50% P0 + LOF PSB 20 ml/L)</w:t>
            </w:r>
          </w:p>
        </w:tc>
        <w:tc>
          <w:tcPr>
            <w:tcW w:w="1625" w:type="dxa"/>
            <w:tcBorders>
              <w:top w:val="nil"/>
              <w:bottom w:val="nil"/>
            </w:tcBorders>
            <w:noWrap/>
            <w:vAlign w:val="center"/>
            <w:hideMark/>
          </w:tcPr>
          <w:p w14:paraId="21688C8B"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18,17±5,98</m:t>
                </m:r>
              </m:oMath>
            </m:oMathPara>
          </w:p>
          <w:p w14:paraId="42E47E59" w14:textId="77777777" w:rsidR="002C7F3A" w:rsidRPr="002C7F3A" w:rsidRDefault="002C7F3A" w:rsidP="00C75126">
            <w:pPr>
              <w:jc w:val="center"/>
              <w:rPr>
                <w:rFonts w:ascii="Arial" w:hAnsi="Arial" w:cs="Arial"/>
                <w:color w:val="000000"/>
              </w:rPr>
            </w:pPr>
          </w:p>
        </w:tc>
        <w:tc>
          <w:tcPr>
            <w:tcW w:w="1620" w:type="dxa"/>
            <w:tcBorders>
              <w:top w:val="nil"/>
              <w:bottom w:val="nil"/>
            </w:tcBorders>
            <w:noWrap/>
            <w:vAlign w:val="center"/>
            <w:hideMark/>
          </w:tcPr>
          <w:p w14:paraId="52CFEB9B"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3,65±0,72</m:t>
                </m:r>
              </m:oMath>
            </m:oMathPara>
          </w:p>
        </w:tc>
        <w:tc>
          <w:tcPr>
            <w:tcW w:w="1440" w:type="dxa"/>
            <w:tcBorders>
              <w:top w:val="nil"/>
              <w:bottom w:val="nil"/>
            </w:tcBorders>
            <w:vAlign w:val="center"/>
          </w:tcPr>
          <w:p w14:paraId="0D8E79E5"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2,4±0,98</m:t>
                </m:r>
              </m:oMath>
            </m:oMathPara>
          </w:p>
        </w:tc>
      </w:tr>
      <w:tr w:rsidR="002C7F3A" w:rsidRPr="002C7F3A" w14:paraId="1C54B4DC" w14:textId="77777777" w:rsidTr="002C7F3A">
        <w:trPr>
          <w:trHeight w:val="195"/>
          <w:jc w:val="center"/>
        </w:trPr>
        <w:tc>
          <w:tcPr>
            <w:tcW w:w="3240" w:type="dxa"/>
            <w:tcBorders>
              <w:top w:val="nil"/>
            </w:tcBorders>
            <w:noWrap/>
            <w:vAlign w:val="center"/>
            <w:hideMark/>
          </w:tcPr>
          <w:p w14:paraId="11CB3DDF" w14:textId="77777777" w:rsidR="002C7F3A" w:rsidRPr="002C7F3A" w:rsidRDefault="002C7F3A" w:rsidP="00C75126">
            <w:pPr>
              <w:rPr>
                <w:rFonts w:ascii="Arial" w:hAnsi="Arial" w:cs="Arial"/>
                <w:color w:val="000000"/>
              </w:rPr>
            </w:pPr>
            <w:r w:rsidRPr="002C7F3A">
              <w:rPr>
                <w:rFonts w:ascii="Arial" w:hAnsi="Arial" w:cs="Arial"/>
                <w:color w:val="000000"/>
              </w:rPr>
              <w:t xml:space="preserve">P5 </w:t>
            </w:r>
            <w:r w:rsidRPr="002C7F3A">
              <w:rPr>
                <w:rFonts w:ascii="Arial" w:hAnsi="Arial" w:cs="Arial"/>
                <w:bCs/>
              </w:rPr>
              <w:t>(25% P0 + LOF PSB 20 ml/L)</w:t>
            </w:r>
          </w:p>
        </w:tc>
        <w:tc>
          <w:tcPr>
            <w:tcW w:w="1625" w:type="dxa"/>
            <w:tcBorders>
              <w:top w:val="nil"/>
            </w:tcBorders>
            <w:noWrap/>
            <w:vAlign w:val="center"/>
            <w:hideMark/>
          </w:tcPr>
          <w:p w14:paraId="3D115D98"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20,79±5,28</m:t>
                </m:r>
              </m:oMath>
            </m:oMathPara>
          </w:p>
        </w:tc>
        <w:tc>
          <w:tcPr>
            <w:tcW w:w="1620" w:type="dxa"/>
            <w:tcBorders>
              <w:top w:val="nil"/>
            </w:tcBorders>
            <w:noWrap/>
            <w:vAlign w:val="center"/>
            <w:hideMark/>
          </w:tcPr>
          <w:p w14:paraId="5E4051EE"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4±0,98</m:t>
                </m:r>
              </m:oMath>
            </m:oMathPara>
          </w:p>
        </w:tc>
        <w:tc>
          <w:tcPr>
            <w:tcW w:w="1440" w:type="dxa"/>
            <w:tcBorders>
              <w:top w:val="nil"/>
            </w:tcBorders>
            <w:vAlign w:val="center"/>
          </w:tcPr>
          <w:p w14:paraId="6493FCC3"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2,65±0,53</m:t>
                </m:r>
              </m:oMath>
            </m:oMathPara>
          </w:p>
        </w:tc>
      </w:tr>
      <w:tr w:rsidR="002C7F3A" w:rsidRPr="002C7F3A" w14:paraId="69026A49" w14:textId="77777777" w:rsidTr="002C7F3A">
        <w:trPr>
          <w:trHeight w:val="195"/>
          <w:jc w:val="center"/>
        </w:trPr>
        <w:tc>
          <w:tcPr>
            <w:tcW w:w="3240" w:type="dxa"/>
            <w:tcBorders>
              <w:top w:val="nil"/>
              <w:bottom w:val="single" w:sz="4" w:space="0" w:color="auto"/>
            </w:tcBorders>
            <w:noWrap/>
            <w:vAlign w:val="center"/>
            <w:hideMark/>
          </w:tcPr>
          <w:p w14:paraId="78AB2499" w14:textId="77777777" w:rsidR="002C7F3A" w:rsidRPr="002C7F3A" w:rsidRDefault="002C7F3A" w:rsidP="00C75126">
            <w:pPr>
              <w:rPr>
                <w:rFonts w:ascii="Arial" w:hAnsi="Arial" w:cs="Arial"/>
                <w:color w:val="000000"/>
              </w:rPr>
            </w:pPr>
            <w:r w:rsidRPr="002C7F3A">
              <w:rPr>
                <w:rFonts w:ascii="Arial" w:hAnsi="Arial" w:cs="Arial"/>
                <w:color w:val="000000"/>
              </w:rPr>
              <w:t xml:space="preserve">P6 </w:t>
            </w:r>
            <w:r w:rsidRPr="002C7F3A">
              <w:rPr>
                <w:rFonts w:ascii="Arial" w:hAnsi="Arial" w:cs="Arial"/>
                <w:bCs/>
              </w:rPr>
              <w:t>(100% LOF PSB 20 ml/L (without inorganic fertilizer))</w:t>
            </w:r>
          </w:p>
        </w:tc>
        <w:tc>
          <w:tcPr>
            <w:tcW w:w="1625" w:type="dxa"/>
            <w:tcBorders>
              <w:top w:val="nil"/>
              <w:bottom w:val="single" w:sz="4" w:space="0" w:color="auto"/>
            </w:tcBorders>
            <w:noWrap/>
            <w:vAlign w:val="center"/>
            <w:hideMark/>
          </w:tcPr>
          <w:p w14:paraId="58A80920"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17,40±3,53</m:t>
                </m:r>
              </m:oMath>
            </m:oMathPara>
          </w:p>
        </w:tc>
        <w:tc>
          <w:tcPr>
            <w:tcW w:w="1620" w:type="dxa"/>
            <w:tcBorders>
              <w:top w:val="nil"/>
              <w:bottom w:val="single" w:sz="4" w:space="0" w:color="auto"/>
            </w:tcBorders>
            <w:noWrap/>
            <w:vAlign w:val="center"/>
            <w:hideMark/>
          </w:tcPr>
          <w:p w14:paraId="41730118"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3,6±0,49</m:t>
                </m:r>
              </m:oMath>
            </m:oMathPara>
          </w:p>
        </w:tc>
        <w:tc>
          <w:tcPr>
            <w:tcW w:w="1440" w:type="dxa"/>
            <w:tcBorders>
              <w:top w:val="nil"/>
              <w:bottom w:val="single" w:sz="4" w:space="0" w:color="auto"/>
            </w:tcBorders>
            <w:vAlign w:val="center"/>
          </w:tcPr>
          <w:p w14:paraId="73FDC1D8" w14:textId="77777777" w:rsidR="002C7F3A" w:rsidRPr="002C7F3A" w:rsidRDefault="002C7F3A" w:rsidP="00C75126">
            <w:pPr>
              <w:jc w:val="center"/>
              <w:rPr>
                <w:rFonts w:ascii="Arial" w:hAnsi="Arial" w:cs="Arial"/>
                <w:color w:val="000000"/>
              </w:rPr>
            </w:pPr>
            <m:oMathPara>
              <m:oMath>
                <m:r>
                  <w:rPr>
                    <w:rFonts w:ascii="Cambria Math" w:hAnsi="Cambria Math" w:cs="Arial"/>
                    <w:color w:val="000000"/>
                  </w:rPr>
                  <m:t>2,15±0,25</m:t>
                </m:r>
              </m:oMath>
            </m:oMathPara>
          </w:p>
        </w:tc>
      </w:tr>
    </w:tbl>
    <w:p w14:paraId="34A0B8F3" w14:textId="6FF3AC4B" w:rsidR="002C7F3A" w:rsidRDefault="002C7F3A" w:rsidP="00B91AC2">
      <w:pPr>
        <w:pStyle w:val="Body"/>
        <w:spacing w:after="0"/>
        <w:rPr>
          <w:rFonts w:ascii="Arial" w:hAnsi="Arial" w:cs="Arial"/>
        </w:rPr>
      </w:pPr>
      <w:r w:rsidRPr="002C7F3A">
        <w:rPr>
          <w:rFonts w:ascii="Arial" w:hAnsi="Arial" w:cs="Arial"/>
        </w:rPr>
        <w:t>Note: The numbers after the ± sign indicate the standard deviation values for each treatment.</w:t>
      </w:r>
    </w:p>
    <w:p w14:paraId="52D2D2A3" w14:textId="77777777" w:rsidR="000E4CD0" w:rsidRDefault="000E4CD0" w:rsidP="00B91AC2">
      <w:pPr>
        <w:pStyle w:val="Body"/>
        <w:spacing w:after="0"/>
        <w:rPr>
          <w:rFonts w:ascii="Arial" w:hAnsi="Arial" w:cs="Arial"/>
        </w:rPr>
      </w:pPr>
    </w:p>
    <w:p w14:paraId="4CF484B7" w14:textId="6B18F46C" w:rsidR="000E4CD0" w:rsidRDefault="000E4CD0" w:rsidP="00757DD0">
      <w:pPr>
        <w:pStyle w:val="Body"/>
        <w:spacing w:after="0"/>
        <w:ind w:firstLine="720"/>
        <w:rPr>
          <w:rFonts w:ascii="Arial" w:hAnsi="Arial" w:cs="Arial"/>
        </w:rPr>
      </w:pPr>
      <w:r w:rsidRPr="000E4CD0">
        <w:rPr>
          <w:rFonts w:ascii="Arial" w:hAnsi="Arial" w:cs="Arial"/>
        </w:rPr>
        <w:lastRenderedPageBreak/>
        <w:t xml:space="preserve">The average height of TSS shallot plants ranged from 17.40 to 21.95 cm, and the seven combinations of PSB fertilizer and inorganic fertilizer had no significant effect on plant height (Table 2). Treatment P0 produced the highest plant height (21.95 cm), while P6 produced the lowest (17.40 cm). The low plant height is thought to be caused by differences in plant response to growing conditions, such as nutrient availability, microclimate, and variety adaptability at the research site. This is in line with the opinion of </w:t>
      </w:r>
      <w:r w:rsidR="00ED4AFB">
        <w:rPr>
          <w:rFonts w:ascii="Arial" w:hAnsi="Arial" w:cs="Arial"/>
        </w:rPr>
        <w:fldChar w:fldCharType="begin" w:fldLock="1"/>
      </w:r>
      <w:r w:rsidR="006A5080">
        <w:rPr>
          <w:rFonts w:ascii="Arial" w:hAnsi="Arial" w:cs="Arial"/>
        </w:rPr>
        <w:instrText>ADDIN CSL_CITATION {"citationItems":[{"id":"ITEM-1","itemData":{"ISSN":"2528-3278","abstract":"Penelitian ini bertujuan untuk mengevaluasi karakter agronomi seperti tinggi tanaman,umur panen, jumlah anakan dan bobot panen 14 genotipe padi lokal (Oryza sativa. L). Penelitian ini dilaksanakan di Desa Petapahan, Kecamatan Gunung Toar, Kabupaten Kuantan Singingi, pada bulan November 2019 hingga Maret 2020. Rancangan yang digunakan adalah Rancangan Acak Kelompok (RAK) dengan 14 perlakuan yang berasal dari genotipe padi lokal. Hasil penelitian menunjukkan pengaruh genotip yang nyata terhadap tinggi tanaman, umur panen, dan jumlah anakan. Hasil tinggi tanaman terbaik adalah PL04 (148,42 cm), umur panen PL07 (99 Hari Setelah Tanam) dan jumlah anakan PL07 (9,26 batang). Sedangkan rendemen tidak menunjukkan pengaruh yang signifikan. Kegunaan penelitian ini sebagai informasi awal untuk mengetahui karakter agronomi padi lokal. Sehingga nantinya dapat dipertimbangkan atau digunakan untuk pengembangan benih padi.","author":[{"dropping-particle":"","family":"Yulina N","given":"","non-dropping-particle":"","parse-names":false,"suffix":""},{"dropping-particle":"","family":"Ezward C","given":"","non-dropping-particle":"","parse-names":false,"suffix":""},{"dropping-particle":"","family":"Haitami A","given":"","non-dropping-particle":"","parse-names":false,"suffix":""}],"container-title":"Jurnal Agrosains dan Teknologi","id":"ITEM-1","issue":"1","issued":{"date-parts":[["2021"]]},"page":"15-24","title":"Karakter tinggi tanaman, umur panen, jumlah anakan, dan bobot panen pada 14 genotipe padi lokal","type":"article-journal","volume":"6(1)"},"uris":["http://www.mendeley.com/documents/?uuid=e9a6affa-12a9-4a2e-8d93-6626d08e9b75"]}],"mendeley":{"formattedCitation":"(Yulina N et al., 2021)","manualFormatting":"Yulina N et al. (2021)","plainTextFormattedCitation":"(Yulina N et al., 2021)","previouslyFormattedCitation":"(Yulina N et al., 2021)"},"properties":{"noteIndex":0},"schema":"https://github.com/citation-style-language/schema/raw/master/csl-citation.json"}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 xml:space="preserve">Yulina N et al. </w:t>
      </w:r>
      <w:r w:rsidR="00ED4AFB">
        <w:rPr>
          <w:rFonts w:ascii="Arial" w:hAnsi="Arial" w:cs="Arial"/>
          <w:noProof/>
        </w:rPr>
        <w:t>(</w:t>
      </w:r>
      <w:r w:rsidR="00ED4AFB" w:rsidRPr="00ED4AFB">
        <w:rPr>
          <w:rFonts w:ascii="Arial" w:hAnsi="Arial" w:cs="Arial"/>
          <w:noProof/>
        </w:rPr>
        <w:t>2021)</w:t>
      </w:r>
      <w:r w:rsidR="00ED4AFB">
        <w:rPr>
          <w:rFonts w:ascii="Arial" w:hAnsi="Arial" w:cs="Arial"/>
        </w:rPr>
        <w:fldChar w:fldCharType="end"/>
      </w:r>
      <w:r w:rsidRPr="000E4CD0">
        <w:rPr>
          <w:rFonts w:ascii="Arial" w:hAnsi="Arial" w:cs="Arial"/>
        </w:rPr>
        <w:t>, who stated that differences in plant characteristics will cause variations in height growth. The ability of plants to elongate their stems is influenced by cultivar characteristics, which are a form of plant tolerance to their growing environment.</w:t>
      </w:r>
    </w:p>
    <w:p w14:paraId="4CD0D66D" w14:textId="6FF154A4" w:rsidR="00B91AC2" w:rsidRDefault="000E4CD0" w:rsidP="00757DD0">
      <w:pPr>
        <w:pStyle w:val="Body"/>
        <w:spacing w:after="0"/>
        <w:ind w:firstLine="720"/>
        <w:rPr>
          <w:rFonts w:ascii="Arial" w:hAnsi="Arial" w:cs="Arial"/>
        </w:rPr>
      </w:pPr>
      <w:r w:rsidRPr="000E4CD0">
        <w:rPr>
          <w:rFonts w:ascii="Arial" w:hAnsi="Arial" w:cs="Arial"/>
        </w:rPr>
        <w:t>The treatment of seven combinations of PSB liquid organic fertilizer and inorganic fertilizer did not have a significant effect on the number of shallot leaves TSS (Table 2). The highest number of leaves was found in P0 (4.05 leaves) and the lowest in P3 (3.45 leaves). These results indicate that leaf formation is more influenced by growing conditions than by differences in fertilizer combinations, particularly factors such as temperature, humidity, light intensity, and soil nutrient availability</w:t>
      </w:r>
      <w:r w:rsidR="00B91AC2" w:rsidRPr="00A113F8">
        <w:rPr>
          <w:rFonts w:ascii="Arial" w:hAnsi="Arial" w:cs="Arial"/>
        </w:rPr>
        <w:t>.</w:t>
      </w:r>
      <w:r w:rsidR="00ED4AFB">
        <w:rPr>
          <w:rFonts w:ascii="Arial" w:hAnsi="Arial" w:cs="Arial"/>
        </w:rPr>
        <w:t xml:space="preserve"> </w:t>
      </w:r>
      <w:r w:rsidR="00ED4AFB">
        <w:rPr>
          <w:rFonts w:ascii="Arial" w:hAnsi="Arial" w:cs="Arial"/>
        </w:rPr>
        <w:fldChar w:fldCharType="begin" w:fldLock="1"/>
      </w:r>
      <w:r w:rsidR="009F6889">
        <w:rPr>
          <w:rFonts w:ascii="Arial" w:hAnsi="Arial" w:cs="Arial"/>
        </w:rPr>
        <w:instrText>ADDIN CSL_CITATION {"citationItems":[{"id":"ITEM-1","itemData":{"abstract":"… Produktivitas bawang merah pada dataran rendah belum dapat … tanam bawang merah yang adaptif pada dataran rendah Kota Jambi. Penelitian dilaksanakan di Kelurahan Paal Merah …","author":[{"dropping-particle":"","family":"Edi","given":"Syafri","non-dropping-particle":"","parse-names":false,"suffix":""}],"container-title":"Jurnal Agroecotania: Publikasi Nasional Ilmu …","id":"ITEM-1","issue":"1","issued":{"date-parts":[["2019"]]},"page":"1-10","title":"Pertumbuhan dan hasil beberapa varietas bawang merah pada dua cara tanam di lahan kering dataran rendah Kota Jambi","type":"article-journal","volume":"2"},"uris":["http://www.mendeley.com/documents/?uuid=52c2f7e5-8fd4-4d93-a0b4-31f8a1c32224"]}],"mendeley":{"formattedCitation":"(Edi, 2019)","manualFormatting":"Edi (2019)","plainTextFormattedCitation":"(Edi, 2019)","previouslyFormattedCitation":"(Edi, 2019)"},"properties":{"noteIndex":0},"schema":"https://github.com/citation-style-language/schema/raw/master/csl-citation.json"}</w:instrText>
      </w:r>
      <w:r w:rsidR="00ED4AFB">
        <w:rPr>
          <w:rFonts w:ascii="Arial" w:hAnsi="Arial" w:cs="Arial"/>
        </w:rPr>
        <w:fldChar w:fldCharType="separate"/>
      </w:r>
      <w:r w:rsidR="00ED4AFB" w:rsidRPr="00ED4AFB">
        <w:rPr>
          <w:rFonts w:ascii="Arial" w:hAnsi="Arial" w:cs="Arial"/>
          <w:noProof/>
        </w:rPr>
        <w:t>Edi</w:t>
      </w:r>
      <w:r w:rsidR="009F6889">
        <w:rPr>
          <w:rFonts w:ascii="Arial" w:hAnsi="Arial" w:cs="Arial"/>
          <w:noProof/>
        </w:rPr>
        <w:t xml:space="preserve"> (</w:t>
      </w:r>
      <w:r w:rsidR="00ED4AFB" w:rsidRPr="00ED4AFB">
        <w:rPr>
          <w:rFonts w:ascii="Arial" w:hAnsi="Arial" w:cs="Arial"/>
          <w:noProof/>
        </w:rPr>
        <w:t>2019)</w:t>
      </w:r>
      <w:r w:rsidR="00ED4AFB">
        <w:rPr>
          <w:rFonts w:ascii="Arial" w:hAnsi="Arial" w:cs="Arial"/>
        </w:rPr>
        <w:fldChar w:fldCharType="end"/>
      </w:r>
      <w:r w:rsidRPr="000E4CD0">
        <w:rPr>
          <w:rFonts w:ascii="Arial" w:hAnsi="Arial" w:cs="Arial"/>
        </w:rPr>
        <w:t xml:space="preserve"> states that differences in the number of leaves between varieties are related to the characteristics and responses of plants to the environment, while </w:t>
      </w:r>
      <w:r w:rsidR="009F6889">
        <w:rPr>
          <w:rFonts w:ascii="Arial" w:hAnsi="Arial" w:cs="Arial"/>
        </w:rPr>
        <w:fldChar w:fldCharType="begin" w:fldLock="1"/>
      </w:r>
      <w:r w:rsidR="009F6889">
        <w:rPr>
          <w:rFonts w:ascii="Arial" w:hAnsi="Arial" w:cs="Arial"/>
        </w:rPr>
        <w:instrText>ADDIN CSL_CITATION {"citationItems":[{"id":"ITEM-1","itemData":{"abstract":"Abstrak Tujuan yang dilakukan dalam riset adalah untuk mengetahui responsif bokashi kotoran sapi dan POC bonggol pisang terhadap pertumbuhan produksi bawang merah (Allium ascalonicum L.) Riset ini dilakukan di jalan purwo diwilayah kecamatan Sunggal, kabupaten Deli Serdang. Model yang dipilih untuk melaksanakan riset dengan menggunakan rancangan acak kelompok (RAK) factorial terdiri dari 2 faktor dengan 16 kombinasi dan 2 ulangan. Perlakuan pertama yaitu bokashi kotoran sapi dengan 4 bagian yaitu K0 = 0 kg/plot (tanpa perlakuan), K1 = 13 kg/plot, k2 = 4 kg/plot, dan K3 = 6 kg/plot, perlakuan kedua pemberian POC bonggol pisang yang terdiri dari 4 bagian, yaitu P0 = 0 cc/l air/plot, P1 = 150 cc/l air/plot, P2 = 300 cc/l air/plot dan P3 = 450 ml/l air/plot. Parameter yang diamati dalam penelitian ini adalah jumlah daun persampel (helai), produksi umbi basah persampel (gram), produksi umbi kering perplot (gram), konversi produksi bawang merah perhektar (kg). Hasil dari riset menampilkan pada parameter jumlah daun persampel(helai) memberikan dampak yang nyata, pada parameter produksi umbi basah persampel (gram), produksi umbi kering perplot (gram) dan parameter konversi produksi perhektar (kg) pada bawang merah menunjukkan hasil yang tidak nyata serta interaksi tidak memberikan pengaruh dari semua parameter. Kata kunci: Bawang merah, bokasi kotoran sapi, POC bonggol pisang. Abstract The purpose of this study was to determine the responsiveness of cow dung bokashi and POC banana weevil to the growth of onion production (Allium ascalonicum L.). This research was conducted on purwo road in Sunggal sub-district, Deli Serdang district. The chosen model to carry out research using a factorial randomized group (RBD) consists of 2 factors with 16 combinations and 2 replications. The first treatment is bokashi cow dung with 4 parts namely K0 = 0 kg / plot, without K1 = 13 kg / plot, k2 = 4 kg / plot, and K3 = 6 kg / plot, second aid POC banana weevil includes of 4 parts , ie P0 = 0 cc / l water / plot, P1 = 150 cc / l water / plot, P2 = 300 cc / l water / plot and P3 = 450 ml / l water / plot. The parameters collected in this study were the number of sample leaves (strands), wet tuber sample production (grams), dry tuber production plot (grams), conversion of per hectare onion production (kg). The results of the study show that the parameters of the number of leaf samples (strands) give a real picture, the parameters of the production of wet tubers of samples (grams)…","author":[{"dropping-particle":"","family":"Hakim","given":"Tharmizi","non-dropping-particle":"","parse-names":false,"suffix":""},{"dropping-particle":"","family":"Anandari","given":"Sukma","non-dropping-particle":"","parse-names":false,"suffix":""}],"container-title":"Agrium","id":"ITEM-1","issue":"2","issued":{"date-parts":[["2019"]]},"page":"102-106","title":"Responsives bokashi cow manure and POC banana weevil to the growth and production of onion (Allium ascalonicum L.)","type":"article-journal","volume":"22"},"uris":["http://www.mendeley.com/documents/?uuid=6c9f302c-f795-42d3-8f29-4be70a94d9a0"]}],"mendeley":{"formattedCitation":"(Hakim &amp; Anandari, 2019)","manualFormatting":"Hakim &amp; Anandari (2019)","plainTextFormattedCitation":"(Hakim &amp; Anandari, 2019)","previouslyFormattedCitation":"(Hakim &amp; Anandari, 2019)"},"properties":{"noteIndex":0},"schema":"https://github.com/citation-style-language/schema/raw/master/csl-citation.json"}</w:instrText>
      </w:r>
      <w:r w:rsidR="009F6889">
        <w:rPr>
          <w:rFonts w:ascii="Arial" w:hAnsi="Arial" w:cs="Arial"/>
        </w:rPr>
        <w:fldChar w:fldCharType="separate"/>
      </w:r>
      <w:r w:rsidR="009F6889" w:rsidRPr="009F6889">
        <w:rPr>
          <w:rFonts w:ascii="Arial" w:hAnsi="Arial" w:cs="Arial"/>
          <w:noProof/>
        </w:rPr>
        <w:t>Hakim &amp; Anandari</w:t>
      </w:r>
      <w:r w:rsidR="009F6889">
        <w:rPr>
          <w:rFonts w:ascii="Arial" w:hAnsi="Arial" w:cs="Arial"/>
          <w:noProof/>
        </w:rPr>
        <w:t xml:space="preserve"> (</w:t>
      </w:r>
      <w:r w:rsidR="009F6889" w:rsidRPr="009F6889">
        <w:rPr>
          <w:rFonts w:ascii="Arial" w:hAnsi="Arial" w:cs="Arial"/>
          <w:noProof/>
        </w:rPr>
        <w:t>2019)</w:t>
      </w:r>
      <w:r w:rsidR="009F6889">
        <w:rPr>
          <w:rFonts w:ascii="Arial" w:hAnsi="Arial" w:cs="Arial"/>
        </w:rPr>
        <w:fldChar w:fldCharType="end"/>
      </w:r>
      <w:r w:rsidRPr="000E4CD0">
        <w:rPr>
          <w:rFonts w:ascii="Arial" w:hAnsi="Arial" w:cs="Arial"/>
        </w:rPr>
        <w:t xml:space="preserve"> explain that the inherent properties of varieties also determine leaf formation, even though environmental factors also play a major role. Thus, environmental and climatic factors greatly determine the growth of shallots, especially in terms of the number of leaves formed.</w:t>
      </w:r>
    </w:p>
    <w:p w14:paraId="7117F9D3" w14:textId="59B6F7E2" w:rsidR="00B91AC2" w:rsidRDefault="000E4CD0" w:rsidP="00757DD0">
      <w:pPr>
        <w:pStyle w:val="Body"/>
        <w:spacing w:after="0"/>
        <w:ind w:firstLine="720"/>
        <w:rPr>
          <w:rFonts w:ascii="Arial" w:hAnsi="Arial" w:cs="Arial"/>
          <w:lang w:val="en-US"/>
        </w:rPr>
      </w:pPr>
      <w:r w:rsidRPr="000E4CD0">
        <w:rPr>
          <w:rFonts w:ascii="Arial" w:hAnsi="Arial" w:cs="Arial"/>
          <w:lang w:val="en-US"/>
        </w:rPr>
        <w:t xml:space="preserve">The treatment of seven combinations of PSB liquid organic fertilizer and inorganic fertilizer had no significant effect on the number of </w:t>
      </w:r>
      <w:proofErr w:type="gramStart"/>
      <w:r w:rsidRPr="000E4CD0">
        <w:rPr>
          <w:rFonts w:ascii="Arial" w:hAnsi="Arial" w:cs="Arial"/>
          <w:lang w:val="en-US"/>
        </w:rPr>
        <w:t>shallot</w:t>
      </w:r>
      <w:proofErr w:type="gramEnd"/>
      <w:r w:rsidR="009F6889">
        <w:rPr>
          <w:rFonts w:ascii="Arial" w:hAnsi="Arial" w:cs="Arial"/>
          <w:lang w:val="en-US"/>
        </w:rPr>
        <w:t xml:space="preserve"> </w:t>
      </w:r>
      <w:r w:rsidRPr="000E4CD0">
        <w:rPr>
          <w:rFonts w:ascii="Arial" w:hAnsi="Arial" w:cs="Arial"/>
          <w:lang w:val="en-US"/>
        </w:rPr>
        <w:t xml:space="preserve">TSS offshoots (Table 2). The highest number of offshoots was found in P5 (2.65 offshoots per clump) and the lowest in P3 (1.75 offshoots per clump). These results indicate that the formation of offshoots in TSS shallots of the </w:t>
      </w:r>
      <w:proofErr w:type="spellStart"/>
      <w:r w:rsidRPr="000E4CD0">
        <w:rPr>
          <w:rFonts w:ascii="Arial" w:hAnsi="Arial" w:cs="Arial"/>
          <w:lang w:val="en-US"/>
        </w:rPr>
        <w:t>Sanren</w:t>
      </w:r>
      <w:proofErr w:type="spellEnd"/>
      <w:r w:rsidRPr="000E4CD0">
        <w:rPr>
          <w:rFonts w:ascii="Arial" w:hAnsi="Arial" w:cs="Arial"/>
          <w:lang w:val="en-US"/>
        </w:rPr>
        <w:t xml:space="preserve"> F1 variety is more influenced by variety characteristics and growing conditions than by differences in fertilizer combinations.</w:t>
      </w:r>
      <w:r w:rsidR="009F6889">
        <w:rPr>
          <w:rFonts w:ascii="Arial" w:hAnsi="Arial" w:cs="Arial"/>
          <w:lang w:val="en-US"/>
        </w:rPr>
        <w:t xml:space="preserve"> </w:t>
      </w:r>
      <w:r w:rsidR="009F6889">
        <w:rPr>
          <w:rFonts w:ascii="Arial" w:hAnsi="Arial" w:cs="Arial"/>
          <w:lang w:val="en-US"/>
        </w:rPr>
        <w:fldChar w:fldCharType="begin" w:fldLock="1"/>
      </w:r>
      <w:r w:rsidR="009F6889">
        <w:rPr>
          <w:rFonts w:ascii="Arial" w:hAnsi="Arial" w:cs="Arial"/>
          <w:lang w:val="en-US"/>
        </w:rPr>
        <w:instrText>ADDIN CSL_CITATION {"citationItems":[{"id":"ITEM-1","itemData":{"author":[{"dropping-particle":"","family":"Kamilah Rahmah","given":"","non-dropping-particle":"","parse-names":false,"suffix":""},{"dropping-particle":"","family":"Elia Azizah","given":"","non-dropping-particle":"","parse-names":false,"suffix":""},{"dropping-particle":"","family":"Winda Rianti","given":"","non-dropping-particle":"","parse-names":false,"suffix":""}],"id":"ITEM-1","issue":"2","issued":{"date-parts":[["2023"]]},"page":"465-470","title":"Pengaruh Perbedaan Konsentrasi Hormon Benzyl Amino Purine (BAP) Terhadap Penampilan","type":"article-journal","volume":"10"},"uris":["http://www.mendeley.com/documents/?uuid=6abf95e0-237a-4cbf-a240-39e2f3a39bc2"]}],"mendeley":{"formattedCitation":"(Kamilah Rahmah et al., 2023)","manualFormatting":"(Kamilah et al., (2023)","plainTextFormattedCitation":"(Kamilah Rahmah et al., 2023)","previouslyFormattedCitation":"(Kamilah Rahmah et al., 2023)"},"properties":{"noteIndex":0},"schema":"https://github.com/citation-style-language/schema/raw/master/csl-citation.json"}</w:instrText>
      </w:r>
      <w:r w:rsidR="009F6889">
        <w:rPr>
          <w:rFonts w:ascii="Arial" w:hAnsi="Arial" w:cs="Arial"/>
          <w:lang w:val="en-US"/>
        </w:rPr>
        <w:fldChar w:fldCharType="separate"/>
      </w:r>
      <w:r w:rsidR="009F6889" w:rsidRPr="009F6889">
        <w:rPr>
          <w:rFonts w:ascii="Arial" w:hAnsi="Arial" w:cs="Arial"/>
          <w:noProof/>
          <w:lang w:val="en-US"/>
        </w:rPr>
        <w:t xml:space="preserve">(Kamilah et al., </w:t>
      </w:r>
      <w:r w:rsidR="009F6889">
        <w:rPr>
          <w:rFonts w:ascii="Arial" w:hAnsi="Arial" w:cs="Arial"/>
          <w:noProof/>
          <w:lang w:val="en-US"/>
        </w:rPr>
        <w:t>(</w:t>
      </w:r>
      <w:r w:rsidR="009F6889" w:rsidRPr="009F6889">
        <w:rPr>
          <w:rFonts w:ascii="Arial" w:hAnsi="Arial" w:cs="Arial"/>
          <w:noProof/>
          <w:lang w:val="en-US"/>
        </w:rPr>
        <w:t>2023)</w:t>
      </w:r>
      <w:r w:rsidR="009F6889">
        <w:rPr>
          <w:rFonts w:ascii="Arial" w:hAnsi="Arial" w:cs="Arial"/>
          <w:lang w:val="en-US"/>
        </w:rPr>
        <w:fldChar w:fldCharType="end"/>
      </w:r>
      <w:r w:rsidRPr="000E4CD0">
        <w:rPr>
          <w:rFonts w:ascii="Arial" w:hAnsi="Arial" w:cs="Arial"/>
          <w:lang w:val="en-US"/>
        </w:rPr>
        <w:t xml:space="preserve"> stated that variations in the number of shallot offshoots are influenced by the plant's ability to utilize the environment, while</w:t>
      </w:r>
      <w:r w:rsidR="009F6889">
        <w:rPr>
          <w:rFonts w:ascii="Arial" w:hAnsi="Arial" w:cs="Arial"/>
          <w:lang w:val="en-US"/>
        </w:rPr>
        <w:t xml:space="preserve"> </w:t>
      </w:r>
      <w:r w:rsidR="009F6889">
        <w:rPr>
          <w:rFonts w:ascii="Arial" w:hAnsi="Arial" w:cs="Arial"/>
          <w:lang w:val="en-US"/>
        </w:rPr>
        <w:fldChar w:fldCharType="begin" w:fldLock="1"/>
      </w:r>
      <w:r w:rsidR="006A5080">
        <w:rPr>
          <w:rFonts w:ascii="Arial" w:hAnsi="Arial" w:cs="Arial"/>
          <w:lang w:val="en-US"/>
        </w:rPr>
        <w:instrText>ADDIN CSL_CITATION {"citationItems":[{"id":"ITEM-1","itemData":{"author":[{"dropping-particle":"","family":"Pramukyana","given":"Lutfi","non-dropping-particle":"","parse-names":false,"suffix":""},{"dropping-particle":"","family":"Kendarini","given":"Niken","non-dropping-particle":"","parse-names":false,"suffix":""},{"dropping-particle":"","family":"Respatijarti","given":"","non-dropping-particle":"","parse-names":false,"suffix":""}],"container-title":"Jurnal Produksi Tanaman, Jurusan Agronomi, Fakultas Pertanian, Universitas Brawijaya","id":"ITEM-1","issue":"7","issued":{"date-parts":[["2018"]]},"page":"1433-1441","title":"Respon Pemberian Konsentrasi GA3 Terhadap Pembungaan Dua Varietas Bawang Merah ( Allium ascalonicum L .) Response Of GA3 ’ S Concentration Toward Flowering Two Shallot Varieties","type":"article-journal","volume":"6"},"uris":["http://www.mendeley.com/documents/?uuid=05dc5c47-a61b-4b3d-8c8e-a6b076cccfd2"]}],"mendeley":{"formattedCitation":"(Pramukyana et al., 2018)","manualFormatting":"Pramukyana et al. (2018)","plainTextFormattedCitation":"(Pramukyana et al., 2018)","previouslyFormattedCitation":"(Pramukyana et al., 2018)"},"properties":{"noteIndex":0},"schema":"https://github.com/citation-style-language/schema/raw/master/csl-citation.json"}</w:instrText>
      </w:r>
      <w:r w:rsidR="009F6889">
        <w:rPr>
          <w:rFonts w:ascii="Arial" w:hAnsi="Arial" w:cs="Arial"/>
          <w:lang w:val="en-US"/>
        </w:rPr>
        <w:fldChar w:fldCharType="separate"/>
      </w:r>
      <w:r w:rsidR="009F6889" w:rsidRPr="009F6889">
        <w:rPr>
          <w:rFonts w:ascii="Arial" w:hAnsi="Arial" w:cs="Arial"/>
          <w:noProof/>
          <w:lang w:val="en-US"/>
        </w:rPr>
        <w:t xml:space="preserve">Pramukyana et al. </w:t>
      </w:r>
      <w:r w:rsidR="009F6889">
        <w:rPr>
          <w:rFonts w:ascii="Arial" w:hAnsi="Arial" w:cs="Arial"/>
          <w:noProof/>
          <w:lang w:val="en-US"/>
        </w:rPr>
        <w:t>(</w:t>
      </w:r>
      <w:r w:rsidR="009F6889" w:rsidRPr="009F6889">
        <w:rPr>
          <w:rFonts w:ascii="Arial" w:hAnsi="Arial" w:cs="Arial"/>
          <w:noProof/>
          <w:lang w:val="en-US"/>
        </w:rPr>
        <w:t>2018)</w:t>
      </w:r>
      <w:r w:rsidR="009F6889">
        <w:rPr>
          <w:rFonts w:ascii="Arial" w:hAnsi="Arial" w:cs="Arial"/>
          <w:lang w:val="en-US"/>
        </w:rPr>
        <w:fldChar w:fldCharType="end"/>
      </w:r>
      <w:r w:rsidRPr="000E4CD0">
        <w:rPr>
          <w:rFonts w:ascii="Arial" w:hAnsi="Arial" w:cs="Arial"/>
          <w:lang w:val="en-US"/>
        </w:rPr>
        <w:t xml:space="preserve"> explained that the number of offshoots is determined by internal factors such as variety and environmental factors such as temperature and growth regulators. Thus, internal plant factors and environmental conditions are more dominant in the formation of shallot offshoots.</w:t>
      </w:r>
    </w:p>
    <w:p w14:paraId="7223F683" w14:textId="77777777" w:rsidR="000E4CD0" w:rsidRDefault="000E4CD0" w:rsidP="00B91AC2">
      <w:pPr>
        <w:pStyle w:val="Body"/>
        <w:spacing w:after="0"/>
        <w:rPr>
          <w:rFonts w:ascii="Arial" w:hAnsi="Arial" w:cs="Arial"/>
        </w:rPr>
      </w:pPr>
    </w:p>
    <w:p w14:paraId="7B7E43B5" w14:textId="5C6E5D25" w:rsidR="00992868" w:rsidRDefault="00B91AC2" w:rsidP="00B91AC2">
      <w:pPr>
        <w:tabs>
          <w:tab w:val="left" w:pos="1080"/>
        </w:tabs>
        <w:jc w:val="both"/>
        <w:rPr>
          <w:rFonts w:ascii="Arial" w:hAnsi="Arial"/>
          <w:b/>
          <w:sz w:val="22"/>
          <w:szCs w:val="22"/>
        </w:rPr>
      </w:pPr>
      <w:r w:rsidRPr="004A1E22">
        <w:rPr>
          <w:rFonts w:ascii="Arial" w:hAnsi="Arial"/>
          <w:b/>
          <w:sz w:val="22"/>
          <w:szCs w:val="22"/>
        </w:rPr>
        <w:t xml:space="preserve">3.4 </w:t>
      </w:r>
      <w:r w:rsidR="000E4CD0" w:rsidRPr="000E4CD0">
        <w:rPr>
          <w:rFonts w:ascii="Arial" w:hAnsi="Arial"/>
          <w:b/>
          <w:sz w:val="22"/>
          <w:szCs w:val="22"/>
        </w:rPr>
        <w:t xml:space="preserve">The Effect of Using PSB Liquid Organic Fertilizer and Inorganic Fertilizer on the Yield of TSS Shallots  </w:t>
      </w:r>
    </w:p>
    <w:p w14:paraId="6DBF241F" w14:textId="1CE46B9B" w:rsidR="00992868" w:rsidRPr="00757DD0" w:rsidRDefault="00757DD0" w:rsidP="00757DD0">
      <w:pPr>
        <w:tabs>
          <w:tab w:val="left" w:pos="709"/>
        </w:tabs>
        <w:jc w:val="both"/>
        <w:rPr>
          <w:rFonts w:ascii="Arial" w:hAnsi="Arial"/>
          <w:bCs/>
        </w:rPr>
      </w:pPr>
      <w:r>
        <w:rPr>
          <w:rFonts w:ascii="Arial" w:hAnsi="Arial"/>
          <w:bCs/>
        </w:rPr>
        <w:tab/>
      </w:r>
      <w:r w:rsidR="00992868" w:rsidRPr="00992868">
        <w:rPr>
          <w:rFonts w:ascii="Arial" w:hAnsi="Arial"/>
          <w:bCs/>
        </w:rPr>
        <w:t>The results of the analysis of variance show that the seven combinations of PSB liquid organic fertilizer and inorganic fertilizer did not have a significant effect on all variables of shallot yield, including the number of bulbs per clump, fresh and dry bulb weight, bulb diameter and height, and bulb yield per plot (Table 3). Descriptively, the highest number of bulbs per clump was found in P5 (2.65 bulbs) and the lowest in P3 (1.75 bulbs). The highest fresh and dry bulb weights tended to be found in P0, while the lowest values were generally found in P6. Bulb diameter and height also showed a similar pattern, with the highest values in P0–P1 and the lowest in P6. The highest bulb yield per plot was achieved by P5 (4.60 g) and the lowest by P6 (3.98 g).</w:t>
      </w:r>
    </w:p>
    <w:p w14:paraId="6CE1F23F" w14:textId="31076D97" w:rsidR="00B91AC2" w:rsidRDefault="00757DD0" w:rsidP="00757DD0">
      <w:pPr>
        <w:tabs>
          <w:tab w:val="left" w:pos="709"/>
        </w:tabs>
        <w:jc w:val="both"/>
        <w:rPr>
          <w:rFonts w:ascii="Arial" w:hAnsi="Arial"/>
          <w:bCs/>
        </w:rPr>
      </w:pPr>
      <w:r>
        <w:rPr>
          <w:rFonts w:ascii="Arial" w:hAnsi="Arial"/>
          <w:bCs/>
        </w:rPr>
        <w:tab/>
      </w:r>
      <w:r w:rsidR="00992868" w:rsidRPr="00992868">
        <w:rPr>
          <w:rFonts w:ascii="Arial" w:hAnsi="Arial"/>
          <w:bCs/>
        </w:rPr>
        <w:t>Although there was no significant difference, there was a tendency for differences between treatments, indicating that fertilization was not a major determining factor in yield formation under the conditions of this study. This is thought to be due to the initial soil fertility being quite good and the influence of the highland environment, such as temperature and light intensity, which are more dominant in regulating photosynthesis and bulb enlargement. Thus, the yield of TSS shallots is more influenced by soil and environmental conditions than by the combination of fertilizers tested.</w:t>
      </w:r>
    </w:p>
    <w:p w14:paraId="3142734E" w14:textId="77777777" w:rsidR="00181D47" w:rsidRDefault="00181D47" w:rsidP="00757DD0">
      <w:pPr>
        <w:tabs>
          <w:tab w:val="left" w:pos="709"/>
        </w:tabs>
        <w:jc w:val="both"/>
        <w:rPr>
          <w:rFonts w:ascii="Arial" w:hAnsi="Arial"/>
          <w:bCs/>
        </w:rPr>
      </w:pPr>
    </w:p>
    <w:p w14:paraId="09BAAE0B" w14:textId="77777777" w:rsidR="002445FC" w:rsidRDefault="002445FC" w:rsidP="00B91AC2">
      <w:pPr>
        <w:tabs>
          <w:tab w:val="left" w:pos="1080"/>
        </w:tabs>
        <w:jc w:val="both"/>
        <w:rPr>
          <w:rFonts w:ascii="Arial" w:hAnsi="Arial"/>
          <w:bCs/>
        </w:rPr>
      </w:pPr>
    </w:p>
    <w:p w14:paraId="45B629BA" w14:textId="77777777" w:rsidR="009F6889" w:rsidRDefault="009F6889" w:rsidP="00B91AC2">
      <w:pPr>
        <w:tabs>
          <w:tab w:val="left" w:pos="1080"/>
        </w:tabs>
        <w:jc w:val="both"/>
        <w:rPr>
          <w:rFonts w:ascii="Arial" w:hAnsi="Arial"/>
          <w:bCs/>
        </w:rPr>
      </w:pPr>
    </w:p>
    <w:p w14:paraId="5CB19562" w14:textId="65DE85BC" w:rsidR="002445FC" w:rsidRDefault="00F9680B" w:rsidP="002445FC">
      <w:pPr>
        <w:tabs>
          <w:tab w:val="left" w:pos="1080"/>
        </w:tabs>
        <w:jc w:val="both"/>
        <w:rPr>
          <w:rFonts w:ascii="Arial" w:hAnsi="Arial"/>
          <w:bCs/>
        </w:rPr>
      </w:pPr>
      <w:r w:rsidRPr="00F9680B">
        <w:rPr>
          <w:rFonts w:ascii="Arial" w:hAnsi="Arial"/>
          <w:bCs/>
        </w:rPr>
        <w:lastRenderedPageBreak/>
        <w:t>Table 3. Average data on the effect of seven treatment combinations on TSS shallot yields.</w:t>
      </w:r>
    </w:p>
    <w:tbl>
      <w:tblPr>
        <w:tblW w:w="9330" w:type="dxa"/>
        <w:tblLayout w:type="fixed"/>
        <w:tblLook w:val="04A0" w:firstRow="1" w:lastRow="0" w:firstColumn="1" w:lastColumn="0" w:noHBand="0" w:noVBand="1"/>
      </w:tblPr>
      <w:tblGrid>
        <w:gridCol w:w="1534"/>
        <w:gridCol w:w="1275"/>
        <w:gridCol w:w="1097"/>
        <w:gridCol w:w="1030"/>
        <w:gridCol w:w="1134"/>
        <w:gridCol w:w="1134"/>
        <w:gridCol w:w="1134"/>
        <w:gridCol w:w="992"/>
      </w:tblGrid>
      <w:tr w:rsidR="0060721B" w:rsidRPr="00226C75" w14:paraId="6093FF8F" w14:textId="77777777" w:rsidTr="003B1CBE">
        <w:trPr>
          <w:trHeight w:val="402"/>
        </w:trPr>
        <w:tc>
          <w:tcPr>
            <w:tcW w:w="1534" w:type="dxa"/>
            <w:tcBorders>
              <w:top w:val="single" w:sz="4" w:space="0" w:color="auto"/>
              <w:bottom w:val="single" w:sz="4" w:space="0" w:color="auto"/>
            </w:tcBorders>
            <w:noWrap/>
            <w:vAlign w:val="center"/>
            <w:hideMark/>
          </w:tcPr>
          <w:p w14:paraId="67C7C357" w14:textId="77777777" w:rsidR="0060721B" w:rsidRPr="003B1CBE" w:rsidRDefault="0060721B" w:rsidP="00C75126">
            <w:pPr>
              <w:jc w:val="center"/>
              <w:rPr>
                <w:rFonts w:ascii="Arial" w:hAnsi="Arial" w:cs="Arial"/>
                <w:color w:val="000000"/>
                <w:sz w:val="16"/>
                <w:szCs w:val="16"/>
              </w:rPr>
            </w:pPr>
            <w:bookmarkStart w:id="1" w:name="_Hlk218589911"/>
            <w:r w:rsidRPr="003B1CBE">
              <w:rPr>
                <w:rFonts w:ascii="Arial" w:hAnsi="Arial" w:cs="Arial"/>
                <w:color w:val="000000"/>
                <w:sz w:val="16"/>
                <w:szCs w:val="16"/>
              </w:rPr>
              <w:t>Treatment</w:t>
            </w:r>
          </w:p>
        </w:tc>
        <w:tc>
          <w:tcPr>
            <w:tcW w:w="1275" w:type="dxa"/>
            <w:tcBorders>
              <w:top w:val="single" w:sz="4" w:space="0" w:color="auto"/>
              <w:bottom w:val="single" w:sz="4" w:space="0" w:color="auto"/>
            </w:tcBorders>
            <w:noWrap/>
            <w:vAlign w:val="center"/>
            <w:hideMark/>
          </w:tcPr>
          <w:p w14:paraId="43730622" w14:textId="0BE9A4FE" w:rsidR="0060721B" w:rsidRPr="003B1CBE" w:rsidRDefault="00AF6C9E" w:rsidP="00C75126">
            <w:pPr>
              <w:jc w:val="center"/>
              <w:rPr>
                <w:rFonts w:ascii="Arial" w:hAnsi="Arial" w:cs="Arial"/>
                <w:color w:val="000000"/>
                <w:sz w:val="16"/>
                <w:szCs w:val="16"/>
              </w:rPr>
            </w:pPr>
            <w:r w:rsidRPr="003B1CBE">
              <w:rPr>
                <w:rFonts w:ascii="Arial" w:hAnsi="Arial" w:cs="Arial"/>
                <w:color w:val="000000"/>
                <w:sz w:val="16"/>
                <w:szCs w:val="16"/>
              </w:rPr>
              <w:t>NTC</w:t>
            </w:r>
          </w:p>
        </w:tc>
        <w:tc>
          <w:tcPr>
            <w:tcW w:w="1097" w:type="dxa"/>
            <w:tcBorders>
              <w:top w:val="single" w:sz="4" w:space="0" w:color="auto"/>
              <w:bottom w:val="single" w:sz="4" w:space="0" w:color="auto"/>
            </w:tcBorders>
            <w:noWrap/>
            <w:vAlign w:val="center"/>
            <w:hideMark/>
          </w:tcPr>
          <w:p w14:paraId="73545FB7" w14:textId="3B20F1FC" w:rsidR="0060721B" w:rsidRPr="003B1CBE" w:rsidRDefault="00AF6C9E" w:rsidP="00C75126">
            <w:pPr>
              <w:jc w:val="center"/>
              <w:rPr>
                <w:rFonts w:ascii="Arial" w:hAnsi="Arial" w:cs="Arial"/>
                <w:color w:val="000000"/>
                <w:sz w:val="16"/>
                <w:szCs w:val="16"/>
              </w:rPr>
            </w:pPr>
            <w:r w:rsidRPr="003B1CBE">
              <w:rPr>
                <w:rFonts w:ascii="Arial" w:hAnsi="Arial" w:cs="Arial"/>
                <w:color w:val="000000"/>
                <w:sz w:val="16"/>
                <w:szCs w:val="16"/>
              </w:rPr>
              <w:t xml:space="preserve">FTW </w:t>
            </w:r>
            <w:r w:rsidR="0060721B" w:rsidRPr="003B1CBE">
              <w:rPr>
                <w:rFonts w:ascii="Arial" w:hAnsi="Arial" w:cs="Arial"/>
                <w:color w:val="000000"/>
                <w:sz w:val="16"/>
                <w:szCs w:val="16"/>
              </w:rPr>
              <w:t>(g)</w:t>
            </w:r>
          </w:p>
        </w:tc>
        <w:tc>
          <w:tcPr>
            <w:tcW w:w="1030" w:type="dxa"/>
            <w:tcBorders>
              <w:top w:val="single" w:sz="4" w:space="0" w:color="auto"/>
              <w:bottom w:val="single" w:sz="4" w:space="0" w:color="auto"/>
            </w:tcBorders>
            <w:vAlign w:val="center"/>
          </w:tcPr>
          <w:p w14:paraId="2E2C41C2" w14:textId="3C21ACDC" w:rsidR="0060721B" w:rsidRPr="003B1CBE" w:rsidRDefault="00AF6C9E" w:rsidP="00C75126">
            <w:pPr>
              <w:jc w:val="center"/>
              <w:rPr>
                <w:rFonts w:ascii="Arial" w:hAnsi="Arial" w:cs="Arial"/>
                <w:color w:val="000000"/>
                <w:sz w:val="16"/>
                <w:szCs w:val="16"/>
              </w:rPr>
            </w:pPr>
            <w:r w:rsidRPr="003B1CBE">
              <w:rPr>
                <w:rFonts w:ascii="Arial" w:hAnsi="Arial" w:cs="Arial"/>
                <w:color w:val="000000"/>
                <w:sz w:val="16"/>
                <w:szCs w:val="16"/>
              </w:rPr>
              <w:t xml:space="preserve">DTW </w:t>
            </w:r>
            <w:r w:rsidR="0060721B" w:rsidRPr="003B1CBE">
              <w:rPr>
                <w:rFonts w:ascii="Arial" w:hAnsi="Arial" w:cs="Arial"/>
                <w:color w:val="000000"/>
                <w:sz w:val="16"/>
                <w:szCs w:val="16"/>
              </w:rPr>
              <w:t>(g)</w:t>
            </w:r>
          </w:p>
        </w:tc>
        <w:tc>
          <w:tcPr>
            <w:tcW w:w="1134" w:type="dxa"/>
            <w:tcBorders>
              <w:top w:val="single" w:sz="4" w:space="0" w:color="auto"/>
              <w:bottom w:val="single" w:sz="4" w:space="0" w:color="auto"/>
            </w:tcBorders>
            <w:vAlign w:val="center"/>
          </w:tcPr>
          <w:p w14:paraId="1BD0345A" w14:textId="09AE19F3" w:rsidR="0060721B" w:rsidRPr="003B1CBE" w:rsidRDefault="0060721B" w:rsidP="00AF6C9E">
            <w:pPr>
              <w:jc w:val="center"/>
              <w:rPr>
                <w:rFonts w:ascii="Arial" w:hAnsi="Arial" w:cs="Arial"/>
                <w:color w:val="000000"/>
                <w:sz w:val="16"/>
                <w:szCs w:val="16"/>
              </w:rPr>
            </w:pPr>
            <w:r w:rsidRPr="003B1CBE">
              <w:rPr>
                <w:rFonts w:ascii="Arial" w:hAnsi="Arial" w:cs="Arial"/>
                <w:color w:val="000000"/>
                <w:sz w:val="16"/>
                <w:szCs w:val="16"/>
              </w:rPr>
              <w:t>T</w:t>
            </w:r>
            <w:r w:rsidR="00AF6C9E" w:rsidRPr="003B1CBE">
              <w:rPr>
                <w:rFonts w:ascii="Arial" w:hAnsi="Arial" w:cs="Arial"/>
                <w:color w:val="000000"/>
                <w:sz w:val="16"/>
                <w:szCs w:val="16"/>
              </w:rPr>
              <w:t>D</w:t>
            </w:r>
            <w:r w:rsidR="00F9680B" w:rsidRPr="003B1CBE">
              <w:rPr>
                <w:rFonts w:ascii="Arial" w:hAnsi="Arial" w:cs="Arial"/>
                <w:color w:val="000000"/>
                <w:sz w:val="16"/>
                <w:szCs w:val="16"/>
              </w:rPr>
              <w:t xml:space="preserve"> </w:t>
            </w:r>
            <w:r w:rsidRPr="003B1CBE">
              <w:rPr>
                <w:rFonts w:ascii="Arial" w:hAnsi="Arial" w:cs="Arial"/>
                <w:color w:val="000000"/>
                <w:sz w:val="16"/>
                <w:szCs w:val="16"/>
              </w:rPr>
              <w:t>(mm)</w:t>
            </w:r>
          </w:p>
        </w:tc>
        <w:tc>
          <w:tcPr>
            <w:tcW w:w="1134" w:type="dxa"/>
            <w:tcBorders>
              <w:top w:val="single" w:sz="4" w:space="0" w:color="auto"/>
              <w:bottom w:val="single" w:sz="4" w:space="0" w:color="auto"/>
            </w:tcBorders>
            <w:vAlign w:val="center"/>
          </w:tcPr>
          <w:p w14:paraId="342878E4" w14:textId="2372E453" w:rsidR="0060721B" w:rsidRPr="003B1CBE" w:rsidRDefault="00AF6C9E" w:rsidP="00C75126">
            <w:pPr>
              <w:jc w:val="center"/>
              <w:rPr>
                <w:rFonts w:ascii="Arial" w:hAnsi="Arial" w:cs="Arial"/>
                <w:color w:val="000000"/>
                <w:sz w:val="16"/>
                <w:szCs w:val="16"/>
              </w:rPr>
            </w:pPr>
            <w:r w:rsidRPr="003B1CBE">
              <w:rPr>
                <w:rFonts w:ascii="Arial" w:hAnsi="Arial" w:cs="Arial"/>
                <w:color w:val="000000"/>
                <w:sz w:val="16"/>
                <w:szCs w:val="16"/>
              </w:rPr>
              <w:t>TH</w:t>
            </w:r>
            <w:r w:rsidR="00F9680B" w:rsidRPr="003B1CBE">
              <w:rPr>
                <w:rFonts w:ascii="Arial" w:hAnsi="Arial" w:cs="Arial"/>
                <w:color w:val="000000"/>
                <w:sz w:val="16"/>
                <w:szCs w:val="16"/>
              </w:rPr>
              <w:t xml:space="preserve"> </w:t>
            </w:r>
            <w:r w:rsidR="0060721B" w:rsidRPr="003B1CBE">
              <w:rPr>
                <w:rFonts w:ascii="Arial" w:hAnsi="Arial" w:cs="Arial"/>
                <w:color w:val="000000"/>
                <w:sz w:val="16"/>
                <w:szCs w:val="16"/>
              </w:rPr>
              <w:t>(cm)</w:t>
            </w:r>
          </w:p>
        </w:tc>
        <w:tc>
          <w:tcPr>
            <w:tcW w:w="1134" w:type="dxa"/>
            <w:tcBorders>
              <w:top w:val="single" w:sz="4" w:space="0" w:color="auto"/>
              <w:bottom w:val="single" w:sz="4" w:space="0" w:color="auto"/>
            </w:tcBorders>
            <w:vAlign w:val="center"/>
          </w:tcPr>
          <w:p w14:paraId="13DEB92C" w14:textId="05C579CB" w:rsidR="0060721B" w:rsidRPr="003B1CBE" w:rsidRDefault="00AF6C9E" w:rsidP="00C75126">
            <w:pPr>
              <w:jc w:val="center"/>
              <w:rPr>
                <w:rFonts w:ascii="Arial" w:hAnsi="Arial" w:cs="Arial"/>
                <w:color w:val="000000"/>
                <w:sz w:val="16"/>
                <w:szCs w:val="16"/>
              </w:rPr>
            </w:pPr>
            <w:r w:rsidRPr="003B1CBE">
              <w:rPr>
                <w:rFonts w:ascii="Arial" w:hAnsi="Arial" w:cs="Arial"/>
                <w:color w:val="000000"/>
                <w:sz w:val="16"/>
                <w:szCs w:val="16"/>
              </w:rPr>
              <w:t xml:space="preserve">TYP </w:t>
            </w:r>
            <w:r w:rsidR="0060721B" w:rsidRPr="003B1CBE">
              <w:rPr>
                <w:rFonts w:ascii="Arial" w:hAnsi="Arial" w:cs="Arial"/>
                <w:color w:val="000000"/>
                <w:sz w:val="16"/>
                <w:szCs w:val="16"/>
              </w:rPr>
              <w:t>(g)</w:t>
            </w:r>
          </w:p>
        </w:tc>
        <w:tc>
          <w:tcPr>
            <w:tcW w:w="992" w:type="dxa"/>
            <w:tcBorders>
              <w:top w:val="single" w:sz="4" w:space="0" w:color="auto"/>
              <w:bottom w:val="single" w:sz="4" w:space="0" w:color="auto"/>
            </w:tcBorders>
            <w:vAlign w:val="center"/>
          </w:tcPr>
          <w:p w14:paraId="62729391" w14:textId="11FDB73E" w:rsidR="0060721B" w:rsidRPr="003B1CBE" w:rsidRDefault="00AF6C9E" w:rsidP="00F9680B">
            <w:pPr>
              <w:jc w:val="center"/>
              <w:rPr>
                <w:rFonts w:ascii="Arial" w:hAnsi="Arial" w:cs="Arial"/>
                <w:color w:val="000000"/>
                <w:sz w:val="16"/>
                <w:szCs w:val="16"/>
              </w:rPr>
            </w:pPr>
            <w:r w:rsidRPr="003B1CBE">
              <w:rPr>
                <w:rFonts w:ascii="Arial" w:hAnsi="Arial" w:cs="Arial"/>
                <w:bCs/>
                <w:sz w:val="16"/>
                <w:szCs w:val="16"/>
              </w:rPr>
              <w:t>PPG</w:t>
            </w:r>
            <w:r w:rsidR="0060721B" w:rsidRPr="003B1CBE">
              <w:rPr>
                <w:rFonts w:ascii="Arial" w:hAnsi="Arial" w:cs="Arial"/>
                <w:bCs/>
                <w:sz w:val="16"/>
                <w:szCs w:val="16"/>
              </w:rPr>
              <w:t xml:space="preserve"> (%)</w:t>
            </w:r>
          </w:p>
        </w:tc>
      </w:tr>
      <w:tr w:rsidR="0060721B" w:rsidRPr="00226C75" w14:paraId="19BFA5CE" w14:textId="77777777" w:rsidTr="003B1CBE">
        <w:trPr>
          <w:trHeight w:val="380"/>
        </w:trPr>
        <w:tc>
          <w:tcPr>
            <w:tcW w:w="1534" w:type="dxa"/>
            <w:tcBorders>
              <w:top w:val="single" w:sz="4" w:space="0" w:color="auto"/>
            </w:tcBorders>
            <w:noWrap/>
            <w:vAlign w:val="center"/>
            <w:hideMark/>
          </w:tcPr>
          <w:p w14:paraId="28C001A5"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P0 </w:t>
            </w:r>
            <w:r w:rsidRPr="003B1CBE">
              <w:rPr>
                <w:rFonts w:ascii="Arial" w:hAnsi="Arial" w:cs="Arial"/>
                <w:bCs/>
                <w:sz w:val="16"/>
                <w:szCs w:val="16"/>
              </w:rPr>
              <w:t>(100% inorganic fertilizer)</w:t>
            </w:r>
          </w:p>
        </w:tc>
        <w:tc>
          <w:tcPr>
            <w:tcW w:w="1275" w:type="dxa"/>
            <w:tcBorders>
              <w:top w:val="single" w:sz="4" w:space="0" w:color="auto"/>
            </w:tcBorders>
            <w:noWrap/>
            <w:vAlign w:val="center"/>
            <w:hideMark/>
          </w:tcPr>
          <w:p w14:paraId="690BD19C"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2,5±0,96</m:t>
                </m:r>
              </m:oMath>
            </m:oMathPara>
          </w:p>
        </w:tc>
        <w:tc>
          <w:tcPr>
            <w:tcW w:w="1097" w:type="dxa"/>
            <w:tcBorders>
              <w:top w:val="single" w:sz="4" w:space="0" w:color="auto"/>
            </w:tcBorders>
            <w:noWrap/>
            <w:vAlign w:val="center"/>
            <w:hideMark/>
          </w:tcPr>
          <w:p w14:paraId="05753022"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2,43±0,32</m:t>
                </m:r>
              </m:oMath>
            </m:oMathPara>
          </w:p>
        </w:tc>
        <w:tc>
          <w:tcPr>
            <w:tcW w:w="1030" w:type="dxa"/>
            <w:tcBorders>
              <w:top w:val="single" w:sz="4" w:space="0" w:color="auto"/>
            </w:tcBorders>
            <w:vAlign w:val="center"/>
          </w:tcPr>
          <w:p w14:paraId="7BC42F63"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2,12±0,35</m:t>
                </m:r>
              </m:oMath>
            </m:oMathPara>
          </w:p>
        </w:tc>
        <w:tc>
          <w:tcPr>
            <w:tcW w:w="1134" w:type="dxa"/>
            <w:tcBorders>
              <w:top w:val="single" w:sz="4" w:space="0" w:color="auto"/>
            </w:tcBorders>
            <w:vAlign w:val="center"/>
          </w:tcPr>
          <w:p w14:paraId="305ADB28"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19,13±2,41</m:t>
                </m:r>
              </m:oMath>
            </m:oMathPara>
          </w:p>
        </w:tc>
        <w:tc>
          <w:tcPr>
            <w:tcW w:w="1134" w:type="dxa"/>
            <w:tcBorders>
              <w:top w:val="single" w:sz="4" w:space="0" w:color="auto"/>
            </w:tcBorders>
            <w:vAlign w:val="center"/>
          </w:tcPr>
          <w:p w14:paraId="2896607B"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2,1±0,18</m:t>
                </m:r>
              </m:oMath>
            </m:oMathPara>
          </w:p>
        </w:tc>
        <w:tc>
          <w:tcPr>
            <w:tcW w:w="1134" w:type="dxa"/>
            <w:tcBorders>
              <w:top w:val="single" w:sz="4" w:space="0" w:color="auto"/>
            </w:tcBorders>
            <w:vAlign w:val="center"/>
          </w:tcPr>
          <w:p w14:paraId="2C000515"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4,55±0,29</m:t>
                </m:r>
              </m:oMath>
            </m:oMathPara>
          </w:p>
        </w:tc>
        <w:tc>
          <w:tcPr>
            <w:tcW w:w="992" w:type="dxa"/>
            <w:tcBorders>
              <w:top w:val="single" w:sz="4" w:space="0" w:color="auto"/>
            </w:tcBorders>
            <w:vAlign w:val="center"/>
          </w:tcPr>
          <w:p w14:paraId="17CFCB87"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96±0,06</m:t>
                </m:r>
              </m:oMath>
            </m:oMathPara>
          </w:p>
        </w:tc>
      </w:tr>
      <w:tr w:rsidR="0060721B" w:rsidRPr="00226C75" w14:paraId="57C4C1A6" w14:textId="77777777" w:rsidTr="003B1CBE">
        <w:trPr>
          <w:trHeight w:val="362"/>
        </w:trPr>
        <w:tc>
          <w:tcPr>
            <w:tcW w:w="1534" w:type="dxa"/>
            <w:noWrap/>
            <w:vAlign w:val="center"/>
            <w:hideMark/>
          </w:tcPr>
          <w:p w14:paraId="6848864F"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P1 </w:t>
            </w:r>
            <w:r w:rsidRPr="003B1CBE">
              <w:rPr>
                <w:rFonts w:ascii="Arial" w:hAnsi="Arial" w:cs="Arial"/>
                <w:bCs/>
                <w:sz w:val="16"/>
                <w:szCs w:val="16"/>
              </w:rPr>
              <w:t>(50% P0 + LOF PSB 10 ml/L)</w:t>
            </w:r>
          </w:p>
        </w:tc>
        <w:tc>
          <w:tcPr>
            <w:tcW w:w="1275" w:type="dxa"/>
            <w:noWrap/>
            <w:vAlign w:val="center"/>
            <w:hideMark/>
          </w:tcPr>
          <w:p w14:paraId="4155609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2,5±0,53</m:t>
                </m:r>
              </m:oMath>
            </m:oMathPara>
          </w:p>
        </w:tc>
        <w:tc>
          <w:tcPr>
            <w:tcW w:w="1097" w:type="dxa"/>
            <w:noWrap/>
            <w:vAlign w:val="center"/>
            <w:hideMark/>
          </w:tcPr>
          <w:p w14:paraId="03664251"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2,36±0,21</m:t>
                </m:r>
              </m:oMath>
            </m:oMathPara>
          </w:p>
        </w:tc>
        <w:tc>
          <w:tcPr>
            <w:tcW w:w="1030" w:type="dxa"/>
            <w:vAlign w:val="center"/>
          </w:tcPr>
          <w:p w14:paraId="050AD447"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2,06±0,17</m:t>
                </m:r>
              </m:oMath>
            </m:oMathPara>
          </w:p>
        </w:tc>
        <w:tc>
          <w:tcPr>
            <w:tcW w:w="1134" w:type="dxa"/>
            <w:vAlign w:val="center"/>
          </w:tcPr>
          <w:p w14:paraId="0B7E59C6"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18,54±1,83</m:t>
                </m:r>
              </m:oMath>
            </m:oMathPara>
          </w:p>
        </w:tc>
        <w:tc>
          <w:tcPr>
            <w:tcW w:w="1134" w:type="dxa"/>
            <w:vAlign w:val="center"/>
          </w:tcPr>
          <w:p w14:paraId="0946BA54"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2,12±0,09</m:t>
                </m:r>
              </m:oMath>
            </m:oMathPara>
          </w:p>
        </w:tc>
        <w:tc>
          <w:tcPr>
            <w:tcW w:w="1134" w:type="dxa"/>
            <w:vAlign w:val="center"/>
          </w:tcPr>
          <w:p w14:paraId="7966E13C"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4,39±0,34</m:t>
                </m:r>
              </m:oMath>
            </m:oMathPara>
          </w:p>
        </w:tc>
        <w:tc>
          <w:tcPr>
            <w:tcW w:w="992" w:type="dxa"/>
            <w:vAlign w:val="center"/>
          </w:tcPr>
          <w:p w14:paraId="7ADBA7E4"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100±0</m:t>
                </m:r>
              </m:oMath>
            </m:oMathPara>
          </w:p>
        </w:tc>
      </w:tr>
      <w:tr w:rsidR="0060721B" w:rsidRPr="00226C75" w14:paraId="6AC78B45" w14:textId="77777777" w:rsidTr="003B1CBE">
        <w:trPr>
          <w:trHeight w:val="343"/>
        </w:trPr>
        <w:tc>
          <w:tcPr>
            <w:tcW w:w="1534" w:type="dxa"/>
            <w:noWrap/>
            <w:vAlign w:val="center"/>
            <w:hideMark/>
          </w:tcPr>
          <w:p w14:paraId="3245E5D5"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P2 </w:t>
            </w:r>
            <w:r w:rsidRPr="003B1CBE">
              <w:rPr>
                <w:rFonts w:ascii="Arial" w:hAnsi="Arial" w:cs="Arial"/>
                <w:bCs/>
                <w:sz w:val="16"/>
                <w:szCs w:val="16"/>
              </w:rPr>
              <w:t>(25% P0 + LOF PSB 10 ml/L)</w:t>
            </w:r>
          </w:p>
        </w:tc>
        <w:tc>
          <w:tcPr>
            <w:tcW w:w="1275" w:type="dxa"/>
            <w:noWrap/>
            <w:vAlign w:val="center"/>
            <w:hideMark/>
          </w:tcPr>
          <w:p w14:paraId="3E8EDEC4"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2±043</m:t>
                </m:r>
              </m:oMath>
            </m:oMathPara>
          </w:p>
        </w:tc>
        <w:tc>
          <w:tcPr>
            <w:tcW w:w="1097" w:type="dxa"/>
            <w:noWrap/>
            <w:vAlign w:val="center"/>
            <w:hideMark/>
          </w:tcPr>
          <w:p w14:paraId="0A04DC8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2,16±0,32</m:t>
                </m:r>
              </m:oMath>
            </m:oMathPara>
          </w:p>
        </w:tc>
        <w:tc>
          <w:tcPr>
            <w:tcW w:w="1030" w:type="dxa"/>
            <w:vAlign w:val="center"/>
          </w:tcPr>
          <w:p w14:paraId="778BBF1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1,91±0,35</m:t>
                </m:r>
              </m:oMath>
            </m:oMathPara>
          </w:p>
        </w:tc>
        <w:tc>
          <w:tcPr>
            <w:tcW w:w="1134" w:type="dxa"/>
            <w:vAlign w:val="center"/>
          </w:tcPr>
          <w:p w14:paraId="472DBB3A"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17,97±3,58</m:t>
                </m:r>
              </m:oMath>
            </m:oMathPara>
          </w:p>
        </w:tc>
        <w:tc>
          <w:tcPr>
            <w:tcW w:w="1134" w:type="dxa"/>
            <w:vAlign w:val="center"/>
          </w:tcPr>
          <w:p w14:paraId="407487FF"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2,02±0,26</m:t>
                </m:r>
              </m:oMath>
            </m:oMathPara>
          </w:p>
        </w:tc>
        <w:tc>
          <w:tcPr>
            <w:tcW w:w="1134" w:type="dxa"/>
            <w:vAlign w:val="center"/>
          </w:tcPr>
          <w:p w14:paraId="51921901"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4,19±0,49</m:t>
                </m:r>
              </m:oMath>
            </m:oMathPara>
          </w:p>
        </w:tc>
        <w:tc>
          <w:tcPr>
            <w:tcW w:w="992" w:type="dxa"/>
            <w:vAlign w:val="center"/>
          </w:tcPr>
          <w:p w14:paraId="6CD60D42"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95±0,04</m:t>
                </m:r>
              </m:oMath>
            </m:oMathPara>
          </w:p>
        </w:tc>
      </w:tr>
      <w:tr w:rsidR="0060721B" w:rsidRPr="00226C75" w14:paraId="0FE002CF" w14:textId="77777777" w:rsidTr="003B1CBE">
        <w:trPr>
          <w:trHeight w:val="559"/>
        </w:trPr>
        <w:tc>
          <w:tcPr>
            <w:tcW w:w="1534" w:type="dxa"/>
            <w:noWrap/>
            <w:vAlign w:val="center"/>
            <w:hideMark/>
          </w:tcPr>
          <w:p w14:paraId="0436BE4C"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P3 </w:t>
            </w:r>
            <w:r w:rsidRPr="003B1CBE">
              <w:rPr>
                <w:rFonts w:ascii="Arial" w:hAnsi="Arial" w:cs="Arial"/>
                <w:bCs/>
                <w:sz w:val="16"/>
                <w:szCs w:val="16"/>
              </w:rPr>
              <w:t>P</w:t>
            </w:r>
            <w:r w:rsidRPr="003B1CBE">
              <w:rPr>
                <w:rFonts w:ascii="Arial" w:hAnsi="Arial" w:cs="Arial"/>
                <w:bCs/>
                <w:sz w:val="16"/>
                <w:szCs w:val="16"/>
                <w:vertAlign w:val="subscript"/>
              </w:rPr>
              <w:t>3</w:t>
            </w:r>
            <w:r w:rsidRPr="003B1CBE">
              <w:rPr>
                <w:rFonts w:ascii="Arial" w:hAnsi="Arial" w:cs="Arial"/>
                <w:bCs/>
                <w:sz w:val="16"/>
                <w:szCs w:val="16"/>
              </w:rPr>
              <w:t xml:space="preserve"> (100% LOF PSB 10 ml/L (without inorganic fertilizer))</w:t>
            </w:r>
          </w:p>
        </w:tc>
        <w:tc>
          <w:tcPr>
            <w:tcW w:w="1275" w:type="dxa"/>
            <w:noWrap/>
            <w:vAlign w:val="center"/>
            <w:hideMark/>
          </w:tcPr>
          <w:p w14:paraId="432F1033"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1,75±0,75</m:t>
                </m:r>
              </m:oMath>
            </m:oMathPara>
          </w:p>
        </w:tc>
        <w:tc>
          <w:tcPr>
            <w:tcW w:w="1097" w:type="dxa"/>
            <w:noWrap/>
            <w:vAlign w:val="center"/>
            <w:hideMark/>
          </w:tcPr>
          <w:p w14:paraId="7F8D3CE8"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2,08±0,13</m:t>
                </m:r>
              </m:oMath>
            </m:oMathPara>
          </w:p>
        </w:tc>
        <w:tc>
          <w:tcPr>
            <w:tcW w:w="1030" w:type="dxa"/>
            <w:vAlign w:val="center"/>
          </w:tcPr>
          <w:p w14:paraId="68667BF3"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1,78±0,11</m:t>
                </m:r>
              </m:oMath>
            </m:oMathPara>
          </w:p>
        </w:tc>
        <w:tc>
          <w:tcPr>
            <w:tcW w:w="1134" w:type="dxa"/>
            <w:vAlign w:val="center"/>
          </w:tcPr>
          <w:p w14:paraId="3EAE1A3B"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16,49±1,68</m:t>
                </m:r>
              </m:oMath>
            </m:oMathPara>
          </w:p>
        </w:tc>
        <w:tc>
          <w:tcPr>
            <w:tcW w:w="1134" w:type="dxa"/>
            <w:vAlign w:val="center"/>
          </w:tcPr>
          <w:p w14:paraId="3831141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2,01±0,12</m:t>
                </m:r>
              </m:oMath>
            </m:oMathPara>
          </w:p>
        </w:tc>
        <w:tc>
          <w:tcPr>
            <w:tcW w:w="1134" w:type="dxa"/>
            <w:vAlign w:val="center"/>
          </w:tcPr>
          <w:p w14:paraId="4DDB805B"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3,99±0,47</m:t>
                </m:r>
              </m:oMath>
            </m:oMathPara>
          </w:p>
        </w:tc>
        <w:tc>
          <w:tcPr>
            <w:tcW w:w="992" w:type="dxa"/>
            <w:vAlign w:val="center"/>
          </w:tcPr>
          <w:p w14:paraId="78D7F507"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93±0,04</m:t>
                </m:r>
              </m:oMath>
            </m:oMathPara>
          </w:p>
        </w:tc>
      </w:tr>
      <w:tr w:rsidR="0060721B" w:rsidRPr="00226C75" w14:paraId="0C720B9B" w14:textId="77777777" w:rsidTr="003B1CBE">
        <w:trPr>
          <w:trHeight w:val="319"/>
        </w:trPr>
        <w:tc>
          <w:tcPr>
            <w:tcW w:w="1534" w:type="dxa"/>
            <w:noWrap/>
            <w:vAlign w:val="center"/>
            <w:hideMark/>
          </w:tcPr>
          <w:p w14:paraId="1FD87D04"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P4 </w:t>
            </w:r>
            <w:r w:rsidRPr="003B1CBE">
              <w:rPr>
                <w:rFonts w:ascii="Arial" w:hAnsi="Arial" w:cs="Arial"/>
                <w:bCs/>
                <w:sz w:val="16"/>
                <w:szCs w:val="16"/>
              </w:rPr>
              <w:t>(50% P0 + LOF PSB 20 ml/L)</w:t>
            </w:r>
          </w:p>
        </w:tc>
        <w:tc>
          <w:tcPr>
            <w:tcW w:w="1275" w:type="dxa"/>
            <w:noWrap/>
            <w:vAlign w:val="center"/>
            <w:hideMark/>
          </w:tcPr>
          <w:p w14:paraId="4F40D6AC"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2,4±0,98</m:t>
                </m:r>
              </m:oMath>
            </m:oMathPara>
          </w:p>
        </w:tc>
        <w:tc>
          <w:tcPr>
            <w:tcW w:w="1097" w:type="dxa"/>
            <w:noWrap/>
            <w:vAlign w:val="center"/>
            <w:hideMark/>
          </w:tcPr>
          <w:p w14:paraId="0578649F"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2,22±0,39</m:t>
                </m:r>
              </m:oMath>
            </m:oMathPara>
          </w:p>
        </w:tc>
        <w:tc>
          <w:tcPr>
            <w:tcW w:w="1030" w:type="dxa"/>
            <w:vAlign w:val="center"/>
          </w:tcPr>
          <w:p w14:paraId="76B8DCF5"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1,92±0,37</m:t>
                </m:r>
              </m:oMath>
            </m:oMathPara>
          </w:p>
        </w:tc>
        <w:tc>
          <w:tcPr>
            <w:tcW w:w="1134" w:type="dxa"/>
            <w:vAlign w:val="center"/>
          </w:tcPr>
          <w:p w14:paraId="2D01A1DC"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18,21±3,49</m:t>
                </m:r>
              </m:oMath>
            </m:oMathPara>
          </w:p>
        </w:tc>
        <w:tc>
          <w:tcPr>
            <w:tcW w:w="1134" w:type="dxa"/>
            <w:vAlign w:val="center"/>
          </w:tcPr>
          <w:p w14:paraId="32AB3C54"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2,07±0,25</m:t>
                </m:r>
              </m:oMath>
            </m:oMathPara>
          </w:p>
        </w:tc>
        <w:tc>
          <w:tcPr>
            <w:tcW w:w="1134" w:type="dxa"/>
            <w:vAlign w:val="center"/>
          </w:tcPr>
          <w:p w14:paraId="6E364053"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4,36±0,58</m:t>
                </m:r>
              </m:oMath>
            </m:oMathPara>
          </w:p>
        </w:tc>
        <w:tc>
          <w:tcPr>
            <w:tcW w:w="992" w:type="dxa"/>
            <w:vAlign w:val="center"/>
          </w:tcPr>
          <w:p w14:paraId="324E99E1"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95±0,08</m:t>
                </m:r>
              </m:oMath>
            </m:oMathPara>
          </w:p>
        </w:tc>
      </w:tr>
      <w:tr w:rsidR="0060721B" w:rsidRPr="00226C75" w14:paraId="27077FCC" w14:textId="77777777" w:rsidTr="003B1CBE">
        <w:trPr>
          <w:trHeight w:val="343"/>
        </w:trPr>
        <w:tc>
          <w:tcPr>
            <w:tcW w:w="1534" w:type="dxa"/>
            <w:noWrap/>
            <w:vAlign w:val="center"/>
            <w:hideMark/>
          </w:tcPr>
          <w:p w14:paraId="0E33FC00"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P5 </w:t>
            </w:r>
            <w:r w:rsidRPr="003B1CBE">
              <w:rPr>
                <w:rFonts w:ascii="Arial" w:hAnsi="Arial" w:cs="Arial"/>
                <w:bCs/>
                <w:sz w:val="16"/>
                <w:szCs w:val="16"/>
              </w:rPr>
              <w:t>(25% P0 + LOF PSB 20 ml/L)</w:t>
            </w:r>
          </w:p>
        </w:tc>
        <w:tc>
          <w:tcPr>
            <w:tcW w:w="1275" w:type="dxa"/>
            <w:noWrap/>
            <w:vAlign w:val="center"/>
            <w:hideMark/>
          </w:tcPr>
          <w:p w14:paraId="7B57326F"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2,65±0,53</m:t>
                </m:r>
              </m:oMath>
            </m:oMathPara>
          </w:p>
        </w:tc>
        <w:tc>
          <w:tcPr>
            <w:tcW w:w="1097" w:type="dxa"/>
            <w:noWrap/>
            <w:vAlign w:val="center"/>
            <w:hideMark/>
          </w:tcPr>
          <w:p w14:paraId="5B36D37E"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2,43±0,52</m:t>
                </m:r>
              </m:oMath>
            </m:oMathPara>
          </w:p>
        </w:tc>
        <w:tc>
          <w:tcPr>
            <w:tcW w:w="1030" w:type="dxa"/>
            <w:vAlign w:val="center"/>
          </w:tcPr>
          <w:p w14:paraId="615C7CB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2,04±0,44</m:t>
                </m:r>
              </m:oMath>
            </m:oMathPara>
          </w:p>
        </w:tc>
        <w:tc>
          <w:tcPr>
            <w:tcW w:w="1134" w:type="dxa"/>
            <w:vAlign w:val="center"/>
          </w:tcPr>
          <w:p w14:paraId="342845B4"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18,62±5,01</m:t>
                </m:r>
              </m:oMath>
            </m:oMathPara>
          </w:p>
        </w:tc>
        <w:tc>
          <w:tcPr>
            <w:tcW w:w="1134" w:type="dxa"/>
            <w:vAlign w:val="center"/>
          </w:tcPr>
          <w:p w14:paraId="0806D519"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2,08±0,33</m:t>
                </m:r>
              </m:oMath>
            </m:oMathPara>
          </w:p>
        </w:tc>
        <w:tc>
          <w:tcPr>
            <w:tcW w:w="1134" w:type="dxa"/>
            <w:vAlign w:val="center"/>
          </w:tcPr>
          <w:p w14:paraId="0929D73C"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4,60±0,88</m:t>
                </m:r>
              </m:oMath>
            </m:oMathPara>
          </w:p>
        </w:tc>
        <w:tc>
          <w:tcPr>
            <w:tcW w:w="992" w:type="dxa"/>
            <w:vAlign w:val="center"/>
          </w:tcPr>
          <w:p w14:paraId="2532C049"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96±0,06</m:t>
                </m:r>
              </m:oMath>
            </m:oMathPara>
          </w:p>
        </w:tc>
      </w:tr>
      <w:tr w:rsidR="0060721B" w:rsidRPr="00226C75" w14:paraId="2D2434D8" w14:textId="77777777" w:rsidTr="003B1CBE">
        <w:trPr>
          <w:trHeight w:val="308"/>
        </w:trPr>
        <w:tc>
          <w:tcPr>
            <w:tcW w:w="1534" w:type="dxa"/>
            <w:tcBorders>
              <w:bottom w:val="single" w:sz="4" w:space="0" w:color="auto"/>
            </w:tcBorders>
            <w:noWrap/>
            <w:vAlign w:val="center"/>
            <w:hideMark/>
          </w:tcPr>
          <w:p w14:paraId="65BE6F54" w14:textId="77777777" w:rsidR="0060721B" w:rsidRPr="003B1CBE" w:rsidRDefault="0060721B" w:rsidP="00C75126">
            <w:pPr>
              <w:rPr>
                <w:rFonts w:ascii="Arial" w:hAnsi="Arial" w:cs="Arial"/>
                <w:color w:val="000000"/>
                <w:sz w:val="16"/>
                <w:szCs w:val="16"/>
              </w:rPr>
            </w:pPr>
            <w:r w:rsidRPr="003B1CBE">
              <w:rPr>
                <w:rFonts w:ascii="Arial" w:hAnsi="Arial" w:cs="Arial"/>
                <w:color w:val="000000"/>
                <w:sz w:val="16"/>
                <w:szCs w:val="16"/>
              </w:rPr>
              <w:t xml:space="preserve">P6 </w:t>
            </w:r>
            <w:r w:rsidRPr="003B1CBE">
              <w:rPr>
                <w:rFonts w:ascii="Arial" w:hAnsi="Arial" w:cs="Arial"/>
                <w:bCs/>
                <w:sz w:val="16"/>
                <w:szCs w:val="16"/>
              </w:rPr>
              <w:t>(100% LOF PSB 20 ml/L (without inorganic fertilizer))</w:t>
            </w:r>
          </w:p>
        </w:tc>
        <w:tc>
          <w:tcPr>
            <w:tcW w:w="1275" w:type="dxa"/>
            <w:tcBorders>
              <w:bottom w:val="single" w:sz="4" w:space="0" w:color="auto"/>
            </w:tcBorders>
            <w:noWrap/>
            <w:vAlign w:val="center"/>
            <w:hideMark/>
          </w:tcPr>
          <w:p w14:paraId="55C1C886"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2,15±0,25</m:t>
                </m:r>
              </m:oMath>
            </m:oMathPara>
          </w:p>
        </w:tc>
        <w:tc>
          <w:tcPr>
            <w:tcW w:w="1097" w:type="dxa"/>
            <w:tcBorders>
              <w:bottom w:val="single" w:sz="4" w:space="0" w:color="auto"/>
            </w:tcBorders>
            <w:noWrap/>
            <w:vAlign w:val="center"/>
            <w:hideMark/>
          </w:tcPr>
          <w:p w14:paraId="0636A2D0"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2,05±0,13</m:t>
                </m:r>
              </m:oMath>
            </m:oMathPara>
          </w:p>
        </w:tc>
        <w:tc>
          <w:tcPr>
            <w:tcW w:w="1030" w:type="dxa"/>
            <w:tcBorders>
              <w:bottom w:val="single" w:sz="4" w:space="0" w:color="auto"/>
            </w:tcBorders>
            <w:vAlign w:val="center"/>
          </w:tcPr>
          <w:p w14:paraId="7910A8C7"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1,75±0,13</m:t>
                </m:r>
              </m:oMath>
            </m:oMathPara>
          </w:p>
        </w:tc>
        <w:tc>
          <w:tcPr>
            <w:tcW w:w="1134" w:type="dxa"/>
            <w:tcBorders>
              <w:bottom w:val="single" w:sz="4" w:space="0" w:color="auto"/>
            </w:tcBorders>
            <w:vAlign w:val="center"/>
          </w:tcPr>
          <w:p w14:paraId="0F27C25F"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15,98±0,62</m:t>
                </m:r>
              </m:oMath>
            </m:oMathPara>
          </w:p>
        </w:tc>
        <w:tc>
          <w:tcPr>
            <w:tcW w:w="1134" w:type="dxa"/>
            <w:tcBorders>
              <w:bottom w:val="single" w:sz="4" w:space="0" w:color="auto"/>
            </w:tcBorders>
            <w:vAlign w:val="center"/>
          </w:tcPr>
          <w:p w14:paraId="03587588"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1,96±0,32</m:t>
                </m:r>
              </m:oMath>
            </m:oMathPara>
          </w:p>
        </w:tc>
        <w:tc>
          <w:tcPr>
            <w:tcW w:w="1134" w:type="dxa"/>
            <w:tcBorders>
              <w:bottom w:val="single" w:sz="4" w:space="0" w:color="auto"/>
            </w:tcBorders>
            <w:vAlign w:val="center"/>
          </w:tcPr>
          <w:p w14:paraId="73A18CAA"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3,98±0,21</m:t>
                </m:r>
              </m:oMath>
            </m:oMathPara>
          </w:p>
        </w:tc>
        <w:tc>
          <w:tcPr>
            <w:tcW w:w="992" w:type="dxa"/>
            <w:tcBorders>
              <w:bottom w:val="single" w:sz="4" w:space="0" w:color="auto"/>
            </w:tcBorders>
            <w:vAlign w:val="center"/>
          </w:tcPr>
          <w:p w14:paraId="179E40AF" w14:textId="77777777" w:rsidR="0060721B" w:rsidRPr="003B1CBE" w:rsidRDefault="0060721B" w:rsidP="00C75126">
            <w:pPr>
              <w:jc w:val="center"/>
              <w:rPr>
                <w:rFonts w:ascii="Arial" w:hAnsi="Arial" w:cs="Arial"/>
                <w:iCs/>
                <w:color w:val="000000"/>
                <w:sz w:val="16"/>
                <w:szCs w:val="16"/>
              </w:rPr>
            </w:pPr>
            <m:oMathPara>
              <m:oMath>
                <m:r>
                  <m:rPr>
                    <m:sty m:val="p"/>
                  </m:rPr>
                  <w:rPr>
                    <w:rFonts w:ascii="Cambria Math" w:hAnsi="Cambria Math" w:cs="Arial"/>
                    <w:color w:val="000000"/>
                    <w:sz w:val="16"/>
                    <w:szCs w:val="16"/>
                  </w:rPr>
                  <m:t>98±0,02</m:t>
                </m:r>
              </m:oMath>
            </m:oMathPara>
          </w:p>
        </w:tc>
      </w:tr>
    </w:tbl>
    <w:bookmarkEnd w:id="1"/>
    <w:p w14:paraId="6EBDA6B5" w14:textId="77777777" w:rsidR="00181D47" w:rsidRDefault="00F9680B" w:rsidP="00F9680B">
      <w:pPr>
        <w:pStyle w:val="Body"/>
        <w:spacing w:after="0"/>
        <w:rPr>
          <w:rFonts w:ascii="Arial" w:hAnsi="Arial" w:cs="Arial"/>
        </w:rPr>
      </w:pPr>
      <w:r w:rsidRPr="002C7F3A">
        <w:rPr>
          <w:rFonts w:ascii="Arial" w:hAnsi="Arial" w:cs="Arial"/>
        </w:rPr>
        <w:t>Note: The numbers after the ± sign indicate the standard deviation values for each treatment.</w:t>
      </w:r>
      <w:r>
        <w:rPr>
          <w:rFonts w:ascii="Arial" w:hAnsi="Arial" w:cs="Arial"/>
        </w:rPr>
        <w:t xml:space="preserve"> </w:t>
      </w:r>
      <w:r w:rsidR="00181D47">
        <w:rPr>
          <w:rFonts w:ascii="Arial" w:hAnsi="Arial" w:cs="Arial"/>
        </w:rPr>
        <w:t xml:space="preserve"> </w:t>
      </w:r>
    </w:p>
    <w:p w14:paraId="2AAF7490" w14:textId="77777777" w:rsidR="00181D47" w:rsidRDefault="00181D47" w:rsidP="00F9680B">
      <w:pPr>
        <w:pStyle w:val="Body"/>
        <w:spacing w:after="0"/>
        <w:rPr>
          <w:rFonts w:ascii="Arial" w:hAnsi="Arial" w:cs="Arial"/>
        </w:rPr>
      </w:pPr>
      <w:r>
        <w:rPr>
          <w:rFonts w:ascii="Arial" w:hAnsi="Arial" w:cs="Arial"/>
        </w:rPr>
        <w:t xml:space="preserve">          </w:t>
      </w:r>
      <w:r w:rsidR="00F9680B">
        <w:rPr>
          <w:rFonts w:ascii="Arial" w:hAnsi="Arial" w:cs="Arial"/>
        </w:rPr>
        <w:t xml:space="preserve">NTC = </w:t>
      </w:r>
      <w:r w:rsidR="00F9680B" w:rsidRPr="00F9680B">
        <w:rPr>
          <w:rFonts w:ascii="Arial" w:hAnsi="Arial" w:cs="Arial"/>
        </w:rPr>
        <w:t>Number of Tubers per Clump</w:t>
      </w:r>
      <w:r w:rsidR="00F9680B">
        <w:rPr>
          <w:rFonts w:ascii="Arial" w:hAnsi="Arial" w:cs="Arial"/>
        </w:rPr>
        <w:t xml:space="preserve">, FTW = </w:t>
      </w:r>
      <w:r w:rsidR="00F9680B" w:rsidRPr="00F9680B">
        <w:rPr>
          <w:rFonts w:ascii="Arial" w:hAnsi="Arial" w:cs="Arial"/>
        </w:rPr>
        <w:t>Fresh Tuber Weight</w:t>
      </w:r>
      <w:r w:rsidR="00F9680B">
        <w:rPr>
          <w:rFonts w:ascii="Arial" w:hAnsi="Arial" w:cs="Arial"/>
        </w:rPr>
        <w:t xml:space="preserve">, DTW = </w:t>
      </w:r>
      <w:r w:rsidR="00F9680B" w:rsidRPr="00F9680B">
        <w:rPr>
          <w:rFonts w:ascii="Arial" w:hAnsi="Arial" w:cs="Arial"/>
        </w:rPr>
        <w:t xml:space="preserve">Dry Tuber </w:t>
      </w:r>
      <w:r>
        <w:rPr>
          <w:rFonts w:ascii="Arial" w:hAnsi="Arial" w:cs="Arial"/>
        </w:rPr>
        <w:t xml:space="preserve"> </w:t>
      </w:r>
    </w:p>
    <w:p w14:paraId="5B000061" w14:textId="77777777" w:rsidR="00181D47" w:rsidRDefault="00181D47" w:rsidP="00F9680B">
      <w:pPr>
        <w:pStyle w:val="Body"/>
        <w:spacing w:after="0"/>
        <w:rPr>
          <w:rFonts w:ascii="Arial" w:hAnsi="Arial" w:cs="Arial"/>
        </w:rPr>
      </w:pPr>
      <w:r>
        <w:rPr>
          <w:rFonts w:ascii="Arial" w:hAnsi="Arial" w:cs="Arial"/>
        </w:rPr>
        <w:t xml:space="preserve">          </w:t>
      </w:r>
      <w:r w:rsidR="00F9680B" w:rsidRPr="00F9680B">
        <w:rPr>
          <w:rFonts w:ascii="Arial" w:hAnsi="Arial" w:cs="Arial"/>
        </w:rPr>
        <w:t>Weight</w:t>
      </w:r>
      <w:r w:rsidR="00F9680B">
        <w:rPr>
          <w:rFonts w:ascii="Arial" w:hAnsi="Arial" w:cs="Arial"/>
        </w:rPr>
        <w:t xml:space="preserve">, TD = </w:t>
      </w:r>
      <w:r w:rsidR="00F9680B" w:rsidRPr="00F9680B">
        <w:rPr>
          <w:rFonts w:ascii="Arial" w:hAnsi="Arial" w:cs="Arial"/>
        </w:rPr>
        <w:t>Tuber Diameter</w:t>
      </w:r>
      <w:r w:rsidR="00F9680B">
        <w:rPr>
          <w:rFonts w:ascii="Arial" w:hAnsi="Arial" w:cs="Arial"/>
        </w:rPr>
        <w:t xml:space="preserve">, TH = </w:t>
      </w:r>
      <w:r w:rsidR="00F9680B" w:rsidRPr="00F9680B">
        <w:rPr>
          <w:rFonts w:ascii="Arial" w:hAnsi="Arial" w:cs="Arial"/>
        </w:rPr>
        <w:t>Tuber Height</w:t>
      </w:r>
      <w:r w:rsidR="00F9680B">
        <w:rPr>
          <w:rFonts w:ascii="Arial" w:hAnsi="Arial" w:cs="Arial"/>
        </w:rPr>
        <w:t xml:space="preserve">, TYP = </w:t>
      </w:r>
      <w:r w:rsidR="00F9680B" w:rsidRPr="00F9680B">
        <w:rPr>
          <w:rFonts w:ascii="Arial" w:hAnsi="Arial" w:cs="Arial"/>
        </w:rPr>
        <w:t>Tuber Yield per Plot</w:t>
      </w:r>
      <w:r w:rsidR="00F9680B">
        <w:rPr>
          <w:rFonts w:ascii="Arial" w:hAnsi="Arial" w:cs="Arial"/>
        </w:rPr>
        <w:t xml:space="preserve">, PPG = </w:t>
      </w:r>
      <w:r>
        <w:rPr>
          <w:rFonts w:ascii="Arial" w:hAnsi="Arial" w:cs="Arial"/>
        </w:rPr>
        <w:t xml:space="preserve"> </w:t>
      </w:r>
    </w:p>
    <w:p w14:paraId="6AB17CE1" w14:textId="22C4F1D8" w:rsidR="00F9680B" w:rsidRDefault="00181D47" w:rsidP="00F9680B">
      <w:pPr>
        <w:pStyle w:val="Body"/>
        <w:spacing w:after="0"/>
        <w:rPr>
          <w:rFonts w:ascii="Arial" w:hAnsi="Arial" w:cs="Arial"/>
        </w:rPr>
      </w:pPr>
      <w:r>
        <w:rPr>
          <w:rFonts w:ascii="Arial" w:hAnsi="Arial" w:cs="Arial"/>
        </w:rPr>
        <w:t xml:space="preserve">          </w:t>
      </w:r>
      <w:r w:rsidR="00F9680B" w:rsidRPr="00F9680B">
        <w:rPr>
          <w:rFonts w:ascii="Arial" w:hAnsi="Arial" w:cs="Arial"/>
        </w:rPr>
        <w:t>Percentage of Plants That Grew</w:t>
      </w:r>
    </w:p>
    <w:p w14:paraId="456B014A" w14:textId="77777777" w:rsidR="00992868" w:rsidRDefault="00992868" w:rsidP="00B91AC2">
      <w:pPr>
        <w:tabs>
          <w:tab w:val="left" w:pos="1080"/>
        </w:tabs>
        <w:jc w:val="both"/>
        <w:rPr>
          <w:rFonts w:ascii="Arial" w:hAnsi="Arial"/>
          <w:bCs/>
          <w:lang w:val="en-US"/>
        </w:rPr>
      </w:pPr>
    </w:p>
    <w:p w14:paraId="1E98FAF0" w14:textId="2CB5A258" w:rsidR="00B91AC2" w:rsidRDefault="00F9680B" w:rsidP="00757DD0">
      <w:pPr>
        <w:tabs>
          <w:tab w:val="left" w:pos="567"/>
        </w:tabs>
        <w:jc w:val="both"/>
        <w:rPr>
          <w:rFonts w:ascii="Arial" w:hAnsi="Arial"/>
          <w:bCs/>
        </w:rPr>
      </w:pPr>
      <w:r>
        <w:rPr>
          <w:rFonts w:ascii="Arial" w:hAnsi="Arial"/>
          <w:bCs/>
        </w:rPr>
        <w:tab/>
      </w:r>
      <w:r w:rsidR="00992868" w:rsidRPr="00992868">
        <w:rPr>
          <w:rFonts w:ascii="Arial" w:hAnsi="Arial"/>
          <w:bCs/>
        </w:rPr>
        <w:t>The harvest age of shallots in this study was uniform across all treatments, namely 79 days after planting, indicating that the differences in treatment had no significant effect on accelerating or delaying the generative phase. Harvesting was carried out when ±75% of the leaves had fallen, some of the bulbs had emerged from the soil, and the plants were carefully pulled out so that the bulbs were not damaged or left behind in the soil</w:t>
      </w:r>
      <w:r w:rsidR="00B91AC2" w:rsidRPr="004A1E22">
        <w:rPr>
          <w:rFonts w:ascii="Arial" w:hAnsi="Arial"/>
          <w:bCs/>
        </w:rPr>
        <w:t xml:space="preserve"> </w:t>
      </w:r>
      <w:r w:rsidR="00C865DE">
        <w:rPr>
          <w:rFonts w:ascii="Arial" w:hAnsi="Arial"/>
          <w:bCs/>
        </w:rPr>
        <w:fldChar w:fldCharType="begin" w:fldLock="1"/>
      </w:r>
      <w:r w:rsidR="00C865DE">
        <w:rPr>
          <w:rFonts w:ascii="Arial" w:hAnsi="Arial"/>
          <w:bCs/>
        </w:rPr>
        <w:instrText>ADDIN CSL_CITATION {"citationItems":[{"id":"ITEM-1","itemData":{"author":[{"dropping-particle":"","family":"Hermanto","given":"Catur","non-dropping-particle":"","parse-names":false,"suffix":""},{"dropping-particle":"","family":"Maharijaya","given":"","non-dropping-particle":"","parse-names":false,"suffix":""},{"dropping-particle":"","family":"Awang","given":"","non-dropping-particle":"","parse-names":false,"suffix":""},{"dropping-particle":"","family":"Arsanti","given":"","non-dropping-particle":"","parse-names":false,"suffix":""},{"dropping-particle":"","family":"Widi","given":"Idha","non-dropping-particle":"","parse-names":false,"suffix":""},{"dropping-particle":"","family":"Hayati","given":"Mardiyah","non-dropping-particle":"","parse-names":false,"suffix":""},{"dropping-particle":"","family":"Rosliani","given":"Rini","non-dropping-particle":"","parse-names":false,"suffix":""},{"dropping-particle":"","family":"Setyawati","given":"","non-dropping-particle":"","parse-names":false,"suffix":""},{"dropping-particle":"","family":"Husni","given":"Indra","non-dropping-particle":"","parse-names":false,"suffix":""},{"dropping-particle":"","family":"Sari","given":"Mutiara","non-dropping-particle":"","parse-names":false,"suffix":""},{"dropping-particle":"","family":"Tria Wibawa","given":"","non-dropping-particle":"","parse-names":false,"suffix":""},{"dropping-particle":"","family":"Sunarto","given":"Bambang","non-dropping-particle":"","parse-names":false,"suffix":""},{"dropping-particle":"","family":"Kurdi","given":"","non-dropping-particle":"","parse-names":false,"suffix":""},{"dropping-particle":"","family":"Adin","given":"Adriyanita","non-dropping-particle":"","parse-names":false,"suffix":""},{"dropping-particle":"","family":"B","given":"Duma Julietha","non-dropping-particle":"","parse-names":false,"suffix":""},{"dropping-particle":"","family":"H","given":"Dede Suad","non-dropping-particle":"","parse-names":false,"suffix":""},{"dropping-particle":"","family":"Efendi","given":"Muchtar","non-dropping-particle":"","parse-names":false,"suffix":""},{"dropping-particle":"","family":"Hariyanto","given":"","non-dropping-particle":"","parse-names":false,"suffix":""},{"dropping-particle":"","family":"Nggaro","given":"Yulius YM","non-dropping-particle":"","parse-names":false,"suffix":""},{"dropping-particle":"","family":"Anggraeni","given":"Fajar","non-dropping-particle":"","parse-names":false,"suffix":""},{"dropping-particle":"","family":"Waludin","given":"Jamin","non-dropping-particle":"","parse-names":false,"suffix":""},{"dropping-particle":"","family":"Sumarno","given":"Agus","non-dropping-particle":"","parse-names":false,"suffix":""},{"dropping-particle":"","family":"Subardi","given":"","non-dropping-particle":"","parse-names":false,"suffix":""},{"dropping-particle":"","family":"Setiani","given":"Rima","non-dropping-particle":"","parse-names":false,"suffix":""}],"id":"ITEM-1","issued":{"date-parts":[["2017"]]},"title":"Bawang Merah","type":"article-journal"},"uris":["http://www.mendeley.com/documents/?uuid=bb4ec981-6c72-41ec-96fb-14834f6c3816"]}],"mendeley":{"formattedCitation":"(Hermanto et al., 2017)","plainTextFormattedCitation":"(Hermanto et al., 2017)","previouslyFormattedCitation":"(Hermanto et al., 2017)"},"properties":{"noteIndex":0},"schema":"https://github.com/citation-style-language/schema/raw/master/csl-citation.json"}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(Hermanto et al., 2017)</w:t>
      </w:r>
      <w:r w:rsidR="00C865DE">
        <w:rPr>
          <w:rFonts w:ascii="Arial" w:hAnsi="Arial"/>
          <w:bCs/>
        </w:rPr>
        <w:fldChar w:fldCharType="end"/>
      </w:r>
      <w:r w:rsidR="00B91AC2" w:rsidRPr="004A1E22">
        <w:rPr>
          <w:rFonts w:ascii="Arial" w:hAnsi="Arial"/>
          <w:bCs/>
        </w:rPr>
        <w:t>.</w:t>
      </w:r>
    </w:p>
    <w:p w14:paraId="0D2C6A68" w14:textId="1D595C5F" w:rsidR="00992868" w:rsidRDefault="00F9680B" w:rsidP="00F9680B">
      <w:pPr>
        <w:tabs>
          <w:tab w:val="left" w:pos="567"/>
        </w:tabs>
        <w:jc w:val="both"/>
        <w:rPr>
          <w:rFonts w:ascii="Arial" w:hAnsi="Arial"/>
          <w:bCs/>
          <w:lang w:val="en-US"/>
        </w:rPr>
      </w:pPr>
      <w:r>
        <w:rPr>
          <w:rFonts w:ascii="Arial" w:hAnsi="Arial"/>
          <w:bCs/>
          <w:lang w:val="en-US"/>
        </w:rPr>
        <w:tab/>
      </w:r>
      <w:r w:rsidR="00992868" w:rsidRPr="00992868">
        <w:rPr>
          <w:rFonts w:ascii="Arial" w:hAnsi="Arial"/>
          <w:bCs/>
          <w:lang w:val="en-US"/>
        </w:rPr>
        <w:t xml:space="preserve">The treatment of seven combinations of PSB liquid organic fertilizer and inorganic fertilizer had no significant effect on the number of TSS shallot bulbs (Table 3). The highest number of bulbs was found in P5 with an average of 2.65 bulbs per clump, in accordance with the description of the </w:t>
      </w:r>
      <w:proofErr w:type="spellStart"/>
      <w:r w:rsidR="00992868" w:rsidRPr="00992868">
        <w:rPr>
          <w:rFonts w:ascii="Arial" w:hAnsi="Arial"/>
          <w:bCs/>
          <w:lang w:val="en-US"/>
        </w:rPr>
        <w:t>Sanren</w:t>
      </w:r>
      <w:proofErr w:type="spellEnd"/>
      <w:r w:rsidR="00992868" w:rsidRPr="00992868">
        <w:rPr>
          <w:rFonts w:ascii="Arial" w:hAnsi="Arial"/>
          <w:bCs/>
          <w:lang w:val="en-US"/>
        </w:rPr>
        <w:t xml:space="preserve"> F1 variety (2–4 bulbs per clump), while the lowest was in P3 with 1.75 bulbs per clump. This shows that bulb formation is more determined by variety traits and environmental conditions than by differences in fertilizer combinations.</w:t>
      </w:r>
      <w:r w:rsidR="00C865DE">
        <w:rPr>
          <w:rFonts w:ascii="Arial" w:hAnsi="Arial"/>
          <w:bCs/>
          <w:lang w:val="en-US"/>
        </w:rPr>
        <w:t xml:space="preserve"> </w:t>
      </w:r>
      <w:r w:rsidR="00C865DE">
        <w:rPr>
          <w:rFonts w:ascii="Arial" w:hAnsi="Arial"/>
          <w:bCs/>
          <w:lang w:val="en-US"/>
        </w:rPr>
        <w:fldChar w:fldCharType="begin" w:fldLock="1"/>
      </w:r>
      <w:r w:rsidR="006A5080">
        <w:rPr>
          <w:rFonts w:ascii="Arial" w:hAnsi="Arial"/>
          <w:bCs/>
          <w:lang w:val="en-US"/>
        </w:rPr>
        <w:instrText>ADDIN CSL_CITATION {"citationItems":[{"id":"ITEM-1","itemData":{"DOI":"10.25047/agropross.2021.229","ISBN":"9786239403669","abstract":"Bawang merah merupakan komoditas utama di Indonesia yang digunakan sebagai bumbu masak dan obat, sehingga ketersediaannya sepanjang tahun sangat penting untuk mencukupi kebutuhan tersebut. Penelitian bertujuan untuk mengetahui pertumbuhan dan produksi benih 14 varietas bawang merah di dataran tinggi. Penelitian dilakukan untuk mengetahui pertumbuhan dan hasil bawang merah di KP. Margahayu Balai Penelitian Tanaman Sayuran (Balitsa) Lembang (1.250 m dpl) dari bulan Agustus s.d. Oktober 2020. Materi yang digunakan berupa 14 varietas bawang merah dari Badan Penelitian dan pengembangan Pertanian (Balitbangtan), yaitu: Sembrani, Maja Cipanas, Bima Brebes, Kuning, Trisula, Mentes, Kramat 1, Violetta 1 Agrihorti, Violetta 2 Agrihorti, Violetta 3 Agrihorti, Ambassador 1 Agrihorti, Ambassador 2 Agrihorti, Ambassador 3 Agrihorti, dan Ambassador 4 Agrihorti. Pertumbuhan 14 varietas bawang merah selama penanaman cukup baik. Ambassador 3 Agrihorti menunjukkan tinggi tanaman dan panjang daun tertinggi dibanding varietas lainnya, yaitu masing-masing 41,80 cm dan 34,72 cm. Berat benih per rumpun berkisar antara 31,00-64,61 gram. Violetta 2 Agrihorti menunjukkan jumlah umbi per rumpun, berat basah per rumpun, berat kering eskip umbi per rumpun, dan berat benih per rumpun tertinggi dibanding varietas lainnya, yaitu masing-masing 9,70 umbi; 144,53 gram, 85,69 gram dan 31,59 gram. Sedangkan berat benih per plot tertinggi terdapat pada varietas Sembrani. Pertumbuhan dan produksi benih bawang merah dipengaruhi oleh varietas.","author":[{"dropping-particle":"","family":"Waluyo","given":"Nurmalita","non-dropping-particle":"","parse-names":false,"suffix":""},{"dropping-particle":"","family":"Pinilih","given":"Joko","non-dropping-particle":"","parse-names":false,"suffix":""},{"dropping-particle":"","family":"Sulastrini","given":"Ineu","non-dropping-particle":"","parse-names":false,"suffix":""},{"dropping-particle":"","family":"Edisaputra","given":"Eli Korlina","non-dropping-particle":"","parse-names":false,"suffix":""}],"id":"ITEM-1","issued":{"date-parts":[["2021"]]},"page":"265-274","title":"Pertumbuhan dan Produksi Benih 14 Varietas Bawang Merah (Allium Cepa L. Var Aggregatum) di Dataran Tinggi Lembang, Kabupaten Bandung Barat","type":"article-journal"},"uris":["http://www.mendeley.com/documents/?uuid=05c43d3a-368a-45dc-afa3-287776b06895"]}],"mendeley":{"formattedCitation":"(Waluyo et al., 2021)","manualFormatting":"Waluyo et al. (2021)","plainTextFormattedCitation":"(Waluyo et al., 2021)","previouslyFormattedCitation":"(Waluyo et al., 2021)"},"properties":{"noteIndex":0},"schema":"https://github.com/citation-style-language/schema/raw/master/csl-citation.json"}</w:instrText>
      </w:r>
      <w:r w:rsidR="00C865DE">
        <w:rPr>
          <w:rFonts w:ascii="Arial" w:hAnsi="Arial"/>
          <w:bCs/>
          <w:lang w:val="en-US"/>
        </w:rPr>
        <w:fldChar w:fldCharType="separate"/>
      </w:r>
      <w:r w:rsidR="00C865DE" w:rsidRPr="00C865DE">
        <w:rPr>
          <w:rFonts w:ascii="Arial" w:hAnsi="Arial"/>
          <w:bCs/>
          <w:noProof/>
          <w:lang w:val="en-US"/>
        </w:rPr>
        <w:t xml:space="preserve">Waluyo et al. </w:t>
      </w:r>
      <w:r w:rsidR="00C865DE">
        <w:rPr>
          <w:rFonts w:ascii="Arial" w:hAnsi="Arial"/>
          <w:bCs/>
          <w:noProof/>
          <w:lang w:val="en-US"/>
        </w:rPr>
        <w:t>(</w:t>
      </w:r>
      <w:r w:rsidR="00C865DE" w:rsidRPr="00C865DE">
        <w:rPr>
          <w:rFonts w:ascii="Arial" w:hAnsi="Arial"/>
          <w:bCs/>
          <w:noProof/>
          <w:lang w:val="en-US"/>
        </w:rPr>
        <w:t>2021)</w:t>
      </w:r>
      <w:r w:rsidR="00C865DE">
        <w:rPr>
          <w:rFonts w:ascii="Arial" w:hAnsi="Arial"/>
          <w:bCs/>
          <w:lang w:val="en-US"/>
        </w:rPr>
        <w:fldChar w:fldCharType="end"/>
      </w:r>
      <w:r w:rsidR="00992868" w:rsidRPr="00992868">
        <w:rPr>
          <w:rFonts w:ascii="Arial" w:hAnsi="Arial"/>
          <w:bCs/>
          <w:lang w:val="en-US"/>
        </w:rPr>
        <w:t xml:space="preserve"> stated that the number of tubers is related to the number of tillers and leaves, where an increase in tillers tends to increase the number of tubers, but a small number of tubers per clump results in larger tuber size.</w:t>
      </w:r>
    </w:p>
    <w:p w14:paraId="7D1D655A" w14:textId="713F548F" w:rsidR="00B91AC2" w:rsidRDefault="00757DD0" w:rsidP="00757DD0">
      <w:pPr>
        <w:tabs>
          <w:tab w:val="left" w:pos="567"/>
        </w:tabs>
        <w:jc w:val="both"/>
        <w:rPr>
          <w:rFonts w:ascii="Arial" w:hAnsi="Arial"/>
          <w:bCs/>
          <w:lang w:val="en-US"/>
        </w:rPr>
      </w:pPr>
      <w:r>
        <w:rPr>
          <w:rFonts w:ascii="Arial" w:hAnsi="Arial"/>
          <w:bCs/>
          <w:lang w:val="en-US"/>
        </w:rPr>
        <w:tab/>
      </w:r>
      <w:r w:rsidR="00992868" w:rsidRPr="00992868">
        <w:rPr>
          <w:rFonts w:ascii="Arial" w:hAnsi="Arial"/>
          <w:bCs/>
          <w:lang w:val="en-US"/>
        </w:rPr>
        <w:t xml:space="preserve">The treatment of seven combinations of PSB liquid organic fertilizer and inorganic fertilizer did not have a significant effect on the fresh weight of shallot bulbs per clump (Table 3). The highest value was found in P0 and P5 (2.43 g), while the lowest was in P6 (2.05 g). The relatively low and uniform fresh weight of the bulbs indicates that the treatment was not able to optimally increase the fresh weight. Fresh weight is influenced by the water and organic matter content of the plant, where the number of leaves and bulbs play a role in increasing fresh weight </w:t>
      </w:r>
      <w:r w:rsidR="00C865DE">
        <w:rPr>
          <w:rFonts w:ascii="Arial" w:hAnsi="Arial"/>
          <w:bCs/>
          <w:lang w:val="en-US"/>
        </w:rPr>
        <w:fldChar w:fldCharType="begin" w:fldLock="1"/>
      </w:r>
      <w:r w:rsidR="00C865DE">
        <w:rPr>
          <w:rFonts w:ascii="Arial" w:hAnsi="Arial"/>
          <w:bCs/>
          <w:lang w:val="en-US"/>
        </w:rPr>
        <w:instrText>ADDIN CSL_CITATION {"citationItems":[{"id":"ITEM-1","itemData":{"URL":"https://repository.ub.ac.id/id/eprint/131216/","abstract":"Bawang merah merupakan salah satu komoditas unggulan yang banyak di budidayakan di Indonesia hal ini dikarenakan komoditas ini tergolong sayuran rempah yang banyak dibutuhkan sebagai pelengkap bumbu masakan sehingga kebutuhannya meningkat setiap tahun. Selama ini budidaya bawang merah diusahakan secara musiman (seasonal) yang pada umumnya dilakukan pada musim kemarau (April-Oktober), sehingga produksi dan harganya berfluktuasi sepanjang tahun. Untuk mencegah terjadinya fluktuasi produksi dan fluktuasi harga yang sering merugikan petani, maka perlu diupayakan budidaya yang dapat berlangsung sepanjang tahun antara lain melalui budidaya di luar musim (off season), namun budidaya bawang merah di luar musim pada umumnya mengalami kendala-kendala yang dapat menyebabkan tingkat produksi rendah secara kuantitas dan kualitas. Kendala-kendala tersebut antara lain infeksi patogen penyebab penyakit yang umumnya terjadi ketika pembudidayaan bawang merah dilakukan di luar musim (Shofiyani, A., dan A. Suyadi, 2014). Untuk itu diperlukan tehnik khusus untuk mengendalikan patogen pada bawang merah. Salah satu cara yang digunakan adalah dengan penggunaan PGPR (Plant Growth Promoting Rhizobacteria) dan bahan Organik. Bahan organik digunakan untuk memperbaiki sifat fisik, kimia dan biologi tanah sehingga dapat menunjang pertumbuhan tanaman bawang merah selain itu bahan organik juga sebagai sumber makanan bagi bakteri PGPR. Penelitian ini bertujuan untuk mendapatkan respon pertumbuhan bawang merah (Allium ascalonicum L.) dengan aplikasi PGPR (Plant Growth Promoting Rhizobacteria) dan pupuk organik kotoran kambing. Penelitian ini dilakukan di Desa Duwel, Kecamatan Kedungadem, Kabupaten Bojonegoro. Waktu pelaksanaan penelitian dimulai dari bulan November 2015 sampai bulan Februari 2016. Alat yang di butuhkan antaranya tugal, gembor, timbangan, cangkul, oven, kamera, pengggaris, jangka, pisau, alat tulis, dan laptop. Sedangkan bahan yang digunakan antara lain: benih bawang merah (Allium ascalonicum L.) varietas Bauji dengan jarak tanam 20 cm x 20 cm, pupuk kandang kambing sebagai bahan organik, PGPR (Plant Growth Promoting Rizhobacteria), pupuk NPK 200 kg/ha + ZA 200 + SP-36 300 kg/ha + KCl 200 kg/ha. Penelitian ini menggunakan Rancangan Petak Terbagi (Split Plot Design) yang terdiri dari 2 faktor dan diulang 3 kali. Petak Utama (main plot) yaitu pemberian pupuk kandang kambing dengan perlakuan sebagai berikut : K0= Dosis 0 ton/ha, K1= Dosis 5 ton/ha, K2= Dosis 10 ton/ha, K3= …","author":[{"dropping-particle":"","family":"Ginting","given":"WirdaDayantiBr","non-dropping-particle":"","parse-names":false,"suffix":""}],"id":"ITEM-1","issued":{"date-parts":[["2016"]]},"title":"Pengaruh Pgpr (Plant Growth Promoting Rhizobacteria) Dan Pupuk Organik Kotoran Kambing Terhadap Pertumbuhan Dan Hasil Tanaman Bawang Merah (Allium Ascalonicum L.) Varietas Bauji","type":"webpage"},"uris":["http://www.mendeley.com/documents/?uuid=0aec0733-a0e9-4315-acae-ca394c87a2ae"]}],"mendeley":{"formattedCitation":"(Ginting, 2016)","plainTextFormattedCitation":"(Ginting, 2016)","previouslyFormattedCitation":"(Ginting, 2016)"},"properties":{"noteIndex":0},"schema":"https://github.com/citation-style-language/schema/raw/master/csl-citation.json"}</w:instrText>
      </w:r>
      <w:r w:rsidR="00C865DE">
        <w:rPr>
          <w:rFonts w:ascii="Arial" w:hAnsi="Arial"/>
          <w:bCs/>
          <w:lang w:val="en-US"/>
        </w:rPr>
        <w:fldChar w:fldCharType="separate"/>
      </w:r>
      <w:r w:rsidR="00C865DE" w:rsidRPr="00C865DE">
        <w:rPr>
          <w:rFonts w:ascii="Arial" w:hAnsi="Arial"/>
          <w:bCs/>
          <w:noProof/>
          <w:lang w:val="en-US"/>
        </w:rPr>
        <w:t>(Ginting, 2016)</w:t>
      </w:r>
      <w:r w:rsidR="00C865DE">
        <w:rPr>
          <w:rFonts w:ascii="Arial" w:hAnsi="Arial"/>
          <w:bCs/>
          <w:lang w:val="en-US"/>
        </w:rPr>
        <w:fldChar w:fldCharType="end"/>
      </w:r>
      <w:r w:rsidR="00992868" w:rsidRPr="00992868">
        <w:rPr>
          <w:rFonts w:ascii="Arial" w:hAnsi="Arial"/>
          <w:bCs/>
          <w:lang w:val="en-US"/>
        </w:rPr>
        <w:t xml:space="preserve">. </w:t>
      </w:r>
      <w:r w:rsidR="00C865DE">
        <w:rPr>
          <w:rFonts w:ascii="Arial" w:hAnsi="Arial"/>
          <w:bCs/>
          <w:lang w:val="en-US"/>
        </w:rPr>
        <w:fldChar w:fldCharType="begin" w:fldLock="1"/>
      </w:r>
      <w:r w:rsidR="00C865DE">
        <w:rPr>
          <w:rFonts w:ascii="Arial" w:hAnsi="Arial"/>
          <w:bCs/>
          <w:lang w:val="en-US"/>
        </w:rPr>
        <w:instrText>ADDIN CSL_CITATION {"citationItems":[{"id":"ITEM-1","itemData":{"ISBN":"1350402011111","author":[{"dropping-particle":"","family":"Mafula, F., &amp; Yogi","given":"S.","non-dropping-particle":"","parse-names":false,"suffix":""}],"container-title":"34th European Photovoltaic Solar Energy Conference and Exhibition","id":"ITEM-1","issued":{"date-parts":[["2018"]]},"number-of-pages":"302-308","title":"PENGARUH SISTEM OLAH TANAH TERHADAP PERTUMBUHAN DAN HASIL BEBERAPA VARIETAS BAWANG MERAH (Allium ascalonicum L.)","type":"book"},"uris":["http://www.mendeley.com/documents/?uuid=2196e3fd-da5e-4f77-b055-5dc3ae02d437"]}],"mendeley":{"formattedCitation":"(Mafula, F., &amp; Yogi, 2018)","manualFormatting":"Mafula &amp; Yogi (2018)","plainTextFormattedCitation":"(Mafula, F., &amp; Yogi, 2018)","previouslyFormattedCitation":"(Mafula, F., &amp; Yogi, 2018)"},"properties":{"noteIndex":0},"schema":"https://github.com/citation-style-language/schema/raw/master/csl-citation.json"}</w:instrText>
      </w:r>
      <w:r w:rsidR="00C865DE">
        <w:rPr>
          <w:rFonts w:ascii="Arial" w:hAnsi="Arial"/>
          <w:bCs/>
          <w:lang w:val="en-US"/>
        </w:rPr>
        <w:fldChar w:fldCharType="separate"/>
      </w:r>
      <w:r w:rsidR="00C865DE" w:rsidRPr="00C865DE">
        <w:rPr>
          <w:rFonts w:ascii="Arial" w:hAnsi="Arial"/>
          <w:bCs/>
          <w:noProof/>
          <w:lang w:val="en-US"/>
        </w:rPr>
        <w:t>Mafula &amp; Yogi</w:t>
      </w:r>
      <w:r w:rsidR="00C865DE">
        <w:rPr>
          <w:rFonts w:ascii="Arial" w:hAnsi="Arial"/>
          <w:bCs/>
          <w:noProof/>
          <w:lang w:val="en-US"/>
        </w:rPr>
        <w:t xml:space="preserve"> (</w:t>
      </w:r>
      <w:r w:rsidR="00C865DE" w:rsidRPr="00C865DE">
        <w:rPr>
          <w:rFonts w:ascii="Arial" w:hAnsi="Arial"/>
          <w:bCs/>
          <w:noProof/>
          <w:lang w:val="en-US"/>
        </w:rPr>
        <w:t>2018)</w:t>
      </w:r>
      <w:r w:rsidR="00C865DE">
        <w:rPr>
          <w:rFonts w:ascii="Arial" w:hAnsi="Arial"/>
          <w:bCs/>
          <w:lang w:val="en-US"/>
        </w:rPr>
        <w:fldChar w:fldCharType="end"/>
      </w:r>
      <w:r w:rsidR="00992868" w:rsidRPr="00992868">
        <w:rPr>
          <w:rFonts w:ascii="Arial" w:hAnsi="Arial"/>
          <w:bCs/>
          <w:lang w:val="en-US"/>
        </w:rPr>
        <w:t xml:space="preserve"> also stated that the higher the water content, the heavier the wet weight of the bulbs produced.</w:t>
      </w:r>
    </w:p>
    <w:p w14:paraId="29FBC369" w14:textId="2A19A05F" w:rsidR="00B91AC2" w:rsidRDefault="00757DD0" w:rsidP="00757DD0">
      <w:pPr>
        <w:tabs>
          <w:tab w:val="left" w:pos="567"/>
        </w:tabs>
        <w:jc w:val="both"/>
        <w:rPr>
          <w:rFonts w:ascii="Arial" w:hAnsi="Arial"/>
          <w:bCs/>
        </w:rPr>
      </w:pPr>
      <w:r>
        <w:rPr>
          <w:rFonts w:ascii="Arial" w:hAnsi="Arial"/>
          <w:bCs/>
          <w:lang w:val="en-US"/>
        </w:rPr>
        <w:tab/>
      </w:r>
      <w:r w:rsidR="00992868" w:rsidRPr="00992868">
        <w:rPr>
          <w:rFonts w:ascii="Arial" w:hAnsi="Arial"/>
          <w:bCs/>
        </w:rPr>
        <w:t xml:space="preserve">The treatment of seven combinations of PSB liquid organic fertilizer and inorganic fertilizer had no significant effect on the dry weight of shallot bulbs per clump (Table 3). The highest value was found in P0 (2.12 g) and the lowest in P6 (1.75 g). The relatively low and uniform dry weight indicates that the treatment was not able to optimally increase the dry weight of the bulbs. Dry weight is influenced by the number of leaves and bulbs, as well as bulb size, which is directly related to the dry weight per clump </w:t>
      </w:r>
      <w:r w:rsidR="00C865DE">
        <w:rPr>
          <w:rFonts w:ascii="Arial" w:hAnsi="Arial"/>
          <w:bCs/>
        </w:rPr>
        <w:fldChar w:fldCharType="begin" w:fldLock="1"/>
      </w:r>
      <w:r w:rsidR="00C865DE">
        <w:rPr>
          <w:rFonts w:ascii="Arial" w:hAnsi="Arial"/>
          <w:bCs/>
        </w:rPr>
        <w:instrText>ADDIN CSL_CITATION {"citationItems":[{"id":"ITEM-1","itemData":{"abstract":"ABSTRACT. Seed production of shallots is influenced by plant genetic, fertilization, and plant populations. The appropriate soil fertilization, plant density, and plant varieties can increase seed production of shallots. The aims of this study were to determine the seed production technology of shallots through reducing bulb size and increasing numbers of bulb size without reducing the seed quality. The study was conducted at the Experimental Field of the Indonesian Vegetable Research Institute (IVEGRI) (1250 m asl.) in the period of May to December 2009, using split-split plot design with three replications. The main plot were doses of fertilization, namely (1) 200 kg/ha Urea, 200 kg/ha SP36, 200 kg/ha KCl, and 500 kg/ha ZA (control), (2) 100 kg/ha Urea, 300 kg/ha SP36, and 200 kg/ha KCl, and 250 kg/ha ZA, and (3) 100 kg/ha Urea, 200 kg/ha SP36, 200 kg/ha KCl, and 250 kg/ha ZA. Subplot consisted of different plant densities i.e. 30 plants/m2 , 60 plants/m2 , and 100 plants/m2 . Subsubplot consised of plant varieties i.e. Bima, Maja, and Sumenep. The results showed that density of 100 plants/m2 produced the highest number of tubers per plot (1,193.68) and the smallest of root diameter (14.17 mm). Bima variety produced the highest number of seed bulbs per plant (12.01) and the highest number of tubers per plot (1,035.96) with the smallest diameter (11.10 mm). The used of Maja variety on the density of 100 plants/ m2 produced the highest dry weight (3,047.78 g). To generate high number of seed bulbs with small size recommended to plant Bima variety on plant density 100 plants/m2 and to generate high dry weight of seed bulbs recommended to plant Maja variety on plant density 100 plants/m2 . Keywords","author":[{"dropping-particle":"","family":"Wiguna","given":"G","non-dropping-particle":"","parse-names":false,"suffix":""},{"dropping-particle":"","family":"Hidayat","given":"IM","non-dropping-particle":"","parse-names":false,"suffix":""},{"dropping-particle":"","family":"Azmi","given":"C","non-dropping-particle":"","parse-names":false,"suffix":""}],"container-title":"J. Hort","id":"ITEM-1","issue":"2","issued":{"date-parts":[["2013"]]},"page":"137-142","title":"Perbaikan teknologi produksi benih bawang merah melalui pengaturan pemupukan, densitas, dan varietas [Improvement of shallot seed production technology by setting fertilization, density, and variety]","type":"article-journal","volume":"23"},"uris":["http://www.mendeley.com/documents/?uuid=0e660ea8-ae73-452e-9e22-928f9bf16fa0"]}],"mendeley":{"formattedCitation":"(Wiguna et al., 2013)","plainTextFormattedCitation":"(Wiguna et al., 2013)","previouslyFormattedCitation":"(Wiguna et al., 2013)"},"properties":{"noteIndex":0},"schema":"https://github.com/citation-style-language/schema/raw/master/csl-citation.json"}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(Wiguna et al., 2013)</w:t>
      </w:r>
      <w:r w:rsidR="00C865DE">
        <w:rPr>
          <w:rFonts w:ascii="Arial" w:hAnsi="Arial"/>
          <w:bCs/>
        </w:rPr>
        <w:fldChar w:fldCharType="end"/>
      </w:r>
      <w:r w:rsidR="00992868" w:rsidRPr="00992868">
        <w:rPr>
          <w:rFonts w:ascii="Arial" w:hAnsi="Arial"/>
          <w:bCs/>
        </w:rPr>
        <w:t>.</w:t>
      </w:r>
    </w:p>
    <w:p w14:paraId="031E23AE" w14:textId="47BB762F" w:rsidR="00992868" w:rsidRDefault="00757DD0" w:rsidP="00757DD0">
      <w:pPr>
        <w:tabs>
          <w:tab w:val="left" w:pos="567"/>
        </w:tabs>
        <w:jc w:val="both"/>
        <w:rPr>
          <w:rFonts w:ascii="Arial" w:hAnsi="Arial"/>
          <w:bCs/>
        </w:rPr>
      </w:pPr>
      <w:r>
        <w:rPr>
          <w:rFonts w:ascii="Arial" w:hAnsi="Arial"/>
          <w:bCs/>
        </w:rPr>
        <w:tab/>
      </w:r>
      <w:r w:rsidR="00992868" w:rsidRPr="00992868">
        <w:rPr>
          <w:rFonts w:ascii="Arial" w:hAnsi="Arial"/>
          <w:bCs/>
        </w:rPr>
        <w:t xml:space="preserve">The treatment of seven combinations of PSB liquid organic fertilizer and inorganic fertilizer had no significant effect on the diameter of TSS shallot bulbs (Table 3). The highest diameter was found in P5 (19.13 mm) and the lowest in P6 (15.98 mm). These results indicate </w:t>
      </w:r>
      <w:r w:rsidR="00992868" w:rsidRPr="00992868">
        <w:rPr>
          <w:rFonts w:ascii="Arial" w:hAnsi="Arial"/>
          <w:bCs/>
        </w:rPr>
        <w:lastRenderedPageBreak/>
        <w:t xml:space="preserve">that the treatment was not able to promote optimal bulb enlargement, because bulb diameter is more determined by the accumulation of photosynthetic products and growing conditions, especially light intensity. </w:t>
      </w:r>
      <w:r w:rsidR="00C865DE">
        <w:rPr>
          <w:rFonts w:ascii="Arial" w:hAnsi="Arial"/>
          <w:bCs/>
        </w:rPr>
        <w:fldChar w:fldCharType="begin" w:fldLock="1"/>
      </w:r>
      <w:r w:rsidR="00C865DE">
        <w:rPr>
          <w:rFonts w:ascii="Arial" w:hAnsi="Arial"/>
          <w:bCs/>
        </w:rPr>
        <w:instrText>ADDIN CSL_CITATION {"citationItems":[{"id":"ITEM-1","itemData":{"ISBN":"7211418192","ISSN":"23194081","PMID":"25246403","abstract":"The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Hidayat","given":"Achmad","non-dropping-particle":"","parse-names":false,"suffix":""},{"dropping-particle":"","family":"Sumarni","given":"Nani","non-dropping-particle":"","parse-names":false,"suffix":""}],"container-title":"Budidaya Bawang Merah","id":"ITEM-1","issued":{"date-parts":[["2005"]]},"number-of-pages":"22","title":"BALAI PENELITIAN TANAMAN SAYURAN","type":"book","volume":"3"},"uris":["http://www.mendeley.com/documents/?uuid=340bf7b3-bb07-4205-9c20-269e0f2b36b2"]}],"mendeley":{"formattedCitation":"(Hidayat &amp; Sumarni, 2005)","manualFormatting":"Hidayat &amp; Sumarni (2005)","plainTextFormattedCitation":"(Hidayat &amp; Sumarni, 2005)","previouslyFormattedCitation":"(Hidayat &amp; Sumarni, 2005)"},"properties":{"noteIndex":0},"schema":"https://github.com/citation-style-language/schema/raw/master/csl-citation.json"}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 xml:space="preserve">Hidayat &amp; Sumarni </w:t>
      </w:r>
      <w:r w:rsidR="00C865DE">
        <w:rPr>
          <w:rFonts w:ascii="Arial" w:hAnsi="Arial"/>
          <w:bCs/>
          <w:noProof/>
        </w:rPr>
        <w:t>(</w:t>
      </w:r>
      <w:r w:rsidR="00C865DE" w:rsidRPr="00C865DE">
        <w:rPr>
          <w:rFonts w:ascii="Arial" w:hAnsi="Arial"/>
          <w:bCs/>
          <w:noProof/>
        </w:rPr>
        <w:t>2005)</w:t>
      </w:r>
      <w:r w:rsidR="00C865DE">
        <w:rPr>
          <w:rFonts w:ascii="Arial" w:hAnsi="Arial"/>
          <w:bCs/>
        </w:rPr>
        <w:fldChar w:fldCharType="end"/>
      </w:r>
      <w:r w:rsidR="00992868" w:rsidRPr="00992868">
        <w:rPr>
          <w:rFonts w:ascii="Arial" w:hAnsi="Arial"/>
          <w:bCs/>
        </w:rPr>
        <w:t xml:space="preserve"> and </w:t>
      </w:r>
      <w:r w:rsidR="00C865DE">
        <w:rPr>
          <w:rFonts w:ascii="Arial" w:hAnsi="Arial"/>
          <w:bCs/>
        </w:rPr>
        <w:fldChar w:fldCharType="begin" w:fldLock="1"/>
      </w:r>
      <w:r w:rsidR="006A5080">
        <w:rPr>
          <w:rFonts w:ascii="Arial" w:hAnsi="Arial"/>
          <w:bCs/>
        </w:rPr>
        <w:instrText>ADDIN CSL_CITATION {"citationItems":[{"id":"ITEM-1","itemData":{"DOI":"10.30598/jbdp.2025.21.1.89","abstract":"Shallots (Allium ascalonicum L. syn. A. cepa var. aggregatum) are a strategic commodity and has high economic value and cannot be substituted with other commodities. Currently, shallots are included in the main food commodity group, because their availability and price greatly influence inflation and the national economy. However, shallot production remains low, and planting material from tubers is expensive and susceptible to pests and diseases. The aim of this research is to increase shallot production by using planting material from True Shallot Seed (TSS) seeds through testing various types of NPK fertilizer on shallot growth and yield). This research aimed to increase shallot production by utilizing True Shallot Seeds (TSS) as planting material and evaluating the effects of various NPK fertilizer types on shallot growth and yield. The research design used was a single factor Randomized Block Design with 4 treatments and 6 replications so that there were 24 experimental units. Variables observed included plant height, number of leaves per clump, number of tubers per clump, tuber diameter, fresh tuber weight per plant, fresh weight of stover and dry weight of stover. The observation results were tested using Analysis of Variance (Anova) if there was a significant difference followed by Duncan's 5% multiple range test. The results indicated that the treatments had a highly significant effect on the growth and yield of shallot plants derived from TSS .The type of NPK fertilizer had a significant effect on the variables of plant height, number of tubers per hill, fresh weight of tubers and dry weight of plant stover and did not significantly differ on the parameters of number of leaves, diameter of tubers and fresh weight of stover. The highest yield was in the M3 (mixed NPK) treatment, namely the number of tubers was 15.89 and the fresh weight of the tubers was 164.11 gr","author":[{"dropping-particle":"","family":"Triyono","given":"Kharis","non-dropping-particle":"","parse-names":false,"suffix":""},{"dropping-particle":"","family":"Santosa","given":"Sartono J","non-dropping-particle":"","parse-names":false,"suffix":""},{"dropping-particle":"","family":"Maulida","given":"Elly E","non-dropping-particle":"","parse-names":false,"suffix":""}],"container-title":"Jurnal Budidaya Pertanian","id":"ITEM-1","issue":"1","issued":{"date-parts":[["2025"]]},"page":"2620-892","title":"Pertumbuhan dan Hasil Tanaman Bawang Merah (Allium ascalonicum L) Asal Biji (True Shallot Seeds) Pada Berbagai Macam Pupuk NPK","type":"article-journal","volume":"21"},"uris":["http://www.mendeley.com/documents/?uuid=d4d67fc1-9b16-4924-82a5-35fabe1f7f9e"]}],"mendeley":{"formattedCitation":"(Triyono et al., 2025)","manualFormatting":"Triyono et al. (2025)","plainTextFormattedCitation":"(Triyono et al., 2025)","previouslyFormattedCitation":"(Triyono et al., 2025)"},"properties":{"noteIndex":0},"schema":"https://github.com/citation-style-language/schema/raw/master/csl-citation.json"}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 xml:space="preserve">Triyono et al. </w:t>
      </w:r>
      <w:r w:rsidR="00C865DE">
        <w:rPr>
          <w:rFonts w:ascii="Arial" w:hAnsi="Arial"/>
          <w:bCs/>
          <w:noProof/>
        </w:rPr>
        <w:t>(</w:t>
      </w:r>
      <w:r w:rsidR="00C865DE" w:rsidRPr="00C865DE">
        <w:rPr>
          <w:rFonts w:ascii="Arial" w:hAnsi="Arial"/>
          <w:bCs/>
          <w:noProof/>
        </w:rPr>
        <w:t>2025)</w:t>
      </w:r>
      <w:r w:rsidR="00C865DE">
        <w:rPr>
          <w:rFonts w:ascii="Arial" w:hAnsi="Arial"/>
          <w:bCs/>
        </w:rPr>
        <w:fldChar w:fldCharType="end"/>
      </w:r>
      <w:r w:rsidR="00C865DE">
        <w:rPr>
          <w:rFonts w:ascii="Arial" w:hAnsi="Arial"/>
          <w:bCs/>
        </w:rPr>
        <w:t xml:space="preserve"> </w:t>
      </w:r>
      <w:r w:rsidR="00992868" w:rsidRPr="00992868">
        <w:rPr>
          <w:rFonts w:ascii="Arial" w:hAnsi="Arial"/>
          <w:bCs/>
        </w:rPr>
        <w:t xml:space="preserve">stated that bulb size is more influenced by the environment and photosynthetic activity than by fertilization. In addition, the number of leaves also plays a role in tuber enlargement, because the more leaves there are, the greater the amount of assimilates formed, thereby increasing tuber diameter and weight </w:t>
      </w:r>
      <w:r w:rsidR="00C865DE">
        <w:rPr>
          <w:rFonts w:ascii="Arial" w:hAnsi="Arial"/>
          <w:bCs/>
        </w:rPr>
        <w:fldChar w:fldCharType="begin" w:fldLock="1"/>
      </w:r>
      <w:r w:rsidR="00C865DE">
        <w:rPr>
          <w:rFonts w:ascii="Arial" w:hAnsi="Arial"/>
          <w:bCs/>
        </w:rPr>
        <w:instrText>ADDIN CSL_CITATION {"citationItems":[{"id":"ITEM-1","itemData":{"abstract":"Penelitian bertujuan untuk mempelajari pengaruh bioslurry cair terhadap pertumbuhan dan produksi tiga varietas bawang merah. Penelitian ini dilaksanakan di kebun percobaan …","author":[{"dropping-particle":"","family":"Kasim","given":"Nurlina","non-dropping-particle":"","parse-names":false,"suffix":""},{"dropping-particle":"","family":"Haring","given":"Feranita","non-dropping-particle":"","parse-names":false,"suffix":""},{"dropping-particle":"","family":"Asis","given":"Baharuddin","non-dropping-particle":"","parse-names":false,"suffix":""},{"dropping-particle":"","family":"Amin","given":"A Rusdayani","non-dropping-particle":"","parse-names":false,"suffix":""}],"container-title":"Jurnal Agrivigor","id":"ITEM-1","issue":"1","issued":{"date-parts":[["2021"]]},"page":"18-28","title":"Pertumbuhan dan produksi tiga varietas bawang merah (Allium ascalonicum L.) pada berbagai konsentrasi bioslurry cair","type":"article-journal","volume":"12"},"uris":["http://www.mendeley.com/documents/?uuid=94fb1fa6-6d80-4646-8e59-a04f93183a67"]}],"mendeley":{"formattedCitation":"(Kasim et al., 2021)","plainTextFormattedCitation":"(Kasim et al., 2021)","previouslyFormattedCitation":"(Kasim et al., 2021)"},"properties":{"noteIndex":0},"schema":"https://github.com/citation-style-language/schema/raw/master/csl-citation.json"}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(Kasim et al., 2021)</w:t>
      </w:r>
      <w:r w:rsidR="00C865DE">
        <w:rPr>
          <w:rFonts w:ascii="Arial" w:hAnsi="Arial"/>
          <w:bCs/>
        </w:rPr>
        <w:fldChar w:fldCharType="end"/>
      </w:r>
      <w:r w:rsidR="00992868" w:rsidRPr="00992868">
        <w:rPr>
          <w:rFonts w:ascii="Arial" w:hAnsi="Arial"/>
          <w:bCs/>
        </w:rPr>
        <w:t>.</w:t>
      </w:r>
    </w:p>
    <w:p w14:paraId="6A12AD19" w14:textId="02F449F2" w:rsidR="00B91AC2" w:rsidRDefault="00757DD0" w:rsidP="00757DD0">
      <w:pPr>
        <w:tabs>
          <w:tab w:val="left" w:pos="567"/>
        </w:tabs>
        <w:jc w:val="both"/>
        <w:rPr>
          <w:rFonts w:ascii="Arial" w:hAnsi="Arial"/>
          <w:bCs/>
        </w:rPr>
      </w:pPr>
      <w:r>
        <w:rPr>
          <w:rFonts w:ascii="Arial" w:hAnsi="Arial"/>
          <w:bCs/>
        </w:rPr>
        <w:tab/>
      </w:r>
      <w:r w:rsidR="00992868" w:rsidRPr="00992868">
        <w:rPr>
          <w:rFonts w:ascii="Arial" w:hAnsi="Arial"/>
          <w:bCs/>
        </w:rPr>
        <w:t xml:space="preserve">The treatment of seven combinations of PSB liquid organic fertilizer and inorganic fertilizer had no significant effect on the height of TSS shallot bulbs (Table 3). The highest bulb height was found in P1 (2.12 cm) and the lowest in P6 (1.96 cm). This indicates that the treatment was not able to optimally increase bulb height, as bulb growth is more influenced by environmental conditions such as temperature, light intensity, and nutrient availability. </w:t>
      </w:r>
      <w:r w:rsidR="00C865DE">
        <w:rPr>
          <w:rFonts w:ascii="Arial" w:hAnsi="Arial"/>
          <w:bCs/>
        </w:rPr>
        <w:fldChar w:fldCharType="begin" w:fldLock="1"/>
      </w:r>
      <w:r w:rsidR="006A5080">
        <w:rPr>
          <w:rFonts w:ascii="Arial" w:hAnsi="Arial"/>
          <w:bCs/>
        </w:rPr>
        <w:instrText>ADDIN CSL_CITATION {"citationItems":[{"id":"ITEM-1","itemData":{"DOI":"10.33084/daun.v10i1.4842","ISSN":"2356-0312","abstract":"The aims of this study was to determined the effect of aplication waste compost traditional market  and NPK to growth and yield of shallots (Allium ascalonicum L.) in the spodosols. This research was yield out in November 2018 until January 2019, at the installation of experimental garden of Agriculture, Faculty of Agriculture, University of Palangkaraya. This study used a Completely Randomized Design (CRD) which consist two factors, processing waste compost traditional market was K0 = 0 tons / ha (Control),  K1 = 5 tons / ha,  K2 = 10 tons / ha,  K3 = 15 tons / ha and NPK treatment was,  P0 = 0 kg / ha (Control), P1 = 300 kg / ha, P2 = 400 kg / ha. Each treatment was repeated 3 (three) replications to obtain 36 experimental units. To determined  the effect of the treatment given to the yield of the observation, an analysis was carried out.  If there was a real influenced from the yield of the analysis, then it will be continued with the BNJ test at the level of ɑ 5%. The yield of the average number of shallot tillers indicate that the combination of  distribution waste compost traditional market (K) and NPK (P) with K3P1 treatment  (15 tons / ha and 300 kg / ha)  was  the best combination of variable number of tillers 12,33. The aplication waste compost traditional market at a dose of 10 tons/ha able to increased plant height while 48,16 cm. Dose of 15 tons/ha able to increased number of tillers 9,56, fresh weight 91,80 g and dry tuber weight 53,73 g. While granting NPK at a dose of 400 kg/ha able to increased fresh weight 87,14 g, and dry tuber weight on shallots 49,49 g.","author":[{"dropping-particle":"","family":"Aritonang","given":"Daniel","non-dropping-particle":"","parse-names":false,"suffix":""},{"dropping-particle":"","family":"Zubaidah","given":"Siti","non-dropping-particle":"","parse-names":false,"suffix":""},{"dropping-particle":"","family":"Atikah","given":"Titin Apung","non-dropping-particle":"","parse-names":false,"suffix":""}],"container-title":"Daun: Jurnal Ilmiah Pertanian dan Kehutanan","id":"ITEM-1","issue":"1","issued":{"date-parts":[["2023"]]},"page":"73-83","title":"Pertumbuhan Dan Hasil Bawang Merah (Allium Ascalonicum L.) Akibat Pemberian Kompos Limbah Pasar Tradisional Dan Pupuk Npk Pada Tanah Spodosol","type":"article-journal","volume":"10"},"uris":["http://www.mendeley.com/documents/?uuid=c7f97ce5-ea0d-464f-94a9-28a3596b73d2"]}],"mendeley":{"formattedCitation":"(D. Aritonang et al., 2023)","manualFormatting":"Aritonang et al. (2023)","plainTextFormattedCitation":"(D. Aritonang et al., 2023)","previouslyFormattedCitation":"(D. Aritonang et al., 2023)"},"properties":{"noteIndex":0},"schema":"https://github.com/citation-style-language/schema/raw/master/csl-citation.json"}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 xml:space="preserve">Aritonang et al. </w:t>
      </w:r>
      <w:r w:rsidR="00C865DE">
        <w:rPr>
          <w:rFonts w:ascii="Arial" w:hAnsi="Arial"/>
          <w:bCs/>
          <w:noProof/>
        </w:rPr>
        <w:t>(</w:t>
      </w:r>
      <w:r w:rsidR="00C865DE" w:rsidRPr="00C865DE">
        <w:rPr>
          <w:rFonts w:ascii="Arial" w:hAnsi="Arial"/>
          <w:bCs/>
          <w:noProof/>
        </w:rPr>
        <w:t>2023)</w:t>
      </w:r>
      <w:r w:rsidR="00C865DE">
        <w:rPr>
          <w:rFonts w:ascii="Arial" w:hAnsi="Arial"/>
          <w:bCs/>
        </w:rPr>
        <w:fldChar w:fldCharType="end"/>
      </w:r>
      <w:r w:rsidR="00992868" w:rsidRPr="00992868">
        <w:rPr>
          <w:rFonts w:ascii="Arial" w:hAnsi="Arial"/>
          <w:bCs/>
        </w:rPr>
        <w:t xml:space="preserve"> stated that differences in bulb height are not always apparent if environmental factors are more dominant than fertilization. In addition, initial tuber size also affects growth, because larger tubers have more food reserves in the early phase </w:t>
      </w:r>
      <w:r w:rsidR="00C865DE">
        <w:rPr>
          <w:rFonts w:ascii="Arial" w:hAnsi="Arial"/>
          <w:bCs/>
        </w:rPr>
        <w:fldChar w:fldCharType="begin" w:fldLock="1"/>
      </w:r>
      <w:r w:rsidR="00C865DE">
        <w:rPr>
          <w:rFonts w:ascii="Arial" w:hAnsi="Arial"/>
          <w:bCs/>
        </w:rPr>
        <w:instrText>ADDIN CSL_CITATION {"citationItems":[{"id":"ITEM-1","itemData":{"author":[{"dropping-particle":"","family":"Hardiansyah","given":"Vicky","non-dropping-particle":"","parse-names":false,"suffix":""},{"dropping-particle":"","family":"Guritno","given":"Bambang","non-dropping-particle":"","parse-names":false,"suffix":""}],"container-title":"Plantropica: Journal of Agricultural","id":"ITEM-1","issue":"1","issued":{"date-parts":[["2022"]]},"page":"69-80","title":"Pengaruh Perbedaan Ukuran Umbi Bibit dan Aplikasi Berbagai Dosis Pupuk Nitrogen pada Pertumbuhan dan Hasil Bawang Merah (Allium ascalonicum L.)","type":"article-journal","volume":"7"},"uris":["http://www.mendeley.com/documents/?uuid=06fad2ce-3cd1-44d4-bfe6-a9ea985c452f"]}],"mendeley":{"formattedCitation":"(Hardiansyah &amp; Guritno, 2022)","plainTextFormattedCitation":"(Hardiansyah &amp; Guritno, 2022)","previouslyFormattedCitation":"(Hardiansyah &amp; Guritno, 2022)"},"properties":{"noteIndex":0},"schema":"https://github.com/citation-style-language/schema/raw/master/csl-citation.json"}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(Hardiansyah &amp; Guritno, 2022)</w:t>
      </w:r>
      <w:r w:rsidR="00C865DE">
        <w:rPr>
          <w:rFonts w:ascii="Arial" w:hAnsi="Arial"/>
          <w:bCs/>
        </w:rPr>
        <w:fldChar w:fldCharType="end"/>
      </w:r>
      <w:r w:rsidR="00992868" w:rsidRPr="00992868">
        <w:rPr>
          <w:rFonts w:ascii="Arial" w:hAnsi="Arial"/>
          <w:bCs/>
        </w:rPr>
        <w:t>.</w:t>
      </w:r>
    </w:p>
    <w:p w14:paraId="4512C4FD" w14:textId="7270D058" w:rsidR="00992868" w:rsidRDefault="00757DD0" w:rsidP="00757DD0">
      <w:pPr>
        <w:tabs>
          <w:tab w:val="left" w:pos="567"/>
        </w:tabs>
        <w:jc w:val="both"/>
        <w:rPr>
          <w:rFonts w:ascii="Arial" w:hAnsi="Arial"/>
          <w:bCs/>
        </w:rPr>
      </w:pPr>
      <w:r>
        <w:rPr>
          <w:rFonts w:ascii="Arial" w:hAnsi="Arial"/>
          <w:b/>
        </w:rPr>
        <w:tab/>
      </w:r>
      <w:r w:rsidR="00992868" w:rsidRPr="00992868">
        <w:rPr>
          <w:rFonts w:ascii="Arial" w:hAnsi="Arial"/>
          <w:bCs/>
        </w:rPr>
        <w:t xml:space="preserve">The yield of shallot bulbs per plot of TSS did not differ significantly between treatments (Table 3). The highest value was found in P5 (4.60 g) and the lowest in P6 (3.98 g), indicating that bulb production was still relatively low and uniform. This indicates that the combination of PSB fertilizer and inorganic fertilizer has not been able to optimally increase yields, as bulb formation and filling are more influenced by growing conditions than by fertilization treatments. </w:t>
      </w:r>
      <w:r w:rsidR="00C865DE">
        <w:rPr>
          <w:rFonts w:ascii="Arial" w:hAnsi="Arial"/>
          <w:bCs/>
        </w:rPr>
        <w:fldChar w:fldCharType="begin" w:fldLock="1"/>
      </w:r>
      <w:r w:rsidR="006A5080">
        <w:rPr>
          <w:rFonts w:ascii="Arial" w:hAnsi="Arial"/>
          <w:bCs/>
        </w:rPr>
        <w:instrText>ADDIN CSL_CITATION {"citationItems":[{"id":"ITEM-1","itemData":{"ISBN":"7211418192","ISSN":"23194081","PMID":"25246403","abstract":"The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Hidayat","given":"Achmad","non-dropping-particle":"","parse-names":false,"suffix":""},{"dropping-particle":"","family":"Sumarni","given":"Nani","non-dropping-particle":"","parse-names":false,"suffix":""}],"container-title":"Budidaya Bawang Merah","id":"ITEM-1","issued":{"date-parts":[["2005"]]},"number-of-pages":"22","title":"BALAI PENELITIAN TANAMAN SAYURAN","type":"book","volume":"3"},"uris":["http://www.mendeley.com/documents/?uuid=340bf7b3-bb07-4205-9c20-269e0f2b36b2"]}],"mendeley":{"formattedCitation":"(Hidayat &amp; Sumarni, 2005)","manualFormatting":"Hidayat &amp; Sumarni (2005)","plainTextFormattedCitation":"(Hidayat &amp; Sumarni, 2005)","previouslyFormattedCitation":"(Hidayat &amp; Sumarni, 2005)"},"properties":{"noteIndex":0},"schema":"https://github.com/citation-style-language/schema/raw/master/csl-citation.json"}</w:instrText>
      </w:r>
      <w:r w:rsidR="00C865DE">
        <w:rPr>
          <w:rFonts w:ascii="Arial" w:hAnsi="Arial"/>
          <w:bCs/>
        </w:rPr>
        <w:fldChar w:fldCharType="separate"/>
      </w:r>
      <w:r w:rsidR="00C865DE" w:rsidRPr="00C865DE">
        <w:rPr>
          <w:rFonts w:ascii="Arial" w:hAnsi="Arial"/>
          <w:bCs/>
          <w:noProof/>
        </w:rPr>
        <w:t xml:space="preserve">Hidayat &amp; Sumarni </w:t>
      </w:r>
      <w:r w:rsidR="00C865DE">
        <w:rPr>
          <w:rFonts w:ascii="Arial" w:hAnsi="Arial"/>
          <w:bCs/>
          <w:noProof/>
        </w:rPr>
        <w:t>(</w:t>
      </w:r>
      <w:r w:rsidR="00C865DE" w:rsidRPr="00C865DE">
        <w:rPr>
          <w:rFonts w:ascii="Arial" w:hAnsi="Arial"/>
          <w:bCs/>
          <w:noProof/>
        </w:rPr>
        <w:t>2005)</w:t>
      </w:r>
      <w:r w:rsidR="00C865DE">
        <w:rPr>
          <w:rFonts w:ascii="Arial" w:hAnsi="Arial"/>
          <w:bCs/>
        </w:rPr>
        <w:fldChar w:fldCharType="end"/>
      </w:r>
      <w:r w:rsidR="00992868" w:rsidRPr="00992868">
        <w:rPr>
          <w:rFonts w:ascii="Arial" w:hAnsi="Arial"/>
          <w:bCs/>
        </w:rPr>
        <w:t xml:space="preserve"> stated that shallot production is highly dependent on agroclimatic suitability, so fertilization does not always have a significant effect if environmental conditions are not optimal. Bulb weight per plot reflects the effectiveness of nutrient uptake and assimilate transport to the bulb, which determines crop production levels </w:t>
      </w:r>
      <w:r w:rsidR="006A5080">
        <w:rPr>
          <w:rFonts w:ascii="Arial" w:hAnsi="Arial"/>
          <w:bCs/>
        </w:rPr>
        <w:fldChar w:fldCharType="begin" w:fldLock="1"/>
      </w:r>
      <w:r w:rsidR="006A5080">
        <w:rPr>
          <w:rFonts w:ascii="Arial" w:hAnsi="Arial"/>
          <w:bCs/>
        </w:rPr>
        <w:instrText>ADDIN CSL_CITATION {"citationItems":[{"id":"ITEM-1","itemData":{"DOI":"10.9734/bjast/2014/8459","author":[{"dropping-particle":"","family":"Addai","given":"I.","non-dropping-particle":"","parse-names":false,"suffix":""}],"container-title":"British Journal of Applied Science &amp; Technology","id":"ITEM-1","issue":"14","issued":{"date-parts":[["2014"]]},"page":"2125-2135","title":"Influence of Bulb Weight at Planting and Drought Stress on Growth and Development of onion (Allium cepa L.) in the Northern Region of Ghana","type":"article-journal","volume":"4"},"uris":["http://www.mendeley.com/documents/?uuid=3b561abf-33c0-4581-8453-c25122d27c55"]}],"mendeley":{"formattedCitation":"(Addai, 2014)","plainTextFormattedCitation":"(Addai, 2014)","previouslyFormattedCitation":"(Addai, 2014)"},"properties":{"noteIndex":0},"schema":"https://github.com/citation-style-language/schema/raw/master/csl-citation.json"}</w:instrText>
      </w:r>
      <w:r w:rsidR="006A5080">
        <w:rPr>
          <w:rFonts w:ascii="Arial" w:hAnsi="Arial"/>
          <w:bCs/>
        </w:rPr>
        <w:fldChar w:fldCharType="separate"/>
      </w:r>
      <w:r w:rsidR="006A5080" w:rsidRPr="006A5080">
        <w:rPr>
          <w:rFonts w:ascii="Arial" w:hAnsi="Arial"/>
          <w:bCs/>
          <w:noProof/>
        </w:rPr>
        <w:t>(Addai, 2014)</w:t>
      </w:r>
      <w:r w:rsidR="006A5080">
        <w:rPr>
          <w:rFonts w:ascii="Arial" w:hAnsi="Arial"/>
          <w:bCs/>
        </w:rPr>
        <w:fldChar w:fldCharType="end"/>
      </w:r>
      <w:r w:rsidR="00992868" w:rsidRPr="00992868">
        <w:rPr>
          <w:rFonts w:ascii="Arial" w:hAnsi="Arial"/>
          <w:bCs/>
        </w:rPr>
        <w:t>.</w:t>
      </w:r>
    </w:p>
    <w:p w14:paraId="249C52E8" w14:textId="657E8CD0" w:rsidR="00B91AC2" w:rsidRDefault="00757DD0" w:rsidP="00757DD0">
      <w:pPr>
        <w:tabs>
          <w:tab w:val="left" w:pos="567"/>
        </w:tabs>
        <w:jc w:val="both"/>
        <w:rPr>
          <w:rFonts w:ascii="Arial" w:hAnsi="Arial"/>
          <w:bCs/>
        </w:rPr>
      </w:pPr>
      <w:r>
        <w:rPr>
          <w:rFonts w:ascii="Arial" w:hAnsi="Arial"/>
          <w:bCs/>
        </w:rPr>
        <w:tab/>
      </w:r>
      <w:r w:rsidR="00992868" w:rsidRPr="00992868">
        <w:rPr>
          <w:rFonts w:ascii="Arial" w:hAnsi="Arial"/>
          <w:bCs/>
        </w:rPr>
        <w:t>The number of plants growing in all treatments showed a high growth rate percentage (Table 3). The highest percentage was found in P1 (100%), followed by P6 (98%), while P0, P2, P4, and P5 were relatively uniform in the range of 95–96%, and the lowest was in P3 (93%). The high percentage of plant growth indicates good TSS seed viability and optimal seedling adaptability in the field. This indicates that seed quality and initial growth conditions greatly support the successful establishment of TSS shallots. The germination percentage reflects seed viability and initial plant success, which are influenced by soil conditions and moisture in supporting the germination process and emergence of shoots</w:t>
      </w:r>
      <w:r w:rsidR="006A5080">
        <w:rPr>
          <w:rFonts w:ascii="Arial" w:hAnsi="Arial"/>
          <w:bCs/>
        </w:rPr>
        <w:t xml:space="preserve"> </w:t>
      </w:r>
      <w:r w:rsidR="006A5080">
        <w:rPr>
          <w:rFonts w:ascii="Arial" w:hAnsi="Arial"/>
          <w:bCs/>
        </w:rPr>
        <w:fldChar w:fldCharType="begin" w:fldLock="1"/>
      </w:r>
      <w:r w:rsidR="006A5080">
        <w:rPr>
          <w:rFonts w:ascii="Arial" w:hAnsi="Arial"/>
          <w:bCs/>
        </w:rPr>
        <w:instrText>ADDIN CSL_CITATION {"citationItems":[{"id":"ITEM-1","itemData":{"DOI":"10.3390/agronomy13020288","ISSN":"20734395","abstract":"Cultivation of onion and onion-like crops has become a challenge in the context of climate change and innovative solutions are needed to support breeders as well as farmers, starting from the crucial issues of seed quality. Seed priming is routinely used to enhance germination performance and seedling resilience. Although common for radish, tomato, carrot or head cabbage seeds, the technique has been less popular for onion-like crops. This review provides a state-of-the-art picture of the scientific and technological advances that have so far contributed to enhance seed germination and vigour in onion-like crops. A brief description of the different types of priming approaches is provided whereas attention is focused on the following: (i) the impact of seed priming in terms of improved germination, seedling development and resilience to environmental stresses; (ii) the concept of seed quality hallmarks translated from model plants to the genus Allium; (iii) the drawbacks that currently impair the fully exploitation of seed priming in this specific sector of the agrifood chain.","author":[{"dropping-particle":"","family":"Pagano","given":"Andrea","non-dropping-particle":"","parse-names":false,"suffix":""},{"dropping-particle":"","family":"Macovei","given":"Anca","non-dropping-particle":"","parse-names":false,"suffix":""},{"dropping-particle":"","family":"Xia","given":"Xianzong","non-dropping-particle":"","parse-names":false,"suffix":""},{"dropping-particle":"","family":"Padula","given":"Gregorio","non-dropping-particle":"","parse-names":false,"suffix":""},{"dropping-particle":"","family":"Hołubowicz","given":"Roman","non-dropping-particle":"","parse-names":false,"suffix":""},{"dropping-particle":"","family":"Balestrazzi","given":"Alma","non-dropping-particle":"","parse-names":false,"suffix":""}],"container-title":"Agronomy","id":"ITEM-1","issue":"2","issued":{"date-parts":[["2023"]]},"page":"1-15","title":"Seed Priming Applied to Onion-Like Crops: State of the Art and Open Questions","type":"article","volume":"13"},"uris":["http://www.mendeley.com/documents/?uuid=b98c238d-c82a-4c69-89c0-979bc39cefed"]}],"mendeley":{"formattedCitation":"(Pagano et al., 2023)","plainTextFormattedCitation":"(Pagano et al., 2023)","previouslyFormattedCitation":"(Pagano et al., 2023)"},"properties":{"noteIndex":0},"schema":"https://github.com/citation-style-language/schema/raw/master/csl-citation.json"}</w:instrText>
      </w:r>
      <w:r w:rsidR="006A5080">
        <w:rPr>
          <w:rFonts w:ascii="Arial" w:hAnsi="Arial"/>
          <w:bCs/>
        </w:rPr>
        <w:fldChar w:fldCharType="separate"/>
      </w:r>
      <w:r w:rsidR="006A5080" w:rsidRPr="006A5080">
        <w:rPr>
          <w:rFonts w:ascii="Arial" w:hAnsi="Arial"/>
          <w:bCs/>
          <w:noProof/>
        </w:rPr>
        <w:t>(Pagano et al., 2023)</w:t>
      </w:r>
      <w:r w:rsidR="006A5080">
        <w:rPr>
          <w:rFonts w:ascii="Arial" w:hAnsi="Arial"/>
          <w:bCs/>
        </w:rPr>
        <w:fldChar w:fldCharType="end"/>
      </w:r>
      <w:r w:rsidR="00992868" w:rsidRPr="00992868">
        <w:rPr>
          <w:rFonts w:ascii="Arial" w:hAnsi="Arial"/>
          <w:bCs/>
        </w:rPr>
        <w:t>.</w:t>
      </w:r>
    </w:p>
    <w:p w14:paraId="78B4642F" w14:textId="784A4B90" w:rsidR="00181D47" w:rsidRPr="00F25E6E" w:rsidRDefault="00181D47" w:rsidP="00B91AC2">
      <w:pPr>
        <w:tabs>
          <w:tab w:val="left" w:pos="1080"/>
        </w:tabs>
        <w:jc w:val="both"/>
        <w:rPr>
          <w:rFonts w:ascii="Arial" w:hAnsi="Arial"/>
          <w:bCs/>
        </w:rPr>
      </w:pPr>
    </w:p>
    <w:p w14:paraId="61ED20DF" w14:textId="1E08FDBC" w:rsidR="00B91AC2" w:rsidRDefault="00B91AC2" w:rsidP="00B91AC2">
      <w:pPr>
        <w:tabs>
          <w:tab w:val="left" w:pos="1080"/>
        </w:tabs>
        <w:jc w:val="both"/>
        <w:rPr>
          <w:rFonts w:ascii="Arial" w:hAnsi="Arial"/>
          <w:b/>
        </w:rPr>
      </w:pPr>
      <w:r>
        <w:rPr>
          <w:rFonts w:ascii="Arial" w:hAnsi="Arial"/>
          <w:b/>
        </w:rPr>
        <w:t xml:space="preserve">4. </w:t>
      </w:r>
      <w:r w:rsidR="00992868" w:rsidRPr="00992868">
        <w:rPr>
          <w:rFonts w:ascii="Arial" w:hAnsi="Arial"/>
          <w:b/>
        </w:rPr>
        <w:t>Conclusion</w:t>
      </w:r>
    </w:p>
    <w:p w14:paraId="4A88321B" w14:textId="0222E224" w:rsidR="00B91AC2" w:rsidRPr="00FB3A86" w:rsidRDefault="00992868" w:rsidP="00757DD0">
      <w:pPr>
        <w:pStyle w:val="Body"/>
        <w:spacing w:after="0"/>
        <w:ind w:firstLine="720"/>
        <w:rPr>
          <w:rFonts w:ascii="Arial" w:hAnsi="Arial" w:cs="Arial"/>
        </w:rPr>
      </w:pPr>
      <w:r w:rsidRPr="00992868">
        <w:rPr>
          <w:rFonts w:ascii="Arial" w:hAnsi="Arial"/>
          <w:bCs/>
        </w:rPr>
        <w:t>The growth and yield of TSS shallots, including plant height, number of leaves, number of tillers, number of bulbs per clump, fresh bulb weight, dry bulb weight, bulb diameter, bulb height, and bulb yield per plot, showed no significant differences between treatments. The percentage of plants that grew in all treatments was high, indicating that the Sanren F1 True Shallot Seed onion seed variety used had good viability and growth potential. The combination of PSB and inorganic fertilizer in this study was not yet effective as a fertilization technology to increase the productivity of TSS shallots.</w:t>
      </w:r>
    </w:p>
    <w:p w14:paraId="6193AF25" w14:textId="77777777" w:rsidR="00B91AC2" w:rsidRDefault="00B91AC2" w:rsidP="00B91AC2">
      <w:pPr>
        <w:pStyle w:val="Appendix"/>
        <w:spacing w:after="0"/>
        <w:jc w:val="both"/>
        <w:rPr>
          <w:rFonts w:ascii="Arial" w:hAnsi="Arial" w:cs="Arial"/>
          <w:b w:val="0"/>
        </w:rPr>
      </w:pPr>
    </w:p>
    <w:p w14:paraId="0F836D55" w14:textId="77777777" w:rsidR="006A5080" w:rsidRDefault="006A5080" w:rsidP="00B91AC2">
      <w:pPr>
        <w:pStyle w:val="Appendix"/>
        <w:spacing w:after="0"/>
        <w:jc w:val="both"/>
        <w:rPr>
          <w:rFonts w:ascii="Arial" w:hAnsi="Arial" w:cs="Arial"/>
          <w:b w:val="0"/>
        </w:rPr>
      </w:pPr>
    </w:p>
    <w:p w14:paraId="27215768" w14:textId="77777777" w:rsidR="006A5080" w:rsidRDefault="006A5080" w:rsidP="00B91AC2">
      <w:pPr>
        <w:pStyle w:val="Appendix"/>
        <w:spacing w:after="0"/>
        <w:jc w:val="both"/>
        <w:rPr>
          <w:rFonts w:ascii="Arial" w:hAnsi="Arial" w:cs="Arial"/>
        </w:rPr>
      </w:pPr>
      <w:r w:rsidRPr="00743ED9">
        <w:rPr>
          <w:rFonts w:ascii="Arial" w:hAnsi="Arial" w:cs="Arial"/>
        </w:rPr>
        <w:t>REFERENCES</w:t>
      </w:r>
    </w:p>
    <w:p w14:paraId="06315A8B" w14:textId="77777777" w:rsidR="00444492" w:rsidRPr="00444492" w:rsidRDefault="00444492" w:rsidP="00181D47">
      <w:pPr>
        <w:widowControl w:val="0"/>
        <w:autoSpaceDE w:val="0"/>
        <w:autoSpaceDN w:val="0"/>
        <w:adjustRightInd w:val="0"/>
        <w:ind w:left="480" w:hanging="48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444492">
        <w:rPr>
          <w:rFonts w:ascii="Arial" w:hAnsi="Arial" w:cs="Arial"/>
          <w:noProof/>
        </w:rPr>
        <w:t>Addai, I. (2014). Influence of Bulb Weight at Planting and Drought Stress on Growth and Development of onion (</w:t>
      </w:r>
      <w:r w:rsidRPr="00181D47">
        <w:rPr>
          <w:rFonts w:ascii="Arial" w:hAnsi="Arial" w:cs="Arial"/>
          <w:i/>
          <w:iCs/>
          <w:noProof/>
        </w:rPr>
        <w:t>Allium cep</w:t>
      </w:r>
      <w:r w:rsidRPr="00444492">
        <w:rPr>
          <w:rFonts w:ascii="Arial" w:hAnsi="Arial" w:cs="Arial"/>
          <w:noProof/>
        </w:rPr>
        <w:t xml:space="preserve">a L.) in the Northern Region of Ghana. </w:t>
      </w:r>
      <w:r w:rsidRPr="00444492">
        <w:rPr>
          <w:rFonts w:ascii="Arial" w:hAnsi="Arial" w:cs="Arial"/>
          <w:i/>
          <w:iCs/>
          <w:noProof/>
        </w:rPr>
        <w:t>British Journal of Applied Science &amp; Technology</w:t>
      </w:r>
      <w:r w:rsidRPr="00444492">
        <w:rPr>
          <w:rFonts w:ascii="Arial" w:hAnsi="Arial" w:cs="Arial"/>
          <w:noProof/>
        </w:rPr>
        <w:t xml:space="preserve">, </w:t>
      </w:r>
      <w:r w:rsidRPr="00444492">
        <w:rPr>
          <w:rFonts w:ascii="Arial" w:hAnsi="Arial" w:cs="Arial"/>
          <w:i/>
          <w:iCs/>
          <w:noProof/>
        </w:rPr>
        <w:t>4</w:t>
      </w:r>
      <w:r w:rsidRPr="00444492">
        <w:rPr>
          <w:rFonts w:ascii="Arial" w:hAnsi="Arial" w:cs="Arial"/>
          <w:noProof/>
        </w:rPr>
        <w:t>(14), 2125–2135. https://doi.org/10.9734/bjast/2014/8459</w:t>
      </w:r>
    </w:p>
    <w:p w14:paraId="2E6B2777" w14:textId="42513AE9"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Aritonang, D., Zubaidah, S., &amp; Atikah, T. A. (2023). </w:t>
      </w:r>
      <w:r w:rsidR="00181D47" w:rsidRPr="00181D47">
        <w:rPr>
          <w:rFonts w:ascii="Arial" w:hAnsi="Arial" w:cs="Arial"/>
          <w:noProof/>
        </w:rPr>
        <w:t>Growth and Yield of Shallots (</w:t>
      </w:r>
      <w:r w:rsidR="00181D47" w:rsidRPr="00181D47">
        <w:rPr>
          <w:rFonts w:ascii="Arial" w:hAnsi="Arial" w:cs="Arial"/>
          <w:i/>
          <w:iCs/>
          <w:noProof/>
        </w:rPr>
        <w:t>Allium Ascalonicum</w:t>
      </w:r>
      <w:r w:rsidR="00181D47" w:rsidRPr="00181D47">
        <w:rPr>
          <w:rFonts w:ascii="Arial" w:hAnsi="Arial" w:cs="Arial"/>
          <w:noProof/>
        </w:rPr>
        <w:t xml:space="preserve"> L.) Due to the Application of Traditional Market Waste Compost and NPK Fertilizer on Spodosol Soil. Daun: Scientific Journal of Agriculture and Forestry, 10(1),</w:t>
      </w:r>
      <w:r w:rsidRPr="00444492">
        <w:rPr>
          <w:rFonts w:ascii="Arial" w:hAnsi="Arial" w:cs="Arial"/>
          <w:noProof/>
        </w:rPr>
        <w:t xml:space="preserve"> </w:t>
      </w:r>
      <w:r w:rsidRPr="00444492">
        <w:rPr>
          <w:rFonts w:ascii="Arial" w:hAnsi="Arial" w:cs="Arial"/>
          <w:noProof/>
        </w:rPr>
        <w:lastRenderedPageBreak/>
        <w:t>73–83. https://doi.org/10.33084/daun.v10i1.4842</w:t>
      </w:r>
    </w:p>
    <w:p w14:paraId="5FD5D712" w14:textId="23712620"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Aritonang, S., Rumetor, S. D., &amp; Yoku, O. (2020). </w:t>
      </w:r>
      <w:r w:rsidR="00181D47" w:rsidRPr="00181D47">
        <w:rPr>
          <w:rFonts w:ascii="Arial" w:hAnsi="Arial" w:cs="Arial"/>
          <w:noProof/>
        </w:rPr>
        <w:t>Vegetative Growth of King Grass (</w:t>
      </w:r>
      <w:r w:rsidR="00181D47" w:rsidRPr="00181D47">
        <w:rPr>
          <w:rFonts w:ascii="Arial" w:hAnsi="Arial" w:cs="Arial"/>
          <w:i/>
          <w:iCs/>
          <w:noProof/>
        </w:rPr>
        <w:t>Pennisetum purpureophoides</w:t>
      </w:r>
      <w:r w:rsidR="00181D47" w:rsidRPr="00181D47">
        <w:rPr>
          <w:rFonts w:ascii="Arial" w:hAnsi="Arial" w:cs="Arial"/>
          <w:noProof/>
        </w:rPr>
        <w:t>) with Inorganic and Organic Fertilizer Treatments. Journal of Tropical Animal Science and Veterinary Medicine</w:t>
      </w:r>
      <w:r w:rsidRPr="00444492">
        <w:rPr>
          <w:rFonts w:ascii="Arial" w:hAnsi="Arial" w:cs="Arial"/>
          <w:i/>
          <w:iCs/>
          <w:noProof/>
        </w:rPr>
        <w:t xml:space="preserve"> (Journal of Tropical Animal and Veterinary Science)</w:t>
      </w:r>
      <w:r w:rsidRPr="00444492">
        <w:rPr>
          <w:rFonts w:ascii="Arial" w:hAnsi="Arial" w:cs="Arial"/>
          <w:noProof/>
        </w:rPr>
        <w:t xml:space="preserve">, </w:t>
      </w:r>
      <w:r w:rsidRPr="00444492">
        <w:rPr>
          <w:rFonts w:ascii="Arial" w:hAnsi="Arial" w:cs="Arial"/>
          <w:i/>
          <w:iCs/>
          <w:noProof/>
        </w:rPr>
        <w:t>10</w:t>
      </w:r>
      <w:r w:rsidRPr="00444492">
        <w:rPr>
          <w:rFonts w:ascii="Arial" w:hAnsi="Arial" w:cs="Arial"/>
          <w:noProof/>
        </w:rPr>
        <w:t>(1), 29. https://doi.org/10.46549/jipvet.v10i1.87</w:t>
      </w:r>
    </w:p>
    <w:p w14:paraId="29A8BB63" w14:textId="0C40EA44"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Brahmana, E. M. B., Dahlia, D., Mubarrak, J., Lestari, R. L., Karno, R. K., &amp; Purnama, A. A. P. (2022). </w:t>
      </w:r>
      <w:r w:rsidR="00181D47" w:rsidRPr="00181D47">
        <w:rPr>
          <w:rFonts w:ascii="Arial" w:hAnsi="Arial" w:cs="Arial"/>
          <w:noProof/>
        </w:rPr>
        <w:t>Socialization of the Production of Photosynthetic Bacteria as Plant Fertilizer.</w:t>
      </w:r>
      <w:r w:rsidR="00181D47">
        <w:rPr>
          <w:rFonts w:ascii="Arial" w:hAnsi="Arial" w:cs="Arial"/>
          <w:noProof/>
        </w:rPr>
        <w:t xml:space="preserve"> </w:t>
      </w:r>
      <w:r w:rsidR="00181D47" w:rsidRPr="00444492">
        <w:rPr>
          <w:rFonts w:ascii="Arial" w:hAnsi="Arial" w:cs="Arial"/>
          <w:i/>
          <w:iCs/>
          <w:noProof/>
        </w:rPr>
        <w:t>Consen</w:t>
      </w:r>
      <w:r w:rsidRPr="00444492">
        <w:rPr>
          <w:rFonts w:ascii="Arial" w:hAnsi="Arial" w:cs="Arial"/>
          <w:i/>
          <w:iCs/>
          <w:noProof/>
        </w:rPr>
        <w:t>: Indonesian Journal of Community Services and Engagement</w:t>
      </w:r>
      <w:r w:rsidRPr="00444492">
        <w:rPr>
          <w:rFonts w:ascii="Arial" w:hAnsi="Arial" w:cs="Arial"/>
          <w:noProof/>
        </w:rPr>
        <w:t xml:space="preserve">, </w:t>
      </w:r>
      <w:r w:rsidRPr="00444492">
        <w:rPr>
          <w:rFonts w:ascii="Arial" w:hAnsi="Arial" w:cs="Arial"/>
          <w:i/>
          <w:iCs/>
          <w:noProof/>
        </w:rPr>
        <w:t>2</w:t>
      </w:r>
      <w:r w:rsidRPr="00444492">
        <w:rPr>
          <w:rFonts w:ascii="Arial" w:hAnsi="Arial" w:cs="Arial"/>
          <w:noProof/>
        </w:rPr>
        <w:t>(2), 67–71. https://doi.org/10.57152/consen.v2i2.463</w:t>
      </w:r>
    </w:p>
    <w:p w14:paraId="49298361" w14:textId="2DF77B39"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Cahyani, N. A., Hasanah, Y., &amp; Sarifuddin, S. (2022). Increased Production Of True Shallot Seed With Applications Of Paclobutrazol And Salicylic Acid On Drought Conditions. </w:t>
      </w:r>
      <w:r w:rsidR="001C6181" w:rsidRPr="001C6181">
        <w:rPr>
          <w:rFonts w:ascii="Arial" w:hAnsi="Arial" w:cs="Arial"/>
          <w:i/>
          <w:iCs/>
          <w:noProof/>
        </w:rPr>
        <w:t>Agritepa</w:t>
      </w:r>
      <w:r w:rsidRPr="00444492">
        <w:rPr>
          <w:rFonts w:ascii="Arial" w:hAnsi="Arial" w:cs="Arial"/>
          <w:i/>
          <w:iCs/>
          <w:noProof/>
        </w:rPr>
        <w:t xml:space="preserve">: </w:t>
      </w:r>
      <w:r w:rsidR="001C6181" w:rsidRPr="001C6181">
        <w:rPr>
          <w:rFonts w:ascii="Arial" w:hAnsi="Arial" w:cs="Arial"/>
          <w:i/>
          <w:iCs/>
          <w:noProof/>
        </w:rPr>
        <w:t>Journal of Agricultural Science and Technology,</w:t>
      </w:r>
      <w:r w:rsidRPr="00444492">
        <w:rPr>
          <w:rFonts w:ascii="Arial" w:hAnsi="Arial" w:cs="Arial"/>
          <w:noProof/>
        </w:rPr>
        <w:t xml:space="preserve"> </w:t>
      </w:r>
      <w:r w:rsidRPr="00444492">
        <w:rPr>
          <w:rFonts w:ascii="Arial" w:hAnsi="Arial" w:cs="Arial"/>
          <w:i/>
          <w:iCs/>
          <w:noProof/>
        </w:rPr>
        <w:t>9</w:t>
      </w:r>
      <w:r w:rsidRPr="00444492">
        <w:rPr>
          <w:rFonts w:ascii="Arial" w:hAnsi="Arial" w:cs="Arial"/>
          <w:noProof/>
        </w:rPr>
        <w:t>(1), 181–196. https://doi.org/10.37676/agritepa.v9i1.2234</w:t>
      </w:r>
    </w:p>
    <w:p w14:paraId="58A205D7" w14:textId="182DDF7F"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Darmawan, D. (2018). </w:t>
      </w:r>
      <w:r w:rsidR="001C6181" w:rsidRPr="001C6181">
        <w:rPr>
          <w:rFonts w:ascii="Arial" w:hAnsi="Arial" w:cs="Arial"/>
          <w:noProof/>
        </w:rPr>
        <w:t>Strategy for Developing Shallot Farming in Sajen Village, Pacet Subdistrict, Mojokerto Regency. Agrimas,</w:t>
      </w:r>
      <w:r w:rsidRPr="00444492">
        <w:rPr>
          <w:rFonts w:ascii="Arial" w:hAnsi="Arial" w:cs="Arial"/>
          <w:noProof/>
        </w:rPr>
        <w:t xml:space="preserve"> </w:t>
      </w:r>
      <w:r w:rsidRPr="00444492">
        <w:rPr>
          <w:rFonts w:ascii="Arial" w:hAnsi="Arial" w:cs="Arial"/>
          <w:i/>
          <w:iCs/>
          <w:noProof/>
        </w:rPr>
        <w:t>2</w:t>
      </w:r>
      <w:r w:rsidRPr="00444492">
        <w:rPr>
          <w:rFonts w:ascii="Arial" w:hAnsi="Arial" w:cs="Arial"/>
          <w:noProof/>
        </w:rPr>
        <w:t>(1), 13–22.</w:t>
      </w:r>
    </w:p>
    <w:p w14:paraId="19A22266" w14:textId="77777777" w:rsidR="001C6181"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Edi, S. (2019).</w:t>
      </w:r>
      <w:r w:rsidR="001C6181" w:rsidRPr="001C6181">
        <w:rPr>
          <w:rFonts w:ascii="Arial" w:hAnsi="Arial" w:cs="Arial"/>
          <w:noProof/>
        </w:rPr>
        <w:t xml:space="preserve"> Growth and yield of several onion varieties using two planting methods on dry lowland fields in Jambi City. Jurnal Agroecotania: National Publication of Science ..., 2(1), 1–10. https://online-journal.unja.ac.id/Agroecotania/article/view/7899</w:t>
      </w:r>
    </w:p>
    <w:p w14:paraId="1CBD9B6A" w14:textId="0B962CCD"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Febby Dany Lestary, &amp; Muhammad Yasin. (2023). </w:t>
      </w:r>
      <w:r w:rsidR="001C6181" w:rsidRPr="001C6181">
        <w:rPr>
          <w:rFonts w:ascii="Arial" w:hAnsi="Arial" w:cs="Arial"/>
          <w:noProof/>
        </w:rPr>
        <w:t xml:space="preserve">Analysis of the Impact of Fertilizer Shortages on Rice Farmers' Income in Kacangan Village, Lamongan Regency. Journal of Management and Economic Research (Jrime), </w:t>
      </w:r>
      <w:r w:rsidRPr="00444492">
        <w:rPr>
          <w:rFonts w:ascii="Arial" w:hAnsi="Arial" w:cs="Arial"/>
          <w:i/>
          <w:iCs/>
          <w:noProof/>
        </w:rPr>
        <w:t>1</w:t>
      </w:r>
      <w:r w:rsidRPr="00444492">
        <w:rPr>
          <w:rFonts w:ascii="Arial" w:hAnsi="Arial" w:cs="Arial"/>
          <w:noProof/>
        </w:rPr>
        <w:t>(4), 53–58. https://doi.org/10.54066/jrime-itb.v1i4.705</w:t>
      </w:r>
    </w:p>
    <w:p w14:paraId="30FFEDD4" w14:textId="77777777"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George, D. M., Vincent, A. S., &amp; Mackey, H. R. (2020). </w:t>
      </w:r>
      <w:r w:rsidRPr="001C6181">
        <w:rPr>
          <w:rFonts w:ascii="Arial" w:hAnsi="Arial" w:cs="Arial"/>
          <w:noProof/>
        </w:rPr>
        <w:t>An overview of anoxygenic phototrophic bacteria and their applications in environmental biotechnology for sustainable Resource recovery.</w:t>
      </w:r>
      <w:r w:rsidRPr="00444492">
        <w:rPr>
          <w:rFonts w:ascii="Arial" w:hAnsi="Arial" w:cs="Arial"/>
          <w:noProof/>
        </w:rPr>
        <w:t xml:space="preserve"> https://www.sciencedirect.com/science/article/pii/S2215017X20306093</w:t>
      </w:r>
    </w:p>
    <w:p w14:paraId="655399F5" w14:textId="43E9AD85"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Ginting, W. (2016). </w:t>
      </w:r>
      <w:r w:rsidR="001C6181" w:rsidRPr="001C6181">
        <w:rPr>
          <w:rFonts w:ascii="Arial" w:hAnsi="Arial" w:cs="Arial"/>
          <w:noProof/>
        </w:rPr>
        <w:t>The Effect of Pgpr (Plant Growth Promoting Rhizobacteria) and Goat Manure Organic Fertilizer on the Growth and Yield of Bauji Variety Shallots (</w:t>
      </w:r>
      <w:r w:rsidR="001C6181" w:rsidRPr="001C6181">
        <w:rPr>
          <w:rFonts w:ascii="Arial" w:hAnsi="Arial" w:cs="Arial"/>
          <w:i/>
          <w:iCs/>
          <w:noProof/>
        </w:rPr>
        <w:t>Allium Ascalonicum</w:t>
      </w:r>
      <w:r w:rsidR="001C6181" w:rsidRPr="001C6181">
        <w:rPr>
          <w:rFonts w:ascii="Arial" w:hAnsi="Arial" w:cs="Arial"/>
          <w:noProof/>
        </w:rPr>
        <w:t xml:space="preserve"> L.) Plants.</w:t>
      </w:r>
      <w:r w:rsidRPr="001C6181">
        <w:rPr>
          <w:rFonts w:ascii="Arial" w:hAnsi="Arial" w:cs="Arial"/>
          <w:noProof/>
        </w:rPr>
        <w:t xml:space="preserve"> </w:t>
      </w:r>
      <w:r w:rsidRPr="00444492">
        <w:rPr>
          <w:rFonts w:ascii="Arial" w:hAnsi="Arial" w:cs="Arial"/>
          <w:noProof/>
        </w:rPr>
        <w:t>https://repository.ub.ac.id/id/eprint/131216/</w:t>
      </w:r>
    </w:p>
    <w:p w14:paraId="534631D5" w14:textId="77777777"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Hakim, T., &amp; Anandari, S. (2019). Responsives bokashi cow manure and POC banana weevil to the growth and production of onion (</w:t>
      </w:r>
      <w:r w:rsidRPr="001C6181">
        <w:rPr>
          <w:rFonts w:ascii="Arial" w:hAnsi="Arial" w:cs="Arial"/>
          <w:i/>
          <w:iCs/>
          <w:noProof/>
        </w:rPr>
        <w:t>Allium ascalonicum</w:t>
      </w:r>
      <w:r w:rsidRPr="00444492">
        <w:rPr>
          <w:rFonts w:ascii="Arial" w:hAnsi="Arial" w:cs="Arial"/>
          <w:noProof/>
        </w:rPr>
        <w:t xml:space="preserve"> L.). </w:t>
      </w:r>
      <w:r w:rsidRPr="00444492">
        <w:rPr>
          <w:rFonts w:ascii="Arial" w:hAnsi="Arial" w:cs="Arial"/>
          <w:i/>
          <w:iCs/>
          <w:noProof/>
        </w:rPr>
        <w:t>Agrium</w:t>
      </w:r>
      <w:r w:rsidRPr="00444492">
        <w:rPr>
          <w:rFonts w:ascii="Arial" w:hAnsi="Arial" w:cs="Arial"/>
          <w:noProof/>
        </w:rPr>
        <w:t xml:space="preserve">, </w:t>
      </w:r>
      <w:r w:rsidRPr="00444492">
        <w:rPr>
          <w:rFonts w:ascii="Arial" w:hAnsi="Arial" w:cs="Arial"/>
          <w:i/>
          <w:iCs/>
          <w:noProof/>
        </w:rPr>
        <w:t>22</w:t>
      </w:r>
      <w:r w:rsidRPr="00444492">
        <w:rPr>
          <w:rFonts w:ascii="Arial" w:hAnsi="Arial" w:cs="Arial"/>
          <w:noProof/>
        </w:rPr>
        <w:t>(2), 102–106. https://doi.org/10.30596/agrium.v21i3.2456</w:t>
      </w:r>
    </w:p>
    <w:p w14:paraId="5DD9030D" w14:textId="3BB3F4C3" w:rsidR="007266BD" w:rsidRPr="00444492" w:rsidRDefault="00444492" w:rsidP="001A382A">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Hakim, T., Luta, D. A., &amp; Sitepu, D. S. (2022). </w:t>
      </w:r>
      <w:r w:rsidR="001C6181" w:rsidRPr="001C6181">
        <w:rPr>
          <w:rFonts w:ascii="Arial" w:hAnsi="Arial" w:cs="Arial"/>
          <w:noProof/>
        </w:rPr>
        <w:t>True Shallots Seed Technology and Utilization of Agricultural Waste in the Growth of Red Onion Production (</w:t>
      </w:r>
      <w:r w:rsidR="001C6181" w:rsidRPr="001C6181">
        <w:rPr>
          <w:rFonts w:ascii="Arial" w:hAnsi="Arial" w:cs="Arial"/>
          <w:i/>
          <w:iCs/>
          <w:noProof/>
        </w:rPr>
        <w:t>Allium ascalonicum</w:t>
      </w:r>
      <w:r w:rsidR="001C6181" w:rsidRPr="001C6181">
        <w:rPr>
          <w:rFonts w:ascii="Arial" w:hAnsi="Arial" w:cs="Arial"/>
          <w:noProof/>
        </w:rPr>
        <w:t xml:space="preserve"> L). </w:t>
      </w:r>
      <w:r w:rsidR="001C6181" w:rsidRPr="00444492">
        <w:rPr>
          <w:rFonts w:ascii="Arial" w:hAnsi="Arial" w:cs="Arial"/>
          <w:i/>
          <w:iCs/>
          <w:noProof/>
        </w:rPr>
        <w:t>Prosiding</w:t>
      </w:r>
      <w:r w:rsidRPr="00444492">
        <w:rPr>
          <w:rFonts w:ascii="Arial" w:hAnsi="Arial" w:cs="Arial"/>
          <w:noProof/>
        </w:rPr>
        <w:t>, 251–264.</w:t>
      </w:r>
    </w:p>
    <w:p w14:paraId="6202E9F9" w14:textId="3CF7DF5E"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Hardiansyah, V., &amp; Guritno, B. (2022). </w:t>
      </w:r>
      <w:r w:rsidR="001C6181" w:rsidRPr="001C6181">
        <w:rPr>
          <w:rFonts w:ascii="Arial" w:hAnsi="Arial" w:cs="Arial"/>
          <w:noProof/>
        </w:rPr>
        <w:t>The Effect of Seed Bulb Size Differences and the Application of Various Nitrogen Fertilizer Dosages on the Growth and Yield of Red Onions (</w:t>
      </w:r>
      <w:r w:rsidR="001C6181" w:rsidRPr="001C6181">
        <w:rPr>
          <w:rFonts w:ascii="Arial" w:hAnsi="Arial" w:cs="Arial"/>
          <w:i/>
          <w:iCs/>
          <w:noProof/>
        </w:rPr>
        <w:t>Allium ascalonicum</w:t>
      </w:r>
      <w:r w:rsidR="001C6181" w:rsidRPr="001C6181">
        <w:rPr>
          <w:rFonts w:ascii="Arial" w:hAnsi="Arial" w:cs="Arial"/>
          <w:noProof/>
        </w:rPr>
        <w:t xml:space="preserve"> L.). </w:t>
      </w:r>
      <w:r w:rsidRPr="00444492">
        <w:rPr>
          <w:rFonts w:ascii="Arial" w:hAnsi="Arial" w:cs="Arial"/>
          <w:i/>
          <w:iCs/>
          <w:noProof/>
        </w:rPr>
        <w:t>Plantropica: Journal of Agricultural</w:t>
      </w:r>
      <w:r w:rsidRPr="00444492">
        <w:rPr>
          <w:rFonts w:ascii="Arial" w:hAnsi="Arial" w:cs="Arial"/>
          <w:noProof/>
        </w:rPr>
        <w:t xml:space="preserve">, </w:t>
      </w:r>
      <w:r w:rsidRPr="00444492">
        <w:rPr>
          <w:rFonts w:ascii="Arial" w:hAnsi="Arial" w:cs="Arial"/>
          <w:i/>
          <w:iCs/>
          <w:noProof/>
        </w:rPr>
        <w:t>7</w:t>
      </w:r>
      <w:r w:rsidRPr="00444492">
        <w:rPr>
          <w:rFonts w:ascii="Arial" w:hAnsi="Arial" w:cs="Arial"/>
          <w:noProof/>
        </w:rPr>
        <w:t>(1), 69–80.</w:t>
      </w:r>
    </w:p>
    <w:p w14:paraId="366CBD1B" w14:textId="77777777" w:rsidR="001C6181" w:rsidRDefault="00444492" w:rsidP="00181D47">
      <w:pPr>
        <w:widowControl w:val="0"/>
        <w:autoSpaceDE w:val="0"/>
        <w:autoSpaceDN w:val="0"/>
        <w:adjustRightInd w:val="0"/>
        <w:ind w:left="480" w:hanging="480"/>
        <w:jc w:val="both"/>
        <w:rPr>
          <w:rFonts w:ascii="Arial" w:hAnsi="Arial" w:cs="Arial"/>
          <w:i/>
          <w:iCs/>
          <w:noProof/>
        </w:rPr>
      </w:pPr>
      <w:r w:rsidRPr="00444492">
        <w:rPr>
          <w:rFonts w:ascii="Arial" w:hAnsi="Arial" w:cs="Arial"/>
          <w:noProof/>
        </w:rPr>
        <w:t xml:space="preserve">Hermanto, C., Maharijaya, Awang, Arsanti, Widi, I., Hayati, M., Rosliani, R., Setyawati, Husni, I., Sari, M., Tria Wibawa, Sunarto, B., Kurdi, Adin, A., B, D. J., H, D. S., Efendi, M., Hariyanto, Nggaro, Y. Y., … Setiani, R. (2017). </w:t>
      </w:r>
      <w:r w:rsidR="001C6181" w:rsidRPr="001C6181">
        <w:rPr>
          <w:rFonts w:ascii="Arial" w:hAnsi="Arial" w:cs="Arial"/>
          <w:noProof/>
        </w:rPr>
        <w:t>Red onion.</w:t>
      </w:r>
    </w:p>
    <w:p w14:paraId="6159B714" w14:textId="074EB328"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Hidayat, A., &amp; Sumarni, N. (2005). </w:t>
      </w:r>
      <w:r w:rsidR="001C6181" w:rsidRPr="001C6181">
        <w:rPr>
          <w:rFonts w:ascii="Arial" w:hAnsi="Arial" w:cs="Arial"/>
          <w:noProof/>
        </w:rPr>
        <w:t>Vegetable Research Center. In Shallot Cultivation</w:t>
      </w:r>
      <w:r w:rsidRPr="00444492">
        <w:rPr>
          <w:rFonts w:ascii="Arial" w:hAnsi="Arial" w:cs="Arial"/>
          <w:noProof/>
        </w:rPr>
        <w:t xml:space="preserve"> (Vol. 3).</w:t>
      </w:r>
    </w:p>
    <w:p w14:paraId="49D16F01" w14:textId="16B5F49C"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Indonesia, </w:t>
      </w:r>
      <w:r w:rsidR="001C6181">
        <w:rPr>
          <w:rFonts w:ascii="Arial" w:hAnsi="Arial" w:cs="Arial"/>
          <w:noProof/>
        </w:rPr>
        <w:t>C</w:t>
      </w:r>
      <w:r w:rsidRPr="00444492">
        <w:rPr>
          <w:rFonts w:ascii="Arial" w:hAnsi="Arial" w:cs="Arial"/>
          <w:noProof/>
        </w:rPr>
        <w:t xml:space="preserve">. </w:t>
      </w:r>
      <w:r w:rsidR="001C6181">
        <w:rPr>
          <w:rFonts w:ascii="Arial" w:hAnsi="Arial" w:cs="Arial"/>
          <w:noProof/>
        </w:rPr>
        <w:t>S</w:t>
      </w:r>
      <w:r w:rsidRPr="00444492">
        <w:rPr>
          <w:rFonts w:ascii="Arial" w:hAnsi="Arial" w:cs="Arial"/>
          <w:noProof/>
        </w:rPr>
        <w:t xml:space="preserve">. </w:t>
      </w:r>
      <w:r w:rsidR="001C6181">
        <w:rPr>
          <w:rFonts w:ascii="Arial" w:hAnsi="Arial" w:cs="Arial"/>
          <w:noProof/>
        </w:rPr>
        <w:t>A</w:t>
      </w:r>
      <w:r w:rsidRPr="00444492">
        <w:rPr>
          <w:rFonts w:ascii="Arial" w:hAnsi="Arial" w:cs="Arial"/>
          <w:noProof/>
        </w:rPr>
        <w:t xml:space="preserve">. (2024). </w:t>
      </w:r>
      <w:r w:rsidR="001C6181" w:rsidRPr="001C6181">
        <w:rPr>
          <w:rFonts w:ascii="Arial" w:hAnsi="Arial" w:cs="Arial"/>
          <w:noProof/>
        </w:rPr>
        <w:t>Vegetable crop production.</w:t>
      </w:r>
      <w:r w:rsidRPr="00444492">
        <w:rPr>
          <w:rFonts w:ascii="Arial" w:hAnsi="Arial" w:cs="Arial"/>
          <w:noProof/>
        </w:rPr>
        <w:t xml:space="preserve"> https://www.bps.go.id/id/statistics-table/2/NjEjMg==/production-of-vegetables.html</w:t>
      </w:r>
    </w:p>
    <w:p w14:paraId="029C530E" w14:textId="77777777"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Jirmanová, J., Fuksa, P., Hakl, J., Brant, V., &amp; Šantrůček, J. (2016). Effect of different plant arrangements on maize morphology and forage quality. </w:t>
      </w:r>
      <w:r w:rsidRPr="00444492">
        <w:rPr>
          <w:rFonts w:ascii="Arial" w:hAnsi="Arial" w:cs="Arial"/>
          <w:i/>
          <w:iCs/>
          <w:noProof/>
        </w:rPr>
        <w:t>Agriculture (Pol’nohospodarstvo)</w:t>
      </w:r>
      <w:r w:rsidRPr="00444492">
        <w:rPr>
          <w:rFonts w:ascii="Arial" w:hAnsi="Arial" w:cs="Arial"/>
          <w:noProof/>
        </w:rPr>
        <w:t xml:space="preserve">, </w:t>
      </w:r>
      <w:r w:rsidRPr="00444492">
        <w:rPr>
          <w:rFonts w:ascii="Arial" w:hAnsi="Arial" w:cs="Arial"/>
          <w:i/>
          <w:iCs/>
          <w:noProof/>
        </w:rPr>
        <w:t>62</w:t>
      </w:r>
      <w:r w:rsidRPr="00444492">
        <w:rPr>
          <w:rFonts w:ascii="Arial" w:hAnsi="Arial" w:cs="Arial"/>
          <w:noProof/>
        </w:rPr>
        <w:t>(2), 62–71. https://doi.org/10.1515/agri-2016-0007</w:t>
      </w:r>
    </w:p>
    <w:p w14:paraId="422B03D2" w14:textId="1AE333D5"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Kamilah Rahmah, Elia Azizah, &amp; Winda Rianti. (2023). </w:t>
      </w:r>
      <w:r w:rsidR="001C6181" w:rsidRPr="001C6181">
        <w:rPr>
          <w:rFonts w:ascii="Arial" w:hAnsi="Arial" w:cs="Arial"/>
          <w:i/>
          <w:iCs/>
          <w:noProof/>
        </w:rPr>
        <w:t>The Effect of Differences in Benzyl Amino Purine (BAP) Hormone Concentration on Appearance.</w:t>
      </w:r>
      <w:r w:rsidRPr="00444492">
        <w:rPr>
          <w:rFonts w:ascii="Arial" w:hAnsi="Arial" w:cs="Arial"/>
          <w:noProof/>
        </w:rPr>
        <w:t xml:space="preserve"> </w:t>
      </w:r>
      <w:r w:rsidRPr="00444492">
        <w:rPr>
          <w:rFonts w:ascii="Arial" w:hAnsi="Arial" w:cs="Arial"/>
          <w:i/>
          <w:iCs/>
          <w:noProof/>
        </w:rPr>
        <w:t>10</w:t>
      </w:r>
      <w:r w:rsidRPr="00444492">
        <w:rPr>
          <w:rFonts w:ascii="Arial" w:hAnsi="Arial" w:cs="Arial"/>
          <w:noProof/>
        </w:rPr>
        <w:t>(2), 465–470.</w:t>
      </w:r>
    </w:p>
    <w:p w14:paraId="48B3BA4A" w14:textId="77777777" w:rsidR="001C6181"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Kasim, N., Haring, F., Asis, B., &amp; Amin, A. R. (2021). </w:t>
      </w:r>
      <w:r w:rsidR="001C6181" w:rsidRPr="001C6181">
        <w:rPr>
          <w:rFonts w:ascii="Arial" w:hAnsi="Arial" w:cs="Arial"/>
          <w:noProof/>
        </w:rPr>
        <w:t>Growth and production of three varieties of shallots (</w:t>
      </w:r>
      <w:r w:rsidR="001C6181" w:rsidRPr="001C6181">
        <w:rPr>
          <w:rFonts w:ascii="Arial" w:hAnsi="Arial" w:cs="Arial"/>
          <w:i/>
          <w:iCs/>
          <w:noProof/>
        </w:rPr>
        <w:t>Allium ascalonicum</w:t>
      </w:r>
      <w:r w:rsidR="001C6181" w:rsidRPr="001C6181">
        <w:rPr>
          <w:rFonts w:ascii="Arial" w:hAnsi="Arial" w:cs="Arial"/>
          <w:noProof/>
        </w:rPr>
        <w:t xml:space="preserve"> L.) at various concentrations of liquid bioslurry. Agrivigor Journal, 12(1), 18–28.</w:t>
      </w:r>
    </w:p>
    <w:p w14:paraId="017EF238" w14:textId="58227207"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Kurniawan, Y. J., Surachman, &amp; Palupi, T. (2024). </w:t>
      </w:r>
      <w:r w:rsidR="001C6181" w:rsidRPr="001C6181">
        <w:rPr>
          <w:rFonts w:ascii="Arial" w:hAnsi="Arial" w:cs="Arial"/>
          <w:noProof/>
        </w:rPr>
        <w:t xml:space="preserve">The Effect of Humic Acid and NPK Combination. Agrotechnology Study Program, Faculty of Agriculture, Tanjungpura </w:t>
      </w:r>
      <w:r w:rsidR="001C6181" w:rsidRPr="001C6181">
        <w:rPr>
          <w:rFonts w:ascii="Arial" w:hAnsi="Arial" w:cs="Arial"/>
          <w:noProof/>
        </w:rPr>
        <w:lastRenderedPageBreak/>
        <w:t xml:space="preserve">University, Pontianak, Indonesia. </w:t>
      </w:r>
      <w:r w:rsidRPr="00444492">
        <w:rPr>
          <w:rFonts w:ascii="Arial" w:hAnsi="Arial" w:cs="Arial"/>
          <w:i/>
          <w:iCs/>
          <w:noProof/>
        </w:rPr>
        <w:t>13</w:t>
      </w:r>
      <w:r w:rsidRPr="00444492">
        <w:rPr>
          <w:rFonts w:ascii="Arial" w:hAnsi="Arial" w:cs="Arial"/>
          <w:noProof/>
        </w:rPr>
        <w:t>(4), 1171–1179.</w:t>
      </w:r>
    </w:p>
    <w:p w14:paraId="7E1EF1B5" w14:textId="041D241C"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Mafula, F., &amp; Yogi, S. (2018). </w:t>
      </w:r>
      <w:r w:rsidR="001C6181" w:rsidRPr="001C6181">
        <w:rPr>
          <w:rFonts w:ascii="Arial" w:hAnsi="Arial" w:cs="Arial"/>
          <w:noProof/>
        </w:rPr>
        <w:t xml:space="preserve">The Effect Of Soil Cultivation Systems On The Growth And Yield Of Several Varieties Of Shallots </w:t>
      </w:r>
      <w:r w:rsidRPr="00444492">
        <w:rPr>
          <w:rFonts w:ascii="Arial" w:hAnsi="Arial" w:cs="Arial"/>
          <w:noProof/>
        </w:rPr>
        <w:t>(</w:t>
      </w:r>
      <w:r w:rsidRPr="001C6181">
        <w:rPr>
          <w:rFonts w:ascii="Arial" w:hAnsi="Arial" w:cs="Arial"/>
          <w:i/>
          <w:iCs/>
          <w:noProof/>
        </w:rPr>
        <w:t>Allium ascalonicum</w:t>
      </w:r>
      <w:r w:rsidRPr="00444492">
        <w:rPr>
          <w:rFonts w:ascii="Arial" w:hAnsi="Arial" w:cs="Arial"/>
          <w:noProof/>
        </w:rPr>
        <w:t xml:space="preserve"> L.). In </w:t>
      </w:r>
      <w:r w:rsidRPr="00444492">
        <w:rPr>
          <w:rFonts w:ascii="Arial" w:hAnsi="Arial" w:cs="Arial"/>
          <w:i/>
          <w:iCs/>
          <w:noProof/>
        </w:rPr>
        <w:t>34th European Photovoltaic Solar Energy Conference and Exhibition</w:t>
      </w:r>
      <w:r w:rsidRPr="00444492">
        <w:rPr>
          <w:rFonts w:ascii="Arial" w:hAnsi="Arial" w:cs="Arial"/>
          <w:noProof/>
        </w:rPr>
        <w:t>.</w:t>
      </w:r>
    </w:p>
    <w:p w14:paraId="042BA2C5" w14:textId="0E1BE79A"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Mandataris, M., Rianto, F., Madina, F., Kurnia, R., Septiasari, R. D., Sinaga, C. D., Sitompul, D., Silaen, R. E., Wijiyanti, T., &amp; Utami, A. N. (2024). </w:t>
      </w:r>
      <w:r w:rsidR="002C3482" w:rsidRPr="002C3482">
        <w:rPr>
          <w:rFonts w:ascii="Arial" w:hAnsi="Arial" w:cs="Arial"/>
          <w:noProof/>
        </w:rPr>
        <w:t>Production of PSB Fertilizer and Eco Enzymes from Chicken Eggs and Organic Waste.</w:t>
      </w:r>
      <w:r w:rsidRPr="00444492">
        <w:rPr>
          <w:rFonts w:ascii="Arial" w:hAnsi="Arial" w:cs="Arial"/>
          <w:noProof/>
        </w:rPr>
        <w:t xml:space="preserve"> </w:t>
      </w:r>
      <w:r w:rsidRPr="00444492">
        <w:rPr>
          <w:rFonts w:ascii="Arial" w:hAnsi="Arial" w:cs="Arial"/>
          <w:i/>
          <w:iCs/>
          <w:noProof/>
        </w:rPr>
        <w:t>Madaniya</w:t>
      </w:r>
      <w:r w:rsidRPr="00444492">
        <w:rPr>
          <w:rFonts w:ascii="Arial" w:hAnsi="Arial" w:cs="Arial"/>
          <w:noProof/>
        </w:rPr>
        <w:t xml:space="preserve">, </w:t>
      </w:r>
      <w:r w:rsidRPr="00444492">
        <w:rPr>
          <w:rFonts w:ascii="Arial" w:hAnsi="Arial" w:cs="Arial"/>
          <w:i/>
          <w:iCs/>
          <w:noProof/>
        </w:rPr>
        <w:t>5</w:t>
      </w:r>
      <w:r w:rsidRPr="00444492">
        <w:rPr>
          <w:rFonts w:ascii="Arial" w:hAnsi="Arial" w:cs="Arial"/>
          <w:noProof/>
        </w:rPr>
        <w:t>(1), 27–36.</w:t>
      </w:r>
    </w:p>
    <w:p w14:paraId="191021E1" w14:textId="77777777"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Pagano, A., Macovei, A., Xia, X., Padula, G., Hołubowicz, R., &amp; Balestrazzi, A. (2023). Seed Priming Applied to Onion-Like Crops: State of the Art and Open Questions. In </w:t>
      </w:r>
      <w:r w:rsidRPr="00444492">
        <w:rPr>
          <w:rFonts w:ascii="Arial" w:hAnsi="Arial" w:cs="Arial"/>
          <w:i/>
          <w:iCs/>
          <w:noProof/>
        </w:rPr>
        <w:t>Agronomy</w:t>
      </w:r>
      <w:r w:rsidRPr="00444492">
        <w:rPr>
          <w:rFonts w:ascii="Arial" w:hAnsi="Arial" w:cs="Arial"/>
          <w:noProof/>
        </w:rPr>
        <w:t xml:space="preserve"> (Vol. 13, Issue 2, pp. 1–15). https://doi.org/10.3390/agronomy13020288</w:t>
      </w:r>
    </w:p>
    <w:p w14:paraId="1AF08510" w14:textId="412580E8" w:rsidR="00444492" w:rsidRPr="00444492" w:rsidRDefault="007266BD" w:rsidP="00181D47">
      <w:pPr>
        <w:widowControl w:val="0"/>
        <w:autoSpaceDE w:val="0"/>
        <w:autoSpaceDN w:val="0"/>
        <w:adjustRightInd w:val="0"/>
        <w:ind w:left="480" w:hanging="480"/>
        <w:jc w:val="both"/>
        <w:rPr>
          <w:rFonts w:ascii="Arial" w:hAnsi="Arial" w:cs="Arial"/>
          <w:noProof/>
        </w:rPr>
      </w:pPr>
      <w:r w:rsidRPr="007266BD">
        <w:rPr>
          <w:rFonts w:ascii="Arial" w:hAnsi="Arial" w:cs="Arial"/>
          <w:noProof/>
        </w:rPr>
        <w:t>Agriculture</w:t>
      </w:r>
      <w:r w:rsidR="00444492" w:rsidRPr="00444492">
        <w:rPr>
          <w:rFonts w:ascii="Arial" w:hAnsi="Arial" w:cs="Arial"/>
          <w:noProof/>
        </w:rPr>
        <w:t xml:space="preserve">, </w:t>
      </w:r>
      <w:r>
        <w:rPr>
          <w:rFonts w:ascii="Arial" w:hAnsi="Arial" w:cs="Arial"/>
          <w:noProof/>
        </w:rPr>
        <w:t>M</w:t>
      </w:r>
      <w:r w:rsidR="00444492" w:rsidRPr="00444492">
        <w:rPr>
          <w:rFonts w:ascii="Arial" w:hAnsi="Arial" w:cs="Arial"/>
          <w:noProof/>
        </w:rPr>
        <w:t xml:space="preserve">. (2024). </w:t>
      </w:r>
      <w:r w:rsidR="002C3482" w:rsidRPr="002C3482">
        <w:rPr>
          <w:rFonts w:ascii="Arial" w:hAnsi="Arial" w:cs="Arial"/>
          <w:noProof/>
        </w:rPr>
        <w:t>Horticulture Fixed Figures 2023. Directorate General of Horticulture, Ministry of Agriculture.</w:t>
      </w:r>
      <w:r w:rsidR="00444492" w:rsidRPr="00444492">
        <w:rPr>
          <w:rFonts w:ascii="Arial" w:hAnsi="Arial" w:cs="Arial"/>
          <w:i/>
          <w:iCs/>
          <w:noProof/>
        </w:rPr>
        <w:t xml:space="preserve"> Jakarta (ID)</w:t>
      </w:r>
      <w:r w:rsidR="00444492" w:rsidRPr="00444492">
        <w:rPr>
          <w:rFonts w:ascii="Arial" w:hAnsi="Arial" w:cs="Arial"/>
          <w:noProof/>
        </w:rPr>
        <w:t>.</w:t>
      </w:r>
    </w:p>
    <w:p w14:paraId="182D85DD" w14:textId="2708B32C"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Pramukyana, L., Kendarini, N., &amp; Respatijarti. (2018).</w:t>
      </w:r>
      <w:r w:rsidR="002C3482">
        <w:rPr>
          <w:rFonts w:ascii="Arial" w:hAnsi="Arial" w:cs="Arial"/>
          <w:noProof/>
        </w:rPr>
        <w:t xml:space="preserve"> </w:t>
      </w:r>
      <w:r w:rsidRPr="00444492">
        <w:rPr>
          <w:rFonts w:ascii="Arial" w:hAnsi="Arial" w:cs="Arial"/>
          <w:noProof/>
        </w:rPr>
        <w:t>Response Of GA3 ’ S Concentration Toward Flowering Two Shallot Varieties</w:t>
      </w:r>
      <w:r w:rsidR="002C3482">
        <w:rPr>
          <w:rFonts w:ascii="Arial" w:hAnsi="Arial" w:cs="Arial"/>
          <w:noProof/>
        </w:rPr>
        <w:t xml:space="preserve"> </w:t>
      </w:r>
      <w:r w:rsidR="002C3482" w:rsidRPr="00444492">
        <w:rPr>
          <w:rFonts w:ascii="Arial" w:hAnsi="Arial" w:cs="Arial"/>
          <w:noProof/>
        </w:rPr>
        <w:t>(</w:t>
      </w:r>
      <w:r w:rsidR="002C3482" w:rsidRPr="002C3482">
        <w:rPr>
          <w:rFonts w:ascii="Arial" w:hAnsi="Arial" w:cs="Arial"/>
          <w:i/>
          <w:iCs/>
          <w:noProof/>
        </w:rPr>
        <w:t>Allium ascalonicum</w:t>
      </w:r>
      <w:r w:rsidR="002C3482" w:rsidRPr="00444492">
        <w:rPr>
          <w:rFonts w:ascii="Arial" w:hAnsi="Arial" w:cs="Arial"/>
          <w:noProof/>
        </w:rPr>
        <w:t xml:space="preserve"> L .)</w:t>
      </w:r>
      <w:r w:rsidRPr="00444492">
        <w:rPr>
          <w:rFonts w:ascii="Arial" w:hAnsi="Arial" w:cs="Arial"/>
          <w:noProof/>
        </w:rPr>
        <w:t xml:space="preserve">. </w:t>
      </w:r>
      <w:r w:rsidR="002C3482" w:rsidRPr="002C3482">
        <w:rPr>
          <w:rFonts w:ascii="Arial" w:hAnsi="Arial" w:cs="Arial"/>
          <w:i/>
          <w:iCs/>
          <w:noProof/>
        </w:rPr>
        <w:t>Journal of Crop Production, Department of Agronomy, Faculty of Agriculture, Brawijaya University,</w:t>
      </w:r>
      <w:r w:rsidRPr="00444492">
        <w:rPr>
          <w:rFonts w:ascii="Arial" w:hAnsi="Arial" w:cs="Arial"/>
          <w:noProof/>
        </w:rPr>
        <w:t xml:space="preserve"> </w:t>
      </w:r>
      <w:r w:rsidRPr="00444492">
        <w:rPr>
          <w:rFonts w:ascii="Arial" w:hAnsi="Arial" w:cs="Arial"/>
          <w:i/>
          <w:iCs/>
          <w:noProof/>
        </w:rPr>
        <w:t>6</w:t>
      </w:r>
      <w:r w:rsidRPr="00444492">
        <w:rPr>
          <w:rFonts w:ascii="Arial" w:hAnsi="Arial" w:cs="Arial"/>
          <w:noProof/>
        </w:rPr>
        <w:t>(7), 1433–1441.</w:t>
      </w:r>
    </w:p>
    <w:p w14:paraId="25753AF7" w14:textId="54D4B0CB"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Ramadani, R. (2020). </w:t>
      </w:r>
      <w:r w:rsidR="002C3482" w:rsidRPr="002C3482">
        <w:rPr>
          <w:rFonts w:ascii="Arial" w:hAnsi="Arial" w:cs="Arial"/>
          <w:noProof/>
        </w:rPr>
        <w:t xml:space="preserve">The Effect of Vernalization and BAP Application on Vegetative and Generative Growth of Bauji Variety Red Onion (Allium ascalonicum L.) Plants. </w:t>
      </w:r>
      <w:r w:rsidRPr="00444492">
        <w:rPr>
          <w:rFonts w:ascii="Arial" w:hAnsi="Arial" w:cs="Arial"/>
          <w:noProof/>
        </w:rPr>
        <w:t>1–56.</w:t>
      </w:r>
    </w:p>
    <w:p w14:paraId="1D63DABE" w14:textId="1678A7D9"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Rizqi, M. A., Laupa, M. F. A., Risma, L. C. A., Ekaputri, D., Da’inawari, K., Saragi, L. B., Rahman, K. A., &amp; Apriastika, I. N. (2023). </w:t>
      </w:r>
      <w:r w:rsidR="002C3482" w:rsidRPr="002C3482">
        <w:rPr>
          <w:rFonts w:ascii="Arial" w:hAnsi="Arial" w:cs="Arial"/>
          <w:noProof/>
        </w:rPr>
        <w:t>Extension on the Production of Photosynthetic Bacteria (PSB) Fertilizer as an Effort to Increase Agricultural Productivity in Argapura Village, Bogor. Journal of the Center for Community Innovation (</w:t>
      </w:r>
      <w:r w:rsidR="002C3482">
        <w:rPr>
          <w:rFonts w:ascii="Arial" w:hAnsi="Arial" w:cs="Arial"/>
          <w:noProof/>
        </w:rPr>
        <w:t>CCI</w:t>
      </w:r>
      <w:r w:rsidR="002C3482" w:rsidRPr="002C3482">
        <w:rPr>
          <w:rFonts w:ascii="Arial" w:hAnsi="Arial" w:cs="Arial"/>
          <w:noProof/>
        </w:rPr>
        <w:t>),</w:t>
      </w:r>
      <w:r w:rsidRPr="00444492">
        <w:rPr>
          <w:rFonts w:ascii="Arial" w:hAnsi="Arial" w:cs="Arial"/>
          <w:noProof/>
        </w:rPr>
        <w:t xml:space="preserve"> </w:t>
      </w:r>
      <w:r w:rsidRPr="00444492">
        <w:rPr>
          <w:rFonts w:ascii="Arial" w:hAnsi="Arial" w:cs="Arial"/>
          <w:i/>
          <w:iCs/>
          <w:noProof/>
        </w:rPr>
        <w:t>5</w:t>
      </w:r>
      <w:r w:rsidRPr="00444492">
        <w:rPr>
          <w:rFonts w:ascii="Arial" w:hAnsi="Arial" w:cs="Arial"/>
          <w:noProof/>
        </w:rPr>
        <w:t>(2), 218–225. https://doi.org/10.29244/jpim.5.2.218-225</w:t>
      </w:r>
    </w:p>
    <w:p w14:paraId="1ACB69AB" w14:textId="0FA0578F"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Saripi, S., &amp; Mawardi, M. (2025). </w:t>
      </w:r>
      <w:r w:rsidR="002C3482" w:rsidRPr="002C3482">
        <w:rPr>
          <w:rFonts w:ascii="Arial" w:hAnsi="Arial" w:cs="Arial"/>
          <w:noProof/>
        </w:rPr>
        <w:t>The Effect of NPK Nutrient Combination with PSB on the Growth and Yield of Red Chili Peppers (</w:t>
      </w:r>
      <w:r w:rsidR="002C3482" w:rsidRPr="002C3482">
        <w:rPr>
          <w:rFonts w:ascii="Arial" w:hAnsi="Arial" w:cs="Arial"/>
          <w:i/>
          <w:iCs/>
          <w:noProof/>
        </w:rPr>
        <w:t>Capsicum annuum</w:t>
      </w:r>
      <w:r w:rsidR="002C3482" w:rsidRPr="002C3482">
        <w:rPr>
          <w:rFonts w:ascii="Arial" w:hAnsi="Arial" w:cs="Arial"/>
          <w:noProof/>
        </w:rPr>
        <w:t xml:space="preserve"> L.) in Polybags. </w:t>
      </w:r>
      <w:r w:rsidRPr="00444492">
        <w:rPr>
          <w:rFonts w:ascii="Arial" w:hAnsi="Arial" w:cs="Arial"/>
          <w:noProof/>
        </w:rPr>
        <w:t>2025. ejurnal.uij.ac.id/index.php/AGR/index</w:t>
      </w:r>
    </w:p>
    <w:p w14:paraId="08A172E8" w14:textId="0891CA9B"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Sitepu, S. M., &amp; Refnizuida, R. (2023). </w:t>
      </w:r>
      <w:r w:rsidR="002C3482" w:rsidRPr="002C3482">
        <w:rPr>
          <w:rFonts w:ascii="Arial" w:hAnsi="Arial" w:cs="Arial"/>
          <w:noProof/>
        </w:rPr>
        <w:t>Increased Production of Shallots (</w:t>
      </w:r>
      <w:r w:rsidR="002C3482" w:rsidRPr="002C3482">
        <w:rPr>
          <w:rFonts w:ascii="Arial" w:hAnsi="Arial" w:cs="Arial"/>
          <w:i/>
          <w:iCs/>
          <w:noProof/>
        </w:rPr>
        <w:t xml:space="preserve">Allium asclonicum </w:t>
      </w:r>
      <w:r w:rsidR="002C3482" w:rsidRPr="002C3482">
        <w:rPr>
          <w:rFonts w:ascii="Arial" w:hAnsi="Arial" w:cs="Arial"/>
          <w:noProof/>
        </w:rPr>
        <w:t xml:space="preserve">L.) Due to the Application of Fermented NPK Fertilizer from Various Types of Plant Waste. </w:t>
      </w:r>
      <w:r w:rsidRPr="00444492">
        <w:rPr>
          <w:rFonts w:ascii="Arial" w:hAnsi="Arial" w:cs="Arial"/>
          <w:i/>
          <w:iCs/>
          <w:noProof/>
        </w:rPr>
        <w:t>Jurnal Agroplasma</w:t>
      </w:r>
      <w:r w:rsidRPr="00444492">
        <w:rPr>
          <w:rFonts w:ascii="Arial" w:hAnsi="Arial" w:cs="Arial"/>
          <w:noProof/>
        </w:rPr>
        <w:t xml:space="preserve">, </w:t>
      </w:r>
      <w:r w:rsidRPr="00444492">
        <w:rPr>
          <w:rFonts w:ascii="Arial" w:hAnsi="Arial" w:cs="Arial"/>
          <w:i/>
          <w:iCs/>
          <w:noProof/>
        </w:rPr>
        <w:t>10</w:t>
      </w:r>
      <w:r w:rsidRPr="00444492">
        <w:rPr>
          <w:rFonts w:ascii="Arial" w:hAnsi="Arial" w:cs="Arial"/>
          <w:noProof/>
        </w:rPr>
        <w:t>(1), 345–350.</w:t>
      </w:r>
    </w:p>
    <w:p w14:paraId="34C1E115" w14:textId="3BFC6A8F"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Sofiani, Z., Santoso, E., &amp; Surachman, S. (2022). </w:t>
      </w:r>
      <w:r w:rsidR="002C3482" w:rsidRPr="002C3482">
        <w:rPr>
          <w:rFonts w:ascii="Arial" w:hAnsi="Arial" w:cs="Arial"/>
          <w:noProof/>
        </w:rPr>
        <w:t>Response of Shallot Growth and Yield to Cattle Manure and Potassium Fertilizer Application on Peat Soil. Equator Agricultural Science Journal,</w:t>
      </w:r>
      <w:r w:rsidRPr="00444492">
        <w:rPr>
          <w:rFonts w:ascii="Arial" w:hAnsi="Arial" w:cs="Arial"/>
          <w:noProof/>
        </w:rPr>
        <w:t xml:space="preserve"> </w:t>
      </w:r>
      <w:r w:rsidRPr="00444492">
        <w:rPr>
          <w:rFonts w:ascii="Arial" w:hAnsi="Arial" w:cs="Arial"/>
          <w:i/>
          <w:iCs/>
          <w:noProof/>
        </w:rPr>
        <w:t>11</w:t>
      </w:r>
      <w:r w:rsidRPr="00444492">
        <w:rPr>
          <w:rFonts w:ascii="Arial" w:hAnsi="Arial" w:cs="Arial"/>
          <w:noProof/>
        </w:rPr>
        <w:t>(4), 158. https://doi.org/10.26418/jspe.v11i4.58283</w:t>
      </w:r>
    </w:p>
    <w:p w14:paraId="0CE4C251" w14:textId="017E915F"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Sri Mahareni, R. (2023). </w:t>
      </w:r>
      <w:r w:rsidR="002C3482" w:rsidRPr="002C3482">
        <w:rPr>
          <w:rFonts w:ascii="Arial" w:hAnsi="Arial" w:cs="Arial"/>
          <w:noProof/>
        </w:rPr>
        <w:t>Increased Production of Shallots (</w:t>
      </w:r>
      <w:r w:rsidR="002C3482" w:rsidRPr="002C3482">
        <w:rPr>
          <w:rFonts w:ascii="Arial" w:hAnsi="Arial" w:cs="Arial"/>
          <w:i/>
          <w:iCs/>
          <w:noProof/>
        </w:rPr>
        <w:t>Allium asclonicum</w:t>
      </w:r>
      <w:r w:rsidR="002C3482" w:rsidRPr="002C3482">
        <w:rPr>
          <w:rFonts w:ascii="Arial" w:hAnsi="Arial" w:cs="Arial"/>
          <w:noProof/>
        </w:rPr>
        <w:t xml:space="preserve"> L.) Due to the Application of Fermented NPK Fertilizer from Various Types of Plant Waste. JURNAL Agroplasma, </w:t>
      </w:r>
      <w:r w:rsidRPr="00444492">
        <w:rPr>
          <w:rFonts w:ascii="Arial" w:hAnsi="Arial" w:cs="Arial"/>
          <w:i/>
          <w:iCs/>
          <w:noProof/>
        </w:rPr>
        <w:t>x</w:t>
      </w:r>
      <w:r w:rsidRPr="00444492">
        <w:rPr>
          <w:rFonts w:ascii="Arial" w:hAnsi="Arial" w:cs="Arial"/>
          <w:noProof/>
        </w:rPr>
        <w:t>(I), 345–350.</w:t>
      </w:r>
    </w:p>
    <w:p w14:paraId="3EFF4F2E" w14:textId="52516775"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Sumianto, D. (2021).</w:t>
      </w:r>
      <w:r w:rsidR="002C3482" w:rsidRPr="002C3482">
        <w:rPr>
          <w:rFonts w:ascii="Arial" w:hAnsi="Arial" w:cs="Arial"/>
          <w:noProof/>
        </w:rPr>
        <w:t xml:space="preserve"> Testing the Effectiveness of NPK Fertilizer (12-12-17-2) Brand “Daun Sawit” in Shallot Cultivation. Journal of Agricultural Sciences,</w:t>
      </w:r>
      <w:r w:rsidRPr="00444492">
        <w:rPr>
          <w:rFonts w:ascii="Arial" w:hAnsi="Arial" w:cs="Arial"/>
          <w:noProof/>
        </w:rPr>
        <w:t xml:space="preserve"> </w:t>
      </w:r>
      <w:r w:rsidRPr="00444492">
        <w:rPr>
          <w:rFonts w:ascii="Arial" w:hAnsi="Arial" w:cs="Arial"/>
          <w:i/>
          <w:iCs/>
          <w:noProof/>
        </w:rPr>
        <w:t>27</w:t>
      </w:r>
      <w:r w:rsidRPr="00444492">
        <w:rPr>
          <w:rFonts w:ascii="Arial" w:hAnsi="Arial" w:cs="Arial"/>
          <w:noProof/>
        </w:rPr>
        <w:t>(1), 8. https://doi.org/10.55259/jiip.v27i1.569</w:t>
      </w:r>
    </w:p>
    <w:p w14:paraId="638D6290" w14:textId="4AFC6F7A" w:rsidR="00444492" w:rsidRPr="00444492" w:rsidRDefault="007266BD"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Supadma,</w:t>
      </w:r>
      <w:r w:rsidR="00444492" w:rsidRPr="00444492">
        <w:rPr>
          <w:rFonts w:ascii="Arial" w:hAnsi="Arial" w:cs="Arial"/>
          <w:noProof/>
        </w:rPr>
        <w:t xml:space="preserve"> A. A. N., </w:t>
      </w:r>
      <w:r w:rsidRPr="00444492">
        <w:rPr>
          <w:rFonts w:ascii="Arial" w:hAnsi="Arial" w:cs="Arial"/>
          <w:noProof/>
        </w:rPr>
        <w:t>Dana</w:t>
      </w:r>
      <w:r w:rsidR="00444492" w:rsidRPr="00444492">
        <w:rPr>
          <w:rFonts w:ascii="Arial" w:hAnsi="Arial" w:cs="Arial"/>
          <w:noProof/>
        </w:rPr>
        <w:t xml:space="preserve">, I. M., &amp; </w:t>
      </w:r>
      <w:r w:rsidRPr="00444492">
        <w:rPr>
          <w:rFonts w:ascii="Arial" w:hAnsi="Arial" w:cs="Arial"/>
          <w:noProof/>
        </w:rPr>
        <w:t>Arthagama</w:t>
      </w:r>
      <w:r w:rsidR="00444492" w:rsidRPr="00444492">
        <w:rPr>
          <w:rFonts w:ascii="Arial" w:hAnsi="Arial" w:cs="Arial"/>
          <w:noProof/>
        </w:rPr>
        <w:t xml:space="preserve">, I. D. M. (2020). </w:t>
      </w:r>
      <w:r w:rsidRPr="007266BD">
        <w:rPr>
          <w:rFonts w:ascii="Arial" w:hAnsi="Arial" w:cs="Arial"/>
          <w:noProof/>
        </w:rPr>
        <w:t>Increased Shallot Yields and Changes in Soil Chemical Properties with Balanced Semi-Organic Fertilization on Inceptisol Soil.</w:t>
      </w:r>
      <w:r w:rsidR="00444492" w:rsidRPr="00444492">
        <w:rPr>
          <w:rFonts w:ascii="Arial" w:hAnsi="Arial" w:cs="Arial"/>
          <w:noProof/>
        </w:rPr>
        <w:t xml:space="preserve"> </w:t>
      </w:r>
      <w:r w:rsidR="00444492" w:rsidRPr="00444492">
        <w:rPr>
          <w:rFonts w:ascii="Arial" w:hAnsi="Arial" w:cs="Arial"/>
          <w:i/>
          <w:iCs/>
          <w:noProof/>
        </w:rPr>
        <w:t>Agrotrop : Journal on Agriculture Science</w:t>
      </w:r>
      <w:r w:rsidR="00444492" w:rsidRPr="00444492">
        <w:rPr>
          <w:rFonts w:ascii="Arial" w:hAnsi="Arial" w:cs="Arial"/>
          <w:noProof/>
        </w:rPr>
        <w:t xml:space="preserve">, </w:t>
      </w:r>
      <w:r w:rsidR="00444492" w:rsidRPr="00444492">
        <w:rPr>
          <w:rFonts w:ascii="Arial" w:hAnsi="Arial" w:cs="Arial"/>
          <w:i/>
          <w:iCs/>
          <w:noProof/>
        </w:rPr>
        <w:t>10</w:t>
      </w:r>
      <w:r w:rsidR="00444492" w:rsidRPr="00444492">
        <w:rPr>
          <w:rFonts w:ascii="Arial" w:hAnsi="Arial" w:cs="Arial"/>
          <w:noProof/>
        </w:rPr>
        <w:t>(1), 67. https://doi.org/10.24843/ajoas.2020.v10.i01.p08</w:t>
      </w:r>
    </w:p>
    <w:p w14:paraId="420B19C3" w14:textId="436ADEDD"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Susanto, H., Histifarina, D., &amp; Hamdani, K. K. (2022). </w:t>
      </w:r>
      <w:r w:rsidR="002C3482" w:rsidRPr="002C3482">
        <w:rPr>
          <w:rFonts w:ascii="Arial" w:hAnsi="Arial" w:cs="Arial"/>
          <w:noProof/>
        </w:rPr>
        <w:t>Cultivation of Red Onions from Seeds: Lessons Learned and Experiences from the Field.</w:t>
      </w:r>
      <w:r w:rsidRPr="00444492">
        <w:rPr>
          <w:rFonts w:ascii="Arial" w:hAnsi="Arial" w:cs="Arial"/>
          <w:noProof/>
        </w:rPr>
        <w:t xml:space="preserve"> In </w:t>
      </w:r>
      <w:r w:rsidRPr="00444492">
        <w:rPr>
          <w:rFonts w:ascii="Arial" w:hAnsi="Arial" w:cs="Arial"/>
          <w:i/>
          <w:iCs/>
          <w:noProof/>
        </w:rPr>
        <w:t>Books.Google.Com</w:t>
      </w:r>
      <w:r w:rsidRPr="00444492">
        <w:rPr>
          <w:rFonts w:ascii="Arial" w:hAnsi="Arial" w:cs="Arial"/>
          <w:noProof/>
        </w:rPr>
        <w:t>. https://books.google.co.id/books?id=5JSbEAAAQBAJ</w:t>
      </w:r>
    </w:p>
    <w:p w14:paraId="3EE81373" w14:textId="5631AF9F"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Triyono, K., Santosa, S. J., &amp; Maulida, E. E. (2025). </w:t>
      </w:r>
      <w:r w:rsidR="002C3482" w:rsidRPr="002C3482">
        <w:rPr>
          <w:rFonts w:ascii="Arial" w:hAnsi="Arial" w:cs="Arial"/>
          <w:noProof/>
        </w:rPr>
        <w:t>Growth and Yield of Shallot (</w:t>
      </w:r>
      <w:r w:rsidR="002C3482" w:rsidRPr="002C3482">
        <w:rPr>
          <w:rFonts w:ascii="Arial" w:hAnsi="Arial" w:cs="Arial"/>
          <w:i/>
          <w:iCs/>
          <w:noProof/>
        </w:rPr>
        <w:t>Allium ascalonicum</w:t>
      </w:r>
      <w:r w:rsidR="002C3482" w:rsidRPr="002C3482">
        <w:rPr>
          <w:rFonts w:ascii="Arial" w:hAnsi="Arial" w:cs="Arial"/>
          <w:noProof/>
        </w:rPr>
        <w:t xml:space="preserve"> L) from True Shallot Seeds Using Various Types of NPK Fertilizer. Journal of Agricultural Cultivation,</w:t>
      </w:r>
      <w:r w:rsidRPr="00444492">
        <w:rPr>
          <w:rFonts w:ascii="Arial" w:hAnsi="Arial" w:cs="Arial"/>
          <w:noProof/>
        </w:rPr>
        <w:t xml:space="preserve"> </w:t>
      </w:r>
      <w:r w:rsidRPr="00444492">
        <w:rPr>
          <w:rFonts w:ascii="Arial" w:hAnsi="Arial" w:cs="Arial"/>
          <w:i/>
          <w:iCs/>
          <w:noProof/>
        </w:rPr>
        <w:t>21</w:t>
      </w:r>
      <w:r w:rsidRPr="00444492">
        <w:rPr>
          <w:rFonts w:ascii="Arial" w:hAnsi="Arial" w:cs="Arial"/>
          <w:noProof/>
        </w:rPr>
        <w:t>(1), 2620–2892. https://doi.org/10.30598/jbdp.2025.21.1.89</w:t>
      </w:r>
    </w:p>
    <w:p w14:paraId="683EF2CC" w14:textId="4EC986E2"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Ullatifah, R. (2021). </w:t>
      </w:r>
      <w:r w:rsidR="002C3482" w:rsidRPr="002C3482">
        <w:rPr>
          <w:rFonts w:ascii="Arial" w:hAnsi="Arial" w:cs="Arial"/>
          <w:noProof/>
        </w:rPr>
        <w:t>Increased Resistance of Batu Ijo Variety Red Onion (</w:t>
      </w:r>
      <w:r w:rsidR="002C3482" w:rsidRPr="002C3482">
        <w:rPr>
          <w:rFonts w:ascii="Arial" w:hAnsi="Arial" w:cs="Arial"/>
          <w:i/>
          <w:iCs/>
          <w:noProof/>
        </w:rPr>
        <w:t xml:space="preserve">Allium Ascalonicum </w:t>
      </w:r>
      <w:r w:rsidR="002C3482" w:rsidRPr="002C3482">
        <w:rPr>
          <w:rFonts w:ascii="Arial" w:hAnsi="Arial" w:cs="Arial"/>
          <w:noProof/>
        </w:rPr>
        <w:t xml:space="preserve">L.) Plants to Basal Rot Disease Using </w:t>
      </w:r>
      <w:r w:rsidR="002C3482" w:rsidRPr="002C3482">
        <w:rPr>
          <w:rFonts w:ascii="Arial" w:hAnsi="Arial" w:cs="Arial"/>
          <w:i/>
          <w:iCs/>
          <w:noProof/>
        </w:rPr>
        <w:t>Fusarium oxysporum</w:t>
      </w:r>
      <w:r w:rsidR="002C3482" w:rsidRPr="002C3482">
        <w:rPr>
          <w:rFonts w:ascii="Arial" w:hAnsi="Arial" w:cs="Arial"/>
          <w:noProof/>
        </w:rPr>
        <w:t xml:space="preserve"> f.sp </w:t>
      </w:r>
      <w:r w:rsidR="002C3482" w:rsidRPr="002C3482">
        <w:rPr>
          <w:rFonts w:ascii="Arial" w:hAnsi="Arial" w:cs="Arial"/>
          <w:i/>
          <w:iCs/>
          <w:noProof/>
        </w:rPr>
        <w:t xml:space="preserve">cepae </w:t>
      </w:r>
      <w:r w:rsidR="002C3482" w:rsidRPr="002C3482">
        <w:rPr>
          <w:rFonts w:ascii="Arial" w:hAnsi="Arial" w:cs="Arial"/>
          <w:noProof/>
        </w:rPr>
        <w:t>Hypovirulent Fungus.</w:t>
      </w:r>
      <w:r w:rsidR="002C3482" w:rsidRPr="00444492">
        <w:rPr>
          <w:rFonts w:ascii="Arial" w:hAnsi="Arial" w:cs="Arial"/>
          <w:noProof/>
        </w:rPr>
        <w:t xml:space="preserve"> </w:t>
      </w:r>
      <w:r w:rsidRPr="00444492">
        <w:rPr>
          <w:rFonts w:ascii="Arial" w:hAnsi="Arial" w:cs="Arial"/>
          <w:noProof/>
        </w:rPr>
        <w:t>https://digilib.uinsgd.ac.id/id/eprint/39901</w:t>
      </w:r>
    </w:p>
    <w:p w14:paraId="51F57C03" w14:textId="0BE3CA79"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Waluyo, N., Pinilih, J., Sulastrini, I., &amp; Edisaputra, E. K. (2021). </w:t>
      </w:r>
      <w:r w:rsidR="002C3482" w:rsidRPr="002C3482">
        <w:rPr>
          <w:rFonts w:ascii="Arial" w:hAnsi="Arial" w:cs="Arial"/>
          <w:noProof/>
        </w:rPr>
        <w:t>Growth and Seed Production of 14 Varieties of Red Onion</w:t>
      </w:r>
      <w:r w:rsidR="002C3482" w:rsidRPr="002C3482">
        <w:rPr>
          <w:rFonts w:ascii="Arial" w:hAnsi="Arial" w:cs="Arial"/>
          <w:i/>
          <w:iCs/>
          <w:noProof/>
        </w:rPr>
        <w:t xml:space="preserve"> (Allium Cepa </w:t>
      </w:r>
      <w:r w:rsidR="002C3482" w:rsidRPr="002C3482">
        <w:rPr>
          <w:rFonts w:ascii="Arial" w:hAnsi="Arial" w:cs="Arial"/>
          <w:noProof/>
        </w:rPr>
        <w:t>L. Var</w:t>
      </w:r>
      <w:r w:rsidR="002C3482" w:rsidRPr="002C3482">
        <w:rPr>
          <w:rFonts w:ascii="Arial" w:hAnsi="Arial" w:cs="Arial"/>
          <w:i/>
          <w:iCs/>
          <w:noProof/>
        </w:rPr>
        <w:t xml:space="preserve"> Aggregatum)</w:t>
      </w:r>
      <w:r w:rsidR="002C3482" w:rsidRPr="002C3482">
        <w:rPr>
          <w:rFonts w:ascii="Arial" w:hAnsi="Arial" w:cs="Arial"/>
          <w:noProof/>
        </w:rPr>
        <w:t xml:space="preserve"> in the Lembang </w:t>
      </w:r>
      <w:r w:rsidR="002C3482" w:rsidRPr="002C3482">
        <w:rPr>
          <w:rFonts w:ascii="Arial" w:hAnsi="Arial" w:cs="Arial"/>
          <w:noProof/>
        </w:rPr>
        <w:lastRenderedPageBreak/>
        <w:t>Highlands, West Bandung Regency.</w:t>
      </w:r>
      <w:r w:rsidRPr="00444492">
        <w:rPr>
          <w:rFonts w:ascii="Arial" w:hAnsi="Arial" w:cs="Arial"/>
          <w:noProof/>
        </w:rPr>
        <w:t xml:space="preserve"> 265–274. </w:t>
      </w:r>
    </w:p>
    <w:p w14:paraId="51A35B40" w14:textId="63A55916"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Wiguna, G., Hidayat, I., &amp; Azmi, C. (2013). Improvement of shallot seed production technology by setting fertilization, density, and variety. </w:t>
      </w:r>
      <w:r w:rsidRPr="00444492">
        <w:rPr>
          <w:rFonts w:ascii="Arial" w:hAnsi="Arial" w:cs="Arial"/>
          <w:i/>
          <w:iCs/>
          <w:noProof/>
        </w:rPr>
        <w:t>J. Hort</w:t>
      </w:r>
      <w:r w:rsidRPr="00444492">
        <w:rPr>
          <w:rFonts w:ascii="Arial" w:hAnsi="Arial" w:cs="Arial"/>
          <w:noProof/>
        </w:rPr>
        <w:t xml:space="preserve">, </w:t>
      </w:r>
      <w:r w:rsidRPr="00444492">
        <w:rPr>
          <w:rFonts w:ascii="Arial" w:hAnsi="Arial" w:cs="Arial"/>
          <w:i/>
          <w:iCs/>
          <w:noProof/>
        </w:rPr>
        <w:t>23</w:t>
      </w:r>
      <w:r w:rsidRPr="00444492">
        <w:rPr>
          <w:rFonts w:ascii="Arial" w:hAnsi="Arial" w:cs="Arial"/>
          <w:noProof/>
        </w:rPr>
        <w:t>(2), 137–142.</w:t>
      </w:r>
    </w:p>
    <w:p w14:paraId="02F09021" w14:textId="01494592"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 xml:space="preserve">Yulina N, Ezward C, &amp; Haitami A. (2021). </w:t>
      </w:r>
      <w:r w:rsidR="007266BD" w:rsidRPr="007266BD">
        <w:rPr>
          <w:rFonts w:ascii="Arial" w:hAnsi="Arial" w:cs="Arial"/>
          <w:noProof/>
        </w:rPr>
        <w:t>Plant height, harvest age, number of tillers, and harvest weight in 14 local rice genotypes.</w:t>
      </w:r>
      <w:r w:rsidRPr="00444492">
        <w:rPr>
          <w:rFonts w:ascii="Arial" w:hAnsi="Arial" w:cs="Arial"/>
          <w:noProof/>
        </w:rPr>
        <w:t xml:space="preserve"> </w:t>
      </w:r>
      <w:r w:rsidRPr="00444492">
        <w:rPr>
          <w:rFonts w:ascii="Arial" w:hAnsi="Arial" w:cs="Arial"/>
          <w:i/>
          <w:iCs/>
          <w:noProof/>
        </w:rPr>
        <w:t>Jurnal Agrosains Dan Teknologi</w:t>
      </w:r>
      <w:r w:rsidRPr="00444492">
        <w:rPr>
          <w:rFonts w:ascii="Arial" w:hAnsi="Arial" w:cs="Arial"/>
          <w:noProof/>
        </w:rPr>
        <w:t xml:space="preserve">, </w:t>
      </w:r>
      <w:r w:rsidRPr="00444492">
        <w:rPr>
          <w:rFonts w:ascii="Arial" w:hAnsi="Arial" w:cs="Arial"/>
          <w:i/>
          <w:iCs/>
          <w:noProof/>
        </w:rPr>
        <w:t>6(1)</w:t>
      </w:r>
      <w:r w:rsidRPr="00444492">
        <w:rPr>
          <w:rFonts w:ascii="Arial" w:hAnsi="Arial" w:cs="Arial"/>
          <w:noProof/>
        </w:rPr>
        <w:t>(1), 15–24. jurnal.umj.ac.id/index.php/ftan/index</w:t>
      </w:r>
    </w:p>
    <w:p w14:paraId="61D5E85A" w14:textId="576F4222" w:rsidR="00444492" w:rsidRPr="00444492" w:rsidRDefault="00444492" w:rsidP="00181D47">
      <w:pPr>
        <w:widowControl w:val="0"/>
        <w:autoSpaceDE w:val="0"/>
        <w:autoSpaceDN w:val="0"/>
        <w:adjustRightInd w:val="0"/>
        <w:ind w:left="480" w:hanging="480"/>
        <w:jc w:val="both"/>
        <w:rPr>
          <w:rFonts w:ascii="Arial" w:hAnsi="Arial" w:cs="Arial"/>
          <w:noProof/>
        </w:rPr>
      </w:pPr>
      <w:r w:rsidRPr="00444492">
        <w:rPr>
          <w:rFonts w:ascii="Arial" w:hAnsi="Arial" w:cs="Arial"/>
          <w:noProof/>
        </w:rPr>
        <w:t>Zamriyetti, Sulardi, Tengku Siti Habsyah, O. S. N. (2022).</w:t>
      </w:r>
      <w:r w:rsidRPr="007266BD">
        <w:rPr>
          <w:rFonts w:ascii="Arial" w:hAnsi="Arial" w:cs="Arial"/>
          <w:noProof/>
        </w:rPr>
        <w:t xml:space="preserve"> </w:t>
      </w:r>
      <w:r w:rsidR="007266BD" w:rsidRPr="007266BD">
        <w:rPr>
          <w:rFonts w:ascii="Arial" w:hAnsi="Arial" w:cs="Arial"/>
          <w:noProof/>
        </w:rPr>
        <w:t>Increased Growth and Production of Three Varieties of Red Onion (</w:t>
      </w:r>
      <w:r w:rsidR="007266BD" w:rsidRPr="007266BD">
        <w:rPr>
          <w:rFonts w:ascii="Arial" w:hAnsi="Arial" w:cs="Arial"/>
          <w:i/>
          <w:iCs/>
          <w:noProof/>
        </w:rPr>
        <w:t>Allium ascalonicum</w:t>
      </w:r>
      <w:r w:rsidR="007266BD" w:rsidRPr="007266BD">
        <w:rPr>
          <w:rFonts w:ascii="Arial" w:hAnsi="Arial" w:cs="Arial"/>
          <w:noProof/>
        </w:rPr>
        <w:t xml:space="preserve"> L.) from Seeds Treated with PGPR.</w:t>
      </w:r>
      <w:r w:rsidR="007266BD" w:rsidRPr="007266BD">
        <w:rPr>
          <w:rFonts w:ascii="Arial" w:hAnsi="Arial" w:cs="Arial"/>
          <w:i/>
          <w:iCs/>
          <w:noProof/>
        </w:rPr>
        <w:t xml:space="preserve"> 978–979.</w:t>
      </w:r>
    </w:p>
    <w:p w14:paraId="54B8271A" w14:textId="073D2428" w:rsidR="006A5080" w:rsidRPr="007266BD" w:rsidRDefault="00444492" w:rsidP="007266BD">
      <w:pPr>
        <w:pStyle w:val="Body"/>
        <w:spacing w:after="0"/>
        <w:ind w:firstLine="720"/>
        <w:rPr>
          <w:rFonts w:ascii="Arial" w:hAnsi="Arial" w:cs="Arial"/>
        </w:rPr>
        <w:sectPr w:rsidR="006A5080" w:rsidRPr="007266BD" w:rsidSect="00FC322D">
          <w:type w:val="continuous"/>
          <w:pgSz w:w="12240" w:h="15840"/>
          <w:pgMar w:top="1440" w:right="2016" w:bottom="2016" w:left="2016" w:header="720" w:footer="1123" w:gutter="0"/>
          <w:cols w:space="720"/>
          <w:docGrid w:linePitch="272"/>
        </w:sectPr>
      </w:pPr>
      <w:r>
        <w:rPr>
          <w:rFonts w:ascii="Arial" w:hAnsi="Arial" w:cs="Arial"/>
        </w:rPr>
        <w:fldChar w:fldCharType="end"/>
      </w:r>
      <w:r w:rsidR="006A5080">
        <w:rPr>
          <w:rFonts w:ascii="Arial" w:hAnsi="Arial" w:cs="Arial"/>
          <w:b/>
        </w:rPr>
        <w:fldChar w:fldCharType="begin"/>
      </w:r>
      <w:r w:rsidR="006A5080" w:rsidRPr="006A5080">
        <w:rPr>
          <w:rFonts w:ascii="Arial" w:hAnsi="Arial" w:cs="Arial"/>
        </w:rPr>
        <w:instrText xml:space="preserve">ADDIN Mendeley Bibliography CSL_BIBLIOGRAPHY </w:instrText>
      </w:r>
      <w:r w:rsidR="006A5080">
        <w:rPr>
          <w:rFonts w:ascii="Arial" w:hAnsi="Arial" w:cs="Arial"/>
          <w:b/>
        </w:rPr>
        <w:fldChar w:fldCharType="end"/>
      </w:r>
    </w:p>
    <w:p w14:paraId="6E65CB3C" w14:textId="77777777" w:rsidR="006A5080" w:rsidRPr="00FB3A86" w:rsidRDefault="006A5080" w:rsidP="00441B6F">
      <w:pPr>
        <w:pStyle w:val="Appendix"/>
        <w:spacing w:after="0"/>
        <w:jc w:val="both"/>
        <w:rPr>
          <w:rFonts w:ascii="Arial" w:hAnsi="Arial" w:cs="Arial"/>
          <w:b w:val="0"/>
        </w:rPr>
      </w:pPr>
    </w:p>
    <w:sectPr w:rsidR="006A5080" w:rsidRPr="00FB3A86" w:rsidSect="00FC322D">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E519" w14:textId="77777777" w:rsidR="009317B7" w:rsidRDefault="009317B7" w:rsidP="00C37E61">
      <w:r>
        <w:separator/>
      </w:r>
    </w:p>
  </w:endnote>
  <w:endnote w:type="continuationSeparator" w:id="0">
    <w:p w14:paraId="14AF6C56" w14:textId="77777777" w:rsidR="009317B7" w:rsidRDefault="009317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0B06" w14:textId="77777777" w:rsidR="00FC322D" w:rsidRDefault="00FC3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0A54" w14:textId="77777777" w:rsidR="00FC322D" w:rsidRDefault="00FC3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D18F" w14:textId="77777777" w:rsidR="009E048A" w:rsidRDefault="009E048A">
    <w:pPr>
      <w:pStyle w:val="Footer"/>
      <w:rPr>
        <w:rFonts w:ascii="Arial" w:hAnsi="Arial" w:cs="Arial"/>
        <w:sz w:val="16"/>
      </w:rPr>
    </w:pPr>
  </w:p>
  <w:p w14:paraId="73780A9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3BA3DD" w14:textId="77777777" w:rsidR="009E048A" w:rsidRDefault="009E048A">
    <w:pPr>
      <w:pStyle w:val="Footer"/>
      <w:rPr>
        <w:rFonts w:ascii="Arial" w:hAnsi="Arial" w:cs="Arial"/>
        <w:sz w:val="16"/>
      </w:rPr>
    </w:pPr>
  </w:p>
  <w:p w14:paraId="0E0A411C" w14:textId="77777777" w:rsidR="00754C9A" w:rsidRPr="009E048A" w:rsidRDefault="00754C9A">
    <w:pPr>
      <w:pStyle w:val="Footer"/>
      <w:rPr>
        <w:rFonts w:ascii="Arial" w:hAnsi="Arial" w:cs="Arial"/>
        <w:i/>
        <w:sz w:val="16"/>
      </w:rPr>
    </w:pPr>
    <w:r w:rsidRPr="009E048A">
      <w:rPr>
        <w:rFonts w:ascii="Arial" w:hAnsi="Arial" w:cs="Arial"/>
        <w:i/>
        <w:sz w:val="16"/>
      </w:rPr>
      <w:t xml:space="preserve">*Penulis </w:t>
    </w:r>
    <w:r w:rsidRPr="009E048A">
      <w:rPr>
        <w:rFonts w:ascii="Arial" w:hAnsi="Arial" w:cs="Arial"/>
        <w:i/>
        <w:sz w:val="16"/>
      </w:rPr>
      <w:t>korespondensi: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D45A" w14:textId="77777777" w:rsidR="005A52D9" w:rsidRPr="00C37E61" w:rsidRDefault="005A52D9"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72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083DD" w14:textId="77777777" w:rsidR="009317B7" w:rsidRDefault="009317B7" w:rsidP="00C37E61">
      <w:r>
        <w:separator/>
      </w:r>
    </w:p>
  </w:footnote>
  <w:footnote w:type="continuationSeparator" w:id="0">
    <w:p w14:paraId="65F0AB15" w14:textId="77777777" w:rsidR="009317B7" w:rsidRDefault="009317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90F5" w14:textId="107841D3" w:rsidR="00FC322D" w:rsidRDefault="00FC322D">
    <w:pPr>
      <w:pStyle w:val="Header"/>
    </w:pPr>
    <w:r>
      <w:rPr>
        <w:noProof/>
      </w:rPr>
      <w:pict w14:anchorId="1ACEF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731E" w14:textId="5507B446" w:rsidR="00FC322D" w:rsidRDefault="00FC322D">
    <w:pPr>
      <w:pStyle w:val="Header"/>
    </w:pPr>
    <w:r>
      <w:rPr>
        <w:noProof/>
      </w:rPr>
      <w:pict w14:anchorId="17E8B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DCDD" w14:textId="54D1F51A" w:rsidR="00296529" w:rsidRPr="00296529" w:rsidRDefault="00FC322D" w:rsidP="00296529">
    <w:pPr>
      <w:ind w:left="2160"/>
      <w:jc w:val="center"/>
      <w:rPr>
        <w:rFonts w:ascii="Times New Roman" w:eastAsia="Calibri" w:hAnsi="Times New Roman"/>
        <w:i/>
        <w:sz w:val="18"/>
        <w:szCs w:val="22"/>
      </w:rPr>
    </w:pPr>
    <w:r>
      <w:rPr>
        <w:noProof/>
      </w:rPr>
      <w:pict w14:anchorId="361EC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C7E5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2CC6E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AC37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14D535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57D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8E56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C12C" w14:textId="5AF3801D" w:rsidR="00FC322D" w:rsidRDefault="00FC322D">
    <w:pPr>
      <w:pStyle w:val="Header"/>
    </w:pPr>
    <w:r>
      <w:rPr>
        <w:noProof/>
      </w:rPr>
      <w:pict w14:anchorId="3560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B93F" w14:textId="78AD00D2" w:rsidR="00FC322D" w:rsidRDefault="00FC322D">
    <w:pPr>
      <w:pStyle w:val="Header"/>
    </w:pPr>
    <w:r>
      <w:rPr>
        <w:noProof/>
      </w:rPr>
      <w:pict w14:anchorId="7D888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87A6" w14:textId="2A757EE5" w:rsidR="00FC322D" w:rsidRDefault="00FC322D">
    <w:pPr>
      <w:pStyle w:val="Header"/>
    </w:pPr>
    <w:r>
      <w:rPr>
        <w:noProof/>
      </w:rPr>
      <w:pict w14:anchorId="7A585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4416" w14:textId="7A6A2AD1" w:rsidR="00FC322D" w:rsidRDefault="00FC322D">
    <w:pPr>
      <w:pStyle w:val="Header"/>
    </w:pPr>
    <w:r>
      <w:rPr>
        <w:noProof/>
      </w:rPr>
      <w:pict w14:anchorId="23151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295C" w14:textId="553B7AFB" w:rsidR="00FC322D" w:rsidRDefault="00FC322D">
    <w:pPr>
      <w:pStyle w:val="Header"/>
    </w:pPr>
    <w:r>
      <w:rPr>
        <w:noProof/>
      </w:rPr>
      <w:pict w14:anchorId="202C0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8FEC" w14:textId="0CAC6693" w:rsidR="00FC322D" w:rsidRDefault="00FC322D">
    <w:pPr>
      <w:pStyle w:val="Header"/>
    </w:pPr>
    <w:r>
      <w:rPr>
        <w:noProof/>
      </w:rPr>
      <w:pict w14:anchorId="6A45A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A6A"/>
    <w:rsid w:val="00030174"/>
    <w:rsid w:val="0004579C"/>
    <w:rsid w:val="000973D7"/>
    <w:rsid w:val="000A0C16"/>
    <w:rsid w:val="000A47FA"/>
    <w:rsid w:val="000A65D3"/>
    <w:rsid w:val="000B1E33"/>
    <w:rsid w:val="000B3B46"/>
    <w:rsid w:val="000B67E4"/>
    <w:rsid w:val="000D689F"/>
    <w:rsid w:val="000E4CD0"/>
    <w:rsid w:val="000E7B7B"/>
    <w:rsid w:val="000E7D62"/>
    <w:rsid w:val="00102BDF"/>
    <w:rsid w:val="00103357"/>
    <w:rsid w:val="00123C9F"/>
    <w:rsid w:val="00126190"/>
    <w:rsid w:val="00130F17"/>
    <w:rsid w:val="001320BF"/>
    <w:rsid w:val="00163BC4"/>
    <w:rsid w:val="00170D62"/>
    <w:rsid w:val="00181D47"/>
    <w:rsid w:val="00191062"/>
    <w:rsid w:val="00192B72"/>
    <w:rsid w:val="001A29D8"/>
    <w:rsid w:val="001A382A"/>
    <w:rsid w:val="001A536D"/>
    <w:rsid w:val="001A5CAA"/>
    <w:rsid w:val="001B0427"/>
    <w:rsid w:val="001C6181"/>
    <w:rsid w:val="001D2FF3"/>
    <w:rsid w:val="001D3A51"/>
    <w:rsid w:val="001E10D2"/>
    <w:rsid w:val="001E25B4"/>
    <w:rsid w:val="001E44FE"/>
    <w:rsid w:val="001F1AA9"/>
    <w:rsid w:val="00200595"/>
    <w:rsid w:val="00204835"/>
    <w:rsid w:val="00231920"/>
    <w:rsid w:val="0023195C"/>
    <w:rsid w:val="002352C5"/>
    <w:rsid w:val="0024282C"/>
    <w:rsid w:val="002445FC"/>
    <w:rsid w:val="002460DC"/>
    <w:rsid w:val="00250985"/>
    <w:rsid w:val="002556F6"/>
    <w:rsid w:val="00283105"/>
    <w:rsid w:val="00284C4C"/>
    <w:rsid w:val="00287E68"/>
    <w:rsid w:val="00296529"/>
    <w:rsid w:val="002B27FB"/>
    <w:rsid w:val="002B685A"/>
    <w:rsid w:val="002C0B70"/>
    <w:rsid w:val="002C3482"/>
    <w:rsid w:val="002C57D2"/>
    <w:rsid w:val="002C7F3A"/>
    <w:rsid w:val="002E0D56"/>
    <w:rsid w:val="00315186"/>
    <w:rsid w:val="0033343E"/>
    <w:rsid w:val="003512C2"/>
    <w:rsid w:val="00371FB6"/>
    <w:rsid w:val="003763C1"/>
    <w:rsid w:val="00376BBE"/>
    <w:rsid w:val="0039224F"/>
    <w:rsid w:val="003A0190"/>
    <w:rsid w:val="003A43A4"/>
    <w:rsid w:val="003A7E18"/>
    <w:rsid w:val="003B1CBE"/>
    <w:rsid w:val="003C4C86"/>
    <w:rsid w:val="003C6258"/>
    <w:rsid w:val="003E2904"/>
    <w:rsid w:val="00401927"/>
    <w:rsid w:val="0041027F"/>
    <w:rsid w:val="00412475"/>
    <w:rsid w:val="00423789"/>
    <w:rsid w:val="004303E4"/>
    <w:rsid w:val="00440F43"/>
    <w:rsid w:val="00441B6F"/>
    <w:rsid w:val="00444492"/>
    <w:rsid w:val="00446221"/>
    <w:rsid w:val="00450E62"/>
    <w:rsid w:val="004539DB"/>
    <w:rsid w:val="00471A80"/>
    <w:rsid w:val="004D305E"/>
    <w:rsid w:val="004D4277"/>
    <w:rsid w:val="00502516"/>
    <w:rsid w:val="00505F06"/>
    <w:rsid w:val="00506828"/>
    <w:rsid w:val="0053056E"/>
    <w:rsid w:val="00554FDA"/>
    <w:rsid w:val="00593CC3"/>
    <w:rsid w:val="005A52D9"/>
    <w:rsid w:val="005C784C"/>
    <w:rsid w:val="005D17F6"/>
    <w:rsid w:val="005E5539"/>
    <w:rsid w:val="00602BF5"/>
    <w:rsid w:val="0060721B"/>
    <w:rsid w:val="006177FE"/>
    <w:rsid w:val="00617FDD"/>
    <w:rsid w:val="00633614"/>
    <w:rsid w:val="00633F68"/>
    <w:rsid w:val="00636EB2"/>
    <w:rsid w:val="006375B8"/>
    <w:rsid w:val="0066510A"/>
    <w:rsid w:val="00673F9F"/>
    <w:rsid w:val="00686953"/>
    <w:rsid w:val="00687DEA"/>
    <w:rsid w:val="00687E67"/>
    <w:rsid w:val="006967F7"/>
    <w:rsid w:val="006A250C"/>
    <w:rsid w:val="006A5080"/>
    <w:rsid w:val="006B21D3"/>
    <w:rsid w:val="006B57D0"/>
    <w:rsid w:val="006D30FF"/>
    <w:rsid w:val="006D6940"/>
    <w:rsid w:val="006E1A08"/>
    <w:rsid w:val="006F11EC"/>
    <w:rsid w:val="0070082C"/>
    <w:rsid w:val="007266BD"/>
    <w:rsid w:val="007369E6"/>
    <w:rsid w:val="00746E59"/>
    <w:rsid w:val="00754C9A"/>
    <w:rsid w:val="0075599A"/>
    <w:rsid w:val="00757DD0"/>
    <w:rsid w:val="00761D52"/>
    <w:rsid w:val="0077749E"/>
    <w:rsid w:val="00790ADA"/>
    <w:rsid w:val="007A7976"/>
    <w:rsid w:val="007D2288"/>
    <w:rsid w:val="007E088F"/>
    <w:rsid w:val="007F7B32"/>
    <w:rsid w:val="00804BC2"/>
    <w:rsid w:val="0081395C"/>
    <w:rsid w:val="0081431A"/>
    <w:rsid w:val="0083216F"/>
    <w:rsid w:val="00860000"/>
    <w:rsid w:val="00863BD3"/>
    <w:rsid w:val="008641ED"/>
    <w:rsid w:val="00866D66"/>
    <w:rsid w:val="008671C6"/>
    <w:rsid w:val="00875803"/>
    <w:rsid w:val="00897C17"/>
    <w:rsid w:val="008B459E"/>
    <w:rsid w:val="008E13AE"/>
    <w:rsid w:val="008E1506"/>
    <w:rsid w:val="008E710C"/>
    <w:rsid w:val="008F69D6"/>
    <w:rsid w:val="00902823"/>
    <w:rsid w:val="00915CA6"/>
    <w:rsid w:val="00927834"/>
    <w:rsid w:val="009317B7"/>
    <w:rsid w:val="00946CA7"/>
    <w:rsid w:val="009500A6"/>
    <w:rsid w:val="00950E90"/>
    <w:rsid w:val="00957C18"/>
    <w:rsid w:val="009659BA"/>
    <w:rsid w:val="00983040"/>
    <w:rsid w:val="00992868"/>
    <w:rsid w:val="009B3FB9"/>
    <w:rsid w:val="009C2465"/>
    <w:rsid w:val="009D35A0"/>
    <w:rsid w:val="009D7EB7"/>
    <w:rsid w:val="009E048A"/>
    <w:rsid w:val="009E08E9"/>
    <w:rsid w:val="009E3DB9"/>
    <w:rsid w:val="009E6E35"/>
    <w:rsid w:val="009F0EDA"/>
    <w:rsid w:val="009F6889"/>
    <w:rsid w:val="00A03B96"/>
    <w:rsid w:val="00A05B19"/>
    <w:rsid w:val="00A1134E"/>
    <w:rsid w:val="00A15E2E"/>
    <w:rsid w:val="00A24E7E"/>
    <w:rsid w:val="00A258C3"/>
    <w:rsid w:val="00A347C0"/>
    <w:rsid w:val="00A51431"/>
    <w:rsid w:val="00A539AD"/>
    <w:rsid w:val="00A94063"/>
    <w:rsid w:val="00AA6219"/>
    <w:rsid w:val="00AA74E0"/>
    <w:rsid w:val="00AB703F"/>
    <w:rsid w:val="00AC6BB8"/>
    <w:rsid w:val="00AE008F"/>
    <w:rsid w:val="00AF6C9E"/>
    <w:rsid w:val="00B01FCD"/>
    <w:rsid w:val="00B1776C"/>
    <w:rsid w:val="00B52583"/>
    <w:rsid w:val="00B52896"/>
    <w:rsid w:val="00B91AC2"/>
    <w:rsid w:val="00B95236"/>
    <w:rsid w:val="00B96BD9"/>
    <w:rsid w:val="00BA1B01"/>
    <w:rsid w:val="00BA2641"/>
    <w:rsid w:val="00BB37AA"/>
    <w:rsid w:val="00BC53A0"/>
    <w:rsid w:val="00BE62AD"/>
    <w:rsid w:val="00BF0F18"/>
    <w:rsid w:val="00BF121F"/>
    <w:rsid w:val="00BF1F80"/>
    <w:rsid w:val="00C030EA"/>
    <w:rsid w:val="00C166EF"/>
    <w:rsid w:val="00C17EB0"/>
    <w:rsid w:val="00C27F5F"/>
    <w:rsid w:val="00C30A0F"/>
    <w:rsid w:val="00C37E61"/>
    <w:rsid w:val="00C70F1B"/>
    <w:rsid w:val="00C71A47"/>
    <w:rsid w:val="00C7464C"/>
    <w:rsid w:val="00C85588"/>
    <w:rsid w:val="00C865DE"/>
    <w:rsid w:val="00CD6755"/>
    <w:rsid w:val="00CD6856"/>
    <w:rsid w:val="00CE0089"/>
    <w:rsid w:val="00CE793C"/>
    <w:rsid w:val="00CF193C"/>
    <w:rsid w:val="00D1039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AFB"/>
    <w:rsid w:val="00EE52CB"/>
    <w:rsid w:val="00EF581D"/>
    <w:rsid w:val="00EF7FD8"/>
    <w:rsid w:val="00F06F59"/>
    <w:rsid w:val="00F17988"/>
    <w:rsid w:val="00F469F0"/>
    <w:rsid w:val="00F53273"/>
    <w:rsid w:val="00F755E4"/>
    <w:rsid w:val="00F77D02"/>
    <w:rsid w:val="00F9680B"/>
    <w:rsid w:val="00FB3A86"/>
    <w:rsid w:val="00FC322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02FD5D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70D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A52D9"/>
    <w:rPr>
      <w:rFonts w:ascii="Times New Roman" w:hAnsi="Times New Roman"/>
      <w:sz w:val="24"/>
      <w:szCs w:val="24"/>
    </w:rPr>
  </w:style>
  <w:style w:type="paragraph" w:customStyle="1" w:styleId="Default">
    <w:name w:val="Default"/>
    <w:rsid w:val="002C7F3A"/>
    <w:pPr>
      <w:autoSpaceDE w:val="0"/>
      <w:autoSpaceDN w:val="0"/>
      <w:adjustRightInd w:val="0"/>
    </w:pPr>
    <w:rPr>
      <w:rFonts w:eastAsiaTheme="minorHAnsi"/>
      <w:color w:val="000000"/>
      <w:sz w:val="24"/>
      <w:szCs w:val="24"/>
      <w:lang w:val="en-US"/>
    </w:rPr>
  </w:style>
  <w:style w:type="character" w:customStyle="1" w:styleId="Heading3Char">
    <w:name w:val="Heading 3 Char"/>
    <w:basedOn w:val="DefaultParagraphFont"/>
    <w:link w:val="Heading3"/>
    <w:semiHidden/>
    <w:rsid w:val="00170D6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OneDrive\Documents\Proposal%20Penelitian%20Acc\Data%20Penelitian%20Hasil_Zelvin%20Audi%20Nata_E1J02206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OneDrive\Documents\Proposal%20Penelitian%20Acc\Data%20Penelitian%20Hasil_Zelvin%20Audi%20Nata_E1J02206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OneDrive\Documents\Proposal%20Penelitian%20Acc\Data%20Penelitian%20Hasil_Zelvin%20Audi%20Nata_E1J02206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'Tinggi Tanaman'!$J$38</c:f>
              <c:strCache>
                <c:ptCount val="1"/>
                <c:pt idx="0">
                  <c:v>P0</c:v>
                </c:pt>
              </c:strCache>
            </c:strRef>
          </c:tx>
          <c:spPr>
            <a:ln w="12700" cap="rnd">
              <a:solidFill>
                <a:schemeClr val="accent2"/>
              </a:solidFill>
              <a:round/>
            </a:ln>
            <a:effectLst/>
          </c:spPr>
          <c:marker>
            <c:symbol val="square"/>
            <c:size val="6"/>
            <c:spPr>
              <a:solidFill>
                <a:schemeClr val="accent2"/>
              </a:solidFill>
              <a:ln w="9525">
                <a:solidFill>
                  <a:schemeClr val="accent2"/>
                </a:solidFill>
                <a:round/>
              </a:ln>
              <a:effectLst/>
            </c:spPr>
          </c:marker>
          <c:cat>
            <c:strRef>
              <c:f>'Tinggi Tanaman'!$K$36:$O$36</c:f>
              <c:strCache>
                <c:ptCount val="5"/>
                <c:pt idx="0">
                  <c:v>1 WAP</c:v>
                </c:pt>
                <c:pt idx="1">
                  <c:v>2 WAP</c:v>
                </c:pt>
                <c:pt idx="2">
                  <c:v>3 WAP</c:v>
                </c:pt>
                <c:pt idx="3">
                  <c:v>4 WAP</c:v>
                </c:pt>
                <c:pt idx="4">
                  <c:v>5 WAP</c:v>
                </c:pt>
              </c:strCache>
            </c:strRef>
          </c:cat>
          <c:val>
            <c:numRef>
              <c:f>'Tinggi Tanaman'!$K$38:$O$38</c:f>
              <c:numCache>
                <c:formatCode>0.00</c:formatCode>
                <c:ptCount val="5"/>
                <c:pt idx="0">
                  <c:v>11.31</c:v>
                </c:pt>
                <c:pt idx="1">
                  <c:v>13.045</c:v>
                </c:pt>
                <c:pt idx="2">
                  <c:v>15.170000000000002</c:v>
                </c:pt>
                <c:pt idx="3">
                  <c:v>17.57</c:v>
                </c:pt>
                <c:pt idx="4">
                  <c:v>21.954999999999998</c:v>
                </c:pt>
              </c:numCache>
            </c:numRef>
          </c:val>
          <c:smooth val="0"/>
          <c:extLst>
            <c:ext xmlns:c16="http://schemas.microsoft.com/office/drawing/2014/chart" uri="{C3380CC4-5D6E-409C-BE32-E72D297353CC}">
              <c16:uniqueId val="{00000000-15FC-4D4D-9C93-7702CF403FCB}"/>
            </c:ext>
          </c:extLst>
        </c:ser>
        <c:ser>
          <c:idx val="2"/>
          <c:order val="2"/>
          <c:tx>
            <c:strRef>
              <c:f>'Tinggi Tanaman'!$J$39</c:f>
              <c:strCache>
                <c:ptCount val="1"/>
                <c:pt idx="0">
                  <c:v>P1</c:v>
                </c:pt>
              </c:strCache>
            </c:strRef>
          </c:tx>
          <c:spPr>
            <a:ln w="12700" cap="rnd">
              <a:solidFill>
                <a:schemeClr val="accent3"/>
              </a:solidFill>
              <a:round/>
            </a:ln>
            <a:effectLst/>
          </c:spPr>
          <c:marker>
            <c:symbol val="triangle"/>
            <c:size val="6"/>
            <c:spPr>
              <a:solidFill>
                <a:schemeClr val="accent3"/>
              </a:solidFill>
              <a:ln w="9525">
                <a:solidFill>
                  <a:schemeClr val="accent3"/>
                </a:solidFill>
                <a:round/>
              </a:ln>
              <a:effectLst/>
            </c:spPr>
          </c:marker>
          <c:cat>
            <c:strRef>
              <c:f>'Tinggi Tanaman'!$K$36:$O$36</c:f>
              <c:strCache>
                <c:ptCount val="5"/>
                <c:pt idx="0">
                  <c:v>1 WAP</c:v>
                </c:pt>
                <c:pt idx="1">
                  <c:v>2 WAP</c:v>
                </c:pt>
                <c:pt idx="2">
                  <c:v>3 WAP</c:v>
                </c:pt>
                <c:pt idx="3">
                  <c:v>4 WAP</c:v>
                </c:pt>
                <c:pt idx="4">
                  <c:v>5 WAP</c:v>
                </c:pt>
              </c:strCache>
            </c:strRef>
          </c:cat>
          <c:val>
            <c:numRef>
              <c:f>'Tinggi Tanaman'!$K$39:$O$39</c:f>
              <c:numCache>
                <c:formatCode>0.00</c:formatCode>
                <c:ptCount val="5"/>
                <c:pt idx="0">
                  <c:v>13.18</c:v>
                </c:pt>
                <c:pt idx="1">
                  <c:v>14.48</c:v>
                </c:pt>
                <c:pt idx="2">
                  <c:v>15.8</c:v>
                </c:pt>
                <c:pt idx="3">
                  <c:v>18.204999999999998</c:v>
                </c:pt>
                <c:pt idx="4">
                  <c:v>21.465</c:v>
                </c:pt>
              </c:numCache>
            </c:numRef>
          </c:val>
          <c:smooth val="0"/>
          <c:extLst>
            <c:ext xmlns:c16="http://schemas.microsoft.com/office/drawing/2014/chart" uri="{C3380CC4-5D6E-409C-BE32-E72D297353CC}">
              <c16:uniqueId val="{00000001-15FC-4D4D-9C93-7702CF403FCB}"/>
            </c:ext>
          </c:extLst>
        </c:ser>
        <c:ser>
          <c:idx val="3"/>
          <c:order val="3"/>
          <c:tx>
            <c:strRef>
              <c:f>'Tinggi Tanaman'!$J$40</c:f>
              <c:strCache>
                <c:ptCount val="1"/>
                <c:pt idx="0">
                  <c:v>P2</c:v>
                </c:pt>
              </c:strCache>
            </c:strRef>
          </c:tx>
          <c:spPr>
            <a:ln w="12700" cap="rnd">
              <a:solidFill>
                <a:schemeClr val="accent4"/>
              </a:solidFill>
              <a:round/>
            </a:ln>
            <a:effectLst/>
          </c:spPr>
          <c:marker>
            <c:symbol val="x"/>
            <c:size val="6"/>
            <c:spPr>
              <a:noFill/>
              <a:ln w="9525">
                <a:solidFill>
                  <a:schemeClr val="accent4"/>
                </a:solidFill>
                <a:round/>
              </a:ln>
              <a:effectLst/>
            </c:spPr>
          </c:marker>
          <c:cat>
            <c:strRef>
              <c:f>'Tinggi Tanaman'!$K$36:$O$36</c:f>
              <c:strCache>
                <c:ptCount val="5"/>
                <c:pt idx="0">
                  <c:v>1 WAP</c:v>
                </c:pt>
                <c:pt idx="1">
                  <c:v>2 WAP</c:v>
                </c:pt>
                <c:pt idx="2">
                  <c:v>3 WAP</c:v>
                </c:pt>
                <c:pt idx="3">
                  <c:v>4 WAP</c:v>
                </c:pt>
                <c:pt idx="4">
                  <c:v>5 WAP</c:v>
                </c:pt>
              </c:strCache>
            </c:strRef>
          </c:cat>
          <c:val>
            <c:numRef>
              <c:f>'Tinggi Tanaman'!$K$40:$O$40</c:f>
              <c:numCache>
                <c:formatCode>0.00</c:formatCode>
                <c:ptCount val="5"/>
                <c:pt idx="0">
                  <c:v>12.379999999999999</c:v>
                </c:pt>
                <c:pt idx="1">
                  <c:v>13.36</c:v>
                </c:pt>
                <c:pt idx="2">
                  <c:v>14.545000000000002</c:v>
                </c:pt>
                <c:pt idx="3">
                  <c:v>17.479999999999997</c:v>
                </c:pt>
                <c:pt idx="4">
                  <c:v>19.715</c:v>
                </c:pt>
              </c:numCache>
            </c:numRef>
          </c:val>
          <c:smooth val="0"/>
          <c:extLst>
            <c:ext xmlns:c16="http://schemas.microsoft.com/office/drawing/2014/chart" uri="{C3380CC4-5D6E-409C-BE32-E72D297353CC}">
              <c16:uniqueId val="{00000002-15FC-4D4D-9C93-7702CF403FCB}"/>
            </c:ext>
          </c:extLst>
        </c:ser>
        <c:ser>
          <c:idx val="4"/>
          <c:order val="4"/>
          <c:tx>
            <c:strRef>
              <c:f>'Tinggi Tanaman'!$J$41</c:f>
              <c:strCache>
                <c:ptCount val="1"/>
                <c:pt idx="0">
                  <c:v>P3</c:v>
                </c:pt>
              </c:strCache>
            </c:strRef>
          </c:tx>
          <c:spPr>
            <a:ln w="12700" cap="rnd">
              <a:solidFill>
                <a:schemeClr val="accent5"/>
              </a:solidFill>
              <a:round/>
            </a:ln>
            <a:effectLst/>
          </c:spPr>
          <c:marker>
            <c:symbol val="star"/>
            <c:size val="6"/>
            <c:spPr>
              <a:noFill/>
              <a:ln w="9525">
                <a:solidFill>
                  <a:schemeClr val="accent5"/>
                </a:solidFill>
                <a:round/>
              </a:ln>
              <a:effectLst/>
            </c:spPr>
          </c:marker>
          <c:cat>
            <c:strRef>
              <c:f>'Tinggi Tanaman'!$K$36:$O$36</c:f>
              <c:strCache>
                <c:ptCount val="5"/>
                <c:pt idx="0">
                  <c:v>1 WAP</c:v>
                </c:pt>
                <c:pt idx="1">
                  <c:v>2 WAP</c:v>
                </c:pt>
                <c:pt idx="2">
                  <c:v>3 WAP</c:v>
                </c:pt>
                <c:pt idx="3">
                  <c:v>4 WAP</c:v>
                </c:pt>
                <c:pt idx="4">
                  <c:v>5 WAP</c:v>
                </c:pt>
              </c:strCache>
            </c:strRef>
          </c:cat>
          <c:val>
            <c:numRef>
              <c:f>'Tinggi Tanaman'!$K$41:$O$41</c:f>
              <c:numCache>
                <c:formatCode>0.00</c:formatCode>
                <c:ptCount val="5"/>
                <c:pt idx="0">
                  <c:v>10.705</c:v>
                </c:pt>
                <c:pt idx="1">
                  <c:v>11.92</c:v>
                </c:pt>
                <c:pt idx="2">
                  <c:v>13.110000000000001</c:v>
                </c:pt>
                <c:pt idx="3">
                  <c:v>14.73</c:v>
                </c:pt>
                <c:pt idx="4">
                  <c:v>17.635000000000002</c:v>
                </c:pt>
              </c:numCache>
            </c:numRef>
          </c:val>
          <c:smooth val="0"/>
          <c:extLst>
            <c:ext xmlns:c16="http://schemas.microsoft.com/office/drawing/2014/chart" uri="{C3380CC4-5D6E-409C-BE32-E72D297353CC}">
              <c16:uniqueId val="{00000003-15FC-4D4D-9C93-7702CF403FCB}"/>
            </c:ext>
          </c:extLst>
        </c:ser>
        <c:ser>
          <c:idx val="5"/>
          <c:order val="5"/>
          <c:tx>
            <c:strRef>
              <c:f>'Tinggi Tanaman'!$J$42</c:f>
              <c:strCache>
                <c:ptCount val="1"/>
                <c:pt idx="0">
                  <c:v>P4</c:v>
                </c:pt>
              </c:strCache>
            </c:strRef>
          </c:tx>
          <c:spPr>
            <a:ln w="12700" cap="rnd">
              <a:solidFill>
                <a:schemeClr val="accent6"/>
              </a:solidFill>
              <a:round/>
            </a:ln>
            <a:effectLst/>
          </c:spPr>
          <c:marker>
            <c:symbol val="circle"/>
            <c:size val="6"/>
            <c:spPr>
              <a:solidFill>
                <a:schemeClr val="accent6"/>
              </a:solidFill>
              <a:ln w="9525">
                <a:solidFill>
                  <a:schemeClr val="accent6"/>
                </a:solidFill>
                <a:round/>
              </a:ln>
              <a:effectLst/>
            </c:spPr>
          </c:marker>
          <c:cat>
            <c:strRef>
              <c:f>'Tinggi Tanaman'!$K$36:$O$36</c:f>
              <c:strCache>
                <c:ptCount val="5"/>
                <c:pt idx="0">
                  <c:v>1 WAP</c:v>
                </c:pt>
                <c:pt idx="1">
                  <c:v>2 WAP</c:v>
                </c:pt>
                <c:pt idx="2">
                  <c:v>3 WAP</c:v>
                </c:pt>
                <c:pt idx="3">
                  <c:v>4 WAP</c:v>
                </c:pt>
                <c:pt idx="4">
                  <c:v>5 WAP</c:v>
                </c:pt>
              </c:strCache>
            </c:strRef>
          </c:cat>
          <c:val>
            <c:numRef>
              <c:f>'Tinggi Tanaman'!$K$42:$O$42</c:f>
              <c:numCache>
                <c:formatCode>0.00</c:formatCode>
                <c:ptCount val="5"/>
                <c:pt idx="0">
                  <c:v>10.965</c:v>
                </c:pt>
                <c:pt idx="1">
                  <c:v>11.84</c:v>
                </c:pt>
                <c:pt idx="2">
                  <c:v>13.504999999999999</c:v>
                </c:pt>
                <c:pt idx="3">
                  <c:v>15.96</c:v>
                </c:pt>
                <c:pt idx="4">
                  <c:v>18.169999999999998</c:v>
                </c:pt>
              </c:numCache>
            </c:numRef>
          </c:val>
          <c:smooth val="0"/>
          <c:extLst>
            <c:ext xmlns:c16="http://schemas.microsoft.com/office/drawing/2014/chart" uri="{C3380CC4-5D6E-409C-BE32-E72D297353CC}">
              <c16:uniqueId val="{00000004-15FC-4D4D-9C93-7702CF403FCB}"/>
            </c:ext>
          </c:extLst>
        </c:ser>
        <c:ser>
          <c:idx val="6"/>
          <c:order val="6"/>
          <c:tx>
            <c:strRef>
              <c:f>'Tinggi Tanaman'!$J$43</c:f>
              <c:strCache>
                <c:ptCount val="1"/>
                <c:pt idx="0">
                  <c:v>P5</c:v>
                </c:pt>
              </c:strCache>
            </c:strRef>
          </c:tx>
          <c:spPr>
            <a:ln w="12700"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'Tinggi Tanaman'!$K$36:$O$36</c:f>
              <c:strCache>
                <c:ptCount val="5"/>
                <c:pt idx="0">
                  <c:v>1 WAP</c:v>
                </c:pt>
                <c:pt idx="1">
                  <c:v>2 WAP</c:v>
                </c:pt>
                <c:pt idx="2">
                  <c:v>3 WAP</c:v>
                </c:pt>
                <c:pt idx="3">
                  <c:v>4 WAP</c:v>
                </c:pt>
                <c:pt idx="4">
                  <c:v>5 WAP</c:v>
                </c:pt>
              </c:strCache>
            </c:strRef>
          </c:cat>
          <c:val>
            <c:numRef>
              <c:f>'Tinggi Tanaman'!$K$43:$O$43</c:f>
              <c:numCache>
                <c:formatCode>0.00</c:formatCode>
                <c:ptCount val="5"/>
                <c:pt idx="0">
                  <c:v>12.44</c:v>
                </c:pt>
                <c:pt idx="1">
                  <c:v>14.225</c:v>
                </c:pt>
                <c:pt idx="2">
                  <c:v>15.88</c:v>
                </c:pt>
                <c:pt idx="3">
                  <c:v>18.135000000000002</c:v>
                </c:pt>
                <c:pt idx="4">
                  <c:v>20.790000000000003</c:v>
                </c:pt>
              </c:numCache>
            </c:numRef>
          </c:val>
          <c:smooth val="0"/>
          <c:extLst>
            <c:ext xmlns:c16="http://schemas.microsoft.com/office/drawing/2014/chart" uri="{C3380CC4-5D6E-409C-BE32-E72D297353CC}">
              <c16:uniqueId val="{00000005-15FC-4D4D-9C93-7702CF403FCB}"/>
            </c:ext>
          </c:extLst>
        </c:ser>
        <c:ser>
          <c:idx val="7"/>
          <c:order val="7"/>
          <c:tx>
            <c:strRef>
              <c:f>'Tinggi Tanaman'!$J$44</c:f>
              <c:strCache>
                <c:ptCount val="1"/>
                <c:pt idx="0">
                  <c:v>P6</c:v>
                </c:pt>
              </c:strCache>
            </c:strRef>
          </c:tx>
          <c:spPr>
            <a:ln w="12700"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'Tinggi Tanaman'!$K$36:$O$36</c:f>
              <c:strCache>
                <c:ptCount val="5"/>
                <c:pt idx="0">
                  <c:v>1 WAP</c:v>
                </c:pt>
                <c:pt idx="1">
                  <c:v>2 WAP</c:v>
                </c:pt>
                <c:pt idx="2">
                  <c:v>3 WAP</c:v>
                </c:pt>
                <c:pt idx="3">
                  <c:v>4 WAP</c:v>
                </c:pt>
                <c:pt idx="4">
                  <c:v>5 WAP</c:v>
                </c:pt>
              </c:strCache>
            </c:strRef>
          </c:cat>
          <c:val>
            <c:numRef>
              <c:f>'Tinggi Tanaman'!$K$44:$O$44</c:f>
              <c:numCache>
                <c:formatCode>0.00</c:formatCode>
                <c:ptCount val="5"/>
                <c:pt idx="0">
                  <c:v>10.74</c:v>
                </c:pt>
                <c:pt idx="1">
                  <c:v>12.159999999999998</c:v>
                </c:pt>
                <c:pt idx="2">
                  <c:v>13.399999999999999</c:v>
                </c:pt>
                <c:pt idx="3">
                  <c:v>14.794999999999998</c:v>
                </c:pt>
                <c:pt idx="4">
                  <c:v>17.405000000000001</c:v>
                </c:pt>
              </c:numCache>
            </c:numRef>
          </c:val>
          <c:smooth val="0"/>
          <c:extLst>
            <c:ext xmlns:c16="http://schemas.microsoft.com/office/drawing/2014/chart" uri="{C3380CC4-5D6E-409C-BE32-E72D297353CC}">
              <c16:uniqueId val="{00000006-15FC-4D4D-9C93-7702CF403FCB}"/>
            </c:ext>
          </c:extLst>
        </c:ser>
        <c:dLbls>
          <c:showLegendKey val="0"/>
          <c:showVal val="0"/>
          <c:showCatName val="0"/>
          <c:showSerName val="0"/>
          <c:showPercent val="0"/>
          <c:showBubbleSize val="0"/>
        </c:dLbls>
        <c:hiLowLines>
          <c:spPr>
            <a:ln w="9525">
              <a:solidFill>
                <a:schemeClr val="tx1">
                  <a:lumMod val="50000"/>
                  <a:lumOff val="50000"/>
                </a:schemeClr>
              </a:solidFill>
            </a:ln>
            <a:effectLst/>
          </c:spPr>
        </c:hiLowLines>
        <c:marker val="1"/>
        <c:smooth val="0"/>
        <c:axId val="1315292896"/>
        <c:axId val="1315292416"/>
        <c:extLst>
          <c:ext xmlns:c15="http://schemas.microsoft.com/office/drawing/2012/chart" uri="{02D57815-91ED-43cb-92C2-25804820EDAC}">
            <c15:filteredLineSeries>
              <c15:ser>
                <c:idx val="0"/>
                <c:order val="0"/>
                <c:tx>
                  <c:strRef>
                    <c:extLst>
                      <c:ext uri="{02D57815-91ED-43cb-92C2-25804820EDAC}">
                        <c15:formulaRef>
                          <c15:sqref>'Tinggi Tanaman'!$J$37</c15:sqref>
                        </c15:formulaRef>
                      </c:ext>
                    </c:extLst>
                    <c:strCache>
                      <c:ptCount val="1"/>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extLst>
                      <c:ext uri="{02D57815-91ED-43cb-92C2-25804820EDAC}">
                        <c15:formulaRef>
                          <c15:sqref>'Tinggi Tanaman'!$K$36:$O$36</c15:sqref>
                        </c15:formulaRef>
                      </c:ext>
                    </c:extLst>
                    <c:strCache>
                      <c:ptCount val="5"/>
                      <c:pt idx="0">
                        <c:v>1 WAP</c:v>
                      </c:pt>
                      <c:pt idx="1">
                        <c:v>2 WAP</c:v>
                      </c:pt>
                      <c:pt idx="2">
                        <c:v>3 WAP</c:v>
                      </c:pt>
                      <c:pt idx="3">
                        <c:v>4 WAP</c:v>
                      </c:pt>
                      <c:pt idx="4">
                        <c:v>5 WAP</c:v>
                      </c:pt>
                    </c:strCache>
                  </c:strRef>
                </c:cat>
                <c:val>
                  <c:numRef>
                    <c:extLst>
                      <c:ext uri="{02D57815-91ED-43cb-92C2-25804820EDAC}">
                        <c15:formulaRef>
                          <c15:sqref>'Tinggi Tanaman'!$K$37:$O$37</c15:sqref>
                        </c15:formulaRef>
                      </c:ext>
                    </c:extLst>
                    <c:numCache>
                      <c:formatCode>General</c:formatCode>
                      <c:ptCount val="5"/>
                    </c:numCache>
                  </c:numRef>
                </c:val>
                <c:smooth val="0"/>
                <c:extLst>
                  <c:ext xmlns:c16="http://schemas.microsoft.com/office/drawing/2014/chart" uri="{C3380CC4-5D6E-409C-BE32-E72D297353CC}">
                    <c16:uniqueId val="{00000007-15FC-4D4D-9C93-7702CF403FCB}"/>
                  </c:ext>
                </c:extLst>
              </c15:ser>
            </c15:filteredLineSeries>
          </c:ext>
        </c:extLst>
      </c:lineChart>
      <c:catAx>
        <c:axId val="1315292896"/>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Plant Age </a:t>
                </a:r>
                <a:r>
                  <a:rPr lang="en-US"/>
                  <a:t>(WAP)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5292416"/>
        <c:crosses val="autoZero"/>
        <c:auto val="1"/>
        <c:lblAlgn val="ctr"/>
        <c:lblOffset val="100"/>
        <c:noMultiLvlLbl val="0"/>
      </c:catAx>
      <c:valAx>
        <c:axId val="13152924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Height</a:t>
                </a:r>
                <a:r>
                  <a:rPr lang="en-US" cap="none" baseline="0"/>
                  <a:t> Plant</a:t>
                </a:r>
                <a:r>
                  <a:rPr lang="en-US" cap="none"/>
                  <a:t> (cm</a:t>
                </a:r>
                <a:r>
                  <a:rPr lang="en-US"/>
                  <a: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529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'Jumlah Daun Per Rumpun'!$J$38</c:f>
              <c:strCache>
                <c:ptCount val="1"/>
                <c:pt idx="0">
                  <c:v>P0</c:v>
                </c:pt>
              </c:strCache>
            </c:strRef>
          </c:tx>
          <c:spPr>
            <a:ln w="12700" cap="rnd">
              <a:solidFill>
                <a:schemeClr val="accent2"/>
              </a:solidFill>
              <a:round/>
            </a:ln>
            <a:effectLst/>
          </c:spPr>
          <c:marker>
            <c:symbol val="square"/>
            <c:size val="6"/>
            <c:spPr>
              <a:solidFill>
                <a:schemeClr val="accent2"/>
              </a:solidFill>
              <a:ln w="9525">
                <a:solidFill>
                  <a:schemeClr val="accent2"/>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Rumpun'!$K$38:$O$38</c:f>
              <c:numCache>
                <c:formatCode>0.00</c:formatCode>
                <c:ptCount val="5"/>
                <c:pt idx="0">
                  <c:v>2.5</c:v>
                </c:pt>
                <c:pt idx="1">
                  <c:v>2.6999999999999997</c:v>
                </c:pt>
                <c:pt idx="2">
                  <c:v>3.25</c:v>
                </c:pt>
                <c:pt idx="3">
                  <c:v>3.5</c:v>
                </c:pt>
                <c:pt idx="4">
                  <c:v>4.05</c:v>
                </c:pt>
              </c:numCache>
            </c:numRef>
          </c:val>
          <c:smooth val="0"/>
          <c:extLst>
            <c:ext xmlns:c16="http://schemas.microsoft.com/office/drawing/2014/chart" uri="{C3380CC4-5D6E-409C-BE32-E72D297353CC}">
              <c16:uniqueId val="{00000000-28AD-413C-B948-E5FB4505FA30}"/>
            </c:ext>
          </c:extLst>
        </c:ser>
        <c:ser>
          <c:idx val="2"/>
          <c:order val="2"/>
          <c:tx>
            <c:strRef>
              <c:f>'Jumlah Daun Per Rumpun'!$J$39</c:f>
              <c:strCache>
                <c:ptCount val="1"/>
                <c:pt idx="0">
                  <c:v>P1</c:v>
                </c:pt>
              </c:strCache>
            </c:strRef>
          </c:tx>
          <c:spPr>
            <a:ln w="12700" cap="rnd">
              <a:solidFill>
                <a:schemeClr val="accent3"/>
              </a:solidFill>
              <a:round/>
            </a:ln>
            <a:effectLst/>
          </c:spPr>
          <c:marker>
            <c:symbol val="triangle"/>
            <c:size val="6"/>
            <c:spPr>
              <a:solidFill>
                <a:schemeClr val="accent3"/>
              </a:solidFill>
              <a:ln w="9525">
                <a:solidFill>
                  <a:schemeClr val="accent3"/>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Rumpun'!$K$39:$O$39</c:f>
              <c:numCache>
                <c:formatCode>0.00</c:formatCode>
                <c:ptCount val="5"/>
                <c:pt idx="0">
                  <c:v>2.65</c:v>
                </c:pt>
                <c:pt idx="1">
                  <c:v>2.9</c:v>
                </c:pt>
                <c:pt idx="2">
                  <c:v>3.15</c:v>
                </c:pt>
                <c:pt idx="3">
                  <c:v>3.55</c:v>
                </c:pt>
                <c:pt idx="4">
                  <c:v>3.95</c:v>
                </c:pt>
              </c:numCache>
            </c:numRef>
          </c:val>
          <c:smooth val="0"/>
          <c:extLst>
            <c:ext xmlns:c16="http://schemas.microsoft.com/office/drawing/2014/chart" uri="{C3380CC4-5D6E-409C-BE32-E72D297353CC}">
              <c16:uniqueId val="{00000001-28AD-413C-B948-E5FB4505FA30}"/>
            </c:ext>
          </c:extLst>
        </c:ser>
        <c:ser>
          <c:idx val="3"/>
          <c:order val="3"/>
          <c:tx>
            <c:strRef>
              <c:f>'Jumlah Daun Per Rumpun'!$J$40</c:f>
              <c:strCache>
                <c:ptCount val="1"/>
                <c:pt idx="0">
                  <c:v>P2</c:v>
                </c:pt>
              </c:strCache>
            </c:strRef>
          </c:tx>
          <c:spPr>
            <a:ln w="12700" cap="rnd">
              <a:solidFill>
                <a:schemeClr val="accent4"/>
              </a:solidFill>
              <a:round/>
            </a:ln>
            <a:effectLst/>
          </c:spPr>
          <c:marker>
            <c:symbol val="x"/>
            <c:size val="6"/>
            <c:spPr>
              <a:noFill/>
              <a:ln w="9525">
                <a:solidFill>
                  <a:schemeClr val="accent4"/>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Rumpun'!$K$40:$O$40</c:f>
              <c:numCache>
                <c:formatCode>0.00</c:formatCode>
                <c:ptCount val="5"/>
                <c:pt idx="0">
                  <c:v>2.65</c:v>
                </c:pt>
                <c:pt idx="1">
                  <c:v>2.8</c:v>
                </c:pt>
                <c:pt idx="2">
                  <c:v>3.0999999999999996</c:v>
                </c:pt>
                <c:pt idx="3">
                  <c:v>3.4</c:v>
                </c:pt>
                <c:pt idx="4">
                  <c:v>3.8000000000000003</c:v>
                </c:pt>
              </c:numCache>
            </c:numRef>
          </c:val>
          <c:smooth val="0"/>
          <c:extLst>
            <c:ext xmlns:c16="http://schemas.microsoft.com/office/drawing/2014/chart" uri="{C3380CC4-5D6E-409C-BE32-E72D297353CC}">
              <c16:uniqueId val="{00000002-28AD-413C-B948-E5FB4505FA30}"/>
            </c:ext>
          </c:extLst>
        </c:ser>
        <c:ser>
          <c:idx val="4"/>
          <c:order val="4"/>
          <c:tx>
            <c:strRef>
              <c:f>'Jumlah Daun Per Rumpun'!$J$41</c:f>
              <c:strCache>
                <c:ptCount val="1"/>
                <c:pt idx="0">
                  <c:v>P3</c:v>
                </c:pt>
              </c:strCache>
            </c:strRef>
          </c:tx>
          <c:spPr>
            <a:ln w="12700" cap="rnd">
              <a:solidFill>
                <a:schemeClr val="accent5"/>
              </a:solidFill>
              <a:round/>
            </a:ln>
            <a:effectLst/>
          </c:spPr>
          <c:marker>
            <c:symbol val="star"/>
            <c:size val="6"/>
            <c:spPr>
              <a:noFill/>
              <a:ln w="9525">
                <a:solidFill>
                  <a:schemeClr val="accent5"/>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Rumpun'!$K$41:$O$41</c:f>
              <c:numCache>
                <c:formatCode>0.00</c:formatCode>
                <c:ptCount val="5"/>
                <c:pt idx="0">
                  <c:v>2.4000000000000004</c:v>
                </c:pt>
                <c:pt idx="1">
                  <c:v>2.75</c:v>
                </c:pt>
                <c:pt idx="2">
                  <c:v>3</c:v>
                </c:pt>
                <c:pt idx="3">
                  <c:v>3.1</c:v>
                </c:pt>
                <c:pt idx="4">
                  <c:v>3.4499999999999997</c:v>
                </c:pt>
              </c:numCache>
            </c:numRef>
          </c:val>
          <c:smooth val="0"/>
          <c:extLst>
            <c:ext xmlns:c16="http://schemas.microsoft.com/office/drawing/2014/chart" uri="{C3380CC4-5D6E-409C-BE32-E72D297353CC}">
              <c16:uniqueId val="{00000003-28AD-413C-B948-E5FB4505FA30}"/>
            </c:ext>
          </c:extLst>
        </c:ser>
        <c:ser>
          <c:idx val="5"/>
          <c:order val="5"/>
          <c:tx>
            <c:strRef>
              <c:f>'Jumlah Daun Per Rumpun'!$J$42</c:f>
              <c:strCache>
                <c:ptCount val="1"/>
                <c:pt idx="0">
                  <c:v>P4</c:v>
                </c:pt>
              </c:strCache>
            </c:strRef>
          </c:tx>
          <c:spPr>
            <a:ln w="12700" cap="rnd">
              <a:solidFill>
                <a:schemeClr val="accent6"/>
              </a:solidFill>
              <a:round/>
            </a:ln>
            <a:effectLst/>
          </c:spPr>
          <c:marker>
            <c:symbol val="circle"/>
            <c:size val="6"/>
            <c:spPr>
              <a:solidFill>
                <a:schemeClr val="accent6"/>
              </a:solidFill>
              <a:ln w="9525">
                <a:solidFill>
                  <a:schemeClr val="accent6"/>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Rumpun'!$K$42:$O$42</c:f>
              <c:numCache>
                <c:formatCode>0.00</c:formatCode>
                <c:ptCount val="5"/>
                <c:pt idx="0">
                  <c:v>2.4500000000000002</c:v>
                </c:pt>
                <c:pt idx="1">
                  <c:v>2.65</c:v>
                </c:pt>
                <c:pt idx="2">
                  <c:v>2.9</c:v>
                </c:pt>
                <c:pt idx="3">
                  <c:v>3.35</c:v>
                </c:pt>
                <c:pt idx="4">
                  <c:v>3.65</c:v>
                </c:pt>
              </c:numCache>
            </c:numRef>
          </c:val>
          <c:smooth val="0"/>
          <c:extLst>
            <c:ext xmlns:c16="http://schemas.microsoft.com/office/drawing/2014/chart" uri="{C3380CC4-5D6E-409C-BE32-E72D297353CC}">
              <c16:uniqueId val="{00000004-28AD-413C-B948-E5FB4505FA30}"/>
            </c:ext>
          </c:extLst>
        </c:ser>
        <c:ser>
          <c:idx val="6"/>
          <c:order val="6"/>
          <c:tx>
            <c:strRef>
              <c:f>'Jumlah Daun Per Rumpun'!$J$43</c:f>
              <c:strCache>
                <c:ptCount val="1"/>
                <c:pt idx="0">
                  <c:v>P5</c:v>
                </c:pt>
              </c:strCache>
            </c:strRef>
          </c:tx>
          <c:spPr>
            <a:ln w="12700"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Rumpun'!$K$43:$O$43</c:f>
              <c:numCache>
                <c:formatCode>0.00</c:formatCode>
                <c:ptCount val="5"/>
                <c:pt idx="0">
                  <c:v>2.5499999999999998</c:v>
                </c:pt>
                <c:pt idx="1">
                  <c:v>2.75</c:v>
                </c:pt>
                <c:pt idx="2">
                  <c:v>3.1</c:v>
                </c:pt>
                <c:pt idx="3">
                  <c:v>3.55</c:v>
                </c:pt>
                <c:pt idx="4">
                  <c:v>4</c:v>
                </c:pt>
              </c:numCache>
            </c:numRef>
          </c:val>
          <c:smooth val="0"/>
          <c:extLst>
            <c:ext xmlns:c16="http://schemas.microsoft.com/office/drawing/2014/chart" uri="{C3380CC4-5D6E-409C-BE32-E72D297353CC}">
              <c16:uniqueId val="{00000005-28AD-413C-B948-E5FB4505FA30}"/>
            </c:ext>
          </c:extLst>
        </c:ser>
        <c:ser>
          <c:idx val="7"/>
          <c:order val="7"/>
          <c:tx>
            <c:strRef>
              <c:f>'Jumlah Daun Per Rumpun'!$J$44</c:f>
              <c:strCache>
                <c:ptCount val="1"/>
                <c:pt idx="0">
                  <c:v>P6</c:v>
                </c:pt>
              </c:strCache>
            </c:strRef>
          </c:tx>
          <c:spPr>
            <a:ln w="12700"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'Jumlah Daun Per Rumpun'!$K$36:$O$36</c:f>
              <c:strCache>
                <c:ptCount val="5"/>
                <c:pt idx="0">
                  <c:v>1 WAP</c:v>
                </c:pt>
                <c:pt idx="1">
                  <c:v>2 WAP</c:v>
                </c:pt>
                <c:pt idx="2">
                  <c:v>3 WAP</c:v>
                </c:pt>
                <c:pt idx="3">
                  <c:v>4 WAP</c:v>
                </c:pt>
                <c:pt idx="4">
                  <c:v>5 WAP</c:v>
                </c:pt>
              </c:strCache>
            </c:strRef>
          </c:cat>
          <c:val>
            <c:numRef>
              <c:f>'Jumlah Daun Per Rumpun'!$K$44:$O$44</c:f>
              <c:numCache>
                <c:formatCode>0.00</c:formatCode>
                <c:ptCount val="5"/>
                <c:pt idx="0">
                  <c:v>2.2999999999999998</c:v>
                </c:pt>
                <c:pt idx="1">
                  <c:v>2.5499999999999998</c:v>
                </c:pt>
                <c:pt idx="2">
                  <c:v>2.85</c:v>
                </c:pt>
                <c:pt idx="3">
                  <c:v>3.25</c:v>
                </c:pt>
                <c:pt idx="4">
                  <c:v>3.5999999999999996</c:v>
                </c:pt>
              </c:numCache>
            </c:numRef>
          </c:val>
          <c:smooth val="0"/>
          <c:extLst>
            <c:ext xmlns:c16="http://schemas.microsoft.com/office/drawing/2014/chart" uri="{C3380CC4-5D6E-409C-BE32-E72D297353CC}">
              <c16:uniqueId val="{00000006-28AD-413C-B948-E5FB4505FA30}"/>
            </c:ext>
          </c:extLst>
        </c:ser>
        <c:dLbls>
          <c:showLegendKey val="0"/>
          <c:showVal val="0"/>
          <c:showCatName val="0"/>
          <c:showSerName val="0"/>
          <c:showPercent val="0"/>
          <c:showBubbleSize val="0"/>
        </c:dLbls>
        <c:hiLowLines>
          <c:spPr>
            <a:ln w="9525">
              <a:solidFill>
                <a:schemeClr val="tx1">
                  <a:lumMod val="50000"/>
                  <a:lumOff val="50000"/>
                </a:schemeClr>
              </a:solidFill>
            </a:ln>
            <a:effectLst/>
          </c:spPr>
        </c:hiLowLines>
        <c:marker val="1"/>
        <c:smooth val="0"/>
        <c:axId val="1932352944"/>
        <c:axId val="1932353424"/>
        <c:extLst>
          <c:ext xmlns:c15="http://schemas.microsoft.com/office/drawing/2012/chart" uri="{02D57815-91ED-43cb-92C2-25804820EDAC}">
            <c15:filteredLineSeries>
              <c15:ser>
                <c:idx val="0"/>
                <c:order val="0"/>
                <c:tx>
                  <c:strRef>
                    <c:extLst>
                      <c:ext uri="{02D57815-91ED-43cb-92C2-25804820EDAC}">
                        <c15:formulaRef>
                          <c15:sqref>'Jumlah Daun Per Rumpun'!$J$37</c15:sqref>
                        </c15:formulaRef>
                      </c:ext>
                    </c:extLst>
                    <c:strCache>
                      <c:ptCount val="1"/>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extLst>
                      <c:ext uri="{02D57815-91ED-43cb-92C2-25804820EDAC}">
                        <c15:formulaRef>
                          <c15:sqref>'Jumlah Daun Per Rumpun'!$K$36:$O$36</c15:sqref>
                        </c15:formulaRef>
                      </c:ext>
                    </c:extLst>
                    <c:strCache>
                      <c:ptCount val="5"/>
                      <c:pt idx="0">
                        <c:v>1 WAP</c:v>
                      </c:pt>
                      <c:pt idx="1">
                        <c:v>2 WAP</c:v>
                      </c:pt>
                      <c:pt idx="2">
                        <c:v>3 WAP</c:v>
                      </c:pt>
                      <c:pt idx="3">
                        <c:v>4 WAP</c:v>
                      </c:pt>
                      <c:pt idx="4">
                        <c:v>5 WAP</c:v>
                      </c:pt>
                    </c:strCache>
                  </c:strRef>
                </c:cat>
                <c:val>
                  <c:numRef>
                    <c:extLst>
                      <c:ext uri="{02D57815-91ED-43cb-92C2-25804820EDAC}">
                        <c15:formulaRef>
                          <c15:sqref>'Jumlah Daun Per Rumpun'!$K$37:$O$37</c15:sqref>
                        </c15:formulaRef>
                      </c:ext>
                    </c:extLst>
                    <c:numCache>
                      <c:formatCode>General</c:formatCode>
                      <c:ptCount val="5"/>
                    </c:numCache>
                  </c:numRef>
                </c:val>
                <c:smooth val="0"/>
                <c:extLst>
                  <c:ext xmlns:c16="http://schemas.microsoft.com/office/drawing/2014/chart" uri="{C3380CC4-5D6E-409C-BE32-E72D297353CC}">
                    <c16:uniqueId val="{00000007-28AD-413C-B948-E5FB4505FA30}"/>
                  </c:ext>
                </c:extLst>
              </c15:ser>
            </c15:filteredLineSeries>
          </c:ext>
        </c:extLst>
      </c:lineChart>
      <c:catAx>
        <c:axId val="1932352944"/>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0" u="none" strike="noStrike" kern="1200" cap="none" baseline="0">
                    <a:solidFill>
                      <a:sysClr val="windowText" lastClr="000000"/>
                    </a:solidFill>
                    <a:latin typeface="Times New Roman" panose="02020603050405020304" pitchFamily="18" charset="0"/>
                    <a:cs typeface="Times New Roman" panose="02020603050405020304" pitchFamily="18" charset="0"/>
                  </a:rPr>
                  <a:t>Plant Age </a:t>
                </a:r>
                <a:r>
                  <a:rPr lang="en-US" sz="900" b="0" i="0" u="none" strike="noStrike" kern="1200" cap="all" baseline="0">
                    <a:solidFill>
                      <a:sysClr val="windowText" lastClr="000000"/>
                    </a:solidFill>
                    <a:latin typeface="Times New Roman" panose="02020603050405020304" pitchFamily="18" charset="0"/>
                    <a:cs typeface="Times New Roman" panose="02020603050405020304" pitchFamily="18" charset="0"/>
                  </a:rPr>
                  <a:t>(WAP)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353424"/>
        <c:crosses val="autoZero"/>
        <c:auto val="1"/>
        <c:lblAlgn val="ctr"/>
        <c:lblOffset val="100"/>
        <c:noMultiLvlLbl val="0"/>
      </c:catAx>
      <c:valAx>
        <c:axId val="193235342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Number of Leaves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3529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 Jumlah Akanan'!$J$38</c:f>
              <c:strCache>
                <c:ptCount val="1"/>
                <c:pt idx="0">
                  <c:v>P0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Akanan'!$K$38:$O$38</c:f>
              <c:numCache>
                <c:formatCode>0.00</c:formatCode>
                <c:ptCount val="5"/>
                <c:pt idx="0">
                  <c:v>1</c:v>
                </c:pt>
                <c:pt idx="1">
                  <c:v>1.05</c:v>
                </c:pt>
                <c:pt idx="2">
                  <c:v>1.4</c:v>
                </c:pt>
                <c:pt idx="3">
                  <c:v>2.0999999999999996</c:v>
                </c:pt>
                <c:pt idx="4">
                  <c:v>2.5</c:v>
                </c:pt>
              </c:numCache>
            </c:numRef>
          </c:val>
          <c:smooth val="0"/>
          <c:extLst>
            <c:ext xmlns:c16="http://schemas.microsoft.com/office/drawing/2014/chart" uri="{C3380CC4-5D6E-409C-BE32-E72D297353CC}">
              <c16:uniqueId val="{00000000-A8E8-4D5D-8560-7885D5489816}"/>
            </c:ext>
          </c:extLst>
        </c:ser>
        <c:ser>
          <c:idx val="2"/>
          <c:order val="2"/>
          <c:tx>
            <c:strRef>
              <c:f>' Jumlah Akanan'!$J$39</c:f>
              <c:strCache>
                <c:ptCount val="1"/>
                <c:pt idx="0">
                  <c:v>P1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Akanan'!$K$39:$O$39</c:f>
              <c:numCache>
                <c:formatCode>0.00</c:formatCode>
                <c:ptCount val="5"/>
                <c:pt idx="0">
                  <c:v>1</c:v>
                </c:pt>
                <c:pt idx="1">
                  <c:v>1</c:v>
                </c:pt>
                <c:pt idx="2">
                  <c:v>1.25</c:v>
                </c:pt>
                <c:pt idx="3">
                  <c:v>2.0499999999999998</c:v>
                </c:pt>
                <c:pt idx="4">
                  <c:v>2.5</c:v>
                </c:pt>
              </c:numCache>
            </c:numRef>
          </c:val>
          <c:smooth val="0"/>
          <c:extLst>
            <c:ext xmlns:c16="http://schemas.microsoft.com/office/drawing/2014/chart" uri="{C3380CC4-5D6E-409C-BE32-E72D297353CC}">
              <c16:uniqueId val="{00000001-A8E8-4D5D-8560-7885D5489816}"/>
            </c:ext>
          </c:extLst>
        </c:ser>
        <c:ser>
          <c:idx val="3"/>
          <c:order val="3"/>
          <c:tx>
            <c:strRef>
              <c:f>' Jumlah Akanan'!$J$40</c:f>
              <c:strCache>
                <c:ptCount val="1"/>
                <c:pt idx="0">
                  <c:v>P2</c:v>
                </c:pt>
              </c:strCache>
            </c:strRef>
          </c:tx>
          <c:spPr>
            <a:ln w="22225" cap="rnd">
              <a:solidFill>
                <a:schemeClr val="accent4"/>
              </a:solidFill>
              <a:round/>
            </a:ln>
            <a:effectLst/>
          </c:spPr>
          <c:marker>
            <c:symbol val="x"/>
            <c:size val="6"/>
            <c:spPr>
              <a:noFill/>
              <a:ln w="9525">
                <a:solidFill>
                  <a:schemeClr val="accent4"/>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Akanan'!$K$40:$O$40</c:f>
              <c:numCache>
                <c:formatCode>0.00</c:formatCode>
                <c:ptCount val="5"/>
                <c:pt idx="0">
                  <c:v>1</c:v>
                </c:pt>
                <c:pt idx="1">
                  <c:v>1</c:v>
                </c:pt>
                <c:pt idx="2">
                  <c:v>1.1000000000000001</c:v>
                </c:pt>
                <c:pt idx="3">
                  <c:v>1.4000000000000001</c:v>
                </c:pt>
                <c:pt idx="4">
                  <c:v>2</c:v>
                </c:pt>
              </c:numCache>
            </c:numRef>
          </c:val>
          <c:smooth val="0"/>
          <c:extLst>
            <c:ext xmlns:c16="http://schemas.microsoft.com/office/drawing/2014/chart" uri="{C3380CC4-5D6E-409C-BE32-E72D297353CC}">
              <c16:uniqueId val="{00000002-A8E8-4D5D-8560-7885D5489816}"/>
            </c:ext>
          </c:extLst>
        </c:ser>
        <c:ser>
          <c:idx val="4"/>
          <c:order val="4"/>
          <c:tx>
            <c:strRef>
              <c:f>' Jumlah Akanan'!$J$41</c:f>
              <c:strCache>
                <c:ptCount val="1"/>
                <c:pt idx="0">
                  <c:v>P3</c:v>
                </c:pt>
              </c:strCache>
            </c:strRef>
          </c:tx>
          <c:spPr>
            <a:ln w="22225" cap="rnd">
              <a:solidFill>
                <a:schemeClr val="accent5"/>
              </a:solidFill>
              <a:round/>
            </a:ln>
            <a:effectLst/>
          </c:spPr>
          <c:marker>
            <c:symbol val="star"/>
            <c:size val="6"/>
            <c:spPr>
              <a:noFill/>
              <a:ln w="9525">
                <a:solidFill>
                  <a:schemeClr val="accent5"/>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Akanan'!$K$41:$O$41</c:f>
              <c:numCache>
                <c:formatCode>0.00</c:formatCode>
                <c:ptCount val="5"/>
                <c:pt idx="0">
                  <c:v>1</c:v>
                </c:pt>
                <c:pt idx="1">
                  <c:v>1</c:v>
                </c:pt>
                <c:pt idx="2">
                  <c:v>1.05</c:v>
                </c:pt>
                <c:pt idx="3">
                  <c:v>1.5499999999999998</c:v>
                </c:pt>
                <c:pt idx="4">
                  <c:v>1.7500000000000002</c:v>
                </c:pt>
              </c:numCache>
            </c:numRef>
          </c:val>
          <c:smooth val="0"/>
          <c:extLst>
            <c:ext xmlns:c16="http://schemas.microsoft.com/office/drawing/2014/chart" uri="{C3380CC4-5D6E-409C-BE32-E72D297353CC}">
              <c16:uniqueId val="{00000003-A8E8-4D5D-8560-7885D5489816}"/>
            </c:ext>
          </c:extLst>
        </c:ser>
        <c:ser>
          <c:idx val="5"/>
          <c:order val="5"/>
          <c:tx>
            <c:strRef>
              <c:f>' Jumlah Akanan'!$J$42</c:f>
              <c:strCache>
                <c:ptCount val="1"/>
                <c:pt idx="0">
                  <c:v>P4</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Akanan'!$K$42:$O$42</c:f>
              <c:numCache>
                <c:formatCode>0.00</c:formatCode>
                <c:ptCount val="5"/>
                <c:pt idx="0">
                  <c:v>1</c:v>
                </c:pt>
                <c:pt idx="1">
                  <c:v>1</c:v>
                </c:pt>
                <c:pt idx="2">
                  <c:v>1.2000000000000002</c:v>
                </c:pt>
                <c:pt idx="3">
                  <c:v>2.0500000000000003</c:v>
                </c:pt>
                <c:pt idx="4">
                  <c:v>2.4</c:v>
                </c:pt>
              </c:numCache>
            </c:numRef>
          </c:val>
          <c:smooth val="0"/>
          <c:extLst>
            <c:ext xmlns:c16="http://schemas.microsoft.com/office/drawing/2014/chart" uri="{C3380CC4-5D6E-409C-BE32-E72D297353CC}">
              <c16:uniqueId val="{00000004-A8E8-4D5D-8560-7885D5489816}"/>
            </c:ext>
          </c:extLst>
        </c:ser>
        <c:ser>
          <c:idx val="6"/>
          <c:order val="6"/>
          <c:tx>
            <c:strRef>
              <c:f>' Jumlah Akanan'!$J$43</c:f>
              <c:strCache>
                <c:ptCount val="1"/>
                <c:pt idx="0">
                  <c:v>P5</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Akanan'!$K$43:$O$43</c:f>
              <c:numCache>
                <c:formatCode>0.00</c:formatCode>
                <c:ptCount val="5"/>
                <c:pt idx="0">
                  <c:v>1</c:v>
                </c:pt>
                <c:pt idx="1">
                  <c:v>1</c:v>
                </c:pt>
                <c:pt idx="2">
                  <c:v>1.2999999999999998</c:v>
                </c:pt>
                <c:pt idx="3">
                  <c:v>1.7999999999999998</c:v>
                </c:pt>
                <c:pt idx="4">
                  <c:v>2.6500000000000004</c:v>
                </c:pt>
              </c:numCache>
            </c:numRef>
          </c:val>
          <c:smooth val="0"/>
          <c:extLst>
            <c:ext xmlns:c16="http://schemas.microsoft.com/office/drawing/2014/chart" uri="{C3380CC4-5D6E-409C-BE32-E72D297353CC}">
              <c16:uniqueId val="{00000005-A8E8-4D5D-8560-7885D5489816}"/>
            </c:ext>
          </c:extLst>
        </c:ser>
        <c:ser>
          <c:idx val="7"/>
          <c:order val="7"/>
          <c:tx>
            <c:strRef>
              <c:f>' Jumlah Akanan'!$J$44</c:f>
              <c:strCache>
                <c:ptCount val="1"/>
                <c:pt idx="0">
                  <c:v>P6</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 Jumlah Akanan'!$K$36:$O$36</c:f>
              <c:strCache>
                <c:ptCount val="5"/>
                <c:pt idx="0">
                  <c:v>7 WAP</c:v>
                </c:pt>
                <c:pt idx="1">
                  <c:v>8 WAP</c:v>
                </c:pt>
                <c:pt idx="2">
                  <c:v>9 WAP</c:v>
                </c:pt>
                <c:pt idx="3">
                  <c:v>10 WAP</c:v>
                </c:pt>
                <c:pt idx="4">
                  <c:v>11 WAP</c:v>
                </c:pt>
              </c:strCache>
            </c:strRef>
          </c:cat>
          <c:val>
            <c:numRef>
              <c:f>' Jumlah Akanan'!$K$44:$O$44</c:f>
              <c:numCache>
                <c:formatCode>0.00</c:formatCode>
                <c:ptCount val="5"/>
                <c:pt idx="0">
                  <c:v>1</c:v>
                </c:pt>
                <c:pt idx="1">
                  <c:v>1</c:v>
                </c:pt>
                <c:pt idx="2">
                  <c:v>1.05</c:v>
                </c:pt>
                <c:pt idx="3">
                  <c:v>1.4499999999999997</c:v>
                </c:pt>
                <c:pt idx="4">
                  <c:v>2.1500000000000004</c:v>
                </c:pt>
              </c:numCache>
            </c:numRef>
          </c:val>
          <c:smooth val="0"/>
          <c:extLst>
            <c:ext xmlns:c16="http://schemas.microsoft.com/office/drawing/2014/chart" uri="{C3380CC4-5D6E-409C-BE32-E72D297353CC}">
              <c16:uniqueId val="{00000006-A8E8-4D5D-8560-7885D5489816}"/>
            </c:ext>
          </c:extLst>
        </c:ser>
        <c:dLbls>
          <c:showLegendKey val="0"/>
          <c:showVal val="0"/>
          <c:showCatName val="0"/>
          <c:showSerName val="0"/>
          <c:showPercent val="0"/>
          <c:showBubbleSize val="0"/>
        </c:dLbls>
        <c:hiLowLines>
          <c:spPr>
            <a:ln w="9525">
              <a:solidFill>
                <a:schemeClr val="tx1">
                  <a:lumMod val="50000"/>
                  <a:lumOff val="50000"/>
                </a:schemeClr>
              </a:solidFill>
            </a:ln>
            <a:effectLst/>
          </c:spPr>
        </c:hiLowLines>
        <c:marker val="1"/>
        <c:smooth val="0"/>
        <c:axId val="1927918240"/>
        <c:axId val="1927919680"/>
        <c:extLst>
          <c:ext xmlns:c15="http://schemas.microsoft.com/office/drawing/2012/chart" uri="{02D57815-91ED-43cb-92C2-25804820EDAC}">
            <c15:filteredLineSeries>
              <c15:ser>
                <c:idx val="0"/>
                <c:order val="0"/>
                <c:tx>
                  <c:strRef>
                    <c:extLst>
                      <c:ext uri="{02D57815-91ED-43cb-92C2-25804820EDAC}">
                        <c15:formulaRef>
                          <c15:sqref>' Jumlah Akanan'!$J$37</c15:sqref>
                        </c15:formulaRef>
                      </c:ext>
                    </c:extLst>
                    <c:strCache>
                      <c:ptCount val="1"/>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extLst>
                      <c:ext uri="{02D57815-91ED-43cb-92C2-25804820EDAC}">
                        <c15:formulaRef>
                          <c15:sqref>' Jumlah Akanan'!$K$36:$O$36</c15:sqref>
                        </c15:formulaRef>
                      </c:ext>
                    </c:extLst>
                    <c:strCache>
                      <c:ptCount val="5"/>
                      <c:pt idx="0">
                        <c:v>7 WAP</c:v>
                      </c:pt>
                      <c:pt idx="1">
                        <c:v>8 WAP</c:v>
                      </c:pt>
                      <c:pt idx="2">
                        <c:v>9 WAP</c:v>
                      </c:pt>
                      <c:pt idx="3">
                        <c:v>10 WAP</c:v>
                      </c:pt>
                      <c:pt idx="4">
                        <c:v>11 WAP</c:v>
                      </c:pt>
                    </c:strCache>
                  </c:strRef>
                </c:cat>
                <c:val>
                  <c:numRef>
                    <c:extLst>
                      <c:ext uri="{02D57815-91ED-43cb-92C2-25804820EDAC}">
                        <c15:formulaRef>
                          <c15:sqref>' Jumlah Akanan'!$K$37:$O$37</c15:sqref>
                        </c15:formulaRef>
                      </c:ext>
                    </c:extLst>
                    <c:numCache>
                      <c:formatCode>General</c:formatCode>
                      <c:ptCount val="5"/>
                    </c:numCache>
                  </c:numRef>
                </c:val>
                <c:smooth val="0"/>
                <c:extLst>
                  <c:ext xmlns:c16="http://schemas.microsoft.com/office/drawing/2014/chart" uri="{C3380CC4-5D6E-409C-BE32-E72D297353CC}">
                    <c16:uniqueId val="{00000007-A8E8-4D5D-8560-7885D5489816}"/>
                  </c:ext>
                </c:extLst>
              </c15:ser>
            </c15:filteredLineSeries>
          </c:ext>
        </c:extLst>
      </c:lineChart>
      <c:catAx>
        <c:axId val="1927918240"/>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Plant Age </a:t>
                </a:r>
                <a:r>
                  <a:rPr lang="en-US"/>
                  <a:t>(wap)</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7919680"/>
        <c:crosses val="autoZero"/>
        <c:auto val="1"/>
        <c:lblAlgn val="ctr"/>
        <c:lblOffset val="100"/>
        <c:noMultiLvlLbl val="0"/>
      </c:catAx>
      <c:valAx>
        <c:axId val="192791968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Number Of Tillers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79182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AB1D-240F-4A9B-A1B6-ADA8B998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18756</Words>
  <Characters>106912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125418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2026-02-06T09:53:00Z</dcterms:created>
  <dcterms:modified xsi:type="dcterms:W3CDTF">2026-02-06T12:09:00Z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76392e57-0e1e-3753-b02e-e5ce5b510fdf</vt:lpwstr>
  </property>
  <property fmtid="{D5CDD505-2E9C-101B-9397-08002B2CF9AE}" pid="4" name="Mendeley Citation Style_1">
    <vt:lpwstr>http://www.zotero.org/styles/apa</vt:lpwstr>
  </property>
  <property fmtid="{D5CDD505-2E9C-101B-9397-08002B2CF9AE}" pid="5" name="Mendeley Recent Style Id 0_1">
    <vt:lpwstr>http://www.zotero.org/styles/agronomy-journal</vt:lpwstr>
  </property>
  <property fmtid="{D5CDD505-2E9C-101B-9397-08002B2CF9AE}" pid="6" name="Mendeley Recent Style Name 0_1">
    <vt:lpwstr>Agronomy Journal</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