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23E0" w14:textId="1C00F0E1" w:rsidR="00A258C3" w:rsidRDefault="002F3FD3" w:rsidP="002F3FD3">
      <w:pPr>
        <w:pStyle w:val="Author"/>
        <w:spacing w:line="240" w:lineRule="auto"/>
        <w:rPr>
          <w:spacing w:val="-10"/>
          <w:sz w:val="36"/>
          <w:szCs w:val="36"/>
        </w:rPr>
      </w:pPr>
      <w:r w:rsidRPr="002F3FD3">
        <w:rPr>
          <w:spacing w:val="-10"/>
          <w:sz w:val="36"/>
          <w:szCs w:val="36"/>
        </w:rPr>
        <w:t xml:space="preserve">Growth Response and </w:t>
      </w:r>
      <w:proofErr w:type="spellStart"/>
      <w:r w:rsidRPr="002F3FD3">
        <w:rPr>
          <w:spacing w:val="-10"/>
          <w:sz w:val="36"/>
          <w:szCs w:val="36"/>
        </w:rPr>
        <w:t>Microbulb</w:t>
      </w:r>
      <w:proofErr w:type="spellEnd"/>
      <w:r w:rsidRPr="002F3FD3">
        <w:rPr>
          <w:spacing w:val="-10"/>
          <w:sz w:val="36"/>
          <w:szCs w:val="36"/>
        </w:rPr>
        <w:t xml:space="preserve"> Formation of True Shallot Seed (</w:t>
      </w:r>
      <w:r w:rsidRPr="002F3FD3">
        <w:rPr>
          <w:i/>
          <w:iCs/>
          <w:spacing w:val="-10"/>
          <w:sz w:val="36"/>
          <w:szCs w:val="36"/>
        </w:rPr>
        <w:t xml:space="preserve">Allium </w:t>
      </w:r>
      <w:proofErr w:type="spellStart"/>
      <w:r w:rsidRPr="002F3FD3">
        <w:rPr>
          <w:i/>
          <w:iCs/>
          <w:spacing w:val="-10"/>
          <w:sz w:val="36"/>
          <w:szCs w:val="36"/>
        </w:rPr>
        <w:t>cepa</w:t>
      </w:r>
      <w:proofErr w:type="spellEnd"/>
      <w:r w:rsidRPr="002F3FD3">
        <w:rPr>
          <w:spacing w:val="-10"/>
          <w:sz w:val="36"/>
          <w:szCs w:val="36"/>
        </w:rPr>
        <w:t xml:space="preserve"> L.) with Sucrose Supplementation in Compound Fertilizer Medium under In Vitro Conditions</w:t>
      </w:r>
    </w:p>
    <w:p w14:paraId="4871F1DE" w14:textId="77777777" w:rsidR="002F3FD3" w:rsidRPr="00790ADA" w:rsidRDefault="002F3FD3" w:rsidP="002F3FD3">
      <w:pPr>
        <w:pStyle w:val="Author"/>
        <w:spacing w:line="240" w:lineRule="auto"/>
        <w:rPr>
          <w:rFonts w:ascii="Arial" w:hAnsi="Arial" w:cs="Arial"/>
          <w:sz w:val="36"/>
        </w:rPr>
      </w:pPr>
    </w:p>
    <w:bookmarkStart w:id="0" w:name="_GoBack"/>
    <w:bookmarkEnd w:id="0"/>
    <w:p w14:paraId="76B878B5" w14:textId="171A6B0B" w:rsidR="00B01FCD" w:rsidRPr="00FB3A86" w:rsidRDefault="002F5696" w:rsidP="00441B6F">
      <w:pPr>
        <w:pStyle w:val="Copyright"/>
        <w:spacing w:after="0" w:line="240" w:lineRule="auto"/>
        <w:jc w:val="both"/>
        <w:rPr>
          <w:rFonts w:ascii="Arial" w:hAnsi="Arial" w:cs="Arial"/>
        </w:rPr>
        <w:sectPr w:rsidR="00B01FCD" w:rsidRPr="00FB3A86" w:rsidSect="00F62B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34008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DFBBB68" w14:textId="4F1A6D13" w:rsidR="00B01FCD" w:rsidRDefault="00B01FCD" w:rsidP="00441B6F">
      <w:pPr>
        <w:pStyle w:val="AbstHead"/>
        <w:spacing w:after="0"/>
        <w:jc w:val="both"/>
        <w:rPr>
          <w:rFonts w:ascii="Arial" w:hAnsi="Arial" w:cs="Arial"/>
        </w:rPr>
      </w:pPr>
      <w:r w:rsidRPr="00FB3A86">
        <w:rPr>
          <w:rFonts w:ascii="Arial" w:hAnsi="Arial" w:cs="Arial"/>
        </w:rPr>
        <w:t>ABSTRACT</w:t>
      </w:r>
    </w:p>
    <w:p w14:paraId="5D513D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B58CA" w14:paraId="76613AF7" w14:textId="77777777" w:rsidTr="00E7315C">
        <w:trPr>
          <w:trHeight w:val="5057"/>
        </w:trPr>
        <w:tc>
          <w:tcPr>
            <w:tcW w:w="9576" w:type="dxa"/>
            <w:shd w:val="clear" w:color="auto" w:fill="F2F2F2"/>
          </w:tcPr>
          <w:p w14:paraId="3323903D" w14:textId="7DE49431" w:rsidR="00505F06" w:rsidRPr="007B58CA" w:rsidRDefault="007B58CA" w:rsidP="00E7315C">
            <w:pPr>
              <w:pStyle w:val="Body"/>
              <w:spacing w:after="0"/>
              <w:rPr>
                <w:rFonts w:ascii="Arial" w:eastAsia="Calibri" w:hAnsi="Arial" w:cs="Arial"/>
                <w:szCs w:val="22"/>
                <w:lang w:val="en-ID"/>
              </w:rPr>
            </w:pPr>
            <w:r w:rsidRPr="007B58CA">
              <w:rPr>
                <w:rFonts w:ascii="Arial" w:eastAsia="Calibri" w:hAnsi="Arial" w:cs="Arial"/>
                <w:szCs w:val="22"/>
                <w:lang w:val="en-ID"/>
              </w:rPr>
              <w:t xml:space="preserve">The limited availability of high-quality shallot planting material has encouraged the development of alternative propagation techniques that are disease-free through in vitro culture. The use of alternative culture media is required to improve efficiency and reduce production costs. This study aimed to evaluate the effects of various concentrations of compound NPK fertilizer and sucrose on the growth and </w:t>
            </w:r>
            <w:proofErr w:type="spellStart"/>
            <w:r w:rsidRPr="007B58CA">
              <w:rPr>
                <w:rFonts w:ascii="Arial" w:eastAsia="Calibri" w:hAnsi="Arial" w:cs="Arial"/>
                <w:szCs w:val="22"/>
                <w:lang w:val="en-ID"/>
              </w:rPr>
              <w:t>microbulb</w:t>
            </w:r>
            <w:proofErr w:type="spellEnd"/>
            <w:r w:rsidRPr="007B58CA">
              <w:rPr>
                <w:rFonts w:ascii="Arial" w:eastAsia="Calibri" w:hAnsi="Arial" w:cs="Arial"/>
                <w:szCs w:val="22"/>
                <w:lang w:val="en-ID"/>
              </w:rPr>
              <w:t xml:space="preserve"> formation of shallots derived from True Shallot Seed (TSS).</w:t>
            </w:r>
            <w:r>
              <w:rPr>
                <w:rFonts w:ascii="Arial" w:eastAsia="Calibri" w:hAnsi="Arial" w:cs="Arial"/>
                <w:szCs w:val="22"/>
                <w:lang w:val="en-ID"/>
              </w:rPr>
              <w:t xml:space="preserve"> </w:t>
            </w:r>
            <w:r w:rsidRPr="007B58CA">
              <w:rPr>
                <w:rFonts w:ascii="Arial" w:eastAsia="Calibri" w:hAnsi="Arial" w:cs="Arial"/>
                <w:szCs w:val="22"/>
              </w:rPr>
              <w:t xml:space="preserve">The research was conducted at the Plant Tissue Culture Laboratory, Department of Agronomy, Faculty of Agriculture, University of Bengkulu, from August to November 2025. The experiment employed a factorial Completely Randomized Design (CRD) with two factors: the concentration of compound NPK fertilizer (2 g/L, 4 g/L, and </w:t>
            </w:r>
            <w:proofErr w:type="spellStart"/>
            <w:r w:rsidRPr="007B58CA">
              <w:rPr>
                <w:rFonts w:ascii="Arial" w:eastAsia="Calibri" w:hAnsi="Arial" w:cs="Arial"/>
                <w:szCs w:val="22"/>
              </w:rPr>
              <w:t>Murashige</w:t>
            </w:r>
            <w:proofErr w:type="spellEnd"/>
            <w:r w:rsidRPr="007B58CA">
              <w:rPr>
                <w:rFonts w:ascii="Arial" w:eastAsia="Calibri" w:hAnsi="Arial" w:cs="Arial"/>
                <w:szCs w:val="22"/>
              </w:rPr>
              <w:t xml:space="preserve"> and Skoog (MS) medium as the control) and sucrose concentration (30, 60, 90, and 120 g/L). Each treatment was replicated three times, with each replication consisting of three culture bottles, and each bottle planted with three TSS seeds.</w:t>
            </w:r>
            <w:r>
              <w:rPr>
                <w:rFonts w:ascii="Arial" w:eastAsia="Calibri" w:hAnsi="Arial" w:cs="Arial"/>
                <w:szCs w:val="22"/>
              </w:rPr>
              <w:t xml:space="preserve"> </w:t>
            </w:r>
            <w:r w:rsidRPr="007B58CA">
              <w:rPr>
                <w:rFonts w:ascii="Arial" w:eastAsia="Calibri" w:hAnsi="Arial" w:cs="Arial"/>
                <w:szCs w:val="22"/>
              </w:rPr>
              <w:t xml:space="preserve">The main materials used were TSS seeds of the </w:t>
            </w:r>
            <w:proofErr w:type="spellStart"/>
            <w:r w:rsidRPr="007B58CA">
              <w:rPr>
                <w:rFonts w:ascii="Arial" w:eastAsia="Calibri" w:hAnsi="Arial" w:cs="Arial"/>
                <w:szCs w:val="22"/>
              </w:rPr>
              <w:t>Lokananta</w:t>
            </w:r>
            <w:proofErr w:type="spellEnd"/>
            <w:r w:rsidRPr="007B58CA">
              <w:rPr>
                <w:rFonts w:ascii="Arial" w:eastAsia="Calibri" w:hAnsi="Arial" w:cs="Arial"/>
                <w:szCs w:val="22"/>
              </w:rPr>
              <w:t xml:space="preserve"> variety and compound NPK fertilizer (32-10-10). Data were analyzed using analysis of variance (ANOVA) at the 5% significance level, followed by Duncan’s Multiple Range Test (DMRT). Data with a coefficient of variation (CV) greater than 30% were transformed using the </w:t>
            </w:r>
            <w:proofErr w:type="gramStart"/>
            <w:r w:rsidRPr="007B58CA">
              <w:rPr>
                <w:rFonts w:ascii="Arial" w:eastAsia="Calibri" w:hAnsi="Arial" w:cs="Arial"/>
                <w:szCs w:val="22"/>
              </w:rPr>
              <w:t>√(</w:t>
            </w:r>
            <w:proofErr w:type="gramEnd"/>
            <w:r w:rsidRPr="007B58CA">
              <w:rPr>
                <w:rFonts w:ascii="Arial" w:eastAsia="Calibri" w:hAnsi="Arial" w:cs="Arial"/>
                <w:szCs w:val="22"/>
              </w:rPr>
              <w:t>x + 0.5) formula to reduce variability.</w:t>
            </w:r>
            <w:r>
              <w:rPr>
                <w:rFonts w:ascii="Arial" w:eastAsia="Calibri" w:hAnsi="Arial" w:cs="Arial"/>
                <w:szCs w:val="22"/>
              </w:rPr>
              <w:t xml:space="preserve"> </w:t>
            </w:r>
            <w:r w:rsidRPr="007B58CA">
              <w:rPr>
                <w:rFonts w:ascii="Arial" w:eastAsia="Calibri" w:hAnsi="Arial" w:cs="Arial"/>
                <w:szCs w:val="22"/>
                <w:lang w:val="en-ID"/>
              </w:rPr>
              <w:t>The results showed a significant interaction between NPK fertilizer concentration and sucrose concentration. The combination of MS medium with 60 g/L sucrose produced the highest number of leaves and roots. MS medium resulted in the highest mean values for germination time, germination percentage, plant height, number of shoots, root length, and bulb diameter. However, the NPK compound fertilizer medium at a concentration of 2 g/L was only able to match the MS medium in terms of germination percentage and germination time</w:t>
            </w:r>
            <w:r>
              <w:rPr>
                <w:rFonts w:ascii="Arial" w:eastAsia="Calibri" w:hAnsi="Arial" w:cs="Arial"/>
                <w:szCs w:val="22"/>
                <w:lang w:val="en-ID"/>
              </w:rPr>
              <w:t>.</w:t>
            </w:r>
          </w:p>
        </w:tc>
      </w:tr>
    </w:tbl>
    <w:p w14:paraId="6CE0D1C6" w14:textId="1058108C" w:rsidR="00505F06" w:rsidRPr="002F3FD3" w:rsidRDefault="00A24E7E" w:rsidP="00E7315C">
      <w:pPr>
        <w:pStyle w:val="Body"/>
        <w:spacing w:before="240"/>
        <w:rPr>
          <w:rFonts w:ascii="Arial" w:hAnsi="Arial" w:cs="Arial"/>
          <w:i/>
          <w:lang w:val="en-ID"/>
        </w:rPr>
      </w:pPr>
      <w:r w:rsidRPr="002F3FD3">
        <w:rPr>
          <w:rFonts w:ascii="Arial" w:hAnsi="Arial" w:cs="Arial"/>
          <w:i/>
          <w:lang w:val="en-ID"/>
        </w:rPr>
        <w:t>Keywords:</w:t>
      </w:r>
      <w:r w:rsidR="004A5C4C" w:rsidRPr="002F3FD3">
        <w:rPr>
          <w:rFonts w:ascii="Arial" w:hAnsi="Arial" w:cs="Arial"/>
          <w:i/>
          <w:lang w:val="en-ID"/>
        </w:rPr>
        <w:t xml:space="preserve"> </w:t>
      </w:r>
      <w:r w:rsidR="00BE0A02">
        <w:rPr>
          <w:rFonts w:ascii="Arial" w:hAnsi="Arial" w:cs="Arial"/>
          <w:i/>
        </w:rPr>
        <w:t>t</w:t>
      </w:r>
      <w:r w:rsidR="002F3FD3" w:rsidRPr="002F3FD3">
        <w:rPr>
          <w:rFonts w:ascii="Arial" w:hAnsi="Arial" w:cs="Arial"/>
          <w:i/>
        </w:rPr>
        <w:t>issue culture, alternative medium, carbon source, in vitro shallot</w:t>
      </w:r>
    </w:p>
    <w:p w14:paraId="32A3F947" w14:textId="647DA0DC" w:rsidR="00790ADA" w:rsidRPr="002F3FD3" w:rsidRDefault="00902823" w:rsidP="00B342C7">
      <w:pPr>
        <w:pStyle w:val="AbstHead"/>
        <w:spacing w:after="0"/>
        <w:jc w:val="both"/>
        <w:rPr>
          <w:rFonts w:ascii="Arial" w:hAnsi="Arial" w:cs="Arial"/>
          <w:lang w:val="en-ID"/>
        </w:rPr>
      </w:pPr>
      <w:r w:rsidRPr="002F3FD3">
        <w:rPr>
          <w:rFonts w:ascii="Arial" w:hAnsi="Arial" w:cs="Arial"/>
          <w:lang w:val="en-ID"/>
        </w:rPr>
        <w:t xml:space="preserve">1. </w:t>
      </w:r>
      <w:r w:rsidR="00166183">
        <w:rPr>
          <w:rFonts w:ascii="Arial" w:hAnsi="Arial" w:cs="Arial"/>
          <w:lang w:val="en-ID"/>
        </w:rPr>
        <w:t>INTRODUCTION</w:t>
      </w:r>
    </w:p>
    <w:p w14:paraId="75E49544" w14:textId="70D7E678"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Shallot is one of the leading horticultural commodities in Indonesia and is widely used as a cooking ingredient as well as in traditional medicine with various health benefits (</w:t>
      </w:r>
      <w:proofErr w:type="spellStart"/>
      <w:r w:rsidRPr="00E7315C">
        <w:rPr>
          <w:rFonts w:ascii="Arial" w:eastAsia="Calibri" w:hAnsi="Arial" w:cs="Arial"/>
          <w:szCs w:val="22"/>
        </w:rPr>
        <w:t>Aryanta</w:t>
      </w:r>
      <w:proofErr w:type="spellEnd"/>
      <w:r w:rsidRPr="00E7315C">
        <w:rPr>
          <w:rFonts w:ascii="Arial" w:eastAsia="Calibri" w:hAnsi="Arial" w:cs="Arial"/>
          <w:szCs w:val="22"/>
        </w:rPr>
        <w:t>, 2019). Shallots contain carbohydrates, sugars, proteins, fats, and various vitamins and minerals that are beneficial to human health (</w:t>
      </w:r>
      <w:proofErr w:type="spellStart"/>
      <w:r w:rsidRPr="00E7315C">
        <w:rPr>
          <w:rFonts w:ascii="Arial" w:eastAsia="Calibri" w:hAnsi="Arial" w:cs="Arial"/>
          <w:szCs w:val="22"/>
        </w:rPr>
        <w:t>Waluyo</w:t>
      </w:r>
      <w:proofErr w:type="spellEnd"/>
      <w:r w:rsidRPr="00E7315C">
        <w:rPr>
          <w:rFonts w:ascii="Arial" w:eastAsia="Calibri" w:hAnsi="Arial" w:cs="Arial"/>
          <w:szCs w:val="22"/>
        </w:rPr>
        <w:t xml:space="preserve"> and </w:t>
      </w:r>
      <w:proofErr w:type="spellStart"/>
      <w:r w:rsidRPr="00E7315C">
        <w:rPr>
          <w:rFonts w:ascii="Arial" w:eastAsia="Calibri" w:hAnsi="Arial" w:cs="Arial"/>
          <w:szCs w:val="22"/>
        </w:rPr>
        <w:t>Sinaga</w:t>
      </w:r>
      <w:proofErr w:type="spellEnd"/>
      <w:r w:rsidRPr="00E7315C">
        <w:rPr>
          <w:rFonts w:ascii="Arial" w:eastAsia="Calibri" w:hAnsi="Arial" w:cs="Arial"/>
          <w:szCs w:val="22"/>
        </w:rPr>
        <w:t>, 2015). Shallot cultivation areas are widely distributed across many regions in Indonesia, making this commodity play an important role in the national economy (Nabila et al., 2023). Shallots have a relatively high economic value to meet domestic demand as well as international market needs. Population growth, the development of the culinary industry, and the expansion of export markets have driven an increase in shallot demand (</w:t>
      </w:r>
      <w:proofErr w:type="spellStart"/>
      <w:r w:rsidRPr="00E7315C">
        <w:rPr>
          <w:rFonts w:ascii="Arial" w:eastAsia="Calibri" w:hAnsi="Arial" w:cs="Arial"/>
          <w:szCs w:val="22"/>
        </w:rPr>
        <w:t>Yassar</w:t>
      </w:r>
      <w:proofErr w:type="spellEnd"/>
      <w:r w:rsidRPr="00E7315C">
        <w:rPr>
          <w:rFonts w:ascii="Arial" w:eastAsia="Calibri" w:hAnsi="Arial" w:cs="Arial"/>
          <w:szCs w:val="22"/>
        </w:rPr>
        <w:t xml:space="preserve"> et al., 2023).</w:t>
      </w:r>
    </w:p>
    <w:p w14:paraId="109377B2" w14:textId="54236FFE"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 xml:space="preserve">National shallot production in 2024 reached 2,085,978 tons, increasing from 1,985,233 tons in the previous year (BPS, 2024). Shallot consumption in Indonesia also showed an upward trend during the 2018–2022 period. Average consumption increased from 2.758 kg per capita per year in 2018 to 3.024 kg per capita per year in 2022. This increase in </w:t>
      </w:r>
      <w:r w:rsidRPr="00E7315C">
        <w:rPr>
          <w:rFonts w:ascii="Arial" w:eastAsia="Calibri" w:hAnsi="Arial" w:cs="Arial"/>
          <w:szCs w:val="22"/>
        </w:rPr>
        <w:lastRenderedPageBreak/>
        <w:t>consumption necessitates a corresponding increase in shallot production to meet national demand (</w:t>
      </w:r>
      <w:proofErr w:type="spellStart"/>
      <w:r w:rsidRPr="00E7315C">
        <w:rPr>
          <w:rFonts w:ascii="Arial" w:eastAsia="Calibri" w:hAnsi="Arial" w:cs="Arial"/>
          <w:szCs w:val="22"/>
        </w:rPr>
        <w:t>Rinawati</w:t>
      </w:r>
      <w:proofErr w:type="spellEnd"/>
      <w:r w:rsidRPr="00E7315C">
        <w:rPr>
          <w:rFonts w:ascii="Arial" w:eastAsia="Calibri" w:hAnsi="Arial" w:cs="Arial"/>
          <w:szCs w:val="22"/>
        </w:rPr>
        <w:t>, 2023).</w:t>
      </w:r>
    </w:p>
    <w:p w14:paraId="46E9994D" w14:textId="77777777" w:rsidR="00E7315C" w:rsidRDefault="00E7315C" w:rsidP="00B342C7">
      <w:pPr>
        <w:pStyle w:val="Body"/>
        <w:spacing w:after="0"/>
        <w:rPr>
          <w:rFonts w:ascii="Arial" w:eastAsia="Calibri" w:hAnsi="Arial" w:cs="Arial"/>
          <w:szCs w:val="22"/>
          <w:lang w:val="en-ID"/>
        </w:rPr>
      </w:pPr>
    </w:p>
    <w:p w14:paraId="4FC0791A" w14:textId="4239A6C3"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The availability of high-quality shallot planting material remains limited in cultivation practices. Farmers generally use bulbs from previous harvests as planting material. Repeated use of bulbs without proper selection increases the risk of transmitting viral, bacterial, and fungal pathogens, which ultimately reduces shallot productivity (</w:t>
      </w:r>
      <w:proofErr w:type="spellStart"/>
      <w:r w:rsidRPr="00E7315C">
        <w:rPr>
          <w:rFonts w:ascii="Arial" w:eastAsia="Calibri" w:hAnsi="Arial" w:cs="Arial"/>
          <w:szCs w:val="22"/>
        </w:rPr>
        <w:t>Pangestuti</w:t>
      </w:r>
      <w:proofErr w:type="spellEnd"/>
      <w:r w:rsidRPr="00E7315C">
        <w:rPr>
          <w:rFonts w:ascii="Arial" w:eastAsia="Calibri" w:hAnsi="Arial" w:cs="Arial"/>
          <w:szCs w:val="22"/>
        </w:rPr>
        <w:t xml:space="preserve"> and Sulistyaningsih, 2011). Therefore, efforts to produce high-quality planting material are required to improve shallot productivity and production.</w:t>
      </w:r>
    </w:p>
    <w:p w14:paraId="7FAA9BB1" w14:textId="77777777" w:rsidR="00E7315C" w:rsidRDefault="00E7315C" w:rsidP="00B342C7">
      <w:pPr>
        <w:pStyle w:val="Body"/>
        <w:spacing w:after="0"/>
        <w:rPr>
          <w:rFonts w:ascii="Arial" w:eastAsia="Calibri" w:hAnsi="Arial" w:cs="Arial"/>
          <w:szCs w:val="22"/>
        </w:rPr>
      </w:pPr>
    </w:p>
    <w:p w14:paraId="24C25EB7" w14:textId="2E4B3275"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The use of True Shallot Seed (TSS) has the potential to be a solution for providing shallot planting material. TSS is relatively cheaper and required in smaller quantities. The use of TSS can reduce seed costs by up to 66.7% and increase yield to 30–40 tons</w:t>
      </w:r>
      <w:r w:rsidR="00C74503">
        <w:rPr>
          <w:rFonts w:ascii="Arial" w:eastAsia="Calibri" w:hAnsi="Arial" w:cs="Arial"/>
          <w:szCs w:val="22"/>
        </w:rPr>
        <w:t>/</w:t>
      </w:r>
      <w:r w:rsidRPr="00E7315C">
        <w:rPr>
          <w:rFonts w:ascii="Arial" w:eastAsia="Calibri" w:hAnsi="Arial" w:cs="Arial"/>
          <w:szCs w:val="22"/>
        </w:rPr>
        <w:t>ha (Atman, 2021). However, planting material derived from TSS has relatively low germination capacity and seedling tolerance to environmental conditions (</w:t>
      </w:r>
      <w:proofErr w:type="spellStart"/>
      <w:r w:rsidRPr="00E7315C">
        <w:rPr>
          <w:rFonts w:ascii="Arial" w:eastAsia="Calibri" w:hAnsi="Arial" w:cs="Arial"/>
          <w:szCs w:val="22"/>
        </w:rPr>
        <w:t>Prakoso</w:t>
      </w:r>
      <w:proofErr w:type="spellEnd"/>
      <w:r w:rsidRPr="00E7315C">
        <w:rPr>
          <w:rFonts w:ascii="Arial" w:eastAsia="Calibri" w:hAnsi="Arial" w:cs="Arial"/>
          <w:szCs w:val="22"/>
        </w:rPr>
        <w:t xml:space="preserve"> and </w:t>
      </w:r>
      <w:proofErr w:type="spellStart"/>
      <w:r w:rsidRPr="00E7315C">
        <w:rPr>
          <w:rFonts w:ascii="Arial" w:eastAsia="Calibri" w:hAnsi="Arial" w:cs="Arial"/>
          <w:szCs w:val="22"/>
        </w:rPr>
        <w:t>Alpandari</w:t>
      </w:r>
      <w:proofErr w:type="spellEnd"/>
      <w:r w:rsidRPr="00E7315C">
        <w:rPr>
          <w:rFonts w:ascii="Arial" w:eastAsia="Calibri" w:hAnsi="Arial" w:cs="Arial"/>
          <w:szCs w:val="22"/>
        </w:rPr>
        <w:t>, 2021). The germination percentage of TSS planted directly in the field has been reported to be less than 50% (</w:t>
      </w:r>
      <w:proofErr w:type="spellStart"/>
      <w:r w:rsidRPr="00E7315C">
        <w:rPr>
          <w:rFonts w:ascii="Arial" w:eastAsia="Calibri" w:hAnsi="Arial" w:cs="Arial"/>
          <w:szCs w:val="22"/>
        </w:rPr>
        <w:t>Sopha</w:t>
      </w:r>
      <w:proofErr w:type="spellEnd"/>
      <w:r w:rsidRPr="00E7315C">
        <w:rPr>
          <w:rFonts w:ascii="Arial" w:eastAsia="Calibri" w:hAnsi="Arial" w:cs="Arial"/>
          <w:szCs w:val="22"/>
        </w:rPr>
        <w:t xml:space="preserve"> and Basuki, 2017). The germination rate of TSS seedlings from nurseries is also relatively low, ranging from 51–56% (</w:t>
      </w:r>
      <w:proofErr w:type="spellStart"/>
      <w:r w:rsidRPr="00E7315C">
        <w:rPr>
          <w:rFonts w:ascii="Arial" w:eastAsia="Calibri" w:hAnsi="Arial" w:cs="Arial"/>
          <w:szCs w:val="22"/>
        </w:rPr>
        <w:t>Sopha</w:t>
      </w:r>
      <w:proofErr w:type="spellEnd"/>
      <w:r w:rsidRPr="00E7315C">
        <w:rPr>
          <w:rFonts w:ascii="Arial" w:eastAsia="Calibri" w:hAnsi="Arial" w:cs="Arial"/>
          <w:szCs w:val="22"/>
        </w:rPr>
        <w:t xml:space="preserve"> et al., 2017). TSS seedlings are susceptible to high temperatures and heavy rainfall, resulting in low establishment success in the field. Therefore, technologies that can improve germination and seedling resilience of TSS are required.</w:t>
      </w:r>
    </w:p>
    <w:p w14:paraId="39C71808" w14:textId="77777777" w:rsidR="00E7315C" w:rsidRDefault="00E7315C" w:rsidP="00B342C7">
      <w:pPr>
        <w:pStyle w:val="Body"/>
        <w:spacing w:after="0"/>
        <w:rPr>
          <w:rFonts w:ascii="Arial" w:eastAsia="Calibri" w:hAnsi="Arial" w:cs="Arial"/>
          <w:szCs w:val="22"/>
        </w:rPr>
      </w:pPr>
    </w:p>
    <w:p w14:paraId="06D0F769" w14:textId="1A36E506" w:rsidR="00E7315C" w:rsidRDefault="00E7315C" w:rsidP="00B342C7">
      <w:pPr>
        <w:pStyle w:val="Body"/>
        <w:spacing w:after="0"/>
        <w:rPr>
          <w:rFonts w:ascii="Arial" w:eastAsia="Calibri" w:hAnsi="Arial" w:cs="Arial"/>
          <w:szCs w:val="22"/>
        </w:rPr>
      </w:pPr>
      <w:r w:rsidRPr="00E7315C">
        <w:rPr>
          <w:rFonts w:ascii="Arial" w:eastAsia="Calibri" w:hAnsi="Arial" w:cs="Arial"/>
          <w:szCs w:val="22"/>
        </w:rPr>
        <w:t>An alternative approach to address these issues is the application of plant tissue culture techniques. Tissue culture is a method of plant propagation that enables the production of large numbers of plants in a relatively short time and under disease-free conditions (</w:t>
      </w:r>
      <w:proofErr w:type="spellStart"/>
      <w:r w:rsidRPr="00E7315C">
        <w:rPr>
          <w:rFonts w:ascii="Arial" w:eastAsia="Calibri" w:hAnsi="Arial" w:cs="Arial"/>
          <w:szCs w:val="22"/>
        </w:rPr>
        <w:t>Basri</w:t>
      </w:r>
      <w:proofErr w:type="spellEnd"/>
      <w:r w:rsidRPr="00E7315C">
        <w:rPr>
          <w:rFonts w:ascii="Arial" w:eastAsia="Calibri" w:hAnsi="Arial" w:cs="Arial"/>
          <w:szCs w:val="22"/>
        </w:rPr>
        <w:t xml:space="preserve">, 2016). In tissue culture, the composition of the culture medium is a determining factor for success. Compound fertilizers can be used as alternative culture media because they are inexpensive and readily available, thereby reducing production costs. Fertilizers commonly used to promote optimal growth contain both </w:t>
      </w:r>
      <w:proofErr w:type="spellStart"/>
      <w:r w:rsidRPr="00E7315C">
        <w:rPr>
          <w:rFonts w:ascii="Arial" w:eastAsia="Calibri" w:hAnsi="Arial" w:cs="Arial"/>
          <w:szCs w:val="22"/>
        </w:rPr>
        <w:t>macroelements</w:t>
      </w:r>
      <w:proofErr w:type="spellEnd"/>
      <w:r w:rsidRPr="00E7315C">
        <w:rPr>
          <w:rFonts w:ascii="Arial" w:eastAsia="Calibri" w:hAnsi="Arial" w:cs="Arial"/>
          <w:szCs w:val="22"/>
        </w:rPr>
        <w:t xml:space="preserve"> (N, P, K, Mg, Ca, and S) and microelements (B, Cu, Fe, Mn, Zn, and Mo) (</w:t>
      </w:r>
      <w:proofErr w:type="spellStart"/>
      <w:r w:rsidRPr="00E7315C">
        <w:rPr>
          <w:rFonts w:ascii="Arial" w:eastAsia="Calibri" w:hAnsi="Arial" w:cs="Arial"/>
          <w:szCs w:val="22"/>
        </w:rPr>
        <w:t>Laia</w:t>
      </w:r>
      <w:proofErr w:type="spellEnd"/>
      <w:r w:rsidRPr="00E7315C">
        <w:rPr>
          <w:rFonts w:ascii="Arial" w:eastAsia="Calibri" w:hAnsi="Arial" w:cs="Arial"/>
          <w:szCs w:val="22"/>
        </w:rPr>
        <w:t xml:space="preserve">, 2019). The study by </w:t>
      </w:r>
      <w:proofErr w:type="spellStart"/>
      <w:r w:rsidRPr="00E7315C">
        <w:rPr>
          <w:rFonts w:ascii="Arial" w:eastAsia="Calibri" w:hAnsi="Arial" w:cs="Arial"/>
          <w:szCs w:val="22"/>
        </w:rPr>
        <w:t>Rosmaina</w:t>
      </w:r>
      <w:proofErr w:type="spellEnd"/>
      <w:r w:rsidRPr="00E7315C">
        <w:rPr>
          <w:rFonts w:ascii="Arial" w:eastAsia="Calibri" w:hAnsi="Arial" w:cs="Arial"/>
          <w:szCs w:val="22"/>
        </w:rPr>
        <w:t xml:space="preserve"> et al. (2021) reported that the use of compound foliar fertilizer at a concentration of 2 ml</w:t>
      </w:r>
      <w:r w:rsidR="00C74503">
        <w:rPr>
          <w:rFonts w:ascii="Arial" w:eastAsia="Calibri" w:hAnsi="Arial" w:cs="Arial"/>
          <w:szCs w:val="22"/>
        </w:rPr>
        <w:t>/L</w:t>
      </w:r>
      <w:r w:rsidRPr="00E7315C">
        <w:rPr>
          <w:rFonts w:ascii="Arial" w:eastAsia="Calibri" w:hAnsi="Arial" w:cs="Arial"/>
          <w:szCs w:val="22"/>
        </w:rPr>
        <w:t xml:space="preserve"> could serve as an alternative medium to MS medium for in vitro propagation of </w:t>
      </w:r>
      <w:proofErr w:type="spellStart"/>
      <w:r w:rsidRPr="00E7315C">
        <w:rPr>
          <w:rFonts w:ascii="Arial" w:eastAsia="Calibri" w:hAnsi="Arial" w:cs="Arial"/>
          <w:szCs w:val="22"/>
        </w:rPr>
        <w:t>Barangan</w:t>
      </w:r>
      <w:proofErr w:type="spellEnd"/>
      <w:r w:rsidRPr="00E7315C">
        <w:rPr>
          <w:rFonts w:ascii="Arial" w:eastAsia="Calibri" w:hAnsi="Arial" w:cs="Arial"/>
          <w:szCs w:val="22"/>
        </w:rPr>
        <w:t xml:space="preserve"> banana, producing an average of 9.3 shoots per explant and 1.90 leaves per explant. Similarly, </w:t>
      </w:r>
      <w:proofErr w:type="spellStart"/>
      <w:r w:rsidRPr="00E7315C">
        <w:rPr>
          <w:rFonts w:ascii="Arial" w:eastAsia="Calibri" w:hAnsi="Arial" w:cs="Arial"/>
          <w:szCs w:val="22"/>
        </w:rPr>
        <w:t>Trinawaty</w:t>
      </w:r>
      <w:proofErr w:type="spellEnd"/>
      <w:r w:rsidRPr="00E7315C">
        <w:rPr>
          <w:rFonts w:ascii="Arial" w:eastAsia="Calibri" w:hAnsi="Arial" w:cs="Arial"/>
          <w:szCs w:val="22"/>
        </w:rPr>
        <w:t xml:space="preserve"> and </w:t>
      </w:r>
      <w:proofErr w:type="spellStart"/>
      <w:r w:rsidRPr="00E7315C">
        <w:rPr>
          <w:rFonts w:ascii="Arial" w:eastAsia="Calibri" w:hAnsi="Arial" w:cs="Arial"/>
          <w:szCs w:val="22"/>
        </w:rPr>
        <w:t>Fitriani</w:t>
      </w:r>
      <w:proofErr w:type="spellEnd"/>
      <w:r w:rsidRPr="00E7315C">
        <w:rPr>
          <w:rFonts w:ascii="Arial" w:eastAsia="Calibri" w:hAnsi="Arial" w:cs="Arial"/>
          <w:szCs w:val="22"/>
        </w:rPr>
        <w:t xml:space="preserve"> (2016) reported that the use of compound NPK fertilizer at a concentration of 2 g</w:t>
      </w:r>
      <w:r w:rsidR="00C74503">
        <w:rPr>
          <w:rFonts w:ascii="Arial" w:eastAsia="Calibri" w:hAnsi="Arial" w:cs="Arial"/>
          <w:szCs w:val="22"/>
        </w:rPr>
        <w:t>/</w:t>
      </w:r>
      <w:r w:rsidRPr="00E7315C">
        <w:rPr>
          <w:rFonts w:ascii="Arial" w:eastAsia="Calibri" w:hAnsi="Arial" w:cs="Arial"/>
          <w:szCs w:val="22"/>
        </w:rPr>
        <w:t>L resulted in the best axillary shoot growth of sweet potato, indicating its potential as an alternative medium for in vitro culture.</w:t>
      </w:r>
    </w:p>
    <w:p w14:paraId="10305244" w14:textId="77777777" w:rsidR="00E7315C" w:rsidRPr="00E7315C" w:rsidRDefault="00E7315C" w:rsidP="00B342C7">
      <w:pPr>
        <w:pStyle w:val="Body"/>
        <w:spacing w:after="0"/>
        <w:rPr>
          <w:rFonts w:ascii="Arial" w:eastAsia="Calibri" w:hAnsi="Arial" w:cs="Arial"/>
          <w:szCs w:val="22"/>
          <w:lang w:val="en-ID"/>
        </w:rPr>
      </w:pPr>
    </w:p>
    <w:p w14:paraId="0932592F" w14:textId="39950AC3" w:rsidR="00C62131" w:rsidRDefault="00ED303E" w:rsidP="00B342C7">
      <w:pPr>
        <w:pStyle w:val="Body"/>
        <w:spacing w:after="0"/>
        <w:rPr>
          <w:rFonts w:ascii="Arial" w:eastAsia="Calibri" w:hAnsi="Arial" w:cs="Arial"/>
          <w:szCs w:val="22"/>
        </w:rPr>
      </w:pPr>
      <w:proofErr w:type="spellStart"/>
      <w:r w:rsidRPr="00E7315C">
        <w:rPr>
          <w:rFonts w:ascii="Arial" w:eastAsia="Calibri" w:hAnsi="Arial" w:cs="Arial"/>
          <w:szCs w:val="22"/>
          <w:lang w:val="en-ID"/>
        </w:rPr>
        <w:t>Bawang</w:t>
      </w:r>
      <w:proofErr w:type="spellEnd"/>
      <w:r w:rsidRPr="00E7315C">
        <w:rPr>
          <w:rFonts w:ascii="Arial" w:eastAsia="Calibri" w:hAnsi="Arial" w:cs="Arial"/>
          <w:szCs w:val="22"/>
          <w:lang w:val="en-ID"/>
        </w:rPr>
        <w:t xml:space="preserve"> </w:t>
      </w:r>
      <w:proofErr w:type="spellStart"/>
      <w:r w:rsidRPr="00E7315C">
        <w:rPr>
          <w:rFonts w:ascii="Arial" w:eastAsia="Calibri" w:hAnsi="Arial" w:cs="Arial"/>
          <w:szCs w:val="22"/>
          <w:lang w:val="en-ID"/>
        </w:rPr>
        <w:t>mer</w:t>
      </w:r>
      <w:proofErr w:type="spellEnd"/>
      <w:r w:rsidR="00E7315C" w:rsidRPr="00E7315C">
        <w:t xml:space="preserve"> </w:t>
      </w:r>
      <w:proofErr w:type="gramStart"/>
      <w:r w:rsidR="00E7315C" w:rsidRPr="00E7315C">
        <w:rPr>
          <w:rFonts w:ascii="Arial" w:eastAsia="Calibri" w:hAnsi="Arial" w:cs="Arial"/>
          <w:szCs w:val="22"/>
        </w:rPr>
        <w:t>The</w:t>
      </w:r>
      <w:proofErr w:type="gramEnd"/>
      <w:r w:rsidR="00E7315C" w:rsidRPr="00E7315C">
        <w:rPr>
          <w:rFonts w:ascii="Arial" w:eastAsia="Calibri" w:hAnsi="Arial" w:cs="Arial"/>
          <w:szCs w:val="22"/>
        </w:rPr>
        <w:t xml:space="preserve"> addition of sucrose to the culture medium is required as an energy source during plant growth. Under in vitro conditions, sucrose functions as a carbon source to substitute for photosynthetic products of the explant (</w:t>
      </w:r>
      <w:proofErr w:type="spellStart"/>
      <w:r w:rsidR="00E7315C" w:rsidRPr="00E7315C">
        <w:rPr>
          <w:rFonts w:ascii="Arial" w:eastAsia="Calibri" w:hAnsi="Arial" w:cs="Arial"/>
          <w:szCs w:val="22"/>
        </w:rPr>
        <w:t>Samudera</w:t>
      </w:r>
      <w:proofErr w:type="spellEnd"/>
      <w:r w:rsidR="00E7315C" w:rsidRPr="00E7315C">
        <w:rPr>
          <w:rFonts w:ascii="Arial" w:eastAsia="Calibri" w:hAnsi="Arial" w:cs="Arial"/>
          <w:szCs w:val="22"/>
        </w:rPr>
        <w:t xml:space="preserve"> et al., 2019). Sucrose plays a role in providing energy for respiration, regulating osmotic pressure, stabilizing membranes, and supporting new cell formation (</w:t>
      </w:r>
      <w:proofErr w:type="spellStart"/>
      <w:r w:rsidR="00E7315C" w:rsidRPr="00E7315C">
        <w:rPr>
          <w:rFonts w:ascii="Arial" w:eastAsia="Calibri" w:hAnsi="Arial" w:cs="Arial"/>
          <w:szCs w:val="22"/>
        </w:rPr>
        <w:t>Heriansyah</w:t>
      </w:r>
      <w:proofErr w:type="spellEnd"/>
      <w:r w:rsidR="00E7315C" w:rsidRPr="00E7315C">
        <w:rPr>
          <w:rFonts w:ascii="Arial" w:eastAsia="Calibri" w:hAnsi="Arial" w:cs="Arial"/>
          <w:szCs w:val="22"/>
        </w:rPr>
        <w:t xml:space="preserve">, 2019). Carbohydrate concentration is an important factor in </w:t>
      </w:r>
      <w:proofErr w:type="spellStart"/>
      <w:r w:rsidR="00E7315C" w:rsidRPr="00E7315C">
        <w:rPr>
          <w:rFonts w:ascii="Arial" w:eastAsia="Calibri" w:hAnsi="Arial" w:cs="Arial"/>
          <w:szCs w:val="22"/>
        </w:rPr>
        <w:t>microbulb</w:t>
      </w:r>
      <w:proofErr w:type="spellEnd"/>
      <w:r w:rsidR="00E7315C" w:rsidRPr="00E7315C">
        <w:rPr>
          <w:rFonts w:ascii="Arial" w:eastAsia="Calibri" w:hAnsi="Arial" w:cs="Arial"/>
          <w:szCs w:val="22"/>
        </w:rPr>
        <w:t xml:space="preserve"> formation. Sucrose serves as the primary carbon source in tissue culture because it is naturally synthesized and translocated by plants (</w:t>
      </w:r>
      <w:proofErr w:type="spellStart"/>
      <w:r w:rsidR="00E7315C" w:rsidRPr="00E7315C">
        <w:rPr>
          <w:rFonts w:ascii="Arial" w:eastAsia="Calibri" w:hAnsi="Arial" w:cs="Arial"/>
          <w:szCs w:val="22"/>
        </w:rPr>
        <w:t>Trigiano</w:t>
      </w:r>
      <w:proofErr w:type="spellEnd"/>
      <w:r w:rsidR="00E7315C" w:rsidRPr="00E7315C">
        <w:rPr>
          <w:rFonts w:ascii="Arial" w:eastAsia="Calibri" w:hAnsi="Arial" w:cs="Arial"/>
          <w:szCs w:val="22"/>
        </w:rPr>
        <w:t xml:space="preserve"> and Gray, 2004). The use of high sucrose concentrations has been shown to induce </w:t>
      </w:r>
      <w:proofErr w:type="spellStart"/>
      <w:r w:rsidR="00E7315C" w:rsidRPr="00E7315C">
        <w:rPr>
          <w:rFonts w:ascii="Arial" w:eastAsia="Calibri" w:hAnsi="Arial" w:cs="Arial"/>
          <w:szCs w:val="22"/>
        </w:rPr>
        <w:t>microbulb</w:t>
      </w:r>
      <w:proofErr w:type="spellEnd"/>
      <w:r w:rsidR="00E7315C" w:rsidRPr="00E7315C">
        <w:rPr>
          <w:rFonts w:ascii="Arial" w:eastAsia="Calibri" w:hAnsi="Arial" w:cs="Arial"/>
          <w:szCs w:val="22"/>
        </w:rPr>
        <w:t xml:space="preserve"> formation. This is consistent with the study by Putri (2024), which reported that sucrose concentrations of 50–70 g</w:t>
      </w:r>
      <w:r w:rsidR="00C74503">
        <w:rPr>
          <w:rFonts w:ascii="Arial" w:eastAsia="Calibri" w:hAnsi="Arial" w:cs="Arial"/>
          <w:szCs w:val="22"/>
        </w:rPr>
        <w:t>/</w:t>
      </w:r>
      <w:r w:rsidR="00E7315C" w:rsidRPr="00E7315C">
        <w:rPr>
          <w:rFonts w:ascii="Arial" w:eastAsia="Calibri" w:hAnsi="Arial" w:cs="Arial"/>
          <w:szCs w:val="22"/>
        </w:rPr>
        <w:t>L</w:t>
      </w:r>
      <w:r w:rsidR="00C74503">
        <w:rPr>
          <w:rFonts w:ascii="Cambria Math" w:eastAsia="Calibri" w:hAnsi="Cambria Math" w:cs="Cambria Math"/>
          <w:szCs w:val="22"/>
        </w:rPr>
        <w:t xml:space="preserve"> </w:t>
      </w:r>
      <w:r w:rsidR="00E7315C" w:rsidRPr="00E7315C">
        <w:rPr>
          <w:rFonts w:ascii="Arial" w:eastAsia="Calibri" w:hAnsi="Arial" w:cs="Arial"/>
          <w:szCs w:val="22"/>
        </w:rPr>
        <w:t xml:space="preserve">enhanced growth and </w:t>
      </w:r>
      <w:proofErr w:type="spellStart"/>
      <w:r w:rsidR="00E7315C" w:rsidRPr="00E7315C">
        <w:rPr>
          <w:rFonts w:ascii="Arial" w:eastAsia="Calibri" w:hAnsi="Arial" w:cs="Arial"/>
          <w:szCs w:val="22"/>
        </w:rPr>
        <w:t>microbulb</w:t>
      </w:r>
      <w:proofErr w:type="spellEnd"/>
      <w:r w:rsidR="00E7315C" w:rsidRPr="00E7315C">
        <w:rPr>
          <w:rFonts w:ascii="Arial" w:eastAsia="Calibri" w:hAnsi="Arial" w:cs="Arial"/>
          <w:szCs w:val="22"/>
        </w:rPr>
        <w:t xml:space="preserve"> formation of TSS. </w:t>
      </w:r>
      <w:proofErr w:type="spellStart"/>
      <w:r w:rsidR="00E7315C" w:rsidRPr="00E7315C">
        <w:rPr>
          <w:rFonts w:ascii="Arial" w:eastAsia="Calibri" w:hAnsi="Arial" w:cs="Arial"/>
          <w:szCs w:val="22"/>
        </w:rPr>
        <w:t>Mardiana</w:t>
      </w:r>
      <w:proofErr w:type="spellEnd"/>
      <w:r w:rsidR="00E7315C" w:rsidRPr="00E7315C">
        <w:rPr>
          <w:rFonts w:ascii="Arial" w:eastAsia="Calibri" w:hAnsi="Arial" w:cs="Arial"/>
          <w:szCs w:val="22"/>
        </w:rPr>
        <w:t xml:space="preserve"> and </w:t>
      </w:r>
      <w:proofErr w:type="spellStart"/>
      <w:r w:rsidR="00E7315C" w:rsidRPr="00E7315C">
        <w:rPr>
          <w:rFonts w:ascii="Arial" w:eastAsia="Calibri" w:hAnsi="Arial" w:cs="Arial"/>
          <w:szCs w:val="22"/>
        </w:rPr>
        <w:t>Sumarji</w:t>
      </w:r>
      <w:proofErr w:type="spellEnd"/>
      <w:r w:rsidR="00E7315C" w:rsidRPr="00E7315C">
        <w:rPr>
          <w:rFonts w:ascii="Arial" w:eastAsia="Calibri" w:hAnsi="Arial" w:cs="Arial"/>
          <w:szCs w:val="22"/>
        </w:rPr>
        <w:t xml:space="preserve"> (2022) also reported that sucrose concentrations of 80–120 g</w:t>
      </w:r>
      <w:r w:rsidR="00C74503">
        <w:rPr>
          <w:rFonts w:ascii="Arial" w:eastAsia="Calibri" w:hAnsi="Arial" w:cs="Arial"/>
          <w:szCs w:val="22"/>
        </w:rPr>
        <w:t>/</w:t>
      </w:r>
      <w:r w:rsidR="00E7315C" w:rsidRPr="00E7315C">
        <w:rPr>
          <w:rFonts w:ascii="Arial" w:eastAsia="Calibri" w:hAnsi="Arial" w:cs="Arial"/>
          <w:szCs w:val="22"/>
        </w:rPr>
        <w:t xml:space="preserve">L improved plantlet growth. Furthermore, </w:t>
      </w:r>
      <w:proofErr w:type="spellStart"/>
      <w:r w:rsidR="00E7315C" w:rsidRPr="00E7315C">
        <w:rPr>
          <w:rFonts w:ascii="Arial" w:eastAsia="Calibri" w:hAnsi="Arial" w:cs="Arial"/>
          <w:szCs w:val="22"/>
        </w:rPr>
        <w:t>Ni’mah</w:t>
      </w:r>
      <w:proofErr w:type="spellEnd"/>
      <w:r w:rsidR="00E7315C" w:rsidRPr="00E7315C">
        <w:rPr>
          <w:rFonts w:ascii="Arial" w:eastAsia="Calibri" w:hAnsi="Arial" w:cs="Arial"/>
          <w:szCs w:val="22"/>
        </w:rPr>
        <w:t xml:space="preserve"> et al. (2012) reported that the optimum treatment for inducing potato </w:t>
      </w:r>
      <w:proofErr w:type="spellStart"/>
      <w:r w:rsidR="00E7315C" w:rsidRPr="00E7315C">
        <w:rPr>
          <w:rFonts w:ascii="Arial" w:eastAsia="Calibri" w:hAnsi="Arial" w:cs="Arial"/>
          <w:szCs w:val="22"/>
        </w:rPr>
        <w:t>microtubers</w:t>
      </w:r>
      <w:proofErr w:type="spellEnd"/>
      <w:r w:rsidR="00E7315C" w:rsidRPr="00E7315C">
        <w:rPr>
          <w:rFonts w:ascii="Arial" w:eastAsia="Calibri" w:hAnsi="Arial" w:cs="Arial"/>
          <w:szCs w:val="22"/>
        </w:rPr>
        <w:t xml:space="preserve"> was MS medium supplemented with 80 g</w:t>
      </w:r>
      <w:r w:rsidR="00C74503">
        <w:rPr>
          <w:rFonts w:ascii="Arial" w:eastAsia="Calibri" w:hAnsi="Arial" w:cs="Arial"/>
          <w:szCs w:val="22"/>
        </w:rPr>
        <w:t>/</w:t>
      </w:r>
      <w:r w:rsidR="00E7315C" w:rsidRPr="00E7315C">
        <w:rPr>
          <w:rFonts w:ascii="Arial" w:eastAsia="Calibri" w:hAnsi="Arial" w:cs="Arial"/>
          <w:szCs w:val="22"/>
        </w:rPr>
        <w:t>L sucrose combined with 7 mg</w:t>
      </w:r>
      <w:r w:rsidR="00C74503">
        <w:rPr>
          <w:rFonts w:ascii="Arial" w:eastAsia="Calibri" w:hAnsi="Arial" w:cs="Arial"/>
          <w:szCs w:val="22"/>
        </w:rPr>
        <w:t>/</w:t>
      </w:r>
      <w:r w:rsidR="00E7315C" w:rsidRPr="00E7315C">
        <w:rPr>
          <w:rFonts w:ascii="Arial" w:eastAsia="Calibri" w:hAnsi="Arial" w:cs="Arial"/>
          <w:szCs w:val="22"/>
        </w:rPr>
        <w:t>L kinetin.</w:t>
      </w:r>
    </w:p>
    <w:p w14:paraId="32F1E2AA" w14:textId="77777777" w:rsidR="00B342C7" w:rsidRPr="00C74503" w:rsidRDefault="00B342C7" w:rsidP="00441B6F">
      <w:pPr>
        <w:pStyle w:val="Body"/>
        <w:spacing w:after="0"/>
        <w:rPr>
          <w:rFonts w:ascii="Arial" w:hAnsi="Arial" w:cs="Arial"/>
          <w:lang w:val="en-ID"/>
        </w:rPr>
      </w:pPr>
    </w:p>
    <w:p w14:paraId="4FDFFCC8" w14:textId="11DA8E6B" w:rsidR="00267599" w:rsidRDefault="00902823" w:rsidP="00BD2A79">
      <w:pPr>
        <w:pStyle w:val="AbstHead"/>
        <w:spacing w:after="0"/>
        <w:jc w:val="both"/>
        <w:rPr>
          <w:rFonts w:ascii="Arial" w:hAnsi="Arial" w:cs="Arial"/>
        </w:rPr>
      </w:pPr>
      <w:r w:rsidRPr="00F7003E">
        <w:rPr>
          <w:rFonts w:ascii="Arial" w:hAnsi="Arial" w:cs="Arial"/>
          <w:lang w:val="en-ID"/>
        </w:rPr>
        <w:lastRenderedPageBreak/>
        <w:t xml:space="preserve">2. </w:t>
      </w:r>
      <w:r w:rsidR="00622688" w:rsidRPr="00622688">
        <w:rPr>
          <w:rFonts w:ascii="Arial" w:hAnsi="Arial" w:cs="Arial"/>
        </w:rPr>
        <w:t>MATERIALS AND METHODS</w:t>
      </w:r>
    </w:p>
    <w:p w14:paraId="7BD4E456" w14:textId="77777777" w:rsidR="00622688" w:rsidRPr="00F7003E" w:rsidRDefault="00622688" w:rsidP="00BD2A79">
      <w:pPr>
        <w:pStyle w:val="AbstHead"/>
        <w:spacing w:after="0"/>
        <w:jc w:val="both"/>
        <w:rPr>
          <w:rFonts w:ascii="Arial" w:hAnsi="Arial" w:cs="Arial"/>
          <w:lang w:val="en-ID"/>
        </w:rPr>
      </w:pPr>
    </w:p>
    <w:p w14:paraId="2F7E4834" w14:textId="23BA857D" w:rsidR="00F7003E" w:rsidRDefault="00F7003E" w:rsidP="00441B6F">
      <w:pPr>
        <w:pStyle w:val="Body"/>
        <w:spacing w:after="0"/>
        <w:rPr>
          <w:rFonts w:ascii="Arial" w:hAnsi="Arial" w:cs="Arial"/>
        </w:rPr>
      </w:pPr>
      <w:r w:rsidRPr="00F7003E">
        <w:rPr>
          <w:rFonts w:ascii="Arial" w:hAnsi="Arial" w:cs="Arial"/>
        </w:rPr>
        <w:t xml:space="preserve">The research was conducted at the Agronomy Tissue Culture Laboratory, Department of Crop Science, Faculty of Agriculture, University of Bengkulu, from August to November 2025. The materials used in this study included True Shallot Seeds (TSS) of the </w:t>
      </w:r>
      <w:proofErr w:type="spellStart"/>
      <w:r w:rsidRPr="00F7003E">
        <w:rPr>
          <w:rFonts w:ascii="Arial" w:hAnsi="Arial" w:cs="Arial"/>
        </w:rPr>
        <w:t>Lokananta</w:t>
      </w:r>
      <w:proofErr w:type="spellEnd"/>
      <w:r w:rsidRPr="00F7003E">
        <w:rPr>
          <w:rFonts w:ascii="Arial" w:hAnsi="Arial" w:cs="Arial"/>
        </w:rPr>
        <w:t xml:space="preserve"> variety, compound fertilizer NPK 32-10-10, </w:t>
      </w:r>
      <w:proofErr w:type="spellStart"/>
      <w:r w:rsidRPr="00F7003E">
        <w:rPr>
          <w:rFonts w:ascii="Arial" w:hAnsi="Arial" w:cs="Arial"/>
        </w:rPr>
        <w:t>Murashige</w:t>
      </w:r>
      <w:proofErr w:type="spellEnd"/>
      <w:r w:rsidRPr="00F7003E">
        <w:rPr>
          <w:rFonts w:ascii="Arial" w:hAnsi="Arial" w:cs="Arial"/>
        </w:rPr>
        <w:t xml:space="preserve"> and Skoog (MS) medium, sterilizing agents (96% and 70% alcohol), sugar, 1 N HCl, 1 N NaOH, 1 N KOH, BAP, fungicide, bactericide, agar, sterile distilled water, labels, tissue paper, millimeter block paper, rubber bands, transparent plastic, and wrapping film.</w:t>
      </w:r>
    </w:p>
    <w:p w14:paraId="058012CA" w14:textId="77777777" w:rsidR="00F7003E" w:rsidRDefault="00F7003E" w:rsidP="00441B6F">
      <w:pPr>
        <w:pStyle w:val="Body"/>
        <w:spacing w:after="0"/>
        <w:rPr>
          <w:rFonts w:ascii="Arial" w:hAnsi="Arial" w:cs="Arial"/>
        </w:rPr>
      </w:pPr>
    </w:p>
    <w:p w14:paraId="45A2BAFD" w14:textId="36103D58" w:rsidR="00F7003E" w:rsidRDefault="00F7003E" w:rsidP="00441B6F">
      <w:pPr>
        <w:pStyle w:val="Body"/>
        <w:spacing w:after="0"/>
        <w:rPr>
          <w:rFonts w:ascii="Arial" w:hAnsi="Arial" w:cs="Arial"/>
        </w:rPr>
      </w:pPr>
      <w:r w:rsidRPr="00F7003E">
        <w:rPr>
          <w:rFonts w:ascii="Arial" w:hAnsi="Arial" w:cs="Arial"/>
        </w:rPr>
        <w:t xml:space="preserve">The experimental design used was a factorial Completely Randomized Design (CRD) with two treatment factors. The first factor was the concentration of compound NPK fertilizer, consisting of three levels: 2 g/L, 4 g/L, and </w:t>
      </w:r>
      <w:proofErr w:type="spellStart"/>
      <w:r w:rsidRPr="00F7003E">
        <w:rPr>
          <w:rFonts w:ascii="Arial" w:hAnsi="Arial" w:cs="Arial"/>
        </w:rPr>
        <w:t>Murashige</w:t>
      </w:r>
      <w:proofErr w:type="spellEnd"/>
      <w:r w:rsidRPr="00F7003E">
        <w:rPr>
          <w:rFonts w:ascii="Arial" w:hAnsi="Arial" w:cs="Arial"/>
        </w:rPr>
        <w:t xml:space="preserve"> and Skoog medium as the control. The second factor was sucrose concentration, consisting of four levels: 30 g/L, 60 g/L, 90 g/L, and 120 g/L. Thus, there were 12 treatment combinations, each replicated three times, resulting in 36 experimental units. Each replication consisted of three culture bottles, and each bottle contained three TSS seeds.</w:t>
      </w:r>
    </w:p>
    <w:p w14:paraId="2F9B8365" w14:textId="77777777" w:rsidR="00F7003E" w:rsidRDefault="00F7003E" w:rsidP="00441B6F">
      <w:pPr>
        <w:pStyle w:val="Body"/>
        <w:spacing w:after="0"/>
        <w:rPr>
          <w:rFonts w:ascii="Arial" w:hAnsi="Arial" w:cs="Arial"/>
        </w:rPr>
      </w:pPr>
    </w:p>
    <w:p w14:paraId="57579B27" w14:textId="2A79B846" w:rsidR="00F7003E" w:rsidRDefault="00F7003E" w:rsidP="00441B6F">
      <w:pPr>
        <w:pStyle w:val="Body"/>
        <w:spacing w:after="0"/>
        <w:rPr>
          <w:rFonts w:ascii="Arial" w:hAnsi="Arial" w:cs="Arial"/>
        </w:rPr>
      </w:pPr>
      <w:r w:rsidRPr="00F7003E">
        <w:rPr>
          <w:rFonts w:ascii="Arial" w:hAnsi="Arial" w:cs="Arial"/>
        </w:rPr>
        <w:t xml:space="preserve">The experimental stages included sterilization of equipment and the working environment using </w:t>
      </w:r>
      <w:proofErr w:type="spellStart"/>
      <w:r w:rsidRPr="00F7003E">
        <w:rPr>
          <w:rFonts w:ascii="Arial" w:hAnsi="Arial" w:cs="Arial"/>
        </w:rPr>
        <w:t>NaOCl</w:t>
      </w:r>
      <w:proofErr w:type="spellEnd"/>
      <w:r w:rsidRPr="00F7003E">
        <w:rPr>
          <w:rFonts w:ascii="Arial" w:hAnsi="Arial" w:cs="Arial"/>
        </w:rPr>
        <w:t xml:space="preserve"> solution, alcohol, and formalin, followed by autoclaving at 121°C and 15 psi pressure for 30 minutes. The culture media were prepared using compound NPK 32-10-10 fertilizer and MS medium as the control, with the addition of sucrose according to the treatments, 0.5 ppm BAP, and 6 g/L agar. The pH of the media was adjusted to 5.8 before sterilization using an autoclave for 15 minutes. TSS seeds of the </w:t>
      </w:r>
      <w:proofErr w:type="spellStart"/>
      <w:r w:rsidRPr="00F7003E">
        <w:rPr>
          <w:rFonts w:ascii="Arial" w:hAnsi="Arial" w:cs="Arial"/>
        </w:rPr>
        <w:t>Lokananta</w:t>
      </w:r>
      <w:proofErr w:type="spellEnd"/>
      <w:r w:rsidRPr="00F7003E">
        <w:rPr>
          <w:rFonts w:ascii="Arial" w:hAnsi="Arial" w:cs="Arial"/>
        </w:rPr>
        <w:t xml:space="preserve"> variety were sterilized using bactericide, fungicide, 5% </w:t>
      </w:r>
      <w:proofErr w:type="spellStart"/>
      <w:r w:rsidRPr="00F7003E">
        <w:rPr>
          <w:rFonts w:ascii="Arial" w:hAnsi="Arial" w:cs="Arial"/>
        </w:rPr>
        <w:t>chlorox</w:t>
      </w:r>
      <w:proofErr w:type="spellEnd"/>
      <w:r w:rsidRPr="00F7003E">
        <w:rPr>
          <w:rFonts w:ascii="Arial" w:hAnsi="Arial" w:cs="Arial"/>
        </w:rPr>
        <w:t xml:space="preserve"> solution, and 70% alcohol, then aseptically planted in a Laminar Air Flow Cabinet (LAFC).</w:t>
      </w:r>
      <w:r>
        <w:rPr>
          <w:rFonts w:ascii="Arial" w:hAnsi="Arial" w:cs="Arial"/>
        </w:rPr>
        <w:t xml:space="preserve"> </w:t>
      </w:r>
      <w:r w:rsidRPr="00F7003E">
        <w:rPr>
          <w:rFonts w:ascii="Arial" w:hAnsi="Arial" w:cs="Arial"/>
        </w:rPr>
        <w:t>The cultures were maintained in a growth room at a temperature of 18–20°C with a photoperiod of 16 hours per day using an automatic timer. Observations were carried out regularly, and contaminated cultures were separated and removed.</w:t>
      </w:r>
    </w:p>
    <w:p w14:paraId="5430E59A" w14:textId="77777777" w:rsidR="00F7003E" w:rsidRDefault="00F7003E" w:rsidP="00441B6F">
      <w:pPr>
        <w:pStyle w:val="Body"/>
        <w:spacing w:after="0"/>
        <w:rPr>
          <w:rFonts w:ascii="Arial" w:hAnsi="Arial" w:cs="Arial"/>
          <w:lang w:val="en-ID"/>
        </w:rPr>
      </w:pPr>
    </w:p>
    <w:p w14:paraId="24E0F0E5" w14:textId="68D5803B" w:rsidR="00E34D68" w:rsidRDefault="00E34D68" w:rsidP="00441B6F">
      <w:pPr>
        <w:pStyle w:val="Body"/>
        <w:spacing w:after="0"/>
        <w:rPr>
          <w:rFonts w:ascii="Arial" w:hAnsi="Arial" w:cs="Arial"/>
        </w:rPr>
      </w:pPr>
      <w:r w:rsidRPr="00E34D68">
        <w:rPr>
          <w:rFonts w:ascii="Arial" w:hAnsi="Arial" w:cs="Arial"/>
        </w:rPr>
        <w:t>Data collection and observations were conducted for 16 weeks after planting, starting one day after planting. Daily observations were performed to record germination percentage, germination time, and the time of micro-shoot emergence. Weekly observations were conducted once a week to record the number of micro-shoots, number of micro-leaves, time of micro-leaf emergence, and time of micro-bulb formation through visual observation from outside the culture bottles. Final observations were carried out at week 16 inside the LAFC by removing the plantlets from the culture bottles and placing them in Petri dishes lined with millimeter block paper to measure plant height, number and length of micro-roots, percentage of micro-bulb formation, and micro-bulb diameter.</w:t>
      </w:r>
      <w:r>
        <w:rPr>
          <w:rFonts w:ascii="Arial" w:hAnsi="Arial" w:cs="Arial"/>
        </w:rPr>
        <w:t xml:space="preserve"> </w:t>
      </w:r>
      <w:r w:rsidRPr="00E34D68">
        <w:rPr>
          <w:rFonts w:ascii="Arial" w:hAnsi="Arial" w:cs="Arial"/>
        </w:rPr>
        <w:t xml:space="preserve">The collected data were statistically analyzed using Analysis of Variance (ANOVA) with an F-test at the 5% significance level. If significant differences were detected, the analysis was continued using Duncan’s Multiple Range Test (DMRT). If the coefficient of variation (CV) value was greater than 30%, data transformation was performed using the formula </w:t>
      </w:r>
      <w:proofErr w:type="gramStart"/>
      <w:r w:rsidRPr="00E34D68">
        <w:rPr>
          <w:rFonts w:ascii="Arial" w:hAnsi="Arial" w:cs="Arial"/>
        </w:rPr>
        <w:t>√(</w:t>
      </w:r>
      <w:proofErr w:type="gramEnd"/>
      <w:r w:rsidRPr="00E34D68">
        <w:rPr>
          <w:rFonts w:ascii="Arial" w:hAnsi="Arial" w:cs="Arial"/>
        </w:rPr>
        <w:t>x + 0.5) to reduce the CV value (</w:t>
      </w:r>
      <w:proofErr w:type="spellStart"/>
      <w:r w:rsidRPr="00E34D68">
        <w:rPr>
          <w:rFonts w:ascii="Arial" w:hAnsi="Arial" w:cs="Arial"/>
        </w:rPr>
        <w:t>Cahyani</w:t>
      </w:r>
      <w:proofErr w:type="spellEnd"/>
      <w:r w:rsidRPr="00E34D68">
        <w:rPr>
          <w:rFonts w:ascii="Arial" w:hAnsi="Arial" w:cs="Arial"/>
        </w:rPr>
        <w:t>, 2021). If the CV value remained greater than 30% after transformation, the data were analyzed descriptively and presented in the form of histograms.</w:t>
      </w:r>
    </w:p>
    <w:p w14:paraId="73C88DB4" w14:textId="77777777" w:rsidR="00E34D68" w:rsidRDefault="00E34D68" w:rsidP="00441B6F">
      <w:pPr>
        <w:pStyle w:val="Body"/>
        <w:spacing w:after="0"/>
        <w:rPr>
          <w:rFonts w:ascii="Arial" w:hAnsi="Arial" w:cs="Arial"/>
        </w:rPr>
      </w:pPr>
    </w:p>
    <w:p w14:paraId="53D8659C" w14:textId="77777777" w:rsidR="0095768E" w:rsidRDefault="0095768E" w:rsidP="00441B6F">
      <w:pPr>
        <w:pStyle w:val="Body"/>
        <w:spacing w:after="0"/>
        <w:rPr>
          <w:rFonts w:ascii="Arial" w:hAnsi="Arial" w:cs="Arial"/>
        </w:rPr>
      </w:pPr>
    </w:p>
    <w:p w14:paraId="7229D119" w14:textId="77777777" w:rsidR="0095768E" w:rsidRDefault="0095768E" w:rsidP="00441B6F">
      <w:pPr>
        <w:pStyle w:val="Body"/>
        <w:spacing w:after="0"/>
        <w:rPr>
          <w:rFonts w:ascii="Arial" w:hAnsi="Arial" w:cs="Arial"/>
        </w:rPr>
      </w:pPr>
    </w:p>
    <w:p w14:paraId="78BBA2E5" w14:textId="6E1ABF75" w:rsidR="008D1D00" w:rsidRPr="00A71035" w:rsidRDefault="005339BE" w:rsidP="005339BE">
      <w:pPr>
        <w:pStyle w:val="Body"/>
        <w:tabs>
          <w:tab w:val="left" w:pos="6564"/>
        </w:tabs>
        <w:spacing w:after="0"/>
        <w:rPr>
          <w:rFonts w:ascii="Arial" w:hAnsi="Arial" w:cs="Arial"/>
          <w:lang w:val="id"/>
        </w:rPr>
      </w:pPr>
      <w:r w:rsidRPr="00A71035">
        <w:rPr>
          <w:rFonts w:ascii="Arial" w:hAnsi="Arial" w:cs="Arial"/>
          <w:lang w:val="id"/>
        </w:rPr>
        <w:tab/>
      </w:r>
    </w:p>
    <w:p w14:paraId="4D083C80" w14:textId="55D1591A" w:rsidR="008636BE" w:rsidRPr="00F3193F" w:rsidRDefault="00F220E9" w:rsidP="00F3193F">
      <w:pPr>
        <w:pStyle w:val="AbstHead"/>
        <w:spacing w:after="0"/>
        <w:jc w:val="both"/>
        <w:rPr>
          <w:rFonts w:ascii="Arial" w:hAnsi="Arial" w:cs="Arial"/>
          <w:b w:val="0"/>
          <w:caps w:val="0"/>
          <w:lang w:val="id"/>
        </w:rPr>
      </w:pPr>
      <w:r w:rsidRPr="00D94979">
        <w:rPr>
          <w:rFonts w:ascii="Arial" w:hAnsi="Arial" w:cs="Arial"/>
          <w:lang w:val="id"/>
        </w:rPr>
        <w:t xml:space="preserve">3. </w:t>
      </w:r>
      <w:r w:rsidR="00622688" w:rsidRPr="00622688">
        <w:rPr>
          <w:rFonts w:ascii="Arial" w:hAnsi="Arial" w:cs="Arial"/>
        </w:rPr>
        <w:t>RESULTS AND DISCUSSION</w:t>
      </w:r>
    </w:p>
    <w:p w14:paraId="4DFE3BC6" w14:textId="77777777" w:rsidR="008636BE" w:rsidRPr="003223F1" w:rsidRDefault="008636BE" w:rsidP="00441B6F">
      <w:pPr>
        <w:pStyle w:val="Body"/>
        <w:spacing w:after="0"/>
        <w:rPr>
          <w:rFonts w:ascii="Arial" w:hAnsi="Arial" w:cs="Arial"/>
          <w:lang w:val="id"/>
        </w:rPr>
      </w:pPr>
    </w:p>
    <w:p w14:paraId="245C09A4" w14:textId="22A87B5E" w:rsidR="009F7636" w:rsidRDefault="00B422D7" w:rsidP="00A87A92">
      <w:pPr>
        <w:tabs>
          <w:tab w:val="left" w:pos="1080"/>
        </w:tabs>
        <w:jc w:val="both"/>
        <w:rPr>
          <w:rFonts w:ascii="Arial" w:hAnsi="Arial" w:cs="Arial"/>
        </w:rPr>
      </w:pPr>
      <w:r w:rsidRPr="00B422D7">
        <w:rPr>
          <w:rFonts w:ascii="Arial" w:hAnsi="Arial" w:cs="Arial"/>
        </w:rPr>
        <w:t xml:space="preserve">The results showed that there was an interaction between the concentration of compound NPK fertilizer and sucrose supplementation in the culture medium on the variables of </w:t>
      </w:r>
      <w:r w:rsidRPr="00B422D7">
        <w:rPr>
          <w:rFonts w:ascii="Arial" w:hAnsi="Arial" w:cs="Arial"/>
        </w:rPr>
        <w:lastRenderedPageBreak/>
        <w:t>number of roots and number of micro-leaves. The other six variables showed no interaction (Table 1). Sucrose addition had a significant effect on the number of micro-roots and plant height, but had no significant effect on the other six variables. The treatment of compound NPK fertilizer concentration showed a significant effect on all observed variables, except for the percentage of micro-bulb formation, which was not significantly affected.</w:t>
      </w:r>
    </w:p>
    <w:p w14:paraId="0548852E" w14:textId="77777777" w:rsidR="009C31A2" w:rsidRPr="009F7636" w:rsidRDefault="009C31A2" w:rsidP="00A87A92">
      <w:pPr>
        <w:tabs>
          <w:tab w:val="left" w:pos="1080"/>
        </w:tabs>
        <w:jc w:val="both"/>
        <w:rPr>
          <w:rFonts w:ascii="Arial" w:hAnsi="Arial" w:cs="Arial"/>
          <w:lang w:val="id"/>
        </w:rPr>
      </w:pPr>
    </w:p>
    <w:p w14:paraId="4CE94228" w14:textId="5074CA4D" w:rsidR="002E11C5" w:rsidRDefault="00A87A92" w:rsidP="00A87A92">
      <w:pPr>
        <w:tabs>
          <w:tab w:val="left" w:pos="1080"/>
        </w:tabs>
        <w:jc w:val="both"/>
        <w:rPr>
          <w:rFonts w:ascii="Arial" w:hAnsi="Arial"/>
          <w:b/>
          <w:lang w:val="id"/>
        </w:rPr>
      </w:pPr>
      <w:r w:rsidRPr="00EC715B">
        <w:rPr>
          <w:rFonts w:ascii="Arial" w:hAnsi="Arial"/>
          <w:b/>
          <w:lang w:val="id"/>
        </w:rPr>
        <w:t>Tab</w:t>
      </w:r>
      <w:r w:rsidR="009C31A2">
        <w:rPr>
          <w:rFonts w:ascii="Arial" w:hAnsi="Arial"/>
          <w:b/>
          <w:lang w:val="id"/>
        </w:rPr>
        <w:t>le</w:t>
      </w:r>
      <w:r w:rsidRPr="00EC715B">
        <w:rPr>
          <w:rFonts w:ascii="Arial" w:hAnsi="Arial"/>
          <w:b/>
          <w:lang w:val="id"/>
        </w:rPr>
        <w:t xml:space="preserve"> 1.</w:t>
      </w:r>
      <w:r w:rsidRPr="00EC715B">
        <w:rPr>
          <w:lang w:val="id"/>
        </w:rPr>
        <w:t xml:space="preserve"> </w:t>
      </w:r>
      <w:r w:rsidR="009C31A2" w:rsidRPr="009C31A2">
        <w:rPr>
          <w:rFonts w:ascii="Arial" w:hAnsi="Arial"/>
          <w:b/>
          <w:lang w:val="id"/>
        </w:rPr>
        <w:t>Summary of F</w:t>
      </w:r>
      <w:r w:rsidR="009C31A2">
        <w:rPr>
          <w:rFonts w:ascii="Arial" w:hAnsi="Arial"/>
          <w:b/>
          <w:lang w:val="id"/>
        </w:rPr>
        <w:t>-</w:t>
      </w:r>
      <w:r w:rsidR="009C31A2" w:rsidRPr="009C31A2">
        <w:rPr>
          <w:rFonts w:ascii="Arial" w:hAnsi="Arial"/>
          <w:b/>
          <w:lang w:val="id"/>
        </w:rPr>
        <w:t>values on the growth and micro-bulb formation of shallot derived from True Shallot Seeds (TSS) under in vitro conditions</w:t>
      </w:r>
    </w:p>
    <w:p w14:paraId="0577A3A3" w14:textId="77777777" w:rsidR="009C31A2" w:rsidRPr="00EC715B" w:rsidRDefault="009C31A2" w:rsidP="00A87A92">
      <w:pPr>
        <w:tabs>
          <w:tab w:val="left" w:pos="1080"/>
        </w:tabs>
        <w:jc w:val="both"/>
        <w:rPr>
          <w:rFonts w:ascii="Arial" w:hAnsi="Arial"/>
          <w:b/>
          <w:lang w:val="id"/>
        </w:rPr>
      </w:pPr>
    </w:p>
    <w:tbl>
      <w:tblPr>
        <w:tblW w:w="8505" w:type="dxa"/>
        <w:tblLayout w:type="fixed"/>
        <w:tblLook w:val="0400" w:firstRow="0" w:lastRow="0" w:firstColumn="0" w:lastColumn="0" w:noHBand="0" w:noVBand="1"/>
      </w:tblPr>
      <w:tblGrid>
        <w:gridCol w:w="653"/>
        <w:gridCol w:w="3170"/>
        <w:gridCol w:w="1275"/>
        <w:gridCol w:w="1134"/>
        <w:gridCol w:w="1247"/>
        <w:gridCol w:w="1026"/>
      </w:tblGrid>
      <w:tr w:rsidR="00A87A92" w:rsidRPr="00A87A92" w14:paraId="4EAF37F3" w14:textId="77777777" w:rsidTr="009C31A2">
        <w:trPr>
          <w:trHeight w:val="469"/>
        </w:trPr>
        <w:tc>
          <w:tcPr>
            <w:tcW w:w="653" w:type="dxa"/>
            <w:vMerge w:val="restart"/>
            <w:tcBorders>
              <w:top w:val="single" w:sz="4" w:space="0" w:color="auto"/>
            </w:tcBorders>
            <w:vAlign w:val="center"/>
          </w:tcPr>
          <w:p w14:paraId="25BD502C" w14:textId="77777777" w:rsidR="00A87A92" w:rsidRPr="00A87A92" w:rsidRDefault="00A87A92" w:rsidP="00A87A92">
            <w:pPr>
              <w:tabs>
                <w:tab w:val="left" w:pos="1080"/>
              </w:tabs>
              <w:jc w:val="both"/>
              <w:rPr>
                <w:rFonts w:ascii="Arial" w:hAnsi="Arial"/>
                <w:b/>
                <w:bCs/>
                <w:lang w:val="id-ID"/>
              </w:rPr>
            </w:pPr>
            <w:bookmarkStart w:id="1" w:name="_Hlk170424538"/>
          </w:p>
          <w:p w14:paraId="6AB96C18" w14:textId="77777777" w:rsidR="00A87A92" w:rsidRPr="00A87A92" w:rsidRDefault="00A87A92" w:rsidP="00A87A92">
            <w:pPr>
              <w:tabs>
                <w:tab w:val="left" w:pos="1080"/>
              </w:tabs>
              <w:jc w:val="both"/>
              <w:rPr>
                <w:rFonts w:ascii="Arial" w:hAnsi="Arial"/>
                <w:b/>
                <w:bCs/>
                <w:lang w:val="id-ID"/>
              </w:rPr>
            </w:pPr>
          </w:p>
        </w:tc>
        <w:tc>
          <w:tcPr>
            <w:tcW w:w="3170" w:type="dxa"/>
            <w:vMerge w:val="restart"/>
            <w:tcBorders>
              <w:top w:val="single" w:sz="4" w:space="0" w:color="auto"/>
            </w:tcBorders>
            <w:vAlign w:val="center"/>
          </w:tcPr>
          <w:p w14:paraId="6674B2D4" w14:textId="580D643D"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Vari</w:t>
            </w:r>
            <w:r w:rsidR="009C31A2">
              <w:rPr>
                <w:rFonts w:ascii="Arial" w:hAnsi="Arial"/>
                <w:b/>
                <w:bCs/>
                <w:lang w:val="id-ID"/>
              </w:rPr>
              <w:t>able</w:t>
            </w:r>
          </w:p>
        </w:tc>
        <w:tc>
          <w:tcPr>
            <w:tcW w:w="3656" w:type="dxa"/>
            <w:gridSpan w:val="3"/>
            <w:tcBorders>
              <w:top w:val="single" w:sz="4" w:space="0" w:color="auto"/>
            </w:tcBorders>
            <w:vAlign w:val="center"/>
          </w:tcPr>
          <w:p w14:paraId="25FD4E40" w14:textId="5FBCA49A"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F-</w:t>
            </w:r>
            <w:r w:rsidR="009C31A2">
              <w:rPr>
                <w:rFonts w:ascii="Arial" w:hAnsi="Arial"/>
                <w:b/>
                <w:bCs/>
                <w:lang w:val="id-ID"/>
              </w:rPr>
              <w:t>Values</w:t>
            </w:r>
          </w:p>
        </w:tc>
        <w:tc>
          <w:tcPr>
            <w:tcW w:w="1026" w:type="dxa"/>
            <w:vMerge w:val="restart"/>
            <w:tcBorders>
              <w:top w:val="single" w:sz="4" w:space="0" w:color="auto"/>
            </w:tcBorders>
            <w:vAlign w:val="center"/>
          </w:tcPr>
          <w:p w14:paraId="01AFC1EC" w14:textId="04420646" w:rsidR="00A87A92" w:rsidRPr="00A87A92" w:rsidRDefault="009C31A2" w:rsidP="00A87A92">
            <w:pPr>
              <w:tabs>
                <w:tab w:val="left" w:pos="1080"/>
              </w:tabs>
              <w:jc w:val="center"/>
              <w:rPr>
                <w:rFonts w:ascii="Arial" w:hAnsi="Arial"/>
                <w:b/>
                <w:bCs/>
                <w:lang w:val="id-ID"/>
              </w:rPr>
            </w:pPr>
            <w:r>
              <w:rPr>
                <w:rFonts w:ascii="Arial" w:hAnsi="Arial"/>
                <w:b/>
                <w:bCs/>
                <w:lang w:val="id-ID"/>
              </w:rPr>
              <w:t>CV</w:t>
            </w:r>
            <w:r w:rsidR="002F0BE7">
              <w:rPr>
                <w:rFonts w:ascii="Arial" w:hAnsi="Arial"/>
                <w:b/>
                <w:bCs/>
                <w:lang w:val="id-ID"/>
              </w:rPr>
              <w:t xml:space="preserve"> (%)</w:t>
            </w:r>
          </w:p>
        </w:tc>
      </w:tr>
      <w:tr w:rsidR="00A87A92" w:rsidRPr="00A87A92" w14:paraId="1275FE52" w14:textId="77777777" w:rsidTr="009C31A2">
        <w:trPr>
          <w:trHeight w:val="469"/>
        </w:trPr>
        <w:tc>
          <w:tcPr>
            <w:tcW w:w="653" w:type="dxa"/>
            <w:vMerge/>
            <w:tcBorders>
              <w:bottom w:val="single" w:sz="4" w:space="0" w:color="auto"/>
            </w:tcBorders>
            <w:vAlign w:val="center"/>
          </w:tcPr>
          <w:p w14:paraId="33024E7B" w14:textId="77777777" w:rsidR="00A87A92" w:rsidRPr="00A87A92" w:rsidRDefault="00A87A92" w:rsidP="00A87A92">
            <w:pPr>
              <w:tabs>
                <w:tab w:val="left" w:pos="1080"/>
              </w:tabs>
              <w:jc w:val="both"/>
              <w:rPr>
                <w:rFonts w:ascii="Arial" w:hAnsi="Arial"/>
                <w:b/>
                <w:bCs/>
                <w:lang w:val="id-ID"/>
              </w:rPr>
            </w:pPr>
          </w:p>
        </w:tc>
        <w:tc>
          <w:tcPr>
            <w:tcW w:w="3170" w:type="dxa"/>
            <w:vMerge/>
            <w:tcBorders>
              <w:bottom w:val="single" w:sz="4" w:space="0" w:color="auto"/>
            </w:tcBorders>
            <w:vAlign w:val="center"/>
          </w:tcPr>
          <w:p w14:paraId="7A89900F" w14:textId="77777777" w:rsidR="00A87A92" w:rsidRPr="00A87A92" w:rsidRDefault="00A87A92" w:rsidP="00A87A92">
            <w:pPr>
              <w:tabs>
                <w:tab w:val="left" w:pos="1080"/>
              </w:tabs>
              <w:jc w:val="both"/>
              <w:rPr>
                <w:rFonts w:ascii="Arial" w:hAnsi="Arial"/>
                <w:b/>
                <w:bCs/>
                <w:lang w:val="id-ID"/>
              </w:rPr>
            </w:pPr>
          </w:p>
        </w:tc>
        <w:tc>
          <w:tcPr>
            <w:tcW w:w="1275" w:type="dxa"/>
            <w:tcBorders>
              <w:top w:val="single" w:sz="4" w:space="0" w:color="auto"/>
              <w:bottom w:val="single" w:sz="4" w:space="0" w:color="auto"/>
            </w:tcBorders>
            <w:vAlign w:val="bottom"/>
          </w:tcPr>
          <w:p w14:paraId="0A688551" w14:textId="622D8E50" w:rsidR="00A87A92" w:rsidRPr="00A87A92" w:rsidRDefault="009C31A2" w:rsidP="00A87A92">
            <w:pPr>
              <w:tabs>
                <w:tab w:val="left" w:pos="1080"/>
              </w:tabs>
              <w:jc w:val="center"/>
              <w:rPr>
                <w:rFonts w:ascii="Arial" w:hAnsi="Arial"/>
                <w:b/>
                <w:bCs/>
                <w:lang w:val="id-ID"/>
              </w:rPr>
            </w:pPr>
            <w:r>
              <w:rPr>
                <w:rFonts w:ascii="Arial" w:hAnsi="Arial"/>
                <w:b/>
                <w:bCs/>
                <w:lang w:val="id-ID"/>
              </w:rPr>
              <w:t>Compound Fertilizer</w:t>
            </w:r>
          </w:p>
        </w:tc>
        <w:tc>
          <w:tcPr>
            <w:tcW w:w="1134" w:type="dxa"/>
            <w:tcBorders>
              <w:top w:val="single" w:sz="4" w:space="0" w:color="auto"/>
              <w:bottom w:val="single" w:sz="4" w:space="0" w:color="auto"/>
            </w:tcBorders>
            <w:vAlign w:val="center"/>
          </w:tcPr>
          <w:p w14:paraId="66CF1D42" w14:textId="1E26038B" w:rsidR="00A87A92" w:rsidRPr="00A87A92" w:rsidRDefault="00A87A92" w:rsidP="00A87A92">
            <w:pPr>
              <w:tabs>
                <w:tab w:val="left" w:pos="1080"/>
              </w:tabs>
              <w:jc w:val="both"/>
              <w:rPr>
                <w:rFonts w:ascii="Arial" w:hAnsi="Arial"/>
                <w:b/>
                <w:bCs/>
                <w:lang w:val="id-ID"/>
              </w:rPr>
            </w:pPr>
            <w:r w:rsidRPr="00A87A92">
              <w:rPr>
                <w:rFonts w:ascii="Arial" w:hAnsi="Arial"/>
                <w:b/>
                <w:bCs/>
                <w:lang w:val="id-ID"/>
              </w:rPr>
              <w:t>Su</w:t>
            </w:r>
            <w:r w:rsidR="009C31A2">
              <w:rPr>
                <w:rFonts w:ascii="Arial" w:hAnsi="Arial"/>
                <w:b/>
                <w:bCs/>
                <w:lang w:val="id-ID"/>
              </w:rPr>
              <w:t>crose</w:t>
            </w:r>
          </w:p>
        </w:tc>
        <w:tc>
          <w:tcPr>
            <w:tcW w:w="1247" w:type="dxa"/>
            <w:tcBorders>
              <w:top w:val="single" w:sz="4" w:space="0" w:color="auto"/>
              <w:bottom w:val="single" w:sz="4" w:space="0" w:color="auto"/>
            </w:tcBorders>
            <w:vAlign w:val="center"/>
          </w:tcPr>
          <w:p w14:paraId="32A26CF5" w14:textId="2373BE09" w:rsidR="00A87A92" w:rsidRPr="00A87A92" w:rsidRDefault="00A87A92" w:rsidP="00A87A92">
            <w:pPr>
              <w:tabs>
                <w:tab w:val="left" w:pos="1080"/>
              </w:tabs>
              <w:jc w:val="center"/>
              <w:rPr>
                <w:rFonts w:ascii="Arial" w:hAnsi="Arial"/>
                <w:b/>
                <w:bCs/>
                <w:lang w:val="id-ID"/>
              </w:rPr>
            </w:pPr>
            <w:r w:rsidRPr="00A87A92">
              <w:rPr>
                <w:rFonts w:ascii="Arial" w:hAnsi="Arial"/>
                <w:b/>
                <w:bCs/>
                <w:lang w:val="id-ID"/>
              </w:rPr>
              <w:t>Inter</w:t>
            </w:r>
            <w:r w:rsidR="009C31A2">
              <w:rPr>
                <w:rFonts w:ascii="Arial" w:hAnsi="Arial"/>
                <w:b/>
                <w:bCs/>
                <w:lang w:val="id-ID"/>
              </w:rPr>
              <w:t>action</w:t>
            </w:r>
          </w:p>
        </w:tc>
        <w:tc>
          <w:tcPr>
            <w:tcW w:w="1026" w:type="dxa"/>
            <w:vMerge/>
            <w:tcBorders>
              <w:bottom w:val="single" w:sz="4" w:space="0" w:color="auto"/>
            </w:tcBorders>
            <w:vAlign w:val="center"/>
          </w:tcPr>
          <w:p w14:paraId="1C3AAFC6" w14:textId="77777777" w:rsidR="00A87A92" w:rsidRPr="00A87A92" w:rsidRDefault="00A87A92" w:rsidP="00A87A92">
            <w:pPr>
              <w:tabs>
                <w:tab w:val="left" w:pos="1080"/>
              </w:tabs>
              <w:jc w:val="both"/>
              <w:rPr>
                <w:rFonts w:ascii="Arial" w:hAnsi="Arial"/>
                <w:b/>
                <w:bCs/>
                <w:lang w:val="id-ID"/>
              </w:rPr>
            </w:pPr>
          </w:p>
        </w:tc>
      </w:tr>
      <w:tr w:rsidR="00A87A92" w:rsidRPr="00A87A92" w14:paraId="3E278EB6" w14:textId="77777777" w:rsidTr="009C31A2">
        <w:trPr>
          <w:trHeight w:val="257"/>
        </w:trPr>
        <w:tc>
          <w:tcPr>
            <w:tcW w:w="653" w:type="dxa"/>
            <w:tcBorders>
              <w:top w:val="single" w:sz="4" w:space="0" w:color="auto"/>
            </w:tcBorders>
          </w:tcPr>
          <w:p w14:paraId="53AA5CE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1</w:t>
            </w:r>
          </w:p>
        </w:tc>
        <w:tc>
          <w:tcPr>
            <w:tcW w:w="3170" w:type="dxa"/>
            <w:tcBorders>
              <w:top w:val="single" w:sz="4" w:space="0" w:color="auto"/>
            </w:tcBorders>
          </w:tcPr>
          <w:p w14:paraId="49BA6D25" w14:textId="1425259D" w:rsidR="00A87A92" w:rsidRPr="00A87A92" w:rsidRDefault="00DA0944" w:rsidP="00A87A92">
            <w:pPr>
              <w:tabs>
                <w:tab w:val="left" w:pos="1080"/>
              </w:tabs>
              <w:jc w:val="both"/>
              <w:rPr>
                <w:rFonts w:ascii="Arial" w:hAnsi="Arial"/>
                <w:bCs/>
                <w:lang w:val="id-ID"/>
              </w:rPr>
            </w:pPr>
            <w:r w:rsidRPr="00DA0944">
              <w:rPr>
                <w:rFonts w:ascii="Arial" w:hAnsi="Arial"/>
                <w:bCs/>
                <w:lang w:val="id-ID"/>
              </w:rPr>
              <w:t>Germination Percentage</w:t>
            </w:r>
          </w:p>
        </w:tc>
        <w:tc>
          <w:tcPr>
            <w:tcW w:w="1275" w:type="dxa"/>
            <w:tcBorders>
              <w:top w:val="single" w:sz="4" w:space="0" w:color="auto"/>
            </w:tcBorders>
          </w:tcPr>
          <w:p w14:paraId="0FFA07E0" w14:textId="74090BE7" w:rsidR="00A87A92" w:rsidRPr="00A87A92" w:rsidRDefault="004A5D4A" w:rsidP="00A87A92">
            <w:pPr>
              <w:tabs>
                <w:tab w:val="left" w:pos="1080"/>
              </w:tabs>
              <w:jc w:val="both"/>
              <w:rPr>
                <w:rFonts w:ascii="Arial" w:hAnsi="Arial"/>
                <w:bCs/>
                <w:lang w:val="id-ID"/>
              </w:rPr>
            </w:pPr>
            <w:r>
              <w:rPr>
                <w:rFonts w:ascii="Arial" w:hAnsi="Arial"/>
                <w:bCs/>
                <w:lang w:val="id-ID"/>
              </w:rPr>
              <w:t>13,14</w:t>
            </w:r>
            <w:r w:rsidR="00A87A92" w:rsidRPr="00A87A92">
              <w:rPr>
                <w:rFonts w:ascii="Arial" w:hAnsi="Arial"/>
                <w:bCs/>
                <w:lang w:val="id-ID"/>
              </w:rPr>
              <w:t xml:space="preserve"> </w:t>
            </w:r>
            <w:r w:rsidR="00A87A92" w:rsidRPr="00A87A92">
              <w:rPr>
                <w:rFonts w:ascii="Arial" w:hAnsi="Arial"/>
                <w:bCs/>
                <w:vertAlign w:val="superscript"/>
                <w:lang w:val="id-ID"/>
              </w:rPr>
              <w:t>*</w:t>
            </w:r>
          </w:p>
        </w:tc>
        <w:tc>
          <w:tcPr>
            <w:tcW w:w="1134" w:type="dxa"/>
            <w:tcBorders>
              <w:top w:val="single" w:sz="4" w:space="0" w:color="auto"/>
            </w:tcBorders>
          </w:tcPr>
          <w:p w14:paraId="060CD147" w14:textId="178F7D21" w:rsidR="00A87A92" w:rsidRPr="00A87A92" w:rsidRDefault="004A5D4A" w:rsidP="00A87A92">
            <w:pPr>
              <w:tabs>
                <w:tab w:val="left" w:pos="1080"/>
              </w:tabs>
              <w:jc w:val="both"/>
              <w:rPr>
                <w:rFonts w:ascii="Arial" w:hAnsi="Arial"/>
                <w:bCs/>
                <w:lang w:val="id-ID"/>
              </w:rPr>
            </w:pPr>
            <w:r>
              <w:rPr>
                <w:rFonts w:ascii="Arial" w:hAnsi="Arial"/>
                <w:bCs/>
                <w:lang w:val="id-ID"/>
              </w:rPr>
              <w:t>1,08</w:t>
            </w:r>
            <w:r w:rsidR="00A87A92" w:rsidRPr="00A87A92">
              <w:rPr>
                <w:rFonts w:ascii="Arial" w:hAnsi="Arial"/>
                <w:bCs/>
                <w:lang w:val="id-ID"/>
              </w:rPr>
              <w:t xml:space="preserve"> </w:t>
            </w:r>
            <w:r w:rsidR="00A87A92" w:rsidRPr="00A87A92">
              <w:rPr>
                <w:rFonts w:ascii="Arial" w:hAnsi="Arial"/>
                <w:bCs/>
                <w:vertAlign w:val="superscript"/>
                <w:lang w:val="id-ID"/>
              </w:rPr>
              <w:t>ns</w:t>
            </w:r>
          </w:p>
        </w:tc>
        <w:tc>
          <w:tcPr>
            <w:tcW w:w="1247" w:type="dxa"/>
            <w:tcBorders>
              <w:top w:val="single" w:sz="4" w:space="0" w:color="auto"/>
            </w:tcBorders>
          </w:tcPr>
          <w:p w14:paraId="34C54D69" w14:textId="505FA029" w:rsidR="00A87A92" w:rsidRPr="00A87A92" w:rsidRDefault="004A5D4A" w:rsidP="00A87A92">
            <w:pPr>
              <w:tabs>
                <w:tab w:val="left" w:pos="1080"/>
              </w:tabs>
              <w:jc w:val="both"/>
              <w:rPr>
                <w:rFonts w:ascii="Arial" w:hAnsi="Arial"/>
                <w:bCs/>
                <w:lang w:val="id-ID"/>
              </w:rPr>
            </w:pPr>
            <w:r>
              <w:rPr>
                <w:rFonts w:ascii="Arial" w:hAnsi="Arial"/>
                <w:bCs/>
                <w:lang w:val="id-ID"/>
              </w:rPr>
              <w:t>1,04</w:t>
            </w:r>
            <w:r w:rsidR="00A87A92" w:rsidRPr="00A87A92">
              <w:rPr>
                <w:rFonts w:ascii="Arial" w:hAnsi="Arial"/>
                <w:bCs/>
                <w:lang w:val="id-ID"/>
              </w:rPr>
              <w:t xml:space="preserve"> </w:t>
            </w:r>
            <w:r w:rsidR="00A87A92" w:rsidRPr="00A87A92">
              <w:rPr>
                <w:rFonts w:ascii="Arial" w:hAnsi="Arial"/>
                <w:bCs/>
                <w:vertAlign w:val="superscript"/>
                <w:lang w:val="id-ID"/>
              </w:rPr>
              <w:t>ns</w:t>
            </w:r>
          </w:p>
        </w:tc>
        <w:tc>
          <w:tcPr>
            <w:tcW w:w="1026" w:type="dxa"/>
            <w:tcBorders>
              <w:top w:val="single" w:sz="4" w:space="0" w:color="auto"/>
            </w:tcBorders>
            <w:vAlign w:val="center"/>
          </w:tcPr>
          <w:p w14:paraId="10378CF7" w14:textId="7A729515" w:rsidR="00A87A92" w:rsidRPr="00A87A92" w:rsidRDefault="00A87A92" w:rsidP="00A87A92">
            <w:pPr>
              <w:tabs>
                <w:tab w:val="left" w:pos="1080"/>
              </w:tabs>
              <w:jc w:val="both"/>
              <w:rPr>
                <w:rFonts w:ascii="Arial" w:hAnsi="Arial"/>
                <w:bCs/>
                <w:lang w:val="id-ID"/>
              </w:rPr>
            </w:pPr>
            <w:r w:rsidRPr="00A87A92">
              <w:rPr>
                <w:rFonts w:ascii="Arial" w:hAnsi="Arial"/>
                <w:bCs/>
                <w:lang w:val="id-ID"/>
              </w:rPr>
              <w:t>2</w:t>
            </w:r>
            <w:r w:rsidR="00904EA7">
              <w:rPr>
                <w:rFonts w:ascii="Arial" w:hAnsi="Arial"/>
                <w:bCs/>
                <w:lang w:val="id-ID"/>
              </w:rPr>
              <w:t>2,05</w:t>
            </w:r>
          </w:p>
        </w:tc>
      </w:tr>
      <w:tr w:rsidR="00A87A92" w:rsidRPr="00A87A92" w14:paraId="2CE28CAB" w14:textId="77777777" w:rsidTr="009C31A2">
        <w:trPr>
          <w:trHeight w:val="257"/>
        </w:trPr>
        <w:tc>
          <w:tcPr>
            <w:tcW w:w="653" w:type="dxa"/>
          </w:tcPr>
          <w:p w14:paraId="0E9AB1B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2</w:t>
            </w:r>
          </w:p>
        </w:tc>
        <w:tc>
          <w:tcPr>
            <w:tcW w:w="3170" w:type="dxa"/>
          </w:tcPr>
          <w:p w14:paraId="5F9F710C" w14:textId="0835F540" w:rsidR="00A87A92" w:rsidRPr="00A87A92" w:rsidRDefault="00DA0944" w:rsidP="00A87A92">
            <w:pPr>
              <w:tabs>
                <w:tab w:val="left" w:pos="1080"/>
              </w:tabs>
              <w:jc w:val="both"/>
              <w:rPr>
                <w:rFonts w:ascii="Arial" w:hAnsi="Arial"/>
                <w:bCs/>
                <w:lang w:val="id-ID"/>
              </w:rPr>
            </w:pPr>
            <w:r w:rsidRPr="00DA0944">
              <w:rPr>
                <w:rFonts w:ascii="Arial" w:hAnsi="Arial"/>
                <w:bCs/>
                <w:lang w:val="id-ID"/>
              </w:rPr>
              <w:t>Germination Time</w:t>
            </w:r>
          </w:p>
        </w:tc>
        <w:tc>
          <w:tcPr>
            <w:tcW w:w="1275" w:type="dxa"/>
          </w:tcPr>
          <w:p w14:paraId="02C0B77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11,37 </w:t>
            </w:r>
            <w:r w:rsidRPr="00A87A92">
              <w:rPr>
                <w:rFonts w:ascii="Arial" w:hAnsi="Arial"/>
                <w:bCs/>
                <w:vertAlign w:val="superscript"/>
                <w:lang w:val="id-ID"/>
              </w:rPr>
              <w:t>*</w:t>
            </w:r>
          </w:p>
        </w:tc>
        <w:tc>
          <w:tcPr>
            <w:tcW w:w="1134" w:type="dxa"/>
          </w:tcPr>
          <w:p w14:paraId="364B55D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91,53 </w:t>
            </w:r>
            <w:r w:rsidRPr="00A87A92">
              <w:rPr>
                <w:rFonts w:ascii="Arial" w:hAnsi="Arial"/>
                <w:bCs/>
                <w:vertAlign w:val="superscript"/>
                <w:lang w:val="id-ID"/>
              </w:rPr>
              <w:t>ns</w:t>
            </w:r>
          </w:p>
        </w:tc>
        <w:tc>
          <w:tcPr>
            <w:tcW w:w="1247" w:type="dxa"/>
          </w:tcPr>
          <w:p w14:paraId="03287AB1"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0,53 </w:t>
            </w:r>
            <w:r w:rsidRPr="00A87A92">
              <w:rPr>
                <w:rFonts w:ascii="Arial" w:hAnsi="Arial"/>
                <w:bCs/>
                <w:vertAlign w:val="superscript"/>
                <w:lang w:val="id-ID"/>
              </w:rPr>
              <w:t>ns</w:t>
            </w:r>
          </w:p>
        </w:tc>
        <w:tc>
          <w:tcPr>
            <w:tcW w:w="1026" w:type="dxa"/>
            <w:vAlign w:val="center"/>
          </w:tcPr>
          <w:p w14:paraId="42F78628" w14:textId="18CE3753" w:rsidR="00A87A92" w:rsidRPr="00A87A92" w:rsidRDefault="00A87A92" w:rsidP="00A87A92">
            <w:pPr>
              <w:tabs>
                <w:tab w:val="left" w:pos="1080"/>
              </w:tabs>
              <w:jc w:val="both"/>
              <w:rPr>
                <w:rFonts w:ascii="Arial" w:hAnsi="Arial"/>
                <w:bCs/>
                <w:lang w:val="id-ID"/>
              </w:rPr>
            </w:pPr>
            <w:r w:rsidRPr="00A87A92">
              <w:rPr>
                <w:rFonts w:ascii="Arial" w:hAnsi="Arial"/>
                <w:bCs/>
                <w:lang w:val="id-ID"/>
              </w:rPr>
              <w:t>8,34</w:t>
            </w:r>
          </w:p>
        </w:tc>
      </w:tr>
      <w:tr w:rsidR="00A87A92" w:rsidRPr="00A87A92" w14:paraId="40F64DF1" w14:textId="77777777" w:rsidTr="009C31A2">
        <w:trPr>
          <w:trHeight w:val="257"/>
        </w:trPr>
        <w:tc>
          <w:tcPr>
            <w:tcW w:w="653" w:type="dxa"/>
          </w:tcPr>
          <w:p w14:paraId="7DF8A3C4" w14:textId="1757555B" w:rsidR="00A87A92" w:rsidRPr="00A87A92" w:rsidRDefault="00D953D0" w:rsidP="00A87A92">
            <w:pPr>
              <w:tabs>
                <w:tab w:val="left" w:pos="1080"/>
              </w:tabs>
              <w:jc w:val="both"/>
              <w:rPr>
                <w:rFonts w:ascii="Arial" w:hAnsi="Arial"/>
                <w:bCs/>
                <w:lang w:val="id-ID"/>
              </w:rPr>
            </w:pPr>
            <w:r>
              <w:rPr>
                <w:rFonts w:ascii="Arial" w:hAnsi="Arial"/>
                <w:bCs/>
                <w:lang w:val="id-ID"/>
              </w:rPr>
              <w:t>3</w:t>
            </w:r>
          </w:p>
        </w:tc>
        <w:tc>
          <w:tcPr>
            <w:tcW w:w="3170" w:type="dxa"/>
          </w:tcPr>
          <w:p w14:paraId="46AF8BC4" w14:textId="1A419B8B" w:rsidR="00A87A92" w:rsidRPr="00A87A92" w:rsidRDefault="00DA0944" w:rsidP="00A87A92">
            <w:pPr>
              <w:tabs>
                <w:tab w:val="left" w:pos="1080"/>
              </w:tabs>
              <w:jc w:val="both"/>
              <w:rPr>
                <w:rFonts w:ascii="Arial" w:hAnsi="Arial"/>
                <w:bCs/>
                <w:lang w:val="id-ID"/>
              </w:rPr>
            </w:pPr>
            <w:r w:rsidRPr="00DA0944">
              <w:rPr>
                <w:rFonts w:ascii="Arial" w:hAnsi="Arial"/>
                <w:bCs/>
              </w:rPr>
              <w:t>Number of Micro Shoots</w:t>
            </w:r>
          </w:p>
        </w:tc>
        <w:tc>
          <w:tcPr>
            <w:tcW w:w="1275" w:type="dxa"/>
          </w:tcPr>
          <w:p w14:paraId="5791B7E4"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75,51</w:t>
            </w:r>
            <w:r w:rsidRPr="00A87A92">
              <w:rPr>
                <w:rFonts w:ascii="Arial" w:hAnsi="Arial"/>
                <w:bCs/>
                <w:vertAlign w:val="superscript"/>
                <w:lang w:val="id-ID"/>
              </w:rPr>
              <w:t>*</w:t>
            </w:r>
          </w:p>
        </w:tc>
        <w:tc>
          <w:tcPr>
            <w:tcW w:w="1134" w:type="dxa"/>
          </w:tcPr>
          <w:p w14:paraId="0C488FEE"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1,77 </w:t>
            </w:r>
            <w:r w:rsidRPr="00A87A92">
              <w:rPr>
                <w:rFonts w:ascii="Arial" w:hAnsi="Arial"/>
                <w:bCs/>
                <w:vertAlign w:val="superscript"/>
                <w:lang w:val="id-ID"/>
              </w:rPr>
              <w:t>ns</w:t>
            </w:r>
          </w:p>
        </w:tc>
        <w:tc>
          <w:tcPr>
            <w:tcW w:w="1247" w:type="dxa"/>
          </w:tcPr>
          <w:p w14:paraId="56C658BA"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1,44 </w:t>
            </w:r>
            <w:r w:rsidRPr="00A87A92">
              <w:rPr>
                <w:rFonts w:ascii="Arial" w:hAnsi="Arial"/>
                <w:bCs/>
                <w:vertAlign w:val="superscript"/>
                <w:lang w:val="id-ID"/>
              </w:rPr>
              <w:t>ns</w:t>
            </w:r>
          </w:p>
        </w:tc>
        <w:tc>
          <w:tcPr>
            <w:tcW w:w="1026" w:type="dxa"/>
            <w:vAlign w:val="center"/>
          </w:tcPr>
          <w:p w14:paraId="1246CB6A" w14:textId="7110CBBE" w:rsidR="00A87A92" w:rsidRPr="00A87A92" w:rsidRDefault="00A87A92" w:rsidP="00A87A92">
            <w:pPr>
              <w:tabs>
                <w:tab w:val="left" w:pos="1080"/>
              </w:tabs>
              <w:jc w:val="both"/>
              <w:rPr>
                <w:rFonts w:ascii="Arial" w:hAnsi="Arial"/>
                <w:bCs/>
                <w:lang w:val="id-ID"/>
              </w:rPr>
            </w:pPr>
            <w:r w:rsidRPr="00A87A92">
              <w:rPr>
                <w:rFonts w:ascii="Arial" w:hAnsi="Arial"/>
                <w:bCs/>
                <w:lang w:val="id-ID"/>
              </w:rPr>
              <w:t>9,26</w:t>
            </w:r>
            <w:r w:rsidRPr="00A87A92">
              <w:rPr>
                <w:rFonts w:ascii="Arial" w:hAnsi="Arial"/>
                <w:bCs/>
                <w:vertAlign w:val="superscript"/>
                <w:lang w:val="id-ID"/>
              </w:rPr>
              <w:t>T</w:t>
            </w:r>
          </w:p>
        </w:tc>
      </w:tr>
      <w:tr w:rsidR="0063389A" w:rsidRPr="00A87A92" w14:paraId="1A52AF4C" w14:textId="77777777" w:rsidTr="009C31A2">
        <w:trPr>
          <w:trHeight w:val="257"/>
        </w:trPr>
        <w:tc>
          <w:tcPr>
            <w:tcW w:w="653" w:type="dxa"/>
          </w:tcPr>
          <w:p w14:paraId="60E242F8" w14:textId="0F376F08" w:rsidR="0063389A" w:rsidRDefault="008D181F" w:rsidP="00A87A92">
            <w:pPr>
              <w:tabs>
                <w:tab w:val="left" w:pos="1080"/>
              </w:tabs>
              <w:jc w:val="both"/>
              <w:rPr>
                <w:rFonts w:ascii="Arial" w:hAnsi="Arial"/>
                <w:bCs/>
                <w:lang w:val="id-ID"/>
              </w:rPr>
            </w:pPr>
            <w:r>
              <w:rPr>
                <w:rFonts w:ascii="Arial" w:hAnsi="Arial"/>
                <w:bCs/>
                <w:lang w:val="id-ID"/>
              </w:rPr>
              <w:t>4</w:t>
            </w:r>
          </w:p>
        </w:tc>
        <w:tc>
          <w:tcPr>
            <w:tcW w:w="3170" w:type="dxa"/>
          </w:tcPr>
          <w:p w14:paraId="632FFD1B" w14:textId="38627479" w:rsidR="0063389A" w:rsidRPr="00A87A92" w:rsidRDefault="00DA0944" w:rsidP="00A87A92">
            <w:pPr>
              <w:tabs>
                <w:tab w:val="left" w:pos="1080"/>
              </w:tabs>
              <w:jc w:val="both"/>
              <w:rPr>
                <w:rFonts w:ascii="Arial" w:hAnsi="Arial"/>
                <w:bCs/>
                <w:lang w:val="id-ID"/>
              </w:rPr>
            </w:pPr>
            <w:r>
              <w:rPr>
                <w:rFonts w:ascii="Arial" w:hAnsi="Arial"/>
                <w:bCs/>
                <w:lang w:val="id-ID"/>
              </w:rPr>
              <w:t>Number of Micro Leaves</w:t>
            </w:r>
          </w:p>
        </w:tc>
        <w:tc>
          <w:tcPr>
            <w:tcW w:w="1275" w:type="dxa"/>
          </w:tcPr>
          <w:p w14:paraId="430DECEB" w14:textId="5532213C" w:rsidR="0063389A" w:rsidRPr="00A87A92" w:rsidRDefault="0063389A" w:rsidP="00A87A92">
            <w:pPr>
              <w:tabs>
                <w:tab w:val="left" w:pos="1080"/>
              </w:tabs>
              <w:jc w:val="both"/>
              <w:rPr>
                <w:rFonts w:ascii="Arial" w:hAnsi="Arial"/>
                <w:bCs/>
                <w:lang w:val="id-ID"/>
              </w:rPr>
            </w:pPr>
            <w:r>
              <w:rPr>
                <w:rFonts w:ascii="Arial" w:hAnsi="Arial"/>
                <w:bCs/>
                <w:lang w:val="id-ID"/>
              </w:rPr>
              <w:t>102,41</w:t>
            </w:r>
            <w:r w:rsidRPr="0063389A">
              <w:rPr>
                <w:rFonts w:ascii="Arial" w:hAnsi="Arial"/>
                <w:bCs/>
                <w:vertAlign w:val="superscript"/>
                <w:lang w:val="id-ID"/>
              </w:rPr>
              <w:t>*</w:t>
            </w:r>
          </w:p>
        </w:tc>
        <w:tc>
          <w:tcPr>
            <w:tcW w:w="1134" w:type="dxa"/>
          </w:tcPr>
          <w:p w14:paraId="0846D3BC" w14:textId="553D2F01" w:rsidR="0063389A" w:rsidRPr="00A87A92" w:rsidRDefault="0063389A" w:rsidP="00A87A92">
            <w:pPr>
              <w:tabs>
                <w:tab w:val="left" w:pos="1080"/>
              </w:tabs>
              <w:jc w:val="both"/>
              <w:rPr>
                <w:rFonts w:ascii="Arial" w:hAnsi="Arial"/>
                <w:bCs/>
                <w:lang w:val="id-ID"/>
              </w:rPr>
            </w:pPr>
            <w:r>
              <w:rPr>
                <w:rFonts w:ascii="Arial" w:hAnsi="Arial"/>
                <w:bCs/>
                <w:lang w:val="id-ID"/>
              </w:rPr>
              <w:t>0,22</w:t>
            </w:r>
            <w:r w:rsidRPr="0063389A">
              <w:rPr>
                <w:rFonts w:ascii="Arial" w:hAnsi="Arial"/>
                <w:bCs/>
                <w:vertAlign w:val="superscript"/>
                <w:lang w:val="id-ID"/>
              </w:rPr>
              <w:t>ns</w:t>
            </w:r>
          </w:p>
        </w:tc>
        <w:tc>
          <w:tcPr>
            <w:tcW w:w="1247" w:type="dxa"/>
          </w:tcPr>
          <w:p w14:paraId="2035770A" w14:textId="4ED3CC79" w:rsidR="0063389A" w:rsidRPr="00A87A92" w:rsidRDefault="0063389A" w:rsidP="00A87A92">
            <w:pPr>
              <w:tabs>
                <w:tab w:val="left" w:pos="1080"/>
              </w:tabs>
              <w:jc w:val="both"/>
              <w:rPr>
                <w:rFonts w:ascii="Arial" w:hAnsi="Arial"/>
                <w:bCs/>
                <w:lang w:val="id-ID"/>
              </w:rPr>
            </w:pPr>
            <w:r>
              <w:rPr>
                <w:rFonts w:ascii="Arial" w:hAnsi="Arial"/>
                <w:bCs/>
                <w:lang w:val="id-ID"/>
              </w:rPr>
              <w:t>3,40</w:t>
            </w:r>
            <w:r w:rsidRPr="0063389A">
              <w:rPr>
                <w:rFonts w:ascii="Arial" w:hAnsi="Arial"/>
                <w:bCs/>
                <w:vertAlign w:val="superscript"/>
                <w:lang w:val="id-ID"/>
              </w:rPr>
              <w:t>*</w:t>
            </w:r>
          </w:p>
        </w:tc>
        <w:tc>
          <w:tcPr>
            <w:tcW w:w="1026" w:type="dxa"/>
            <w:vAlign w:val="center"/>
          </w:tcPr>
          <w:p w14:paraId="3E2486C3" w14:textId="7F70BA6E" w:rsidR="0063389A" w:rsidRPr="00A87A92" w:rsidRDefault="0063389A" w:rsidP="00A87A92">
            <w:pPr>
              <w:tabs>
                <w:tab w:val="left" w:pos="1080"/>
              </w:tabs>
              <w:jc w:val="both"/>
              <w:rPr>
                <w:rFonts w:ascii="Arial" w:hAnsi="Arial"/>
                <w:bCs/>
                <w:lang w:val="id-ID"/>
              </w:rPr>
            </w:pPr>
            <w:r>
              <w:rPr>
                <w:rFonts w:ascii="Arial" w:hAnsi="Arial"/>
                <w:bCs/>
                <w:lang w:val="id-ID"/>
              </w:rPr>
              <w:t>17,7</w:t>
            </w:r>
            <w:r w:rsidR="002F0BE7">
              <w:rPr>
                <w:rFonts w:ascii="Arial" w:hAnsi="Arial"/>
                <w:bCs/>
                <w:lang w:val="id-ID"/>
              </w:rPr>
              <w:t>3</w:t>
            </w:r>
            <w:r w:rsidRPr="0063389A">
              <w:rPr>
                <w:rFonts w:ascii="Arial" w:hAnsi="Arial"/>
                <w:bCs/>
                <w:vertAlign w:val="superscript"/>
                <w:lang w:val="id-ID"/>
              </w:rPr>
              <w:t>T</w:t>
            </w:r>
          </w:p>
        </w:tc>
      </w:tr>
      <w:tr w:rsidR="00A87A92" w:rsidRPr="00A87A92" w14:paraId="7C9D6B4D" w14:textId="77777777" w:rsidTr="009C31A2">
        <w:trPr>
          <w:trHeight w:val="257"/>
        </w:trPr>
        <w:tc>
          <w:tcPr>
            <w:tcW w:w="653" w:type="dxa"/>
          </w:tcPr>
          <w:p w14:paraId="4418E560" w14:textId="3140A534" w:rsidR="00A87A92" w:rsidRPr="00A87A92" w:rsidRDefault="008D181F" w:rsidP="00A87A92">
            <w:pPr>
              <w:tabs>
                <w:tab w:val="left" w:pos="1080"/>
              </w:tabs>
              <w:jc w:val="both"/>
              <w:rPr>
                <w:rFonts w:ascii="Arial" w:hAnsi="Arial"/>
                <w:bCs/>
                <w:lang w:val="id-ID"/>
              </w:rPr>
            </w:pPr>
            <w:r>
              <w:rPr>
                <w:rFonts w:ascii="Arial" w:hAnsi="Arial"/>
                <w:bCs/>
                <w:lang w:val="id-ID"/>
              </w:rPr>
              <w:t>5</w:t>
            </w:r>
          </w:p>
        </w:tc>
        <w:tc>
          <w:tcPr>
            <w:tcW w:w="3170" w:type="dxa"/>
          </w:tcPr>
          <w:p w14:paraId="0A247104" w14:textId="50634ADF" w:rsidR="00A87A92" w:rsidRPr="00A87A92" w:rsidRDefault="00DA0944" w:rsidP="00A87A92">
            <w:pPr>
              <w:tabs>
                <w:tab w:val="left" w:pos="1080"/>
              </w:tabs>
              <w:jc w:val="both"/>
              <w:rPr>
                <w:rFonts w:ascii="Arial" w:hAnsi="Arial"/>
                <w:bCs/>
                <w:lang w:val="id-ID"/>
              </w:rPr>
            </w:pPr>
            <w:r>
              <w:rPr>
                <w:rFonts w:ascii="Arial" w:hAnsi="Arial"/>
                <w:bCs/>
                <w:lang w:val="id-ID"/>
              </w:rPr>
              <w:t>Number of Micro Roots</w:t>
            </w:r>
          </w:p>
        </w:tc>
        <w:tc>
          <w:tcPr>
            <w:tcW w:w="1275" w:type="dxa"/>
          </w:tcPr>
          <w:p w14:paraId="33105177"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411,19 </w:t>
            </w:r>
            <w:r w:rsidRPr="00A87A92">
              <w:rPr>
                <w:rFonts w:ascii="Arial" w:hAnsi="Arial"/>
                <w:bCs/>
                <w:vertAlign w:val="superscript"/>
                <w:lang w:val="id-ID"/>
              </w:rPr>
              <w:t>*</w:t>
            </w:r>
          </w:p>
        </w:tc>
        <w:tc>
          <w:tcPr>
            <w:tcW w:w="1134" w:type="dxa"/>
          </w:tcPr>
          <w:p w14:paraId="1411FFC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64,92 </w:t>
            </w:r>
            <w:r w:rsidRPr="00A87A92">
              <w:rPr>
                <w:rFonts w:ascii="Arial" w:hAnsi="Arial"/>
                <w:bCs/>
                <w:vertAlign w:val="superscript"/>
                <w:lang w:val="id-ID"/>
              </w:rPr>
              <w:t>*</w:t>
            </w:r>
          </w:p>
        </w:tc>
        <w:tc>
          <w:tcPr>
            <w:tcW w:w="1247" w:type="dxa"/>
          </w:tcPr>
          <w:p w14:paraId="118D211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55,03 </w:t>
            </w:r>
            <w:r w:rsidRPr="00A87A92">
              <w:rPr>
                <w:rFonts w:ascii="Arial" w:hAnsi="Arial"/>
                <w:bCs/>
                <w:vertAlign w:val="superscript"/>
                <w:lang w:val="id-ID"/>
              </w:rPr>
              <w:t>*</w:t>
            </w:r>
          </w:p>
        </w:tc>
        <w:tc>
          <w:tcPr>
            <w:tcW w:w="1026" w:type="dxa"/>
            <w:vAlign w:val="center"/>
          </w:tcPr>
          <w:p w14:paraId="6E3B8655" w14:textId="22AD0CF7" w:rsidR="00A87A92" w:rsidRPr="00A87A92" w:rsidRDefault="00A87A92" w:rsidP="00A87A92">
            <w:pPr>
              <w:tabs>
                <w:tab w:val="left" w:pos="1080"/>
              </w:tabs>
              <w:jc w:val="both"/>
              <w:rPr>
                <w:rFonts w:ascii="Arial" w:hAnsi="Arial"/>
                <w:bCs/>
                <w:lang w:val="id-ID"/>
              </w:rPr>
            </w:pPr>
            <w:r w:rsidRPr="00A87A92">
              <w:rPr>
                <w:rFonts w:ascii="Arial" w:hAnsi="Arial"/>
                <w:bCs/>
                <w:lang w:val="id-ID"/>
              </w:rPr>
              <w:t>20,48</w:t>
            </w:r>
          </w:p>
        </w:tc>
      </w:tr>
      <w:tr w:rsidR="00A87A92" w:rsidRPr="00A87A92" w14:paraId="34BCDB85" w14:textId="77777777" w:rsidTr="009C31A2">
        <w:trPr>
          <w:trHeight w:val="257"/>
        </w:trPr>
        <w:tc>
          <w:tcPr>
            <w:tcW w:w="653" w:type="dxa"/>
          </w:tcPr>
          <w:p w14:paraId="3E2A7610" w14:textId="01794549" w:rsidR="00A87A92" w:rsidRPr="00A87A92" w:rsidRDefault="008D181F" w:rsidP="00A87A92">
            <w:pPr>
              <w:tabs>
                <w:tab w:val="left" w:pos="1080"/>
              </w:tabs>
              <w:jc w:val="both"/>
              <w:rPr>
                <w:rFonts w:ascii="Arial" w:hAnsi="Arial"/>
                <w:bCs/>
                <w:lang w:val="id-ID"/>
              </w:rPr>
            </w:pPr>
            <w:r>
              <w:rPr>
                <w:rFonts w:ascii="Arial" w:hAnsi="Arial"/>
                <w:bCs/>
                <w:lang w:val="id-ID"/>
              </w:rPr>
              <w:t>6</w:t>
            </w:r>
          </w:p>
        </w:tc>
        <w:tc>
          <w:tcPr>
            <w:tcW w:w="3170" w:type="dxa"/>
          </w:tcPr>
          <w:p w14:paraId="7E001ED9" w14:textId="6CCCE6F4" w:rsidR="00A87A92" w:rsidRPr="00A87A92" w:rsidRDefault="00DA0944" w:rsidP="00A87A92">
            <w:pPr>
              <w:tabs>
                <w:tab w:val="left" w:pos="1080"/>
              </w:tabs>
              <w:jc w:val="both"/>
              <w:rPr>
                <w:rFonts w:ascii="Arial" w:hAnsi="Arial"/>
                <w:bCs/>
                <w:lang w:val="id-ID"/>
              </w:rPr>
            </w:pPr>
            <w:r w:rsidRPr="00DA0944">
              <w:rPr>
                <w:rFonts w:ascii="Arial" w:hAnsi="Arial"/>
                <w:bCs/>
                <w:lang w:val="id-ID"/>
              </w:rPr>
              <w:t>Micro Root Length</w:t>
            </w:r>
          </w:p>
        </w:tc>
        <w:tc>
          <w:tcPr>
            <w:tcW w:w="1275" w:type="dxa"/>
          </w:tcPr>
          <w:p w14:paraId="65AC5F45"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172,40 </w:t>
            </w:r>
            <w:r w:rsidRPr="00A87A92">
              <w:rPr>
                <w:rFonts w:ascii="Arial" w:hAnsi="Arial"/>
                <w:bCs/>
                <w:vertAlign w:val="superscript"/>
                <w:lang w:val="id-ID"/>
              </w:rPr>
              <w:t>*</w:t>
            </w:r>
          </w:p>
        </w:tc>
        <w:tc>
          <w:tcPr>
            <w:tcW w:w="1134" w:type="dxa"/>
          </w:tcPr>
          <w:p w14:paraId="20CFBE66"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2,41 </w:t>
            </w:r>
            <w:r w:rsidRPr="00A87A92">
              <w:rPr>
                <w:rFonts w:ascii="Arial" w:hAnsi="Arial"/>
                <w:bCs/>
                <w:vertAlign w:val="superscript"/>
                <w:lang w:val="id-ID"/>
              </w:rPr>
              <w:t>ns</w:t>
            </w:r>
          </w:p>
        </w:tc>
        <w:tc>
          <w:tcPr>
            <w:tcW w:w="1247" w:type="dxa"/>
          </w:tcPr>
          <w:p w14:paraId="5CC80AD9"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1,16 </w:t>
            </w:r>
            <w:r w:rsidRPr="00A87A92">
              <w:rPr>
                <w:rFonts w:ascii="Arial" w:hAnsi="Arial"/>
                <w:bCs/>
                <w:vertAlign w:val="superscript"/>
                <w:lang w:val="id-ID"/>
              </w:rPr>
              <w:t>ns</w:t>
            </w:r>
          </w:p>
        </w:tc>
        <w:tc>
          <w:tcPr>
            <w:tcW w:w="1026" w:type="dxa"/>
            <w:vAlign w:val="center"/>
          </w:tcPr>
          <w:p w14:paraId="0154FEBA" w14:textId="63D73512" w:rsidR="00A87A92" w:rsidRPr="00A87A92" w:rsidRDefault="00A87A92" w:rsidP="00A87A92">
            <w:pPr>
              <w:tabs>
                <w:tab w:val="left" w:pos="1080"/>
              </w:tabs>
              <w:jc w:val="both"/>
              <w:rPr>
                <w:rFonts w:ascii="Arial" w:hAnsi="Arial"/>
                <w:bCs/>
                <w:lang w:val="id-ID"/>
              </w:rPr>
            </w:pPr>
            <w:r w:rsidRPr="00A87A92">
              <w:rPr>
                <w:rFonts w:ascii="Arial" w:hAnsi="Arial"/>
                <w:bCs/>
                <w:lang w:val="id-ID"/>
              </w:rPr>
              <w:t>11,54</w:t>
            </w:r>
            <w:r w:rsidRPr="00A87A92">
              <w:rPr>
                <w:rFonts w:ascii="Arial" w:hAnsi="Arial"/>
                <w:bCs/>
                <w:vertAlign w:val="superscript"/>
                <w:lang w:val="id-ID"/>
              </w:rPr>
              <w:t>T</w:t>
            </w:r>
          </w:p>
        </w:tc>
      </w:tr>
      <w:tr w:rsidR="00A87A92" w:rsidRPr="00A87A92" w14:paraId="4F820258" w14:textId="77777777" w:rsidTr="009C31A2">
        <w:trPr>
          <w:trHeight w:val="257"/>
        </w:trPr>
        <w:tc>
          <w:tcPr>
            <w:tcW w:w="653" w:type="dxa"/>
          </w:tcPr>
          <w:p w14:paraId="0261EE57" w14:textId="1D5A8C63" w:rsidR="00A87A92" w:rsidRPr="00A87A92" w:rsidRDefault="008D181F" w:rsidP="00A87A92">
            <w:pPr>
              <w:tabs>
                <w:tab w:val="left" w:pos="1080"/>
              </w:tabs>
              <w:jc w:val="both"/>
              <w:rPr>
                <w:rFonts w:ascii="Arial" w:hAnsi="Arial"/>
                <w:bCs/>
                <w:lang w:val="id-ID"/>
              </w:rPr>
            </w:pPr>
            <w:r>
              <w:rPr>
                <w:rFonts w:ascii="Arial" w:hAnsi="Arial"/>
                <w:bCs/>
                <w:lang w:val="id-ID"/>
              </w:rPr>
              <w:t>7</w:t>
            </w:r>
          </w:p>
        </w:tc>
        <w:tc>
          <w:tcPr>
            <w:tcW w:w="3170" w:type="dxa"/>
          </w:tcPr>
          <w:p w14:paraId="02013B54" w14:textId="7DA260C3" w:rsidR="00A87A92" w:rsidRPr="00A87A92" w:rsidRDefault="00DA0944" w:rsidP="00A87A92">
            <w:pPr>
              <w:tabs>
                <w:tab w:val="left" w:pos="1080"/>
              </w:tabs>
              <w:jc w:val="both"/>
              <w:rPr>
                <w:rFonts w:ascii="Arial" w:hAnsi="Arial"/>
                <w:bCs/>
                <w:lang w:val="id-ID"/>
              </w:rPr>
            </w:pPr>
            <w:r w:rsidRPr="00DA0944">
              <w:rPr>
                <w:rFonts w:ascii="Arial" w:hAnsi="Arial"/>
                <w:bCs/>
                <w:lang w:val="id-ID"/>
              </w:rPr>
              <w:t>Microbulb Percentage</w:t>
            </w:r>
          </w:p>
        </w:tc>
        <w:tc>
          <w:tcPr>
            <w:tcW w:w="1275" w:type="dxa"/>
          </w:tcPr>
          <w:p w14:paraId="044DB015" w14:textId="0DC94630"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300,26 </w:t>
            </w:r>
            <w:r w:rsidR="002F0BE7">
              <w:rPr>
                <w:rFonts w:ascii="Arial" w:hAnsi="Arial"/>
                <w:bCs/>
                <w:vertAlign w:val="superscript"/>
                <w:lang w:val="id-ID"/>
              </w:rPr>
              <w:t>ns</w:t>
            </w:r>
          </w:p>
        </w:tc>
        <w:tc>
          <w:tcPr>
            <w:tcW w:w="1134" w:type="dxa"/>
          </w:tcPr>
          <w:p w14:paraId="3368C056" w14:textId="34B2C6DC"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7,26 </w:t>
            </w:r>
            <w:r w:rsidR="002F0BE7">
              <w:rPr>
                <w:rFonts w:ascii="Arial" w:hAnsi="Arial"/>
                <w:bCs/>
                <w:vertAlign w:val="superscript"/>
                <w:lang w:val="id-ID"/>
              </w:rPr>
              <w:t>ns</w:t>
            </w:r>
          </w:p>
        </w:tc>
        <w:tc>
          <w:tcPr>
            <w:tcW w:w="1247" w:type="dxa"/>
          </w:tcPr>
          <w:p w14:paraId="54A7639E" w14:textId="1B00ED9E" w:rsidR="00A87A92" w:rsidRPr="00A87A92" w:rsidRDefault="00A87A92" w:rsidP="00A87A92">
            <w:pPr>
              <w:tabs>
                <w:tab w:val="left" w:pos="1080"/>
              </w:tabs>
              <w:jc w:val="both"/>
              <w:rPr>
                <w:rFonts w:ascii="Arial" w:hAnsi="Arial"/>
                <w:bCs/>
                <w:lang w:val="id-ID"/>
              </w:rPr>
            </w:pPr>
            <w:r w:rsidRPr="00A87A92">
              <w:rPr>
                <w:rFonts w:ascii="Arial" w:hAnsi="Arial"/>
                <w:bCs/>
                <w:lang w:val="id-ID"/>
              </w:rPr>
              <w:t>5,11</w:t>
            </w:r>
            <w:r w:rsidR="002F0BE7">
              <w:rPr>
                <w:rFonts w:ascii="Arial" w:hAnsi="Arial"/>
                <w:bCs/>
                <w:vertAlign w:val="superscript"/>
                <w:lang w:val="id-ID"/>
              </w:rPr>
              <w:t>ns</w:t>
            </w:r>
          </w:p>
        </w:tc>
        <w:tc>
          <w:tcPr>
            <w:tcW w:w="1026" w:type="dxa"/>
            <w:vAlign w:val="center"/>
          </w:tcPr>
          <w:p w14:paraId="34A59641" w14:textId="521BEF78" w:rsidR="00A87A92" w:rsidRPr="00A87A92" w:rsidRDefault="00A87A92" w:rsidP="00A87A92">
            <w:pPr>
              <w:tabs>
                <w:tab w:val="left" w:pos="1080"/>
              </w:tabs>
              <w:jc w:val="both"/>
              <w:rPr>
                <w:rFonts w:ascii="Arial" w:hAnsi="Arial"/>
                <w:bCs/>
                <w:lang w:val="id-ID"/>
              </w:rPr>
            </w:pPr>
            <w:r w:rsidRPr="00A87A92">
              <w:rPr>
                <w:rFonts w:ascii="Arial" w:hAnsi="Arial"/>
                <w:bCs/>
                <w:lang w:val="id-ID"/>
              </w:rPr>
              <w:t>15,50</w:t>
            </w:r>
            <w:r w:rsidRPr="00A87A92">
              <w:rPr>
                <w:rFonts w:ascii="Arial" w:hAnsi="Arial"/>
                <w:bCs/>
                <w:vertAlign w:val="superscript"/>
                <w:lang w:val="id-ID"/>
              </w:rPr>
              <w:t>T</w:t>
            </w:r>
          </w:p>
        </w:tc>
      </w:tr>
      <w:tr w:rsidR="00A87A92" w:rsidRPr="00A87A92" w14:paraId="20B987F8" w14:textId="77777777" w:rsidTr="009C31A2">
        <w:trPr>
          <w:trHeight w:val="257"/>
        </w:trPr>
        <w:tc>
          <w:tcPr>
            <w:tcW w:w="653" w:type="dxa"/>
          </w:tcPr>
          <w:p w14:paraId="49A0D5CA" w14:textId="637F8671" w:rsidR="00A87A92" w:rsidRPr="00A87A92" w:rsidRDefault="008D181F" w:rsidP="00A87A92">
            <w:pPr>
              <w:tabs>
                <w:tab w:val="left" w:pos="1080"/>
              </w:tabs>
              <w:jc w:val="both"/>
              <w:rPr>
                <w:rFonts w:ascii="Arial" w:hAnsi="Arial"/>
                <w:bCs/>
                <w:lang w:val="id-ID"/>
              </w:rPr>
            </w:pPr>
            <w:r>
              <w:rPr>
                <w:rFonts w:ascii="Arial" w:hAnsi="Arial"/>
                <w:bCs/>
                <w:lang w:val="id-ID"/>
              </w:rPr>
              <w:t>8</w:t>
            </w:r>
          </w:p>
          <w:p w14:paraId="3A368ED5" w14:textId="7F4DAD09" w:rsidR="00A87A92" w:rsidRPr="00A87A92" w:rsidRDefault="008D181F" w:rsidP="00A87A92">
            <w:pPr>
              <w:tabs>
                <w:tab w:val="left" w:pos="1080"/>
              </w:tabs>
              <w:jc w:val="both"/>
              <w:rPr>
                <w:rFonts w:ascii="Arial" w:hAnsi="Arial"/>
                <w:bCs/>
                <w:lang w:val="id-ID"/>
              </w:rPr>
            </w:pPr>
            <w:r>
              <w:rPr>
                <w:rFonts w:ascii="Arial" w:hAnsi="Arial"/>
                <w:bCs/>
                <w:lang w:val="id-ID"/>
              </w:rPr>
              <w:t>9</w:t>
            </w:r>
          </w:p>
        </w:tc>
        <w:tc>
          <w:tcPr>
            <w:tcW w:w="3170" w:type="dxa"/>
          </w:tcPr>
          <w:p w14:paraId="7437E73B" w14:textId="77777777" w:rsidR="00A87A92" w:rsidRDefault="00DA0944" w:rsidP="00A87A92">
            <w:pPr>
              <w:tabs>
                <w:tab w:val="left" w:pos="1080"/>
              </w:tabs>
              <w:jc w:val="both"/>
              <w:rPr>
                <w:rFonts w:ascii="Arial" w:hAnsi="Arial"/>
                <w:bCs/>
              </w:rPr>
            </w:pPr>
            <w:proofErr w:type="spellStart"/>
            <w:r w:rsidRPr="00DA0944">
              <w:rPr>
                <w:rFonts w:ascii="Arial" w:hAnsi="Arial"/>
                <w:bCs/>
              </w:rPr>
              <w:t>Microbulb</w:t>
            </w:r>
            <w:proofErr w:type="spellEnd"/>
            <w:r w:rsidRPr="00DA0944">
              <w:rPr>
                <w:rFonts w:ascii="Arial" w:hAnsi="Arial"/>
                <w:bCs/>
              </w:rPr>
              <w:t xml:space="preserve"> Diameter</w:t>
            </w:r>
          </w:p>
          <w:p w14:paraId="0E72F74F" w14:textId="41F24F8E" w:rsidR="00485654" w:rsidRPr="00A87A92" w:rsidRDefault="00485654" w:rsidP="00A87A92">
            <w:pPr>
              <w:tabs>
                <w:tab w:val="left" w:pos="1080"/>
              </w:tabs>
              <w:jc w:val="both"/>
              <w:rPr>
                <w:rFonts w:ascii="Arial" w:hAnsi="Arial"/>
                <w:bCs/>
                <w:lang w:val="id-ID"/>
              </w:rPr>
            </w:pPr>
            <w:r>
              <w:rPr>
                <w:rFonts w:ascii="Arial" w:hAnsi="Arial"/>
                <w:bCs/>
              </w:rPr>
              <w:t>Plant Height</w:t>
            </w:r>
          </w:p>
        </w:tc>
        <w:tc>
          <w:tcPr>
            <w:tcW w:w="1275" w:type="dxa"/>
          </w:tcPr>
          <w:p w14:paraId="6B865C40"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84,86 </w:t>
            </w:r>
            <w:r w:rsidRPr="00A87A92">
              <w:rPr>
                <w:rFonts w:ascii="Arial" w:hAnsi="Arial"/>
                <w:bCs/>
                <w:vertAlign w:val="superscript"/>
                <w:lang w:val="id-ID"/>
              </w:rPr>
              <w:t>*</w:t>
            </w:r>
          </w:p>
          <w:p w14:paraId="1C8DF931"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483,85 </w:t>
            </w:r>
            <w:r w:rsidRPr="00A87A92">
              <w:rPr>
                <w:rFonts w:ascii="Arial" w:hAnsi="Arial"/>
                <w:bCs/>
                <w:vertAlign w:val="superscript"/>
                <w:lang w:val="id-ID"/>
              </w:rPr>
              <w:t>*</w:t>
            </w:r>
          </w:p>
        </w:tc>
        <w:tc>
          <w:tcPr>
            <w:tcW w:w="1134" w:type="dxa"/>
          </w:tcPr>
          <w:p w14:paraId="0D9D7CAF" w14:textId="77777777" w:rsidR="00A87A92" w:rsidRPr="00A87A92" w:rsidRDefault="00A87A92" w:rsidP="00A87A92">
            <w:pPr>
              <w:tabs>
                <w:tab w:val="left" w:pos="1080"/>
              </w:tabs>
              <w:jc w:val="both"/>
              <w:rPr>
                <w:rFonts w:ascii="Arial" w:hAnsi="Arial"/>
                <w:bCs/>
                <w:vertAlign w:val="superscript"/>
                <w:lang w:val="id-ID"/>
              </w:rPr>
            </w:pPr>
            <w:r w:rsidRPr="00A87A92">
              <w:rPr>
                <w:rFonts w:ascii="Arial" w:hAnsi="Arial"/>
                <w:bCs/>
                <w:lang w:val="id-ID"/>
              </w:rPr>
              <w:t xml:space="preserve">1,26 </w:t>
            </w:r>
            <w:r w:rsidRPr="00A87A92">
              <w:rPr>
                <w:rFonts w:ascii="Arial" w:hAnsi="Arial"/>
                <w:bCs/>
                <w:vertAlign w:val="superscript"/>
                <w:lang w:val="id-ID"/>
              </w:rPr>
              <w:t>ns</w:t>
            </w:r>
          </w:p>
          <w:p w14:paraId="6DC4FBAC"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7,98 </w:t>
            </w:r>
            <w:r w:rsidRPr="00A87A92">
              <w:rPr>
                <w:rFonts w:ascii="Arial" w:hAnsi="Arial"/>
                <w:bCs/>
                <w:vertAlign w:val="superscript"/>
                <w:lang w:val="id-ID"/>
              </w:rPr>
              <w:t>*</w:t>
            </w:r>
          </w:p>
        </w:tc>
        <w:tc>
          <w:tcPr>
            <w:tcW w:w="1247" w:type="dxa"/>
          </w:tcPr>
          <w:p w14:paraId="38F7D4DE"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0,50 </w:t>
            </w:r>
            <w:r w:rsidRPr="00A87A92">
              <w:rPr>
                <w:rFonts w:ascii="Arial" w:hAnsi="Arial"/>
                <w:bCs/>
                <w:vertAlign w:val="superscript"/>
                <w:lang w:val="id-ID"/>
              </w:rPr>
              <w:t>ns</w:t>
            </w:r>
          </w:p>
          <w:p w14:paraId="16AE2B55" w14:textId="77777777" w:rsidR="00A87A92" w:rsidRPr="00A87A92" w:rsidRDefault="00A87A92" w:rsidP="00A87A92">
            <w:pPr>
              <w:tabs>
                <w:tab w:val="left" w:pos="1080"/>
              </w:tabs>
              <w:jc w:val="both"/>
              <w:rPr>
                <w:rFonts w:ascii="Arial" w:hAnsi="Arial"/>
                <w:bCs/>
                <w:lang w:val="id-ID"/>
              </w:rPr>
            </w:pPr>
            <w:r w:rsidRPr="00A87A92">
              <w:rPr>
                <w:rFonts w:ascii="Arial" w:hAnsi="Arial"/>
                <w:bCs/>
                <w:lang w:val="id-ID"/>
              </w:rPr>
              <w:t xml:space="preserve">3,13 </w:t>
            </w:r>
            <w:r w:rsidRPr="00A87A92">
              <w:rPr>
                <w:rFonts w:ascii="Arial" w:hAnsi="Arial"/>
                <w:bCs/>
                <w:vertAlign w:val="superscript"/>
                <w:lang w:val="id-ID"/>
              </w:rPr>
              <w:t>ns</w:t>
            </w:r>
          </w:p>
        </w:tc>
        <w:tc>
          <w:tcPr>
            <w:tcW w:w="1026" w:type="dxa"/>
            <w:vAlign w:val="center"/>
          </w:tcPr>
          <w:p w14:paraId="32C117D3" w14:textId="495D706D" w:rsidR="00A87A92" w:rsidRPr="00A87A92" w:rsidRDefault="00A87A92" w:rsidP="00A87A92">
            <w:pPr>
              <w:tabs>
                <w:tab w:val="left" w:pos="1080"/>
              </w:tabs>
              <w:jc w:val="both"/>
              <w:rPr>
                <w:rFonts w:ascii="Arial" w:hAnsi="Arial"/>
                <w:bCs/>
                <w:lang w:val="id-ID"/>
              </w:rPr>
            </w:pPr>
            <w:r w:rsidRPr="00A87A92">
              <w:rPr>
                <w:rFonts w:ascii="Arial" w:hAnsi="Arial"/>
                <w:bCs/>
                <w:lang w:val="id-ID"/>
              </w:rPr>
              <w:t>21,49</w:t>
            </w:r>
            <w:r w:rsidRPr="00A87A92">
              <w:rPr>
                <w:rFonts w:ascii="Arial" w:hAnsi="Arial"/>
                <w:bCs/>
                <w:vertAlign w:val="superscript"/>
                <w:lang w:val="id-ID"/>
              </w:rPr>
              <w:t>T</w:t>
            </w:r>
          </w:p>
          <w:p w14:paraId="34BBB91E" w14:textId="20AEDC97" w:rsidR="00A87A92" w:rsidRPr="00A87A92" w:rsidRDefault="00A87A92" w:rsidP="00A87A92">
            <w:pPr>
              <w:tabs>
                <w:tab w:val="left" w:pos="1080"/>
              </w:tabs>
              <w:jc w:val="both"/>
              <w:rPr>
                <w:rFonts w:ascii="Arial" w:hAnsi="Arial"/>
                <w:bCs/>
                <w:lang w:val="id-ID"/>
              </w:rPr>
            </w:pPr>
            <w:r w:rsidRPr="00A87A92">
              <w:rPr>
                <w:rFonts w:ascii="Arial" w:hAnsi="Arial"/>
                <w:bCs/>
                <w:lang w:val="id-ID"/>
              </w:rPr>
              <w:t>21,71</w:t>
            </w:r>
          </w:p>
        </w:tc>
      </w:tr>
      <w:tr w:rsidR="00D953D0" w:rsidRPr="00A87A92" w14:paraId="6613DA7A" w14:textId="77777777" w:rsidTr="009C31A2">
        <w:trPr>
          <w:trHeight w:val="257"/>
        </w:trPr>
        <w:tc>
          <w:tcPr>
            <w:tcW w:w="653" w:type="dxa"/>
          </w:tcPr>
          <w:p w14:paraId="7D2296B9" w14:textId="6EBFEF08"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0</w:t>
            </w:r>
          </w:p>
        </w:tc>
        <w:tc>
          <w:tcPr>
            <w:tcW w:w="3170" w:type="dxa"/>
          </w:tcPr>
          <w:p w14:paraId="32FD3264" w14:textId="34A1D557" w:rsidR="00D953D0" w:rsidRPr="00A87A92" w:rsidRDefault="00485654" w:rsidP="00D953D0">
            <w:pPr>
              <w:tabs>
                <w:tab w:val="left" w:pos="1080"/>
              </w:tabs>
              <w:jc w:val="both"/>
              <w:rPr>
                <w:rFonts w:ascii="Arial" w:hAnsi="Arial"/>
                <w:bCs/>
                <w:lang w:val="id-ID"/>
              </w:rPr>
            </w:pPr>
            <w:r w:rsidRPr="00485654">
              <w:rPr>
                <w:rFonts w:ascii="Arial" w:hAnsi="Arial"/>
                <w:bCs/>
                <w:lang w:val="id-ID"/>
              </w:rPr>
              <w:t>Time to Micro Shoot Emergence</w:t>
            </w:r>
          </w:p>
        </w:tc>
        <w:tc>
          <w:tcPr>
            <w:tcW w:w="1275" w:type="dxa"/>
          </w:tcPr>
          <w:p w14:paraId="3682F17B" w14:textId="23C3414A" w:rsidR="00D953D0" w:rsidRPr="00A87A92" w:rsidRDefault="001A33CD" w:rsidP="00D953D0">
            <w:pPr>
              <w:tabs>
                <w:tab w:val="left" w:pos="1080"/>
              </w:tabs>
              <w:jc w:val="both"/>
              <w:rPr>
                <w:rFonts w:ascii="Arial" w:hAnsi="Arial"/>
                <w:bCs/>
                <w:lang w:val="id-ID"/>
              </w:rPr>
            </w:pPr>
            <w:r>
              <w:rPr>
                <w:rFonts w:ascii="Arial" w:hAnsi="Arial"/>
                <w:bCs/>
                <w:lang w:val="id-ID"/>
              </w:rPr>
              <w:t>1,66</w:t>
            </w:r>
            <w:r w:rsidRPr="001A33CD">
              <w:rPr>
                <w:rFonts w:ascii="Arial" w:hAnsi="Arial"/>
                <w:bCs/>
                <w:vertAlign w:val="superscript"/>
                <w:lang w:val="id-ID"/>
              </w:rPr>
              <w:t>ns</w:t>
            </w:r>
          </w:p>
        </w:tc>
        <w:tc>
          <w:tcPr>
            <w:tcW w:w="1134" w:type="dxa"/>
          </w:tcPr>
          <w:p w14:paraId="5876DCA4" w14:textId="3753D6EF" w:rsidR="00D953D0" w:rsidRPr="00A87A92" w:rsidRDefault="001A33CD" w:rsidP="00D953D0">
            <w:pPr>
              <w:tabs>
                <w:tab w:val="left" w:pos="1080"/>
              </w:tabs>
              <w:jc w:val="both"/>
              <w:rPr>
                <w:rFonts w:ascii="Arial" w:hAnsi="Arial"/>
                <w:bCs/>
                <w:lang w:val="id-ID"/>
              </w:rPr>
            </w:pPr>
            <w:r>
              <w:rPr>
                <w:rFonts w:ascii="Arial" w:hAnsi="Arial"/>
                <w:bCs/>
                <w:lang w:val="id-ID"/>
              </w:rPr>
              <w:t xml:space="preserve">0,85 </w:t>
            </w:r>
            <w:r w:rsidRPr="001A33CD">
              <w:rPr>
                <w:rFonts w:ascii="Arial" w:hAnsi="Arial"/>
                <w:bCs/>
                <w:vertAlign w:val="superscript"/>
                <w:lang w:val="id-ID"/>
              </w:rPr>
              <w:t>ns</w:t>
            </w:r>
          </w:p>
        </w:tc>
        <w:tc>
          <w:tcPr>
            <w:tcW w:w="1247" w:type="dxa"/>
          </w:tcPr>
          <w:p w14:paraId="62FB5B10" w14:textId="104D29BB" w:rsidR="00D953D0" w:rsidRPr="00A87A92" w:rsidRDefault="001A33CD" w:rsidP="00D953D0">
            <w:pPr>
              <w:tabs>
                <w:tab w:val="left" w:pos="1080"/>
              </w:tabs>
              <w:jc w:val="both"/>
              <w:rPr>
                <w:rFonts w:ascii="Arial" w:hAnsi="Arial"/>
                <w:bCs/>
                <w:lang w:val="id-ID"/>
              </w:rPr>
            </w:pPr>
            <w:r>
              <w:rPr>
                <w:rFonts w:ascii="Arial" w:hAnsi="Arial"/>
                <w:bCs/>
                <w:lang w:val="id-ID"/>
              </w:rPr>
              <w:t xml:space="preserve">0,61 </w:t>
            </w:r>
            <w:r w:rsidRPr="001A33CD">
              <w:rPr>
                <w:rFonts w:ascii="Arial" w:hAnsi="Arial"/>
                <w:bCs/>
                <w:vertAlign w:val="superscript"/>
                <w:lang w:val="id-ID"/>
              </w:rPr>
              <w:t>ns</w:t>
            </w:r>
          </w:p>
        </w:tc>
        <w:tc>
          <w:tcPr>
            <w:tcW w:w="1026" w:type="dxa"/>
            <w:vAlign w:val="center"/>
          </w:tcPr>
          <w:p w14:paraId="5FE16CB2" w14:textId="6F516245" w:rsidR="00D953D0" w:rsidRPr="00A87A92" w:rsidRDefault="001A33CD" w:rsidP="00D953D0">
            <w:pPr>
              <w:tabs>
                <w:tab w:val="left" w:pos="1080"/>
              </w:tabs>
              <w:jc w:val="both"/>
              <w:rPr>
                <w:rFonts w:ascii="Arial" w:hAnsi="Arial"/>
                <w:bCs/>
                <w:lang w:val="id-ID"/>
              </w:rPr>
            </w:pPr>
            <w:r>
              <w:rPr>
                <w:rFonts w:ascii="Arial" w:hAnsi="Arial"/>
                <w:bCs/>
                <w:lang w:val="id-ID"/>
              </w:rPr>
              <w:t>38,19</w:t>
            </w:r>
            <w:r w:rsidRPr="001A33CD">
              <w:rPr>
                <w:rFonts w:ascii="Arial" w:hAnsi="Arial"/>
                <w:bCs/>
                <w:vertAlign w:val="superscript"/>
                <w:lang w:val="id-ID"/>
              </w:rPr>
              <w:t>T-</w:t>
            </w:r>
          </w:p>
        </w:tc>
      </w:tr>
      <w:tr w:rsidR="00D953D0" w:rsidRPr="00A87A92" w14:paraId="6AF7702B" w14:textId="77777777" w:rsidTr="009C31A2">
        <w:trPr>
          <w:trHeight w:val="257"/>
        </w:trPr>
        <w:tc>
          <w:tcPr>
            <w:tcW w:w="653" w:type="dxa"/>
          </w:tcPr>
          <w:p w14:paraId="1CA80FB1" w14:textId="01702EB0"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1</w:t>
            </w:r>
          </w:p>
        </w:tc>
        <w:tc>
          <w:tcPr>
            <w:tcW w:w="3170" w:type="dxa"/>
          </w:tcPr>
          <w:p w14:paraId="766EAC06" w14:textId="1425AEDC" w:rsidR="00D953D0" w:rsidRPr="00A87A92" w:rsidRDefault="00485654" w:rsidP="00D953D0">
            <w:pPr>
              <w:tabs>
                <w:tab w:val="left" w:pos="1080"/>
              </w:tabs>
              <w:jc w:val="both"/>
              <w:rPr>
                <w:rFonts w:ascii="Arial" w:hAnsi="Arial"/>
                <w:bCs/>
                <w:lang w:val="id-ID"/>
              </w:rPr>
            </w:pPr>
            <w:r w:rsidRPr="00485654">
              <w:rPr>
                <w:rFonts w:ascii="Arial" w:hAnsi="Arial"/>
                <w:bCs/>
              </w:rPr>
              <w:t>Time to Micro Leaf Emergence</w:t>
            </w:r>
          </w:p>
        </w:tc>
        <w:tc>
          <w:tcPr>
            <w:tcW w:w="1275" w:type="dxa"/>
          </w:tcPr>
          <w:p w14:paraId="0ECA6143" w14:textId="0090E1B9" w:rsidR="00D953D0" w:rsidRPr="00A87A92" w:rsidRDefault="001A33CD" w:rsidP="00D953D0">
            <w:pPr>
              <w:tabs>
                <w:tab w:val="left" w:pos="1080"/>
              </w:tabs>
              <w:jc w:val="both"/>
              <w:rPr>
                <w:rFonts w:ascii="Arial" w:hAnsi="Arial"/>
                <w:bCs/>
                <w:lang w:val="id-ID"/>
              </w:rPr>
            </w:pPr>
            <w:r>
              <w:rPr>
                <w:rFonts w:ascii="Arial" w:hAnsi="Arial"/>
                <w:bCs/>
                <w:lang w:val="id-ID"/>
              </w:rPr>
              <w:t>23,52</w:t>
            </w:r>
            <w:r w:rsidRPr="001A33CD">
              <w:rPr>
                <w:rFonts w:ascii="Arial" w:hAnsi="Arial"/>
                <w:bCs/>
                <w:vertAlign w:val="superscript"/>
                <w:lang w:val="id-ID"/>
              </w:rPr>
              <w:t>*</w:t>
            </w:r>
          </w:p>
        </w:tc>
        <w:tc>
          <w:tcPr>
            <w:tcW w:w="1134" w:type="dxa"/>
          </w:tcPr>
          <w:p w14:paraId="0501FD38" w14:textId="2E04AF85" w:rsidR="00D953D0" w:rsidRPr="00A87A92" w:rsidRDefault="001A33CD" w:rsidP="00D953D0">
            <w:pPr>
              <w:tabs>
                <w:tab w:val="left" w:pos="1080"/>
              </w:tabs>
              <w:jc w:val="both"/>
              <w:rPr>
                <w:rFonts w:ascii="Arial" w:hAnsi="Arial"/>
                <w:bCs/>
                <w:lang w:val="id-ID"/>
              </w:rPr>
            </w:pPr>
            <w:r>
              <w:rPr>
                <w:rFonts w:ascii="Arial" w:hAnsi="Arial"/>
                <w:bCs/>
                <w:lang w:val="id-ID"/>
              </w:rPr>
              <w:t>0,10</w:t>
            </w:r>
            <w:r w:rsidRPr="001A33CD">
              <w:rPr>
                <w:rFonts w:ascii="Arial" w:hAnsi="Arial"/>
                <w:bCs/>
                <w:vertAlign w:val="superscript"/>
                <w:lang w:val="id-ID"/>
              </w:rPr>
              <w:t>ns</w:t>
            </w:r>
          </w:p>
        </w:tc>
        <w:tc>
          <w:tcPr>
            <w:tcW w:w="1247" w:type="dxa"/>
          </w:tcPr>
          <w:p w14:paraId="385BF176" w14:textId="793AB7F0" w:rsidR="00D953D0" w:rsidRPr="00A87A92" w:rsidRDefault="001A33CD" w:rsidP="00D953D0">
            <w:pPr>
              <w:tabs>
                <w:tab w:val="left" w:pos="1080"/>
              </w:tabs>
              <w:jc w:val="both"/>
              <w:rPr>
                <w:rFonts w:ascii="Arial" w:hAnsi="Arial"/>
                <w:bCs/>
                <w:lang w:val="id-ID"/>
              </w:rPr>
            </w:pPr>
            <w:r>
              <w:rPr>
                <w:rFonts w:ascii="Arial" w:hAnsi="Arial"/>
                <w:bCs/>
                <w:lang w:val="id-ID"/>
              </w:rPr>
              <w:t>0,06</w:t>
            </w:r>
            <w:r w:rsidRPr="001A33CD">
              <w:rPr>
                <w:rFonts w:ascii="Arial" w:hAnsi="Arial"/>
                <w:bCs/>
                <w:vertAlign w:val="superscript"/>
                <w:lang w:val="id-ID"/>
              </w:rPr>
              <w:t>ns</w:t>
            </w:r>
          </w:p>
        </w:tc>
        <w:tc>
          <w:tcPr>
            <w:tcW w:w="1026" w:type="dxa"/>
            <w:vAlign w:val="center"/>
          </w:tcPr>
          <w:p w14:paraId="3A4B0479" w14:textId="2033F3F8" w:rsidR="00D953D0" w:rsidRPr="00A87A92" w:rsidRDefault="001A33CD" w:rsidP="00D953D0">
            <w:pPr>
              <w:tabs>
                <w:tab w:val="left" w:pos="1080"/>
              </w:tabs>
              <w:jc w:val="both"/>
              <w:rPr>
                <w:rFonts w:ascii="Arial" w:hAnsi="Arial"/>
                <w:bCs/>
                <w:lang w:val="id-ID"/>
              </w:rPr>
            </w:pPr>
            <w:r>
              <w:rPr>
                <w:rFonts w:ascii="Arial" w:hAnsi="Arial"/>
                <w:bCs/>
                <w:lang w:val="id-ID"/>
              </w:rPr>
              <w:t>43,07</w:t>
            </w:r>
            <w:r w:rsidRPr="001A33CD">
              <w:rPr>
                <w:rFonts w:ascii="Arial" w:hAnsi="Arial"/>
                <w:bCs/>
                <w:vertAlign w:val="superscript"/>
                <w:lang w:val="id-ID"/>
              </w:rPr>
              <w:t>T-</w:t>
            </w:r>
          </w:p>
        </w:tc>
      </w:tr>
      <w:tr w:rsidR="00D953D0" w:rsidRPr="00A87A92" w14:paraId="33421CE5" w14:textId="77777777" w:rsidTr="009C31A2">
        <w:trPr>
          <w:trHeight w:val="257"/>
        </w:trPr>
        <w:tc>
          <w:tcPr>
            <w:tcW w:w="653" w:type="dxa"/>
            <w:tcBorders>
              <w:bottom w:val="single" w:sz="4" w:space="0" w:color="auto"/>
            </w:tcBorders>
          </w:tcPr>
          <w:p w14:paraId="3D2B2CBD" w14:textId="2614FFBD" w:rsidR="00D953D0" w:rsidRPr="00A87A92" w:rsidRDefault="00D953D0" w:rsidP="00D953D0">
            <w:pPr>
              <w:tabs>
                <w:tab w:val="left" w:pos="1080"/>
              </w:tabs>
              <w:jc w:val="both"/>
              <w:rPr>
                <w:rFonts w:ascii="Arial" w:hAnsi="Arial"/>
                <w:bCs/>
                <w:lang w:val="id-ID"/>
              </w:rPr>
            </w:pPr>
            <w:r>
              <w:rPr>
                <w:rFonts w:ascii="Arial" w:hAnsi="Arial"/>
                <w:bCs/>
                <w:lang w:val="id-ID"/>
              </w:rPr>
              <w:t>1</w:t>
            </w:r>
            <w:r w:rsidR="008D181F">
              <w:rPr>
                <w:rFonts w:ascii="Arial" w:hAnsi="Arial"/>
                <w:bCs/>
                <w:lang w:val="id-ID"/>
              </w:rPr>
              <w:t>2</w:t>
            </w:r>
          </w:p>
        </w:tc>
        <w:tc>
          <w:tcPr>
            <w:tcW w:w="3170" w:type="dxa"/>
            <w:tcBorders>
              <w:bottom w:val="single" w:sz="4" w:space="0" w:color="auto"/>
            </w:tcBorders>
          </w:tcPr>
          <w:p w14:paraId="3C6015C5" w14:textId="42CC76A3" w:rsidR="00D953D0" w:rsidRPr="00A87A92" w:rsidRDefault="00485654" w:rsidP="00D953D0">
            <w:pPr>
              <w:tabs>
                <w:tab w:val="left" w:pos="1080"/>
              </w:tabs>
              <w:jc w:val="both"/>
              <w:rPr>
                <w:rFonts w:ascii="Arial" w:hAnsi="Arial"/>
                <w:bCs/>
                <w:lang w:val="id-ID"/>
              </w:rPr>
            </w:pPr>
            <w:r w:rsidRPr="00485654">
              <w:rPr>
                <w:rFonts w:ascii="Arial" w:hAnsi="Arial"/>
                <w:bCs/>
                <w:lang w:val="id-ID"/>
              </w:rPr>
              <w:t>Time to Microbulb Emergence</w:t>
            </w:r>
          </w:p>
        </w:tc>
        <w:tc>
          <w:tcPr>
            <w:tcW w:w="1275" w:type="dxa"/>
            <w:tcBorders>
              <w:bottom w:val="single" w:sz="4" w:space="0" w:color="auto"/>
            </w:tcBorders>
          </w:tcPr>
          <w:p w14:paraId="4D2FE881" w14:textId="230B06C7" w:rsidR="00D953D0" w:rsidRPr="00A87A92" w:rsidRDefault="001A33CD" w:rsidP="00D953D0">
            <w:pPr>
              <w:tabs>
                <w:tab w:val="left" w:pos="1080"/>
              </w:tabs>
              <w:jc w:val="both"/>
              <w:rPr>
                <w:rFonts w:ascii="Arial" w:hAnsi="Arial"/>
                <w:bCs/>
                <w:lang w:val="id-ID"/>
              </w:rPr>
            </w:pPr>
            <w:r>
              <w:rPr>
                <w:rFonts w:ascii="Arial" w:hAnsi="Arial"/>
                <w:bCs/>
                <w:lang w:val="id-ID"/>
              </w:rPr>
              <w:t>52,69</w:t>
            </w:r>
            <w:r w:rsidRPr="001A33CD">
              <w:rPr>
                <w:rFonts w:ascii="Arial" w:hAnsi="Arial"/>
                <w:bCs/>
                <w:vertAlign w:val="superscript"/>
                <w:lang w:val="id-ID"/>
              </w:rPr>
              <w:t>*</w:t>
            </w:r>
          </w:p>
        </w:tc>
        <w:tc>
          <w:tcPr>
            <w:tcW w:w="1134" w:type="dxa"/>
            <w:tcBorders>
              <w:bottom w:val="single" w:sz="4" w:space="0" w:color="auto"/>
            </w:tcBorders>
          </w:tcPr>
          <w:p w14:paraId="41F770B5" w14:textId="0AEB53F2" w:rsidR="00D953D0" w:rsidRPr="00A87A92" w:rsidRDefault="001A33CD" w:rsidP="00D953D0">
            <w:pPr>
              <w:tabs>
                <w:tab w:val="left" w:pos="1080"/>
              </w:tabs>
              <w:jc w:val="both"/>
              <w:rPr>
                <w:rFonts w:ascii="Arial" w:hAnsi="Arial"/>
                <w:bCs/>
                <w:lang w:val="id-ID"/>
              </w:rPr>
            </w:pPr>
            <w:r>
              <w:rPr>
                <w:rFonts w:ascii="Arial" w:hAnsi="Arial"/>
                <w:bCs/>
                <w:lang w:val="id-ID"/>
              </w:rPr>
              <w:t>0,51</w:t>
            </w:r>
            <w:r w:rsidRPr="001A33CD">
              <w:rPr>
                <w:rFonts w:ascii="Arial" w:hAnsi="Arial"/>
                <w:bCs/>
                <w:vertAlign w:val="superscript"/>
                <w:lang w:val="id-ID"/>
              </w:rPr>
              <w:t>ns</w:t>
            </w:r>
          </w:p>
        </w:tc>
        <w:tc>
          <w:tcPr>
            <w:tcW w:w="1247" w:type="dxa"/>
            <w:tcBorders>
              <w:bottom w:val="single" w:sz="4" w:space="0" w:color="auto"/>
            </w:tcBorders>
          </w:tcPr>
          <w:p w14:paraId="4CABB368" w14:textId="47F0BA83" w:rsidR="00D953D0" w:rsidRPr="00A87A92" w:rsidRDefault="001A33CD" w:rsidP="00D953D0">
            <w:pPr>
              <w:tabs>
                <w:tab w:val="left" w:pos="1080"/>
              </w:tabs>
              <w:jc w:val="both"/>
              <w:rPr>
                <w:rFonts w:ascii="Arial" w:hAnsi="Arial"/>
                <w:bCs/>
                <w:lang w:val="id-ID"/>
              </w:rPr>
            </w:pPr>
            <w:r>
              <w:rPr>
                <w:rFonts w:ascii="Arial" w:hAnsi="Arial"/>
                <w:bCs/>
                <w:lang w:val="id-ID"/>
              </w:rPr>
              <w:t>0,83</w:t>
            </w:r>
            <w:r w:rsidRPr="001A33CD">
              <w:rPr>
                <w:rFonts w:ascii="Arial" w:hAnsi="Arial"/>
                <w:bCs/>
                <w:vertAlign w:val="superscript"/>
                <w:lang w:val="id-ID"/>
              </w:rPr>
              <w:t>ns</w:t>
            </w:r>
          </w:p>
        </w:tc>
        <w:tc>
          <w:tcPr>
            <w:tcW w:w="1026" w:type="dxa"/>
            <w:tcBorders>
              <w:bottom w:val="single" w:sz="4" w:space="0" w:color="auto"/>
            </w:tcBorders>
            <w:vAlign w:val="center"/>
          </w:tcPr>
          <w:p w14:paraId="720E8CF2" w14:textId="04233129" w:rsidR="00D953D0" w:rsidRPr="00A87A92" w:rsidRDefault="001A33CD" w:rsidP="00D953D0">
            <w:pPr>
              <w:tabs>
                <w:tab w:val="left" w:pos="1080"/>
              </w:tabs>
              <w:jc w:val="both"/>
              <w:rPr>
                <w:rFonts w:ascii="Arial" w:hAnsi="Arial"/>
                <w:bCs/>
                <w:lang w:val="id-ID"/>
              </w:rPr>
            </w:pPr>
            <w:r>
              <w:rPr>
                <w:rFonts w:ascii="Arial" w:hAnsi="Arial"/>
                <w:bCs/>
                <w:lang w:val="id-ID"/>
              </w:rPr>
              <w:t>36,39</w:t>
            </w:r>
            <w:r w:rsidRPr="001A33CD">
              <w:rPr>
                <w:rFonts w:ascii="Arial" w:hAnsi="Arial"/>
                <w:bCs/>
                <w:vertAlign w:val="superscript"/>
                <w:lang w:val="id-ID"/>
              </w:rPr>
              <w:t>T-</w:t>
            </w:r>
          </w:p>
        </w:tc>
      </w:tr>
    </w:tbl>
    <w:bookmarkEnd w:id="1"/>
    <w:p w14:paraId="35138B0D" w14:textId="2B4ECC0C" w:rsidR="00A87A92" w:rsidRPr="009C31A2" w:rsidRDefault="009C31A2" w:rsidP="009C31A2">
      <w:pPr>
        <w:pStyle w:val="BodyText3"/>
        <w:ind w:left="851" w:hanging="851"/>
        <w:jc w:val="both"/>
        <w:rPr>
          <w:rFonts w:ascii="Arial" w:hAnsi="Arial"/>
          <w:bCs/>
          <w:i/>
          <w:sz w:val="18"/>
          <w:lang w:val="en-ID"/>
        </w:rPr>
      </w:pPr>
      <w:r w:rsidRPr="009C31A2">
        <w:rPr>
          <w:rFonts w:ascii="Arial" w:hAnsi="Arial"/>
          <w:bCs/>
          <w:i/>
          <w:sz w:val="18"/>
          <w:lang w:val="en-ID"/>
        </w:rPr>
        <w:t>Note:  * = significantly affected at the 5% level, ns = not significantly affected at the 5% level. T= data transformed with √(x+0.5), T− = data with KK &gt;30% after transformation.</w:t>
      </w:r>
    </w:p>
    <w:p w14:paraId="3C52CBCA" w14:textId="61E2C721" w:rsidR="00332385" w:rsidRPr="00F56EC5" w:rsidRDefault="00332385" w:rsidP="00441B6F">
      <w:pPr>
        <w:pStyle w:val="Body"/>
        <w:spacing w:after="0"/>
        <w:rPr>
          <w:rFonts w:ascii="Arial" w:hAnsi="Arial" w:cs="Arial"/>
          <w:b/>
          <w:caps/>
          <w:sz w:val="22"/>
          <w:lang w:val="en-ID"/>
        </w:rPr>
      </w:pPr>
      <w:r w:rsidRPr="00F56EC5">
        <w:rPr>
          <w:rFonts w:ascii="Arial" w:hAnsi="Arial" w:cs="Arial"/>
          <w:b/>
          <w:caps/>
          <w:sz w:val="22"/>
          <w:lang w:val="en-ID"/>
        </w:rPr>
        <w:t>3.1</w:t>
      </w:r>
      <w:r w:rsidR="00F56EC5">
        <w:rPr>
          <w:rFonts w:ascii="Arial" w:hAnsi="Arial" w:cs="Arial"/>
          <w:b/>
          <w:caps/>
          <w:sz w:val="22"/>
          <w:lang w:val="en-ID"/>
        </w:rPr>
        <w:t xml:space="preserve"> </w:t>
      </w:r>
      <w:r w:rsidR="00F56EC5" w:rsidRPr="00F56EC5">
        <w:rPr>
          <w:rFonts w:ascii="Arial" w:hAnsi="Arial" w:cs="Arial"/>
          <w:b/>
          <w:sz w:val="22"/>
        </w:rPr>
        <w:t>Interaction Effect of Compound NPK Fertilizer Concentration and Sucrose in In Vitro Culture Medium</w:t>
      </w:r>
      <w:r w:rsidR="005A2CF2" w:rsidRPr="00F56EC5">
        <w:rPr>
          <w:rFonts w:ascii="Arial" w:hAnsi="Arial" w:cs="Arial"/>
          <w:b/>
          <w:sz w:val="22"/>
          <w:lang w:val="en-ID"/>
        </w:rPr>
        <w:t xml:space="preserve"> </w:t>
      </w:r>
    </w:p>
    <w:p w14:paraId="464678E3" w14:textId="77777777" w:rsidR="0081501D" w:rsidRPr="00F56EC5" w:rsidRDefault="0081501D" w:rsidP="00441B6F">
      <w:pPr>
        <w:pStyle w:val="Body"/>
        <w:spacing w:after="0"/>
        <w:rPr>
          <w:rFonts w:ascii="Arial" w:hAnsi="Arial" w:cs="Arial"/>
          <w:lang w:val="en-ID"/>
        </w:rPr>
      </w:pPr>
    </w:p>
    <w:p w14:paraId="6A381544" w14:textId="45B67052" w:rsidR="00B1701E" w:rsidRPr="00F56EC5" w:rsidRDefault="00F56EC5" w:rsidP="00441B6F">
      <w:pPr>
        <w:pStyle w:val="Body"/>
        <w:spacing w:after="0"/>
        <w:rPr>
          <w:rFonts w:ascii="Arial" w:hAnsi="Arial" w:cs="Arial"/>
          <w:lang w:val="en-ID"/>
        </w:rPr>
      </w:pPr>
      <w:r w:rsidRPr="00F56EC5">
        <w:rPr>
          <w:rFonts w:ascii="Arial" w:hAnsi="Arial" w:cs="Arial"/>
          <w:lang w:val="en-ID"/>
        </w:rPr>
        <w:t>There was an interaction between the concentration of compound NPK fertilizer and sucrose concentration on the number of micro-roots (Table 2). This interaction indicated different response patterns in the number of micro-roots for each treatment combination. MS medium supplemented with 60 g/L sucrose produced the highest mean number of micro-roots and was significantly different from sucrose concentrations of 30 g/L, 90 g/L, and 120 g/L.</w:t>
      </w:r>
      <w:r>
        <w:rPr>
          <w:rFonts w:ascii="Arial" w:hAnsi="Arial" w:cs="Arial"/>
          <w:lang w:val="en-ID"/>
        </w:rPr>
        <w:t xml:space="preserve"> </w:t>
      </w:r>
      <w:r w:rsidRPr="00F56EC5">
        <w:rPr>
          <w:rFonts w:ascii="Arial" w:hAnsi="Arial" w:cs="Arial"/>
          <w:lang w:val="en-ID"/>
        </w:rPr>
        <w:t>Under the 2 g/L compound NPK fertilizer treatment, a sucrose concentration of 60 g/L resulted in the highest mean number of micro-roots and was significantly different from the other sucrose concentrations. A similar pattern was observed under the 4 g/L compound NPK fertilizer treatment; however, all treatment combinations in this group produced a lower number of micro-roots compared to those grown on MS medium.</w:t>
      </w:r>
      <w:r>
        <w:rPr>
          <w:rFonts w:ascii="Arial" w:hAnsi="Arial" w:cs="Arial"/>
          <w:lang w:val="en-ID"/>
        </w:rPr>
        <w:t xml:space="preserve"> </w:t>
      </w:r>
      <w:r w:rsidRPr="00F56EC5">
        <w:rPr>
          <w:rFonts w:ascii="Arial" w:hAnsi="Arial" w:cs="Arial"/>
          <w:lang w:val="en-ID"/>
        </w:rPr>
        <w:t xml:space="preserve">The lower mean number of micro-roots observed in the compound NPK fertilizer media was presumably due to nutrient imbalance, particularly nitrogen, which may inhibit root initiation. This result is consistent with the findings of </w:t>
      </w:r>
      <w:proofErr w:type="spellStart"/>
      <w:r w:rsidRPr="00F56EC5">
        <w:rPr>
          <w:rFonts w:ascii="Arial" w:hAnsi="Arial" w:cs="Arial"/>
          <w:lang w:val="en-ID"/>
        </w:rPr>
        <w:t>Utomo</w:t>
      </w:r>
      <w:proofErr w:type="spellEnd"/>
      <w:r w:rsidRPr="00F56EC5">
        <w:rPr>
          <w:rFonts w:ascii="Arial" w:hAnsi="Arial" w:cs="Arial"/>
          <w:lang w:val="en-ID"/>
        </w:rPr>
        <w:t xml:space="preserve"> and </w:t>
      </w:r>
      <w:proofErr w:type="spellStart"/>
      <w:r w:rsidRPr="00F56EC5">
        <w:rPr>
          <w:rFonts w:ascii="Arial" w:hAnsi="Arial" w:cs="Arial"/>
          <w:lang w:val="en-ID"/>
        </w:rPr>
        <w:t>Yunus</w:t>
      </w:r>
      <w:proofErr w:type="spellEnd"/>
      <w:r w:rsidRPr="00F56EC5">
        <w:rPr>
          <w:rFonts w:ascii="Arial" w:hAnsi="Arial" w:cs="Arial"/>
          <w:lang w:val="en-ID"/>
        </w:rPr>
        <w:t xml:space="preserve"> (2021), who reported that compound NPK fertilizer media produced fewer roots than MS medium due to nitrogen imbalance, leading to nitrogen accumulation in the area where root primordia </w:t>
      </w:r>
      <w:proofErr w:type="spellStart"/>
      <w:proofErr w:type="gramStart"/>
      <w:r w:rsidRPr="00F56EC5">
        <w:rPr>
          <w:rFonts w:ascii="Arial" w:hAnsi="Arial" w:cs="Arial"/>
          <w:lang w:val="en-ID"/>
        </w:rPr>
        <w:t>develop.Overall</w:t>
      </w:r>
      <w:proofErr w:type="spellEnd"/>
      <w:proofErr w:type="gramEnd"/>
      <w:r w:rsidRPr="00F56EC5">
        <w:rPr>
          <w:rFonts w:ascii="Arial" w:hAnsi="Arial" w:cs="Arial"/>
          <w:lang w:val="en-ID"/>
        </w:rPr>
        <w:t>, the combination of MS medium supplemented with 60 g/L sucrose was the most effective treatment in increasing the number of micro-roots</w:t>
      </w:r>
      <w:r>
        <w:rPr>
          <w:rFonts w:ascii="Arial" w:hAnsi="Arial" w:cs="Arial"/>
          <w:lang w:val="en-ID"/>
        </w:rPr>
        <w:t>.</w:t>
      </w:r>
    </w:p>
    <w:p w14:paraId="3D9F8EEF" w14:textId="725D5867" w:rsidR="00EA1D1F" w:rsidRPr="00DC65C5" w:rsidRDefault="00B1701E" w:rsidP="00B1701E">
      <w:pPr>
        <w:tabs>
          <w:tab w:val="left" w:pos="1080"/>
        </w:tabs>
        <w:jc w:val="both"/>
        <w:rPr>
          <w:rFonts w:ascii="Arial" w:hAnsi="Arial"/>
          <w:b/>
        </w:rPr>
      </w:pPr>
      <w:r w:rsidRPr="00EC715B">
        <w:rPr>
          <w:rFonts w:ascii="Arial" w:hAnsi="Arial"/>
          <w:b/>
          <w:lang w:val="id"/>
        </w:rPr>
        <w:t xml:space="preserve">Table </w:t>
      </w:r>
      <w:r w:rsidR="00A3462C">
        <w:rPr>
          <w:rFonts w:ascii="Arial" w:hAnsi="Arial"/>
          <w:b/>
          <w:lang w:val="id"/>
        </w:rPr>
        <w:t>2</w:t>
      </w:r>
      <w:r w:rsidRPr="00EC715B">
        <w:rPr>
          <w:rFonts w:ascii="Arial" w:hAnsi="Arial"/>
          <w:b/>
          <w:lang w:val="id"/>
        </w:rPr>
        <w:t>.</w:t>
      </w:r>
      <w:r w:rsidRPr="00EC715B">
        <w:rPr>
          <w:lang w:val="id"/>
        </w:rPr>
        <w:t xml:space="preserve"> </w:t>
      </w:r>
      <w:r w:rsidR="00EA1D1F" w:rsidRPr="00EA1D1F">
        <w:rPr>
          <w:rFonts w:ascii="Arial" w:hAnsi="Arial"/>
          <w:b/>
        </w:rPr>
        <w:t>Interaction of NPK Fertilizer Concentration and Sucrose on Micro-Root Number</w:t>
      </w:r>
    </w:p>
    <w:tbl>
      <w:tblPr>
        <w:tblW w:w="5000" w:type="pct"/>
        <w:tblLayout w:type="fixed"/>
        <w:tblLook w:val="04A0" w:firstRow="1" w:lastRow="0" w:firstColumn="1" w:lastColumn="0" w:noHBand="0" w:noVBand="1"/>
      </w:tblPr>
      <w:tblGrid>
        <w:gridCol w:w="1580"/>
        <w:gridCol w:w="1648"/>
        <w:gridCol w:w="1700"/>
        <w:gridCol w:w="1702"/>
        <w:gridCol w:w="1794"/>
      </w:tblGrid>
      <w:tr w:rsidR="00B64658" w:rsidRPr="00B64658" w14:paraId="5C1E23A0" w14:textId="77777777" w:rsidTr="006D4AD5">
        <w:trPr>
          <w:trHeight w:val="300"/>
        </w:trPr>
        <w:tc>
          <w:tcPr>
            <w:tcW w:w="938" w:type="pct"/>
            <w:vMerge w:val="restart"/>
            <w:tcBorders>
              <w:top w:val="single" w:sz="4" w:space="0" w:color="auto"/>
            </w:tcBorders>
            <w:vAlign w:val="center"/>
            <w:hideMark/>
          </w:tcPr>
          <w:p w14:paraId="756BB7EA" w14:textId="11BA2660" w:rsidR="00B64658" w:rsidRPr="00EA1D1F" w:rsidRDefault="00EA1D1F" w:rsidP="00B64658">
            <w:pPr>
              <w:pStyle w:val="Body"/>
              <w:spacing w:after="0"/>
              <w:jc w:val="center"/>
              <w:rPr>
                <w:rFonts w:ascii="Arial" w:hAnsi="Arial" w:cs="Arial"/>
                <w:lang w:val="sv-SE"/>
              </w:rPr>
            </w:pPr>
            <w:r>
              <w:rPr>
                <w:lang w:val="sv-SE"/>
              </w:rPr>
              <w:t xml:space="preserve">Compound </w:t>
            </w:r>
            <w:r>
              <w:rPr>
                <w:lang w:val="sv-SE"/>
              </w:rPr>
              <w:lastRenderedPageBreak/>
              <w:t>Fertilizer</w:t>
            </w:r>
            <w:r w:rsidRPr="00EA1D1F">
              <w:rPr>
                <w:lang w:val="sv-SE"/>
              </w:rPr>
              <w:t xml:space="preserve"> </w:t>
            </w:r>
            <w:r w:rsidRPr="00EA1D1F">
              <w:rPr>
                <w:rFonts w:ascii="Arial" w:hAnsi="Arial" w:cs="Arial"/>
                <w:lang w:val="sv-SE"/>
              </w:rPr>
              <w:t>Concentration</w:t>
            </w:r>
          </w:p>
        </w:tc>
        <w:tc>
          <w:tcPr>
            <w:tcW w:w="4062" w:type="pct"/>
            <w:gridSpan w:val="4"/>
            <w:tcBorders>
              <w:top w:val="single" w:sz="4" w:space="0" w:color="auto"/>
              <w:bottom w:val="single" w:sz="4" w:space="0" w:color="auto"/>
            </w:tcBorders>
            <w:noWrap/>
            <w:vAlign w:val="center"/>
            <w:hideMark/>
          </w:tcPr>
          <w:p w14:paraId="407B7AAD" w14:textId="52505F1A" w:rsidR="00B64658" w:rsidRPr="00B64658" w:rsidRDefault="002F65A7" w:rsidP="00B64658">
            <w:pPr>
              <w:pStyle w:val="Body"/>
              <w:spacing w:after="0"/>
              <w:jc w:val="center"/>
              <w:rPr>
                <w:rFonts w:ascii="Arial" w:hAnsi="Arial" w:cs="Arial"/>
              </w:rPr>
            </w:pPr>
            <w:r>
              <w:rPr>
                <w:rFonts w:ascii="Arial" w:hAnsi="Arial" w:cs="Arial"/>
              </w:rPr>
              <w:lastRenderedPageBreak/>
              <w:t>Su</w:t>
            </w:r>
            <w:r w:rsidR="00EA1D1F">
              <w:rPr>
                <w:rFonts w:ascii="Arial" w:hAnsi="Arial" w:cs="Arial"/>
              </w:rPr>
              <w:t>c</w:t>
            </w:r>
            <w:r>
              <w:rPr>
                <w:rFonts w:ascii="Arial" w:hAnsi="Arial" w:cs="Arial"/>
              </w:rPr>
              <w:t>ros</w:t>
            </w:r>
            <w:r w:rsidR="00EA1D1F">
              <w:rPr>
                <w:rFonts w:ascii="Arial" w:hAnsi="Arial" w:cs="Arial"/>
              </w:rPr>
              <w:t xml:space="preserve">e </w:t>
            </w:r>
            <w:r w:rsidR="00EA1D1F" w:rsidRPr="00EA1D1F">
              <w:rPr>
                <w:rFonts w:ascii="Arial" w:hAnsi="Arial" w:cs="Arial"/>
              </w:rPr>
              <w:t>Concentration</w:t>
            </w:r>
          </w:p>
        </w:tc>
      </w:tr>
      <w:tr w:rsidR="00B64658" w:rsidRPr="00B64658" w14:paraId="63774421" w14:textId="77777777" w:rsidTr="006D4AD5">
        <w:trPr>
          <w:trHeight w:val="1068"/>
        </w:trPr>
        <w:tc>
          <w:tcPr>
            <w:tcW w:w="938" w:type="pct"/>
            <w:vMerge/>
            <w:tcBorders>
              <w:bottom w:val="single" w:sz="4" w:space="0" w:color="auto"/>
            </w:tcBorders>
            <w:vAlign w:val="center"/>
            <w:hideMark/>
          </w:tcPr>
          <w:p w14:paraId="0B4996BB" w14:textId="77777777" w:rsidR="00B64658" w:rsidRPr="00B64658" w:rsidRDefault="00B64658" w:rsidP="00B64658">
            <w:pPr>
              <w:pStyle w:val="Body"/>
              <w:spacing w:after="0"/>
              <w:jc w:val="center"/>
              <w:rPr>
                <w:rFonts w:ascii="Arial" w:hAnsi="Arial" w:cs="Arial"/>
              </w:rPr>
            </w:pPr>
          </w:p>
        </w:tc>
        <w:tc>
          <w:tcPr>
            <w:tcW w:w="978" w:type="pct"/>
            <w:tcBorders>
              <w:top w:val="single" w:sz="4" w:space="0" w:color="auto"/>
              <w:bottom w:val="single" w:sz="4" w:space="0" w:color="auto"/>
            </w:tcBorders>
            <w:noWrap/>
            <w:vAlign w:val="center"/>
            <w:hideMark/>
          </w:tcPr>
          <w:p w14:paraId="2128431A" w14:textId="4168DFCD" w:rsidR="00B64658" w:rsidRPr="00B64658" w:rsidRDefault="002F65A7" w:rsidP="00B64658">
            <w:pPr>
              <w:pStyle w:val="Body"/>
              <w:spacing w:after="0"/>
              <w:jc w:val="center"/>
              <w:rPr>
                <w:rFonts w:ascii="Arial" w:hAnsi="Arial" w:cs="Arial"/>
              </w:rPr>
            </w:pPr>
            <w:r>
              <w:rPr>
                <w:rFonts w:ascii="Arial" w:hAnsi="Arial" w:cs="Arial"/>
              </w:rPr>
              <w:t>S0</w:t>
            </w:r>
          </w:p>
          <w:p w14:paraId="20A2F4A5" w14:textId="0949AE12" w:rsidR="00B64658" w:rsidRPr="00B64658" w:rsidRDefault="00B64658" w:rsidP="00B64658">
            <w:pPr>
              <w:pStyle w:val="Body"/>
              <w:spacing w:after="0"/>
              <w:jc w:val="center"/>
              <w:rPr>
                <w:rFonts w:ascii="Arial" w:hAnsi="Arial" w:cs="Arial"/>
              </w:rPr>
            </w:pPr>
            <w:r w:rsidRPr="00B64658">
              <w:rPr>
                <w:rFonts w:ascii="Arial" w:hAnsi="Arial" w:cs="Arial"/>
              </w:rPr>
              <w:t>(</w:t>
            </w:r>
            <w:r w:rsidR="002F65A7">
              <w:rPr>
                <w:rFonts w:ascii="Arial" w:hAnsi="Arial" w:cs="Arial"/>
              </w:rPr>
              <w:t>Su</w:t>
            </w:r>
            <w:r w:rsidR="00EA1D1F">
              <w:rPr>
                <w:rFonts w:ascii="Arial" w:hAnsi="Arial" w:cs="Arial"/>
              </w:rPr>
              <w:t>crose</w:t>
            </w:r>
            <w:r w:rsidR="002F65A7">
              <w:rPr>
                <w:rFonts w:ascii="Arial" w:hAnsi="Arial" w:cs="Arial"/>
              </w:rPr>
              <w:t xml:space="preserve"> 30g/L</w:t>
            </w:r>
            <w:r w:rsidRPr="00B64658">
              <w:rPr>
                <w:rFonts w:ascii="Arial" w:hAnsi="Arial" w:cs="Arial"/>
              </w:rPr>
              <w:t>)</w:t>
            </w:r>
          </w:p>
        </w:tc>
        <w:tc>
          <w:tcPr>
            <w:tcW w:w="1009" w:type="pct"/>
            <w:tcBorders>
              <w:top w:val="single" w:sz="4" w:space="0" w:color="auto"/>
              <w:bottom w:val="single" w:sz="4" w:space="0" w:color="auto"/>
            </w:tcBorders>
            <w:noWrap/>
            <w:vAlign w:val="center"/>
            <w:hideMark/>
          </w:tcPr>
          <w:p w14:paraId="26901A43" w14:textId="2F8A8915"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1</w:t>
            </w:r>
          </w:p>
          <w:p w14:paraId="641807FB" w14:textId="79A60675" w:rsidR="00B64658" w:rsidRPr="00B64658" w:rsidRDefault="00B64658" w:rsidP="002F65A7">
            <w:pPr>
              <w:pStyle w:val="Body"/>
              <w:spacing w:after="0"/>
              <w:jc w:val="center"/>
              <w:rPr>
                <w:rFonts w:ascii="Arial" w:hAnsi="Arial" w:cs="Arial"/>
              </w:rPr>
            </w:pPr>
            <w:r w:rsidRPr="00B64658">
              <w:rPr>
                <w:rFonts w:ascii="Arial" w:hAnsi="Arial" w:cs="Arial"/>
              </w:rPr>
              <w:t>(S</w:t>
            </w:r>
            <w:r w:rsidR="002F65A7">
              <w:rPr>
                <w:rFonts w:ascii="Arial" w:hAnsi="Arial" w:cs="Arial"/>
              </w:rPr>
              <w:t>u</w:t>
            </w:r>
            <w:r w:rsidR="00EA1D1F">
              <w:rPr>
                <w:rFonts w:ascii="Arial" w:hAnsi="Arial" w:cs="Arial"/>
              </w:rPr>
              <w:t>crose</w:t>
            </w:r>
            <w:r w:rsidR="002F65A7">
              <w:rPr>
                <w:rFonts w:ascii="Arial" w:hAnsi="Arial" w:cs="Arial"/>
              </w:rPr>
              <w:t xml:space="preserve"> 60g/L</w:t>
            </w:r>
            <w:r w:rsidRPr="00B64658">
              <w:rPr>
                <w:rFonts w:ascii="Arial" w:hAnsi="Arial" w:cs="Arial"/>
              </w:rPr>
              <w:t>)</w:t>
            </w:r>
          </w:p>
        </w:tc>
        <w:tc>
          <w:tcPr>
            <w:tcW w:w="1010" w:type="pct"/>
            <w:tcBorders>
              <w:top w:val="single" w:sz="4" w:space="0" w:color="auto"/>
              <w:bottom w:val="single" w:sz="4" w:space="0" w:color="auto"/>
            </w:tcBorders>
            <w:noWrap/>
            <w:vAlign w:val="center"/>
            <w:hideMark/>
          </w:tcPr>
          <w:p w14:paraId="08F7229F" w14:textId="7FE2CC09"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2</w:t>
            </w:r>
          </w:p>
          <w:p w14:paraId="0BF7E510" w14:textId="57F42038" w:rsidR="00B64658" w:rsidRPr="00B64658" w:rsidRDefault="00B64658" w:rsidP="00B64658">
            <w:pPr>
              <w:pStyle w:val="Body"/>
              <w:spacing w:after="0"/>
              <w:jc w:val="center"/>
              <w:rPr>
                <w:rFonts w:ascii="Arial" w:hAnsi="Arial" w:cs="Arial"/>
              </w:rPr>
            </w:pPr>
            <w:r w:rsidRPr="00B64658">
              <w:rPr>
                <w:rFonts w:ascii="Arial" w:hAnsi="Arial" w:cs="Arial"/>
              </w:rPr>
              <w:t>(S</w:t>
            </w:r>
            <w:r w:rsidR="002F65A7">
              <w:rPr>
                <w:rFonts w:ascii="Arial" w:hAnsi="Arial" w:cs="Arial"/>
              </w:rPr>
              <w:t>u</w:t>
            </w:r>
            <w:r w:rsidR="00EA1D1F">
              <w:rPr>
                <w:rFonts w:ascii="Arial" w:hAnsi="Arial" w:cs="Arial"/>
              </w:rPr>
              <w:t xml:space="preserve">crose </w:t>
            </w:r>
            <w:r w:rsidR="002F65A7">
              <w:rPr>
                <w:rFonts w:ascii="Arial" w:hAnsi="Arial" w:cs="Arial"/>
              </w:rPr>
              <w:t>90g/L</w:t>
            </w:r>
            <w:r w:rsidRPr="00B64658">
              <w:rPr>
                <w:rFonts w:ascii="Arial" w:hAnsi="Arial" w:cs="Arial"/>
              </w:rPr>
              <w:t>)</w:t>
            </w:r>
          </w:p>
        </w:tc>
        <w:tc>
          <w:tcPr>
            <w:tcW w:w="1065" w:type="pct"/>
            <w:tcBorders>
              <w:top w:val="single" w:sz="4" w:space="0" w:color="auto"/>
              <w:bottom w:val="single" w:sz="4" w:space="0" w:color="auto"/>
            </w:tcBorders>
            <w:noWrap/>
            <w:vAlign w:val="center"/>
            <w:hideMark/>
          </w:tcPr>
          <w:p w14:paraId="401B4C3D" w14:textId="402F1A50" w:rsidR="00B64658" w:rsidRPr="00B64658" w:rsidRDefault="002F65A7" w:rsidP="00B64658">
            <w:pPr>
              <w:pStyle w:val="Body"/>
              <w:spacing w:after="0"/>
              <w:jc w:val="center"/>
              <w:rPr>
                <w:rFonts w:ascii="Arial" w:hAnsi="Arial" w:cs="Arial"/>
              </w:rPr>
            </w:pPr>
            <w:r>
              <w:rPr>
                <w:rFonts w:ascii="Arial" w:hAnsi="Arial" w:cs="Arial"/>
              </w:rPr>
              <w:t>S</w:t>
            </w:r>
            <w:r w:rsidR="00B64658" w:rsidRPr="00B64658">
              <w:rPr>
                <w:rFonts w:ascii="Arial" w:hAnsi="Arial" w:cs="Arial"/>
              </w:rPr>
              <w:t>3</w:t>
            </w:r>
          </w:p>
          <w:p w14:paraId="72488730" w14:textId="02ACA021" w:rsidR="00B64658" w:rsidRPr="00B64658" w:rsidRDefault="00B64658" w:rsidP="00B64658">
            <w:pPr>
              <w:pStyle w:val="Body"/>
              <w:spacing w:after="0"/>
              <w:jc w:val="center"/>
              <w:rPr>
                <w:rFonts w:ascii="Arial" w:hAnsi="Arial" w:cs="Arial"/>
              </w:rPr>
            </w:pPr>
            <w:r w:rsidRPr="00B64658">
              <w:rPr>
                <w:rFonts w:ascii="Arial" w:hAnsi="Arial" w:cs="Arial"/>
              </w:rPr>
              <w:t>(</w:t>
            </w:r>
            <w:r w:rsidR="002F65A7">
              <w:rPr>
                <w:rFonts w:ascii="Arial" w:hAnsi="Arial" w:cs="Arial"/>
              </w:rPr>
              <w:t>Su</w:t>
            </w:r>
            <w:r w:rsidR="00EA1D1F">
              <w:rPr>
                <w:rFonts w:ascii="Arial" w:hAnsi="Arial" w:cs="Arial"/>
              </w:rPr>
              <w:t>crose</w:t>
            </w:r>
            <w:r w:rsidR="002F65A7">
              <w:rPr>
                <w:rFonts w:ascii="Arial" w:hAnsi="Arial" w:cs="Arial"/>
              </w:rPr>
              <w:t>120 g/L</w:t>
            </w:r>
            <w:r w:rsidRPr="00B64658">
              <w:rPr>
                <w:rFonts w:ascii="Arial" w:hAnsi="Arial" w:cs="Arial"/>
              </w:rPr>
              <w:t>)</w:t>
            </w:r>
          </w:p>
        </w:tc>
      </w:tr>
      <w:tr w:rsidR="002E12EE" w:rsidRPr="00B64658" w14:paraId="465190E9" w14:textId="77777777" w:rsidTr="006D4AD5">
        <w:trPr>
          <w:trHeight w:val="300"/>
        </w:trPr>
        <w:tc>
          <w:tcPr>
            <w:tcW w:w="938" w:type="pct"/>
            <w:vMerge w:val="restart"/>
            <w:tcBorders>
              <w:top w:val="single" w:sz="4" w:space="0" w:color="auto"/>
            </w:tcBorders>
            <w:noWrap/>
            <w:vAlign w:val="center"/>
            <w:hideMark/>
          </w:tcPr>
          <w:p w14:paraId="717DA464" w14:textId="7E05545F" w:rsidR="002E12EE" w:rsidRPr="00B64658" w:rsidRDefault="002E12EE" w:rsidP="002E12EE">
            <w:pPr>
              <w:pStyle w:val="Body"/>
              <w:spacing w:after="0"/>
              <w:jc w:val="center"/>
              <w:rPr>
                <w:rFonts w:ascii="Arial" w:hAnsi="Arial" w:cs="Arial"/>
              </w:rPr>
            </w:pPr>
            <w:r>
              <w:rPr>
                <w:rFonts w:ascii="Arial" w:hAnsi="Arial" w:cs="Arial"/>
              </w:rPr>
              <w:t>P0</w:t>
            </w:r>
            <w:r w:rsidRPr="00B64658">
              <w:rPr>
                <w:rFonts w:ascii="Arial" w:hAnsi="Arial" w:cs="Arial"/>
              </w:rPr>
              <w:t xml:space="preserve"> (</w:t>
            </w:r>
            <w:proofErr w:type="spellStart"/>
            <w:r>
              <w:rPr>
                <w:rFonts w:ascii="Arial" w:hAnsi="Arial" w:cs="Arial"/>
              </w:rPr>
              <w:t>Murashige</w:t>
            </w:r>
            <w:proofErr w:type="spellEnd"/>
            <w:r>
              <w:rPr>
                <w:rFonts w:ascii="Arial" w:hAnsi="Arial" w:cs="Arial"/>
              </w:rPr>
              <w:t xml:space="preserve"> and </w:t>
            </w:r>
            <w:proofErr w:type="spellStart"/>
            <w:r>
              <w:rPr>
                <w:rFonts w:ascii="Arial" w:hAnsi="Arial" w:cs="Arial"/>
              </w:rPr>
              <w:t>Skooq</w:t>
            </w:r>
            <w:proofErr w:type="spellEnd"/>
            <w:r w:rsidRPr="00B64658">
              <w:rPr>
                <w:rFonts w:ascii="Arial" w:hAnsi="Arial" w:cs="Arial"/>
              </w:rPr>
              <w:t>)</w:t>
            </w:r>
          </w:p>
        </w:tc>
        <w:tc>
          <w:tcPr>
            <w:tcW w:w="978" w:type="pct"/>
            <w:tcBorders>
              <w:top w:val="single" w:sz="4" w:space="0" w:color="auto"/>
            </w:tcBorders>
            <w:noWrap/>
            <w:hideMark/>
          </w:tcPr>
          <w:p w14:paraId="7C187A93" w14:textId="38A4DEC6" w:rsidR="002E12EE" w:rsidRPr="00B64658" w:rsidRDefault="002E12EE" w:rsidP="002E12EE">
            <w:pPr>
              <w:pStyle w:val="Body"/>
              <w:spacing w:after="0"/>
              <w:jc w:val="center"/>
              <w:rPr>
                <w:rFonts w:ascii="Arial" w:hAnsi="Arial" w:cs="Arial"/>
              </w:rPr>
            </w:pPr>
            <w:r w:rsidRPr="007B54B7">
              <w:t>4,67</w:t>
            </w:r>
            <w:r>
              <w:t xml:space="preserve"> </w:t>
            </w:r>
            <w:r w:rsidR="00753001">
              <w:t>c</w:t>
            </w:r>
          </w:p>
        </w:tc>
        <w:tc>
          <w:tcPr>
            <w:tcW w:w="1009" w:type="pct"/>
            <w:tcBorders>
              <w:top w:val="single" w:sz="4" w:space="0" w:color="auto"/>
            </w:tcBorders>
            <w:noWrap/>
            <w:hideMark/>
          </w:tcPr>
          <w:p w14:paraId="5223491F" w14:textId="3DB9B612" w:rsidR="002E12EE" w:rsidRPr="00B64658" w:rsidRDefault="002E12EE" w:rsidP="002E12EE">
            <w:pPr>
              <w:pStyle w:val="Body"/>
              <w:spacing w:after="0"/>
              <w:jc w:val="center"/>
              <w:rPr>
                <w:rFonts w:ascii="Arial" w:hAnsi="Arial" w:cs="Arial"/>
              </w:rPr>
            </w:pPr>
            <w:r w:rsidRPr="00B204C6">
              <w:t>12,89</w:t>
            </w:r>
            <w:r>
              <w:t xml:space="preserve"> </w:t>
            </w:r>
            <w:r w:rsidR="00753001">
              <w:t>a</w:t>
            </w:r>
          </w:p>
        </w:tc>
        <w:tc>
          <w:tcPr>
            <w:tcW w:w="1010" w:type="pct"/>
            <w:tcBorders>
              <w:top w:val="single" w:sz="4" w:space="0" w:color="auto"/>
            </w:tcBorders>
            <w:noWrap/>
            <w:hideMark/>
          </w:tcPr>
          <w:p w14:paraId="2EB8FD82" w14:textId="3F5AE074" w:rsidR="002E12EE" w:rsidRPr="00B64658" w:rsidRDefault="002E12EE" w:rsidP="002E12EE">
            <w:pPr>
              <w:pStyle w:val="Body"/>
              <w:spacing w:after="0"/>
              <w:jc w:val="center"/>
              <w:rPr>
                <w:rFonts w:ascii="Arial" w:hAnsi="Arial" w:cs="Arial"/>
              </w:rPr>
            </w:pPr>
            <w:r w:rsidRPr="00F7529B">
              <w:t>5,70</w:t>
            </w:r>
            <w:r>
              <w:t xml:space="preserve"> </w:t>
            </w:r>
            <w:r w:rsidR="00753001">
              <w:t>b</w:t>
            </w:r>
          </w:p>
        </w:tc>
        <w:tc>
          <w:tcPr>
            <w:tcW w:w="1065" w:type="pct"/>
            <w:tcBorders>
              <w:top w:val="single" w:sz="4" w:space="0" w:color="auto"/>
            </w:tcBorders>
            <w:noWrap/>
            <w:hideMark/>
          </w:tcPr>
          <w:p w14:paraId="09E23680" w14:textId="7D0DE393" w:rsidR="002E12EE" w:rsidRPr="00B64658" w:rsidRDefault="002E12EE" w:rsidP="002E12EE">
            <w:pPr>
              <w:pStyle w:val="Body"/>
              <w:spacing w:after="0"/>
              <w:jc w:val="center"/>
              <w:rPr>
                <w:rFonts w:ascii="Arial" w:hAnsi="Arial" w:cs="Arial"/>
              </w:rPr>
            </w:pPr>
            <w:r w:rsidRPr="006215BF">
              <w:t>3,15</w:t>
            </w:r>
            <w:r>
              <w:t xml:space="preserve"> </w:t>
            </w:r>
            <w:r w:rsidR="00753001">
              <w:t>d</w:t>
            </w:r>
          </w:p>
        </w:tc>
      </w:tr>
      <w:tr w:rsidR="002E12EE" w:rsidRPr="00B64658" w14:paraId="7B86FE37" w14:textId="77777777" w:rsidTr="006D4AD5">
        <w:trPr>
          <w:trHeight w:val="300"/>
        </w:trPr>
        <w:tc>
          <w:tcPr>
            <w:tcW w:w="938" w:type="pct"/>
            <w:vMerge/>
            <w:vAlign w:val="center"/>
            <w:hideMark/>
          </w:tcPr>
          <w:p w14:paraId="42310E44" w14:textId="77777777" w:rsidR="002E12EE" w:rsidRPr="00B64658" w:rsidRDefault="002E12EE" w:rsidP="002E12EE">
            <w:pPr>
              <w:pStyle w:val="Body"/>
              <w:spacing w:after="0"/>
              <w:jc w:val="center"/>
              <w:rPr>
                <w:rFonts w:ascii="Arial" w:hAnsi="Arial" w:cs="Arial"/>
              </w:rPr>
            </w:pPr>
          </w:p>
        </w:tc>
        <w:tc>
          <w:tcPr>
            <w:tcW w:w="978" w:type="pct"/>
            <w:noWrap/>
            <w:hideMark/>
          </w:tcPr>
          <w:p w14:paraId="6EFD1573" w14:textId="19D5F738" w:rsidR="002E12EE" w:rsidRPr="00B64658" w:rsidRDefault="00753001" w:rsidP="002E12EE">
            <w:pPr>
              <w:pStyle w:val="Body"/>
              <w:spacing w:after="0"/>
              <w:jc w:val="center"/>
              <w:rPr>
                <w:rFonts w:ascii="Arial" w:hAnsi="Arial" w:cs="Arial"/>
              </w:rPr>
            </w:pPr>
            <w:r>
              <w:rPr>
                <w:rFonts w:cs="Arial"/>
              </w:rPr>
              <w:t>A</w:t>
            </w:r>
          </w:p>
        </w:tc>
        <w:tc>
          <w:tcPr>
            <w:tcW w:w="1009" w:type="pct"/>
            <w:noWrap/>
            <w:hideMark/>
          </w:tcPr>
          <w:p w14:paraId="7E2CD94E" w14:textId="19E5465B" w:rsidR="002E12EE" w:rsidRPr="00B64658" w:rsidRDefault="00753001" w:rsidP="002E12EE">
            <w:pPr>
              <w:pStyle w:val="Body"/>
              <w:spacing w:after="0"/>
              <w:jc w:val="center"/>
              <w:rPr>
                <w:rFonts w:ascii="Arial" w:hAnsi="Arial" w:cs="Arial"/>
              </w:rPr>
            </w:pPr>
            <w:r>
              <w:rPr>
                <w:rFonts w:cs="Arial"/>
              </w:rPr>
              <w:t>A</w:t>
            </w:r>
          </w:p>
        </w:tc>
        <w:tc>
          <w:tcPr>
            <w:tcW w:w="1010" w:type="pct"/>
            <w:noWrap/>
            <w:hideMark/>
          </w:tcPr>
          <w:p w14:paraId="19998158" w14:textId="6756619B" w:rsidR="002E12EE" w:rsidRPr="00B64658" w:rsidRDefault="00753001" w:rsidP="002E12EE">
            <w:pPr>
              <w:pStyle w:val="Body"/>
              <w:spacing w:after="0"/>
              <w:jc w:val="center"/>
              <w:rPr>
                <w:rFonts w:ascii="Arial" w:hAnsi="Arial" w:cs="Arial"/>
              </w:rPr>
            </w:pPr>
            <w:r>
              <w:rPr>
                <w:rFonts w:cs="Arial"/>
              </w:rPr>
              <w:t>A</w:t>
            </w:r>
          </w:p>
        </w:tc>
        <w:tc>
          <w:tcPr>
            <w:tcW w:w="1065" w:type="pct"/>
            <w:noWrap/>
            <w:hideMark/>
          </w:tcPr>
          <w:p w14:paraId="3103D820" w14:textId="75748880" w:rsidR="002E12EE" w:rsidRPr="00B64658" w:rsidRDefault="00753001" w:rsidP="002E12EE">
            <w:pPr>
              <w:pStyle w:val="Body"/>
              <w:spacing w:after="0"/>
              <w:jc w:val="center"/>
              <w:rPr>
                <w:rFonts w:ascii="Arial" w:hAnsi="Arial" w:cs="Arial"/>
              </w:rPr>
            </w:pPr>
            <w:r>
              <w:rPr>
                <w:rFonts w:cs="Arial"/>
              </w:rPr>
              <w:t>A</w:t>
            </w:r>
          </w:p>
        </w:tc>
      </w:tr>
      <w:tr w:rsidR="002E12EE" w:rsidRPr="00B64658" w14:paraId="309C6FD4" w14:textId="77777777" w:rsidTr="006D4AD5">
        <w:trPr>
          <w:trHeight w:val="300"/>
        </w:trPr>
        <w:tc>
          <w:tcPr>
            <w:tcW w:w="938" w:type="pct"/>
            <w:vMerge w:val="restart"/>
            <w:noWrap/>
            <w:vAlign w:val="center"/>
            <w:hideMark/>
          </w:tcPr>
          <w:p w14:paraId="04D385D6" w14:textId="6439833E" w:rsidR="002E12EE" w:rsidRPr="00B64658" w:rsidRDefault="002E12EE" w:rsidP="002E12EE">
            <w:pPr>
              <w:pStyle w:val="Body"/>
              <w:spacing w:after="0"/>
              <w:jc w:val="center"/>
              <w:rPr>
                <w:rFonts w:ascii="Arial" w:hAnsi="Arial" w:cs="Arial"/>
              </w:rPr>
            </w:pPr>
            <w:r>
              <w:rPr>
                <w:rFonts w:ascii="Arial" w:hAnsi="Arial" w:cs="Arial"/>
              </w:rPr>
              <w:t>P1</w:t>
            </w:r>
            <w:r w:rsidRPr="00B64658">
              <w:rPr>
                <w:rFonts w:ascii="Arial" w:hAnsi="Arial" w:cs="Arial"/>
              </w:rPr>
              <w:t xml:space="preserve"> (</w:t>
            </w:r>
            <w:r>
              <w:rPr>
                <w:rFonts w:ascii="Arial" w:hAnsi="Arial" w:cs="Arial"/>
              </w:rPr>
              <w:t>NPK 2 g/L</w:t>
            </w:r>
            <w:r w:rsidRPr="00B64658">
              <w:rPr>
                <w:rFonts w:ascii="Arial" w:hAnsi="Arial" w:cs="Arial"/>
              </w:rPr>
              <w:t>)</w:t>
            </w:r>
          </w:p>
        </w:tc>
        <w:tc>
          <w:tcPr>
            <w:tcW w:w="978" w:type="pct"/>
            <w:noWrap/>
            <w:hideMark/>
          </w:tcPr>
          <w:p w14:paraId="41C20DFA" w14:textId="1ECA1ABF" w:rsidR="002E12EE" w:rsidRPr="00B64658" w:rsidRDefault="002E12EE" w:rsidP="002E12EE">
            <w:pPr>
              <w:pStyle w:val="Body"/>
              <w:spacing w:after="0"/>
              <w:jc w:val="center"/>
              <w:rPr>
                <w:rFonts w:ascii="Arial" w:hAnsi="Arial" w:cs="Arial"/>
              </w:rPr>
            </w:pPr>
            <w:r w:rsidRPr="007B54B7">
              <w:t>0,74</w:t>
            </w:r>
            <w:r>
              <w:t xml:space="preserve"> </w:t>
            </w:r>
            <w:r w:rsidR="00753001">
              <w:t>b</w:t>
            </w:r>
          </w:p>
        </w:tc>
        <w:tc>
          <w:tcPr>
            <w:tcW w:w="1009" w:type="pct"/>
            <w:noWrap/>
            <w:hideMark/>
          </w:tcPr>
          <w:p w14:paraId="4C9F023E" w14:textId="2F2E78B2" w:rsidR="002E12EE" w:rsidRPr="00B64658" w:rsidRDefault="002E12EE" w:rsidP="002E12EE">
            <w:pPr>
              <w:pStyle w:val="Body"/>
              <w:spacing w:after="0"/>
              <w:jc w:val="center"/>
              <w:rPr>
                <w:rFonts w:ascii="Arial" w:hAnsi="Arial" w:cs="Arial"/>
              </w:rPr>
            </w:pPr>
            <w:r w:rsidRPr="00B204C6">
              <w:t>1,48</w:t>
            </w:r>
            <w:r>
              <w:t xml:space="preserve"> </w:t>
            </w:r>
            <w:r w:rsidR="00753001">
              <w:t>a</w:t>
            </w:r>
          </w:p>
        </w:tc>
        <w:tc>
          <w:tcPr>
            <w:tcW w:w="1010" w:type="pct"/>
            <w:noWrap/>
            <w:hideMark/>
          </w:tcPr>
          <w:p w14:paraId="0B25D6E0" w14:textId="1A2D49A0" w:rsidR="002E12EE" w:rsidRPr="00B64658" w:rsidRDefault="002E12EE" w:rsidP="002E12EE">
            <w:pPr>
              <w:pStyle w:val="Body"/>
              <w:spacing w:after="0"/>
              <w:jc w:val="center"/>
              <w:rPr>
                <w:rFonts w:ascii="Arial" w:hAnsi="Arial" w:cs="Arial"/>
              </w:rPr>
            </w:pPr>
            <w:r w:rsidRPr="00F7529B">
              <w:t>0,85</w:t>
            </w:r>
            <w:r>
              <w:t xml:space="preserve"> </w:t>
            </w:r>
            <w:r w:rsidR="00753001">
              <w:t>b</w:t>
            </w:r>
          </w:p>
        </w:tc>
        <w:tc>
          <w:tcPr>
            <w:tcW w:w="1065" w:type="pct"/>
            <w:noWrap/>
            <w:hideMark/>
          </w:tcPr>
          <w:p w14:paraId="45B0F464" w14:textId="75346D7A" w:rsidR="002E12EE" w:rsidRPr="00B64658" w:rsidRDefault="002E12EE" w:rsidP="002E12EE">
            <w:pPr>
              <w:pStyle w:val="Body"/>
              <w:spacing w:after="0"/>
              <w:jc w:val="center"/>
              <w:rPr>
                <w:rFonts w:ascii="Arial" w:hAnsi="Arial" w:cs="Arial"/>
              </w:rPr>
            </w:pPr>
            <w:r w:rsidRPr="006215BF">
              <w:t>1,31</w:t>
            </w:r>
            <w:r>
              <w:t xml:space="preserve"> </w:t>
            </w:r>
            <w:r w:rsidR="00753001">
              <w:t>b</w:t>
            </w:r>
          </w:p>
        </w:tc>
      </w:tr>
      <w:tr w:rsidR="002E12EE" w:rsidRPr="00B64658" w14:paraId="74D76112" w14:textId="77777777" w:rsidTr="006D4AD5">
        <w:trPr>
          <w:trHeight w:val="300"/>
        </w:trPr>
        <w:tc>
          <w:tcPr>
            <w:tcW w:w="938" w:type="pct"/>
            <w:vMerge/>
            <w:vAlign w:val="center"/>
            <w:hideMark/>
          </w:tcPr>
          <w:p w14:paraId="7C7AE723" w14:textId="77777777" w:rsidR="002E12EE" w:rsidRPr="00B64658" w:rsidRDefault="002E12EE" w:rsidP="002E12EE">
            <w:pPr>
              <w:pStyle w:val="Body"/>
              <w:spacing w:after="0"/>
              <w:jc w:val="center"/>
              <w:rPr>
                <w:rFonts w:ascii="Arial" w:hAnsi="Arial" w:cs="Arial"/>
              </w:rPr>
            </w:pPr>
          </w:p>
        </w:tc>
        <w:tc>
          <w:tcPr>
            <w:tcW w:w="978" w:type="pct"/>
            <w:noWrap/>
            <w:hideMark/>
          </w:tcPr>
          <w:p w14:paraId="120222BA" w14:textId="6379813D" w:rsidR="002E12EE" w:rsidRPr="00B64658" w:rsidRDefault="00753001" w:rsidP="002E12EE">
            <w:pPr>
              <w:pStyle w:val="Body"/>
              <w:spacing w:after="0"/>
              <w:jc w:val="center"/>
              <w:rPr>
                <w:rFonts w:ascii="Arial" w:hAnsi="Arial" w:cs="Arial"/>
              </w:rPr>
            </w:pPr>
            <w:r>
              <w:rPr>
                <w:rFonts w:cs="Arial"/>
              </w:rPr>
              <w:t>B</w:t>
            </w:r>
          </w:p>
        </w:tc>
        <w:tc>
          <w:tcPr>
            <w:tcW w:w="1009" w:type="pct"/>
            <w:noWrap/>
            <w:hideMark/>
          </w:tcPr>
          <w:p w14:paraId="76FAFA88" w14:textId="349FD8A3" w:rsidR="002E12EE" w:rsidRPr="00B64658" w:rsidRDefault="00753001" w:rsidP="002E12EE">
            <w:pPr>
              <w:pStyle w:val="Body"/>
              <w:spacing w:after="0"/>
              <w:jc w:val="center"/>
              <w:rPr>
                <w:rFonts w:ascii="Arial" w:hAnsi="Arial" w:cs="Arial"/>
              </w:rPr>
            </w:pPr>
            <w:r>
              <w:rPr>
                <w:rFonts w:cs="Arial"/>
              </w:rPr>
              <w:t>B</w:t>
            </w:r>
          </w:p>
        </w:tc>
        <w:tc>
          <w:tcPr>
            <w:tcW w:w="1010" w:type="pct"/>
            <w:noWrap/>
            <w:hideMark/>
          </w:tcPr>
          <w:p w14:paraId="156A1FC1" w14:textId="5E4CFBF5" w:rsidR="002E12EE" w:rsidRPr="00B64658" w:rsidRDefault="00753001" w:rsidP="002E12EE">
            <w:pPr>
              <w:pStyle w:val="Body"/>
              <w:spacing w:after="0"/>
              <w:jc w:val="center"/>
              <w:rPr>
                <w:rFonts w:ascii="Arial" w:hAnsi="Arial" w:cs="Arial"/>
              </w:rPr>
            </w:pPr>
            <w:r>
              <w:rPr>
                <w:rFonts w:cs="Arial"/>
              </w:rPr>
              <w:t>B</w:t>
            </w:r>
          </w:p>
        </w:tc>
        <w:tc>
          <w:tcPr>
            <w:tcW w:w="1065" w:type="pct"/>
            <w:noWrap/>
            <w:hideMark/>
          </w:tcPr>
          <w:p w14:paraId="2350FBC4" w14:textId="27384A5C" w:rsidR="002E12EE" w:rsidRPr="00B64658" w:rsidRDefault="00753001" w:rsidP="002E12EE">
            <w:pPr>
              <w:pStyle w:val="Body"/>
              <w:spacing w:after="0"/>
              <w:jc w:val="center"/>
              <w:rPr>
                <w:rFonts w:ascii="Arial" w:hAnsi="Arial" w:cs="Arial"/>
              </w:rPr>
            </w:pPr>
            <w:r>
              <w:rPr>
                <w:rFonts w:cs="Arial"/>
              </w:rPr>
              <w:t>B</w:t>
            </w:r>
          </w:p>
        </w:tc>
      </w:tr>
      <w:tr w:rsidR="002E12EE" w:rsidRPr="00B64658" w14:paraId="3B360A32" w14:textId="77777777" w:rsidTr="006D4AD5">
        <w:trPr>
          <w:trHeight w:val="300"/>
        </w:trPr>
        <w:tc>
          <w:tcPr>
            <w:tcW w:w="938" w:type="pct"/>
            <w:vMerge w:val="restart"/>
            <w:noWrap/>
            <w:vAlign w:val="center"/>
            <w:hideMark/>
          </w:tcPr>
          <w:p w14:paraId="05B3EBB3" w14:textId="07CA475F" w:rsidR="002E12EE" w:rsidRPr="00B64658" w:rsidRDefault="002E12EE" w:rsidP="002E12EE">
            <w:pPr>
              <w:pStyle w:val="Body"/>
              <w:spacing w:after="0"/>
              <w:jc w:val="center"/>
              <w:rPr>
                <w:rFonts w:ascii="Arial" w:hAnsi="Arial" w:cs="Arial"/>
              </w:rPr>
            </w:pPr>
            <w:r>
              <w:rPr>
                <w:rFonts w:ascii="Arial" w:hAnsi="Arial" w:cs="Arial"/>
              </w:rPr>
              <w:t>P2</w:t>
            </w:r>
            <w:r w:rsidRPr="00B64658">
              <w:rPr>
                <w:rFonts w:ascii="Arial" w:hAnsi="Arial" w:cs="Arial"/>
              </w:rPr>
              <w:t xml:space="preserve"> (</w:t>
            </w:r>
            <w:r>
              <w:rPr>
                <w:rFonts w:ascii="Arial" w:hAnsi="Arial" w:cs="Arial"/>
              </w:rPr>
              <w:t>NPK 4 g/L</w:t>
            </w:r>
            <w:r w:rsidRPr="00B64658">
              <w:rPr>
                <w:rFonts w:ascii="Arial" w:hAnsi="Arial" w:cs="Arial"/>
              </w:rPr>
              <w:t>)</w:t>
            </w:r>
          </w:p>
        </w:tc>
        <w:tc>
          <w:tcPr>
            <w:tcW w:w="978" w:type="pct"/>
            <w:noWrap/>
            <w:hideMark/>
          </w:tcPr>
          <w:p w14:paraId="6265E4C1" w14:textId="4797502D" w:rsidR="002E12EE" w:rsidRPr="00B64658" w:rsidRDefault="002E12EE" w:rsidP="002E12EE">
            <w:pPr>
              <w:pStyle w:val="Body"/>
              <w:spacing w:after="0"/>
              <w:jc w:val="center"/>
              <w:rPr>
                <w:rFonts w:ascii="Arial" w:hAnsi="Arial" w:cs="Arial"/>
              </w:rPr>
            </w:pPr>
            <w:r w:rsidRPr="007B54B7">
              <w:t>0,56</w:t>
            </w:r>
            <w:r>
              <w:t xml:space="preserve"> </w:t>
            </w:r>
            <w:r w:rsidR="00753001">
              <w:t>b</w:t>
            </w:r>
          </w:p>
        </w:tc>
        <w:tc>
          <w:tcPr>
            <w:tcW w:w="1009" w:type="pct"/>
            <w:noWrap/>
            <w:hideMark/>
          </w:tcPr>
          <w:p w14:paraId="7A0598D3" w14:textId="79EBC6F9" w:rsidR="002E12EE" w:rsidRPr="00B64658" w:rsidRDefault="002E12EE" w:rsidP="002E12EE">
            <w:pPr>
              <w:pStyle w:val="Body"/>
              <w:spacing w:after="0"/>
              <w:jc w:val="center"/>
              <w:rPr>
                <w:rFonts w:ascii="Arial" w:hAnsi="Arial" w:cs="Arial"/>
              </w:rPr>
            </w:pPr>
            <w:r w:rsidRPr="00B204C6">
              <w:t>0,70</w:t>
            </w:r>
            <w:r>
              <w:t xml:space="preserve"> </w:t>
            </w:r>
            <w:r w:rsidR="00753001">
              <w:t>a</w:t>
            </w:r>
          </w:p>
        </w:tc>
        <w:tc>
          <w:tcPr>
            <w:tcW w:w="1010" w:type="pct"/>
            <w:noWrap/>
            <w:hideMark/>
          </w:tcPr>
          <w:p w14:paraId="43C4D941" w14:textId="001A276F" w:rsidR="002E12EE" w:rsidRPr="00B64658" w:rsidRDefault="002E12EE" w:rsidP="002E12EE">
            <w:pPr>
              <w:pStyle w:val="Body"/>
              <w:spacing w:after="0"/>
              <w:jc w:val="center"/>
              <w:rPr>
                <w:rFonts w:ascii="Arial" w:hAnsi="Arial" w:cs="Arial"/>
              </w:rPr>
            </w:pPr>
            <w:r w:rsidRPr="00F7529B">
              <w:t>0,56</w:t>
            </w:r>
            <w:r>
              <w:t xml:space="preserve"> </w:t>
            </w:r>
            <w:r w:rsidR="00753001">
              <w:t>b</w:t>
            </w:r>
          </w:p>
        </w:tc>
        <w:tc>
          <w:tcPr>
            <w:tcW w:w="1065" w:type="pct"/>
            <w:noWrap/>
            <w:hideMark/>
          </w:tcPr>
          <w:p w14:paraId="71CF5D2A" w14:textId="724F6C1F" w:rsidR="002E12EE" w:rsidRPr="00B64658" w:rsidRDefault="002E12EE" w:rsidP="002E12EE">
            <w:pPr>
              <w:pStyle w:val="Body"/>
              <w:spacing w:after="0"/>
              <w:jc w:val="center"/>
              <w:rPr>
                <w:rFonts w:ascii="Arial" w:hAnsi="Arial" w:cs="Arial"/>
              </w:rPr>
            </w:pPr>
            <w:r w:rsidRPr="006215BF">
              <w:t>0,67</w:t>
            </w:r>
            <w:r>
              <w:t xml:space="preserve"> </w:t>
            </w:r>
            <w:r w:rsidR="00753001">
              <w:t>b</w:t>
            </w:r>
          </w:p>
        </w:tc>
      </w:tr>
      <w:tr w:rsidR="002E12EE" w:rsidRPr="00B64658" w14:paraId="40BA986C" w14:textId="77777777" w:rsidTr="006D4AD5">
        <w:trPr>
          <w:trHeight w:val="300"/>
        </w:trPr>
        <w:tc>
          <w:tcPr>
            <w:tcW w:w="938" w:type="pct"/>
            <w:vMerge/>
            <w:tcBorders>
              <w:bottom w:val="single" w:sz="4" w:space="0" w:color="auto"/>
            </w:tcBorders>
            <w:vAlign w:val="center"/>
            <w:hideMark/>
          </w:tcPr>
          <w:p w14:paraId="2331F669" w14:textId="77777777" w:rsidR="002E12EE" w:rsidRPr="00B64658" w:rsidRDefault="002E12EE" w:rsidP="002E12EE">
            <w:pPr>
              <w:pStyle w:val="Body"/>
              <w:spacing w:after="0"/>
              <w:jc w:val="center"/>
              <w:rPr>
                <w:rFonts w:ascii="Arial" w:hAnsi="Arial" w:cs="Arial"/>
              </w:rPr>
            </w:pPr>
          </w:p>
        </w:tc>
        <w:tc>
          <w:tcPr>
            <w:tcW w:w="978" w:type="pct"/>
            <w:tcBorders>
              <w:bottom w:val="single" w:sz="4" w:space="0" w:color="auto"/>
            </w:tcBorders>
            <w:noWrap/>
            <w:hideMark/>
          </w:tcPr>
          <w:p w14:paraId="4EC6D03E" w14:textId="73EDFEA2" w:rsidR="002E12EE" w:rsidRPr="00B64658" w:rsidRDefault="00753001" w:rsidP="002E12EE">
            <w:pPr>
              <w:pStyle w:val="Body"/>
              <w:spacing w:after="0"/>
              <w:jc w:val="center"/>
              <w:rPr>
                <w:rFonts w:ascii="Arial" w:hAnsi="Arial" w:cs="Arial"/>
              </w:rPr>
            </w:pPr>
            <w:r>
              <w:rPr>
                <w:rFonts w:cs="Arial"/>
              </w:rPr>
              <w:t>B</w:t>
            </w:r>
          </w:p>
        </w:tc>
        <w:tc>
          <w:tcPr>
            <w:tcW w:w="1009" w:type="pct"/>
            <w:tcBorders>
              <w:bottom w:val="single" w:sz="4" w:space="0" w:color="auto"/>
            </w:tcBorders>
            <w:noWrap/>
            <w:hideMark/>
          </w:tcPr>
          <w:p w14:paraId="3C2FB9E8" w14:textId="793DAF47" w:rsidR="002E12EE" w:rsidRPr="00B64658" w:rsidRDefault="00753001" w:rsidP="002E12EE">
            <w:pPr>
              <w:pStyle w:val="Body"/>
              <w:spacing w:after="0"/>
              <w:jc w:val="center"/>
              <w:rPr>
                <w:rFonts w:ascii="Arial" w:hAnsi="Arial" w:cs="Arial"/>
              </w:rPr>
            </w:pPr>
            <w:r>
              <w:rPr>
                <w:rFonts w:cs="Arial"/>
              </w:rPr>
              <w:t>B</w:t>
            </w:r>
          </w:p>
        </w:tc>
        <w:tc>
          <w:tcPr>
            <w:tcW w:w="1010" w:type="pct"/>
            <w:tcBorders>
              <w:bottom w:val="single" w:sz="4" w:space="0" w:color="auto"/>
            </w:tcBorders>
            <w:noWrap/>
            <w:hideMark/>
          </w:tcPr>
          <w:p w14:paraId="0DFBDBE4" w14:textId="49ED9F5B" w:rsidR="002E12EE" w:rsidRPr="00B64658" w:rsidRDefault="00753001" w:rsidP="002E12EE">
            <w:pPr>
              <w:pStyle w:val="Body"/>
              <w:spacing w:after="0"/>
              <w:jc w:val="center"/>
              <w:rPr>
                <w:rFonts w:ascii="Arial" w:hAnsi="Arial" w:cs="Arial"/>
              </w:rPr>
            </w:pPr>
            <w:r>
              <w:rPr>
                <w:rFonts w:cs="Arial"/>
              </w:rPr>
              <w:t>B</w:t>
            </w:r>
          </w:p>
        </w:tc>
        <w:tc>
          <w:tcPr>
            <w:tcW w:w="1065" w:type="pct"/>
            <w:tcBorders>
              <w:bottom w:val="single" w:sz="4" w:space="0" w:color="auto"/>
            </w:tcBorders>
            <w:noWrap/>
            <w:hideMark/>
          </w:tcPr>
          <w:p w14:paraId="122F6ECE" w14:textId="02B94B0A" w:rsidR="002E12EE" w:rsidRPr="00B64658" w:rsidRDefault="00753001" w:rsidP="002E12EE">
            <w:pPr>
              <w:pStyle w:val="Body"/>
              <w:spacing w:after="0"/>
              <w:jc w:val="center"/>
              <w:rPr>
                <w:rFonts w:ascii="Arial" w:hAnsi="Arial" w:cs="Arial"/>
              </w:rPr>
            </w:pPr>
            <w:r>
              <w:rPr>
                <w:rFonts w:cs="Arial"/>
              </w:rPr>
              <w:t>B</w:t>
            </w:r>
          </w:p>
        </w:tc>
      </w:tr>
    </w:tbl>
    <w:p w14:paraId="0D00E46E" w14:textId="77777777" w:rsidR="003C7623" w:rsidRPr="003C7623" w:rsidRDefault="003C7623" w:rsidP="003C7623">
      <w:pPr>
        <w:ind w:left="567" w:hanging="567"/>
        <w:jc w:val="both"/>
        <w:rPr>
          <w:rFonts w:ascii="Arial" w:hAnsi="Arial"/>
          <w:bCs/>
          <w:i/>
          <w:sz w:val="18"/>
          <w:lang w:val="en-ID"/>
        </w:rPr>
      </w:pPr>
      <w:r w:rsidRPr="003C7623">
        <w:rPr>
          <w:rFonts w:ascii="Arial" w:hAnsi="Arial"/>
          <w:bCs/>
          <w:i/>
          <w:sz w:val="18"/>
          <w:lang w:val="en-ID"/>
        </w:rPr>
        <w:t>Note: Numbers followed by the same capital letter and in the same column are not significantly different in the DMRT 5% level follow-up test. Numbers followed by the same lowercase letter and in the same row are not significantly different in the DMRT 5% level follow-up test.</w:t>
      </w:r>
    </w:p>
    <w:p w14:paraId="63468F12" w14:textId="77777777" w:rsidR="004F60D9" w:rsidRPr="003C7623" w:rsidRDefault="004F60D9" w:rsidP="004F60D9">
      <w:pPr>
        <w:tabs>
          <w:tab w:val="left" w:pos="1080"/>
        </w:tabs>
        <w:ind w:left="1080" w:hanging="1080"/>
        <w:jc w:val="both"/>
        <w:rPr>
          <w:rFonts w:ascii="Arial" w:hAnsi="Arial"/>
          <w:b/>
          <w:lang w:val="en-ID"/>
        </w:rPr>
      </w:pPr>
    </w:p>
    <w:p w14:paraId="40D14E80" w14:textId="77777777" w:rsidR="00DC65C5" w:rsidRPr="00DC65C5" w:rsidRDefault="00DC65C5" w:rsidP="00DC65C5">
      <w:pPr>
        <w:tabs>
          <w:tab w:val="left" w:pos="1080"/>
        </w:tabs>
        <w:jc w:val="both"/>
        <w:rPr>
          <w:rFonts w:ascii="Arial" w:hAnsi="Arial" w:cs="Arial"/>
          <w:lang w:val="en-ID"/>
        </w:rPr>
      </w:pPr>
      <w:r w:rsidRPr="00DC65C5">
        <w:rPr>
          <w:rFonts w:ascii="Arial" w:hAnsi="Arial" w:cs="Arial"/>
          <w:lang w:val="en-ID"/>
        </w:rPr>
        <w:t>An interaction was observed between the concentration of compound NPK fertilizer and sucrose concentration on the number of micro-leaves (Table 3).</w:t>
      </w:r>
    </w:p>
    <w:p w14:paraId="7139E9CC" w14:textId="77777777" w:rsidR="006D4AD5" w:rsidRPr="00DC65C5" w:rsidRDefault="006D4AD5" w:rsidP="00BA2791">
      <w:pPr>
        <w:tabs>
          <w:tab w:val="left" w:pos="1080"/>
        </w:tabs>
        <w:jc w:val="both"/>
        <w:rPr>
          <w:rFonts w:ascii="Arial" w:hAnsi="Arial"/>
          <w:b/>
          <w:lang w:val="en-ID"/>
        </w:rPr>
      </w:pPr>
    </w:p>
    <w:p w14:paraId="2935D1C0" w14:textId="047E3390" w:rsidR="00DB7AC8" w:rsidRPr="00B1701E" w:rsidRDefault="0039064A" w:rsidP="0039064A">
      <w:pPr>
        <w:tabs>
          <w:tab w:val="left" w:pos="1080"/>
        </w:tabs>
        <w:jc w:val="both"/>
        <w:rPr>
          <w:rFonts w:ascii="Arial" w:hAnsi="Arial"/>
          <w:b/>
          <w:lang w:val="id"/>
        </w:rPr>
      </w:pPr>
      <w:r w:rsidRPr="00EC715B">
        <w:rPr>
          <w:rFonts w:ascii="Arial" w:hAnsi="Arial"/>
          <w:b/>
          <w:lang w:val="id"/>
        </w:rPr>
        <w:t xml:space="preserve">Table </w:t>
      </w:r>
      <w:r w:rsidR="007B0EB8">
        <w:rPr>
          <w:rFonts w:ascii="Arial" w:hAnsi="Arial"/>
          <w:b/>
          <w:lang w:val="id"/>
        </w:rPr>
        <w:t>3</w:t>
      </w:r>
      <w:r w:rsidR="00DC65C5">
        <w:rPr>
          <w:rFonts w:ascii="Arial" w:hAnsi="Arial"/>
          <w:b/>
          <w:lang w:val="id"/>
        </w:rPr>
        <w:t xml:space="preserve">. </w:t>
      </w:r>
      <w:r w:rsidR="00DC65C5" w:rsidRPr="00DC65C5">
        <w:rPr>
          <w:rFonts w:ascii="Arial" w:hAnsi="Arial"/>
          <w:b/>
        </w:rPr>
        <w:t>Interaction of NPK Fertilizer Concentration and Sucrose on Micro-Leaf Number</w:t>
      </w:r>
    </w:p>
    <w:tbl>
      <w:tblPr>
        <w:tblW w:w="5000" w:type="pct"/>
        <w:tblLayout w:type="fixed"/>
        <w:tblLook w:val="04A0" w:firstRow="1" w:lastRow="0" w:firstColumn="1" w:lastColumn="0" w:noHBand="0" w:noVBand="1"/>
      </w:tblPr>
      <w:tblGrid>
        <w:gridCol w:w="1580"/>
        <w:gridCol w:w="1648"/>
        <w:gridCol w:w="1700"/>
        <w:gridCol w:w="1702"/>
        <w:gridCol w:w="1794"/>
      </w:tblGrid>
      <w:tr w:rsidR="00DB7AC8" w:rsidRPr="00B64658" w14:paraId="4BE282D5" w14:textId="77777777" w:rsidTr="002E1D2B">
        <w:trPr>
          <w:trHeight w:val="300"/>
        </w:trPr>
        <w:tc>
          <w:tcPr>
            <w:tcW w:w="938" w:type="pct"/>
            <w:vMerge w:val="restart"/>
            <w:tcBorders>
              <w:top w:val="single" w:sz="4" w:space="0" w:color="auto"/>
            </w:tcBorders>
            <w:vAlign w:val="center"/>
            <w:hideMark/>
          </w:tcPr>
          <w:p w14:paraId="21713495" w14:textId="7092BF79" w:rsidR="00DB7AC8" w:rsidRPr="00840C4C" w:rsidRDefault="00DC65C5" w:rsidP="002E1D2B">
            <w:pPr>
              <w:pStyle w:val="Body"/>
              <w:spacing w:after="0"/>
              <w:jc w:val="center"/>
              <w:rPr>
                <w:rFonts w:ascii="Arial" w:hAnsi="Arial" w:cs="Arial"/>
                <w:lang w:val="sv-SE"/>
              </w:rPr>
            </w:pPr>
            <w:r>
              <w:rPr>
                <w:lang w:val="sv-SE"/>
              </w:rPr>
              <w:t>Compound Fertilizer</w:t>
            </w:r>
            <w:r w:rsidRPr="00EA1D1F">
              <w:rPr>
                <w:lang w:val="sv-SE"/>
              </w:rPr>
              <w:t xml:space="preserve"> </w:t>
            </w:r>
            <w:r w:rsidRPr="00EA1D1F">
              <w:rPr>
                <w:rFonts w:ascii="Arial" w:hAnsi="Arial" w:cs="Arial"/>
                <w:lang w:val="sv-SE"/>
              </w:rPr>
              <w:t>Concentration</w:t>
            </w:r>
          </w:p>
        </w:tc>
        <w:tc>
          <w:tcPr>
            <w:tcW w:w="4062" w:type="pct"/>
            <w:gridSpan w:val="4"/>
            <w:tcBorders>
              <w:top w:val="single" w:sz="4" w:space="0" w:color="auto"/>
            </w:tcBorders>
            <w:noWrap/>
            <w:vAlign w:val="center"/>
            <w:hideMark/>
          </w:tcPr>
          <w:p w14:paraId="0EFAF054" w14:textId="6EEE6A6B" w:rsidR="00DB7AC8" w:rsidRPr="00B64658" w:rsidRDefault="00DC65C5" w:rsidP="002E1D2B">
            <w:pPr>
              <w:pStyle w:val="Body"/>
              <w:spacing w:after="0"/>
              <w:jc w:val="center"/>
              <w:rPr>
                <w:rFonts w:ascii="Arial" w:hAnsi="Arial" w:cs="Arial"/>
              </w:rPr>
            </w:pPr>
            <w:r>
              <w:rPr>
                <w:rFonts w:ascii="Arial" w:hAnsi="Arial" w:cs="Arial"/>
              </w:rPr>
              <w:t xml:space="preserve">Sucrose </w:t>
            </w:r>
            <w:r w:rsidRPr="00EA1D1F">
              <w:rPr>
                <w:rFonts w:ascii="Arial" w:hAnsi="Arial" w:cs="Arial"/>
              </w:rPr>
              <w:t>Concentration</w:t>
            </w:r>
          </w:p>
        </w:tc>
      </w:tr>
      <w:tr w:rsidR="00DC65C5" w:rsidRPr="00B64658" w14:paraId="7EF7F50C" w14:textId="77777777" w:rsidTr="002E1D2B">
        <w:trPr>
          <w:trHeight w:val="1068"/>
        </w:trPr>
        <w:tc>
          <w:tcPr>
            <w:tcW w:w="938" w:type="pct"/>
            <w:vMerge/>
            <w:tcBorders>
              <w:bottom w:val="single" w:sz="4" w:space="0" w:color="auto"/>
            </w:tcBorders>
            <w:vAlign w:val="center"/>
            <w:hideMark/>
          </w:tcPr>
          <w:p w14:paraId="4BC207AF" w14:textId="77777777" w:rsidR="00DC65C5" w:rsidRPr="00B64658" w:rsidRDefault="00DC65C5" w:rsidP="00DC65C5">
            <w:pPr>
              <w:pStyle w:val="Body"/>
              <w:spacing w:after="0"/>
              <w:jc w:val="center"/>
              <w:rPr>
                <w:rFonts w:ascii="Arial" w:hAnsi="Arial" w:cs="Arial"/>
              </w:rPr>
            </w:pPr>
          </w:p>
        </w:tc>
        <w:tc>
          <w:tcPr>
            <w:tcW w:w="978" w:type="pct"/>
            <w:tcBorders>
              <w:top w:val="single" w:sz="4" w:space="0" w:color="auto"/>
              <w:bottom w:val="single" w:sz="4" w:space="0" w:color="auto"/>
            </w:tcBorders>
            <w:noWrap/>
            <w:vAlign w:val="center"/>
            <w:hideMark/>
          </w:tcPr>
          <w:p w14:paraId="75D2947E" w14:textId="77777777" w:rsidR="00DC65C5" w:rsidRPr="00B64658" w:rsidRDefault="00DC65C5" w:rsidP="00DC65C5">
            <w:pPr>
              <w:pStyle w:val="Body"/>
              <w:spacing w:after="0"/>
              <w:jc w:val="center"/>
              <w:rPr>
                <w:rFonts w:ascii="Arial" w:hAnsi="Arial" w:cs="Arial"/>
              </w:rPr>
            </w:pPr>
            <w:r>
              <w:rPr>
                <w:rFonts w:ascii="Arial" w:hAnsi="Arial" w:cs="Arial"/>
              </w:rPr>
              <w:t>S0</w:t>
            </w:r>
          </w:p>
          <w:p w14:paraId="3A6F057D" w14:textId="2A97ABD2" w:rsidR="00DC65C5" w:rsidRPr="00B64658" w:rsidRDefault="00DC65C5" w:rsidP="00DC65C5">
            <w:pPr>
              <w:pStyle w:val="Body"/>
              <w:spacing w:after="0"/>
              <w:jc w:val="center"/>
              <w:rPr>
                <w:rFonts w:ascii="Arial" w:hAnsi="Arial" w:cs="Arial"/>
              </w:rPr>
            </w:pPr>
            <w:r w:rsidRPr="00B64658">
              <w:rPr>
                <w:rFonts w:ascii="Arial" w:hAnsi="Arial" w:cs="Arial"/>
              </w:rPr>
              <w:t>(</w:t>
            </w:r>
            <w:r>
              <w:rPr>
                <w:rFonts w:ascii="Arial" w:hAnsi="Arial" w:cs="Arial"/>
              </w:rPr>
              <w:t>Sucrose 30g/L</w:t>
            </w:r>
            <w:r w:rsidRPr="00B64658">
              <w:rPr>
                <w:rFonts w:ascii="Arial" w:hAnsi="Arial" w:cs="Arial"/>
              </w:rPr>
              <w:t>)</w:t>
            </w:r>
          </w:p>
        </w:tc>
        <w:tc>
          <w:tcPr>
            <w:tcW w:w="1009" w:type="pct"/>
            <w:tcBorders>
              <w:top w:val="single" w:sz="4" w:space="0" w:color="auto"/>
              <w:bottom w:val="single" w:sz="4" w:space="0" w:color="auto"/>
            </w:tcBorders>
            <w:noWrap/>
            <w:vAlign w:val="center"/>
            <w:hideMark/>
          </w:tcPr>
          <w:p w14:paraId="0D6C9382"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1</w:t>
            </w:r>
          </w:p>
          <w:p w14:paraId="376A03DB" w14:textId="1963A331" w:rsidR="00DC65C5" w:rsidRPr="00B64658" w:rsidRDefault="00DC65C5" w:rsidP="00DC65C5">
            <w:pPr>
              <w:pStyle w:val="Body"/>
              <w:spacing w:after="0"/>
              <w:jc w:val="center"/>
              <w:rPr>
                <w:rFonts w:ascii="Arial" w:hAnsi="Arial" w:cs="Arial"/>
              </w:rPr>
            </w:pPr>
            <w:r w:rsidRPr="00B64658">
              <w:rPr>
                <w:rFonts w:ascii="Arial" w:hAnsi="Arial" w:cs="Arial"/>
              </w:rPr>
              <w:t>(S</w:t>
            </w:r>
            <w:r>
              <w:rPr>
                <w:rFonts w:ascii="Arial" w:hAnsi="Arial" w:cs="Arial"/>
              </w:rPr>
              <w:t>ucrose 60g/L</w:t>
            </w:r>
            <w:r w:rsidRPr="00B64658">
              <w:rPr>
                <w:rFonts w:ascii="Arial" w:hAnsi="Arial" w:cs="Arial"/>
              </w:rPr>
              <w:t>)</w:t>
            </w:r>
          </w:p>
        </w:tc>
        <w:tc>
          <w:tcPr>
            <w:tcW w:w="1010" w:type="pct"/>
            <w:tcBorders>
              <w:top w:val="single" w:sz="4" w:space="0" w:color="auto"/>
              <w:bottom w:val="single" w:sz="4" w:space="0" w:color="auto"/>
            </w:tcBorders>
            <w:noWrap/>
            <w:vAlign w:val="center"/>
            <w:hideMark/>
          </w:tcPr>
          <w:p w14:paraId="09596F86"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2</w:t>
            </w:r>
          </w:p>
          <w:p w14:paraId="43FBE693" w14:textId="47182C9D" w:rsidR="00DC65C5" w:rsidRPr="00B64658" w:rsidRDefault="00DC65C5" w:rsidP="00DC65C5">
            <w:pPr>
              <w:pStyle w:val="Body"/>
              <w:spacing w:after="0"/>
              <w:jc w:val="center"/>
              <w:rPr>
                <w:rFonts w:ascii="Arial" w:hAnsi="Arial" w:cs="Arial"/>
              </w:rPr>
            </w:pPr>
            <w:r w:rsidRPr="00B64658">
              <w:rPr>
                <w:rFonts w:ascii="Arial" w:hAnsi="Arial" w:cs="Arial"/>
              </w:rPr>
              <w:t>(S</w:t>
            </w:r>
            <w:r>
              <w:rPr>
                <w:rFonts w:ascii="Arial" w:hAnsi="Arial" w:cs="Arial"/>
              </w:rPr>
              <w:t>ucrose 90g/L</w:t>
            </w:r>
            <w:r w:rsidRPr="00B64658">
              <w:rPr>
                <w:rFonts w:ascii="Arial" w:hAnsi="Arial" w:cs="Arial"/>
              </w:rPr>
              <w:t>)</w:t>
            </w:r>
          </w:p>
        </w:tc>
        <w:tc>
          <w:tcPr>
            <w:tcW w:w="1065" w:type="pct"/>
            <w:tcBorders>
              <w:top w:val="single" w:sz="4" w:space="0" w:color="auto"/>
              <w:bottom w:val="single" w:sz="4" w:space="0" w:color="auto"/>
            </w:tcBorders>
            <w:noWrap/>
            <w:vAlign w:val="center"/>
            <w:hideMark/>
          </w:tcPr>
          <w:p w14:paraId="5CBCC7CE" w14:textId="77777777" w:rsidR="00DC65C5" w:rsidRPr="00B64658" w:rsidRDefault="00DC65C5" w:rsidP="00DC65C5">
            <w:pPr>
              <w:pStyle w:val="Body"/>
              <w:spacing w:after="0"/>
              <w:jc w:val="center"/>
              <w:rPr>
                <w:rFonts w:ascii="Arial" w:hAnsi="Arial" w:cs="Arial"/>
              </w:rPr>
            </w:pPr>
            <w:r>
              <w:rPr>
                <w:rFonts w:ascii="Arial" w:hAnsi="Arial" w:cs="Arial"/>
              </w:rPr>
              <w:t>S</w:t>
            </w:r>
            <w:r w:rsidRPr="00B64658">
              <w:rPr>
                <w:rFonts w:ascii="Arial" w:hAnsi="Arial" w:cs="Arial"/>
              </w:rPr>
              <w:t>3</w:t>
            </w:r>
          </w:p>
          <w:p w14:paraId="16A97B9D" w14:textId="514A02A0" w:rsidR="00DC65C5" w:rsidRPr="00B64658" w:rsidRDefault="00DC65C5" w:rsidP="00DC65C5">
            <w:pPr>
              <w:pStyle w:val="Body"/>
              <w:spacing w:after="0"/>
              <w:jc w:val="center"/>
              <w:rPr>
                <w:rFonts w:ascii="Arial" w:hAnsi="Arial" w:cs="Arial"/>
              </w:rPr>
            </w:pPr>
            <w:r w:rsidRPr="00B64658">
              <w:rPr>
                <w:rFonts w:ascii="Arial" w:hAnsi="Arial" w:cs="Arial"/>
              </w:rPr>
              <w:t>(</w:t>
            </w:r>
            <w:r>
              <w:rPr>
                <w:rFonts w:ascii="Arial" w:hAnsi="Arial" w:cs="Arial"/>
              </w:rPr>
              <w:t>Sucrose120 g/L</w:t>
            </w:r>
            <w:r w:rsidRPr="00B64658">
              <w:rPr>
                <w:rFonts w:ascii="Arial" w:hAnsi="Arial" w:cs="Arial"/>
              </w:rPr>
              <w:t>)</w:t>
            </w:r>
          </w:p>
        </w:tc>
      </w:tr>
      <w:tr w:rsidR="00DB7AC8" w:rsidRPr="00B64658" w14:paraId="3F4DDDD3" w14:textId="77777777" w:rsidTr="002E1D2B">
        <w:trPr>
          <w:trHeight w:val="300"/>
        </w:trPr>
        <w:tc>
          <w:tcPr>
            <w:tcW w:w="938" w:type="pct"/>
            <w:vMerge w:val="restart"/>
            <w:tcBorders>
              <w:top w:val="single" w:sz="4" w:space="0" w:color="auto"/>
            </w:tcBorders>
            <w:noWrap/>
            <w:vAlign w:val="center"/>
            <w:hideMark/>
          </w:tcPr>
          <w:p w14:paraId="0980C459" w14:textId="77777777" w:rsidR="00DB7AC8" w:rsidRPr="00B64658" w:rsidRDefault="00DB7AC8" w:rsidP="002E1D2B">
            <w:pPr>
              <w:pStyle w:val="Body"/>
              <w:spacing w:after="0"/>
              <w:jc w:val="center"/>
              <w:rPr>
                <w:rFonts w:ascii="Arial" w:hAnsi="Arial" w:cs="Arial"/>
              </w:rPr>
            </w:pPr>
            <w:r>
              <w:rPr>
                <w:rFonts w:ascii="Arial" w:hAnsi="Arial" w:cs="Arial"/>
              </w:rPr>
              <w:t>P0</w:t>
            </w:r>
            <w:r w:rsidRPr="00B64658">
              <w:rPr>
                <w:rFonts w:ascii="Arial" w:hAnsi="Arial" w:cs="Arial"/>
              </w:rPr>
              <w:t xml:space="preserve"> (</w:t>
            </w:r>
            <w:proofErr w:type="spellStart"/>
            <w:r>
              <w:rPr>
                <w:rFonts w:ascii="Arial" w:hAnsi="Arial" w:cs="Arial"/>
              </w:rPr>
              <w:t>Murashige</w:t>
            </w:r>
            <w:proofErr w:type="spellEnd"/>
            <w:r>
              <w:rPr>
                <w:rFonts w:ascii="Arial" w:hAnsi="Arial" w:cs="Arial"/>
              </w:rPr>
              <w:t xml:space="preserve"> and </w:t>
            </w:r>
            <w:proofErr w:type="spellStart"/>
            <w:r>
              <w:rPr>
                <w:rFonts w:ascii="Arial" w:hAnsi="Arial" w:cs="Arial"/>
              </w:rPr>
              <w:t>Skooq</w:t>
            </w:r>
            <w:proofErr w:type="spellEnd"/>
            <w:r w:rsidRPr="00B64658">
              <w:rPr>
                <w:rFonts w:ascii="Arial" w:hAnsi="Arial" w:cs="Arial"/>
              </w:rPr>
              <w:t>)</w:t>
            </w:r>
          </w:p>
        </w:tc>
        <w:tc>
          <w:tcPr>
            <w:tcW w:w="978" w:type="pct"/>
            <w:tcBorders>
              <w:top w:val="single" w:sz="4" w:space="0" w:color="auto"/>
            </w:tcBorders>
            <w:noWrap/>
            <w:hideMark/>
          </w:tcPr>
          <w:p w14:paraId="2BF94EE5" w14:textId="44342E0A" w:rsidR="00DB7AC8" w:rsidRPr="00B64658" w:rsidRDefault="006F08DF" w:rsidP="002E1D2B">
            <w:pPr>
              <w:pStyle w:val="Body"/>
              <w:spacing w:after="0"/>
              <w:jc w:val="center"/>
              <w:rPr>
                <w:rFonts w:ascii="Arial" w:hAnsi="Arial" w:cs="Arial"/>
              </w:rPr>
            </w:pPr>
            <w:r>
              <w:t>1,40</w:t>
            </w:r>
            <w:r w:rsidR="00DB7AC8">
              <w:t xml:space="preserve"> </w:t>
            </w:r>
            <w:r w:rsidR="00753001">
              <w:t>a</w:t>
            </w:r>
          </w:p>
        </w:tc>
        <w:tc>
          <w:tcPr>
            <w:tcW w:w="1009" w:type="pct"/>
            <w:tcBorders>
              <w:top w:val="single" w:sz="4" w:space="0" w:color="auto"/>
            </w:tcBorders>
            <w:noWrap/>
            <w:hideMark/>
          </w:tcPr>
          <w:p w14:paraId="16546263" w14:textId="4B4163CA" w:rsidR="00DB7AC8" w:rsidRPr="00B64658" w:rsidRDefault="006F08DF" w:rsidP="002E1D2B">
            <w:pPr>
              <w:pStyle w:val="Body"/>
              <w:spacing w:after="0"/>
              <w:jc w:val="center"/>
              <w:rPr>
                <w:rFonts w:ascii="Arial" w:hAnsi="Arial" w:cs="Arial"/>
              </w:rPr>
            </w:pPr>
            <w:r>
              <w:t>1,99</w:t>
            </w:r>
            <w:r w:rsidR="00DB7AC8">
              <w:t xml:space="preserve"> </w:t>
            </w:r>
            <w:r w:rsidR="00753001">
              <w:t>a</w:t>
            </w:r>
          </w:p>
        </w:tc>
        <w:tc>
          <w:tcPr>
            <w:tcW w:w="1010" w:type="pct"/>
            <w:tcBorders>
              <w:top w:val="single" w:sz="4" w:space="0" w:color="auto"/>
            </w:tcBorders>
            <w:noWrap/>
            <w:hideMark/>
          </w:tcPr>
          <w:p w14:paraId="3E4F3679" w14:textId="313DCA0D" w:rsidR="00DB7AC8" w:rsidRPr="00B64658" w:rsidRDefault="00463346" w:rsidP="002E1D2B">
            <w:pPr>
              <w:pStyle w:val="Body"/>
              <w:spacing w:after="0"/>
              <w:jc w:val="center"/>
              <w:rPr>
                <w:rFonts w:ascii="Arial" w:hAnsi="Arial" w:cs="Arial"/>
              </w:rPr>
            </w:pPr>
            <w:r>
              <w:t>1,78</w:t>
            </w:r>
            <w:r w:rsidR="00DB7AC8">
              <w:t xml:space="preserve"> </w:t>
            </w:r>
            <w:r w:rsidR="00753001">
              <w:t>a</w:t>
            </w:r>
          </w:p>
        </w:tc>
        <w:tc>
          <w:tcPr>
            <w:tcW w:w="1065" w:type="pct"/>
            <w:tcBorders>
              <w:top w:val="single" w:sz="4" w:space="0" w:color="auto"/>
            </w:tcBorders>
            <w:noWrap/>
            <w:hideMark/>
          </w:tcPr>
          <w:p w14:paraId="7FE996DF" w14:textId="28196B13" w:rsidR="00DB7AC8" w:rsidRPr="00B64658" w:rsidRDefault="00463346" w:rsidP="002E1D2B">
            <w:pPr>
              <w:pStyle w:val="Body"/>
              <w:spacing w:after="0"/>
              <w:jc w:val="center"/>
              <w:rPr>
                <w:rFonts w:ascii="Arial" w:hAnsi="Arial" w:cs="Arial"/>
              </w:rPr>
            </w:pPr>
            <w:r>
              <w:t>1,79</w:t>
            </w:r>
            <w:r w:rsidR="00DB7AC8">
              <w:t xml:space="preserve"> </w:t>
            </w:r>
            <w:r w:rsidR="00753001">
              <w:t>a</w:t>
            </w:r>
          </w:p>
        </w:tc>
      </w:tr>
      <w:tr w:rsidR="00DB7AC8" w:rsidRPr="00B64658" w14:paraId="5992AA0B" w14:textId="77777777" w:rsidTr="002E1D2B">
        <w:trPr>
          <w:trHeight w:val="300"/>
        </w:trPr>
        <w:tc>
          <w:tcPr>
            <w:tcW w:w="938" w:type="pct"/>
            <w:vMerge/>
            <w:vAlign w:val="center"/>
            <w:hideMark/>
          </w:tcPr>
          <w:p w14:paraId="2943C863" w14:textId="77777777" w:rsidR="00DB7AC8" w:rsidRPr="00B64658" w:rsidRDefault="00DB7AC8" w:rsidP="002E1D2B">
            <w:pPr>
              <w:pStyle w:val="Body"/>
              <w:spacing w:after="0"/>
              <w:jc w:val="center"/>
              <w:rPr>
                <w:rFonts w:ascii="Arial" w:hAnsi="Arial" w:cs="Arial"/>
              </w:rPr>
            </w:pPr>
          </w:p>
        </w:tc>
        <w:tc>
          <w:tcPr>
            <w:tcW w:w="978" w:type="pct"/>
            <w:noWrap/>
            <w:hideMark/>
          </w:tcPr>
          <w:p w14:paraId="286B448D" w14:textId="410DA9B4" w:rsidR="00DB7AC8" w:rsidRPr="00B64658" w:rsidRDefault="00753001" w:rsidP="002E1D2B">
            <w:pPr>
              <w:pStyle w:val="Body"/>
              <w:spacing w:after="0"/>
              <w:jc w:val="center"/>
              <w:rPr>
                <w:rFonts w:ascii="Arial" w:hAnsi="Arial" w:cs="Arial"/>
              </w:rPr>
            </w:pPr>
            <w:r>
              <w:rPr>
                <w:rFonts w:cs="Arial"/>
              </w:rPr>
              <w:t>A</w:t>
            </w:r>
          </w:p>
        </w:tc>
        <w:tc>
          <w:tcPr>
            <w:tcW w:w="1009" w:type="pct"/>
            <w:noWrap/>
            <w:hideMark/>
          </w:tcPr>
          <w:p w14:paraId="36318CBF" w14:textId="1BC4237E" w:rsidR="00DB7AC8" w:rsidRPr="00B64658" w:rsidRDefault="00753001" w:rsidP="002E1D2B">
            <w:pPr>
              <w:pStyle w:val="Body"/>
              <w:spacing w:after="0"/>
              <w:jc w:val="center"/>
              <w:rPr>
                <w:rFonts w:ascii="Arial" w:hAnsi="Arial" w:cs="Arial"/>
              </w:rPr>
            </w:pPr>
            <w:r>
              <w:rPr>
                <w:rFonts w:cs="Arial"/>
              </w:rPr>
              <w:t>A</w:t>
            </w:r>
          </w:p>
        </w:tc>
        <w:tc>
          <w:tcPr>
            <w:tcW w:w="1010" w:type="pct"/>
            <w:noWrap/>
            <w:hideMark/>
          </w:tcPr>
          <w:p w14:paraId="25F145B8" w14:textId="1C34413C" w:rsidR="00DB7AC8" w:rsidRPr="00B64658" w:rsidRDefault="00753001" w:rsidP="002E1D2B">
            <w:pPr>
              <w:pStyle w:val="Body"/>
              <w:spacing w:after="0"/>
              <w:jc w:val="center"/>
              <w:rPr>
                <w:rFonts w:ascii="Arial" w:hAnsi="Arial" w:cs="Arial"/>
              </w:rPr>
            </w:pPr>
            <w:r>
              <w:rPr>
                <w:rFonts w:cs="Arial"/>
              </w:rPr>
              <w:t>A</w:t>
            </w:r>
          </w:p>
        </w:tc>
        <w:tc>
          <w:tcPr>
            <w:tcW w:w="1065" w:type="pct"/>
            <w:noWrap/>
            <w:hideMark/>
          </w:tcPr>
          <w:p w14:paraId="340C5E83" w14:textId="5429B226" w:rsidR="00DB7AC8" w:rsidRPr="00B64658" w:rsidRDefault="00753001" w:rsidP="002E1D2B">
            <w:pPr>
              <w:pStyle w:val="Body"/>
              <w:spacing w:after="0"/>
              <w:jc w:val="center"/>
              <w:rPr>
                <w:rFonts w:ascii="Arial" w:hAnsi="Arial" w:cs="Arial"/>
              </w:rPr>
            </w:pPr>
            <w:r>
              <w:rPr>
                <w:rFonts w:cs="Arial"/>
              </w:rPr>
              <w:t>A</w:t>
            </w:r>
          </w:p>
        </w:tc>
      </w:tr>
      <w:tr w:rsidR="00DB7AC8" w:rsidRPr="00B64658" w14:paraId="5EC67DD3" w14:textId="77777777" w:rsidTr="002E1D2B">
        <w:trPr>
          <w:trHeight w:val="300"/>
        </w:trPr>
        <w:tc>
          <w:tcPr>
            <w:tcW w:w="938" w:type="pct"/>
            <w:vMerge w:val="restart"/>
            <w:noWrap/>
            <w:vAlign w:val="center"/>
            <w:hideMark/>
          </w:tcPr>
          <w:p w14:paraId="6A925BC2" w14:textId="77777777" w:rsidR="00DB7AC8" w:rsidRPr="00B64658" w:rsidRDefault="00DB7AC8" w:rsidP="002E1D2B">
            <w:pPr>
              <w:pStyle w:val="Body"/>
              <w:spacing w:after="0"/>
              <w:jc w:val="center"/>
              <w:rPr>
                <w:rFonts w:ascii="Arial" w:hAnsi="Arial" w:cs="Arial"/>
              </w:rPr>
            </w:pPr>
            <w:r>
              <w:rPr>
                <w:rFonts w:ascii="Arial" w:hAnsi="Arial" w:cs="Arial"/>
              </w:rPr>
              <w:t>P1</w:t>
            </w:r>
            <w:r w:rsidRPr="00B64658">
              <w:rPr>
                <w:rFonts w:ascii="Arial" w:hAnsi="Arial" w:cs="Arial"/>
              </w:rPr>
              <w:t xml:space="preserve"> (</w:t>
            </w:r>
            <w:r>
              <w:rPr>
                <w:rFonts w:ascii="Arial" w:hAnsi="Arial" w:cs="Arial"/>
              </w:rPr>
              <w:t>NPK 2 g/L</w:t>
            </w:r>
            <w:r w:rsidRPr="00B64658">
              <w:rPr>
                <w:rFonts w:ascii="Arial" w:hAnsi="Arial" w:cs="Arial"/>
              </w:rPr>
              <w:t>)</w:t>
            </w:r>
          </w:p>
        </w:tc>
        <w:tc>
          <w:tcPr>
            <w:tcW w:w="978" w:type="pct"/>
            <w:noWrap/>
            <w:hideMark/>
          </w:tcPr>
          <w:p w14:paraId="0BD713AC" w14:textId="790389AE" w:rsidR="00DB7AC8" w:rsidRPr="00B64658" w:rsidRDefault="006F08DF" w:rsidP="002E1D2B">
            <w:pPr>
              <w:pStyle w:val="Body"/>
              <w:spacing w:after="0"/>
              <w:jc w:val="center"/>
              <w:rPr>
                <w:rFonts w:ascii="Arial" w:hAnsi="Arial" w:cs="Arial"/>
              </w:rPr>
            </w:pPr>
            <w:r>
              <w:t>1,05</w:t>
            </w:r>
            <w:r w:rsidR="00DB7AC8">
              <w:t xml:space="preserve"> </w:t>
            </w:r>
            <w:r w:rsidR="00753001">
              <w:t>a</w:t>
            </w:r>
          </w:p>
        </w:tc>
        <w:tc>
          <w:tcPr>
            <w:tcW w:w="1009" w:type="pct"/>
            <w:noWrap/>
            <w:hideMark/>
          </w:tcPr>
          <w:p w14:paraId="551A5A11" w14:textId="587AA637" w:rsidR="00DB7AC8" w:rsidRPr="00B64658" w:rsidRDefault="006F08DF" w:rsidP="002E1D2B">
            <w:pPr>
              <w:pStyle w:val="Body"/>
              <w:spacing w:after="0"/>
              <w:jc w:val="center"/>
              <w:rPr>
                <w:rFonts w:ascii="Arial" w:hAnsi="Arial" w:cs="Arial"/>
              </w:rPr>
            </w:pPr>
            <w:r>
              <w:t>0,71</w:t>
            </w:r>
            <w:r w:rsidR="00DB7AC8">
              <w:t xml:space="preserve"> </w:t>
            </w:r>
            <w:r w:rsidR="00753001">
              <w:t>a</w:t>
            </w:r>
          </w:p>
        </w:tc>
        <w:tc>
          <w:tcPr>
            <w:tcW w:w="1010" w:type="pct"/>
            <w:noWrap/>
            <w:hideMark/>
          </w:tcPr>
          <w:p w14:paraId="6EFE1AEF" w14:textId="64468B43" w:rsidR="00DB7AC8" w:rsidRPr="00B64658" w:rsidRDefault="00463346" w:rsidP="002E1D2B">
            <w:pPr>
              <w:pStyle w:val="Body"/>
              <w:spacing w:after="0"/>
              <w:jc w:val="center"/>
              <w:rPr>
                <w:rFonts w:ascii="Arial" w:hAnsi="Arial" w:cs="Arial"/>
              </w:rPr>
            </w:pPr>
            <w:r>
              <w:t>0,78</w:t>
            </w:r>
            <w:r w:rsidR="00753001">
              <w:t xml:space="preserve"> a</w:t>
            </w:r>
          </w:p>
        </w:tc>
        <w:tc>
          <w:tcPr>
            <w:tcW w:w="1065" w:type="pct"/>
            <w:noWrap/>
            <w:hideMark/>
          </w:tcPr>
          <w:p w14:paraId="255C3E15" w14:textId="5FCFA866" w:rsidR="00DB7AC8" w:rsidRPr="00B64658" w:rsidRDefault="00463346" w:rsidP="002E1D2B">
            <w:pPr>
              <w:pStyle w:val="Body"/>
              <w:spacing w:after="0"/>
              <w:jc w:val="center"/>
              <w:rPr>
                <w:rFonts w:ascii="Arial" w:hAnsi="Arial" w:cs="Arial"/>
              </w:rPr>
            </w:pPr>
            <w:r>
              <w:t>0,71</w:t>
            </w:r>
            <w:r w:rsidR="00DB7AC8">
              <w:t xml:space="preserve"> </w:t>
            </w:r>
            <w:r w:rsidR="00753001">
              <w:t>a</w:t>
            </w:r>
          </w:p>
        </w:tc>
      </w:tr>
      <w:tr w:rsidR="00DB7AC8" w:rsidRPr="00B64658" w14:paraId="2A07516A" w14:textId="77777777" w:rsidTr="002E1D2B">
        <w:trPr>
          <w:trHeight w:val="300"/>
        </w:trPr>
        <w:tc>
          <w:tcPr>
            <w:tcW w:w="938" w:type="pct"/>
            <w:vMerge/>
            <w:vAlign w:val="center"/>
            <w:hideMark/>
          </w:tcPr>
          <w:p w14:paraId="7FD5EB74" w14:textId="77777777" w:rsidR="00DB7AC8" w:rsidRPr="00B64658" w:rsidRDefault="00DB7AC8" w:rsidP="002E1D2B">
            <w:pPr>
              <w:pStyle w:val="Body"/>
              <w:spacing w:after="0"/>
              <w:jc w:val="center"/>
              <w:rPr>
                <w:rFonts w:ascii="Arial" w:hAnsi="Arial" w:cs="Arial"/>
              </w:rPr>
            </w:pPr>
          </w:p>
        </w:tc>
        <w:tc>
          <w:tcPr>
            <w:tcW w:w="978" w:type="pct"/>
            <w:noWrap/>
            <w:hideMark/>
          </w:tcPr>
          <w:p w14:paraId="4CB6BF3F" w14:textId="1A3D6127" w:rsidR="00DB7AC8" w:rsidRPr="00B64658" w:rsidRDefault="00753001" w:rsidP="002E1D2B">
            <w:pPr>
              <w:pStyle w:val="Body"/>
              <w:spacing w:after="0"/>
              <w:jc w:val="center"/>
              <w:rPr>
                <w:rFonts w:ascii="Arial" w:hAnsi="Arial" w:cs="Arial"/>
              </w:rPr>
            </w:pPr>
            <w:r>
              <w:rPr>
                <w:rFonts w:cs="Arial"/>
              </w:rPr>
              <w:t>A</w:t>
            </w:r>
          </w:p>
        </w:tc>
        <w:tc>
          <w:tcPr>
            <w:tcW w:w="1009" w:type="pct"/>
            <w:noWrap/>
            <w:hideMark/>
          </w:tcPr>
          <w:p w14:paraId="19D3A257" w14:textId="711A2678" w:rsidR="00DB7AC8" w:rsidRPr="00B64658" w:rsidRDefault="00753001" w:rsidP="002E1D2B">
            <w:pPr>
              <w:pStyle w:val="Body"/>
              <w:spacing w:after="0"/>
              <w:jc w:val="center"/>
              <w:rPr>
                <w:rFonts w:ascii="Arial" w:hAnsi="Arial" w:cs="Arial"/>
              </w:rPr>
            </w:pPr>
            <w:r>
              <w:rPr>
                <w:rFonts w:cs="Arial"/>
              </w:rPr>
              <w:t>B</w:t>
            </w:r>
          </w:p>
        </w:tc>
        <w:tc>
          <w:tcPr>
            <w:tcW w:w="1010" w:type="pct"/>
            <w:noWrap/>
            <w:hideMark/>
          </w:tcPr>
          <w:p w14:paraId="67079DE6" w14:textId="5DF0E55D" w:rsidR="00DB7AC8" w:rsidRPr="00B64658" w:rsidRDefault="00753001" w:rsidP="002E1D2B">
            <w:pPr>
              <w:pStyle w:val="Body"/>
              <w:spacing w:after="0"/>
              <w:jc w:val="center"/>
              <w:rPr>
                <w:rFonts w:ascii="Arial" w:hAnsi="Arial" w:cs="Arial"/>
              </w:rPr>
            </w:pPr>
            <w:r>
              <w:rPr>
                <w:rFonts w:cs="Arial"/>
              </w:rPr>
              <w:t>B</w:t>
            </w:r>
          </w:p>
        </w:tc>
        <w:tc>
          <w:tcPr>
            <w:tcW w:w="1065" w:type="pct"/>
            <w:noWrap/>
            <w:hideMark/>
          </w:tcPr>
          <w:p w14:paraId="2A416689" w14:textId="07C1E89A" w:rsidR="00DB7AC8" w:rsidRPr="00B64658" w:rsidRDefault="00753001" w:rsidP="002E1D2B">
            <w:pPr>
              <w:pStyle w:val="Body"/>
              <w:spacing w:after="0"/>
              <w:jc w:val="center"/>
              <w:rPr>
                <w:rFonts w:ascii="Arial" w:hAnsi="Arial" w:cs="Arial"/>
              </w:rPr>
            </w:pPr>
            <w:r>
              <w:rPr>
                <w:rFonts w:cs="Arial"/>
              </w:rPr>
              <w:t>B</w:t>
            </w:r>
          </w:p>
        </w:tc>
      </w:tr>
      <w:tr w:rsidR="00DB7AC8" w:rsidRPr="00B64658" w14:paraId="6235D0A3" w14:textId="77777777" w:rsidTr="002E1D2B">
        <w:trPr>
          <w:trHeight w:val="300"/>
        </w:trPr>
        <w:tc>
          <w:tcPr>
            <w:tcW w:w="938" w:type="pct"/>
            <w:vMerge w:val="restart"/>
            <w:noWrap/>
            <w:vAlign w:val="center"/>
            <w:hideMark/>
          </w:tcPr>
          <w:p w14:paraId="75CB1976" w14:textId="77777777" w:rsidR="00DB7AC8" w:rsidRPr="00B64658" w:rsidRDefault="00DB7AC8" w:rsidP="002E1D2B">
            <w:pPr>
              <w:pStyle w:val="Body"/>
              <w:spacing w:after="0"/>
              <w:jc w:val="center"/>
              <w:rPr>
                <w:rFonts w:ascii="Arial" w:hAnsi="Arial" w:cs="Arial"/>
              </w:rPr>
            </w:pPr>
            <w:r>
              <w:rPr>
                <w:rFonts w:ascii="Arial" w:hAnsi="Arial" w:cs="Arial"/>
              </w:rPr>
              <w:t>P2</w:t>
            </w:r>
            <w:r w:rsidRPr="00B64658">
              <w:rPr>
                <w:rFonts w:ascii="Arial" w:hAnsi="Arial" w:cs="Arial"/>
              </w:rPr>
              <w:t xml:space="preserve"> (</w:t>
            </w:r>
            <w:r>
              <w:rPr>
                <w:rFonts w:ascii="Arial" w:hAnsi="Arial" w:cs="Arial"/>
              </w:rPr>
              <w:t>NPK 4 g/L</w:t>
            </w:r>
            <w:r w:rsidRPr="00B64658">
              <w:rPr>
                <w:rFonts w:ascii="Arial" w:hAnsi="Arial" w:cs="Arial"/>
              </w:rPr>
              <w:t>)</w:t>
            </w:r>
          </w:p>
        </w:tc>
        <w:tc>
          <w:tcPr>
            <w:tcW w:w="978" w:type="pct"/>
            <w:noWrap/>
            <w:hideMark/>
          </w:tcPr>
          <w:p w14:paraId="0B9CA86D" w14:textId="7F09A8CE" w:rsidR="00DB7AC8" w:rsidRPr="00B64658" w:rsidRDefault="006F08DF" w:rsidP="002E1D2B">
            <w:pPr>
              <w:pStyle w:val="Body"/>
              <w:spacing w:after="0"/>
              <w:jc w:val="center"/>
              <w:rPr>
                <w:rFonts w:ascii="Arial" w:hAnsi="Arial" w:cs="Arial"/>
              </w:rPr>
            </w:pPr>
            <w:r>
              <w:t>0,75</w:t>
            </w:r>
            <w:r w:rsidR="00DB7AC8">
              <w:t xml:space="preserve"> </w:t>
            </w:r>
            <w:r w:rsidR="00753001">
              <w:t>a</w:t>
            </w:r>
          </w:p>
        </w:tc>
        <w:tc>
          <w:tcPr>
            <w:tcW w:w="1009" w:type="pct"/>
            <w:noWrap/>
            <w:hideMark/>
          </w:tcPr>
          <w:p w14:paraId="13F60816" w14:textId="01AF469B" w:rsidR="00DB7AC8" w:rsidRPr="00B64658" w:rsidRDefault="006F08DF" w:rsidP="002E1D2B">
            <w:pPr>
              <w:pStyle w:val="Body"/>
              <w:spacing w:after="0"/>
              <w:jc w:val="center"/>
              <w:rPr>
                <w:rFonts w:ascii="Arial" w:hAnsi="Arial" w:cs="Arial"/>
              </w:rPr>
            </w:pPr>
            <w:r>
              <w:t>0,71</w:t>
            </w:r>
            <w:r w:rsidR="00DB7AC8">
              <w:t xml:space="preserve"> </w:t>
            </w:r>
            <w:r w:rsidR="00753001">
              <w:t>a</w:t>
            </w:r>
          </w:p>
        </w:tc>
        <w:tc>
          <w:tcPr>
            <w:tcW w:w="1010" w:type="pct"/>
            <w:noWrap/>
            <w:hideMark/>
          </w:tcPr>
          <w:p w14:paraId="60A0E717" w14:textId="65CD9388" w:rsidR="00DB7AC8" w:rsidRPr="00B64658" w:rsidRDefault="00463346" w:rsidP="002E1D2B">
            <w:pPr>
              <w:pStyle w:val="Body"/>
              <w:spacing w:after="0"/>
              <w:jc w:val="center"/>
              <w:rPr>
                <w:rFonts w:ascii="Arial" w:hAnsi="Arial" w:cs="Arial"/>
              </w:rPr>
            </w:pPr>
            <w:r>
              <w:t>0,71</w:t>
            </w:r>
            <w:r w:rsidR="00DB7AC8">
              <w:t xml:space="preserve"> </w:t>
            </w:r>
            <w:r w:rsidR="00753001">
              <w:t>a</w:t>
            </w:r>
          </w:p>
        </w:tc>
        <w:tc>
          <w:tcPr>
            <w:tcW w:w="1065" w:type="pct"/>
            <w:noWrap/>
            <w:hideMark/>
          </w:tcPr>
          <w:p w14:paraId="17CE58EA" w14:textId="1DC5F890" w:rsidR="00DB7AC8" w:rsidRPr="00B64658" w:rsidRDefault="00463346" w:rsidP="002E1D2B">
            <w:pPr>
              <w:pStyle w:val="Body"/>
              <w:spacing w:after="0"/>
              <w:jc w:val="center"/>
              <w:rPr>
                <w:rFonts w:ascii="Arial" w:hAnsi="Arial" w:cs="Arial"/>
              </w:rPr>
            </w:pPr>
            <w:r>
              <w:t>0,71</w:t>
            </w:r>
            <w:r w:rsidR="00DB7AC8">
              <w:t xml:space="preserve"> </w:t>
            </w:r>
            <w:r w:rsidR="00753001">
              <w:t>a</w:t>
            </w:r>
          </w:p>
        </w:tc>
      </w:tr>
      <w:tr w:rsidR="00DB7AC8" w:rsidRPr="00B64658" w14:paraId="7D7119E7" w14:textId="77777777" w:rsidTr="002E1D2B">
        <w:trPr>
          <w:trHeight w:val="300"/>
        </w:trPr>
        <w:tc>
          <w:tcPr>
            <w:tcW w:w="938" w:type="pct"/>
            <w:vMerge/>
            <w:tcBorders>
              <w:bottom w:val="single" w:sz="4" w:space="0" w:color="auto"/>
            </w:tcBorders>
            <w:vAlign w:val="center"/>
            <w:hideMark/>
          </w:tcPr>
          <w:p w14:paraId="4591EFEE" w14:textId="77777777" w:rsidR="00DB7AC8" w:rsidRPr="00B64658" w:rsidRDefault="00DB7AC8" w:rsidP="002E1D2B">
            <w:pPr>
              <w:pStyle w:val="Body"/>
              <w:spacing w:after="0"/>
              <w:jc w:val="center"/>
              <w:rPr>
                <w:rFonts w:ascii="Arial" w:hAnsi="Arial" w:cs="Arial"/>
              </w:rPr>
            </w:pPr>
          </w:p>
        </w:tc>
        <w:tc>
          <w:tcPr>
            <w:tcW w:w="978" w:type="pct"/>
            <w:tcBorders>
              <w:bottom w:val="single" w:sz="4" w:space="0" w:color="auto"/>
            </w:tcBorders>
            <w:noWrap/>
            <w:hideMark/>
          </w:tcPr>
          <w:p w14:paraId="0AAE5AD3" w14:textId="3170C1F1" w:rsidR="00DB7AC8" w:rsidRPr="00B64658" w:rsidRDefault="00753001" w:rsidP="002E1D2B">
            <w:pPr>
              <w:pStyle w:val="Body"/>
              <w:spacing w:after="0"/>
              <w:jc w:val="center"/>
              <w:rPr>
                <w:rFonts w:ascii="Arial" w:hAnsi="Arial" w:cs="Arial"/>
              </w:rPr>
            </w:pPr>
            <w:r>
              <w:rPr>
                <w:rFonts w:cs="Arial"/>
              </w:rPr>
              <w:t>A</w:t>
            </w:r>
          </w:p>
        </w:tc>
        <w:tc>
          <w:tcPr>
            <w:tcW w:w="1009" w:type="pct"/>
            <w:tcBorders>
              <w:bottom w:val="single" w:sz="4" w:space="0" w:color="auto"/>
            </w:tcBorders>
            <w:noWrap/>
            <w:hideMark/>
          </w:tcPr>
          <w:p w14:paraId="5DDF1091" w14:textId="3EFCE7D7" w:rsidR="00DB7AC8" w:rsidRPr="00B64658" w:rsidRDefault="00753001" w:rsidP="002E1D2B">
            <w:pPr>
              <w:pStyle w:val="Body"/>
              <w:spacing w:after="0"/>
              <w:jc w:val="center"/>
              <w:rPr>
                <w:rFonts w:ascii="Arial" w:hAnsi="Arial" w:cs="Arial"/>
              </w:rPr>
            </w:pPr>
            <w:r>
              <w:rPr>
                <w:rFonts w:cs="Arial"/>
              </w:rPr>
              <w:t>B</w:t>
            </w:r>
          </w:p>
        </w:tc>
        <w:tc>
          <w:tcPr>
            <w:tcW w:w="1010" w:type="pct"/>
            <w:tcBorders>
              <w:bottom w:val="single" w:sz="4" w:space="0" w:color="auto"/>
            </w:tcBorders>
            <w:noWrap/>
            <w:hideMark/>
          </w:tcPr>
          <w:p w14:paraId="518B6231" w14:textId="4A12EBEF" w:rsidR="00DB7AC8" w:rsidRPr="00B64658" w:rsidRDefault="00753001" w:rsidP="002E1D2B">
            <w:pPr>
              <w:pStyle w:val="Body"/>
              <w:spacing w:after="0"/>
              <w:jc w:val="center"/>
              <w:rPr>
                <w:rFonts w:ascii="Arial" w:hAnsi="Arial" w:cs="Arial"/>
              </w:rPr>
            </w:pPr>
            <w:r>
              <w:rPr>
                <w:rFonts w:cs="Arial"/>
              </w:rPr>
              <w:t>B</w:t>
            </w:r>
          </w:p>
        </w:tc>
        <w:tc>
          <w:tcPr>
            <w:tcW w:w="1065" w:type="pct"/>
            <w:tcBorders>
              <w:bottom w:val="single" w:sz="4" w:space="0" w:color="auto"/>
            </w:tcBorders>
            <w:noWrap/>
            <w:hideMark/>
          </w:tcPr>
          <w:p w14:paraId="6B42D1A2" w14:textId="229BA169" w:rsidR="00DB7AC8" w:rsidRPr="00B64658" w:rsidRDefault="00753001" w:rsidP="002E1D2B">
            <w:pPr>
              <w:pStyle w:val="Body"/>
              <w:spacing w:after="0"/>
              <w:jc w:val="center"/>
              <w:rPr>
                <w:rFonts w:ascii="Arial" w:hAnsi="Arial" w:cs="Arial"/>
              </w:rPr>
            </w:pPr>
            <w:r>
              <w:rPr>
                <w:rFonts w:cs="Arial"/>
              </w:rPr>
              <w:t>B</w:t>
            </w:r>
          </w:p>
        </w:tc>
      </w:tr>
    </w:tbl>
    <w:p w14:paraId="6B9F4B87" w14:textId="6E871C80" w:rsidR="0040263B" w:rsidRDefault="00DC65C5" w:rsidP="00DC65C5">
      <w:pPr>
        <w:pStyle w:val="Body"/>
        <w:spacing w:after="0"/>
        <w:ind w:left="567" w:hanging="567"/>
        <w:rPr>
          <w:rFonts w:ascii="Arial" w:hAnsi="Arial"/>
          <w:bCs/>
          <w:i/>
          <w:sz w:val="18"/>
          <w:lang w:val="en-ID"/>
        </w:rPr>
      </w:pPr>
      <w:r w:rsidRPr="00DC65C5">
        <w:rPr>
          <w:rFonts w:ascii="Arial" w:hAnsi="Arial"/>
          <w:bCs/>
          <w:i/>
          <w:sz w:val="18"/>
          <w:lang w:val="en-ID"/>
        </w:rPr>
        <w:t>Note: Numbers followed by the same capital letter and in the same column are not significantly different in the DMRT 5% level follow-up test. Numbers followed by the same lowercase letter and in the same row are not significantly different in the DMRT 5% level follow-up test.</w:t>
      </w:r>
    </w:p>
    <w:p w14:paraId="20A3EC4F" w14:textId="77777777" w:rsidR="00DC65C5" w:rsidRPr="00DC65C5" w:rsidRDefault="00DC65C5" w:rsidP="00441B6F">
      <w:pPr>
        <w:pStyle w:val="Body"/>
        <w:spacing w:after="0"/>
        <w:rPr>
          <w:rFonts w:ascii="Arial" w:hAnsi="Arial" w:cs="Arial"/>
          <w:lang w:val="en-ID"/>
        </w:rPr>
      </w:pPr>
    </w:p>
    <w:p w14:paraId="3AD76CD8" w14:textId="77777777" w:rsidR="00DC65C5" w:rsidRPr="00DC65C5" w:rsidRDefault="00DC65C5" w:rsidP="00DC65C5">
      <w:pPr>
        <w:pStyle w:val="Body"/>
        <w:spacing w:after="0"/>
        <w:rPr>
          <w:rFonts w:ascii="Arial" w:hAnsi="Arial" w:cs="Arial"/>
          <w:lang w:val="en-ID"/>
        </w:rPr>
      </w:pPr>
      <w:r w:rsidRPr="00DC65C5">
        <w:rPr>
          <w:rFonts w:ascii="Arial" w:hAnsi="Arial" w:cs="Arial"/>
          <w:lang w:val="en-ID"/>
        </w:rPr>
        <w:t xml:space="preserve">There was an interaction between the concentration of compound NPK fertilizer and sucrose concentration on the number of micro-leaves (Table 3). This interaction indicated different response patterns in the number of micro-leaves for each treatment combination. In MS medium, a sucrose concentration of 60 g/L resulted in the highest number of micro-leaves and was not significantly different from sucrose concentrations of 30 g/L, 90 g/L, and 120 g/L. These results indicate that increasing sucrose concentration up to a certain level still supports micro-leaf formation. This finding is in line with </w:t>
      </w:r>
      <w:proofErr w:type="spellStart"/>
      <w:r w:rsidRPr="00DC65C5">
        <w:rPr>
          <w:rFonts w:ascii="Arial" w:hAnsi="Arial" w:cs="Arial"/>
          <w:lang w:val="en-ID"/>
        </w:rPr>
        <w:t>Rahmawidowati</w:t>
      </w:r>
      <w:proofErr w:type="spellEnd"/>
      <w:r w:rsidRPr="00DC65C5">
        <w:rPr>
          <w:rFonts w:ascii="Arial" w:hAnsi="Arial" w:cs="Arial"/>
          <w:lang w:val="en-ID"/>
        </w:rPr>
        <w:t xml:space="preserve"> et al. (2022), who reported that increasing sucrose concentration can enhance the availability of carbon and energy sources for explant cells, thereby supporting cell division and differentiation processes involved in micro-leaf formation under in vitro conditions.</w:t>
      </w:r>
    </w:p>
    <w:p w14:paraId="7FA7EF8B" w14:textId="7BAC19B4" w:rsidR="00DC65C5" w:rsidRPr="00DC65C5" w:rsidRDefault="00DC65C5" w:rsidP="00DC65C5">
      <w:pPr>
        <w:pStyle w:val="Body"/>
        <w:spacing w:after="0"/>
        <w:rPr>
          <w:rFonts w:ascii="Arial" w:hAnsi="Arial" w:cs="Arial"/>
          <w:lang w:val="en-ID"/>
        </w:rPr>
      </w:pPr>
      <w:r w:rsidRPr="00DC65C5">
        <w:rPr>
          <w:rFonts w:ascii="Arial" w:hAnsi="Arial" w:cs="Arial"/>
          <w:lang w:val="en-ID"/>
        </w:rPr>
        <w:t xml:space="preserve">In the 2 g/L compound NPK fertilizer treatment, a sucrose concentration of 30 g/L produced the highest number of micro-leaves and was significantly different from sucrose concentrations of 60 g/L, 90 g/L, and 120 g/L, while the latter three concentrations were not significantly different from each other. Similarly, under the 4 g/L compound NPK fertilizer </w:t>
      </w:r>
      <w:r w:rsidRPr="00DC65C5">
        <w:rPr>
          <w:rFonts w:ascii="Arial" w:hAnsi="Arial" w:cs="Arial"/>
          <w:lang w:val="en-ID"/>
        </w:rPr>
        <w:lastRenderedPageBreak/>
        <w:t>treatment, a sucrose concentration of 30 g/L also resulted in the highest number of micro-leaves and was significantly different from sucrose concentrations of 60 g/L, 90 g/L, and 120 g/L, which did not differ significantly among themselves.</w:t>
      </w:r>
      <w:r>
        <w:rPr>
          <w:rFonts w:ascii="Arial" w:hAnsi="Arial" w:cs="Arial"/>
          <w:lang w:val="en-ID"/>
        </w:rPr>
        <w:t xml:space="preserve"> </w:t>
      </w:r>
      <w:r w:rsidRPr="00DC65C5">
        <w:rPr>
          <w:rFonts w:ascii="Arial" w:hAnsi="Arial" w:cs="Arial"/>
          <w:lang w:val="en-ID"/>
        </w:rPr>
        <w:t xml:space="preserve">Overall, MS medium produced a higher number of micro-leaves compared to compound NPK fertilizer media at concentrations of 2 g/L and 4 g/L. This result is consistent with the findings of </w:t>
      </w:r>
      <w:proofErr w:type="spellStart"/>
      <w:r w:rsidRPr="00DC65C5">
        <w:rPr>
          <w:rFonts w:ascii="Arial" w:hAnsi="Arial" w:cs="Arial"/>
          <w:lang w:val="en-ID"/>
        </w:rPr>
        <w:t>Asharo</w:t>
      </w:r>
      <w:proofErr w:type="spellEnd"/>
      <w:r w:rsidRPr="00DC65C5">
        <w:rPr>
          <w:rFonts w:ascii="Arial" w:hAnsi="Arial" w:cs="Arial"/>
          <w:lang w:val="en-ID"/>
        </w:rPr>
        <w:t xml:space="preserve"> et al. (2024), who reported that MS medium produced the highest number of leaves compared to compound NPK-based media due to its nitrogen content, which more effectively supports leaf formation. However, the results of this study contrast with those reported by </w:t>
      </w:r>
      <w:proofErr w:type="spellStart"/>
      <w:r w:rsidRPr="00DC65C5">
        <w:rPr>
          <w:rFonts w:ascii="Arial" w:hAnsi="Arial" w:cs="Arial"/>
          <w:lang w:val="en-ID"/>
        </w:rPr>
        <w:t>Vallepy</w:t>
      </w:r>
      <w:proofErr w:type="spellEnd"/>
      <w:r w:rsidRPr="00DC65C5">
        <w:rPr>
          <w:rFonts w:ascii="Arial" w:hAnsi="Arial" w:cs="Arial"/>
          <w:lang w:val="en-ID"/>
        </w:rPr>
        <w:t xml:space="preserve"> et al. (2024), who found that the use of compound NPK fertilizer as a culture medium at concentrations of 3 g/L and 4 g/L resulted in better leaf proliferation. This discrepancy is presumably due to the nitrogen content at those concentrations being sufficient to meet the nutritional requirements of orchids, particularly for chlorophyll formation in leaf tissues, thereby enhancing leaf development.</w:t>
      </w:r>
    </w:p>
    <w:p w14:paraId="1CFD911D" w14:textId="77777777" w:rsidR="005E2090" w:rsidRPr="00DC65C5" w:rsidRDefault="005E2090" w:rsidP="00441B6F">
      <w:pPr>
        <w:pStyle w:val="Body"/>
        <w:spacing w:after="0"/>
        <w:rPr>
          <w:rFonts w:ascii="Arial" w:hAnsi="Arial" w:cs="Arial"/>
          <w:lang w:val="en-ID"/>
        </w:rPr>
      </w:pPr>
    </w:p>
    <w:p w14:paraId="0920DEB4" w14:textId="26E9BE4D" w:rsidR="000F7785" w:rsidRDefault="00C20A57" w:rsidP="00441B6F">
      <w:pPr>
        <w:pStyle w:val="Body"/>
        <w:spacing w:after="0"/>
        <w:rPr>
          <w:rFonts w:ascii="Arial" w:hAnsi="Arial" w:cs="Arial"/>
          <w:b/>
          <w:sz w:val="22"/>
        </w:rPr>
      </w:pPr>
      <w:r w:rsidRPr="000F7785">
        <w:rPr>
          <w:rFonts w:ascii="Arial" w:hAnsi="Arial" w:cs="Arial"/>
          <w:b/>
          <w:caps/>
          <w:sz w:val="22"/>
          <w:lang w:val="en-ID"/>
        </w:rPr>
        <w:t>3.2</w:t>
      </w:r>
      <w:r w:rsidR="000F7785">
        <w:rPr>
          <w:rFonts w:ascii="Arial" w:hAnsi="Arial" w:cs="Arial"/>
          <w:b/>
          <w:caps/>
          <w:sz w:val="22"/>
          <w:lang w:val="en-ID"/>
        </w:rPr>
        <w:t xml:space="preserve"> </w:t>
      </w:r>
      <w:r w:rsidR="000F7785" w:rsidRPr="000F7785">
        <w:rPr>
          <w:rFonts w:ascii="Arial" w:hAnsi="Arial" w:cs="Arial"/>
          <w:b/>
          <w:sz w:val="22"/>
        </w:rPr>
        <w:t>Effect of NPK Fertilizer Concentration on Growth and Micro-Bulb Formation of TSS</w:t>
      </w:r>
    </w:p>
    <w:p w14:paraId="152FEE27" w14:textId="77777777" w:rsidR="000F7785" w:rsidRDefault="000F7785" w:rsidP="00441B6F">
      <w:pPr>
        <w:pStyle w:val="Body"/>
        <w:spacing w:after="0"/>
        <w:rPr>
          <w:rFonts w:ascii="Arial" w:hAnsi="Arial" w:cs="Arial"/>
          <w:b/>
          <w:sz w:val="22"/>
        </w:rPr>
      </w:pPr>
    </w:p>
    <w:p w14:paraId="4FBF0545" w14:textId="77777777" w:rsidR="000F7785" w:rsidRPr="000F7785" w:rsidRDefault="000F7785" w:rsidP="000F7785">
      <w:pPr>
        <w:pStyle w:val="Body"/>
        <w:spacing w:after="0"/>
        <w:rPr>
          <w:rFonts w:ascii="Arial" w:hAnsi="Arial" w:cs="Arial"/>
          <w:lang w:val="en-ID"/>
        </w:rPr>
      </w:pPr>
      <w:r w:rsidRPr="000F7785">
        <w:rPr>
          <w:rFonts w:ascii="Arial" w:hAnsi="Arial" w:cs="Arial"/>
          <w:lang w:val="en-ID"/>
        </w:rPr>
        <w:t>The treatment of compound NPK fertilizer concentration had a significant effect on the observed variables of plant height, germination time, germination percentage, number of micro-shoots, micro-root length, and micro-bulb diameter.</w:t>
      </w:r>
    </w:p>
    <w:p w14:paraId="75988E7C" w14:textId="77777777" w:rsidR="00472BEB" w:rsidRPr="000F7785" w:rsidRDefault="00472BEB" w:rsidP="00441B6F">
      <w:pPr>
        <w:pStyle w:val="Body"/>
        <w:spacing w:after="0"/>
        <w:rPr>
          <w:rFonts w:ascii="Arial" w:hAnsi="Arial" w:cs="Arial"/>
          <w:lang w:val="en-ID"/>
        </w:rPr>
      </w:pPr>
    </w:p>
    <w:p w14:paraId="0E030A74" w14:textId="3AE53B85" w:rsidR="00404C03" w:rsidRDefault="00E11EC2" w:rsidP="00441B6F">
      <w:pPr>
        <w:pStyle w:val="Body"/>
        <w:spacing w:after="0"/>
        <w:rPr>
          <w:rFonts w:ascii="Arial" w:hAnsi="Arial"/>
          <w:b/>
          <w:lang w:val="id"/>
        </w:rPr>
      </w:pPr>
      <w:r w:rsidRPr="00EC715B">
        <w:rPr>
          <w:rFonts w:ascii="Arial" w:hAnsi="Arial"/>
          <w:b/>
          <w:lang w:val="id"/>
        </w:rPr>
        <w:t xml:space="preserve">Table </w:t>
      </w:r>
      <w:r>
        <w:rPr>
          <w:rFonts w:ascii="Arial" w:hAnsi="Arial"/>
          <w:b/>
          <w:lang w:val="id"/>
        </w:rPr>
        <w:t xml:space="preserve">4. </w:t>
      </w:r>
      <w:r w:rsidR="000F7785" w:rsidRPr="000F7785">
        <w:rPr>
          <w:rFonts w:ascii="Arial" w:hAnsi="Arial"/>
          <w:b/>
        </w:rPr>
        <w:t>Mean values of compound NPK fertilizer concentration treatments on plant height, germination time, germination percentage, number of shoots, root length, and bulb diameter</w:t>
      </w:r>
      <w:r w:rsidR="000F7785">
        <w:rPr>
          <w:rFonts w:ascii="Arial" w:hAnsi="Arial"/>
          <w:b/>
        </w:rPr>
        <w:t>.</w:t>
      </w:r>
    </w:p>
    <w:p w14:paraId="10E15B6D" w14:textId="3D374FF4" w:rsidR="00F25138" w:rsidRPr="00E11EC2" w:rsidRDefault="00E11EC2" w:rsidP="00441B6F">
      <w:pPr>
        <w:pStyle w:val="Body"/>
        <w:spacing w:after="0"/>
        <w:rPr>
          <w:rFonts w:ascii="Arial" w:hAnsi="Arial" w:cs="Arial"/>
          <w:lang w:val="id"/>
        </w:rPr>
      </w:pPr>
      <w:r>
        <w:rPr>
          <w:rFonts w:ascii="Arial" w:hAnsi="Arial"/>
          <w:b/>
          <w:lang w:val="id"/>
        </w:rPr>
        <w:t xml:space="preserve"> </w:t>
      </w:r>
    </w:p>
    <w:tbl>
      <w:tblPr>
        <w:tblW w:w="5000" w:type="pct"/>
        <w:tblLayout w:type="fixed"/>
        <w:tblLook w:val="04A0" w:firstRow="1" w:lastRow="0" w:firstColumn="1" w:lastColumn="0" w:noHBand="0" w:noVBand="1"/>
      </w:tblPr>
      <w:tblGrid>
        <w:gridCol w:w="1951"/>
        <w:gridCol w:w="1134"/>
        <w:gridCol w:w="1410"/>
        <w:gridCol w:w="1307"/>
        <w:gridCol w:w="797"/>
        <w:gridCol w:w="878"/>
        <w:gridCol w:w="947"/>
      </w:tblGrid>
      <w:tr w:rsidR="006F1BCA" w:rsidRPr="006F1BCA" w14:paraId="5ACFAB6B" w14:textId="77777777" w:rsidTr="00941EB8">
        <w:trPr>
          <w:trHeight w:val="300"/>
        </w:trPr>
        <w:tc>
          <w:tcPr>
            <w:tcW w:w="1158" w:type="pct"/>
            <w:tcBorders>
              <w:top w:val="single" w:sz="4" w:space="0" w:color="auto"/>
              <w:bottom w:val="single" w:sz="4" w:space="0" w:color="auto"/>
            </w:tcBorders>
            <w:noWrap/>
            <w:vAlign w:val="center"/>
            <w:hideMark/>
          </w:tcPr>
          <w:p w14:paraId="7EE06D6D" w14:textId="52D5292D" w:rsidR="006F1BCA" w:rsidRPr="00F25138" w:rsidRDefault="00E51726" w:rsidP="006F1BCA">
            <w:pPr>
              <w:pStyle w:val="Body"/>
              <w:spacing w:after="0"/>
              <w:jc w:val="center"/>
              <w:rPr>
                <w:rFonts w:ascii="Arial" w:hAnsi="Arial" w:cs="Arial"/>
                <w:lang w:val="sv-SE"/>
              </w:rPr>
            </w:pPr>
            <w:r w:rsidRPr="00E51726">
              <w:rPr>
                <w:rFonts w:ascii="Arial" w:hAnsi="Arial" w:cs="Arial"/>
                <w:lang w:val="sv-SE"/>
              </w:rPr>
              <w:t>Treatment</w:t>
            </w:r>
          </w:p>
        </w:tc>
        <w:tc>
          <w:tcPr>
            <w:tcW w:w="673" w:type="pct"/>
            <w:tcBorders>
              <w:top w:val="single" w:sz="4" w:space="0" w:color="auto"/>
              <w:bottom w:val="single" w:sz="4" w:space="0" w:color="auto"/>
            </w:tcBorders>
            <w:vAlign w:val="center"/>
          </w:tcPr>
          <w:p w14:paraId="02D2F805" w14:textId="7736A614" w:rsidR="006F1BCA" w:rsidRPr="006F1BCA" w:rsidRDefault="00E51726" w:rsidP="006F1BCA">
            <w:pPr>
              <w:pStyle w:val="Body"/>
              <w:spacing w:after="0"/>
              <w:jc w:val="center"/>
              <w:rPr>
                <w:rFonts w:ascii="Arial" w:hAnsi="Arial" w:cs="Arial"/>
              </w:rPr>
            </w:pPr>
            <w:r w:rsidRPr="00E51726">
              <w:rPr>
                <w:rFonts w:ascii="Arial" w:hAnsi="Arial" w:cs="Arial"/>
              </w:rPr>
              <w:t xml:space="preserve">Plant height </w:t>
            </w:r>
            <w:r w:rsidR="006F1BCA" w:rsidRPr="006F1BCA">
              <w:rPr>
                <w:rFonts w:ascii="Arial" w:hAnsi="Arial" w:cs="Arial"/>
              </w:rPr>
              <w:t>(cm)</w:t>
            </w:r>
          </w:p>
        </w:tc>
        <w:tc>
          <w:tcPr>
            <w:tcW w:w="837" w:type="pct"/>
            <w:tcBorders>
              <w:top w:val="single" w:sz="4" w:space="0" w:color="auto"/>
              <w:bottom w:val="single" w:sz="4" w:space="0" w:color="auto"/>
            </w:tcBorders>
            <w:vAlign w:val="center"/>
          </w:tcPr>
          <w:p w14:paraId="72819062" w14:textId="0597BF3D" w:rsidR="006F1BCA" w:rsidRPr="006F1BCA" w:rsidRDefault="00E51726" w:rsidP="006F1BCA">
            <w:pPr>
              <w:pStyle w:val="Body"/>
              <w:spacing w:after="0"/>
              <w:jc w:val="center"/>
              <w:rPr>
                <w:rFonts w:ascii="Arial" w:hAnsi="Arial" w:cs="Arial"/>
              </w:rPr>
            </w:pPr>
            <w:r w:rsidRPr="00E51726">
              <w:rPr>
                <w:rFonts w:ascii="Arial" w:hAnsi="Arial" w:cs="Arial"/>
              </w:rPr>
              <w:t xml:space="preserve">Germination time </w:t>
            </w:r>
            <w:r w:rsidR="006F1BCA" w:rsidRPr="006F1BCA">
              <w:rPr>
                <w:rFonts w:ascii="Arial" w:hAnsi="Arial" w:cs="Arial"/>
              </w:rPr>
              <w:t>(HST)</w:t>
            </w:r>
          </w:p>
        </w:tc>
        <w:tc>
          <w:tcPr>
            <w:tcW w:w="776" w:type="pct"/>
            <w:tcBorders>
              <w:top w:val="single" w:sz="4" w:space="0" w:color="auto"/>
              <w:bottom w:val="single" w:sz="4" w:space="0" w:color="auto"/>
            </w:tcBorders>
            <w:vAlign w:val="center"/>
          </w:tcPr>
          <w:p w14:paraId="6F8D0520" w14:textId="622C1ACB" w:rsidR="006F1BCA" w:rsidRPr="006F1BCA" w:rsidRDefault="00E51726" w:rsidP="006F1BCA">
            <w:pPr>
              <w:pStyle w:val="Body"/>
              <w:spacing w:after="0"/>
              <w:jc w:val="center"/>
              <w:rPr>
                <w:rFonts w:ascii="Arial" w:hAnsi="Arial" w:cs="Arial"/>
              </w:rPr>
            </w:pPr>
            <w:r w:rsidRPr="00E51726">
              <w:rPr>
                <w:rFonts w:ascii="Arial" w:hAnsi="Arial" w:cs="Arial"/>
              </w:rPr>
              <w:t xml:space="preserve">Germination percentage </w:t>
            </w:r>
            <w:r w:rsidR="006F1BCA" w:rsidRPr="006F1BCA">
              <w:rPr>
                <w:rFonts w:ascii="Arial" w:hAnsi="Arial" w:cs="Arial"/>
              </w:rPr>
              <w:t>(%)</w:t>
            </w:r>
          </w:p>
        </w:tc>
        <w:tc>
          <w:tcPr>
            <w:tcW w:w="473" w:type="pct"/>
            <w:tcBorders>
              <w:top w:val="single" w:sz="4" w:space="0" w:color="auto"/>
              <w:bottom w:val="single" w:sz="4" w:space="0" w:color="auto"/>
            </w:tcBorders>
            <w:vAlign w:val="center"/>
          </w:tcPr>
          <w:p w14:paraId="100A8168" w14:textId="5BC8A241" w:rsidR="006F1BCA" w:rsidRPr="006F1BCA" w:rsidRDefault="00E51726" w:rsidP="006F1BCA">
            <w:pPr>
              <w:pStyle w:val="Body"/>
              <w:spacing w:after="0"/>
              <w:jc w:val="center"/>
              <w:rPr>
                <w:rFonts w:ascii="Arial" w:hAnsi="Arial" w:cs="Arial"/>
              </w:rPr>
            </w:pPr>
            <w:r w:rsidRPr="00E51726">
              <w:rPr>
                <w:rFonts w:ascii="Arial" w:hAnsi="Arial" w:cs="Arial"/>
              </w:rPr>
              <w:t>Number of shoots</w:t>
            </w:r>
          </w:p>
        </w:tc>
        <w:tc>
          <w:tcPr>
            <w:tcW w:w="521" w:type="pct"/>
            <w:tcBorders>
              <w:top w:val="single" w:sz="4" w:space="0" w:color="auto"/>
              <w:bottom w:val="single" w:sz="4" w:space="0" w:color="auto"/>
            </w:tcBorders>
            <w:vAlign w:val="center"/>
          </w:tcPr>
          <w:p w14:paraId="7E133218" w14:textId="053E2DAD" w:rsidR="006F1BCA" w:rsidRPr="006F1BCA" w:rsidRDefault="00E51726" w:rsidP="006F1BCA">
            <w:pPr>
              <w:pStyle w:val="Body"/>
              <w:spacing w:after="0"/>
              <w:jc w:val="center"/>
              <w:rPr>
                <w:rFonts w:ascii="Arial" w:hAnsi="Arial" w:cs="Arial"/>
              </w:rPr>
            </w:pPr>
            <w:r w:rsidRPr="00E51726">
              <w:rPr>
                <w:rFonts w:ascii="Arial" w:hAnsi="Arial" w:cs="Arial"/>
              </w:rPr>
              <w:t>Root length (cm)</w:t>
            </w:r>
          </w:p>
        </w:tc>
        <w:tc>
          <w:tcPr>
            <w:tcW w:w="562" w:type="pct"/>
            <w:tcBorders>
              <w:top w:val="single" w:sz="4" w:space="0" w:color="auto"/>
              <w:bottom w:val="single" w:sz="4" w:space="0" w:color="auto"/>
            </w:tcBorders>
            <w:vAlign w:val="center"/>
          </w:tcPr>
          <w:p w14:paraId="4175AF37" w14:textId="125B687A" w:rsidR="006F1BCA" w:rsidRPr="006F1BCA" w:rsidRDefault="00E51726" w:rsidP="006F1BCA">
            <w:pPr>
              <w:pStyle w:val="Body"/>
              <w:spacing w:after="0"/>
              <w:jc w:val="center"/>
              <w:rPr>
                <w:rFonts w:ascii="Arial" w:hAnsi="Arial" w:cs="Arial"/>
              </w:rPr>
            </w:pPr>
            <w:r w:rsidRPr="00E51726">
              <w:rPr>
                <w:rFonts w:ascii="Arial" w:hAnsi="Arial" w:cs="Arial"/>
              </w:rPr>
              <w:t>Tuber diameter (mm)</w:t>
            </w:r>
          </w:p>
        </w:tc>
      </w:tr>
      <w:tr w:rsidR="006F1BCA" w:rsidRPr="006F1BCA" w14:paraId="25B6AB28" w14:textId="77777777" w:rsidTr="00941EB8">
        <w:trPr>
          <w:trHeight w:val="300"/>
        </w:trPr>
        <w:tc>
          <w:tcPr>
            <w:tcW w:w="1158" w:type="pct"/>
            <w:tcBorders>
              <w:top w:val="single" w:sz="4" w:space="0" w:color="auto"/>
            </w:tcBorders>
            <w:noWrap/>
            <w:vAlign w:val="center"/>
            <w:hideMark/>
          </w:tcPr>
          <w:p w14:paraId="6BF00AED" w14:textId="77777777" w:rsidR="006F1BCA" w:rsidRPr="006F1BCA" w:rsidRDefault="006F1BCA" w:rsidP="006F1BCA">
            <w:pPr>
              <w:pStyle w:val="Body"/>
              <w:spacing w:after="0"/>
              <w:jc w:val="center"/>
              <w:rPr>
                <w:rFonts w:ascii="Arial" w:hAnsi="Arial" w:cs="Arial"/>
              </w:rPr>
            </w:pPr>
            <w:r w:rsidRPr="006F1BCA">
              <w:rPr>
                <w:rFonts w:ascii="Arial" w:hAnsi="Arial" w:cs="Arial"/>
              </w:rPr>
              <w:t>P0 (</w:t>
            </w:r>
            <w:proofErr w:type="spellStart"/>
            <w:r w:rsidRPr="006F1BCA">
              <w:rPr>
                <w:rFonts w:ascii="Arial" w:hAnsi="Arial" w:cs="Arial"/>
              </w:rPr>
              <w:t>Murahige</w:t>
            </w:r>
            <w:proofErr w:type="spellEnd"/>
            <w:r w:rsidRPr="006F1BCA">
              <w:rPr>
                <w:rFonts w:ascii="Arial" w:hAnsi="Arial" w:cs="Arial"/>
              </w:rPr>
              <w:t xml:space="preserve"> and </w:t>
            </w:r>
            <w:proofErr w:type="spellStart"/>
            <w:r w:rsidRPr="006F1BCA">
              <w:rPr>
                <w:rFonts w:ascii="Arial" w:hAnsi="Arial" w:cs="Arial"/>
              </w:rPr>
              <w:t>Skooq</w:t>
            </w:r>
            <w:proofErr w:type="spellEnd"/>
            <w:r w:rsidRPr="006F1BCA">
              <w:rPr>
                <w:rFonts w:ascii="Arial" w:hAnsi="Arial" w:cs="Arial"/>
              </w:rPr>
              <w:t>)</w:t>
            </w:r>
          </w:p>
        </w:tc>
        <w:tc>
          <w:tcPr>
            <w:tcW w:w="673" w:type="pct"/>
            <w:tcBorders>
              <w:top w:val="single" w:sz="4" w:space="0" w:color="auto"/>
            </w:tcBorders>
            <w:vAlign w:val="center"/>
          </w:tcPr>
          <w:p w14:paraId="72E004E1" w14:textId="77777777" w:rsidR="006F1BCA" w:rsidRPr="006F1BCA" w:rsidRDefault="006F1BCA" w:rsidP="006F1BCA">
            <w:pPr>
              <w:pStyle w:val="Body"/>
              <w:spacing w:after="0"/>
              <w:jc w:val="center"/>
              <w:rPr>
                <w:rFonts w:ascii="Arial" w:hAnsi="Arial" w:cs="Arial"/>
              </w:rPr>
            </w:pPr>
            <w:r w:rsidRPr="006F1BCA">
              <w:rPr>
                <w:rFonts w:ascii="Arial" w:hAnsi="Arial" w:cs="Arial"/>
              </w:rPr>
              <w:t>14,73 a</w:t>
            </w:r>
          </w:p>
        </w:tc>
        <w:tc>
          <w:tcPr>
            <w:tcW w:w="837" w:type="pct"/>
            <w:tcBorders>
              <w:top w:val="single" w:sz="4" w:space="0" w:color="auto"/>
            </w:tcBorders>
            <w:vAlign w:val="center"/>
          </w:tcPr>
          <w:p w14:paraId="17282367" w14:textId="77777777" w:rsidR="006F1BCA" w:rsidRPr="006F1BCA" w:rsidRDefault="006F1BCA" w:rsidP="006F1BCA">
            <w:pPr>
              <w:pStyle w:val="Body"/>
              <w:spacing w:after="0"/>
              <w:jc w:val="center"/>
              <w:rPr>
                <w:rFonts w:ascii="Arial" w:hAnsi="Arial" w:cs="Arial"/>
              </w:rPr>
            </w:pPr>
            <w:r w:rsidRPr="006F1BCA">
              <w:rPr>
                <w:rFonts w:ascii="Arial" w:hAnsi="Arial" w:cs="Arial"/>
              </w:rPr>
              <w:t>7,59 a</w:t>
            </w:r>
          </w:p>
        </w:tc>
        <w:tc>
          <w:tcPr>
            <w:tcW w:w="776" w:type="pct"/>
            <w:tcBorders>
              <w:top w:val="single" w:sz="4" w:space="0" w:color="auto"/>
            </w:tcBorders>
            <w:vAlign w:val="center"/>
          </w:tcPr>
          <w:p w14:paraId="79E2DD0A" w14:textId="77777777" w:rsidR="006F1BCA" w:rsidRPr="006F1BCA" w:rsidRDefault="006F1BCA" w:rsidP="006F1BCA">
            <w:pPr>
              <w:pStyle w:val="Body"/>
              <w:spacing w:after="0"/>
              <w:jc w:val="center"/>
              <w:rPr>
                <w:rFonts w:ascii="Arial" w:hAnsi="Arial" w:cs="Arial"/>
              </w:rPr>
            </w:pPr>
            <w:r w:rsidRPr="006F1BCA">
              <w:rPr>
                <w:rFonts w:ascii="Arial" w:hAnsi="Arial" w:cs="Arial"/>
              </w:rPr>
              <w:t>100 a</w:t>
            </w:r>
          </w:p>
        </w:tc>
        <w:tc>
          <w:tcPr>
            <w:tcW w:w="473" w:type="pct"/>
            <w:tcBorders>
              <w:top w:val="single" w:sz="4" w:space="0" w:color="auto"/>
            </w:tcBorders>
            <w:vAlign w:val="center"/>
          </w:tcPr>
          <w:p w14:paraId="0F46B26F" w14:textId="77777777" w:rsidR="006F1BCA" w:rsidRPr="006F1BCA" w:rsidRDefault="006F1BCA" w:rsidP="006F1BCA">
            <w:pPr>
              <w:pStyle w:val="Body"/>
              <w:spacing w:after="0"/>
              <w:jc w:val="center"/>
              <w:rPr>
                <w:rFonts w:ascii="Arial" w:hAnsi="Arial" w:cs="Arial"/>
              </w:rPr>
            </w:pPr>
            <w:r w:rsidRPr="006F1BCA">
              <w:rPr>
                <w:rFonts w:ascii="Arial" w:hAnsi="Arial" w:cs="Arial"/>
              </w:rPr>
              <w:t>1,22 a</w:t>
            </w:r>
          </w:p>
        </w:tc>
        <w:tc>
          <w:tcPr>
            <w:tcW w:w="521" w:type="pct"/>
            <w:tcBorders>
              <w:top w:val="single" w:sz="4" w:space="0" w:color="auto"/>
            </w:tcBorders>
            <w:vAlign w:val="center"/>
          </w:tcPr>
          <w:p w14:paraId="26381216" w14:textId="77777777" w:rsidR="006F1BCA" w:rsidRPr="006F1BCA" w:rsidRDefault="006F1BCA" w:rsidP="006F1BCA">
            <w:pPr>
              <w:pStyle w:val="Body"/>
              <w:spacing w:after="0"/>
              <w:jc w:val="center"/>
              <w:rPr>
                <w:rFonts w:ascii="Arial" w:hAnsi="Arial" w:cs="Arial"/>
              </w:rPr>
            </w:pPr>
            <w:r w:rsidRPr="006F1BCA">
              <w:rPr>
                <w:rFonts w:ascii="Arial" w:hAnsi="Arial" w:cs="Arial"/>
              </w:rPr>
              <w:t>1,82 a</w:t>
            </w:r>
          </w:p>
        </w:tc>
        <w:tc>
          <w:tcPr>
            <w:tcW w:w="562" w:type="pct"/>
            <w:tcBorders>
              <w:top w:val="single" w:sz="4" w:space="0" w:color="auto"/>
            </w:tcBorders>
            <w:vAlign w:val="center"/>
          </w:tcPr>
          <w:p w14:paraId="501A8D97" w14:textId="77777777" w:rsidR="006F1BCA" w:rsidRPr="006F1BCA" w:rsidRDefault="006F1BCA" w:rsidP="006F1BCA">
            <w:pPr>
              <w:pStyle w:val="Body"/>
              <w:spacing w:after="0"/>
              <w:jc w:val="center"/>
              <w:rPr>
                <w:rFonts w:ascii="Arial" w:hAnsi="Arial" w:cs="Arial"/>
              </w:rPr>
            </w:pPr>
            <w:r w:rsidRPr="006F1BCA">
              <w:rPr>
                <w:rFonts w:ascii="Arial" w:hAnsi="Arial" w:cs="Arial"/>
              </w:rPr>
              <w:t>2,03 a</w:t>
            </w:r>
          </w:p>
        </w:tc>
      </w:tr>
      <w:tr w:rsidR="006F1BCA" w:rsidRPr="006F1BCA" w14:paraId="31C32F16" w14:textId="77777777" w:rsidTr="00941EB8">
        <w:trPr>
          <w:trHeight w:val="300"/>
        </w:trPr>
        <w:tc>
          <w:tcPr>
            <w:tcW w:w="1158" w:type="pct"/>
            <w:noWrap/>
            <w:vAlign w:val="center"/>
            <w:hideMark/>
          </w:tcPr>
          <w:p w14:paraId="6BD0D414"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P1 (Majemuk NPK 2 g/L)</w:t>
            </w:r>
          </w:p>
        </w:tc>
        <w:tc>
          <w:tcPr>
            <w:tcW w:w="673" w:type="pct"/>
            <w:vAlign w:val="center"/>
          </w:tcPr>
          <w:p w14:paraId="4564E61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1, 64 b</w:t>
            </w:r>
          </w:p>
        </w:tc>
        <w:tc>
          <w:tcPr>
            <w:tcW w:w="837" w:type="pct"/>
            <w:vAlign w:val="center"/>
          </w:tcPr>
          <w:p w14:paraId="4ADC170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8,42 ab</w:t>
            </w:r>
          </w:p>
        </w:tc>
        <w:tc>
          <w:tcPr>
            <w:tcW w:w="776" w:type="pct"/>
            <w:vAlign w:val="center"/>
          </w:tcPr>
          <w:p w14:paraId="786C98D2"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81,48 ab</w:t>
            </w:r>
          </w:p>
        </w:tc>
        <w:tc>
          <w:tcPr>
            <w:tcW w:w="473" w:type="pct"/>
            <w:vAlign w:val="center"/>
          </w:tcPr>
          <w:p w14:paraId="792FA75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0,95 b</w:t>
            </w:r>
          </w:p>
        </w:tc>
        <w:tc>
          <w:tcPr>
            <w:tcW w:w="521" w:type="pct"/>
            <w:vAlign w:val="center"/>
          </w:tcPr>
          <w:p w14:paraId="3433F34D"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0,87 b</w:t>
            </w:r>
          </w:p>
        </w:tc>
        <w:tc>
          <w:tcPr>
            <w:tcW w:w="562" w:type="pct"/>
            <w:vAlign w:val="center"/>
          </w:tcPr>
          <w:p w14:paraId="48098F17"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1,10 b</w:t>
            </w:r>
          </w:p>
        </w:tc>
      </w:tr>
      <w:tr w:rsidR="006F1BCA" w:rsidRPr="006F1BCA" w14:paraId="4C26D164" w14:textId="77777777" w:rsidTr="00941EB8">
        <w:trPr>
          <w:trHeight w:val="300"/>
        </w:trPr>
        <w:tc>
          <w:tcPr>
            <w:tcW w:w="1158" w:type="pct"/>
            <w:tcBorders>
              <w:bottom w:val="single" w:sz="4" w:space="0" w:color="auto"/>
            </w:tcBorders>
            <w:noWrap/>
            <w:vAlign w:val="center"/>
            <w:hideMark/>
          </w:tcPr>
          <w:p w14:paraId="27F22EA5"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P2 (Majemuk NPK 4 g/L)</w:t>
            </w:r>
          </w:p>
        </w:tc>
        <w:tc>
          <w:tcPr>
            <w:tcW w:w="673" w:type="pct"/>
            <w:tcBorders>
              <w:bottom w:val="single" w:sz="4" w:space="0" w:color="auto"/>
            </w:tcBorders>
            <w:vAlign w:val="center"/>
          </w:tcPr>
          <w:p w14:paraId="10F426A4"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0,18 c</w:t>
            </w:r>
          </w:p>
        </w:tc>
        <w:tc>
          <w:tcPr>
            <w:tcW w:w="837" w:type="pct"/>
            <w:tcBorders>
              <w:bottom w:val="single" w:sz="4" w:space="0" w:color="auto"/>
            </w:tcBorders>
            <w:vAlign w:val="center"/>
          </w:tcPr>
          <w:p w14:paraId="017B2BFC"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9,17 b</w:t>
            </w:r>
          </w:p>
        </w:tc>
        <w:tc>
          <w:tcPr>
            <w:tcW w:w="776" w:type="pct"/>
            <w:tcBorders>
              <w:bottom w:val="single" w:sz="4" w:space="0" w:color="auto"/>
            </w:tcBorders>
            <w:vAlign w:val="center"/>
          </w:tcPr>
          <w:p w14:paraId="6D53242E"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55,56 b</w:t>
            </w:r>
          </w:p>
        </w:tc>
        <w:tc>
          <w:tcPr>
            <w:tcW w:w="473" w:type="pct"/>
            <w:tcBorders>
              <w:bottom w:val="single" w:sz="4" w:space="0" w:color="auto"/>
            </w:tcBorders>
            <w:vAlign w:val="center"/>
          </w:tcPr>
          <w:p w14:paraId="299FFD69"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0,77 b</w:t>
            </w:r>
          </w:p>
        </w:tc>
        <w:tc>
          <w:tcPr>
            <w:tcW w:w="521" w:type="pct"/>
            <w:tcBorders>
              <w:bottom w:val="single" w:sz="4" w:space="0" w:color="auto"/>
            </w:tcBorders>
            <w:vAlign w:val="center"/>
          </w:tcPr>
          <w:p w14:paraId="79C97E88"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0,81 b</w:t>
            </w:r>
          </w:p>
        </w:tc>
        <w:tc>
          <w:tcPr>
            <w:tcW w:w="562" w:type="pct"/>
            <w:tcBorders>
              <w:bottom w:val="single" w:sz="4" w:space="0" w:color="auto"/>
            </w:tcBorders>
            <w:vAlign w:val="center"/>
          </w:tcPr>
          <w:p w14:paraId="42081BFF" w14:textId="77777777" w:rsidR="006F1BCA" w:rsidRPr="006F1BCA" w:rsidRDefault="006F1BCA" w:rsidP="006F1BCA">
            <w:pPr>
              <w:pStyle w:val="Body"/>
              <w:spacing w:after="0"/>
              <w:jc w:val="center"/>
              <w:rPr>
                <w:rFonts w:ascii="Arial" w:hAnsi="Arial" w:cs="Arial"/>
                <w:lang w:val="sv-SE"/>
              </w:rPr>
            </w:pPr>
            <w:r w:rsidRPr="006F1BCA">
              <w:rPr>
                <w:rFonts w:ascii="Arial" w:hAnsi="Arial" w:cs="Arial"/>
                <w:lang w:val="sv-SE"/>
              </w:rPr>
              <w:t>0,71 b</w:t>
            </w:r>
          </w:p>
        </w:tc>
      </w:tr>
    </w:tbl>
    <w:p w14:paraId="12142147" w14:textId="6040B26A" w:rsidR="00F03FBE" w:rsidRPr="000F7785" w:rsidRDefault="000F7785" w:rsidP="000F7785">
      <w:pPr>
        <w:pStyle w:val="Body"/>
        <w:spacing w:after="0"/>
        <w:ind w:left="567" w:hanging="567"/>
        <w:rPr>
          <w:rFonts w:ascii="Arial" w:hAnsi="Arial"/>
          <w:bCs/>
          <w:i/>
          <w:sz w:val="18"/>
          <w:lang w:val="en-ID"/>
        </w:rPr>
      </w:pPr>
      <w:r w:rsidRPr="000F7785">
        <w:rPr>
          <w:rFonts w:ascii="Arial" w:hAnsi="Arial"/>
          <w:i/>
          <w:sz w:val="18"/>
        </w:rPr>
        <w:t>Notes</w:t>
      </w:r>
      <w:r w:rsidRPr="000F7785">
        <w:rPr>
          <w:rFonts w:ascii="Arial" w:hAnsi="Arial"/>
          <w:b/>
          <w:bCs/>
          <w:i/>
          <w:sz w:val="18"/>
        </w:rPr>
        <w:t>:</w:t>
      </w:r>
      <w:r w:rsidRPr="000F7785">
        <w:rPr>
          <w:rFonts w:ascii="Arial" w:hAnsi="Arial"/>
          <w:bCs/>
          <w:i/>
          <w:sz w:val="18"/>
        </w:rPr>
        <w:t xml:space="preserve"> Values followed by the same letter in the same column are not significantly different according</w:t>
      </w:r>
      <w:r>
        <w:rPr>
          <w:rFonts w:ascii="Arial" w:hAnsi="Arial"/>
          <w:bCs/>
          <w:i/>
          <w:sz w:val="18"/>
        </w:rPr>
        <w:t xml:space="preserve"> </w:t>
      </w:r>
      <w:r w:rsidRPr="000F7785">
        <w:rPr>
          <w:rFonts w:ascii="Arial" w:hAnsi="Arial"/>
          <w:bCs/>
          <w:i/>
          <w:sz w:val="18"/>
        </w:rPr>
        <w:t>to Duncan’s Multiple Range Test (DMRT) at the 5% significance level.</w:t>
      </w:r>
    </w:p>
    <w:p w14:paraId="0D1DF056" w14:textId="31A0936A" w:rsidR="006A6692" w:rsidRPr="0003233C" w:rsidRDefault="006A6692" w:rsidP="00654308">
      <w:pPr>
        <w:pStyle w:val="Body"/>
        <w:spacing w:after="0"/>
        <w:rPr>
          <w:rFonts w:ascii="Arial" w:hAnsi="Arial" w:cs="Arial"/>
          <w:lang w:val="en-ID"/>
        </w:rPr>
      </w:pPr>
    </w:p>
    <w:p w14:paraId="36458140" w14:textId="74609BD1" w:rsidR="00162D1E" w:rsidRPr="00162D1E" w:rsidRDefault="00654308" w:rsidP="00404C03">
      <w:pPr>
        <w:pStyle w:val="Body"/>
        <w:spacing w:after="0"/>
        <w:rPr>
          <w:rFonts w:ascii="Arial" w:hAnsi="Arial" w:cs="Arial"/>
          <w:b/>
          <w:sz w:val="22"/>
          <w:lang w:val="en-ID"/>
        </w:rPr>
      </w:pPr>
      <w:proofErr w:type="gramStart"/>
      <w:r w:rsidRPr="00162D1E">
        <w:rPr>
          <w:rFonts w:ascii="Arial" w:hAnsi="Arial" w:cs="Arial"/>
          <w:b/>
          <w:caps/>
          <w:sz w:val="22"/>
          <w:lang w:val="en-ID"/>
        </w:rPr>
        <w:t xml:space="preserve">3.3 </w:t>
      </w:r>
      <w:r w:rsidRPr="00162D1E">
        <w:rPr>
          <w:rFonts w:ascii="Arial" w:hAnsi="Arial" w:cs="Arial"/>
          <w:b/>
          <w:sz w:val="22"/>
          <w:lang w:val="en-ID"/>
        </w:rPr>
        <w:t xml:space="preserve"> </w:t>
      </w:r>
      <w:r w:rsidR="00162D1E" w:rsidRPr="00162D1E">
        <w:rPr>
          <w:rFonts w:ascii="Arial" w:hAnsi="Arial" w:cs="Arial"/>
          <w:b/>
          <w:sz w:val="22"/>
          <w:lang w:val="en-ID"/>
        </w:rPr>
        <w:t>The</w:t>
      </w:r>
      <w:proofErr w:type="gramEnd"/>
      <w:r w:rsidR="00162D1E" w:rsidRPr="00162D1E">
        <w:rPr>
          <w:rFonts w:ascii="Arial" w:hAnsi="Arial" w:cs="Arial"/>
          <w:b/>
          <w:sz w:val="22"/>
          <w:lang w:val="en-ID"/>
        </w:rPr>
        <w:t xml:space="preserve"> Effect of Sucrose Concentration on the Growth of Shallot Derived from True Shallot Seed (TSS)</w:t>
      </w:r>
    </w:p>
    <w:p w14:paraId="77BDF1CA" w14:textId="77777777" w:rsidR="00162D1E" w:rsidRPr="00162D1E" w:rsidRDefault="00162D1E" w:rsidP="00404C03">
      <w:pPr>
        <w:pStyle w:val="Body"/>
        <w:spacing w:after="0"/>
        <w:rPr>
          <w:rFonts w:ascii="Arial" w:hAnsi="Arial" w:cs="Arial"/>
          <w:b/>
          <w:sz w:val="22"/>
          <w:lang w:val="en-ID"/>
        </w:rPr>
      </w:pPr>
    </w:p>
    <w:p w14:paraId="7002BECF" w14:textId="6724E616" w:rsidR="00581D3B" w:rsidRDefault="00162D1E" w:rsidP="00404C03">
      <w:pPr>
        <w:pStyle w:val="Body"/>
        <w:spacing w:after="0"/>
        <w:rPr>
          <w:rFonts w:ascii="Arial" w:hAnsi="Arial" w:cs="Arial"/>
        </w:rPr>
      </w:pPr>
      <w:r w:rsidRPr="00162D1E">
        <w:rPr>
          <w:rFonts w:ascii="Arial" w:hAnsi="Arial" w:cs="Arial"/>
        </w:rPr>
        <w:t>The application of various sucrose concentrations in the culture medium of shallots derived from True Shallot Seed (TSS) did not significantly affect the variables of germination percentage, germination time, number of micro shoots, number of micro leaves, micro root length, and bulb diameter. However, plant height was significantly affected by the application of different sucrose concentrations in the culture medium.</w:t>
      </w:r>
    </w:p>
    <w:p w14:paraId="577EC7C3" w14:textId="77777777" w:rsidR="00162D1E" w:rsidRPr="00162D1E" w:rsidRDefault="00162D1E" w:rsidP="00404C03">
      <w:pPr>
        <w:pStyle w:val="Body"/>
        <w:spacing w:after="0"/>
        <w:rPr>
          <w:rFonts w:ascii="Arial" w:hAnsi="Arial"/>
          <w:b/>
          <w:lang w:val="en-ID"/>
        </w:rPr>
      </w:pPr>
    </w:p>
    <w:p w14:paraId="649A6F3B" w14:textId="061B533F" w:rsidR="00404C03" w:rsidRDefault="00404C03" w:rsidP="00404C03">
      <w:pPr>
        <w:pStyle w:val="Body"/>
        <w:spacing w:after="0"/>
        <w:rPr>
          <w:rFonts w:ascii="Arial" w:hAnsi="Arial"/>
          <w:b/>
          <w:lang w:val="id"/>
        </w:rPr>
      </w:pPr>
      <w:r w:rsidRPr="00EC715B">
        <w:rPr>
          <w:rFonts w:ascii="Arial" w:hAnsi="Arial"/>
          <w:b/>
          <w:lang w:val="id"/>
        </w:rPr>
        <w:t xml:space="preserve">Table </w:t>
      </w:r>
      <w:r>
        <w:rPr>
          <w:rFonts w:ascii="Arial" w:hAnsi="Arial"/>
          <w:b/>
          <w:lang w:val="id"/>
        </w:rPr>
        <w:t xml:space="preserve">5. </w:t>
      </w:r>
      <w:r w:rsidR="00162D1E" w:rsidRPr="00162D1E">
        <w:rPr>
          <w:rFonts w:ascii="Arial" w:hAnsi="Arial"/>
          <w:b/>
        </w:rPr>
        <w:t>The mean values of sucrose concentration treatments on the plant height variable</w:t>
      </w:r>
      <w:r w:rsidR="00162D1E">
        <w:rPr>
          <w:rFonts w:ascii="Arial" w:hAnsi="Arial"/>
          <w:b/>
        </w:rPr>
        <w:t xml:space="preserve">. </w:t>
      </w:r>
    </w:p>
    <w:p w14:paraId="3318A8C0" w14:textId="77777777" w:rsidR="00404C03" w:rsidRDefault="00404C03" w:rsidP="00441B6F">
      <w:pPr>
        <w:pStyle w:val="Body"/>
        <w:spacing w:after="0"/>
        <w:rPr>
          <w:rFonts w:ascii="Arial" w:hAnsi="Arial" w:cs="Arial"/>
          <w:lang w:val="id"/>
        </w:rPr>
      </w:pPr>
    </w:p>
    <w:tbl>
      <w:tblPr>
        <w:tblW w:w="5000" w:type="pct"/>
        <w:tblLook w:val="04A0" w:firstRow="1" w:lastRow="0" w:firstColumn="1" w:lastColumn="0" w:noHBand="0" w:noVBand="1"/>
      </w:tblPr>
      <w:tblGrid>
        <w:gridCol w:w="5327"/>
        <w:gridCol w:w="3097"/>
      </w:tblGrid>
      <w:tr w:rsidR="00AB1634" w:rsidRPr="006F1BCA" w14:paraId="1B52B2FD" w14:textId="77777777" w:rsidTr="00AB1634">
        <w:trPr>
          <w:trHeight w:val="300"/>
        </w:trPr>
        <w:tc>
          <w:tcPr>
            <w:tcW w:w="3162" w:type="pct"/>
            <w:tcBorders>
              <w:top w:val="single" w:sz="4" w:space="0" w:color="auto"/>
              <w:bottom w:val="single" w:sz="4" w:space="0" w:color="auto"/>
            </w:tcBorders>
            <w:noWrap/>
            <w:vAlign w:val="center"/>
            <w:hideMark/>
          </w:tcPr>
          <w:p w14:paraId="451C7C54" w14:textId="4B1DC153" w:rsidR="00AB1634" w:rsidRPr="00F25138" w:rsidRDefault="00162D1E" w:rsidP="00E41695">
            <w:pPr>
              <w:pStyle w:val="Body"/>
              <w:spacing w:after="0"/>
              <w:jc w:val="center"/>
              <w:rPr>
                <w:rFonts w:ascii="Arial" w:hAnsi="Arial" w:cs="Arial"/>
                <w:lang w:val="sv-SE"/>
              </w:rPr>
            </w:pPr>
            <w:r>
              <w:rPr>
                <w:rFonts w:ascii="Arial" w:hAnsi="Arial" w:cs="Arial"/>
                <w:lang w:val="sv-SE"/>
              </w:rPr>
              <w:t>Treatment</w:t>
            </w:r>
          </w:p>
          <w:p w14:paraId="70DA8C76" w14:textId="77777777" w:rsidR="00AB1634" w:rsidRPr="00F25138" w:rsidRDefault="00AB1634" w:rsidP="00E41695">
            <w:pPr>
              <w:pStyle w:val="Body"/>
              <w:spacing w:after="0"/>
              <w:jc w:val="center"/>
              <w:rPr>
                <w:rFonts w:ascii="Arial" w:hAnsi="Arial" w:cs="Arial"/>
                <w:lang w:val="sv-SE"/>
              </w:rPr>
            </w:pPr>
          </w:p>
        </w:tc>
        <w:tc>
          <w:tcPr>
            <w:tcW w:w="1838" w:type="pct"/>
            <w:tcBorders>
              <w:top w:val="single" w:sz="4" w:space="0" w:color="auto"/>
              <w:bottom w:val="single" w:sz="4" w:space="0" w:color="auto"/>
            </w:tcBorders>
            <w:vAlign w:val="center"/>
          </w:tcPr>
          <w:p w14:paraId="0B4B84EE" w14:textId="02E1BD18" w:rsidR="00AB1634" w:rsidRPr="006F1BCA" w:rsidRDefault="00162D1E" w:rsidP="00E41695">
            <w:pPr>
              <w:pStyle w:val="Body"/>
              <w:spacing w:after="0"/>
              <w:jc w:val="center"/>
              <w:rPr>
                <w:rFonts w:ascii="Arial" w:hAnsi="Arial" w:cs="Arial"/>
              </w:rPr>
            </w:pPr>
            <w:r>
              <w:rPr>
                <w:rFonts w:ascii="Arial" w:hAnsi="Arial" w:cs="Arial"/>
              </w:rPr>
              <w:t>Plant Height</w:t>
            </w:r>
            <w:r w:rsidR="00AB1634" w:rsidRPr="006F1BCA">
              <w:rPr>
                <w:rFonts w:ascii="Arial" w:hAnsi="Arial" w:cs="Arial"/>
              </w:rPr>
              <w:t xml:space="preserve"> (cm)</w:t>
            </w:r>
          </w:p>
        </w:tc>
      </w:tr>
      <w:tr w:rsidR="00AB1634" w:rsidRPr="006F1BCA" w14:paraId="765C0ADB" w14:textId="77777777" w:rsidTr="00AB1634">
        <w:trPr>
          <w:trHeight w:val="300"/>
        </w:trPr>
        <w:tc>
          <w:tcPr>
            <w:tcW w:w="3162" w:type="pct"/>
            <w:tcBorders>
              <w:top w:val="single" w:sz="4" w:space="0" w:color="auto"/>
            </w:tcBorders>
            <w:noWrap/>
            <w:vAlign w:val="center"/>
            <w:hideMark/>
          </w:tcPr>
          <w:p w14:paraId="4EA95420" w14:textId="4024B612" w:rsidR="00AB1634" w:rsidRPr="006F1BCA" w:rsidRDefault="007F687F" w:rsidP="00E41695">
            <w:pPr>
              <w:pStyle w:val="Body"/>
              <w:spacing w:after="0"/>
              <w:jc w:val="center"/>
              <w:rPr>
                <w:rFonts w:ascii="Arial" w:hAnsi="Arial" w:cs="Arial"/>
              </w:rPr>
            </w:pPr>
            <w:r>
              <w:rPr>
                <w:rFonts w:ascii="Arial" w:hAnsi="Arial" w:cs="Arial"/>
              </w:rPr>
              <w:t>S0</w:t>
            </w:r>
            <w:r w:rsidR="00AB1634" w:rsidRPr="006F1BCA">
              <w:rPr>
                <w:rFonts w:ascii="Arial" w:hAnsi="Arial" w:cs="Arial"/>
              </w:rPr>
              <w:t xml:space="preserve"> (</w:t>
            </w:r>
            <w:r>
              <w:rPr>
                <w:rFonts w:ascii="Arial" w:hAnsi="Arial" w:cs="Arial"/>
              </w:rPr>
              <w:t>Su</w:t>
            </w:r>
            <w:r w:rsidR="00162D1E">
              <w:rPr>
                <w:rFonts w:ascii="Arial" w:hAnsi="Arial" w:cs="Arial"/>
              </w:rPr>
              <w:t>crose</w:t>
            </w:r>
            <w:r>
              <w:rPr>
                <w:rFonts w:ascii="Arial" w:hAnsi="Arial" w:cs="Arial"/>
              </w:rPr>
              <w:t xml:space="preserve"> 30 g/L</w:t>
            </w:r>
            <w:r w:rsidR="00AB1634" w:rsidRPr="006F1BCA">
              <w:rPr>
                <w:rFonts w:ascii="Arial" w:hAnsi="Arial" w:cs="Arial"/>
              </w:rPr>
              <w:t>)</w:t>
            </w:r>
          </w:p>
        </w:tc>
        <w:tc>
          <w:tcPr>
            <w:tcW w:w="1838" w:type="pct"/>
            <w:tcBorders>
              <w:top w:val="single" w:sz="4" w:space="0" w:color="auto"/>
            </w:tcBorders>
            <w:vAlign w:val="center"/>
          </w:tcPr>
          <w:p w14:paraId="510D1CA7" w14:textId="498C668E" w:rsidR="00AB1634" w:rsidRPr="006F1BCA" w:rsidRDefault="007F687F" w:rsidP="00E41695">
            <w:pPr>
              <w:pStyle w:val="Body"/>
              <w:spacing w:after="0"/>
              <w:jc w:val="center"/>
              <w:rPr>
                <w:rFonts w:ascii="Arial" w:hAnsi="Arial" w:cs="Arial"/>
              </w:rPr>
            </w:pPr>
            <w:r>
              <w:rPr>
                <w:rFonts w:ascii="Arial" w:hAnsi="Arial" w:cs="Arial"/>
              </w:rPr>
              <w:t>15,73</w:t>
            </w:r>
            <w:r w:rsidR="00AB1634" w:rsidRPr="006F1BCA">
              <w:rPr>
                <w:rFonts w:ascii="Arial" w:hAnsi="Arial" w:cs="Arial"/>
              </w:rPr>
              <w:t xml:space="preserve"> a</w:t>
            </w:r>
          </w:p>
        </w:tc>
      </w:tr>
      <w:tr w:rsidR="00AB1634" w:rsidRPr="006F1BCA" w14:paraId="06C5A74E" w14:textId="77777777" w:rsidTr="00AB1634">
        <w:trPr>
          <w:trHeight w:val="300"/>
        </w:trPr>
        <w:tc>
          <w:tcPr>
            <w:tcW w:w="3162" w:type="pct"/>
            <w:noWrap/>
            <w:vAlign w:val="center"/>
            <w:hideMark/>
          </w:tcPr>
          <w:p w14:paraId="44197A0E" w14:textId="61F37556" w:rsidR="00AB1634" w:rsidRPr="007F687F" w:rsidRDefault="007F687F" w:rsidP="00E41695">
            <w:pPr>
              <w:pStyle w:val="Body"/>
              <w:spacing w:after="0"/>
              <w:jc w:val="center"/>
              <w:rPr>
                <w:rFonts w:ascii="Arial" w:hAnsi="Arial" w:cs="Arial"/>
                <w:lang w:val="en-ID"/>
              </w:rPr>
            </w:pPr>
            <w:r w:rsidRPr="007F687F">
              <w:rPr>
                <w:rFonts w:ascii="Arial" w:hAnsi="Arial" w:cs="Arial"/>
                <w:lang w:val="en-ID"/>
              </w:rPr>
              <w:lastRenderedPageBreak/>
              <w:t>S1</w:t>
            </w:r>
            <w:r w:rsidR="00AB1634" w:rsidRPr="007F687F">
              <w:rPr>
                <w:rFonts w:ascii="Arial" w:hAnsi="Arial" w:cs="Arial"/>
                <w:lang w:val="en-ID"/>
              </w:rPr>
              <w:t xml:space="preserve"> (</w:t>
            </w:r>
            <w:r>
              <w:rPr>
                <w:rFonts w:ascii="Arial" w:hAnsi="Arial" w:cs="Arial"/>
                <w:lang w:val="en-ID"/>
              </w:rPr>
              <w:t>Su</w:t>
            </w:r>
            <w:r w:rsidR="00162D1E">
              <w:rPr>
                <w:rFonts w:ascii="Arial" w:hAnsi="Arial" w:cs="Arial"/>
                <w:lang w:val="en-ID"/>
              </w:rPr>
              <w:t>crose</w:t>
            </w:r>
            <w:r>
              <w:rPr>
                <w:rFonts w:ascii="Arial" w:hAnsi="Arial" w:cs="Arial"/>
                <w:lang w:val="en-ID"/>
              </w:rPr>
              <w:t xml:space="preserve"> 60 g/L</w:t>
            </w:r>
            <w:r w:rsidR="00AB1634" w:rsidRPr="007F687F">
              <w:rPr>
                <w:rFonts w:ascii="Arial" w:hAnsi="Arial" w:cs="Arial"/>
                <w:lang w:val="en-ID"/>
              </w:rPr>
              <w:t>)</w:t>
            </w:r>
          </w:p>
        </w:tc>
        <w:tc>
          <w:tcPr>
            <w:tcW w:w="1838" w:type="pct"/>
            <w:vAlign w:val="center"/>
          </w:tcPr>
          <w:p w14:paraId="206C46BA" w14:textId="432954FB" w:rsidR="00AB1634" w:rsidRPr="006F1BCA" w:rsidRDefault="00AB1634" w:rsidP="00E41695">
            <w:pPr>
              <w:pStyle w:val="Body"/>
              <w:spacing w:after="0"/>
              <w:jc w:val="center"/>
              <w:rPr>
                <w:rFonts w:ascii="Arial" w:hAnsi="Arial" w:cs="Arial"/>
                <w:lang w:val="sv-SE"/>
              </w:rPr>
            </w:pPr>
            <w:r w:rsidRPr="006F1BCA">
              <w:rPr>
                <w:rFonts w:ascii="Arial" w:hAnsi="Arial" w:cs="Arial"/>
                <w:lang w:val="sv-SE"/>
              </w:rPr>
              <w:t>1</w:t>
            </w:r>
            <w:r w:rsidR="007F687F">
              <w:rPr>
                <w:rFonts w:ascii="Arial" w:hAnsi="Arial" w:cs="Arial"/>
                <w:lang w:val="sv-SE"/>
              </w:rPr>
              <w:t>4,73</w:t>
            </w:r>
            <w:r w:rsidRPr="006F1BCA">
              <w:rPr>
                <w:rFonts w:ascii="Arial" w:hAnsi="Arial" w:cs="Arial"/>
                <w:lang w:val="sv-SE"/>
              </w:rPr>
              <w:t xml:space="preserve"> </w:t>
            </w:r>
            <w:r w:rsidR="007F687F">
              <w:rPr>
                <w:rFonts w:ascii="Arial" w:hAnsi="Arial" w:cs="Arial"/>
                <w:lang w:val="sv-SE"/>
              </w:rPr>
              <w:t>a</w:t>
            </w:r>
          </w:p>
        </w:tc>
      </w:tr>
      <w:tr w:rsidR="00AB1634" w:rsidRPr="006F1BCA" w14:paraId="763C7828" w14:textId="77777777" w:rsidTr="007F687F">
        <w:trPr>
          <w:trHeight w:val="300"/>
        </w:trPr>
        <w:tc>
          <w:tcPr>
            <w:tcW w:w="3162" w:type="pct"/>
            <w:noWrap/>
            <w:vAlign w:val="center"/>
            <w:hideMark/>
          </w:tcPr>
          <w:p w14:paraId="67B0055E" w14:textId="3AC0A268" w:rsidR="007F687F" w:rsidRPr="007F687F" w:rsidRDefault="007F687F" w:rsidP="007F687F">
            <w:pPr>
              <w:pStyle w:val="Body"/>
              <w:spacing w:after="0"/>
              <w:jc w:val="center"/>
              <w:rPr>
                <w:rFonts w:ascii="Arial" w:hAnsi="Arial" w:cs="Arial"/>
                <w:lang w:val="en-ID"/>
              </w:rPr>
            </w:pPr>
            <w:r w:rsidRPr="007F687F">
              <w:rPr>
                <w:rFonts w:ascii="Arial" w:hAnsi="Arial" w:cs="Arial"/>
                <w:lang w:val="en-ID"/>
              </w:rPr>
              <w:t>S2</w:t>
            </w:r>
            <w:r w:rsidR="00AB1634" w:rsidRPr="007F687F">
              <w:rPr>
                <w:rFonts w:ascii="Arial" w:hAnsi="Arial" w:cs="Arial"/>
                <w:lang w:val="en-ID"/>
              </w:rPr>
              <w:t xml:space="preserve"> (</w:t>
            </w:r>
            <w:r>
              <w:rPr>
                <w:rFonts w:ascii="Arial" w:hAnsi="Arial" w:cs="Arial"/>
                <w:lang w:val="en-ID"/>
              </w:rPr>
              <w:t>Su</w:t>
            </w:r>
            <w:r w:rsidR="00162D1E">
              <w:rPr>
                <w:rFonts w:ascii="Arial" w:hAnsi="Arial" w:cs="Arial"/>
                <w:lang w:val="en-ID"/>
              </w:rPr>
              <w:t>crose</w:t>
            </w:r>
            <w:r>
              <w:rPr>
                <w:rFonts w:ascii="Arial" w:hAnsi="Arial" w:cs="Arial"/>
                <w:lang w:val="en-ID"/>
              </w:rPr>
              <w:t xml:space="preserve"> 90 g/L</w:t>
            </w:r>
            <w:r w:rsidR="00AB1634" w:rsidRPr="007F687F">
              <w:rPr>
                <w:rFonts w:ascii="Arial" w:hAnsi="Arial" w:cs="Arial"/>
                <w:lang w:val="en-ID"/>
              </w:rPr>
              <w:t>)</w:t>
            </w:r>
          </w:p>
        </w:tc>
        <w:tc>
          <w:tcPr>
            <w:tcW w:w="1838" w:type="pct"/>
            <w:vAlign w:val="center"/>
          </w:tcPr>
          <w:p w14:paraId="66CAE387" w14:textId="491F14CF" w:rsidR="00AB1634" w:rsidRPr="006F1BCA" w:rsidRDefault="007F687F" w:rsidP="00E41695">
            <w:pPr>
              <w:pStyle w:val="Body"/>
              <w:spacing w:after="0"/>
              <w:jc w:val="center"/>
              <w:rPr>
                <w:rFonts w:ascii="Arial" w:hAnsi="Arial" w:cs="Arial"/>
                <w:lang w:val="sv-SE"/>
              </w:rPr>
            </w:pPr>
            <w:r>
              <w:rPr>
                <w:rFonts w:ascii="Arial" w:hAnsi="Arial" w:cs="Arial"/>
                <w:lang w:val="sv-SE"/>
              </w:rPr>
              <w:t>12,01</w:t>
            </w:r>
            <w:r w:rsidR="00AB1634" w:rsidRPr="006F1BCA">
              <w:rPr>
                <w:rFonts w:ascii="Arial" w:hAnsi="Arial" w:cs="Arial"/>
                <w:lang w:val="sv-SE"/>
              </w:rPr>
              <w:t xml:space="preserve"> </w:t>
            </w:r>
            <w:r>
              <w:rPr>
                <w:rFonts w:ascii="Arial" w:hAnsi="Arial" w:cs="Arial"/>
                <w:lang w:val="sv-SE"/>
              </w:rPr>
              <w:t>b</w:t>
            </w:r>
          </w:p>
        </w:tc>
      </w:tr>
      <w:tr w:rsidR="007F687F" w:rsidRPr="006F1BCA" w14:paraId="7965F93D" w14:textId="77777777" w:rsidTr="00AB1634">
        <w:trPr>
          <w:trHeight w:val="300"/>
        </w:trPr>
        <w:tc>
          <w:tcPr>
            <w:tcW w:w="3162" w:type="pct"/>
            <w:tcBorders>
              <w:bottom w:val="single" w:sz="4" w:space="0" w:color="auto"/>
            </w:tcBorders>
            <w:noWrap/>
            <w:vAlign w:val="center"/>
          </w:tcPr>
          <w:p w14:paraId="07AE0C4B" w14:textId="535D96A5" w:rsidR="007F687F" w:rsidRPr="006F1BCA" w:rsidRDefault="007F687F" w:rsidP="007F687F">
            <w:pPr>
              <w:pStyle w:val="Body"/>
              <w:spacing w:after="0"/>
              <w:jc w:val="center"/>
              <w:rPr>
                <w:rFonts w:ascii="Arial" w:hAnsi="Arial" w:cs="Arial"/>
                <w:lang w:val="sv-SE"/>
              </w:rPr>
            </w:pPr>
            <w:r>
              <w:rPr>
                <w:rFonts w:ascii="Arial" w:hAnsi="Arial" w:cs="Arial"/>
                <w:lang w:val="sv-SE"/>
              </w:rPr>
              <w:t>S3 (Su</w:t>
            </w:r>
            <w:r w:rsidR="00162D1E">
              <w:rPr>
                <w:rFonts w:ascii="Arial" w:hAnsi="Arial" w:cs="Arial"/>
                <w:lang w:val="sv-SE"/>
              </w:rPr>
              <w:t xml:space="preserve">crose </w:t>
            </w:r>
            <w:r>
              <w:rPr>
                <w:rFonts w:ascii="Arial" w:hAnsi="Arial" w:cs="Arial"/>
                <w:lang w:val="sv-SE"/>
              </w:rPr>
              <w:t>120 g/L)</w:t>
            </w:r>
          </w:p>
        </w:tc>
        <w:tc>
          <w:tcPr>
            <w:tcW w:w="1838" w:type="pct"/>
            <w:tcBorders>
              <w:bottom w:val="single" w:sz="4" w:space="0" w:color="auto"/>
            </w:tcBorders>
            <w:vAlign w:val="center"/>
          </w:tcPr>
          <w:p w14:paraId="3B1A4215" w14:textId="7D6D94E4" w:rsidR="007F687F" w:rsidRPr="006F1BCA" w:rsidRDefault="007F687F" w:rsidP="00E41695">
            <w:pPr>
              <w:pStyle w:val="Body"/>
              <w:spacing w:after="0"/>
              <w:jc w:val="center"/>
              <w:rPr>
                <w:rFonts w:ascii="Arial" w:hAnsi="Arial" w:cs="Arial"/>
                <w:lang w:val="sv-SE"/>
              </w:rPr>
            </w:pPr>
            <w:r>
              <w:rPr>
                <w:rFonts w:ascii="Arial" w:hAnsi="Arial" w:cs="Arial"/>
                <w:lang w:val="sv-SE"/>
              </w:rPr>
              <w:t>11,31 b</w:t>
            </w:r>
          </w:p>
        </w:tc>
      </w:tr>
    </w:tbl>
    <w:p w14:paraId="42D3B941" w14:textId="387008DC" w:rsidR="00AB1634" w:rsidRDefault="00906496" w:rsidP="00906496">
      <w:pPr>
        <w:pStyle w:val="Body"/>
        <w:spacing w:after="0"/>
        <w:ind w:left="567" w:hanging="567"/>
        <w:rPr>
          <w:rFonts w:ascii="Arial" w:hAnsi="Arial"/>
          <w:bCs/>
          <w:i/>
          <w:sz w:val="18"/>
        </w:rPr>
      </w:pPr>
      <w:r w:rsidRPr="00906496">
        <w:rPr>
          <w:rFonts w:ascii="Arial" w:hAnsi="Arial"/>
          <w:bCs/>
          <w:i/>
          <w:sz w:val="18"/>
        </w:rPr>
        <w:t>Note: Means followed by the same letter within the same column are not significantly different according to the DMRT at the 5% significance level</w:t>
      </w:r>
    </w:p>
    <w:p w14:paraId="04748794" w14:textId="77777777" w:rsidR="00906496" w:rsidRPr="00906496" w:rsidRDefault="00906496" w:rsidP="00441B6F">
      <w:pPr>
        <w:pStyle w:val="Body"/>
        <w:spacing w:after="0"/>
        <w:rPr>
          <w:rFonts w:ascii="Arial" w:hAnsi="Arial" w:cs="Arial"/>
          <w:lang w:val="en-ID"/>
        </w:rPr>
      </w:pPr>
    </w:p>
    <w:p w14:paraId="503BBB68" w14:textId="77777777" w:rsidR="00162D1E" w:rsidRDefault="00162D1E" w:rsidP="00441B6F">
      <w:pPr>
        <w:pStyle w:val="Body"/>
        <w:spacing w:after="0"/>
        <w:rPr>
          <w:rFonts w:ascii="Arial" w:hAnsi="Arial" w:cs="Arial"/>
        </w:rPr>
      </w:pPr>
      <w:r w:rsidRPr="00162D1E">
        <w:rPr>
          <w:rFonts w:ascii="Arial" w:hAnsi="Arial" w:cs="Arial"/>
        </w:rPr>
        <w:t xml:space="preserve">The sucrose treatments at 30 g/L and 60 g/L resulted in mean plant height values that were not significantly different from each other, but were significantly different from those at 90 g/L and 120 g/L. Meanwhile, the sucrose treatment at 90 g/L was not significantly different from that at 120 g/L. These results indicate that sucrose concentrations of 30–60 g/L produced the best plant height compared to sucrose concentrations of 90–120 g/L. This condition is consistent with the study by Putri (2024), which reported that culture media supplemented with sucrose in the range of 50–70 g/L were able to enhance shallot plant height under in vitro conditions. Conversely, excessively high sucrose concentrations may induce osmotic stress that inhibits plant tissue growth (Dos Reis and </w:t>
      </w:r>
      <w:proofErr w:type="spellStart"/>
      <w:r w:rsidRPr="00162D1E">
        <w:rPr>
          <w:rFonts w:ascii="Arial" w:hAnsi="Arial" w:cs="Arial"/>
        </w:rPr>
        <w:t>Ayub</w:t>
      </w:r>
      <w:proofErr w:type="spellEnd"/>
      <w:r w:rsidRPr="00162D1E">
        <w:rPr>
          <w:rFonts w:ascii="Arial" w:hAnsi="Arial" w:cs="Arial"/>
        </w:rPr>
        <w:t>, 2025; Huh et al., 2016). This finding is also supported by Maharani (2019), who stated that increasing sucrose concentration above the optimum level can suppress plant growth in vitro.</w:t>
      </w:r>
    </w:p>
    <w:p w14:paraId="4DDB8EA3" w14:textId="77777777" w:rsidR="00162D1E" w:rsidRDefault="00162D1E" w:rsidP="00441B6F">
      <w:pPr>
        <w:pStyle w:val="Body"/>
        <w:spacing w:after="0"/>
        <w:rPr>
          <w:rFonts w:ascii="Arial" w:hAnsi="Arial" w:cs="Arial"/>
        </w:rPr>
      </w:pPr>
    </w:p>
    <w:p w14:paraId="348277CF" w14:textId="027689A3" w:rsidR="007E1203" w:rsidRPr="00E51A13" w:rsidRDefault="00826C73" w:rsidP="007E1203">
      <w:pPr>
        <w:pStyle w:val="Body"/>
        <w:spacing w:after="0"/>
        <w:rPr>
          <w:rFonts w:ascii="Arial" w:hAnsi="Arial" w:cs="Arial"/>
          <w:b/>
          <w:sz w:val="22"/>
          <w:lang w:val="en-ID"/>
        </w:rPr>
      </w:pPr>
      <w:r w:rsidRPr="00162D1E">
        <w:rPr>
          <w:rFonts w:ascii="Arial" w:hAnsi="Arial" w:cs="Arial"/>
          <w:b/>
          <w:caps/>
          <w:sz w:val="22"/>
          <w:lang w:val="en-ID"/>
        </w:rPr>
        <w:t xml:space="preserve">3.4 </w:t>
      </w:r>
      <w:r w:rsidR="00162D1E" w:rsidRPr="00162D1E">
        <w:rPr>
          <w:rFonts w:ascii="Arial" w:hAnsi="Arial" w:cs="Arial"/>
          <w:b/>
          <w:sz w:val="22"/>
        </w:rPr>
        <w:t xml:space="preserve">Descriptive Analysis of Growth and </w:t>
      </w:r>
      <w:proofErr w:type="spellStart"/>
      <w:r w:rsidR="00162D1E" w:rsidRPr="00162D1E">
        <w:rPr>
          <w:rFonts w:ascii="Arial" w:hAnsi="Arial" w:cs="Arial"/>
          <w:b/>
          <w:sz w:val="22"/>
        </w:rPr>
        <w:t>Microbulb</w:t>
      </w:r>
      <w:proofErr w:type="spellEnd"/>
      <w:r w:rsidR="00162D1E" w:rsidRPr="00162D1E">
        <w:rPr>
          <w:rFonts w:ascii="Arial" w:hAnsi="Arial" w:cs="Arial"/>
          <w:b/>
          <w:sz w:val="22"/>
        </w:rPr>
        <w:t xml:space="preserve"> Formation of Shallots from True Shallot Seed (TSS)</w:t>
      </w:r>
    </w:p>
    <w:p w14:paraId="13626459" w14:textId="77777777" w:rsidR="00162D1E" w:rsidRDefault="00162D1E" w:rsidP="007E1203">
      <w:pPr>
        <w:pStyle w:val="Body"/>
        <w:spacing w:after="0"/>
        <w:rPr>
          <w:rFonts w:ascii="Arial" w:hAnsi="Arial" w:cs="Arial"/>
        </w:rPr>
      </w:pPr>
      <w:r w:rsidRPr="00162D1E">
        <w:rPr>
          <w:rFonts w:ascii="Arial" w:hAnsi="Arial" w:cs="Arial"/>
        </w:rPr>
        <w:t xml:space="preserve">Descriptive analysis was conducted on the variables of time to shoot emergence, leaf emergence, and </w:t>
      </w:r>
      <w:proofErr w:type="spellStart"/>
      <w:r w:rsidRPr="00162D1E">
        <w:rPr>
          <w:rFonts w:ascii="Arial" w:hAnsi="Arial" w:cs="Arial"/>
        </w:rPr>
        <w:t>microbulb</w:t>
      </w:r>
      <w:proofErr w:type="spellEnd"/>
      <w:r w:rsidRPr="00162D1E">
        <w:rPr>
          <w:rFonts w:ascii="Arial" w:hAnsi="Arial" w:cs="Arial"/>
        </w:rPr>
        <w:t xml:space="preserve"> formation because the coefficient of variation (CV) remained above 30% even after data transformation. Therefore, the data were analyzed descriptively and presented in the form of histograms.</w:t>
      </w:r>
    </w:p>
    <w:p w14:paraId="23E7694A" w14:textId="6EA38CED" w:rsidR="007E1203" w:rsidRPr="007E1203" w:rsidRDefault="007E1203" w:rsidP="007E1203">
      <w:pPr>
        <w:pStyle w:val="Body"/>
        <w:spacing w:after="0"/>
        <w:rPr>
          <w:rFonts w:ascii="Arial" w:hAnsi="Arial" w:cs="Arial"/>
          <w:lang w:val="id"/>
        </w:rPr>
      </w:pPr>
      <w:r w:rsidRPr="00162D1E">
        <w:rPr>
          <w:rFonts w:ascii="Arial" w:hAnsi="Arial" w:cs="Arial"/>
          <w:lang w:val="en-ID"/>
        </w:rPr>
        <w:tab/>
      </w:r>
    </w:p>
    <w:p w14:paraId="12BF72BB" w14:textId="7EDDCE69" w:rsidR="00826C73" w:rsidRPr="0003233C" w:rsidRDefault="00291D8D" w:rsidP="00441B6F">
      <w:pPr>
        <w:pStyle w:val="Body"/>
        <w:spacing w:after="0"/>
        <w:rPr>
          <w:rFonts w:ascii="Arial" w:hAnsi="Arial" w:cs="Arial"/>
          <w:b/>
          <w:color w:val="000000" w:themeColor="text1"/>
          <w:u w:val="single"/>
          <w:lang w:val="en-ID"/>
        </w:rPr>
      </w:pPr>
      <w:r w:rsidRPr="0003233C">
        <w:rPr>
          <w:rFonts w:ascii="Arial" w:hAnsi="Arial" w:cs="Arial"/>
          <w:b/>
          <w:color w:val="000000" w:themeColor="text1"/>
          <w:u w:val="single"/>
          <w:lang w:val="en-ID"/>
        </w:rPr>
        <w:t>3.</w:t>
      </w:r>
      <w:r w:rsidR="008217AB" w:rsidRPr="0003233C">
        <w:rPr>
          <w:rFonts w:ascii="Arial" w:hAnsi="Arial" w:cs="Arial"/>
          <w:b/>
          <w:color w:val="000000" w:themeColor="text1"/>
          <w:u w:val="single"/>
          <w:lang w:val="en-ID"/>
        </w:rPr>
        <w:t>4.1</w:t>
      </w:r>
      <w:r w:rsidRPr="0003233C">
        <w:rPr>
          <w:rFonts w:ascii="Arial" w:hAnsi="Arial" w:cs="Arial"/>
          <w:b/>
          <w:color w:val="000000" w:themeColor="text1"/>
          <w:u w:val="single"/>
          <w:lang w:val="en-ID"/>
        </w:rPr>
        <w:t xml:space="preserve"> </w:t>
      </w:r>
      <w:r w:rsidR="00906496" w:rsidRPr="00906496">
        <w:rPr>
          <w:rFonts w:ascii="Arial" w:hAnsi="Arial" w:cs="Arial"/>
          <w:b/>
          <w:color w:val="000000" w:themeColor="text1"/>
          <w:u w:val="single"/>
        </w:rPr>
        <w:t>Time to Micro Shoot Emergence</w:t>
      </w:r>
    </w:p>
    <w:p w14:paraId="510291AF" w14:textId="77777777" w:rsidR="00E51A13" w:rsidRDefault="00162D1E" w:rsidP="00162D1E">
      <w:pPr>
        <w:pStyle w:val="Body"/>
        <w:spacing w:after="0"/>
        <w:rPr>
          <w:rFonts w:ascii="Arial" w:hAnsi="Arial" w:cs="Arial"/>
        </w:rPr>
      </w:pPr>
      <w:r w:rsidRPr="00162D1E">
        <w:rPr>
          <w:rFonts w:ascii="Arial" w:hAnsi="Arial" w:cs="Arial"/>
        </w:rPr>
        <w:t xml:space="preserve">The time to micro shoot emergence showed differences among treatments of culture media type and sucrose concentration (Figure 1). MS medium supplemented with 30 g/L sucrose produced a mean time to micro shoot emergence of 12.89 days after planting (DAP). In the compound fertilizer (NPK) medium at a concentration of 2 g/L combined with 30 g/L sucrose, the mean time to micro shoot emergence was 13.28 DAP, whereas the treatment with 4 g/L compound fertilizer and 120 g/L sucrose resulted in the longest mean time to micro shoot emergence, at 20.67 DAP. This pattern indicates that increasing sucrose concentration in the culture medium can inhibit micro shoot formation. These results are consistent with the findings of </w:t>
      </w:r>
      <w:proofErr w:type="spellStart"/>
      <w:r w:rsidRPr="00162D1E">
        <w:rPr>
          <w:rFonts w:ascii="Arial" w:hAnsi="Arial" w:cs="Arial"/>
        </w:rPr>
        <w:t>Triyastuti</w:t>
      </w:r>
      <w:proofErr w:type="spellEnd"/>
      <w:r w:rsidRPr="00162D1E">
        <w:rPr>
          <w:rFonts w:ascii="Arial" w:hAnsi="Arial" w:cs="Arial"/>
        </w:rPr>
        <w:t xml:space="preserve"> et al. (2018), who reported that increasing sucrose concentration delayed the time of shoot emergence in chrysanthemum plantlets due to a decrease in the osmotic potential of the culture medium. According to </w:t>
      </w:r>
      <w:proofErr w:type="spellStart"/>
      <w:r w:rsidRPr="00162D1E">
        <w:rPr>
          <w:rFonts w:ascii="Arial" w:hAnsi="Arial" w:cs="Arial"/>
        </w:rPr>
        <w:t>Apriliani</w:t>
      </w:r>
      <w:proofErr w:type="spellEnd"/>
      <w:r w:rsidRPr="00162D1E">
        <w:rPr>
          <w:rFonts w:ascii="Arial" w:hAnsi="Arial" w:cs="Arial"/>
        </w:rPr>
        <w:t xml:space="preserve"> et al. (2023), axillary shoots of chrysanthemum grown on media containing higher sucrose concentrations emerged at 2 weeks after planting (WAP), which was one week later than those grown on media with lower sucrose concentrations. In addition to sucrose concentration, delayed micro shoot emergence at high levels of compound fertilizer is presumed to be caused by excess phosphorus in the medium. Excess phosphorus can lead to nutrient imbalance by interfering with the uptake of micronutrients such as Fe and Zn, which play important roles in cell division and differentiation, thereby slowing the initiation of micro shoots (</w:t>
      </w:r>
      <w:proofErr w:type="spellStart"/>
      <w:r w:rsidRPr="00162D1E">
        <w:rPr>
          <w:rFonts w:ascii="Arial" w:hAnsi="Arial" w:cs="Arial"/>
        </w:rPr>
        <w:t>Wahidah</w:t>
      </w:r>
      <w:proofErr w:type="spellEnd"/>
      <w:r w:rsidRPr="00162D1E">
        <w:rPr>
          <w:rFonts w:ascii="Arial" w:hAnsi="Arial" w:cs="Arial"/>
        </w:rPr>
        <w:t xml:space="preserve"> and </w:t>
      </w:r>
      <w:proofErr w:type="spellStart"/>
      <w:r w:rsidRPr="00162D1E">
        <w:rPr>
          <w:rFonts w:ascii="Arial" w:hAnsi="Arial" w:cs="Arial"/>
        </w:rPr>
        <w:t>Achmad</w:t>
      </w:r>
      <w:proofErr w:type="spellEnd"/>
      <w:r w:rsidRPr="00162D1E">
        <w:rPr>
          <w:rFonts w:ascii="Arial" w:hAnsi="Arial" w:cs="Arial"/>
        </w:rPr>
        <w:t xml:space="preserve">, 2020). This finding is in line with </w:t>
      </w:r>
      <w:proofErr w:type="spellStart"/>
      <w:r w:rsidRPr="00162D1E">
        <w:rPr>
          <w:rFonts w:ascii="Arial" w:hAnsi="Arial" w:cs="Arial"/>
        </w:rPr>
        <w:t>Isda</w:t>
      </w:r>
      <w:proofErr w:type="spellEnd"/>
      <w:r w:rsidRPr="00162D1E">
        <w:rPr>
          <w:rFonts w:ascii="Arial" w:hAnsi="Arial" w:cs="Arial"/>
        </w:rPr>
        <w:t xml:space="preserve"> and </w:t>
      </w:r>
      <w:proofErr w:type="spellStart"/>
      <w:r w:rsidRPr="00162D1E">
        <w:rPr>
          <w:rFonts w:ascii="Arial" w:hAnsi="Arial" w:cs="Arial"/>
        </w:rPr>
        <w:t>Wusqa</w:t>
      </w:r>
      <w:proofErr w:type="spellEnd"/>
      <w:r w:rsidRPr="00162D1E">
        <w:rPr>
          <w:rFonts w:ascii="Arial" w:hAnsi="Arial" w:cs="Arial"/>
        </w:rPr>
        <w:t xml:space="preserve"> (2024), who reported that excess</w:t>
      </w:r>
      <w:r w:rsidR="00E51A13">
        <w:rPr>
          <w:rFonts w:ascii="Arial" w:hAnsi="Arial" w:cs="Arial"/>
        </w:rPr>
        <w:t xml:space="preserve"> </w:t>
      </w:r>
      <w:r w:rsidRPr="00162D1E">
        <w:rPr>
          <w:rFonts w:ascii="Arial" w:hAnsi="Arial" w:cs="Arial"/>
        </w:rPr>
        <w:t>phosphorus can result in slower shoot growth.</w:t>
      </w:r>
      <w:r>
        <w:rPr>
          <w:rFonts w:ascii="Arial" w:hAnsi="Arial" w:cs="Arial"/>
        </w:rPr>
        <w:tab/>
      </w:r>
    </w:p>
    <w:p w14:paraId="70EF07F2" w14:textId="5695EF1A" w:rsidR="00AE4A52" w:rsidRPr="00162D1E" w:rsidRDefault="00162D1E" w:rsidP="00162D1E">
      <w:pPr>
        <w:pStyle w:val="Body"/>
        <w:spacing w:after="0"/>
        <w:rPr>
          <w:rFonts w:ascii="Arial" w:hAnsi="Arial" w:cs="Arial"/>
          <w:lang w:val="en-ID"/>
        </w:rPr>
      </w:pPr>
      <w:r>
        <w:rPr>
          <w:rFonts w:ascii="Arial" w:hAnsi="Arial" w:cs="Arial"/>
        </w:rPr>
        <w:lastRenderedPageBreak/>
        <w:tab/>
      </w:r>
      <w:r w:rsidR="00AE4A52">
        <w:rPr>
          <w:noProof/>
        </w:rPr>
        <w:drawing>
          <wp:inline distT="0" distB="0" distL="0" distR="0" wp14:anchorId="131DCE57" wp14:editId="2253F7C9">
            <wp:extent cx="4319905" cy="2000250"/>
            <wp:effectExtent l="0" t="0" r="0" b="0"/>
            <wp:docPr id="574819305" name="Chart 1">
              <a:extLst xmlns:a="http://schemas.openxmlformats.org/drawingml/2006/main">
                <a:ext uri="{FF2B5EF4-FFF2-40B4-BE49-F238E27FC236}">
                  <a16:creationId xmlns:a16="http://schemas.microsoft.com/office/drawing/2014/main" id="{4E8C0942-6C67-353F-48E3-9B8FB28029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6EFB8E" w14:textId="6BB97859" w:rsidR="00200F2A" w:rsidRDefault="00162D1E" w:rsidP="00162D1E">
      <w:pPr>
        <w:pStyle w:val="Body"/>
        <w:spacing w:after="0"/>
        <w:ind w:left="993" w:hanging="1134"/>
        <w:rPr>
          <w:rFonts w:ascii="Arial" w:hAnsi="Arial" w:cs="Arial"/>
          <w:b/>
          <w:bCs/>
          <w:szCs w:val="22"/>
          <w:lang w:val="en-ID"/>
        </w:rPr>
      </w:pPr>
      <w:r w:rsidRPr="00162D1E">
        <w:rPr>
          <w:rFonts w:ascii="Arial" w:hAnsi="Arial" w:cs="Arial"/>
          <w:b/>
          <w:bCs/>
          <w:szCs w:val="22"/>
          <w:lang w:val="en-ID"/>
        </w:rPr>
        <w:t>Figure 1. Effect of compound fertilizer and sucrose concentrations on the time to micro shoot emergence of shallots under in vitro conditions.</w:t>
      </w:r>
    </w:p>
    <w:p w14:paraId="2C4BED33" w14:textId="77777777" w:rsidR="00162D1E" w:rsidRPr="00162D1E" w:rsidRDefault="00162D1E" w:rsidP="00200F2A">
      <w:pPr>
        <w:pStyle w:val="Body"/>
        <w:spacing w:after="0"/>
        <w:rPr>
          <w:rFonts w:ascii="Arial" w:hAnsi="Arial" w:cs="Arial"/>
          <w:b/>
          <w:color w:val="000000" w:themeColor="text1"/>
          <w:u w:val="single"/>
          <w:lang w:val="en-ID"/>
        </w:rPr>
      </w:pPr>
    </w:p>
    <w:p w14:paraId="033AE933" w14:textId="7C812F6B" w:rsidR="00200F2A" w:rsidRPr="0003233C" w:rsidRDefault="00200F2A" w:rsidP="00200F2A">
      <w:pPr>
        <w:pStyle w:val="Body"/>
        <w:spacing w:after="0"/>
        <w:rPr>
          <w:rFonts w:ascii="Arial" w:hAnsi="Arial" w:cs="Arial"/>
          <w:lang w:val="en-ID"/>
        </w:rPr>
      </w:pPr>
      <w:r w:rsidRPr="0003233C">
        <w:rPr>
          <w:rFonts w:ascii="Arial" w:hAnsi="Arial" w:cs="Arial"/>
          <w:b/>
          <w:color w:val="000000" w:themeColor="text1"/>
          <w:u w:val="single"/>
          <w:lang w:val="en-ID"/>
        </w:rPr>
        <w:t xml:space="preserve">3.4.2 </w:t>
      </w:r>
      <w:r w:rsidR="00906496" w:rsidRPr="00906496">
        <w:rPr>
          <w:rFonts w:ascii="Arial" w:hAnsi="Arial" w:cs="Arial"/>
          <w:b/>
          <w:color w:val="000000" w:themeColor="text1"/>
          <w:u w:val="single"/>
        </w:rPr>
        <w:t>Time to Micro Leaf Emergence</w:t>
      </w:r>
    </w:p>
    <w:p w14:paraId="288AF720" w14:textId="4BAABD5A" w:rsidR="00162D1E" w:rsidRPr="0003233C" w:rsidRDefault="00162D1E" w:rsidP="00441B6F">
      <w:pPr>
        <w:pStyle w:val="Body"/>
        <w:spacing w:after="0"/>
        <w:rPr>
          <w:rFonts w:ascii="Arial" w:hAnsi="Arial" w:cs="Arial"/>
          <w:lang w:val="en-ID"/>
        </w:rPr>
      </w:pPr>
      <w:r w:rsidRPr="00162D1E">
        <w:rPr>
          <w:rFonts w:ascii="Arial" w:hAnsi="Arial" w:cs="Arial"/>
        </w:rPr>
        <w:t xml:space="preserve">The time to micro leaf emergence differed among treatments of culture media type and sucrose concentration (Figure 2). MS medium supplemented with 60 g/L sucrose resulted in a mean time to micro leaf emergence of 5.15 weeks after planting (WAP). In the compound fertilizer medium at a concentration of 2 g/L combined with 30 g/L sucrose, the mean time to micro leaf emergence was 6.00 WAP, whereas the treatment with 2 g/L compound fertilizer and 120 g/L sucrose showed a mean time of 7.50 WAP. This pattern indicates that the time to micro leaf emergence tends to increase with increasing sucrose concentration in the culture medium. These results are consistent with the findings of </w:t>
      </w:r>
      <w:proofErr w:type="spellStart"/>
      <w:r w:rsidRPr="00162D1E">
        <w:rPr>
          <w:rFonts w:ascii="Arial" w:hAnsi="Arial" w:cs="Arial"/>
        </w:rPr>
        <w:t>Hapsari</w:t>
      </w:r>
      <w:proofErr w:type="spellEnd"/>
      <w:r w:rsidRPr="00162D1E">
        <w:rPr>
          <w:rFonts w:ascii="Arial" w:hAnsi="Arial" w:cs="Arial"/>
        </w:rPr>
        <w:t xml:space="preserve"> and </w:t>
      </w:r>
      <w:proofErr w:type="spellStart"/>
      <w:r w:rsidRPr="00162D1E">
        <w:rPr>
          <w:rFonts w:ascii="Arial" w:hAnsi="Arial" w:cs="Arial"/>
        </w:rPr>
        <w:t>Saptadi</w:t>
      </w:r>
      <w:proofErr w:type="spellEnd"/>
      <w:r w:rsidRPr="00162D1E">
        <w:rPr>
          <w:rFonts w:ascii="Arial" w:hAnsi="Arial" w:cs="Arial"/>
        </w:rPr>
        <w:t xml:space="preserve"> (2018), who reported that in culture media containing 90 g/L and 120 g/L sucrose, the time to leaf emergence of garlic explants tended to be longer than in media with sucrose concentrations of 30 g/L and 60 g/L. In addition to sucrose concentration, leaf formation was also inhibited by high concentrations of compound fertilizer (NPK). In the medium containing 4 g/L compound fertilizer, none of the treatments showed leaf emergence until the end of the observation period. This finding is in line with </w:t>
      </w:r>
      <w:proofErr w:type="spellStart"/>
      <w:r w:rsidRPr="00162D1E">
        <w:rPr>
          <w:rFonts w:ascii="Arial" w:hAnsi="Arial" w:cs="Arial"/>
        </w:rPr>
        <w:t>Sumihar</w:t>
      </w:r>
      <w:proofErr w:type="spellEnd"/>
      <w:r w:rsidRPr="00162D1E">
        <w:rPr>
          <w:rFonts w:ascii="Arial" w:hAnsi="Arial" w:cs="Arial"/>
        </w:rPr>
        <w:t xml:space="preserve"> et al. (2021), who reported that leaves of Raja </w:t>
      </w:r>
      <w:proofErr w:type="spellStart"/>
      <w:r w:rsidRPr="00162D1E">
        <w:rPr>
          <w:rFonts w:ascii="Arial" w:hAnsi="Arial" w:cs="Arial"/>
        </w:rPr>
        <w:t>Bulu</w:t>
      </w:r>
      <w:proofErr w:type="spellEnd"/>
      <w:r w:rsidRPr="00162D1E">
        <w:rPr>
          <w:rFonts w:ascii="Arial" w:hAnsi="Arial" w:cs="Arial"/>
        </w:rPr>
        <w:t xml:space="preserve"> banana explants had not formed at 5 WAP in culture media containing NPK compound fertilizer 32–10–10, whereas leaf formation in MS medium began at 5 WAP. This condition is presumably caused by osmotic stress in the medium due to excessive nitrogen, which can suppress leaf growth, induce toxicity in the form of necrosis, and interfere with water uptake (</w:t>
      </w:r>
      <w:proofErr w:type="spellStart"/>
      <w:r w:rsidRPr="00162D1E">
        <w:rPr>
          <w:rFonts w:ascii="Arial" w:hAnsi="Arial" w:cs="Arial"/>
        </w:rPr>
        <w:t>Hardianti</w:t>
      </w:r>
      <w:proofErr w:type="spellEnd"/>
      <w:r w:rsidRPr="00162D1E">
        <w:rPr>
          <w:rFonts w:ascii="Arial" w:hAnsi="Arial" w:cs="Arial"/>
        </w:rPr>
        <w:t xml:space="preserve"> and </w:t>
      </w:r>
      <w:proofErr w:type="spellStart"/>
      <w:r w:rsidRPr="00162D1E">
        <w:rPr>
          <w:rFonts w:ascii="Arial" w:hAnsi="Arial" w:cs="Arial"/>
        </w:rPr>
        <w:t>Soetopo</w:t>
      </w:r>
      <w:proofErr w:type="spellEnd"/>
      <w:r w:rsidRPr="00162D1E">
        <w:rPr>
          <w:rFonts w:ascii="Arial" w:hAnsi="Arial" w:cs="Arial"/>
        </w:rPr>
        <w:t>, 2019)</w:t>
      </w:r>
      <w:r>
        <w:rPr>
          <w:rFonts w:ascii="Arial" w:hAnsi="Arial" w:cs="Arial"/>
        </w:rPr>
        <w:t xml:space="preserve">. </w:t>
      </w:r>
    </w:p>
    <w:p w14:paraId="176C4B6F" w14:textId="59C99A05" w:rsidR="00200F2A" w:rsidRPr="00162D1E" w:rsidRDefault="00972516" w:rsidP="00972516">
      <w:pPr>
        <w:pStyle w:val="Body"/>
        <w:spacing w:after="0"/>
        <w:jc w:val="center"/>
        <w:rPr>
          <w:rFonts w:ascii="Arial" w:hAnsi="Arial" w:cs="Arial"/>
          <w:lang w:val="en-ID"/>
        </w:rPr>
      </w:pPr>
      <w:r>
        <w:rPr>
          <w:noProof/>
        </w:rPr>
        <w:drawing>
          <wp:inline distT="0" distB="0" distL="0" distR="0" wp14:anchorId="26269B78" wp14:editId="1E68E409">
            <wp:extent cx="4320000" cy="2160000"/>
            <wp:effectExtent l="0" t="0" r="0" b="0"/>
            <wp:docPr id="790259666" name="Chart 1">
              <a:extLst xmlns:a="http://schemas.openxmlformats.org/drawingml/2006/main">
                <a:ext uri="{FF2B5EF4-FFF2-40B4-BE49-F238E27FC236}">
                  <a16:creationId xmlns:a16="http://schemas.microsoft.com/office/drawing/2014/main" id="{2EC6AC53-E122-3CCA-BA36-99C5F149D2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DBA88" w14:textId="01214AD3" w:rsidR="00972516" w:rsidRPr="00906496" w:rsidRDefault="00906496" w:rsidP="00906496">
      <w:pPr>
        <w:pStyle w:val="Body"/>
        <w:spacing w:after="0"/>
        <w:ind w:left="993" w:hanging="993"/>
        <w:rPr>
          <w:rFonts w:ascii="Arial" w:hAnsi="Arial" w:cs="Arial"/>
          <w:lang w:val="en-ID"/>
        </w:rPr>
      </w:pPr>
      <w:r w:rsidRPr="00906496">
        <w:rPr>
          <w:rFonts w:ascii="Arial" w:hAnsi="Arial" w:cs="Arial"/>
          <w:b/>
          <w:bCs/>
          <w:szCs w:val="22"/>
        </w:rPr>
        <w:t>Figure 2. Effects of compound fertilizer and sucrose concentrations on micro leaf emergence time of shallots in vitro.</w:t>
      </w:r>
    </w:p>
    <w:p w14:paraId="22A69D81" w14:textId="77777777" w:rsidR="00972516" w:rsidRPr="00906496" w:rsidRDefault="00972516" w:rsidP="00972516">
      <w:pPr>
        <w:pStyle w:val="Body"/>
        <w:spacing w:after="0"/>
        <w:jc w:val="left"/>
        <w:rPr>
          <w:rFonts w:ascii="Arial" w:hAnsi="Arial" w:cs="Arial"/>
          <w:lang w:val="en-ID"/>
        </w:rPr>
      </w:pPr>
    </w:p>
    <w:p w14:paraId="02D0A6BA" w14:textId="32739E87" w:rsidR="00050C19" w:rsidRPr="0003233C" w:rsidRDefault="00050C19" w:rsidP="00441B6F">
      <w:pPr>
        <w:pStyle w:val="Body"/>
        <w:spacing w:after="0"/>
        <w:rPr>
          <w:rFonts w:ascii="Arial" w:hAnsi="Arial" w:cs="Arial"/>
          <w:lang w:val="en-ID"/>
        </w:rPr>
      </w:pPr>
      <w:r w:rsidRPr="0003233C">
        <w:rPr>
          <w:rFonts w:ascii="Arial" w:hAnsi="Arial" w:cs="Arial"/>
          <w:b/>
          <w:color w:val="000000" w:themeColor="text1"/>
          <w:u w:val="single"/>
          <w:lang w:val="en-ID"/>
        </w:rPr>
        <w:t xml:space="preserve">3.4.3 </w:t>
      </w:r>
      <w:r w:rsidR="00906496" w:rsidRPr="00906496">
        <w:rPr>
          <w:rFonts w:ascii="Arial" w:hAnsi="Arial" w:cs="Arial"/>
          <w:b/>
          <w:color w:val="000000" w:themeColor="text1"/>
          <w:u w:val="single"/>
        </w:rPr>
        <w:t xml:space="preserve">Time to </w:t>
      </w:r>
      <w:proofErr w:type="spellStart"/>
      <w:r w:rsidR="00906496" w:rsidRPr="00906496">
        <w:rPr>
          <w:rFonts w:ascii="Arial" w:hAnsi="Arial" w:cs="Arial"/>
          <w:b/>
          <w:color w:val="000000" w:themeColor="text1"/>
          <w:u w:val="single"/>
        </w:rPr>
        <w:t>Microbulb</w:t>
      </w:r>
      <w:proofErr w:type="spellEnd"/>
      <w:r w:rsidR="00906496" w:rsidRPr="00906496">
        <w:rPr>
          <w:rFonts w:ascii="Arial" w:hAnsi="Arial" w:cs="Arial"/>
          <w:b/>
          <w:color w:val="000000" w:themeColor="text1"/>
          <w:u w:val="single"/>
        </w:rPr>
        <w:t xml:space="preserve"> Emergence</w:t>
      </w:r>
    </w:p>
    <w:p w14:paraId="4F24F5FB" w14:textId="7B68788B" w:rsidR="00050C19" w:rsidRPr="0003233C" w:rsidRDefault="00906496" w:rsidP="00050C19">
      <w:pPr>
        <w:pStyle w:val="Body"/>
        <w:spacing w:after="0"/>
        <w:rPr>
          <w:rFonts w:ascii="Arial" w:hAnsi="Arial" w:cs="Arial"/>
          <w:lang w:val="en-ID"/>
        </w:rPr>
      </w:pPr>
      <w:r w:rsidRPr="00906496">
        <w:rPr>
          <w:rFonts w:ascii="Arial" w:hAnsi="Arial" w:cs="Arial"/>
        </w:rPr>
        <w:t xml:space="preserve">The time to </w:t>
      </w:r>
      <w:proofErr w:type="spellStart"/>
      <w:r w:rsidRPr="00906496">
        <w:rPr>
          <w:rFonts w:ascii="Arial" w:hAnsi="Arial" w:cs="Arial"/>
        </w:rPr>
        <w:t>microbulb</w:t>
      </w:r>
      <w:proofErr w:type="spellEnd"/>
      <w:r w:rsidRPr="00906496">
        <w:rPr>
          <w:rFonts w:ascii="Arial" w:hAnsi="Arial" w:cs="Arial"/>
        </w:rPr>
        <w:t xml:space="preserve"> formation showed clear differences among culture media and sucrose concentration treatments (Figure 3). In MS medium supplemented with 60 g/L sucrose, </w:t>
      </w:r>
      <w:proofErr w:type="spellStart"/>
      <w:r w:rsidRPr="00906496">
        <w:rPr>
          <w:rFonts w:ascii="Arial" w:hAnsi="Arial" w:cs="Arial"/>
        </w:rPr>
        <w:t>microbulb</w:t>
      </w:r>
      <w:proofErr w:type="spellEnd"/>
      <w:r w:rsidRPr="00906496">
        <w:rPr>
          <w:rFonts w:ascii="Arial" w:hAnsi="Arial" w:cs="Arial"/>
        </w:rPr>
        <w:t xml:space="preserve"> formation occurred at 7.71 weeks after planting (WAP). This result is consistent with the statement of </w:t>
      </w:r>
      <w:proofErr w:type="spellStart"/>
      <w:r w:rsidRPr="00906496">
        <w:rPr>
          <w:rFonts w:ascii="Arial" w:hAnsi="Arial" w:cs="Arial"/>
        </w:rPr>
        <w:t>Hapsari</w:t>
      </w:r>
      <w:proofErr w:type="spellEnd"/>
      <w:r w:rsidRPr="00906496">
        <w:rPr>
          <w:rFonts w:ascii="Arial" w:hAnsi="Arial" w:cs="Arial"/>
        </w:rPr>
        <w:t xml:space="preserve"> and </w:t>
      </w:r>
      <w:proofErr w:type="spellStart"/>
      <w:r w:rsidRPr="00906496">
        <w:rPr>
          <w:rFonts w:ascii="Arial" w:hAnsi="Arial" w:cs="Arial"/>
        </w:rPr>
        <w:t>Saptadi</w:t>
      </w:r>
      <w:proofErr w:type="spellEnd"/>
      <w:r w:rsidRPr="00906496">
        <w:rPr>
          <w:rFonts w:ascii="Arial" w:hAnsi="Arial" w:cs="Arial"/>
        </w:rPr>
        <w:t xml:space="preserve"> (2018), who reported that a sucrose concentration of 60 g/L has the potential to induce </w:t>
      </w:r>
      <w:proofErr w:type="spellStart"/>
      <w:r w:rsidRPr="00906496">
        <w:rPr>
          <w:rFonts w:ascii="Arial" w:hAnsi="Arial" w:cs="Arial"/>
        </w:rPr>
        <w:t>microbulb</w:t>
      </w:r>
      <w:proofErr w:type="spellEnd"/>
      <w:r w:rsidRPr="00906496">
        <w:rPr>
          <w:rFonts w:ascii="Arial" w:hAnsi="Arial" w:cs="Arial"/>
        </w:rPr>
        <w:t xml:space="preserve"> formation. In the compound fertilizer medium, </w:t>
      </w:r>
      <w:proofErr w:type="spellStart"/>
      <w:r w:rsidRPr="00906496">
        <w:rPr>
          <w:rFonts w:ascii="Arial" w:hAnsi="Arial" w:cs="Arial"/>
        </w:rPr>
        <w:t>microbulbs</w:t>
      </w:r>
      <w:proofErr w:type="spellEnd"/>
      <w:r w:rsidRPr="00906496">
        <w:rPr>
          <w:rFonts w:ascii="Arial" w:hAnsi="Arial" w:cs="Arial"/>
        </w:rPr>
        <w:t xml:space="preserve"> were formed only at a concentration of 2 g/L combined with sucrose concentrations of 30 and 60 g/L. This condition is presumably due to the addition of compound fertilizer increasing the nutrient content of the culture medium. Excessive nutrient availability is unfavorable for plant growth. Excess nitrogen can inhibit the uptake of other nutrients such as potassium, while excess phosphorus can slow growth, particularly shoot growth, and excessive potassium may cause toxicity leading to plant damage or death (</w:t>
      </w:r>
      <w:proofErr w:type="spellStart"/>
      <w:r w:rsidRPr="00906496">
        <w:rPr>
          <w:rFonts w:ascii="Arial" w:hAnsi="Arial" w:cs="Arial"/>
        </w:rPr>
        <w:t>Isda</w:t>
      </w:r>
      <w:proofErr w:type="spellEnd"/>
      <w:r w:rsidRPr="00906496">
        <w:rPr>
          <w:rFonts w:ascii="Arial" w:hAnsi="Arial" w:cs="Arial"/>
        </w:rPr>
        <w:t xml:space="preserve"> and </w:t>
      </w:r>
      <w:proofErr w:type="spellStart"/>
      <w:r w:rsidRPr="00906496">
        <w:rPr>
          <w:rFonts w:ascii="Arial" w:hAnsi="Arial" w:cs="Arial"/>
        </w:rPr>
        <w:t>Wusqa</w:t>
      </w:r>
      <w:proofErr w:type="spellEnd"/>
      <w:r w:rsidRPr="00906496">
        <w:rPr>
          <w:rFonts w:ascii="Arial" w:hAnsi="Arial" w:cs="Arial"/>
        </w:rPr>
        <w:t>, 2024).</w:t>
      </w:r>
    </w:p>
    <w:p w14:paraId="6574F386" w14:textId="77777777" w:rsidR="00906496" w:rsidRPr="0003233C" w:rsidRDefault="00906496" w:rsidP="00050C19">
      <w:pPr>
        <w:pStyle w:val="Body"/>
        <w:spacing w:after="0"/>
        <w:rPr>
          <w:rFonts w:ascii="Arial" w:hAnsi="Arial" w:cs="Arial"/>
          <w:lang w:val="en-ID"/>
        </w:rPr>
      </w:pPr>
    </w:p>
    <w:p w14:paraId="74C8ABBA" w14:textId="1081D0FF" w:rsidR="00050C19" w:rsidRDefault="006331FA" w:rsidP="006331FA">
      <w:pPr>
        <w:pStyle w:val="Body"/>
        <w:spacing w:after="0"/>
        <w:jc w:val="center"/>
        <w:rPr>
          <w:rFonts w:ascii="Arial" w:hAnsi="Arial" w:cs="Arial"/>
          <w:lang w:val="sv-SE"/>
        </w:rPr>
      </w:pPr>
      <w:r>
        <w:rPr>
          <w:noProof/>
        </w:rPr>
        <w:drawing>
          <wp:inline distT="0" distB="0" distL="0" distR="0" wp14:anchorId="5F3B8D25" wp14:editId="55C5A031">
            <wp:extent cx="4320000" cy="2160000"/>
            <wp:effectExtent l="0" t="0" r="0" b="0"/>
            <wp:docPr id="267819736" name="Chart 1">
              <a:extLst xmlns:a="http://schemas.openxmlformats.org/drawingml/2006/main">
                <a:ext uri="{FF2B5EF4-FFF2-40B4-BE49-F238E27FC236}">
                  <a16:creationId xmlns:a16="http://schemas.microsoft.com/office/drawing/2014/main" id="{51B7EED6-EA5A-02F5-AE0C-255CFF69C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5AE230" w14:textId="758ACB34" w:rsidR="00790ADA" w:rsidRDefault="00906496" w:rsidP="00906496">
      <w:pPr>
        <w:pStyle w:val="Body"/>
        <w:spacing w:after="0"/>
        <w:ind w:left="993" w:hanging="993"/>
        <w:rPr>
          <w:rFonts w:ascii="Arial" w:hAnsi="Arial" w:cs="Arial"/>
          <w:b/>
          <w:bCs/>
          <w:szCs w:val="22"/>
          <w:lang w:val="en-ID"/>
        </w:rPr>
      </w:pPr>
      <w:r w:rsidRPr="00906496">
        <w:rPr>
          <w:rFonts w:ascii="Arial" w:hAnsi="Arial" w:cs="Arial"/>
          <w:b/>
          <w:bCs/>
          <w:szCs w:val="22"/>
          <w:lang w:val="en-ID"/>
        </w:rPr>
        <w:t xml:space="preserve">Figure 3. Effect of compound fertilizer and sucrose concentrations on the time to </w:t>
      </w:r>
      <w:proofErr w:type="spellStart"/>
      <w:r w:rsidRPr="00906496">
        <w:rPr>
          <w:rFonts w:ascii="Arial" w:hAnsi="Arial" w:cs="Arial"/>
          <w:b/>
          <w:bCs/>
          <w:szCs w:val="22"/>
          <w:lang w:val="en-ID"/>
        </w:rPr>
        <w:t>microbulb</w:t>
      </w:r>
      <w:proofErr w:type="spellEnd"/>
      <w:r w:rsidRPr="00906496">
        <w:rPr>
          <w:rFonts w:ascii="Arial" w:hAnsi="Arial" w:cs="Arial"/>
          <w:b/>
          <w:bCs/>
          <w:szCs w:val="22"/>
          <w:lang w:val="en-ID"/>
        </w:rPr>
        <w:t xml:space="preserve"> emergence of shallots under in vitro conditions.</w:t>
      </w:r>
    </w:p>
    <w:p w14:paraId="193B5976" w14:textId="77777777" w:rsidR="00906496" w:rsidRPr="00906496" w:rsidRDefault="00906496" w:rsidP="00441B6F">
      <w:pPr>
        <w:pStyle w:val="Body"/>
        <w:spacing w:after="0"/>
        <w:rPr>
          <w:rFonts w:ascii="Arial" w:hAnsi="Arial" w:cs="Arial"/>
          <w:lang w:val="en-ID"/>
        </w:rPr>
      </w:pPr>
    </w:p>
    <w:p w14:paraId="20A40030" w14:textId="7712F6E6" w:rsidR="00B01FCD" w:rsidRPr="0003233C" w:rsidRDefault="00000F8F" w:rsidP="00441B6F">
      <w:pPr>
        <w:pStyle w:val="ConcHead"/>
        <w:spacing w:after="0"/>
        <w:jc w:val="both"/>
        <w:rPr>
          <w:rFonts w:ascii="Arial" w:hAnsi="Arial" w:cs="Arial"/>
          <w:lang w:val="en-ID"/>
        </w:rPr>
      </w:pPr>
      <w:r w:rsidRPr="0003233C">
        <w:rPr>
          <w:rFonts w:ascii="Arial" w:hAnsi="Arial" w:cs="Arial"/>
          <w:lang w:val="en-ID"/>
        </w:rPr>
        <w:t xml:space="preserve">4. </w:t>
      </w:r>
      <w:r w:rsidR="00906496" w:rsidRPr="0003233C">
        <w:rPr>
          <w:rFonts w:ascii="Arial" w:hAnsi="Arial" w:cs="Arial"/>
          <w:lang w:val="en-ID"/>
        </w:rPr>
        <w:t>CONCLUSION</w:t>
      </w:r>
    </w:p>
    <w:p w14:paraId="4EA8067B" w14:textId="77777777" w:rsidR="00790ADA" w:rsidRPr="0003233C" w:rsidRDefault="00790ADA" w:rsidP="00441B6F">
      <w:pPr>
        <w:pStyle w:val="ConcHead"/>
        <w:spacing w:after="0"/>
        <w:jc w:val="both"/>
        <w:rPr>
          <w:rFonts w:ascii="Arial" w:hAnsi="Arial" w:cs="Arial"/>
          <w:lang w:val="en-ID"/>
        </w:rPr>
      </w:pPr>
    </w:p>
    <w:p w14:paraId="517C01F2" w14:textId="48F38A78" w:rsidR="00C901D9" w:rsidRDefault="00906496" w:rsidP="00441B6F">
      <w:pPr>
        <w:pStyle w:val="Body"/>
        <w:spacing w:after="0"/>
        <w:rPr>
          <w:rFonts w:ascii="Arial" w:hAnsi="Arial" w:cs="Arial"/>
        </w:rPr>
      </w:pPr>
      <w:r w:rsidRPr="00906496">
        <w:rPr>
          <w:rFonts w:ascii="Arial" w:hAnsi="Arial" w:cs="Arial"/>
        </w:rPr>
        <w:t xml:space="preserve">The combination of MS medium supplemented with 60 g/L sucrose produced the highest number of leaves and roots. MS medium resulted in the highest mean values for the variables of germination time, germination percentage, plant height, number of shoots, root length, and bulb diameter. However, the compound fertilizer (NPK) medium at a concentration of 2 g/L was only able to match MS medium in terms of germination percentage and germination time. Therefore, MS medium supplemented with 60 g/L sucrose was identified as the best combination to support growth and </w:t>
      </w:r>
      <w:proofErr w:type="spellStart"/>
      <w:r w:rsidRPr="00906496">
        <w:rPr>
          <w:rFonts w:ascii="Arial" w:hAnsi="Arial" w:cs="Arial"/>
        </w:rPr>
        <w:t>microbulb</w:t>
      </w:r>
      <w:proofErr w:type="spellEnd"/>
      <w:r w:rsidRPr="00906496">
        <w:rPr>
          <w:rFonts w:ascii="Arial" w:hAnsi="Arial" w:cs="Arial"/>
        </w:rPr>
        <w:t xml:space="preserve"> formation of shallots derived from True Shallot Seed (TSS) under in vitro conditions.</w:t>
      </w:r>
    </w:p>
    <w:p w14:paraId="20C21724" w14:textId="77777777" w:rsidR="00906496" w:rsidRPr="00906496" w:rsidRDefault="00906496" w:rsidP="00441B6F">
      <w:pPr>
        <w:pStyle w:val="Body"/>
        <w:spacing w:after="0"/>
        <w:rPr>
          <w:rFonts w:ascii="Arial" w:hAnsi="Arial" w:cs="Arial"/>
          <w:lang w:val="en-ID"/>
        </w:rPr>
      </w:pPr>
    </w:p>
    <w:p w14:paraId="00393D0D" w14:textId="2D661F6D" w:rsidR="00790ADA" w:rsidRDefault="00906496" w:rsidP="00441B6F">
      <w:pPr>
        <w:pStyle w:val="AcknHead"/>
        <w:spacing w:after="0"/>
        <w:jc w:val="both"/>
        <w:rPr>
          <w:rFonts w:ascii="Arial" w:hAnsi="Arial" w:cs="Arial"/>
        </w:rPr>
      </w:pPr>
      <w:r w:rsidRPr="00906496">
        <w:rPr>
          <w:rFonts w:ascii="Arial" w:hAnsi="Arial" w:cs="Arial"/>
        </w:rPr>
        <w:t>DISCLAIMER (ARTIFICIAL INTELLIGENCE)</w:t>
      </w:r>
    </w:p>
    <w:p w14:paraId="5AA527A8" w14:textId="77777777" w:rsidR="00906496" w:rsidRPr="0003233C" w:rsidRDefault="00906496" w:rsidP="00441B6F">
      <w:pPr>
        <w:pStyle w:val="AcknHead"/>
        <w:spacing w:after="0"/>
        <w:jc w:val="both"/>
        <w:rPr>
          <w:rFonts w:ascii="Arial" w:hAnsi="Arial" w:cs="Arial"/>
          <w:lang w:val="en-ID"/>
        </w:rPr>
      </w:pPr>
    </w:p>
    <w:p w14:paraId="4510B01E" w14:textId="298B274C" w:rsidR="00860000" w:rsidRPr="00906496" w:rsidRDefault="00906496" w:rsidP="00E113DE">
      <w:pPr>
        <w:pStyle w:val="Body"/>
        <w:spacing w:after="0"/>
        <w:rPr>
          <w:rFonts w:ascii="Arial" w:hAnsi="Arial" w:cs="Arial"/>
          <w:lang w:val="en-ID"/>
        </w:rPr>
      </w:pPr>
      <w:r w:rsidRPr="00906496">
        <w:rPr>
          <w:rFonts w:ascii="Arial" w:hAnsi="Arial" w:cs="Arial"/>
        </w:rPr>
        <w:t xml:space="preserve">The authors hereby declare that </w:t>
      </w:r>
      <w:proofErr w:type="spellStart"/>
      <w:r w:rsidRPr="00906496">
        <w:rPr>
          <w:rFonts w:ascii="Arial" w:hAnsi="Arial" w:cs="Arial"/>
        </w:rPr>
        <w:t>ChatGPT</w:t>
      </w:r>
      <w:proofErr w:type="spellEnd"/>
      <w:r w:rsidRPr="00906496">
        <w:rPr>
          <w:rFonts w:ascii="Arial" w:hAnsi="Arial" w:cs="Arial"/>
        </w:rPr>
        <w:t xml:space="preserve"> (</w:t>
      </w:r>
      <w:proofErr w:type="spellStart"/>
      <w:r w:rsidRPr="00906496">
        <w:rPr>
          <w:rFonts w:ascii="Arial" w:hAnsi="Arial" w:cs="Arial"/>
        </w:rPr>
        <w:t>OpenAI</w:t>
      </w:r>
      <w:proofErr w:type="spellEnd"/>
      <w:r w:rsidRPr="00906496">
        <w:rPr>
          <w:rFonts w:ascii="Arial" w:hAnsi="Arial" w:cs="Arial"/>
        </w:rPr>
        <w:t>) was used solely to assist with language editing, sentence structure improvement, and translation to enhance the clarity and readability of the manuscript. All scientific content, data analysis, interpretation of results, and final conclusions were thoroughly reviewed, verified, and fully approved by the authors. The use of artificial intelligence did not affect the scientific integrity or originality of this work.</w:t>
      </w:r>
    </w:p>
    <w:p w14:paraId="2C41575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5FF8A0" w14:textId="77777777" w:rsidR="00284C4C" w:rsidRPr="00284C4C" w:rsidRDefault="00284C4C" w:rsidP="00441B6F">
      <w:pPr>
        <w:pStyle w:val="Body"/>
        <w:spacing w:after="0"/>
        <w:rPr>
          <w:rFonts w:ascii="Arial" w:hAnsi="Arial" w:cs="Arial"/>
          <w:i/>
          <w:u w:val="single"/>
        </w:rPr>
      </w:pPr>
    </w:p>
    <w:p w14:paraId="4E5B0CEF"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lastRenderedPageBreak/>
        <w:t>Apriliani</w:t>
      </w:r>
      <w:proofErr w:type="spellEnd"/>
      <w:r w:rsidRPr="0066797A">
        <w:rPr>
          <w:rFonts w:ascii="Arial" w:hAnsi="Arial" w:cs="Arial"/>
        </w:rPr>
        <w:t xml:space="preserve">, E., </w:t>
      </w:r>
      <w:proofErr w:type="spellStart"/>
      <w:r w:rsidRPr="0066797A">
        <w:rPr>
          <w:rFonts w:ascii="Arial" w:hAnsi="Arial" w:cs="Arial"/>
        </w:rPr>
        <w:t>Widyajayantie</w:t>
      </w:r>
      <w:proofErr w:type="spellEnd"/>
      <w:r w:rsidRPr="0066797A">
        <w:rPr>
          <w:rFonts w:ascii="Arial" w:hAnsi="Arial" w:cs="Arial"/>
        </w:rPr>
        <w:t xml:space="preserve">, D., </w:t>
      </w:r>
      <w:proofErr w:type="spellStart"/>
      <w:r w:rsidRPr="0066797A">
        <w:rPr>
          <w:rFonts w:ascii="Arial" w:hAnsi="Arial" w:cs="Arial"/>
        </w:rPr>
        <w:t>Hidayah</w:t>
      </w:r>
      <w:proofErr w:type="spellEnd"/>
      <w:r w:rsidRPr="0066797A">
        <w:rPr>
          <w:rFonts w:ascii="Arial" w:hAnsi="Arial" w:cs="Arial"/>
        </w:rPr>
        <w:t xml:space="preserve">, U. F., &amp; </w:t>
      </w:r>
      <w:proofErr w:type="spellStart"/>
      <w:r w:rsidRPr="0066797A">
        <w:rPr>
          <w:rFonts w:ascii="Arial" w:hAnsi="Arial" w:cs="Arial"/>
        </w:rPr>
        <w:t>Yudha</w:t>
      </w:r>
      <w:proofErr w:type="spellEnd"/>
      <w:r w:rsidRPr="0066797A">
        <w:rPr>
          <w:rFonts w:ascii="Arial" w:hAnsi="Arial" w:cs="Arial"/>
        </w:rPr>
        <w:t>, Y. S. (2023). In vitro Propagation of Chrysanthemum Plants under Photoautotrophic Conditions. Agriculture and Biological Technology, 1(1), 1-9. https://doi.org/10.61761/agiotech.1.1.1-9</w:t>
      </w:r>
    </w:p>
    <w:p w14:paraId="160C0A6A"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Aryanta</w:t>
      </w:r>
      <w:proofErr w:type="spellEnd"/>
      <w:r w:rsidRPr="0066797A">
        <w:rPr>
          <w:rFonts w:ascii="Arial" w:hAnsi="Arial" w:cs="Arial"/>
        </w:rPr>
        <w:t xml:space="preserve">, I. W. R. 2019. Shallots and Their Health Benefits. </w:t>
      </w:r>
      <w:proofErr w:type="spellStart"/>
      <w:r w:rsidRPr="0066797A">
        <w:rPr>
          <w:rFonts w:ascii="Arial" w:hAnsi="Arial" w:cs="Arial"/>
        </w:rPr>
        <w:t>Widya</w:t>
      </w:r>
      <w:proofErr w:type="spellEnd"/>
      <w:r w:rsidRPr="0066797A">
        <w:rPr>
          <w:rFonts w:ascii="Arial" w:hAnsi="Arial" w:cs="Arial"/>
        </w:rPr>
        <w:t xml:space="preserve"> </w:t>
      </w:r>
      <w:proofErr w:type="spellStart"/>
      <w:r w:rsidRPr="0066797A">
        <w:rPr>
          <w:rFonts w:ascii="Arial" w:hAnsi="Arial" w:cs="Arial"/>
        </w:rPr>
        <w:t>Kesehatan</w:t>
      </w:r>
      <w:proofErr w:type="spellEnd"/>
      <w:r w:rsidRPr="0066797A">
        <w:rPr>
          <w:rFonts w:ascii="Arial" w:hAnsi="Arial" w:cs="Arial"/>
        </w:rPr>
        <w:t>, 1(1), 29-35. https://doi.org/10.32795/widyakesehatan.v1i1.280</w:t>
      </w:r>
    </w:p>
    <w:p w14:paraId="66F832F6"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Asharo</w:t>
      </w:r>
      <w:proofErr w:type="spellEnd"/>
      <w:r w:rsidRPr="0066797A">
        <w:rPr>
          <w:rFonts w:ascii="Arial" w:hAnsi="Arial" w:cs="Arial"/>
        </w:rPr>
        <w:t xml:space="preserve">, R. K., </w:t>
      </w:r>
      <w:proofErr w:type="spellStart"/>
      <w:r w:rsidRPr="0066797A">
        <w:rPr>
          <w:rFonts w:ascii="Arial" w:hAnsi="Arial" w:cs="Arial"/>
        </w:rPr>
        <w:t>Indrayanti</w:t>
      </w:r>
      <w:proofErr w:type="spellEnd"/>
      <w:r w:rsidRPr="0066797A">
        <w:rPr>
          <w:rFonts w:ascii="Arial" w:hAnsi="Arial" w:cs="Arial"/>
        </w:rPr>
        <w:t xml:space="preserve">, R., Nathania, N., </w:t>
      </w:r>
      <w:proofErr w:type="spellStart"/>
      <w:r w:rsidRPr="0066797A">
        <w:rPr>
          <w:rFonts w:ascii="Arial" w:hAnsi="Arial" w:cs="Arial"/>
        </w:rPr>
        <w:t>Setyaningsih</w:t>
      </w:r>
      <w:proofErr w:type="spellEnd"/>
      <w:r w:rsidRPr="0066797A">
        <w:rPr>
          <w:rFonts w:ascii="Arial" w:hAnsi="Arial" w:cs="Arial"/>
        </w:rPr>
        <w:t xml:space="preserve">, F., </w:t>
      </w:r>
      <w:proofErr w:type="spellStart"/>
      <w:r w:rsidRPr="0066797A">
        <w:rPr>
          <w:rFonts w:ascii="Arial" w:hAnsi="Arial" w:cs="Arial"/>
        </w:rPr>
        <w:t>Sholichah</w:t>
      </w:r>
      <w:proofErr w:type="spellEnd"/>
      <w:r w:rsidRPr="0066797A">
        <w:rPr>
          <w:rFonts w:ascii="Arial" w:hAnsi="Arial" w:cs="Arial"/>
        </w:rPr>
        <w:t xml:space="preserve">, B. A. M. A., </w:t>
      </w:r>
      <w:proofErr w:type="spellStart"/>
      <w:r w:rsidRPr="0066797A">
        <w:rPr>
          <w:rFonts w:ascii="Arial" w:hAnsi="Arial" w:cs="Arial"/>
        </w:rPr>
        <w:t>Nasikah</w:t>
      </w:r>
      <w:proofErr w:type="spellEnd"/>
      <w:r w:rsidRPr="0066797A">
        <w:rPr>
          <w:rFonts w:ascii="Arial" w:hAnsi="Arial" w:cs="Arial"/>
        </w:rPr>
        <w:t>, A., &amp; Karina, K. (2024). Effect of growing media types with the addition of PGR and mung bean sprouts extract on potato (Solanum tuberosum L.) cv. Granola In vitro multiplication. In BIO Web of Conferences (Vol. 117, p. 01003). EDP Sciences. https://doi.org/10.1051/bioconf/202411701003</w:t>
      </w:r>
    </w:p>
    <w:p w14:paraId="5AC7F8E2"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Atman, A. (2021). Shallot Cultivation Technology from True Shallot Seed. </w:t>
      </w:r>
      <w:proofErr w:type="spellStart"/>
      <w:r w:rsidRPr="0066797A">
        <w:rPr>
          <w:rFonts w:ascii="Arial" w:hAnsi="Arial" w:cs="Arial"/>
        </w:rPr>
        <w:t>Sains</w:t>
      </w:r>
      <w:proofErr w:type="spellEnd"/>
      <w:r w:rsidRPr="0066797A">
        <w:rPr>
          <w:rFonts w:ascii="Arial" w:hAnsi="Arial" w:cs="Arial"/>
        </w:rPr>
        <w:t xml:space="preserve"> </w:t>
      </w:r>
      <w:proofErr w:type="spellStart"/>
      <w:r w:rsidRPr="0066797A">
        <w:rPr>
          <w:rFonts w:ascii="Arial" w:hAnsi="Arial" w:cs="Arial"/>
        </w:rPr>
        <w:t>Agro</w:t>
      </w:r>
      <w:proofErr w:type="spellEnd"/>
      <w:r w:rsidRPr="0066797A">
        <w:rPr>
          <w:rFonts w:ascii="Arial" w:hAnsi="Arial" w:cs="Arial"/>
        </w:rPr>
        <w:t>, 6(1), 11–21. https://doi.org/10.36355/jsa.v6i1.497</w:t>
      </w:r>
    </w:p>
    <w:p w14:paraId="44A3D70F" w14:textId="77777777" w:rsidR="0066797A" w:rsidRPr="0066797A" w:rsidRDefault="0066797A" w:rsidP="0066797A">
      <w:pPr>
        <w:pStyle w:val="Body"/>
        <w:ind w:left="720" w:hanging="720"/>
        <w:rPr>
          <w:rFonts w:ascii="Arial" w:hAnsi="Arial" w:cs="Arial"/>
        </w:rPr>
      </w:pPr>
      <w:r w:rsidRPr="0066797A">
        <w:rPr>
          <w:rFonts w:ascii="Arial" w:hAnsi="Arial" w:cs="Arial"/>
        </w:rPr>
        <w:t>Central Statistics Agency. (2024). Production of Vegetable Crops by Province and Type of Plant. https://www.bps.go.id</w:t>
      </w:r>
    </w:p>
    <w:p w14:paraId="5C7E35EF"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Basri</w:t>
      </w:r>
      <w:proofErr w:type="spellEnd"/>
      <w:r w:rsidRPr="0066797A">
        <w:rPr>
          <w:rFonts w:ascii="Arial" w:hAnsi="Arial" w:cs="Arial"/>
        </w:rPr>
        <w:t xml:space="preserve">, A. H. H. (2016). Study on the utilization of tissue culture in the propagation of virus-free plants. </w:t>
      </w:r>
      <w:proofErr w:type="spellStart"/>
      <w:r w:rsidRPr="0066797A">
        <w:rPr>
          <w:rFonts w:ascii="Arial" w:hAnsi="Arial" w:cs="Arial"/>
        </w:rPr>
        <w:t>Agrica</w:t>
      </w:r>
      <w:proofErr w:type="spellEnd"/>
      <w:r w:rsidRPr="0066797A">
        <w:rPr>
          <w:rFonts w:ascii="Arial" w:hAnsi="Arial" w:cs="Arial"/>
        </w:rPr>
        <w:t xml:space="preserve"> </w:t>
      </w:r>
      <w:proofErr w:type="spellStart"/>
      <w:r w:rsidRPr="0066797A">
        <w:rPr>
          <w:rFonts w:ascii="Arial" w:hAnsi="Arial" w:cs="Arial"/>
        </w:rPr>
        <w:t>Ekstensia</w:t>
      </w:r>
      <w:proofErr w:type="spellEnd"/>
      <w:r w:rsidRPr="0066797A">
        <w:rPr>
          <w:rFonts w:ascii="Arial" w:hAnsi="Arial" w:cs="Arial"/>
        </w:rPr>
        <w:t>, 10(6), 64–73. https://ojs.umb-bungo.ac.id/index.php/saingro/article/view/497</w:t>
      </w:r>
    </w:p>
    <w:p w14:paraId="70E809B5"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Budiyanti</w:t>
      </w:r>
      <w:proofErr w:type="spellEnd"/>
      <w:r w:rsidRPr="0066797A">
        <w:rPr>
          <w:rFonts w:ascii="Arial" w:hAnsi="Arial" w:cs="Arial"/>
        </w:rPr>
        <w:t xml:space="preserve">, H. K. L., </w:t>
      </w:r>
      <w:proofErr w:type="spellStart"/>
      <w:r w:rsidRPr="0066797A">
        <w:rPr>
          <w:rFonts w:ascii="Arial" w:hAnsi="Arial" w:cs="Arial"/>
        </w:rPr>
        <w:t>Kendarini</w:t>
      </w:r>
      <w:proofErr w:type="spellEnd"/>
      <w:r w:rsidRPr="0066797A">
        <w:rPr>
          <w:rFonts w:ascii="Arial" w:hAnsi="Arial" w:cs="Arial"/>
        </w:rPr>
        <w:t xml:space="preserve">, N., &amp; </w:t>
      </w:r>
      <w:proofErr w:type="spellStart"/>
      <w:r w:rsidRPr="0066797A">
        <w:rPr>
          <w:rFonts w:ascii="Arial" w:hAnsi="Arial" w:cs="Arial"/>
        </w:rPr>
        <w:t>Soetopo</w:t>
      </w:r>
      <w:proofErr w:type="spellEnd"/>
      <w:r w:rsidRPr="0066797A">
        <w:rPr>
          <w:rFonts w:ascii="Arial" w:hAnsi="Arial" w:cs="Arial"/>
        </w:rPr>
        <w:t>, L. (2016). The effect of compound fertilizer on the growth of Chrysanthemum (</w:t>
      </w:r>
      <w:proofErr w:type="spellStart"/>
      <w:r w:rsidRPr="0066797A">
        <w:rPr>
          <w:rFonts w:ascii="Arial" w:hAnsi="Arial" w:cs="Arial"/>
        </w:rPr>
        <w:t>Dendranthema</w:t>
      </w:r>
      <w:proofErr w:type="spellEnd"/>
      <w:r w:rsidRPr="0066797A">
        <w:rPr>
          <w:rFonts w:ascii="Arial" w:hAnsi="Arial" w:cs="Arial"/>
        </w:rPr>
        <w:t xml:space="preserve"> Grandiflora </w:t>
      </w:r>
      <w:proofErr w:type="spellStart"/>
      <w:r w:rsidRPr="0066797A">
        <w:rPr>
          <w:rFonts w:ascii="Arial" w:hAnsi="Arial" w:cs="Arial"/>
        </w:rPr>
        <w:t>Tzvelev</w:t>
      </w:r>
      <w:proofErr w:type="spellEnd"/>
      <w:r w:rsidRPr="0066797A">
        <w:rPr>
          <w:rFonts w:ascii="Arial" w:hAnsi="Arial" w:cs="Arial"/>
        </w:rPr>
        <w:t xml:space="preserve">) plants in vitro (Doctoral dissertation, </w:t>
      </w:r>
      <w:proofErr w:type="spellStart"/>
      <w:r w:rsidRPr="0066797A">
        <w:rPr>
          <w:rFonts w:ascii="Arial" w:hAnsi="Arial" w:cs="Arial"/>
        </w:rPr>
        <w:t>Brawijaya</w:t>
      </w:r>
      <w:proofErr w:type="spellEnd"/>
      <w:r w:rsidRPr="0066797A">
        <w:rPr>
          <w:rFonts w:ascii="Arial" w:hAnsi="Arial" w:cs="Arial"/>
        </w:rPr>
        <w:t xml:space="preserve"> University). https://doi.org/10.21176/protan.v4i5.303</w:t>
      </w:r>
    </w:p>
    <w:p w14:paraId="10C95693"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Cahyani</w:t>
      </w:r>
      <w:proofErr w:type="spellEnd"/>
      <w:r w:rsidRPr="0066797A">
        <w:rPr>
          <w:rFonts w:ascii="Arial" w:hAnsi="Arial" w:cs="Arial"/>
        </w:rPr>
        <w:t xml:space="preserve">, S.K (2021). Induction of Roselle (Hibiscus sabdariffa L.) Callus with the Addition of 2,4 D Benzyl Amino Purine (BAP) In Vitro. (Undergraduate Thesis, </w:t>
      </w:r>
      <w:proofErr w:type="spellStart"/>
      <w:r w:rsidRPr="0066797A">
        <w:rPr>
          <w:rFonts w:ascii="Arial" w:hAnsi="Arial" w:cs="Arial"/>
        </w:rPr>
        <w:t>Agroecotechnology</w:t>
      </w:r>
      <w:proofErr w:type="spellEnd"/>
      <w:r w:rsidRPr="0066797A">
        <w:rPr>
          <w:rFonts w:ascii="Arial" w:hAnsi="Arial" w:cs="Arial"/>
        </w:rPr>
        <w:t xml:space="preserve"> Study Program, Department of Agricultural Cultivation, Faculty of Agriculture, Bengkulu University, Bengkulu).</w:t>
      </w:r>
    </w:p>
    <w:p w14:paraId="170AF596"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Dos Reis, C. A., &amp; </w:t>
      </w:r>
      <w:proofErr w:type="spellStart"/>
      <w:r w:rsidRPr="0066797A">
        <w:rPr>
          <w:rFonts w:ascii="Arial" w:hAnsi="Arial" w:cs="Arial"/>
        </w:rPr>
        <w:t>Antô</w:t>
      </w:r>
      <w:proofErr w:type="spellEnd"/>
      <w:r w:rsidRPr="0066797A">
        <w:rPr>
          <w:rFonts w:ascii="Arial" w:hAnsi="Arial" w:cs="Arial"/>
        </w:rPr>
        <w:t xml:space="preserve">, R.A (2025). </w:t>
      </w:r>
      <w:proofErr w:type="spellStart"/>
      <w:r w:rsidRPr="0066797A">
        <w:rPr>
          <w:rFonts w:ascii="Arial" w:hAnsi="Arial" w:cs="Arial"/>
        </w:rPr>
        <w:t>Clivia</w:t>
      </w:r>
      <w:proofErr w:type="spellEnd"/>
      <w:r w:rsidRPr="0066797A">
        <w:rPr>
          <w:rFonts w:ascii="Arial" w:hAnsi="Arial" w:cs="Arial"/>
        </w:rPr>
        <w:t xml:space="preserve"> </w:t>
      </w:r>
      <w:proofErr w:type="spellStart"/>
      <w:r w:rsidRPr="0066797A">
        <w:rPr>
          <w:rFonts w:ascii="Arial" w:hAnsi="Arial" w:cs="Arial"/>
        </w:rPr>
        <w:t>miniata</w:t>
      </w:r>
      <w:proofErr w:type="spellEnd"/>
      <w:r w:rsidRPr="0066797A">
        <w:rPr>
          <w:rFonts w:ascii="Arial" w:hAnsi="Arial" w:cs="Arial"/>
        </w:rPr>
        <w:t xml:space="preserve"> Seedlings Germinated in Vitro under Different Sucrose Concentrations and Used as Explants for Callus Induction. Advances in Bioscience and Biotechnology, 16(6), 244-259. https://doi.org/10.4236/abb.2025.166016</w:t>
      </w:r>
    </w:p>
    <w:p w14:paraId="1A7C271A"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Hapsari</w:t>
      </w:r>
      <w:proofErr w:type="spellEnd"/>
      <w:r w:rsidRPr="0066797A">
        <w:rPr>
          <w:rFonts w:ascii="Arial" w:hAnsi="Arial" w:cs="Arial"/>
        </w:rPr>
        <w:t xml:space="preserve">, L. W., &amp; </w:t>
      </w:r>
      <w:proofErr w:type="spellStart"/>
      <w:r w:rsidRPr="0066797A">
        <w:rPr>
          <w:rFonts w:ascii="Arial" w:hAnsi="Arial" w:cs="Arial"/>
        </w:rPr>
        <w:t>Saptadi</w:t>
      </w:r>
      <w:proofErr w:type="spellEnd"/>
      <w:r w:rsidRPr="0066797A">
        <w:rPr>
          <w:rFonts w:ascii="Arial" w:hAnsi="Arial" w:cs="Arial"/>
        </w:rPr>
        <w:t xml:space="preserve">, D. (2018). Response of several garlic varieties in growth and potential for </w:t>
      </w:r>
      <w:proofErr w:type="spellStart"/>
      <w:r w:rsidRPr="0066797A">
        <w:rPr>
          <w:rFonts w:ascii="Arial" w:hAnsi="Arial" w:cs="Arial"/>
        </w:rPr>
        <w:t>microtuber</w:t>
      </w:r>
      <w:proofErr w:type="spellEnd"/>
      <w:r w:rsidRPr="0066797A">
        <w:rPr>
          <w:rFonts w:ascii="Arial" w:hAnsi="Arial" w:cs="Arial"/>
        </w:rPr>
        <w:t xml:space="preserve"> formation to various sucrose concentrations. Journal of Plant Production, </w:t>
      </w:r>
      <w:proofErr w:type="spellStart"/>
      <w:r w:rsidRPr="0066797A">
        <w:rPr>
          <w:rFonts w:ascii="Arial" w:hAnsi="Arial" w:cs="Arial"/>
        </w:rPr>
        <w:t>Brawijaya</w:t>
      </w:r>
      <w:proofErr w:type="spellEnd"/>
      <w:r w:rsidRPr="0066797A">
        <w:rPr>
          <w:rFonts w:ascii="Arial" w:hAnsi="Arial" w:cs="Arial"/>
        </w:rPr>
        <w:t xml:space="preserve"> University, 6(9). https://protan.studentjournal.ub.ac.id/index.php/protan/article/view/893</w:t>
      </w:r>
    </w:p>
    <w:p w14:paraId="27F4DF59"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Hapsoro</w:t>
      </w:r>
      <w:proofErr w:type="spellEnd"/>
      <w:r w:rsidRPr="0066797A">
        <w:rPr>
          <w:rFonts w:ascii="Arial" w:hAnsi="Arial" w:cs="Arial"/>
        </w:rPr>
        <w:t xml:space="preserve">, D., </w:t>
      </w:r>
      <w:proofErr w:type="spellStart"/>
      <w:r w:rsidRPr="0066797A">
        <w:rPr>
          <w:rFonts w:ascii="Arial" w:hAnsi="Arial" w:cs="Arial"/>
        </w:rPr>
        <w:t>Septiana</w:t>
      </w:r>
      <w:proofErr w:type="spellEnd"/>
      <w:r w:rsidRPr="0066797A">
        <w:rPr>
          <w:rFonts w:ascii="Arial" w:hAnsi="Arial" w:cs="Arial"/>
        </w:rPr>
        <w:t xml:space="preserve">, V. A., </w:t>
      </w:r>
      <w:proofErr w:type="spellStart"/>
      <w:r w:rsidRPr="0066797A">
        <w:rPr>
          <w:rFonts w:ascii="Arial" w:hAnsi="Arial" w:cs="Arial"/>
        </w:rPr>
        <w:t>Ramadiana</w:t>
      </w:r>
      <w:proofErr w:type="spellEnd"/>
      <w:r w:rsidRPr="0066797A">
        <w:rPr>
          <w:rFonts w:ascii="Arial" w:hAnsi="Arial" w:cs="Arial"/>
        </w:rPr>
        <w:t xml:space="preserve">, S., &amp; </w:t>
      </w:r>
      <w:proofErr w:type="spellStart"/>
      <w:r w:rsidRPr="0066797A">
        <w:rPr>
          <w:rFonts w:ascii="Arial" w:hAnsi="Arial" w:cs="Arial"/>
        </w:rPr>
        <w:t>Yusnita</w:t>
      </w:r>
      <w:proofErr w:type="spellEnd"/>
      <w:r w:rsidRPr="0066797A">
        <w:rPr>
          <w:rFonts w:ascii="Arial" w:hAnsi="Arial" w:cs="Arial"/>
        </w:rPr>
        <w:t>, Y. (2018). A medium containing commercial foliar fertilizer and some organic additives could substitute MS medium for in vitro growth of Dendrobium hybrid seedlings, 13(1), 11-22. http://repository.lppm.unila.ac.id/id/eprint/9966</w:t>
      </w:r>
    </w:p>
    <w:p w14:paraId="7829171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Hardianti</w:t>
      </w:r>
      <w:proofErr w:type="spellEnd"/>
      <w:r w:rsidRPr="0066797A">
        <w:rPr>
          <w:rFonts w:ascii="Arial" w:hAnsi="Arial" w:cs="Arial"/>
        </w:rPr>
        <w:t xml:space="preserve">, O., &amp; </w:t>
      </w:r>
      <w:proofErr w:type="spellStart"/>
      <w:r w:rsidRPr="0066797A">
        <w:rPr>
          <w:rFonts w:ascii="Arial" w:hAnsi="Arial" w:cs="Arial"/>
        </w:rPr>
        <w:t>Soetopo</w:t>
      </w:r>
      <w:proofErr w:type="spellEnd"/>
      <w:r w:rsidRPr="0066797A">
        <w:rPr>
          <w:rFonts w:ascii="Arial" w:hAnsi="Arial" w:cs="Arial"/>
        </w:rPr>
        <w:t>, L. (2019). The effect of foliar fertilizer concentration on Dendrobium and Cattleya orchid media in vitro. Journal of Plant Production, 7(5), 881-888. https://repository.ub.ac.id/id/eprint/12644/1/OKTARINA%20HARDIANTI.pdf</w:t>
      </w:r>
    </w:p>
    <w:p w14:paraId="5B670127" w14:textId="77777777" w:rsidR="0066797A" w:rsidRPr="0066797A" w:rsidRDefault="0066797A" w:rsidP="0066797A">
      <w:pPr>
        <w:pStyle w:val="Body"/>
        <w:ind w:left="720" w:hanging="720"/>
        <w:rPr>
          <w:rFonts w:ascii="Arial" w:hAnsi="Arial" w:cs="Arial"/>
        </w:rPr>
      </w:pPr>
      <w:r w:rsidRPr="0066797A">
        <w:rPr>
          <w:rFonts w:ascii="Arial" w:hAnsi="Arial" w:cs="Arial"/>
        </w:rPr>
        <w:lastRenderedPageBreak/>
        <w:t xml:space="preserve">Haryanto, B., </w:t>
      </w:r>
      <w:proofErr w:type="spellStart"/>
      <w:r w:rsidRPr="0066797A">
        <w:rPr>
          <w:rFonts w:ascii="Arial" w:hAnsi="Arial" w:cs="Arial"/>
        </w:rPr>
        <w:t>Basri</w:t>
      </w:r>
      <w:proofErr w:type="spellEnd"/>
      <w:r w:rsidRPr="0066797A">
        <w:rPr>
          <w:rFonts w:ascii="Arial" w:hAnsi="Arial" w:cs="Arial"/>
        </w:rPr>
        <w:t xml:space="preserve">, Z., &amp; Kasim, K. (2022). Growth of shallots (Allium </w:t>
      </w:r>
      <w:proofErr w:type="spellStart"/>
      <w:r w:rsidRPr="0066797A">
        <w:rPr>
          <w:rFonts w:ascii="Arial" w:hAnsi="Arial" w:cs="Arial"/>
        </w:rPr>
        <w:t>ascalonicum</w:t>
      </w:r>
      <w:proofErr w:type="spellEnd"/>
      <w:r w:rsidRPr="0066797A">
        <w:rPr>
          <w:rFonts w:ascii="Arial" w:hAnsi="Arial" w:cs="Arial"/>
        </w:rPr>
        <w:t xml:space="preserve"> L.) from seeds at various sucrose concentrations and </w:t>
      </w:r>
      <w:proofErr w:type="spellStart"/>
      <w:r w:rsidRPr="0066797A">
        <w:rPr>
          <w:rFonts w:ascii="Arial" w:hAnsi="Arial" w:cs="Arial"/>
        </w:rPr>
        <w:t>Murashige</w:t>
      </w:r>
      <w:proofErr w:type="spellEnd"/>
      <w:r w:rsidRPr="0066797A">
        <w:rPr>
          <w:rFonts w:ascii="Arial" w:hAnsi="Arial" w:cs="Arial"/>
        </w:rPr>
        <w:t xml:space="preserve"> and Skoog media concentrations. E-Journal </w:t>
      </w:r>
      <w:proofErr w:type="spellStart"/>
      <w:r w:rsidRPr="0066797A">
        <w:rPr>
          <w:rFonts w:ascii="Arial" w:hAnsi="Arial" w:cs="Arial"/>
        </w:rPr>
        <w:t>Agrotekbis</w:t>
      </w:r>
      <w:proofErr w:type="spellEnd"/>
      <w:r w:rsidRPr="0066797A">
        <w:rPr>
          <w:rFonts w:ascii="Arial" w:hAnsi="Arial" w:cs="Arial"/>
        </w:rPr>
        <w:t>, 10(6), 1093–1104. http://jurnal.faperta.untad.ac.id/index.php/agrotekbis/article/view/1567</w:t>
      </w:r>
    </w:p>
    <w:p w14:paraId="19A4198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Heriansyah</w:t>
      </w:r>
      <w:proofErr w:type="spellEnd"/>
      <w:r w:rsidRPr="0066797A">
        <w:rPr>
          <w:rFonts w:ascii="Arial" w:hAnsi="Arial" w:cs="Arial"/>
        </w:rPr>
        <w:t>, P. (2019). Somatic embryo multiplication of orchid plants (Dendrobium sp.) with the application of kinetin and sucrose in vitro. Scientific Journal of Agriculture, 15(2): 67–78. https://doi.org/10.31849/jip.v15i2.1974</w:t>
      </w:r>
    </w:p>
    <w:p w14:paraId="4772FF4B"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Huh, Y. S., Lee, J. K., Nam, S. Y., Hong, E. Y., </w:t>
      </w:r>
      <w:proofErr w:type="spellStart"/>
      <w:r w:rsidRPr="0066797A">
        <w:rPr>
          <w:rFonts w:ascii="Arial" w:hAnsi="Arial" w:cs="Arial"/>
        </w:rPr>
        <w:t>Paek</w:t>
      </w:r>
      <w:proofErr w:type="spellEnd"/>
      <w:r w:rsidRPr="0066797A">
        <w:rPr>
          <w:rFonts w:ascii="Arial" w:hAnsi="Arial" w:cs="Arial"/>
        </w:rPr>
        <w:t xml:space="preserve">, K. Y., &amp; Son, S. W. (2016). Effects of altering medium strength and sucrose concentration on in vitro germination and seedling growth of Cypripedium </w:t>
      </w:r>
      <w:proofErr w:type="spellStart"/>
      <w:r w:rsidRPr="0066797A">
        <w:rPr>
          <w:rFonts w:ascii="Arial" w:hAnsi="Arial" w:cs="Arial"/>
        </w:rPr>
        <w:t>macranthos</w:t>
      </w:r>
      <w:proofErr w:type="spellEnd"/>
      <w:r w:rsidRPr="0066797A">
        <w:rPr>
          <w:rFonts w:ascii="Arial" w:hAnsi="Arial" w:cs="Arial"/>
        </w:rPr>
        <w:t xml:space="preserve"> Sw. Journal of Plant Biotechnology, 43(1), 132-137. https://doi.org/10.5010/JPB.2016.43.1.132</w:t>
      </w:r>
    </w:p>
    <w:p w14:paraId="21B8B824"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Indriani</w:t>
      </w:r>
      <w:proofErr w:type="spellEnd"/>
      <w:r w:rsidRPr="0066797A">
        <w:rPr>
          <w:rFonts w:ascii="Arial" w:hAnsi="Arial" w:cs="Arial"/>
        </w:rPr>
        <w:t xml:space="preserve">, E., </w:t>
      </w:r>
      <w:proofErr w:type="spellStart"/>
      <w:r w:rsidRPr="0066797A">
        <w:rPr>
          <w:rFonts w:ascii="Arial" w:hAnsi="Arial" w:cs="Arial"/>
        </w:rPr>
        <w:t>Tini</w:t>
      </w:r>
      <w:proofErr w:type="spellEnd"/>
      <w:r w:rsidRPr="0066797A">
        <w:rPr>
          <w:rFonts w:ascii="Arial" w:hAnsi="Arial" w:cs="Arial"/>
        </w:rPr>
        <w:t xml:space="preserve">, E. W., &amp; </w:t>
      </w:r>
      <w:proofErr w:type="spellStart"/>
      <w:r w:rsidRPr="0066797A">
        <w:rPr>
          <w:rFonts w:ascii="Arial" w:hAnsi="Arial" w:cs="Arial"/>
        </w:rPr>
        <w:t>Djatmiko</w:t>
      </w:r>
      <w:proofErr w:type="spellEnd"/>
      <w:r w:rsidRPr="0066797A">
        <w:rPr>
          <w:rFonts w:ascii="Arial" w:hAnsi="Arial" w:cs="Arial"/>
        </w:rPr>
        <w:t xml:space="preserve">, H. A. (2019). Acclimatization of Phalaenopsis orchid plants using different types of growing media and foliar fertilizer concentrations.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Agrin</w:t>
      </w:r>
      <w:proofErr w:type="spellEnd"/>
      <w:r w:rsidRPr="0066797A">
        <w:rPr>
          <w:rFonts w:ascii="Arial" w:hAnsi="Arial" w:cs="Arial"/>
        </w:rPr>
        <w:t>, 23(1), 24-33. https://sinelitabmas.unsoed.ac.id/google-doc/4808356.pdf?utm_source=chatgpt.com</w:t>
      </w:r>
    </w:p>
    <w:p w14:paraId="467CF307"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Irmawati</w:t>
      </w:r>
      <w:proofErr w:type="spellEnd"/>
      <w:r w:rsidRPr="0066797A">
        <w:rPr>
          <w:rFonts w:ascii="Arial" w:hAnsi="Arial" w:cs="Arial"/>
        </w:rPr>
        <w:t xml:space="preserve">, D., &amp; </w:t>
      </w:r>
      <w:proofErr w:type="spellStart"/>
      <w:r w:rsidRPr="0066797A">
        <w:rPr>
          <w:rFonts w:ascii="Arial" w:hAnsi="Arial" w:cs="Arial"/>
        </w:rPr>
        <w:t>Rahayu</w:t>
      </w:r>
      <w:proofErr w:type="spellEnd"/>
      <w:r w:rsidRPr="0066797A">
        <w:rPr>
          <w:rFonts w:ascii="Arial" w:hAnsi="Arial" w:cs="Arial"/>
        </w:rPr>
        <w:t xml:space="preserve">, E. S. (2023). Development of </w:t>
      </w:r>
      <w:proofErr w:type="spellStart"/>
      <w:r w:rsidRPr="0066797A">
        <w:rPr>
          <w:rFonts w:ascii="Arial" w:hAnsi="Arial" w:cs="Arial"/>
        </w:rPr>
        <w:t>photomyxotrophic</w:t>
      </w:r>
      <w:proofErr w:type="spellEnd"/>
      <w:r w:rsidRPr="0066797A">
        <w:rPr>
          <w:rFonts w:ascii="Arial" w:hAnsi="Arial" w:cs="Arial"/>
        </w:rPr>
        <w:t xml:space="preserve"> culture protocol of lemongrass through sucrose concentration increase and light intensity decrease. </w:t>
      </w:r>
      <w:proofErr w:type="spellStart"/>
      <w:r w:rsidRPr="0066797A">
        <w:rPr>
          <w:rFonts w:ascii="Arial" w:hAnsi="Arial" w:cs="Arial"/>
        </w:rPr>
        <w:t>Biosaintifika</w:t>
      </w:r>
      <w:proofErr w:type="spellEnd"/>
      <w:r w:rsidRPr="0066797A">
        <w:rPr>
          <w:rFonts w:ascii="Arial" w:hAnsi="Arial" w:cs="Arial"/>
        </w:rPr>
        <w:t>: Journal of Biology &amp; Biology Education, 15(2), 212-219. http://dx.doi.org/10.15294/biosaintifika.v15i2.38303</w:t>
      </w:r>
    </w:p>
    <w:p w14:paraId="428424FD"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Isda</w:t>
      </w:r>
      <w:proofErr w:type="spellEnd"/>
      <w:r w:rsidRPr="0066797A">
        <w:rPr>
          <w:rFonts w:ascii="Arial" w:hAnsi="Arial" w:cs="Arial"/>
        </w:rPr>
        <w:t xml:space="preserve">, M. N., &amp; </w:t>
      </w:r>
      <w:proofErr w:type="spellStart"/>
      <w:r w:rsidRPr="0066797A">
        <w:rPr>
          <w:rFonts w:ascii="Arial" w:hAnsi="Arial" w:cs="Arial"/>
        </w:rPr>
        <w:t>Wusqa</w:t>
      </w:r>
      <w:proofErr w:type="spellEnd"/>
      <w:r w:rsidRPr="0066797A">
        <w:rPr>
          <w:rFonts w:ascii="Arial" w:hAnsi="Arial" w:cs="Arial"/>
        </w:rPr>
        <w:t xml:space="preserve">, W. (2024). Growth response of </w:t>
      </w:r>
      <w:proofErr w:type="spellStart"/>
      <w:r w:rsidRPr="0066797A">
        <w:rPr>
          <w:rFonts w:ascii="Arial" w:hAnsi="Arial" w:cs="Arial"/>
        </w:rPr>
        <w:t>Grammatophyllum</w:t>
      </w:r>
      <w:proofErr w:type="spellEnd"/>
      <w:r w:rsidRPr="0066797A">
        <w:rPr>
          <w:rFonts w:ascii="Arial" w:hAnsi="Arial" w:cs="Arial"/>
        </w:rPr>
        <w:t xml:space="preserve"> </w:t>
      </w:r>
      <w:proofErr w:type="spellStart"/>
      <w:r w:rsidRPr="0066797A">
        <w:rPr>
          <w:rFonts w:ascii="Arial" w:hAnsi="Arial" w:cs="Arial"/>
        </w:rPr>
        <w:t>Stapeliiflorum</w:t>
      </w:r>
      <w:proofErr w:type="spellEnd"/>
      <w:r w:rsidRPr="0066797A">
        <w:rPr>
          <w:rFonts w:ascii="Arial" w:hAnsi="Arial" w:cs="Arial"/>
        </w:rPr>
        <w:t xml:space="preserve"> protocorms with the addition of several types of foliar fertilizers in vitro.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Agroteknologi</w:t>
      </w:r>
      <w:proofErr w:type="spellEnd"/>
      <w:r w:rsidRPr="0066797A">
        <w:rPr>
          <w:rFonts w:ascii="Arial" w:hAnsi="Arial" w:cs="Arial"/>
        </w:rPr>
        <w:t>, 14(2), 97-104. http://dx.doi.org/10.24014/ja.v14i2.17244</w:t>
      </w:r>
    </w:p>
    <w:p w14:paraId="628BE8C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Laia</w:t>
      </w:r>
      <w:proofErr w:type="spellEnd"/>
      <w:r w:rsidRPr="0066797A">
        <w:rPr>
          <w:rFonts w:ascii="Arial" w:hAnsi="Arial" w:cs="Arial"/>
        </w:rPr>
        <w:t xml:space="preserve">, D. A. S. (2019). The effect of foliar fertilizer as a culture medium in the micropropagation of Raja </w:t>
      </w:r>
      <w:proofErr w:type="spellStart"/>
      <w:r w:rsidRPr="0066797A">
        <w:rPr>
          <w:rFonts w:ascii="Arial" w:hAnsi="Arial" w:cs="Arial"/>
        </w:rPr>
        <w:t>Bulu</w:t>
      </w:r>
      <w:proofErr w:type="spellEnd"/>
      <w:r w:rsidRPr="0066797A">
        <w:rPr>
          <w:rFonts w:ascii="Arial" w:hAnsi="Arial" w:cs="Arial"/>
        </w:rPr>
        <w:t xml:space="preserve"> Banana (Musa </w:t>
      </w:r>
      <w:proofErr w:type="spellStart"/>
      <w:r w:rsidRPr="0066797A">
        <w:rPr>
          <w:rFonts w:ascii="Arial" w:hAnsi="Arial" w:cs="Arial"/>
        </w:rPr>
        <w:t>paradisiaca</w:t>
      </w:r>
      <w:proofErr w:type="spellEnd"/>
      <w:r w:rsidRPr="0066797A">
        <w:rPr>
          <w:rFonts w:ascii="Arial" w:hAnsi="Arial" w:cs="Arial"/>
        </w:rPr>
        <w:t xml:space="preserve"> L. cv. Raja </w:t>
      </w:r>
      <w:proofErr w:type="spellStart"/>
      <w:r w:rsidRPr="0066797A">
        <w:rPr>
          <w:rFonts w:ascii="Arial" w:hAnsi="Arial" w:cs="Arial"/>
        </w:rPr>
        <w:t>Bulu</w:t>
      </w:r>
      <w:proofErr w:type="spellEnd"/>
      <w:r w:rsidRPr="0066797A">
        <w:rPr>
          <w:rFonts w:ascii="Arial" w:hAnsi="Arial" w:cs="Arial"/>
        </w:rPr>
        <w:t>). https://repository.uhn.ac.id/handle/123456789/3041</w:t>
      </w:r>
    </w:p>
    <w:p w14:paraId="2C6D3511"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Leksono</w:t>
      </w:r>
      <w:proofErr w:type="spellEnd"/>
      <w:r w:rsidRPr="0066797A">
        <w:rPr>
          <w:rFonts w:ascii="Arial" w:hAnsi="Arial" w:cs="Arial"/>
        </w:rPr>
        <w:t>, B H. (2015). The Effect of Compound Fertilizer Media on Chrysanthemum Seed Production (</w:t>
      </w:r>
      <w:proofErr w:type="spellStart"/>
      <w:r w:rsidRPr="0066797A">
        <w:rPr>
          <w:rFonts w:ascii="Arial" w:hAnsi="Arial" w:cs="Arial"/>
        </w:rPr>
        <w:t>Dendranthema</w:t>
      </w:r>
      <w:proofErr w:type="spellEnd"/>
      <w:r w:rsidRPr="0066797A">
        <w:rPr>
          <w:rFonts w:ascii="Arial" w:hAnsi="Arial" w:cs="Arial"/>
        </w:rPr>
        <w:t xml:space="preserve"> Grandiflora </w:t>
      </w:r>
      <w:proofErr w:type="spellStart"/>
      <w:r w:rsidRPr="0066797A">
        <w:rPr>
          <w:rFonts w:ascii="Arial" w:hAnsi="Arial" w:cs="Arial"/>
        </w:rPr>
        <w:t>Tzvelev</w:t>
      </w:r>
      <w:proofErr w:type="spellEnd"/>
      <w:r w:rsidRPr="0066797A">
        <w:rPr>
          <w:rFonts w:ascii="Arial" w:hAnsi="Arial" w:cs="Arial"/>
        </w:rPr>
        <w:t xml:space="preserve">) In vitro </w:t>
      </w:r>
      <w:proofErr w:type="gramStart"/>
      <w:r w:rsidRPr="0066797A">
        <w:rPr>
          <w:rFonts w:ascii="Arial" w:hAnsi="Arial" w:cs="Arial"/>
        </w:rPr>
        <w:t>( doctoral</w:t>
      </w:r>
      <w:proofErr w:type="gramEnd"/>
      <w:r w:rsidRPr="0066797A">
        <w:rPr>
          <w:rFonts w:ascii="Arial" w:hAnsi="Arial" w:cs="Arial"/>
        </w:rPr>
        <w:t xml:space="preserve"> dissertation, </w:t>
      </w:r>
      <w:proofErr w:type="spellStart"/>
      <w:r w:rsidRPr="0066797A">
        <w:rPr>
          <w:rFonts w:ascii="Arial" w:hAnsi="Arial" w:cs="Arial"/>
        </w:rPr>
        <w:t>Universitas</w:t>
      </w:r>
      <w:proofErr w:type="spellEnd"/>
      <w:r w:rsidRPr="0066797A">
        <w:rPr>
          <w:rFonts w:ascii="Arial" w:hAnsi="Arial" w:cs="Arial"/>
        </w:rPr>
        <w:t xml:space="preserve"> </w:t>
      </w:r>
      <w:proofErr w:type="spellStart"/>
      <w:r w:rsidRPr="0066797A">
        <w:rPr>
          <w:rFonts w:ascii="Arial" w:hAnsi="Arial" w:cs="Arial"/>
        </w:rPr>
        <w:t>Brawijaya</w:t>
      </w:r>
      <w:proofErr w:type="spellEnd"/>
      <w:r w:rsidRPr="0066797A">
        <w:rPr>
          <w:rFonts w:ascii="Arial" w:hAnsi="Arial" w:cs="Arial"/>
        </w:rPr>
        <w:t>). https://repository.ub.ac.id/id/eprint/130090</w:t>
      </w:r>
    </w:p>
    <w:p w14:paraId="7EFDDD9A" w14:textId="3A65B0F3" w:rsidR="0066797A" w:rsidRPr="0066797A" w:rsidRDefault="0066797A" w:rsidP="0066797A">
      <w:pPr>
        <w:pStyle w:val="Body"/>
        <w:ind w:left="720" w:hanging="720"/>
        <w:rPr>
          <w:rFonts w:ascii="Arial" w:hAnsi="Arial" w:cs="Arial"/>
        </w:rPr>
      </w:pPr>
      <w:r w:rsidRPr="0066797A">
        <w:rPr>
          <w:rFonts w:ascii="Arial" w:hAnsi="Arial" w:cs="Arial"/>
        </w:rPr>
        <w:t xml:space="preserve">Maharani, F. (2019). Growth and </w:t>
      </w:r>
      <w:proofErr w:type="spellStart"/>
      <w:r w:rsidRPr="0066797A">
        <w:rPr>
          <w:rFonts w:ascii="Arial" w:hAnsi="Arial" w:cs="Arial"/>
        </w:rPr>
        <w:t>Microtuber</w:t>
      </w:r>
      <w:proofErr w:type="spellEnd"/>
      <w:r w:rsidRPr="0066797A">
        <w:rPr>
          <w:rFonts w:ascii="Arial" w:hAnsi="Arial" w:cs="Arial"/>
        </w:rPr>
        <w:t xml:space="preserve"> Production of Several Types of E</w:t>
      </w:r>
      <w:r w:rsidRPr="0066797A">
        <w:t xml:space="preserve"> </w:t>
      </w:r>
      <w:r w:rsidRPr="0066797A">
        <w:rPr>
          <w:rFonts w:ascii="Arial" w:hAnsi="Arial" w:cs="Arial"/>
        </w:rPr>
        <w:t xml:space="preserve">Explant of Potato Solanum Tuberosum L. Ap-4 Variety on Media with the Addition of Different Sucrose Concentrations In Vitro (Bachelor's thesis, Faculty of Science and Technology UIN </w:t>
      </w:r>
      <w:proofErr w:type="spellStart"/>
      <w:r w:rsidRPr="0066797A">
        <w:rPr>
          <w:rFonts w:ascii="Arial" w:hAnsi="Arial" w:cs="Arial"/>
        </w:rPr>
        <w:t>Syarif</w:t>
      </w:r>
      <w:proofErr w:type="spellEnd"/>
      <w:r w:rsidRPr="0066797A">
        <w:rPr>
          <w:rFonts w:ascii="Arial" w:hAnsi="Arial" w:cs="Arial"/>
        </w:rPr>
        <w:t xml:space="preserve"> </w:t>
      </w:r>
      <w:proofErr w:type="spellStart"/>
      <w:r w:rsidRPr="0066797A">
        <w:rPr>
          <w:rFonts w:ascii="Arial" w:hAnsi="Arial" w:cs="Arial"/>
        </w:rPr>
        <w:t>Hidayatullah</w:t>
      </w:r>
      <w:proofErr w:type="spellEnd"/>
      <w:r w:rsidRPr="0066797A">
        <w:rPr>
          <w:rFonts w:ascii="Arial" w:hAnsi="Arial" w:cs="Arial"/>
        </w:rPr>
        <w:t xml:space="preserve"> Jakarta). https://repository.uinjkt.ac.id/dspace/handle/123456789/55098</w:t>
      </w:r>
    </w:p>
    <w:p w14:paraId="6C2B5C2C"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Mardiana</w:t>
      </w:r>
      <w:proofErr w:type="spellEnd"/>
      <w:r w:rsidRPr="0066797A">
        <w:rPr>
          <w:rFonts w:ascii="Arial" w:hAnsi="Arial" w:cs="Arial"/>
        </w:rPr>
        <w:t xml:space="preserve">, Y., &amp; </w:t>
      </w:r>
      <w:proofErr w:type="spellStart"/>
      <w:r w:rsidRPr="0066797A">
        <w:rPr>
          <w:rFonts w:ascii="Arial" w:hAnsi="Arial" w:cs="Arial"/>
        </w:rPr>
        <w:t>Sumarji</w:t>
      </w:r>
      <w:proofErr w:type="spellEnd"/>
      <w:r w:rsidRPr="0066797A">
        <w:rPr>
          <w:rFonts w:ascii="Arial" w:hAnsi="Arial" w:cs="Arial"/>
        </w:rPr>
        <w:t xml:space="preserve">. (2022). Effect of lighting and sucrose concentration on the growth and production of potato micro tubers (Solanum tuberosum L.).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Multidisiplin</w:t>
      </w:r>
      <w:proofErr w:type="spellEnd"/>
      <w:r w:rsidRPr="0066797A">
        <w:rPr>
          <w:rFonts w:ascii="Arial" w:hAnsi="Arial" w:cs="Arial"/>
        </w:rPr>
        <w:t xml:space="preserve"> </w:t>
      </w:r>
      <w:proofErr w:type="spellStart"/>
      <w:r w:rsidRPr="0066797A">
        <w:rPr>
          <w:rFonts w:ascii="Arial" w:hAnsi="Arial" w:cs="Arial"/>
        </w:rPr>
        <w:t>Madani</w:t>
      </w:r>
      <w:proofErr w:type="spellEnd"/>
      <w:r w:rsidRPr="0066797A">
        <w:rPr>
          <w:rFonts w:ascii="Arial" w:hAnsi="Arial" w:cs="Arial"/>
        </w:rPr>
        <w:t>, 2(6), 2963–2976. https://doi.org/10.55927/mudima.v2i6.583</w:t>
      </w:r>
    </w:p>
    <w:p w14:paraId="567BEE4E"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Murashige</w:t>
      </w:r>
      <w:proofErr w:type="spellEnd"/>
      <w:r w:rsidRPr="0066797A">
        <w:rPr>
          <w:rFonts w:ascii="Arial" w:hAnsi="Arial" w:cs="Arial"/>
        </w:rPr>
        <w:t xml:space="preserve">, T., &amp; Skoog, F. (1962). A revised medium for rapid growth and bio assays with tobacco tissue cultures. </w:t>
      </w:r>
      <w:proofErr w:type="spellStart"/>
      <w:r w:rsidRPr="0066797A">
        <w:rPr>
          <w:rFonts w:ascii="Arial" w:hAnsi="Arial" w:cs="Arial"/>
        </w:rPr>
        <w:t>Physiologia</w:t>
      </w:r>
      <w:proofErr w:type="spellEnd"/>
      <w:r w:rsidRPr="0066797A">
        <w:rPr>
          <w:rFonts w:ascii="Arial" w:hAnsi="Arial" w:cs="Arial"/>
        </w:rPr>
        <w:t xml:space="preserve"> plantarum, 15(3). https://doi.org/10.1111/j.1399-3054.1962.tb08052.x</w:t>
      </w:r>
    </w:p>
    <w:p w14:paraId="6B721CF2"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Nabila, M., </w:t>
      </w:r>
      <w:proofErr w:type="spellStart"/>
      <w:r w:rsidRPr="0066797A">
        <w:rPr>
          <w:rFonts w:ascii="Arial" w:hAnsi="Arial" w:cs="Arial"/>
        </w:rPr>
        <w:t>Alzami</w:t>
      </w:r>
      <w:proofErr w:type="spellEnd"/>
      <w:r w:rsidRPr="0066797A">
        <w:rPr>
          <w:rFonts w:ascii="Arial" w:hAnsi="Arial" w:cs="Arial"/>
        </w:rPr>
        <w:t xml:space="preserve">, F., </w:t>
      </w:r>
      <w:proofErr w:type="spellStart"/>
      <w:r w:rsidRPr="0066797A">
        <w:rPr>
          <w:rFonts w:ascii="Arial" w:hAnsi="Arial" w:cs="Arial"/>
        </w:rPr>
        <w:t>Megantara</w:t>
      </w:r>
      <w:proofErr w:type="spellEnd"/>
      <w:r w:rsidRPr="0066797A">
        <w:rPr>
          <w:rFonts w:ascii="Arial" w:hAnsi="Arial" w:cs="Arial"/>
        </w:rPr>
        <w:t xml:space="preserve">, R.A., </w:t>
      </w:r>
      <w:proofErr w:type="spellStart"/>
      <w:r w:rsidRPr="0066797A">
        <w:rPr>
          <w:rFonts w:ascii="Arial" w:hAnsi="Arial" w:cs="Arial"/>
        </w:rPr>
        <w:t>Tananto</w:t>
      </w:r>
      <w:proofErr w:type="spellEnd"/>
      <w:r w:rsidRPr="0066797A">
        <w:rPr>
          <w:rFonts w:ascii="Arial" w:hAnsi="Arial" w:cs="Arial"/>
        </w:rPr>
        <w:t xml:space="preserve">, F.F., </w:t>
      </w:r>
      <w:proofErr w:type="spellStart"/>
      <w:r w:rsidRPr="0066797A">
        <w:rPr>
          <w:rFonts w:ascii="Arial" w:hAnsi="Arial" w:cs="Arial"/>
        </w:rPr>
        <w:t>Syafrudin</w:t>
      </w:r>
      <w:proofErr w:type="spellEnd"/>
      <w:r w:rsidRPr="0066797A">
        <w:rPr>
          <w:rFonts w:ascii="Arial" w:hAnsi="Arial" w:cs="Arial"/>
        </w:rPr>
        <w:t xml:space="preserve">, H.A., </w:t>
      </w:r>
      <w:proofErr w:type="spellStart"/>
      <w:r w:rsidRPr="0066797A">
        <w:rPr>
          <w:rFonts w:ascii="Arial" w:hAnsi="Arial" w:cs="Arial"/>
        </w:rPr>
        <w:t>Handoko</w:t>
      </w:r>
      <w:proofErr w:type="spellEnd"/>
      <w:r w:rsidRPr="0066797A">
        <w:rPr>
          <w:rFonts w:ascii="Arial" w:hAnsi="Arial" w:cs="Arial"/>
        </w:rPr>
        <w:t xml:space="preserve">, L.B., &amp; </w:t>
      </w:r>
      <w:proofErr w:type="spellStart"/>
      <w:r w:rsidRPr="0066797A">
        <w:rPr>
          <w:rFonts w:ascii="Arial" w:hAnsi="Arial" w:cs="Arial"/>
        </w:rPr>
        <w:t>Umam</w:t>
      </w:r>
      <w:proofErr w:type="spellEnd"/>
      <w:r w:rsidRPr="0066797A">
        <w:rPr>
          <w:rFonts w:ascii="Arial" w:hAnsi="Arial" w:cs="Arial"/>
        </w:rPr>
        <w:t xml:space="preserve">, C. (2023). Implementation of a supply chain management system blockchain </w:t>
      </w:r>
      <w:r w:rsidRPr="0066797A">
        <w:rPr>
          <w:rFonts w:ascii="Arial" w:hAnsi="Arial" w:cs="Arial"/>
        </w:rPr>
        <w:lastRenderedPageBreak/>
        <w:t xml:space="preserve">based in red onion farming.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Ilmiah</w:t>
      </w:r>
      <w:proofErr w:type="spellEnd"/>
      <w:r w:rsidRPr="0066797A">
        <w:rPr>
          <w:rFonts w:ascii="Arial" w:hAnsi="Arial" w:cs="Arial"/>
        </w:rPr>
        <w:t xml:space="preserve"> </w:t>
      </w:r>
      <w:proofErr w:type="spellStart"/>
      <w:r w:rsidRPr="0066797A">
        <w:rPr>
          <w:rFonts w:ascii="Arial" w:hAnsi="Arial" w:cs="Arial"/>
        </w:rPr>
        <w:t>Merpati</w:t>
      </w:r>
      <w:proofErr w:type="spellEnd"/>
      <w:r w:rsidRPr="0066797A">
        <w:rPr>
          <w:rFonts w:ascii="Arial" w:hAnsi="Arial" w:cs="Arial"/>
        </w:rPr>
        <w:t xml:space="preserve"> (Menara </w:t>
      </w:r>
      <w:proofErr w:type="spellStart"/>
      <w:r w:rsidRPr="0066797A">
        <w:rPr>
          <w:rFonts w:ascii="Arial" w:hAnsi="Arial" w:cs="Arial"/>
        </w:rPr>
        <w:t>Penelitian</w:t>
      </w:r>
      <w:proofErr w:type="spellEnd"/>
      <w:r w:rsidRPr="0066797A">
        <w:rPr>
          <w:rFonts w:ascii="Arial" w:hAnsi="Arial" w:cs="Arial"/>
        </w:rPr>
        <w:t xml:space="preserve"> </w:t>
      </w:r>
      <w:proofErr w:type="spellStart"/>
      <w:r w:rsidRPr="0066797A">
        <w:rPr>
          <w:rFonts w:ascii="Arial" w:hAnsi="Arial" w:cs="Arial"/>
        </w:rPr>
        <w:t>Akademika</w:t>
      </w:r>
      <w:proofErr w:type="spellEnd"/>
      <w:r w:rsidRPr="0066797A">
        <w:rPr>
          <w:rFonts w:ascii="Arial" w:hAnsi="Arial" w:cs="Arial"/>
        </w:rPr>
        <w:t xml:space="preserve"> </w:t>
      </w:r>
      <w:proofErr w:type="spellStart"/>
      <w:r w:rsidRPr="0066797A">
        <w:rPr>
          <w:rFonts w:ascii="Arial" w:hAnsi="Arial" w:cs="Arial"/>
        </w:rPr>
        <w:t>Teknologi</w:t>
      </w:r>
      <w:proofErr w:type="spellEnd"/>
      <w:r w:rsidRPr="0066797A">
        <w:rPr>
          <w:rFonts w:ascii="Arial" w:hAnsi="Arial" w:cs="Arial"/>
        </w:rPr>
        <w:t xml:space="preserve"> </w:t>
      </w:r>
      <w:proofErr w:type="spellStart"/>
      <w:r w:rsidRPr="0066797A">
        <w:rPr>
          <w:rFonts w:ascii="Arial" w:hAnsi="Arial" w:cs="Arial"/>
        </w:rPr>
        <w:t>Informasi</w:t>
      </w:r>
      <w:proofErr w:type="spellEnd"/>
      <w:r w:rsidRPr="0066797A">
        <w:rPr>
          <w:rFonts w:ascii="Arial" w:hAnsi="Arial" w:cs="Arial"/>
        </w:rPr>
        <w:t>), 11(1), 13. https://doi.org/10.24843/JIM.2023.V11.I01.P02</w:t>
      </w:r>
    </w:p>
    <w:p w14:paraId="13CD5E5D"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Ni’mah</w:t>
      </w:r>
      <w:proofErr w:type="spellEnd"/>
      <w:r w:rsidRPr="0066797A">
        <w:rPr>
          <w:rFonts w:ascii="Arial" w:hAnsi="Arial" w:cs="Arial"/>
        </w:rPr>
        <w:t xml:space="preserve">, F., </w:t>
      </w:r>
      <w:proofErr w:type="spellStart"/>
      <w:r w:rsidRPr="0066797A">
        <w:rPr>
          <w:rFonts w:ascii="Arial" w:hAnsi="Arial" w:cs="Arial"/>
        </w:rPr>
        <w:t>Ratnasari</w:t>
      </w:r>
      <w:proofErr w:type="spellEnd"/>
      <w:r w:rsidRPr="0066797A">
        <w:rPr>
          <w:rFonts w:ascii="Arial" w:hAnsi="Arial" w:cs="Arial"/>
        </w:rPr>
        <w:t xml:space="preserve">, E., &amp; </w:t>
      </w:r>
      <w:proofErr w:type="spellStart"/>
      <w:r w:rsidRPr="0066797A">
        <w:rPr>
          <w:rFonts w:ascii="Arial" w:hAnsi="Arial" w:cs="Arial"/>
        </w:rPr>
        <w:t>Budipramana</w:t>
      </w:r>
      <w:proofErr w:type="spellEnd"/>
      <w:r w:rsidRPr="0066797A">
        <w:rPr>
          <w:rFonts w:ascii="Arial" w:hAnsi="Arial" w:cs="Arial"/>
        </w:rPr>
        <w:t xml:space="preserve">, L.S. (2012). The effect of various combinations of sucrose and kinetin concentrations on the induction of potato micro tubers (Solanum Tuberosum L.) Granola </w:t>
      </w:r>
      <w:proofErr w:type="spellStart"/>
      <w:r w:rsidRPr="0066797A">
        <w:rPr>
          <w:rFonts w:ascii="Arial" w:hAnsi="Arial" w:cs="Arial"/>
        </w:rPr>
        <w:t>Kembang</w:t>
      </w:r>
      <w:proofErr w:type="spellEnd"/>
      <w:r w:rsidRPr="0066797A">
        <w:rPr>
          <w:rFonts w:ascii="Arial" w:hAnsi="Arial" w:cs="Arial"/>
        </w:rPr>
        <w:t xml:space="preserve"> cultivar in vitro.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Lentera</w:t>
      </w:r>
      <w:proofErr w:type="spellEnd"/>
      <w:r w:rsidRPr="0066797A">
        <w:rPr>
          <w:rFonts w:ascii="Arial" w:hAnsi="Arial" w:cs="Arial"/>
        </w:rPr>
        <w:t xml:space="preserve"> Bio, 1(1), 41–48. https://ejournal.unesa.ac.id/index.php/lenterabio/issue/archive</w:t>
      </w:r>
    </w:p>
    <w:p w14:paraId="48A9BF5F"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Pangestuti</w:t>
      </w:r>
      <w:proofErr w:type="spellEnd"/>
      <w:r w:rsidRPr="0066797A">
        <w:rPr>
          <w:rFonts w:ascii="Arial" w:hAnsi="Arial" w:cs="Arial"/>
        </w:rPr>
        <w:t xml:space="preserve">, R., &amp; Sulistyaningsih, E. (2011). The potential of using true seed shallot (TSS) as a source of shallot seeds in Indonesia. </w:t>
      </w:r>
      <w:proofErr w:type="spellStart"/>
      <w:r w:rsidRPr="0066797A">
        <w:rPr>
          <w:rFonts w:ascii="Arial" w:hAnsi="Arial" w:cs="Arial"/>
        </w:rPr>
        <w:t>Agro</w:t>
      </w:r>
      <w:proofErr w:type="spellEnd"/>
      <w:r w:rsidRPr="0066797A">
        <w:rPr>
          <w:rFonts w:ascii="Arial" w:hAnsi="Arial" w:cs="Arial"/>
        </w:rPr>
        <w:t>-Innovation Support for Farmer Empowerment, 258-266</w:t>
      </w:r>
    </w:p>
    <w:p w14:paraId="331F7215"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Prakoso</w:t>
      </w:r>
      <w:proofErr w:type="spellEnd"/>
      <w:r w:rsidRPr="0066797A">
        <w:rPr>
          <w:rFonts w:ascii="Arial" w:hAnsi="Arial" w:cs="Arial"/>
        </w:rPr>
        <w:t xml:space="preserve">, T., &amp; </w:t>
      </w:r>
      <w:proofErr w:type="spellStart"/>
      <w:r w:rsidRPr="0066797A">
        <w:rPr>
          <w:rFonts w:ascii="Arial" w:hAnsi="Arial" w:cs="Arial"/>
        </w:rPr>
        <w:t>Alpandari</w:t>
      </w:r>
      <w:proofErr w:type="spellEnd"/>
      <w:r w:rsidRPr="0066797A">
        <w:rPr>
          <w:rFonts w:ascii="Arial" w:hAnsi="Arial" w:cs="Arial"/>
        </w:rPr>
        <w:t xml:space="preserve">, H. (2021). The potential of using shallot (Allium </w:t>
      </w:r>
      <w:proofErr w:type="spellStart"/>
      <w:r w:rsidRPr="0066797A">
        <w:rPr>
          <w:rFonts w:ascii="Arial" w:hAnsi="Arial" w:cs="Arial"/>
        </w:rPr>
        <w:t>ascalonicum</w:t>
      </w:r>
      <w:proofErr w:type="spellEnd"/>
      <w:r w:rsidRPr="0066797A">
        <w:rPr>
          <w:rFonts w:ascii="Arial" w:hAnsi="Arial" w:cs="Arial"/>
        </w:rPr>
        <w:t xml:space="preserve"> L.) planting material through the TSS (True Shallot Seed) planting technique. </w:t>
      </w:r>
      <w:proofErr w:type="spellStart"/>
      <w:r w:rsidRPr="0066797A">
        <w:rPr>
          <w:rFonts w:ascii="Arial" w:hAnsi="Arial" w:cs="Arial"/>
        </w:rPr>
        <w:t>Agrisintech</w:t>
      </w:r>
      <w:proofErr w:type="spellEnd"/>
      <w:r w:rsidRPr="0066797A">
        <w:rPr>
          <w:rFonts w:ascii="Arial" w:hAnsi="Arial" w:cs="Arial"/>
        </w:rPr>
        <w:t xml:space="preserve"> (Journal of Agribusiness and Agrotechnology), 2(2), 59-66. https://doi.org/10.31938/agrisintech.v2i2.350</w:t>
      </w:r>
    </w:p>
    <w:p w14:paraId="58686FE9" w14:textId="77777777" w:rsidR="0066797A" w:rsidRPr="0066797A" w:rsidRDefault="0066797A" w:rsidP="0066797A">
      <w:pPr>
        <w:pStyle w:val="Body"/>
        <w:ind w:left="720" w:hanging="720"/>
        <w:rPr>
          <w:rFonts w:ascii="Arial" w:hAnsi="Arial" w:cs="Arial"/>
        </w:rPr>
      </w:pPr>
      <w:r w:rsidRPr="0066797A">
        <w:rPr>
          <w:rFonts w:ascii="Arial" w:hAnsi="Arial" w:cs="Arial"/>
        </w:rPr>
        <w:t xml:space="preserve">Putri, D.R. (2024). Growth Response of True Shallot Seeds (TSS) to BAP and Sucrose Concentrations In Vitro. (Undergraduate Thesis, </w:t>
      </w:r>
      <w:proofErr w:type="spellStart"/>
      <w:r w:rsidRPr="0066797A">
        <w:rPr>
          <w:rFonts w:ascii="Arial" w:hAnsi="Arial" w:cs="Arial"/>
        </w:rPr>
        <w:t>Agroecotechnology</w:t>
      </w:r>
      <w:proofErr w:type="spellEnd"/>
      <w:r w:rsidRPr="0066797A">
        <w:rPr>
          <w:rFonts w:ascii="Arial" w:hAnsi="Arial" w:cs="Arial"/>
        </w:rPr>
        <w:t xml:space="preserve"> Study Program, Department of Agricultural Cultivation, Faculty of Agriculture, Bengkulu University, Bengkulu).</w:t>
      </w:r>
    </w:p>
    <w:p w14:paraId="399A2725"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Rahmawidowati</w:t>
      </w:r>
      <w:proofErr w:type="spellEnd"/>
      <w:r w:rsidRPr="0066797A">
        <w:rPr>
          <w:rFonts w:ascii="Arial" w:hAnsi="Arial" w:cs="Arial"/>
        </w:rPr>
        <w:t xml:space="preserve">, F., </w:t>
      </w:r>
      <w:proofErr w:type="spellStart"/>
      <w:r w:rsidRPr="0066797A">
        <w:rPr>
          <w:rFonts w:ascii="Arial" w:hAnsi="Arial" w:cs="Arial"/>
        </w:rPr>
        <w:t>Nurliana</w:t>
      </w:r>
      <w:proofErr w:type="spellEnd"/>
      <w:r w:rsidRPr="0066797A">
        <w:rPr>
          <w:rFonts w:ascii="Arial" w:hAnsi="Arial" w:cs="Arial"/>
        </w:rPr>
        <w:t xml:space="preserve">, S., </w:t>
      </w:r>
      <w:proofErr w:type="spellStart"/>
      <w:r w:rsidRPr="0066797A">
        <w:rPr>
          <w:rFonts w:ascii="Arial" w:hAnsi="Arial" w:cs="Arial"/>
        </w:rPr>
        <w:t>Satriawan</w:t>
      </w:r>
      <w:proofErr w:type="spellEnd"/>
      <w:r w:rsidRPr="0066797A">
        <w:rPr>
          <w:rFonts w:ascii="Arial" w:hAnsi="Arial" w:cs="Arial"/>
        </w:rPr>
        <w:t xml:space="preserve">, D., </w:t>
      </w:r>
      <w:proofErr w:type="spellStart"/>
      <w:r w:rsidRPr="0066797A">
        <w:rPr>
          <w:rFonts w:ascii="Arial" w:hAnsi="Arial" w:cs="Arial"/>
        </w:rPr>
        <w:t>Astuti</w:t>
      </w:r>
      <w:proofErr w:type="spellEnd"/>
      <w:r w:rsidRPr="0066797A">
        <w:rPr>
          <w:rFonts w:ascii="Arial" w:hAnsi="Arial" w:cs="Arial"/>
        </w:rPr>
        <w:t xml:space="preserve">, R. S., &amp; Marlin, M. (2022). The Effect of 6-Benzyl Amino Purine (BAP) and Sucrose Concentration on the Growth and Development of Dendrobium Sp. Woo </w:t>
      </w:r>
      <w:proofErr w:type="spellStart"/>
      <w:r w:rsidRPr="0066797A">
        <w:rPr>
          <w:rFonts w:ascii="Arial" w:hAnsi="Arial" w:cs="Arial"/>
        </w:rPr>
        <w:t>Leng</w:t>
      </w:r>
      <w:proofErr w:type="spellEnd"/>
      <w:r w:rsidRPr="0066797A">
        <w:rPr>
          <w:rFonts w:ascii="Arial" w:hAnsi="Arial" w:cs="Arial"/>
        </w:rPr>
        <w:t xml:space="preserve"> Orchid Subculture In Vitro. In Proceedings of SNPBS (National Seminar on Biology Education and Science and Technology) (pp. 94-103). https://proceedings.ums.ac.id/snpbs/article/view/1746</w:t>
      </w:r>
    </w:p>
    <w:p w14:paraId="69DC86B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Rinawati</w:t>
      </w:r>
      <w:proofErr w:type="spellEnd"/>
      <w:r w:rsidRPr="0066797A">
        <w:rPr>
          <w:rFonts w:ascii="Arial" w:hAnsi="Arial" w:cs="Arial"/>
        </w:rPr>
        <w:t>. (2023). Analysis of Shallot Commodity Trade Performance. Center for Data and Agricultural Information Systems, Ministry of Agriculture.</w:t>
      </w:r>
    </w:p>
    <w:p w14:paraId="4C27FC6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Rosmaina</w:t>
      </w:r>
      <w:proofErr w:type="spellEnd"/>
      <w:r w:rsidRPr="0066797A">
        <w:rPr>
          <w:rFonts w:ascii="Arial" w:hAnsi="Arial" w:cs="Arial"/>
        </w:rPr>
        <w:t xml:space="preserve">, R., </w:t>
      </w:r>
      <w:proofErr w:type="spellStart"/>
      <w:r w:rsidRPr="0066797A">
        <w:rPr>
          <w:rFonts w:ascii="Arial" w:hAnsi="Arial" w:cs="Arial"/>
        </w:rPr>
        <w:t>Endika</w:t>
      </w:r>
      <w:proofErr w:type="spellEnd"/>
      <w:r w:rsidRPr="0066797A">
        <w:rPr>
          <w:rFonts w:ascii="Arial" w:hAnsi="Arial" w:cs="Arial"/>
        </w:rPr>
        <w:t xml:space="preserve">, R., &amp; </w:t>
      </w:r>
      <w:proofErr w:type="spellStart"/>
      <w:r w:rsidRPr="0066797A">
        <w:rPr>
          <w:rFonts w:ascii="Arial" w:hAnsi="Arial" w:cs="Arial"/>
        </w:rPr>
        <w:t>Zulfahmi</w:t>
      </w:r>
      <w:proofErr w:type="spellEnd"/>
      <w:r w:rsidRPr="0066797A">
        <w:rPr>
          <w:rFonts w:ascii="Arial" w:hAnsi="Arial" w:cs="Arial"/>
        </w:rPr>
        <w:t xml:space="preserve">, Z. (2021). Study of the effect of alternative media for in vitro propagation of </w:t>
      </w:r>
      <w:proofErr w:type="spellStart"/>
      <w:r w:rsidRPr="0066797A">
        <w:rPr>
          <w:rFonts w:ascii="Arial" w:hAnsi="Arial" w:cs="Arial"/>
        </w:rPr>
        <w:t>Barangan</w:t>
      </w:r>
      <w:proofErr w:type="spellEnd"/>
      <w:r w:rsidRPr="0066797A">
        <w:rPr>
          <w:rFonts w:ascii="Arial" w:hAnsi="Arial" w:cs="Arial"/>
        </w:rPr>
        <w:t xml:space="preserve"> banana (Musa </w:t>
      </w:r>
      <w:proofErr w:type="spellStart"/>
      <w:r w:rsidRPr="0066797A">
        <w:rPr>
          <w:rFonts w:ascii="Arial" w:hAnsi="Arial" w:cs="Arial"/>
        </w:rPr>
        <w:t>acuminata</w:t>
      </w:r>
      <w:proofErr w:type="spellEnd"/>
      <w:r w:rsidRPr="0066797A">
        <w:rPr>
          <w:rFonts w:ascii="Arial" w:hAnsi="Arial" w:cs="Arial"/>
        </w:rPr>
        <w:t xml:space="preserve"> L.). Journal of Agrotechnology, 12(1), 33-40. http://dx.doi.org/10.24014/ja.v12i1.12425</w:t>
      </w:r>
    </w:p>
    <w:p w14:paraId="350A0B67"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Samudera</w:t>
      </w:r>
      <w:proofErr w:type="spellEnd"/>
      <w:r w:rsidRPr="0066797A">
        <w:rPr>
          <w:rFonts w:ascii="Arial" w:hAnsi="Arial" w:cs="Arial"/>
        </w:rPr>
        <w:t xml:space="preserve">, A. A., </w:t>
      </w:r>
      <w:proofErr w:type="spellStart"/>
      <w:r w:rsidRPr="0066797A">
        <w:rPr>
          <w:rFonts w:ascii="Arial" w:hAnsi="Arial" w:cs="Arial"/>
        </w:rPr>
        <w:t>Rianto</w:t>
      </w:r>
      <w:proofErr w:type="spellEnd"/>
      <w:r w:rsidRPr="0066797A">
        <w:rPr>
          <w:rFonts w:ascii="Arial" w:hAnsi="Arial" w:cs="Arial"/>
        </w:rPr>
        <w:t xml:space="preserve">, H., &amp; </w:t>
      </w:r>
      <w:proofErr w:type="spellStart"/>
      <w:r w:rsidRPr="0066797A">
        <w:rPr>
          <w:rFonts w:ascii="Arial" w:hAnsi="Arial" w:cs="Arial"/>
        </w:rPr>
        <w:t>Historiawati</w:t>
      </w:r>
      <w:proofErr w:type="spellEnd"/>
      <w:r w:rsidRPr="0066797A">
        <w:rPr>
          <w:rFonts w:ascii="Arial" w:hAnsi="Arial" w:cs="Arial"/>
        </w:rPr>
        <w:t xml:space="preserve">, H. (2019). In vitro rooting of sugarcane explants (Saccharum </w:t>
      </w:r>
      <w:proofErr w:type="spellStart"/>
      <w:r w:rsidRPr="0066797A">
        <w:rPr>
          <w:rFonts w:ascii="Arial" w:hAnsi="Arial" w:cs="Arial"/>
        </w:rPr>
        <w:t>officinarum</w:t>
      </w:r>
      <w:proofErr w:type="spellEnd"/>
      <w:r w:rsidRPr="0066797A">
        <w:rPr>
          <w:rFonts w:ascii="Arial" w:hAnsi="Arial" w:cs="Arial"/>
        </w:rPr>
        <w:t xml:space="preserve"> L.) </w:t>
      </w:r>
      <w:proofErr w:type="spellStart"/>
      <w:r w:rsidRPr="0066797A">
        <w:rPr>
          <w:rFonts w:ascii="Arial" w:hAnsi="Arial" w:cs="Arial"/>
        </w:rPr>
        <w:t>Bululawang</w:t>
      </w:r>
      <w:proofErr w:type="spellEnd"/>
      <w:r w:rsidRPr="0066797A">
        <w:rPr>
          <w:rFonts w:ascii="Arial" w:hAnsi="Arial" w:cs="Arial"/>
        </w:rPr>
        <w:t xml:space="preserve"> variety at various concentrations of NAA and sucrose on sugarcane plantlet growth. Vigor: Journal of Tropical and Subtropical Agricultural Sciences, 4(1), 5-13. https://doi.org/10.31002/vigor.v4i1.1306</w:t>
      </w:r>
    </w:p>
    <w:p w14:paraId="5D64330D"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Sopha</w:t>
      </w:r>
      <w:proofErr w:type="spellEnd"/>
      <w:r w:rsidRPr="0066797A">
        <w:rPr>
          <w:rFonts w:ascii="Arial" w:hAnsi="Arial" w:cs="Arial"/>
        </w:rPr>
        <w:t xml:space="preserve">, G. A., &amp; Basuki, R.S. (2017). Optimization of seed coating materials in direct planting cultivation of True Shallot Seed (TSS). </w:t>
      </w:r>
      <w:proofErr w:type="spellStart"/>
      <w:r w:rsidRPr="0066797A">
        <w:rPr>
          <w:rFonts w:ascii="Arial" w:hAnsi="Arial" w:cs="Arial"/>
        </w:rPr>
        <w:t>Galung</w:t>
      </w:r>
      <w:proofErr w:type="spellEnd"/>
      <w:r w:rsidRPr="0066797A">
        <w:rPr>
          <w:rFonts w:ascii="Arial" w:hAnsi="Arial" w:cs="Arial"/>
        </w:rPr>
        <w:t xml:space="preserve"> </w:t>
      </w:r>
      <w:proofErr w:type="spellStart"/>
      <w:r w:rsidRPr="0066797A">
        <w:rPr>
          <w:rFonts w:ascii="Arial" w:hAnsi="Arial" w:cs="Arial"/>
        </w:rPr>
        <w:t>Tropika</w:t>
      </w:r>
      <w:proofErr w:type="spellEnd"/>
      <w:r w:rsidRPr="0066797A">
        <w:rPr>
          <w:rFonts w:ascii="Arial" w:hAnsi="Arial" w:cs="Arial"/>
        </w:rPr>
        <w:t xml:space="preserve"> Journal, 6(3), 154–161. https://doi.org/10.31850/jgt.v6i3.245</w:t>
      </w:r>
    </w:p>
    <w:p w14:paraId="6807623F"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Sopha</w:t>
      </w:r>
      <w:proofErr w:type="spellEnd"/>
      <w:r w:rsidRPr="0066797A">
        <w:rPr>
          <w:rFonts w:ascii="Arial" w:hAnsi="Arial" w:cs="Arial"/>
        </w:rPr>
        <w:t xml:space="preserve">, G. A., </w:t>
      </w:r>
      <w:proofErr w:type="spellStart"/>
      <w:r w:rsidRPr="0066797A">
        <w:rPr>
          <w:rFonts w:ascii="Arial" w:hAnsi="Arial" w:cs="Arial"/>
        </w:rPr>
        <w:t>Syakir</w:t>
      </w:r>
      <w:proofErr w:type="spellEnd"/>
      <w:r w:rsidRPr="0066797A">
        <w:rPr>
          <w:rFonts w:ascii="Arial" w:hAnsi="Arial" w:cs="Arial"/>
        </w:rPr>
        <w:t xml:space="preserve">, M., </w:t>
      </w:r>
      <w:proofErr w:type="spellStart"/>
      <w:r w:rsidRPr="0066797A">
        <w:rPr>
          <w:rFonts w:ascii="Arial" w:hAnsi="Arial" w:cs="Arial"/>
        </w:rPr>
        <w:t>Setiawati</w:t>
      </w:r>
      <w:proofErr w:type="spellEnd"/>
      <w:r w:rsidRPr="0066797A">
        <w:rPr>
          <w:rFonts w:ascii="Arial" w:hAnsi="Arial" w:cs="Arial"/>
        </w:rPr>
        <w:t xml:space="preserve">, W., &amp; </w:t>
      </w:r>
      <w:proofErr w:type="spellStart"/>
      <w:r w:rsidRPr="0066797A">
        <w:rPr>
          <w:rFonts w:ascii="Arial" w:hAnsi="Arial" w:cs="Arial"/>
        </w:rPr>
        <w:t>Sumarni</w:t>
      </w:r>
      <w:proofErr w:type="spellEnd"/>
      <w:r w:rsidRPr="0066797A">
        <w:rPr>
          <w:rFonts w:ascii="Arial" w:hAnsi="Arial" w:cs="Arial"/>
        </w:rPr>
        <w:t>, N. (2017). Planting techniques for shallot seeds from True Shallot Seed in suboptimal land. Journal of Horticulture, 27(1), 35-44. https://doi.org/10.21082/jhort.v27n1.2017.p35-44</w:t>
      </w:r>
    </w:p>
    <w:p w14:paraId="7E50F3A2"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Sumihar</w:t>
      </w:r>
      <w:proofErr w:type="spellEnd"/>
      <w:r w:rsidRPr="0066797A">
        <w:rPr>
          <w:rFonts w:ascii="Arial" w:hAnsi="Arial" w:cs="Arial"/>
        </w:rPr>
        <w:t xml:space="preserve">, S. T. T., </w:t>
      </w:r>
      <w:proofErr w:type="spellStart"/>
      <w:r w:rsidRPr="0066797A">
        <w:rPr>
          <w:rFonts w:ascii="Arial" w:hAnsi="Arial" w:cs="Arial"/>
        </w:rPr>
        <w:t>Siahaan</w:t>
      </w:r>
      <w:proofErr w:type="spellEnd"/>
      <w:r w:rsidRPr="0066797A">
        <w:rPr>
          <w:rFonts w:ascii="Arial" w:hAnsi="Arial" w:cs="Arial"/>
        </w:rPr>
        <w:t xml:space="preserve">, F. R., </w:t>
      </w:r>
      <w:proofErr w:type="spellStart"/>
      <w:r w:rsidRPr="0066797A">
        <w:rPr>
          <w:rFonts w:ascii="Arial" w:hAnsi="Arial" w:cs="Arial"/>
        </w:rPr>
        <w:t>Pujiastuti</w:t>
      </w:r>
      <w:proofErr w:type="spellEnd"/>
      <w:r w:rsidRPr="0066797A">
        <w:rPr>
          <w:rFonts w:ascii="Arial" w:hAnsi="Arial" w:cs="Arial"/>
        </w:rPr>
        <w:t xml:space="preserve">, E. S., &amp; </w:t>
      </w:r>
      <w:proofErr w:type="spellStart"/>
      <w:r w:rsidRPr="0066797A">
        <w:rPr>
          <w:rFonts w:ascii="Arial" w:hAnsi="Arial" w:cs="Arial"/>
        </w:rPr>
        <w:t>Laia</w:t>
      </w:r>
      <w:proofErr w:type="spellEnd"/>
      <w:r w:rsidRPr="0066797A">
        <w:rPr>
          <w:rFonts w:ascii="Arial" w:hAnsi="Arial" w:cs="Arial"/>
        </w:rPr>
        <w:t xml:space="preserve">, D. A. S. (2021). Foliar fertilizer as a nutrient source for in vitro culture media of Raja </w:t>
      </w:r>
      <w:proofErr w:type="spellStart"/>
      <w:r w:rsidRPr="0066797A">
        <w:rPr>
          <w:rFonts w:ascii="Arial" w:hAnsi="Arial" w:cs="Arial"/>
        </w:rPr>
        <w:t>Bulu</w:t>
      </w:r>
      <w:proofErr w:type="spellEnd"/>
      <w:r w:rsidRPr="0066797A">
        <w:rPr>
          <w:rFonts w:ascii="Arial" w:hAnsi="Arial" w:cs="Arial"/>
        </w:rPr>
        <w:t xml:space="preserve"> banana (Musa </w:t>
      </w:r>
      <w:proofErr w:type="spellStart"/>
      <w:r w:rsidRPr="0066797A">
        <w:rPr>
          <w:rFonts w:ascii="Arial" w:hAnsi="Arial" w:cs="Arial"/>
        </w:rPr>
        <w:t>paradisiaca</w:t>
      </w:r>
      <w:proofErr w:type="spellEnd"/>
      <w:r w:rsidRPr="0066797A">
        <w:rPr>
          <w:rFonts w:ascii="Arial" w:hAnsi="Arial" w:cs="Arial"/>
        </w:rPr>
        <w:t xml:space="preserve"> L. cv. Raja </w:t>
      </w:r>
      <w:proofErr w:type="spellStart"/>
      <w:r w:rsidRPr="0066797A">
        <w:rPr>
          <w:rFonts w:ascii="Arial" w:hAnsi="Arial" w:cs="Arial"/>
        </w:rPr>
        <w:t>Bulu</w:t>
      </w:r>
      <w:proofErr w:type="spellEnd"/>
      <w:r w:rsidRPr="0066797A">
        <w:rPr>
          <w:rFonts w:ascii="Arial" w:hAnsi="Arial" w:cs="Arial"/>
        </w:rPr>
        <w:t>) propagation. Journal of Agricultural Sciences, 9(2), 89-94. https://www.academia.edu/download/93417880/483375914.pdf</w:t>
      </w:r>
    </w:p>
    <w:p w14:paraId="029F8B83"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lastRenderedPageBreak/>
        <w:t>Trigiano</w:t>
      </w:r>
      <w:proofErr w:type="spellEnd"/>
      <w:r w:rsidRPr="0066797A">
        <w:rPr>
          <w:rFonts w:ascii="Arial" w:hAnsi="Arial" w:cs="Arial"/>
        </w:rPr>
        <w:t>, R.N., &amp; Gray, D.J. (2004). Plant development and biotechnology. CRC Press. https://doi.org/10.1201/9780203506561</w:t>
      </w:r>
    </w:p>
    <w:p w14:paraId="3DB7C53B"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Trinawaty</w:t>
      </w:r>
      <w:proofErr w:type="spellEnd"/>
      <w:r w:rsidRPr="0066797A">
        <w:rPr>
          <w:rFonts w:ascii="Arial" w:hAnsi="Arial" w:cs="Arial"/>
        </w:rPr>
        <w:t xml:space="preserve">, M., &amp; </w:t>
      </w:r>
      <w:proofErr w:type="spellStart"/>
      <w:r w:rsidRPr="0066797A">
        <w:rPr>
          <w:rFonts w:ascii="Arial" w:hAnsi="Arial" w:cs="Arial"/>
        </w:rPr>
        <w:t>Fitriani</w:t>
      </w:r>
      <w:proofErr w:type="spellEnd"/>
      <w:r w:rsidRPr="0066797A">
        <w:rPr>
          <w:rFonts w:ascii="Arial" w:hAnsi="Arial" w:cs="Arial"/>
        </w:rPr>
        <w:t xml:space="preserve">, N. (2016). The effect of various foliar fertilizers on the growth of axillary shoots of sweet potato (Ipomoea batatas L.) </w:t>
      </w:r>
      <w:proofErr w:type="spellStart"/>
      <w:r w:rsidRPr="0066797A">
        <w:rPr>
          <w:rFonts w:ascii="Arial" w:hAnsi="Arial" w:cs="Arial"/>
        </w:rPr>
        <w:t>Cilembu</w:t>
      </w:r>
      <w:proofErr w:type="spellEnd"/>
      <w:r w:rsidRPr="0066797A">
        <w:rPr>
          <w:rFonts w:ascii="Arial" w:hAnsi="Arial" w:cs="Arial"/>
        </w:rPr>
        <w:t xml:space="preserve"> variety In vitro. </w:t>
      </w:r>
      <w:proofErr w:type="spellStart"/>
      <w:r w:rsidRPr="0066797A">
        <w:rPr>
          <w:rFonts w:ascii="Arial" w:hAnsi="Arial" w:cs="Arial"/>
        </w:rPr>
        <w:t>Jurnal</w:t>
      </w:r>
      <w:proofErr w:type="spellEnd"/>
      <w:r w:rsidRPr="0066797A">
        <w:rPr>
          <w:rFonts w:ascii="Arial" w:hAnsi="Arial" w:cs="Arial"/>
        </w:rPr>
        <w:t xml:space="preserve"> </w:t>
      </w:r>
      <w:proofErr w:type="spellStart"/>
      <w:r w:rsidRPr="0066797A">
        <w:rPr>
          <w:rFonts w:ascii="Arial" w:hAnsi="Arial" w:cs="Arial"/>
        </w:rPr>
        <w:t>Agroekoteknologi</w:t>
      </w:r>
      <w:proofErr w:type="spellEnd"/>
      <w:r w:rsidRPr="0066797A">
        <w:rPr>
          <w:rFonts w:ascii="Arial" w:hAnsi="Arial" w:cs="Arial"/>
        </w:rPr>
        <w:t>, 8(2). https://dx.doi.org/10.33512/j.agrtek.v8i2.1483</w:t>
      </w:r>
    </w:p>
    <w:p w14:paraId="4E163B75"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Triyastuti</w:t>
      </w:r>
      <w:proofErr w:type="spellEnd"/>
      <w:r w:rsidRPr="0066797A">
        <w:rPr>
          <w:rFonts w:ascii="Arial" w:hAnsi="Arial" w:cs="Arial"/>
        </w:rPr>
        <w:t xml:space="preserve">, N., </w:t>
      </w:r>
      <w:proofErr w:type="spellStart"/>
      <w:r w:rsidRPr="0066797A">
        <w:rPr>
          <w:rFonts w:ascii="Arial" w:hAnsi="Arial" w:cs="Arial"/>
        </w:rPr>
        <w:t>Rahayu</w:t>
      </w:r>
      <w:proofErr w:type="spellEnd"/>
      <w:r w:rsidRPr="0066797A">
        <w:rPr>
          <w:rFonts w:ascii="Arial" w:hAnsi="Arial" w:cs="Arial"/>
        </w:rPr>
        <w:t xml:space="preserve">, E. S., &amp; </w:t>
      </w:r>
      <w:proofErr w:type="spellStart"/>
      <w:r w:rsidRPr="0066797A">
        <w:rPr>
          <w:rFonts w:ascii="Arial" w:hAnsi="Arial" w:cs="Arial"/>
        </w:rPr>
        <w:t>Widiatningrum</w:t>
      </w:r>
      <w:proofErr w:type="spellEnd"/>
      <w:r w:rsidRPr="0066797A">
        <w:rPr>
          <w:rFonts w:ascii="Arial" w:hAnsi="Arial" w:cs="Arial"/>
        </w:rPr>
        <w:t>, T. (2018). Optimization of chrysanthemum plantlet growth through increased bottle cap permeability and decreased sucrose concentration. Indonesian Journal of Mathematics and Natural Sciences, 41(1), 20-26. http://journal.unnes.ac.id/nju/index.php/JM</w:t>
      </w:r>
    </w:p>
    <w:p w14:paraId="45F3CBE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Utomo</w:t>
      </w:r>
      <w:proofErr w:type="spellEnd"/>
      <w:r w:rsidRPr="0066797A">
        <w:rPr>
          <w:rFonts w:ascii="Arial" w:hAnsi="Arial" w:cs="Arial"/>
        </w:rPr>
        <w:t xml:space="preserve">, A. R., &amp; </w:t>
      </w:r>
      <w:proofErr w:type="spellStart"/>
      <w:r w:rsidRPr="0066797A">
        <w:rPr>
          <w:rFonts w:ascii="Arial" w:hAnsi="Arial" w:cs="Arial"/>
        </w:rPr>
        <w:t>Yunus</w:t>
      </w:r>
      <w:proofErr w:type="spellEnd"/>
      <w:r w:rsidRPr="0066797A">
        <w:rPr>
          <w:rFonts w:ascii="Arial" w:hAnsi="Arial" w:cs="Arial"/>
        </w:rPr>
        <w:t xml:space="preserve">, A. (2021). The effect of </w:t>
      </w:r>
      <w:proofErr w:type="spellStart"/>
      <w:r w:rsidRPr="0066797A">
        <w:rPr>
          <w:rFonts w:ascii="Arial" w:hAnsi="Arial" w:cs="Arial"/>
        </w:rPr>
        <w:t>Murashige</w:t>
      </w:r>
      <w:proofErr w:type="spellEnd"/>
      <w:r w:rsidRPr="0066797A">
        <w:rPr>
          <w:rFonts w:ascii="Arial" w:hAnsi="Arial" w:cs="Arial"/>
        </w:rPr>
        <w:t xml:space="preserve"> and Skoog (MS) and NPK compound fertilizer media composition on growth of Ambon banana plants in vitro. In IOP Conference Series: Earth and Environmental Science (Vol. 637, No. 1, p. 012013). IOP Publishing. https://doi.org/10.1088/1755-1315/637/1/012013</w:t>
      </w:r>
    </w:p>
    <w:p w14:paraId="51D0A844" w14:textId="3AE936E1" w:rsidR="0066797A" w:rsidRPr="0066797A" w:rsidRDefault="0066797A" w:rsidP="0066797A">
      <w:pPr>
        <w:pStyle w:val="Body"/>
        <w:ind w:left="720" w:hanging="720"/>
        <w:rPr>
          <w:rFonts w:ascii="Arial" w:hAnsi="Arial" w:cs="Arial"/>
        </w:rPr>
      </w:pPr>
      <w:proofErr w:type="spellStart"/>
      <w:r w:rsidRPr="0066797A">
        <w:rPr>
          <w:rFonts w:ascii="Arial" w:hAnsi="Arial" w:cs="Arial"/>
        </w:rPr>
        <w:t>Vallepy</w:t>
      </w:r>
      <w:proofErr w:type="spellEnd"/>
      <w:r w:rsidRPr="0066797A">
        <w:rPr>
          <w:rFonts w:ascii="Arial" w:hAnsi="Arial" w:cs="Arial"/>
        </w:rPr>
        <w:t xml:space="preserve">, A., </w:t>
      </w:r>
      <w:proofErr w:type="spellStart"/>
      <w:r w:rsidRPr="0066797A">
        <w:rPr>
          <w:rFonts w:ascii="Arial" w:hAnsi="Arial" w:cs="Arial"/>
        </w:rPr>
        <w:t>Yeni</w:t>
      </w:r>
      <w:proofErr w:type="spellEnd"/>
      <w:r w:rsidRPr="0066797A">
        <w:rPr>
          <w:rFonts w:ascii="Arial" w:hAnsi="Arial" w:cs="Arial"/>
        </w:rPr>
        <w:t xml:space="preserve">, Y., Ali, F., &amp; </w:t>
      </w:r>
      <w:proofErr w:type="spellStart"/>
      <w:r w:rsidRPr="0066797A">
        <w:rPr>
          <w:rFonts w:ascii="Arial" w:hAnsi="Arial" w:cs="Arial"/>
        </w:rPr>
        <w:t>Erfa</w:t>
      </w:r>
      <w:proofErr w:type="spellEnd"/>
      <w:r w:rsidRPr="0066797A">
        <w:rPr>
          <w:rFonts w:ascii="Arial" w:hAnsi="Arial" w:cs="Arial"/>
        </w:rPr>
        <w:t>, L. (2024). Effectiveness of Giving Different Concentrations of NPK Compound Foliar Fertilizer (32-10-10) and Media Types</w:t>
      </w:r>
      <w:r w:rsidRPr="0066797A">
        <w:t xml:space="preserve"> </w:t>
      </w:r>
      <w:r w:rsidRPr="0066797A">
        <w:rPr>
          <w:rFonts w:ascii="Arial" w:hAnsi="Arial" w:cs="Arial"/>
        </w:rPr>
        <w:t>Planting Against the Growth of Dendrobium Airey Peach x Dendrobium discolor Orchid Plants. Journal of Horticulture Production Technology, 2(2), 70-80. https://doi.org/10.25181/jhpt.v2i2.3725</w:t>
      </w:r>
    </w:p>
    <w:p w14:paraId="4CD414F0"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Wahidah</w:t>
      </w:r>
      <w:proofErr w:type="spellEnd"/>
      <w:r w:rsidRPr="0066797A">
        <w:rPr>
          <w:rFonts w:ascii="Arial" w:hAnsi="Arial" w:cs="Arial"/>
        </w:rPr>
        <w:t xml:space="preserve">, B. F., &amp; </w:t>
      </w:r>
      <w:proofErr w:type="spellStart"/>
      <w:r w:rsidRPr="0066797A">
        <w:rPr>
          <w:rFonts w:ascii="Arial" w:hAnsi="Arial" w:cs="Arial"/>
        </w:rPr>
        <w:t>Achmad</w:t>
      </w:r>
      <w:proofErr w:type="spellEnd"/>
      <w:r w:rsidRPr="0066797A">
        <w:rPr>
          <w:rFonts w:ascii="Arial" w:hAnsi="Arial" w:cs="Arial"/>
        </w:rPr>
        <w:t xml:space="preserve">, C. A. (2020). Nutrient Science. </w:t>
      </w:r>
      <w:proofErr w:type="spellStart"/>
      <w:r w:rsidRPr="0066797A">
        <w:rPr>
          <w:rFonts w:ascii="Arial" w:hAnsi="Arial" w:cs="Arial"/>
        </w:rPr>
        <w:t>Alinea</w:t>
      </w:r>
      <w:proofErr w:type="spellEnd"/>
      <w:r w:rsidRPr="0066797A">
        <w:rPr>
          <w:rFonts w:ascii="Arial" w:hAnsi="Arial" w:cs="Arial"/>
        </w:rPr>
        <w:t xml:space="preserve"> Media </w:t>
      </w:r>
      <w:proofErr w:type="spellStart"/>
      <w:r w:rsidRPr="0066797A">
        <w:rPr>
          <w:rFonts w:ascii="Arial" w:hAnsi="Arial" w:cs="Arial"/>
        </w:rPr>
        <w:t>Dipantara</w:t>
      </w:r>
      <w:proofErr w:type="spellEnd"/>
      <w:r w:rsidRPr="0066797A">
        <w:rPr>
          <w:rFonts w:ascii="Arial" w:hAnsi="Arial" w:cs="Arial"/>
        </w:rPr>
        <w:t>. https://play.google.com/books/reader?id=14wIEAAAQBAJ&amp;pg=GBS.PA48&amp;hl=id</w:t>
      </w:r>
    </w:p>
    <w:p w14:paraId="7F342C07" w14:textId="77777777" w:rsidR="0066797A" w:rsidRPr="0066797A" w:rsidRDefault="0066797A" w:rsidP="0066797A">
      <w:pPr>
        <w:pStyle w:val="Body"/>
        <w:ind w:left="720" w:hanging="720"/>
        <w:rPr>
          <w:rFonts w:ascii="Arial" w:hAnsi="Arial" w:cs="Arial"/>
        </w:rPr>
      </w:pPr>
      <w:proofErr w:type="spellStart"/>
      <w:r w:rsidRPr="0066797A">
        <w:rPr>
          <w:rFonts w:ascii="Arial" w:hAnsi="Arial" w:cs="Arial"/>
        </w:rPr>
        <w:t>Waluyo</w:t>
      </w:r>
      <w:proofErr w:type="spellEnd"/>
      <w:r w:rsidRPr="0066797A">
        <w:rPr>
          <w:rFonts w:ascii="Arial" w:hAnsi="Arial" w:cs="Arial"/>
        </w:rPr>
        <w:t xml:space="preserve">, N., &amp; </w:t>
      </w:r>
      <w:proofErr w:type="spellStart"/>
      <w:r w:rsidRPr="0066797A">
        <w:rPr>
          <w:rFonts w:ascii="Arial" w:hAnsi="Arial" w:cs="Arial"/>
        </w:rPr>
        <w:t>Sinaga</w:t>
      </w:r>
      <w:proofErr w:type="spellEnd"/>
      <w:r w:rsidRPr="0066797A">
        <w:rPr>
          <w:rFonts w:ascii="Arial" w:hAnsi="Arial" w:cs="Arial"/>
        </w:rPr>
        <w:t>, R. (2015). Shallots released by the vegetable crop research center. Vegetable Crop Science, 1(004): 1-5. https://adoc.pub/bawang-merah-yang-dirilis-oleh-balai-penelitian-tanaman-sayu.html#google_vignette</w:t>
      </w:r>
    </w:p>
    <w:p w14:paraId="17B305DD" w14:textId="0F89F784" w:rsidR="00B01FCD" w:rsidRPr="00E64CB4" w:rsidRDefault="0066797A" w:rsidP="0066797A">
      <w:pPr>
        <w:pStyle w:val="Body"/>
        <w:spacing w:after="0"/>
        <w:ind w:left="720" w:hanging="720"/>
        <w:rPr>
          <w:rFonts w:ascii="Arial" w:hAnsi="Arial" w:cs="Arial"/>
          <w:b/>
          <w:lang w:val="sv-SE"/>
        </w:rPr>
      </w:pPr>
      <w:proofErr w:type="spellStart"/>
      <w:r w:rsidRPr="0066797A">
        <w:rPr>
          <w:rFonts w:ascii="Arial" w:hAnsi="Arial" w:cs="Arial"/>
        </w:rPr>
        <w:t>Yassar</w:t>
      </w:r>
      <w:proofErr w:type="spellEnd"/>
      <w:r w:rsidRPr="0066797A">
        <w:rPr>
          <w:rFonts w:ascii="Arial" w:hAnsi="Arial" w:cs="Arial"/>
        </w:rPr>
        <w:t xml:space="preserve">, M., Hafsah, S., </w:t>
      </w:r>
      <w:proofErr w:type="spellStart"/>
      <w:r w:rsidRPr="0066797A">
        <w:rPr>
          <w:rFonts w:ascii="Arial" w:hAnsi="Arial" w:cs="Arial"/>
        </w:rPr>
        <w:t>Juliaviani</w:t>
      </w:r>
      <w:proofErr w:type="spellEnd"/>
      <w:r w:rsidRPr="0066797A">
        <w:rPr>
          <w:rFonts w:ascii="Arial" w:hAnsi="Arial" w:cs="Arial"/>
        </w:rPr>
        <w:t xml:space="preserve">, N., &amp; Agustina, R. (2023). Shallot Cultivation. </w:t>
      </w:r>
      <w:proofErr w:type="spellStart"/>
      <w:r w:rsidRPr="0066797A">
        <w:rPr>
          <w:rFonts w:ascii="Arial" w:hAnsi="Arial" w:cs="Arial"/>
        </w:rPr>
        <w:t>Ruang</w:t>
      </w:r>
      <w:proofErr w:type="spellEnd"/>
      <w:r w:rsidRPr="0066797A">
        <w:rPr>
          <w:rFonts w:ascii="Arial" w:hAnsi="Arial" w:cs="Arial"/>
        </w:rPr>
        <w:t xml:space="preserve"> </w:t>
      </w:r>
      <w:proofErr w:type="spellStart"/>
      <w:r w:rsidRPr="0066797A">
        <w:rPr>
          <w:rFonts w:ascii="Arial" w:hAnsi="Arial" w:cs="Arial"/>
        </w:rPr>
        <w:t>Karya</w:t>
      </w:r>
      <w:proofErr w:type="spellEnd"/>
      <w:r w:rsidRPr="0066797A">
        <w:rPr>
          <w:rFonts w:ascii="Arial" w:hAnsi="Arial" w:cs="Arial"/>
        </w:rPr>
        <w:t xml:space="preserve"> Bersama, Banjar.</w:t>
      </w:r>
    </w:p>
    <w:sectPr w:rsidR="00B01FCD" w:rsidRPr="00E64CB4" w:rsidSect="00F62B9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B842" w14:textId="77777777" w:rsidR="002F5696" w:rsidRDefault="002F5696" w:rsidP="00C37E61">
      <w:r>
        <w:separator/>
      </w:r>
    </w:p>
  </w:endnote>
  <w:endnote w:type="continuationSeparator" w:id="0">
    <w:p w14:paraId="2B33E751" w14:textId="77777777" w:rsidR="002F5696" w:rsidRDefault="002F56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0575" w14:textId="77777777" w:rsidR="00F62B9E" w:rsidRDefault="00F62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240F" w14:textId="77777777" w:rsidR="00F62B9E" w:rsidRDefault="00F62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3B2E" w14:textId="77777777" w:rsidR="009E048A" w:rsidRDefault="009E048A">
    <w:pPr>
      <w:pStyle w:val="Footer"/>
      <w:rPr>
        <w:rFonts w:ascii="Arial" w:hAnsi="Arial" w:cs="Arial"/>
        <w:sz w:val="16"/>
      </w:rPr>
    </w:pPr>
  </w:p>
  <w:p w14:paraId="4E3F05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B8D178" w14:textId="77777777" w:rsidR="009E048A" w:rsidRDefault="009E048A">
    <w:pPr>
      <w:pStyle w:val="Footer"/>
      <w:rPr>
        <w:rFonts w:ascii="Arial" w:hAnsi="Arial" w:cs="Arial"/>
        <w:sz w:val="16"/>
      </w:rPr>
    </w:pPr>
  </w:p>
  <w:p w14:paraId="6748E06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9D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7D507" w14:textId="77777777" w:rsidR="002F5696" w:rsidRDefault="002F5696" w:rsidP="00C37E61">
      <w:r>
        <w:separator/>
      </w:r>
    </w:p>
  </w:footnote>
  <w:footnote w:type="continuationSeparator" w:id="0">
    <w:p w14:paraId="7B5FF446" w14:textId="77777777" w:rsidR="002F5696" w:rsidRDefault="002F56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B05A" w14:textId="4F3AEDC2" w:rsidR="00F62B9E" w:rsidRDefault="00F62B9E">
    <w:pPr>
      <w:pStyle w:val="Header"/>
    </w:pPr>
    <w:r>
      <w:rPr>
        <w:noProof/>
      </w:rPr>
      <w:pict w14:anchorId="2FFB1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DB1A" w14:textId="146C4549" w:rsidR="00F62B9E" w:rsidRDefault="00F62B9E">
    <w:pPr>
      <w:pStyle w:val="Header"/>
    </w:pPr>
    <w:r>
      <w:rPr>
        <w:noProof/>
      </w:rPr>
      <w:pict w14:anchorId="730EA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F939" w14:textId="4868ABB4" w:rsidR="00296529" w:rsidRPr="00296529" w:rsidRDefault="00F62B9E" w:rsidP="00296529">
    <w:pPr>
      <w:ind w:left="2160"/>
      <w:jc w:val="center"/>
      <w:rPr>
        <w:rFonts w:ascii="Times New Roman" w:eastAsia="Calibri" w:hAnsi="Times New Roman"/>
        <w:i/>
        <w:sz w:val="18"/>
        <w:szCs w:val="22"/>
      </w:rPr>
    </w:pPr>
    <w:r>
      <w:rPr>
        <w:noProof/>
      </w:rPr>
      <w:pict w14:anchorId="3D3F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55E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D4BB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2A53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D7F6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994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3202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3AC7" w14:textId="4D57124E" w:rsidR="00F62B9E" w:rsidRDefault="00F62B9E">
    <w:pPr>
      <w:pStyle w:val="Header"/>
    </w:pPr>
    <w:r>
      <w:rPr>
        <w:noProof/>
      </w:rPr>
      <w:pict w14:anchorId="3D56F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ABAC" w14:textId="5B21F258" w:rsidR="00F62B9E" w:rsidRDefault="00F62B9E">
    <w:pPr>
      <w:pStyle w:val="Header"/>
    </w:pPr>
    <w:r>
      <w:rPr>
        <w:noProof/>
      </w:rPr>
      <w:pict w14:anchorId="1A6CC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CCC0" w14:textId="1644D88F" w:rsidR="00F62B9E" w:rsidRDefault="00F62B9E">
    <w:pPr>
      <w:pStyle w:val="Header"/>
    </w:pPr>
    <w:r>
      <w:rPr>
        <w:noProof/>
      </w:rPr>
      <w:pict w14:anchorId="039C1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80"/>
    <w:rsid w:val="00000F8F"/>
    <w:rsid w:val="00002736"/>
    <w:rsid w:val="000065CB"/>
    <w:rsid w:val="00010C22"/>
    <w:rsid w:val="000132F1"/>
    <w:rsid w:val="00015196"/>
    <w:rsid w:val="00015E57"/>
    <w:rsid w:val="000268D5"/>
    <w:rsid w:val="00030174"/>
    <w:rsid w:val="00030699"/>
    <w:rsid w:val="00031144"/>
    <w:rsid w:val="0003233C"/>
    <w:rsid w:val="00032944"/>
    <w:rsid w:val="00043174"/>
    <w:rsid w:val="0004579C"/>
    <w:rsid w:val="00050C19"/>
    <w:rsid w:val="00064166"/>
    <w:rsid w:val="00066223"/>
    <w:rsid w:val="00067512"/>
    <w:rsid w:val="00071489"/>
    <w:rsid w:val="00074EA5"/>
    <w:rsid w:val="000755EC"/>
    <w:rsid w:val="00076910"/>
    <w:rsid w:val="00076B65"/>
    <w:rsid w:val="00082BE1"/>
    <w:rsid w:val="000849AB"/>
    <w:rsid w:val="0008569C"/>
    <w:rsid w:val="000903EE"/>
    <w:rsid w:val="000952C6"/>
    <w:rsid w:val="00095D27"/>
    <w:rsid w:val="000A0C16"/>
    <w:rsid w:val="000A274F"/>
    <w:rsid w:val="000A47FA"/>
    <w:rsid w:val="000A4B00"/>
    <w:rsid w:val="000A65D3"/>
    <w:rsid w:val="000B1E33"/>
    <w:rsid w:val="000B5EAE"/>
    <w:rsid w:val="000C3570"/>
    <w:rsid w:val="000C3B52"/>
    <w:rsid w:val="000C3C2C"/>
    <w:rsid w:val="000C44BA"/>
    <w:rsid w:val="000D6179"/>
    <w:rsid w:val="000D65CE"/>
    <w:rsid w:val="000D689F"/>
    <w:rsid w:val="000E05EB"/>
    <w:rsid w:val="000E29D2"/>
    <w:rsid w:val="000E7B7B"/>
    <w:rsid w:val="000E7D62"/>
    <w:rsid w:val="000F1640"/>
    <w:rsid w:val="000F7785"/>
    <w:rsid w:val="00103357"/>
    <w:rsid w:val="00111A13"/>
    <w:rsid w:val="00113872"/>
    <w:rsid w:val="00116115"/>
    <w:rsid w:val="00123C9F"/>
    <w:rsid w:val="00125344"/>
    <w:rsid w:val="001259D4"/>
    <w:rsid w:val="00126190"/>
    <w:rsid w:val="001266CE"/>
    <w:rsid w:val="00130F17"/>
    <w:rsid w:val="001320BF"/>
    <w:rsid w:val="001368A1"/>
    <w:rsid w:val="00136C20"/>
    <w:rsid w:val="001371AB"/>
    <w:rsid w:val="00137389"/>
    <w:rsid w:val="00140020"/>
    <w:rsid w:val="00140113"/>
    <w:rsid w:val="0014285C"/>
    <w:rsid w:val="00162D1E"/>
    <w:rsid w:val="00163BC4"/>
    <w:rsid w:val="00166183"/>
    <w:rsid w:val="00171628"/>
    <w:rsid w:val="00181014"/>
    <w:rsid w:val="00184268"/>
    <w:rsid w:val="00191062"/>
    <w:rsid w:val="00192B72"/>
    <w:rsid w:val="001A29D8"/>
    <w:rsid w:val="001A33CD"/>
    <w:rsid w:val="001A3E42"/>
    <w:rsid w:val="001A5CAA"/>
    <w:rsid w:val="001B0427"/>
    <w:rsid w:val="001B4AF0"/>
    <w:rsid w:val="001B6626"/>
    <w:rsid w:val="001D3A51"/>
    <w:rsid w:val="001D45D4"/>
    <w:rsid w:val="001E10D2"/>
    <w:rsid w:val="001E25B4"/>
    <w:rsid w:val="001E44FE"/>
    <w:rsid w:val="001E7E6C"/>
    <w:rsid w:val="001F2C16"/>
    <w:rsid w:val="001F724B"/>
    <w:rsid w:val="00200595"/>
    <w:rsid w:val="00200F2A"/>
    <w:rsid w:val="00204835"/>
    <w:rsid w:val="00204E52"/>
    <w:rsid w:val="00205843"/>
    <w:rsid w:val="0021147B"/>
    <w:rsid w:val="00211553"/>
    <w:rsid w:val="00212F7E"/>
    <w:rsid w:val="002145E7"/>
    <w:rsid w:val="00216BBD"/>
    <w:rsid w:val="002225E1"/>
    <w:rsid w:val="00231920"/>
    <w:rsid w:val="0023195C"/>
    <w:rsid w:val="00232F43"/>
    <w:rsid w:val="002402FA"/>
    <w:rsid w:val="0024282C"/>
    <w:rsid w:val="002460DC"/>
    <w:rsid w:val="00250985"/>
    <w:rsid w:val="00250B1F"/>
    <w:rsid w:val="00252246"/>
    <w:rsid w:val="00252B23"/>
    <w:rsid w:val="002556F6"/>
    <w:rsid w:val="00265F80"/>
    <w:rsid w:val="00267599"/>
    <w:rsid w:val="0027570E"/>
    <w:rsid w:val="00282026"/>
    <w:rsid w:val="00283105"/>
    <w:rsid w:val="00284C4C"/>
    <w:rsid w:val="002853DF"/>
    <w:rsid w:val="00287E68"/>
    <w:rsid w:val="00291D8D"/>
    <w:rsid w:val="002928D0"/>
    <w:rsid w:val="00295C2D"/>
    <w:rsid w:val="00296529"/>
    <w:rsid w:val="002B27FB"/>
    <w:rsid w:val="002B685A"/>
    <w:rsid w:val="002C1D1F"/>
    <w:rsid w:val="002C57D2"/>
    <w:rsid w:val="002D1EC4"/>
    <w:rsid w:val="002E0D56"/>
    <w:rsid w:val="002E11C5"/>
    <w:rsid w:val="002E12EE"/>
    <w:rsid w:val="002F0BE7"/>
    <w:rsid w:val="002F2DAD"/>
    <w:rsid w:val="002F3FD3"/>
    <w:rsid w:val="002F4C55"/>
    <w:rsid w:val="002F5696"/>
    <w:rsid w:val="002F65A7"/>
    <w:rsid w:val="00306940"/>
    <w:rsid w:val="0031210B"/>
    <w:rsid w:val="00315186"/>
    <w:rsid w:val="003223F1"/>
    <w:rsid w:val="00324419"/>
    <w:rsid w:val="00331050"/>
    <w:rsid w:val="00332385"/>
    <w:rsid w:val="0033343E"/>
    <w:rsid w:val="003368E9"/>
    <w:rsid w:val="00344058"/>
    <w:rsid w:val="0034419C"/>
    <w:rsid w:val="003512C2"/>
    <w:rsid w:val="003622B2"/>
    <w:rsid w:val="00364780"/>
    <w:rsid w:val="00370F1B"/>
    <w:rsid w:val="00371E8C"/>
    <w:rsid w:val="00371FB6"/>
    <w:rsid w:val="00374B0C"/>
    <w:rsid w:val="003763C1"/>
    <w:rsid w:val="00376BBE"/>
    <w:rsid w:val="00377B12"/>
    <w:rsid w:val="0038239B"/>
    <w:rsid w:val="00384761"/>
    <w:rsid w:val="0038684B"/>
    <w:rsid w:val="0039064A"/>
    <w:rsid w:val="0039224F"/>
    <w:rsid w:val="003935A0"/>
    <w:rsid w:val="003A3CFD"/>
    <w:rsid w:val="003A43A4"/>
    <w:rsid w:val="003A7E18"/>
    <w:rsid w:val="003C0D5A"/>
    <w:rsid w:val="003C1E81"/>
    <w:rsid w:val="003C4C86"/>
    <w:rsid w:val="003C6258"/>
    <w:rsid w:val="003C7623"/>
    <w:rsid w:val="003D01A3"/>
    <w:rsid w:val="003D1A36"/>
    <w:rsid w:val="003D500E"/>
    <w:rsid w:val="003D67BE"/>
    <w:rsid w:val="003E2904"/>
    <w:rsid w:val="003E37B0"/>
    <w:rsid w:val="003F046B"/>
    <w:rsid w:val="003F5607"/>
    <w:rsid w:val="00401927"/>
    <w:rsid w:val="0040263B"/>
    <w:rsid w:val="00402D22"/>
    <w:rsid w:val="00404C03"/>
    <w:rsid w:val="0041027F"/>
    <w:rsid w:val="00412475"/>
    <w:rsid w:val="004141E5"/>
    <w:rsid w:val="004154DB"/>
    <w:rsid w:val="00415B31"/>
    <w:rsid w:val="0041756D"/>
    <w:rsid w:val="00421826"/>
    <w:rsid w:val="00421872"/>
    <w:rsid w:val="004224DD"/>
    <w:rsid w:val="00423789"/>
    <w:rsid w:val="00432FEF"/>
    <w:rsid w:val="00440F43"/>
    <w:rsid w:val="004415FD"/>
    <w:rsid w:val="00441B6F"/>
    <w:rsid w:val="004453E6"/>
    <w:rsid w:val="004456A6"/>
    <w:rsid w:val="00445E5C"/>
    <w:rsid w:val="00446221"/>
    <w:rsid w:val="00450E62"/>
    <w:rsid w:val="004539DB"/>
    <w:rsid w:val="004601C7"/>
    <w:rsid w:val="00463346"/>
    <w:rsid w:val="004700DC"/>
    <w:rsid w:val="00471A80"/>
    <w:rsid w:val="00472BEB"/>
    <w:rsid w:val="00473BBB"/>
    <w:rsid w:val="00485654"/>
    <w:rsid w:val="004A267D"/>
    <w:rsid w:val="004A3B5D"/>
    <w:rsid w:val="004A41CF"/>
    <w:rsid w:val="004A5C4C"/>
    <w:rsid w:val="004A5D4A"/>
    <w:rsid w:val="004A5EF0"/>
    <w:rsid w:val="004A6830"/>
    <w:rsid w:val="004A711A"/>
    <w:rsid w:val="004B1FC9"/>
    <w:rsid w:val="004B3909"/>
    <w:rsid w:val="004B6359"/>
    <w:rsid w:val="004D305E"/>
    <w:rsid w:val="004D4277"/>
    <w:rsid w:val="004D7F72"/>
    <w:rsid w:val="004F1539"/>
    <w:rsid w:val="004F60D9"/>
    <w:rsid w:val="004F6968"/>
    <w:rsid w:val="00502516"/>
    <w:rsid w:val="00505DF2"/>
    <w:rsid w:val="00505F06"/>
    <w:rsid w:val="00506828"/>
    <w:rsid w:val="00512D68"/>
    <w:rsid w:val="0053056E"/>
    <w:rsid w:val="005329AD"/>
    <w:rsid w:val="00532EC1"/>
    <w:rsid w:val="005339BE"/>
    <w:rsid w:val="0055284D"/>
    <w:rsid w:val="00553FFA"/>
    <w:rsid w:val="00554FDA"/>
    <w:rsid w:val="00563429"/>
    <w:rsid w:val="00565ADA"/>
    <w:rsid w:val="00581D3B"/>
    <w:rsid w:val="0058595B"/>
    <w:rsid w:val="005960EE"/>
    <w:rsid w:val="0059630D"/>
    <w:rsid w:val="005A256C"/>
    <w:rsid w:val="005A2CF2"/>
    <w:rsid w:val="005A704A"/>
    <w:rsid w:val="005B3DC9"/>
    <w:rsid w:val="005B574B"/>
    <w:rsid w:val="005C2882"/>
    <w:rsid w:val="005C2E60"/>
    <w:rsid w:val="005C5BDB"/>
    <w:rsid w:val="005C784C"/>
    <w:rsid w:val="005D17F6"/>
    <w:rsid w:val="005E2090"/>
    <w:rsid w:val="005E5539"/>
    <w:rsid w:val="005E741A"/>
    <w:rsid w:val="005F6A88"/>
    <w:rsid w:val="00602BF5"/>
    <w:rsid w:val="0060543C"/>
    <w:rsid w:val="0061518B"/>
    <w:rsid w:val="00617FDD"/>
    <w:rsid w:val="00620E4F"/>
    <w:rsid w:val="00622688"/>
    <w:rsid w:val="00623814"/>
    <w:rsid w:val="00627FA5"/>
    <w:rsid w:val="00630402"/>
    <w:rsid w:val="006331FA"/>
    <w:rsid w:val="00633614"/>
    <w:rsid w:val="0063389A"/>
    <w:rsid w:val="00633F68"/>
    <w:rsid w:val="00636EB2"/>
    <w:rsid w:val="006375B8"/>
    <w:rsid w:val="006403AB"/>
    <w:rsid w:val="006421CC"/>
    <w:rsid w:val="006461E5"/>
    <w:rsid w:val="00654308"/>
    <w:rsid w:val="006547F5"/>
    <w:rsid w:val="00656508"/>
    <w:rsid w:val="006574A8"/>
    <w:rsid w:val="00660C1A"/>
    <w:rsid w:val="0066510A"/>
    <w:rsid w:val="0066797A"/>
    <w:rsid w:val="0067057A"/>
    <w:rsid w:val="00673F9F"/>
    <w:rsid w:val="006778DE"/>
    <w:rsid w:val="006862D6"/>
    <w:rsid w:val="00686953"/>
    <w:rsid w:val="00687DEA"/>
    <w:rsid w:val="00687E67"/>
    <w:rsid w:val="00693628"/>
    <w:rsid w:val="006967F7"/>
    <w:rsid w:val="00697866"/>
    <w:rsid w:val="006A250C"/>
    <w:rsid w:val="006A3A22"/>
    <w:rsid w:val="006A5AB4"/>
    <w:rsid w:val="006A6692"/>
    <w:rsid w:val="006B21D3"/>
    <w:rsid w:val="006B57D0"/>
    <w:rsid w:val="006B5E98"/>
    <w:rsid w:val="006C6BE4"/>
    <w:rsid w:val="006C7296"/>
    <w:rsid w:val="006D30FF"/>
    <w:rsid w:val="006D4AD5"/>
    <w:rsid w:val="006D6940"/>
    <w:rsid w:val="006F08DF"/>
    <w:rsid w:val="006F11EC"/>
    <w:rsid w:val="006F1BCA"/>
    <w:rsid w:val="0070082C"/>
    <w:rsid w:val="00706651"/>
    <w:rsid w:val="0071178D"/>
    <w:rsid w:val="00713A4C"/>
    <w:rsid w:val="0071419A"/>
    <w:rsid w:val="00724E0A"/>
    <w:rsid w:val="007255EB"/>
    <w:rsid w:val="00733D65"/>
    <w:rsid w:val="007369E6"/>
    <w:rsid w:val="0074002F"/>
    <w:rsid w:val="00741B91"/>
    <w:rsid w:val="00746E59"/>
    <w:rsid w:val="00752D0A"/>
    <w:rsid w:val="00752F52"/>
    <w:rsid w:val="00753001"/>
    <w:rsid w:val="00754C9A"/>
    <w:rsid w:val="0075599A"/>
    <w:rsid w:val="00755C30"/>
    <w:rsid w:val="007567BB"/>
    <w:rsid w:val="00761D52"/>
    <w:rsid w:val="00766818"/>
    <w:rsid w:val="00770B0F"/>
    <w:rsid w:val="00773583"/>
    <w:rsid w:val="00773927"/>
    <w:rsid w:val="00776417"/>
    <w:rsid w:val="00777331"/>
    <w:rsid w:val="0077749E"/>
    <w:rsid w:val="00790ADA"/>
    <w:rsid w:val="007A1F25"/>
    <w:rsid w:val="007A3FF8"/>
    <w:rsid w:val="007A52CF"/>
    <w:rsid w:val="007A5773"/>
    <w:rsid w:val="007B0EB8"/>
    <w:rsid w:val="007B173C"/>
    <w:rsid w:val="007B58CA"/>
    <w:rsid w:val="007B5AA8"/>
    <w:rsid w:val="007C0631"/>
    <w:rsid w:val="007C6524"/>
    <w:rsid w:val="007C7237"/>
    <w:rsid w:val="007D2288"/>
    <w:rsid w:val="007E088F"/>
    <w:rsid w:val="007E0E43"/>
    <w:rsid w:val="007E1203"/>
    <w:rsid w:val="007F687F"/>
    <w:rsid w:val="007F718F"/>
    <w:rsid w:val="007F7B32"/>
    <w:rsid w:val="00804BC2"/>
    <w:rsid w:val="00804BEA"/>
    <w:rsid w:val="00811D97"/>
    <w:rsid w:val="008125ED"/>
    <w:rsid w:val="0081431A"/>
    <w:rsid w:val="0081501D"/>
    <w:rsid w:val="00815B61"/>
    <w:rsid w:val="008217AB"/>
    <w:rsid w:val="00822B74"/>
    <w:rsid w:val="00823D0D"/>
    <w:rsid w:val="00826C73"/>
    <w:rsid w:val="0082738B"/>
    <w:rsid w:val="0083216F"/>
    <w:rsid w:val="0083552F"/>
    <w:rsid w:val="00835585"/>
    <w:rsid w:val="00840C4C"/>
    <w:rsid w:val="00845112"/>
    <w:rsid w:val="00850E98"/>
    <w:rsid w:val="00860000"/>
    <w:rsid w:val="008621CE"/>
    <w:rsid w:val="00863168"/>
    <w:rsid w:val="008636BE"/>
    <w:rsid w:val="00863BD3"/>
    <w:rsid w:val="008641ED"/>
    <w:rsid w:val="00866D66"/>
    <w:rsid w:val="008671C6"/>
    <w:rsid w:val="00873015"/>
    <w:rsid w:val="00874AB1"/>
    <w:rsid w:val="00874DA1"/>
    <w:rsid w:val="00874E43"/>
    <w:rsid w:val="00875803"/>
    <w:rsid w:val="00881EB0"/>
    <w:rsid w:val="00891DA4"/>
    <w:rsid w:val="00894F9D"/>
    <w:rsid w:val="008A5B07"/>
    <w:rsid w:val="008B459E"/>
    <w:rsid w:val="008C0483"/>
    <w:rsid w:val="008C3CE5"/>
    <w:rsid w:val="008C5550"/>
    <w:rsid w:val="008D181F"/>
    <w:rsid w:val="008D1D00"/>
    <w:rsid w:val="008D378B"/>
    <w:rsid w:val="008D79B2"/>
    <w:rsid w:val="008E13AE"/>
    <w:rsid w:val="008E1506"/>
    <w:rsid w:val="008E638D"/>
    <w:rsid w:val="008E710C"/>
    <w:rsid w:val="008F69D6"/>
    <w:rsid w:val="00900BC6"/>
    <w:rsid w:val="00900D94"/>
    <w:rsid w:val="00902823"/>
    <w:rsid w:val="00904789"/>
    <w:rsid w:val="00904EA7"/>
    <w:rsid w:val="00906496"/>
    <w:rsid w:val="009133E9"/>
    <w:rsid w:val="00915CA6"/>
    <w:rsid w:val="009244EE"/>
    <w:rsid w:val="00924A80"/>
    <w:rsid w:val="00927676"/>
    <w:rsid w:val="00927834"/>
    <w:rsid w:val="0093448A"/>
    <w:rsid w:val="009358FA"/>
    <w:rsid w:val="00941EB8"/>
    <w:rsid w:val="009435B0"/>
    <w:rsid w:val="00946695"/>
    <w:rsid w:val="009500A6"/>
    <w:rsid w:val="00956C61"/>
    <w:rsid w:val="0095768E"/>
    <w:rsid w:val="009576AF"/>
    <w:rsid w:val="00957C18"/>
    <w:rsid w:val="00960F22"/>
    <w:rsid w:val="00961790"/>
    <w:rsid w:val="00962E5C"/>
    <w:rsid w:val="009659BA"/>
    <w:rsid w:val="00972516"/>
    <w:rsid w:val="0097328D"/>
    <w:rsid w:val="009759D8"/>
    <w:rsid w:val="00983040"/>
    <w:rsid w:val="00992801"/>
    <w:rsid w:val="009A03B7"/>
    <w:rsid w:val="009A1D10"/>
    <w:rsid w:val="009A6DCD"/>
    <w:rsid w:val="009B3FB9"/>
    <w:rsid w:val="009B7CE8"/>
    <w:rsid w:val="009C2465"/>
    <w:rsid w:val="009C31A2"/>
    <w:rsid w:val="009C32BA"/>
    <w:rsid w:val="009D1CC3"/>
    <w:rsid w:val="009D33BD"/>
    <w:rsid w:val="009D35A0"/>
    <w:rsid w:val="009D45A4"/>
    <w:rsid w:val="009D7EB7"/>
    <w:rsid w:val="009E048A"/>
    <w:rsid w:val="009E08E9"/>
    <w:rsid w:val="009E3DB9"/>
    <w:rsid w:val="009E5A53"/>
    <w:rsid w:val="009E6E35"/>
    <w:rsid w:val="009E7924"/>
    <w:rsid w:val="009F0EDA"/>
    <w:rsid w:val="009F1375"/>
    <w:rsid w:val="009F57A2"/>
    <w:rsid w:val="009F7636"/>
    <w:rsid w:val="00A03B96"/>
    <w:rsid w:val="00A04303"/>
    <w:rsid w:val="00A05B19"/>
    <w:rsid w:val="00A07EFF"/>
    <w:rsid w:val="00A1070B"/>
    <w:rsid w:val="00A1134E"/>
    <w:rsid w:val="00A20275"/>
    <w:rsid w:val="00A203F0"/>
    <w:rsid w:val="00A2156F"/>
    <w:rsid w:val="00A22876"/>
    <w:rsid w:val="00A24E7E"/>
    <w:rsid w:val="00A258C3"/>
    <w:rsid w:val="00A3304C"/>
    <w:rsid w:val="00A3462C"/>
    <w:rsid w:val="00A347C0"/>
    <w:rsid w:val="00A3595A"/>
    <w:rsid w:val="00A40EFA"/>
    <w:rsid w:val="00A4398B"/>
    <w:rsid w:val="00A44CE8"/>
    <w:rsid w:val="00A50F1E"/>
    <w:rsid w:val="00A50F67"/>
    <w:rsid w:val="00A51431"/>
    <w:rsid w:val="00A539AD"/>
    <w:rsid w:val="00A6336F"/>
    <w:rsid w:val="00A651BA"/>
    <w:rsid w:val="00A6751C"/>
    <w:rsid w:val="00A71035"/>
    <w:rsid w:val="00A71549"/>
    <w:rsid w:val="00A71999"/>
    <w:rsid w:val="00A76810"/>
    <w:rsid w:val="00A77971"/>
    <w:rsid w:val="00A87A92"/>
    <w:rsid w:val="00A87FF6"/>
    <w:rsid w:val="00A92457"/>
    <w:rsid w:val="00A94063"/>
    <w:rsid w:val="00A96C07"/>
    <w:rsid w:val="00A96DA5"/>
    <w:rsid w:val="00AA6219"/>
    <w:rsid w:val="00AA6AB4"/>
    <w:rsid w:val="00AA74E0"/>
    <w:rsid w:val="00AB1634"/>
    <w:rsid w:val="00AB703F"/>
    <w:rsid w:val="00AB7F15"/>
    <w:rsid w:val="00AC3D5B"/>
    <w:rsid w:val="00AC4B4C"/>
    <w:rsid w:val="00AC6BB8"/>
    <w:rsid w:val="00AD4CF0"/>
    <w:rsid w:val="00AE008F"/>
    <w:rsid w:val="00AE253E"/>
    <w:rsid w:val="00AE4A52"/>
    <w:rsid w:val="00B01FCD"/>
    <w:rsid w:val="00B12567"/>
    <w:rsid w:val="00B13E3C"/>
    <w:rsid w:val="00B15C6B"/>
    <w:rsid w:val="00B16AD0"/>
    <w:rsid w:val="00B1701E"/>
    <w:rsid w:val="00B1776C"/>
    <w:rsid w:val="00B30378"/>
    <w:rsid w:val="00B342C7"/>
    <w:rsid w:val="00B40B62"/>
    <w:rsid w:val="00B422D7"/>
    <w:rsid w:val="00B422EE"/>
    <w:rsid w:val="00B47265"/>
    <w:rsid w:val="00B52206"/>
    <w:rsid w:val="00B52583"/>
    <w:rsid w:val="00B52896"/>
    <w:rsid w:val="00B63CB8"/>
    <w:rsid w:val="00B64658"/>
    <w:rsid w:val="00B706C6"/>
    <w:rsid w:val="00B74245"/>
    <w:rsid w:val="00B7696C"/>
    <w:rsid w:val="00B85864"/>
    <w:rsid w:val="00B95236"/>
    <w:rsid w:val="00B96BD9"/>
    <w:rsid w:val="00BA16B9"/>
    <w:rsid w:val="00BA1B01"/>
    <w:rsid w:val="00BA2641"/>
    <w:rsid w:val="00BA2791"/>
    <w:rsid w:val="00BB37AA"/>
    <w:rsid w:val="00BB740E"/>
    <w:rsid w:val="00BB74AA"/>
    <w:rsid w:val="00BC466A"/>
    <w:rsid w:val="00BC53A0"/>
    <w:rsid w:val="00BD1B63"/>
    <w:rsid w:val="00BD2767"/>
    <w:rsid w:val="00BD2A79"/>
    <w:rsid w:val="00BD3B22"/>
    <w:rsid w:val="00BD3FCF"/>
    <w:rsid w:val="00BE0A02"/>
    <w:rsid w:val="00BE5399"/>
    <w:rsid w:val="00BE62AD"/>
    <w:rsid w:val="00BF121F"/>
    <w:rsid w:val="00BF1F80"/>
    <w:rsid w:val="00BF2F76"/>
    <w:rsid w:val="00C166EF"/>
    <w:rsid w:val="00C17EB0"/>
    <w:rsid w:val="00C20A57"/>
    <w:rsid w:val="00C227E3"/>
    <w:rsid w:val="00C26F77"/>
    <w:rsid w:val="00C27F5F"/>
    <w:rsid w:val="00C303B4"/>
    <w:rsid w:val="00C30A0F"/>
    <w:rsid w:val="00C35F04"/>
    <w:rsid w:val="00C37E61"/>
    <w:rsid w:val="00C45141"/>
    <w:rsid w:val="00C5697B"/>
    <w:rsid w:val="00C62131"/>
    <w:rsid w:val="00C629C3"/>
    <w:rsid w:val="00C70F1B"/>
    <w:rsid w:val="00C71A47"/>
    <w:rsid w:val="00C74503"/>
    <w:rsid w:val="00C7464C"/>
    <w:rsid w:val="00C80E85"/>
    <w:rsid w:val="00C85588"/>
    <w:rsid w:val="00C85DB4"/>
    <w:rsid w:val="00C8630C"/>
    <w:rsid w:val="00C86E60"/>
    <w:rsid w:val="00C901D9"/>
    <w:rsid w:val="00CA4373"/>
    <w:rsid w:val="00CA5095"/>
    <w:rsid w:val="00CB45EB"/>
    <w:rsid w:val="00CC5DAA"/>
    <w:rsid w:val="00CC76CC"/>
    <w:rsid w:val="00CD6755"/>
    <w:rsid w:val="00CD6856"/>
    <w:rsid w:val="00CE0089"/>
    <w:rsid w:val="00CE098C"/>
    <w:rsid w:val="00CE19AB"/>
    <w:rsid w:val="00CE2048"/>
    <w:rsid w:val="00CE35EC"/>
    <w:rsid w:val="00CE6118"/>
    <w:rsid w:val="00CE793C"/>
    <w:rsid w:val="00CF00F7"/>
    <w:rsid w:val="00CF03B3"/>
    <w:rsid w:val="00CF193C"/>
    <w:rsid w:val="00CF4C97"/>
    <w:rsid w:val="00CF4F2D"/>
    <w:rsid w:val="00D0751A"/>
    <w:rsid w:val="00D10ED5"/>
    <w:rsid w:val="00D1202E"/>
    <w:rsid w:val="00D1710A"/>
    <w:rsid w:val="00D173F1"/>
    <w:rsid w:val="00D31B43"/>
    <w:rsid w:val="00D33BAD"/>
    <w:rsid w:val="00D33C9F"/>
    <w:rsid w:val="00D45061"/>
    <w:rsid w:val="00D468B3"/>
    <w:rsid w:val="00D469F0"/>
    <w:rsid w:val="00D53616"/>
    <w:rsid w:val="00D57B28"/>
    <w:rsid w:val="00D73DEE"/>
    <w:rsid w:val="00D74CB0"/>
    <w:rsid w:val="00D8295D"/>
    <w:rsid w:val="00D840B1"/>
    <w:rsid w:val="00D84466"/>
    <w:rsid w:val="00D94979"/>
    <w:rsid w:val="00D953D0"/>
    <w:rsid w:val="00DA068E"/>
    <w:rsid w:val="00DA0944"/>
    <w:rsid w:val="00DB443D"/>
    <w:rsid w:val="00DB6E04"/>
    <w:rsid w:val="00DB7AC8"/>
    <w:rsid w:val="00DC02DD"/>
    <w:rsid w:val="00DC2132"/>
    <w:rsid w:val="00DC2A65"/>
    <w:rsid w:val="00DC43B5"/>
    <w:rsid w:val="00DC65C5"/>
    <w:rsid w:val="00DD22E5"/>
    <w:rsid w:val="00DD2939"/>
    <w:rsid w:val="00DD5A85"/>
    <w:rsid w:val="00DD650A"/>
    <w:rsid w:val="00DE0B6E"/>
    <w:rsid w:val="00DE0E49"/>
    <w:rsid w:val="00DE15F0"/>
    <w:rsid w:val="00DE5663"/>
    <w:rsid w:val="00DE78A3"/>
    <w:rsid w:val="00DE78AA"/>
    <w:rsid w:val="00DF561B"/>
    <w:rsid w:val="00E053D0"/>
    <w:rsid w:val="00E113DE"/>
    <w:rsid w:val="00E11EC2"/>
    <w:rsid w:val="00E15994"/>
    <w:rsid w:val="00E24662"/>
    <w:rsid w:val="00E3114E"/>
    <w:rsid w:val="00E31623"/>
    <w:rsid w:val="00E31A70"/>
    <w:rsid w:val="00E34D68"/>
    <w:rsid w:val="00E35B02"/>
    <w:rsid w:val="00E4140C"/>
    <w:rsid w:val="00E417AA"/>
    <w:rsid w:val="00E47B73"/>
    <w:rsid w:val="00E509B9"/>
    <w:rsid w:val="00E51726"/>
    <w:rsid w:val="00E51A13"/>
    <w:rsid w:val="00E53262"/>
    <w:rsid w:val="00E64CB4"/>
    <w:rsid w:val="00E66496"/>
    <w:rsid w:val="00E66B35"/>
    <w:rsid w:val="00E66E10"/>
    <w:rsid w:val="00E71734"/>
    <w:rsid w:val="00E719D8"/>
    <w:rsid w:val="00E7315C"/>
    <w:rsid w:val="00E769F6"/>
    <w:rsid w:val="00E8407C"/>
    <w:rsid w:val="00E84F3C"/>
    <w:rsid w:val="00E92459"/>
    <w:rsid w:val="00E92739"/>
    <w:rsid w:val="00E92E8D"/>
    <w:rsid w:val="00E941A1"/>
    <w:rsid w:val="00E94A03"/>
    <w:rsid w:val="00EA012C"/>
    <w:rsid w:val="00EA1752"/>
    <w:rsid w:val="00EA1D1F"/>
    <w:rsid w:val="00EA38D5"/>
    <w:rsid w:val="00EA53BC"/>
    <w:rsid w:val="00EA6B52"/>
    <w:rsid w:val="00EA6D72"/>
    <w:rsid w:val="00EB090F"/>
    <w:rsid w:val="00EB339C"/>
    <w:rsid w:val="00EC3C4D"/>
    <w:rsid w:val="00EC67A7"/>
    <w:rsid w:val="00EC6A55"/>
    <w:rsid w:val="00EC715B"/>
    <w:rsid w:val="00ED0288"/>
    <w:rsid w:val="00ED2699"/>
    <w:rsid w:val="00ED303E"/>
    <w:rsid w:val="00ED4D6C"/>
    <w:rsid w:val="00ED608C"/>
    <w:rsid w:val="00ED75AF"/>
    <w:rsid w:val="00EE2E32"/>
    <w:rsid w:val="00EE52CB"/>
    <w:rsid w:val="00EF2552"/>
    <w:rsid w:val="00EF581D"/>
    <w:rsid w:val="00EF7FD8"/>
    <w:rsid w:val="00F03FBE"/>
    <w:rsid w:val="00F0496B"/>
    <w:rsid w:val="00F06F59"/>
    <w:rsid w:val="00F17988"/>
    <w:rsid w:val="00F220E9"/>
    <w:rsid w:val="00F25138"/>
    <w:rsid w:val="00F3193F"/>
    <w:rsid w:val="00F35BB5"/>
    <w:rsid w:val="00F43694"/>
    <w:rsid w:val="00F469F0"/>
    <w:rsid w:val="00F51FB2"/>
    <w:rsid w:val="00F52E3C"/>
    <w:rsid w:val="00F53273"/>
    <w:rsid w:val="00F56EC5"/>
    <w:rsid w:val="00F579A3"/>
    <w:rsid w:val="00F625C1"/>
    <w:rsid w:val="00F62B9E"/>
    <w:rsid w:val="00F63658"/>
    <w:rsid w:val="00F63685"/>
    <w:rsid w:val="00F664AF"/>
    <w:rsid w:val="00F7003E"/>
    <w:rsid w:val="00F7510B"/>
    <w:rsid w:val="00F755E4"/>
    <w:rsid w:val="00F7629A"/>
    <w:rsid w:val="00F77D02"/>
    <w:rsid w:val="00F94651"/>
    <w:rsid w:val="00F96FBA"/>
    <w:rsid w:val="00FA45E9"/>
    <w:rsid w:val="00FA5B84"/>
    <w:rsid w:val="00FB01DF"/>
    <w:rsid w:val="00FB3124"/>
    <w:rsid w:val="00FB3A86"/>
    <w:rsid w:val="00FB4A25"/>
    <w:rsid w:val="00FC4426"/>
    <w:rsid w:val="00FC7A1D"/>
    <w:rsid w:val="00FD060D"/>
    <w:rsid w:val="00FD36C8"/>
    <w:rsid w:val="00FD68F0"/>
    <w:rsid w:val="00FD6D7A"/>
    <w:rsid w:val="00FE0489"/>
    <w:rsid w:val="00FE1935"/>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B4BC3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A25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2E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342C7"/>
    <w:pPr>
      <w:spacing w:after="120"/>
    </w:pPr>
  </w:style>
  <w:style w:type="character" w:customStyle="1" w:styleId="BodyTextChar">
    <w:name w:val="Body Text Char"/>
    <w:basedOn w:val="DefaultParagraphFont"/>
    <w:link w:val="BodyText"/>
    <w:semiHidden/>
    <w:rsid w:val="00B342C7"/>
    <w:rPr>
      <w:rFonts w:ascii="Helvetica" w:hAnsi="Helvetica"/>
    </w:rPr>
  </w:style>
  <w:style w:type="character" w:customStyle="1" w:styleId="Heading3Char">
    <w:name w:val="Heading 3 Char"/>
    <w:basedOn w:val="DefaultParagraphFont"/>
    <w:link w:val="Heading3"/>
    <w:uiPriority w:val="9"/>
    <w:semiHidden/>
    <w:rsid w:val="00F52E3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5A256C"/>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DD29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58cc645fbf7de4f/Pictures/Documents/perjuangan%20nisa/OLAHAN%20DATA%20NIS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'Waktu Muncul Tunas'!$J$22</c:f>
              <c:strCache>
                <c:ptCount val="1"/>
                <c:pt idx="0">
                  <c:v>P0 = MS</c:v>
                </c:pt>
              </c:strCache>
            </c:strRef>
          </c:tx>
          <c:spPr>
            <a:solidFill>
              <a:schemeClr val="accent1"/>
            </a:solidFill>
            <a:ln>
              <a:noFill/>
            </a:ln>
            <a:effectLst/>
          </c:spPr>
          <c:invertIfNegative val="0"/>
          <c:dLbls>
            <c:dLbl>
              <c:idx val="0"/>
              <c:layout>
                <c:manualLayout>
                  <c:x val="-5.879758929883901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FD-4743-B83E-6B3427230566}"/>
                </c:ext>
              </c:extLst>
            </c:dLbl>
            <c:dLbl>
              <c:idx val="1"/>
              <c:layout>
                <c:manualLayout>
                  <c:x val="-1.1759517859767749E-2"/>
                  <c:y val="-1.41143260409315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FD-4743-B83E-6B3427230566}"/>
                </c:ext>
              </c:extLst>
            </c:dLbl>
            <c:dLbl>
              <c:idx val="2"/>
              <c:layout>
                <c:manualLayout>
                  <c:x val="-5.87975892988387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FD-4743-B83E-6B3427230566}"/>
                </c:ext>
              </c:extLst>
            </c:dLbl>
            <c:dLbl>
              <c:idx val="3"/>
              <c:layout>
                <c:manualLayout>
                  <c:x val="-1.7639276789651732E-2"/>
                  <c:y val="4.0431196073457986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FD-4743-B83E-6B3427230566}"/>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Tunas'!$K$22:$N$22</c:f>
              <c:numCache>
                <c:formatCode>0.00</c:formatCode>
                <c:ptCount val="4"/>
                <c:pt idx="0">
                  <c:v>12.89</c:v>
                </c:pt>
                <c:pt idx="1">
                  <c:v>15.146666666666667</c:v>
                </c:pt>
                <c:pt idx="2">
                  <c:v>17.443333333333332</c:v>
                </c:pt>
                <c:pt idx="3">
                  <c:v>19.626666666666665</c:v>
                </c:pt>
              </c:numCache>
            </c:numRef>
          </c:val>
          <c:extLst>
            <c:ext xmlns:c16="http://schemas.microsoft.com/office/drawing/2014/chart" uri="{C3380CC4-5D6E-409C-BE32-E72D297353CC}">
              <c16:uniqueId val="{00000004-1DFD-4743-B83E-6B3427230566}"/>
            </c:ext>
          </c:extLst>
        </c:ser>
        <c:ser>
          <c:idx val="1"/>
          <c:order val="1"/>
          <c:tx>
            <c:strRef>
              <c:f>'Waktu Muncul Tunas'!$J$23</c:f>
              <c:strCache>
                <c:ptCount val="1"/>
                <c:pt idx="0">
                  <c:v>P1 = Growmore 2g/L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Tunas'!$K$23:$N$23</c:f>
              <c:numCache>
                <c:formatCode>0.00</c:formatCode>
                <c:ptCount val="4"/>
                <c:pt idx="0">
                  <c:v>13.280000000000001</c:v>
                </c:pt>
                <c:pt idx="1">
                  <c:v>15.813333333333333</c:v>
                </c:pt>
                <c:pt idx="2">
                  <c:v>18.100000000000001</c:v>
                </c:pt>
                <c:pt idx="3">
                  <c:v>20.465</c:v>
                </c:pt>
              </c:numCache>
            </c:numRef>
          </c:val>
          <c:extLst>
            <c:ext xmlns:c16="http://schemas.microsoft.com/office/drawing/2014/chart" uri="{C3380CC4-5D6E-409C-BE32-E72D297353CC}">
              <c16:uniqueId val="{00000005-1DFD-4743-B83E-6B3427230566}"/>
            </c:ext>
          </c:extLst>
        </c:ser>
        <c:ser>
          <c:idx val="2"/>
          <c:order val="2"/>
          <c:tx>
            <c:strRef>
              <c:f>'Waktu Muncul Tunas'!$J$24</c:f>
              <c:strCache>
                <c:ptCount val="1"/>
                <c:pt idx="0">
                  <c:v>P2 = Growmore 4 g/L</c:v>
                </c:pt>
              </c:strCache>
            </c:strRef>
          </c:tx>
          <c:spPr>
            <a:solidFill>
              <a:schemeClr val="accent3"/>
            </a:solidFill>
            <a:ln>
              <a:noFill/>
            </a:ln>
            <a:effectLst/>
          </c:spPr>
          <c:invertIfNegative val="0"/>
          <c:dLbls>
            <c:dLbl>
              <c:idx val="0"/>
              <c:layout>
                <c:manualLayout>
                  <c:x val="8.819638394825758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FD-4743-B83E-6B3427230566}"/>
                </c:ext>
              </c:extLst>
            </c:dLbl>
            <c:dLbl>
              <c:idx val="1"/>
              <c:layout>
                <c:manualLayout>
                  <c:x val="5.8797589298838744E-3"/>
                  <c:y val="-7.0571630204657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FD-4743-B83E-6B3427230566}"/>
                </c:ext>
              </c:extLst>
            </c:dLbl>
            <c:dLbl>
              <c:idx val="2"/>
              <c:layout>
                <c:manualLayout>
                  <c:x val="8.8196383948257046E-3"/>
                  <c:y val="-8.0862392146915973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FD-4743-B83E-6B3427230566}"/>
                </c:ext>
              </c:extLst>
            </c:dLbl>
            <c:dLbl>
              <c:idx val="3"/>
              <c:layout>
                <c:manualLayout>
                  <c:x val="1.7639276789651624E-2"/>
                  <c:y val="-1.41143260409315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FD-4743-B83E-6B3427230566}"/>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Tunas'!$K$21:$N$21</c:f>
              <c:strCache>
                <c:ptCount val="4"/>
                <c:pt idx="0">
                  <c:v>S0</c:v>
                </c:pt>
                <c:pt idx="1">
                  <c:v>S1</c:v>
                </c:pt>
                <c:pt idx="2">
                  <c:v>S2</c:v>
                </c:pt>
                <c:pt idx="3">
                  <c:v>S3</c:v>
                </c:pt>
              </c:strCache>
            </c:strRef>
          </c:cat>
          <c:val>
            <c:numRef>
              <c:f>'Waktu Muncul Tunas'!$K$24:$N$24</c:f>
              <c:numCache>
                <c:formatCode>0.00</c:formatCode>
                <c:ptCount val="4"/>
                <c:pt idx="0">
                  <c:v>14</c:v>
                </c:pt>
                <c:pt idx="1">
                  <c:v>16.443333333333332</c:v>
                </c:pt>
                <c:pt idx="2">
                  <c:v>18.5</c:v>
                </c:pt>
                <c:pt idx="3">
                  <c:v>20.664999999999999</c:v>
                </c:pt>
              </c:numCache>
            </c:numRef>
          </c:val>
          <c:extLst>
            <c:ext xmlns:c16="http://schemas.microsoft.com/office/drawing/2014/chart" uri="{C3380CC4-5D6E-409C-BE32-E72D297353CC}">
              <c16:uniqueId val="{0000000A-1DFD-4743-B83E-6B3427230566}"/>
            </c:ext>
          </c:extLst>
        </c:ser>
        <c:dLbls>
          <c:dLblPos val="outEnd"/>
          <c:showLegendKey val="0"/>
          <c:showVal val="1"/>
          <c:showCatName val="0"/>
          <c:showSerName val="0"/>
          <c:showPercent val="0"/>
          <c:showBubbleSize val="0"/>
        </c:dLbls>
        <c:gapWidth val="105"/>
        <c:overlap val="-15"/>
        <c:axId val="679465080"/>
        <c:axId val="679464720"/>
      </c:barChart>
      <c:catAx>
        <c:axId val="679465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Ket :     S0 = Sucrose 30g/L ; S1 = Sucrose 60 g/L ; </a:t>
                </a:r>
              </a:p>
              <a:p>
                <a:pPr>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             S2 = Sucrose 90g/L ; S3 = Sucrose 120 g/L</a:t>
                </a:r>
              </a:p>
            </c:rich>
          </c:tx>
          <c:layout>
            <c:manualLayout>
              <c:xMode val="edge"/>
              <c:yMode val="edge"/>
              <c:x val="0.24386935756654465"/>
              <c:y val="0.810040705563093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79464720"/>
        <c:crosses val="autoZero"/>
        <c:auto val="1"/>
        <c:lblAlgn val="ctr"/>
        <c:lblOffset val="100"/>
        <c:noMultiLvlLbl val="0"/>
      </c:catAx>
      <c:valAx>
        <c:axId val="6794647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000" b="0" i="0" u="none" strike="noStrike" baseline="0">
                    <a:effectLst/>
                  </a:rPr>
                  <a:t>Time to Micro Shoot Emergence</a:t>
                </a:r>
                <a:r>
                  <a:rPr lang="en-US" sz="1000" b="0" i="0" u="none" strike="noStrike" baseline="0">
                    <a:effectLst/>
                  </a:rPr>
                  <a:t> </a:t>
                </a:r>
                <a:r>
                  <a:rPr lang="en-ID"/>
                  <a:t>(DAP)</a:t>
                </a:r>
              </a:p>
            </c:rich>
          </c:tx>
          <c:layout>
            <c:manualLayout>
              <c:xMode val="edge"/>
              <c:yMode val="edge"/>
              <c:x val="2.5402201524132091E-2"/>
              <c:y val="0.129527024861376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79465080"/>
        <c:crosses val="autoZero"/>
        <c:crossBetween val="between"/>
        <c:majorUnit val="4"/>
        <c:minorUnit val="0.60000000000000009"/>
      </c:valAx>
      <c:spPr>
        <a:noFill/>
        <a:ln>
          <a:noFill/>
        </a:ln>
        <a:effectLst/>
      </c:spPr>
    </c:plotArea>
    <c:legend>
      <c:legendPos val="b"/>
      <c:layout>
        <c:manualLayout>
          <c:xMode val="edge"/>
          <c:yMode val="edge"/>
          <c:x val="0.18240869764268455"/>
          <c:y val="0.7076507227641321"/>
          <c:w val="0.73114647713912984"/>
          <c:h val="8.61077575615124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'waktu muncul daun'!$D$23</c:f>
              <c:strCache>
                <c:ptCount val="1"/>
                <c:pt idx="0">
                  <c:v>P0 = MS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daun'!$E$23:$H$23</c:f>
              <c:numCache>
                <c:formatCode>0.00</c:formatCode>
                <c:ptCount val="4"/>
                <c:pt idx="0">
                  <c:v>5.333333333333333</c:v>
                </c:pt>
                <c:pt idx="1">
                  <c:v>5.1466666666666665</c:v>
                </c:pt>
                <c:pt idx="2">
                  <c:v>6.38</c:v>
                </c:pt>
                <c:pt idx="3">
                  <c:v>7</c:v>
                </c:pt>
              </c:numCache>
            </c:numRef>
          </c:val>
          <c:extLst>
            <c:ext xmlns:c16="http://schemas.microsoft.com/office/drawing/2014/chart" uri="{C3380CC4-5D6E-409C-BE32-E72D297353CC}">
              <c16:uniqueId val="{00000000-72EE-4099-B36C-EB51D586E025}"/>
            </c:ext>
          </c:extLst>
        </c:ser>
        <c:ser>
          <c:idx val="1"/>
          <c:order val="1"/>
          <c:tx>
            <c:strRef>
              <c:f>'waktu muncul daun'!$D$24</c:f>
              <c:strCache>
                <c:ptCount val="1"/>
                <c:pt idx="0">
                  <c:v>P1 = Growmore 2g/L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daun'!$E$24:$H$24</c:f>
              <c:numCache>
                <c:formatCode>0.00</c:formatCode>
                <c:ptCount val="4"/>
                <c:pt idx="0">
                  <c:v>6</c:v>
                </c:pt>
                <c:pt idx="1">
                  <c:v>6.75</c:v>
                </c:pt>
                <c:pt idx="2">
                  <c:v>7</c:v>
                </c:pt>
                <c:pt idx="3">
                  <c:v>7.5</c:v>
                </c:pt>
              </c:numCache>
            </c:numRef>
          </c:val>
          <c:extLst>
            <c:ext xmlns:c16="http://schemas.microsoft.com/office/drawing/2014/chart" uri="{C3380CC4-5D6E-409C-BE32-E72D297353CC}">
              <c16:uniqueId val="{00000001-72EE-4099-B36C-EB51D586E025}"/>
            </c:ext>
          </c:extLst>
        </c:ser>
        <c:ser>
          <c:idx val="2"/>
          <c:order val="2"/>
          <c:tx>
            <c:strRef>
              <c:f>'waktu muncul daun'!$D$25</c:f>
              <c:strCache>
                <c:ptCount val="1"/>
                <c:pt idx="0">
                  <c:v>P2 = Growmore 4 g/L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daun'!$E$22:$H$22</c:f>
              <c:strCache>
                <c:ptCount val="4"/>
                <c:pt idx="0">
                  <c:v>S0</c:v>
                </c:pt>
                <c:pt idx="1">
                  <c:v>S1</c:v>
                </c:pt>
                <c:pt idx="2">
                  <c:v>S2</c:v>
                </c:pt>
                <c:pt idx="3">
                  <c:v>S3</c:v>
                </c:pt>
              </c:strCache>
            </c:strRef>
          </c:cat>
          <c:val>
            <c:numRef>
              <c:f>'waktu muncul daun'!$E$25:$H$25</c:f>
              <c:numCache>
                <c:formatCode>0.00</c:formatCode>
                <c:ptCount val="4"/>
                <c:pt idx="0">
                  <c:v>0</c:v>
                </c:pt>
                <c:pt idx="1">
                  <c:v>0</c:v>
                </c:pt>
                <c:pt idx="2">
                  <c:v>0</c:v>
                </c:pt>
                <c:pt idx="3">
                  <c:v>0</c:v>
                </c:pt>
              </c:numCache>
            </c:numRef>
          </c:val>
          <c:extLst>
            <c:ext xmlns:c16="http://schemas.microsoft.com/office/drawing/2014/chart" uri="{C3380CC4-5D6E-409C-BE32-E72D297353CC}">
              <c16:uniqueId val="{00000002-72EE-4099-B36C-EB51D586E025}"/>
            </c:ext>
          </c:extLst>
        </c:ser>
        <c:dLbls>
          <c:dLblPos val="outEnd"/>
          <c:showLegendKey val="0"/>
          <c:showVal val="1"/>
          <c:showCatName val="0"/>
          <c:showSerName val="0"/>
          <c:showPercent val="0"/>
          <c:showBubbleSize val="0"/>
        </c:dLbls>
        <c:gapWidth val="75"/>
        <c:overlap val="-25"/>
        <c:axId val="635672656"/>
        <c:axId val="635667256"/>
      </c:barChart>
      <c:catAx>
        <c:axId val="63567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Ket :     S0 = Sucrose 30g/L ; S1 = Sucrose 60 g/L ; </a:t>
                </a:r>
              </a:p>
              <a:p>
                <a:pPr>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             S2 = Sucrose 90g/L ; S3 = Sucrose 120 g/L</a:t>
                </a:r>
              </a:p>
            </c:rich>
          </c:tx>
          <c:layout>
            <c:manualLayout>
              <c:xMode val="edge"/>
              <c:yMode val="edge"/>
              <c:x val="0.21524954384935582"/>
              <c:y val="0.815468113975576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5667256"/>
        <c:crosses val="autoZero"/>
        <c:auto val="1"/>
        <c:lblAlgn val="ctr"/>
        <c:lblOffset val="100"/>
        <c:noMultiLvlLbl val="0"/>
      </c:catAx>
      <c:valAx>
        <c:axId val="635667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 </a:t>
                </a:r>
                <a:r>
                  <a:rPr lang="en-US" sz="1000" b="0" i="0" u="none" strike="noStrike" baseline="0">
                    <a:effectLst/>
                  </a:rPr>
                  <a:t>Time to Micro Leaf Emergence</a:t>
                </a:r>
                <a:r>
                  <a:rPr lang="en-ID"/>
                  <a:t> (WAP)</a:t>
                </a:r>
              </a:p>
            </c:rich>
          </c:tx>
          <c:layout>
            <c:manualLayout>
              <c:xMode val="edge"/>
              <c:yMode val="edge"/>
              <c:x val="1.9757267852102738E-2"/>
              <c:y val="0.13379318008636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5672656"/>
        <c:crosses val="autoZero"/>
        <c:crossBetween val="between"/>
        <c:majorUnit val="1.5"/>
      </c:valAx>
      <c:spPr>
        <a:noFill/>
        <a:ln>
          <a:noFill/>
        </a:ln>
        <a:effectLst/>
      </c:spPr>
    </c:plotArea>
    <c:legend>
      <c:legendPos val="b"/>
      <c:layout>
        <c:manualLayout>
          <c:xMode val="edge"/>
          <c:yMode val="edge"/>
          <c:x val="0.16265142979058186"/>
          <c:y val="0.70222331435164898"/>
          <c:w val="0.73114647713912984"/>
          <c:h val="8.61077575615124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'Waktu muncul Umbi'!$C$26</c:f>
              <c:strCache>
                <c:ptCount val="1"/>
                <c:pt idx="0">
                  <c:v>P0 = MS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Umbi'!$D$26:$G$26</c:f>
              <c:numCache>
                <c:formatCode>0.00</c:formatCode>
                <c:ptCount val="4"/>
                <c:pt idx="0">
                  <c:v>8.7433333333333341</c:v>
                </c:pt>
                <c:pt idx="1">
                  <c:v>7.706666666666667</c:v>
                </c:pt>
                <c:pt idx="2">
                  <c:v>8.3966666666666665</c:v>
                </c:pt>
                <c:pt idx="3">
                  <c:v>9.7000000000000011</c:v>
                </c:pt>
              </c:numCache>
            </c:numRef>
          </c:val>
          <c:extLst>
            <c:ext xmlns:c16="http://schemas.microsoft.com/office/drawing/2014/chart" uri="{C3380CC4-5D6E-409C-BE32-E72D297353CC}">
              <c16:uniqueId val="{00000000-D25B-4029-9A6D-197240E14554}"/>
            </c:ext>
          </c:extLst>
        </c:ser>
        <c:ser>
          <c:idx val="1"/>
          <c:order val="1"/>
          <c:tx>
            <c:strRef>
              <c:f>'Waktu muncul Umbi'!$C$27</c:f>
              <c:strCache>
                <c:ptCount val="1"/>
                <c:pt idx="0">
                  <c:v>P1 = Growmore 2g/L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Umbi'!$D$27:$G$27</c:f>
              <c:numCache>
                <c:formatCode>0.00</c:formatCode>
                <c:ptCount val="4"/>
                <c:pt idx="0">
                  <c:v>10</c:v>
                </c:pt>
                <c:pt idx="1">
                  <c:v>9.5</c:v>
                </c:pt>
                <c:pt idx="2">
                  <c:v>0</c:v>
                </c:pt>
                <c:pt idx="3">
                  <c:v>0</c:v>
                </c:pt>
              </c:numCache>
            </c:numRef>
          </c:val>
          <c:extLst>
            <c:ext xmlns:c16="http://schemas.microsoft.com/office/drawing/2014/chart" uri="{C3380CC4-5D6E-409C-BE32-E72D297353CC}">
              <c16:uniqueId val="{00000001-D25B-4029-9A6D-197240E14554}"/>
            </c:ext>
          </c:extLst>
        </c:ser>
        <c:ser>
          <c:idx val="2"/>
          <c:order val="2"/>
          <c:tx>
            <c:strRef>
              <c:f>'Waktu muncul Umbi'!$C$28</c:f>
              <c:strCache>
                <c:ptCount val="1"/>
                <c:pt idx="0">
                  <c:v>P2 = Growmore 4 g/L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'Waktu muncul Umbi'!$D$25:$G$25</c:f>
              <c:strCache>
                <c:ptCount val="4"/>
                <c:pt idx="0">
                  <c:v>S0</c:v>
                </c:pt>
                <c:pt idx="1">
                  <c:v>S1</c:v>
                </c:pt>
                <c:pt idx="2">
                  <c:v>S2</c:v>
                </c:pt>
                <c:pt idx="3">
                  <c:v>S3</c:v>
                </c:pt>
              </c:strCache>
            </c:strRef>
          </c:cat>
          <c:val>
            <c:numRef>
              <c:f>'Waktu muncul Umbi'!$D$28:$G$28</c:f>
              <c:numCache>
                <c:formatCode>0.00</c:formatCode>
                <c:ptCount val="4"/>
                <c:pt idx="0">
                  <c:v>0</c:v>
                </c:pt>
                <c:pt idx="1">
                  <c:v>0</c:v>
                </c:pt>
                <c:pt idx="2">
                  <c:v>0</c:v>
                </c:pt>
                <c:pt idx="3">
                  <c:v>0</c:v>
                </c:pt>
              </c:numCache>
            </c:numRef>
          </c:val>
          <c:extLst>
            <c:ext xmlns:c16="http://schemas.microsoft.com/office/drawing/2014/chart" uri="{C3380CC4-5D6E-409C-BE32-E72D297353CC}">
              <c16:uniqueId val="{00000002-D25B-4029-9A6D-197240E14554}"/>
            </c:ext>
          </c:extLst>
        </c:ser>
        <c:dLbls>
          <c:dLblPos val="outEnd"/>
          <c:showLegendKey val="0"/>
          <c:showVal val="1"/>
          <c:showCatName val="0"/>
          <c:showSerName val="0"/>
          <c:showPercent val="0"/>
          <c:showBubbleSize val="0"/>
        </c:dLbls>
        <c:gapWidth val="219"/>
        <c:overlap val="-27"/>
        <c:axId val="786269464"/>
        <c:axId val="786268024"/>
      </c:barChart>
      <c:catAx>
        <c:axId val="786269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Ket :     S0 = Sucrose 30g/L ; S1 = Sucrose 60 g/L ; </a:t>
                </a:r>
              </a:p>
              <a:p>
                <a:pPr>
                  <a:defRPr/>
                </a:pPr>
                <a:r>
                  <a:rPr lang="en-ID" sz="1000" b="0" i="0" u="none" strike="noStrike" kern="1200" baseline="0">
                    <a:solidFill>
                      <a:sysClr val="windowText" lastClr="000000"/>
                    </a:solidFill>
                    <a:latin typeface="Times New Roman" panose="02020603050405020304" pitchFamily="18" charset="0"/>
                    <a:cs typeface="Times New Roman" panose="02020603050405020304" pitchFamily="18" charset="0"/>
                  </a:rPr>
                  <a:t>             S2 = Sucrose 90g/L ; S3 = Sucrose 120 g/L</a:t>
                </a:r>
                <a:endParaRPr lang="en-ID"/>
              </a:p>
            </c:rich>
          </c:tx>
          <c:layout>
            <c:manualLayout>
              <c:xMode val="edge"/>
              <c:yMode val="edge"/>
              <c:x val="0.24104689073052998"/>
              <c:y val="0.810040705563093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786268024"/>
        <c:crosses val="autoZero"/>
        <c:auto val="1"/>
        <c:lblAlgn val="ctr"/>
        <c:lblOffset val="100"/>
        <c:noMultiLvlLbl val="0"/>
      </c:catAx>
      <c:valAx>
        <c:axId val="7862680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id-ID" sz="1000" b="0" i="0" u="none" strike="noStrike" baseline="0">
                    <a:effectLst/>
                  </a:rPr>
                  <a:t>Time to Microbulb Emergence</a:t>
                </a:r>
                <a:r>
                  <a:rPr lang="en-ID"/>
                  <a:t> (WAP)</a:t>
                </a:r>
              </a:p>
            </c:rich>
          </c:tx>
          <c:layout>
            <c:manualLayout>
              <c:xMode val="edge"/>
              <c:yMode val="edge"/>
              <c:x val="2.5402201524132091E-2"/>
              <c:y val="0.118672208036410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786269464"/>
        <c:crosses val="autoZero"/>
        <c:crossBetween val="between"/>
      </c:valAx>
      <c:spPr>
        <a:noFill/>
        <a:ln>
          <a:noFill/>
        </a:ln>
        <a:effectLst/>
      </c:spPr>
    </c:plotArea>
    <c:legend>
      <c:legendPos val="b"/>
      <c:layout>
        <c:manualLayout>
          <c:xMode val="edge"/>
          <c:yMode val="edge"/>
          <c:x val="0.15418402928253783"/>
          <c:y val="0.69679590593916596"/>
          <c:w val="0.73114647713912984"/>
          <c:h val="8.61077575615124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D1020-CDB3-4043-87BE-FCC3D581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2242</TotalTime>
  <Pages>13</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408</cp:revision>
  <cp:lastPrinted>1999-07-06T11:00:00Z</cp:lastPrinted>
  <dcterms:created xsi:type="dcterms:W3CDTF">2014-10-25T14:34:00Z</dcterms:created>
  <dcterms:modified xsi:type="dcterms:W3CDTF">2026-02-06T12:06:00Z</dcterms:modified>
</cp:coreProperties>
</file>