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EC77A" w14:textId="40CE9B8E" w:rsidR="000C52C0" w:rsidRDefault="000C52C0" w:rsidP="007418E7">
      <w:pPr>
        <w:spacing w:line="360" w:lineRule="auto"/>
        <w:jc w:val="center"/>
        <w:rPr>
          <w:rFonts w:ascii="Times New Roman" w:hAnsi="Times New Roman" w:cs="Times New Roman"/>
          <w:b/>
          <w:bCs/>
          <w:sz w:val="24"/>
          <w:szCs w:val="24"/>
        </w:rPr>
      </w:pPr>
      <w:r w:rsidRPr="000C52C0">
        <w:rPr>
          <w:rFonts w:ascii="Times New Roman" w:hAnsi="Times New Roman" w:cs="Times New Roman"/>
          <w:b/>
          <w:bCs/>
          <w:sz w:val="24"/>
          <w:szCs w:val="24"/>
        </w:rPr>
        <w:t xml:space="preserve">Unlocking Market Potential </w:t>
      </w:r>
      <w:r w:rsidR="007418E7">
        <w:rPr>
          <w:rFonts w:ascii="Times New Roman" w:hAnsi="Times New Roman" w:cs="Times New Roman"/>
          <w:b/>
          <w:bCs/>
          <w:sz w:val="24"/>
          <w:szCs w:val="24"/>
        </w:rPr>
        <w:t xml:space="preserve">for Madurai Malli </w:t>
      </w:r>
      <w:r w:rsidRPr="000C52C0">
        <w:rPr>
          <w:rFonts w:ascii="Times New Roman" w:hAnsi="Times New Roman" w:cs="Times New Roman"/>
          <w:b/>
          <w:bCs/>
          <w:sz w:val="24"/>
          <w:szCs w:val="24"/>
        </w:rPr>
        <w:t>through Value Chain Analysis</w:t>
      </w:r>
    </w:p>
    <w:p w14:paraId="3787FC44" w14:textId="77777777" w:rsidR="00441F0A" w:rsidRDefault="00441F0A" w:rsidP="007418E7">
      <w:pPr>
        <w:spacing w:line="360" w:lineRule="auto"/>
        <w:jc w:val="center"/>
        <w:rPr>
          <w:rFonts w:ascii="Times New Roman" w:hAnsi="Times New Roman" w:cs="Times New Roman"/>
          <w:b/>
          <w:bCs/>
          <w:sz w:val="24"/>
          <w:szCs w:val="24"/>
        </w:rPr>
      </w:pPr>
    </w:p>
    <w:p w14:paraId="15B28041" w14:textId="77777777" w:rsidR="00655B2E" w:rsidRDefault="00655B2E" w:rsidP="000C52C0">
      <w:pPr>
        <w:spacing w:line="360" w:lineRule="auto"/>
        <w:rPr>
          <w:rFonts w:ascii="Times New Roman" w:hAnsi="Times New Roman" w:cs="Times New Roman"/>
          <w:b/>
          <w:bCs/>
        </w:rPr>
      </w:pPr>
    </w:p>
    <w:p w14:paraId="3ECCA8D3" w14:textId="385450F4" w:rsidR="00694F1A" w:rsidRDefault="00694F1A" w:rsidP="000C52C0">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157C03B9" w14:textId="18A3DF91" w:rsidR="00694F1A" w:rsidRPr="004D44ED" w:rsidRDefault="004D44ED" w:rsidP="00834C77">
      <w:pPr>
        <w:spacing w:line="360" w:lineRule="auto"/>
        <w:ind w:firstLine="720"/>
        <w:jc w:val="both"/>
        <w:rPr>
          <w:rFonts w:ascii="Times New Roman" w:hAnsi="Times New Roman" w:cs="Times New Roman"/>
          <w:sz w:val="24"/>
          <w:szCs w:val="24"/>
        </w:rPr>
      </w:pPr>
      <w:r w:rsidRPr="004D44ED">
        <w:rPr>
          <w:rFonts w:ascii="Times New Roman" w:hAnsi="Times New Roman" w:cs="Times New Roman"/>
          <w:sz w:val="24"/>
          <w:szCs w:val="24"/>
        </w:rPr>
        <w:t xml:space="preserve">Geographical Indications (GI) serve as intellectual property rights that protect products uniquely tied to specific regions, where distinctive attributes are derived from local natural, cultural, or traditional factors. This study </w:t>
      </w:r>
      <w:proofErr w:type="spellStart"/>
      <w:r w:rsidRPr="004D44ED">
        <w:rPr>
          <w:rFonts w:ascii="Times New Roman" w:hAnsi="Times New Roman" w:cs="Times New Roman"/>
          <w:sz w:val="24"/>
          <w:szCs w:val="24"/>
        </w:rPr>
        <w:t>analyzes</w:t>
      </w:r>
      <w:proofErr w:type="spellEnd"/>
      <w:r w:rsidRPr="004D44ED">
        <w:rPr>
          <w:rFonts w:ascii="Times New Roman" w:hAnsi="Times New Roman" w:cs="Times New Roman"/>
          <w:sz w:val="24"/>
          <w:szCs w:val="24"/>
        </w:rPr>
        <w:t xml:space="preserve"> the marketing structure, price spread, and efficiency of GI-certified Madurai Malli in Tamil Nadu’s Madurai district, aiming to identify optimal marketing channels that maximize farmer income and minimize intermediary costs. The research was conducted in </w:t>
      </w:r>
      <w:proofErr w:type="spellStart"/>
      <w:r w:rsidRPr="004D44ED">
        <w:rPr>
          <w:rFonts w:ascii="Times New Roman" w:hAnsi="Times New Roman" w:cs="Times New Roman"/>
          <w:sz w:val="24"/>
          <w:szCs w:val="24"/>
        </w:rPr>
        <w:t>Thiruparangundram</w:t>
      </w:r>
      <w:proofErr w:type="spellEnd"/>
      <w:r w:rsidRPr="004D44ED">
        <w:rPr>
          <w:rFonts w:ascii="Times New Roman" w:hAnsi="Times New Roman" w:cs="Times New Roman"/>
          <w:sz w:val="24"/>
          <w:szCs w:val="24"/>
        </w:rPr>
        <w:t xml:space="preserve"> and </w:t>
      </w:r>
      <w:proofErr w:type="spellStart"/>
      <w:r w:rsidRPr="004D44ED">
        <w:rPr>
          <w:rFonts w:ascii="Times New Roman" w:hAnsi="Times New Roman" w:cs="Times New Roman"/>
          <w:sz w:val="24"/>
          <w:szCs w:val="24"/>
        </w:rPr>
        <w:t>Kallikudi</w:t>
      </w:r>
      <w:proofErr w:type="spellEnd"/>
      <w:r w:rsidRPr="004D44ED">
        <w:rPr>
          <w:rFonts w:ascii="Times New Roman" w:hAnsi="Times New Roman" w:cs="Times New Roman"/>
          <w:sz w:val="24"/>
          <w:szCs w:val="24"/>
        </w:rPr>
        <w:t xml:space="preserve"> blocks of Madurai, involving 60 farmers and 10 intermediaries. The study employed Acharya’s and Shepherd’s approaches to evaluate marketing efficiency, in addition to price spread and producer share analyses.</w:t>
      </w:r>
      <w:r>
        <w:rPr>
          <w:rFonts w:ascii="Times New Roman" w:hAnsi="Times New Roman" w:cs="Times New Roman"/>
          <w:sz w:val="24"/>
          <w:szCs w:val="24"/>
        </w:rPr>
        <w:t xml:space="preserve"> The identified f</w:t>
      </w:r>
      <w:r w:rsidRPr="004D44ED">
        <w:rPr>
          <w:rFonts w:ascii="Times New Roman" w:hAnsi="Times New Roman" w:cs="Times New Roman"/>
          <w:sz w:val="24"/>
          <w:szCs w:val="24"/>
        </w:rPr>
        <w:t>our marketing channels were:</w:t>
      </w:r>
      <w:r>
        <w:rPr>
          <w:rFonts w:ascii="Times New Roman" w:hAnsi="Times New Roman" w:cs="Times New Roman"/>
          <w:sz w:val="24"/>
          <w:szCs w:val="24"/>
        </w:rPr>
        <w:t xml:space="preserve"> </w:t>
      </w:r>
      <w:r w:rsidRPr="004D44ED">
        <w:rPr>
          <w:rFonts w:ascii="Times New Roman" w:hAnsi="Times New Roman" w:cs="Times New Roman"/>
          <w:sz w:val="24"/>
          <w:szCs w:val="24"/>
        </w:rPr>
        <w:t>MC I (Farmer → Trader → Wholesaler → Retailer → Consumer),</w:t>
      </w:r>
      <w:r>
        <w:rPr>
          <w:rFonts w:ascii="Times New Roman" w:hAnsi="Times New Roman" w:cs="Times New Roman"/>
          <w:sz w:val="24"/>
          <w:szCs w:val="24"/>
        </w:rPr>
        <w:t xml:space="preserve"> </w:t>
      </w:r>
      <w:r w:rsidRPr="004D44ED">
        <w:rPr>
          <w:rFonts w:ascii="Times New Roman" w:hAnsi="Times New Roman" w:cs="Times New Roman"/>
          <w:sz w:val="24"/>
          <w:szCs w:val="24"/>
        </w:rPr>
        <w:t>MC II (Farmer → Trader → Exporter → Importer → Consumer),</w:t>
      </w:r>
      <w:r>
        <w:rPr>
          <w:rFonts w:ascii="Times New Roman" w:hAnsi="Times New Roman" w:cs="Times New Roman"/>
          <w:sz w:val="24"/>
          <w:szCs w:val="24"/>
        </w:rPr>
        <w:t xml:space="preserve"> </w:t>
      </w:r>
      <w:r w:rsidRPr="004D44ED">
        <w:rPr>
          <w:rFonts w:ascii="Times New Roman" w:hAnsi="Times New Roman" w:cs="Times New Roman"/>
          <w:sz w:val="24"/>
          <w:szCs w:val="24"/>
        </w:rPr>
        <w:t>MC III (Farmer → Trader → Retailer → Consumer), and</w:t>
      </w:r>
      <w:r>
        <w:rPr>
          <w:rFonts w:ascii="Times New Roman" w:hAnsi="Times New Roman" w:cs="Times New Roman"/>
          <w:sz w:val="24"/>
          <w:szCs w:val="24"/>
        </w:rPr>
        <w:t xml:space="preserve"> </w:t>
      </w:r>
      <w:r w:rsidRPr="004D44ED">
        <w:rPr>
          <w:rFonts w:ascii="Times New Roman" w:hAnsi="Times New Roman" w:cs="Times New Roman"/>
          <w:sz w:val="24"/>
          <w:szCs w:val="24"/>
        </w:rPr>
        <w:t>MC IV (Farmer → Trader → Processor → Perfumery Exporter → Importer → Consumer).</w:t>
      </w:r>
      <w:r>
        <w:rPr>
          <w:rFonts w:ascii="Times New Roman" w:hAnsi="Times New Roman" w:cs="Times New Roman"/>
          <w:sz w:val="24"/>
          <w:szCs w:val="24"/>
        </w:rPr>
        <w:t xml:space="preserve"> </w:t>
      </w:r>
      <w:r w:rsidRPr="004D44ED">
        <w:rPr>
          <w:rFonts w:ascii="Times New Roman" w:hAnsi="Times New Roman" w:cs="Times New Roman"/>
          <w:sz w:val="24"/>
          <w:szCs w:val="24"/>
        </w:rPr>
        <w:t>Among these, MC I was the most prevalent (60%), while MC III and MC II accounted for 20% and 10% respectively. MC IV, though promising for value addition, lacked sufficient data for efficiency evaluation. The price spread analysis revealed that MC III delivered the highest net price to farmers (72.97%) and the lowest price spread (27.03%), making it the most efficient channel. MC III as the most eff</w:t>
      </w:r>
      <w:r w:rsidR="00834C77">
        <w:rPr>
          <w:rFonts w:ascii="Times New Roman" w:hAnsi="Times New Roman" w:cs="Times New Roman"/>
          <w:sz w:val="24"/>
          <w:szCs w:val="24"/>
        </w:rPr>
        <w:t>icient channel</w:t>
      </w:r>
      <w:r w:rsidRPr="004D44ED">
        <w:rPr>
          <w:rFonts w:ascii="Times New Roman" w:hAnsi="Times New Roman" w:cs="Times New Roman"/>
          <w:sz w:val="24"/>
          <w:szCs w:val="24"/>
        </w:rPr>
        <w:t xml:space="preserve">, with values of 2.45 (Acharya) and 3.36 (Shepherd). The study concludes that shorter </w:t>
      </w:r>
      <w:r>
        <w:rPr>
          <w:rFonts w:ascii="Times New Roman" w:hAnsi="Times New Roman" w:cs="Times New Roman"/>
          <w:sz w:val="24"/>
          <w:szCs w:val="24"/>
        </w:rPr>
        <w:t>value</w:t>
      </w:r>
      <w:r w:rsidRPr="004D44ED">
        <w:rPr>
          <w:rFonts w:ascii="Times New Roman" w:hAnsi="Times New Roman" w:cs="Times New Roman"/>
          <w:sz w:val="24"/>
          <w:szCs w:val="24"/>
        </w:rPr>
        <w:t xml:space="preserve"> chains</w:t>
      </w:r>
      <w:r w:rsidR="00834C77">
        <w:rPr>
          <w:rFonts w:ascii="Times New Roman" w:hAnsi="Times New Roman" w:cs="Times New Roman"/>
          <w:sz w:val="24"/>
          <w:szCs w:val="24"/>
        </w:rPr>
        <w:t xml:space="preserve"> </w:t>
      </w:r>
      <w:r w:rsidRPr="004D44ED">
        <w:rPr>
          <w:rFonts w:ascii="Times New Roman" w:hAnsi="Times New Roman" w:cs="Times New Roman"/>
          <w:sz w:val="24"/>
          <w:szCs w:val="24"/>
        </w:rPr>
        <w:t>offer better economic returns to producers. Enhancing direct linkages between farmers and retailers and promoting collective marketing strategies can further improve sustainability. There is also potential to develop MC IV for value-added products like perfumes, provided adequate infrastructure and data are in place.</w:t>
      </w:r>
    </w:p>
    <w:p w14:paraId="11A85EC2" w14:textId="16E121E6" w:rsidR="00694F1A" w:rsidRDefault="00694F1A" w:rsidP="000C52C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834C77">
        <w:rPr>
          <w:rFonts w:ascii="Times New Roman" w:hAnsi="Times New Roman" w:cs="Times New Roman"/>
          <w:sz w:val="24"/>
          <w:szCs w:val="24"/>
        </w:rPr>
        <w:t>Value Chain, Madurai Malli, Marketing Efficiency</w:t>
      </w:r>
    </w:p>
    <w:p w14:paraId="044C510B" w14:textId="56F8C0D2" w:rsidR="00FD074C" w:rsidRPr="00834C77" w:rsidRDefault="00FD074C" w:rsidP="007418E7">
      <w:pPr>
        <w:pStyle w:val="ListParagraph"/>
        <w:numPr>
          <w:ilvl w:val="0"/>
          <w:numId w:val="4"/>
        </w:numPr>
        <w:spacing w:line="360" w:lineRule="auto"/>
        <w:ind w:left="284" w:hanging="284"/>
        <w:rPr>
          <w:rFonts w:ascii="Times New Roman" w:hAnsi="Times New Roman" w:cs="Times New Roman"/>
          <w:b/>
          <w:bCs/>
          <w:sz w:val="24"/>
          <w:szCs w:val="24"/>
        </w:rPr>
      </w:pPr>
      <w:r w:rsidRPr="00834C77">
        <w:rPr>
          <w:rFonts w:ascii="Times New Roman" w:hAnsi="Times New Roman" w:cs="Times New Roman"/>
          <w:b/>
          <w:bCs/>
          <w:sz w:val="24"/>
          <w:szCs w:val="24"/>
        </w:rPr>
        <w:t>Introduction</w:t>
      </w:r>
    </w:p>
    <w:p w14:paraId="486E1C2E" w14:textId="24E51B12" w:rsidR="006333D1" w:rsidRPr="00834C77" w:rsidRDefault="006333D1"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 xml:space="preserve">Geographical Indications are intellectual property rights that certify and protect the association of a product with a specific geographic origin, where the unique qualities, reputation or characteristics of the product are inherently linked to the natural, cultural or traditional factors of that region. The product origin emerged as a support or guarantee for </w:t>
      </w:r>
      <w:r w:rsidRPr="00834C77">
        <w:rPr>
          <w:rFonts w:ascii="Times New Roman" w:hAnsi="Times New Roman" w:cs="Times New Roman"/>
          <w:sz w:val="24"/>
          <w:szCs w:val="24"/>
        </w:rPr>
        <w:lastRenderedPageBreak/>
        <w:t>quality and differentiation of</w:t>
      </w:r>
      <w:r w:rsidRPr="00834C77">
        <w:rPr>
          <w:rFonts w:ascii="Times New Roman" w:hAnsi="Times New Roman" w:cs="Times New Roman"/>
          <w:spacing w:val="-1"/>
          <w:sz w:val="24"/>
          <w:szCs w:val="24"/>
        </w:rPr>
        <w:t xml:space="preserve"> </w:t>
      </w:r>
      <w:r w:rsidRPr="00834C77">
        <w:rPr>
          <w:rFonts w:ascii="Times New Roman" w:hAnsi="Times New Roman" w:cs="Times New Roman"/>
          <w:sz w:val="24"/>
          <w:szCs w:val="24"/>
        </w:rPr>
        <w:t xml:space="preserve">such products in the markets </w:t>
      </w:r>
      <w:r w:rsidRPr="00834C77">
        <w:rPr>
          <w:rFonts w:ascii="Times New Roman" w:hAnsi="Times New Roman" w:cs="Times New Roman"/>
          <w:noProof/>
          <w:sz w:val="24"/>
          <w:szCs w:val="24"/>
        </w:rPr>
        <w:t>(Dinnie, 2015)</w:t>
      </w:r>
      <w:r w:rsidRPr="00834C77">
        <w:rPr>
          <w:rFonts w:ascii="Times New Roman" w:hAnsi="Times New Roman" w:cs="Times New Roman"/>
          <w:sz w:val="24"/>
          <w:szCs w:val="24"/>
        </w:rPr>
        <w:t>.</w:t>
      </w:r>
      <w:r w:rsidRPr="00834C77">
        <w:rPr>
          <w:rFonts w:ascii="Times New Roman" w:hAnsi="Times New Roman" w:cs="Times New Roman"/>
          <w:spacing w:val="40"/>
          <w:sz w:val="24"/>
          <w:szCs w:val="24"/>
        </w:rPr>
        <w:t xml:space="preserve"> </w:t>
      </w:r>
      <w:r w:rsidRPr="00834C77">
        <w:rPr>
          <w:rFonts w:ascii="Times New Roman" w:hAnsi="Times New Roman" w:cs="Times New Roman"/>
          <w:sz w:val="24"/>
          <w:szCs w:val="24"/>
        </w:rPr>
        <w:t>Even though the certifications of origin differ across the countries, one frequent link to the name of the products is the Geographical</w:t>
      </w:r>
      <w:r w:rsidRPr="00834C77">
        <w:rPr>
          <w:rFonts w:ascii="Times New Roman" w:hAnsi="Times New Roman" w:cs="Times New Roman"/>
          <w:spacing w:val="-10"/>
          <w:sz w:val="24"/>
          <w:szCs w:val="24"/>
        </w:rPr>
        <w:t xml:space="preserve"> </w:t>
      </w:r>
      <w:r w:rsidRPr="00834C77">
        <w:rPr>
          <w:rFonts w:ascii="Times New Roman" w:hAnsi="Times New Roman" w:cs="Times New Roman"/>
          <w:sz w:val="24"/>
          <w:szCs w:val="24"/>
        </w:rPr>
        <w:t>Indications</w:t>
      </w:r>
      <w:r w:rsidRPr="00834C77">
        <w:rPr>
          <w:rFonts w:ascii="Times New Roman" w:hAnsi="Times New Roman" w:cs="Times New Roman"/>
          <w:spacing w:val="-9"/>
          <w:sz w:val="24"/>
          <w:szCs w:val="24"/>
        </w:rPr>
        <w:t xml:space="preserve"> </w:t>
      </w:r>
      <w:r w:rsidRPr="00834C77">
        <w:rPr>
          <w:rFonts w:ascii="Times New Roman" w:hAnsi="Times New Roman" w:cs="Times New Roman"/>
          <w:sz w:val="24"/>
          <w:szCs w:val="24"/>
        </w:rPr>
        <w:t>(GI).</w:t>
      </w:r>
    </w:p>
    <w:p w14:paraId="0CBDBAB3" w14:textId="43B750A2" w:rsidR="00937F7C" w:rsidRPr="00834C77" w:rsidRDefault="00937F7C"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The value chain begins at the input supply stage and continues through production to the final stage. In addition to the primary actors and their connections at each stage, various service providers also play an indirect role. The interactions among these actors and service providers collectively shape the governance and structure of the value chain (Henry et al., 2014). In addition, Market participation is a key concept in value chain analysis and has been defined in various ways by different researchers. It generally refers to involvement in any market-related activity that facilitates the sale of agricultural produce. This includes a farming household's economic transactions with others—whether in cash or kind—and is often associated with the broader process of commercialization (</w:t>
      </w:r>
      <w:proofErr w:type="spellStart"/>
      <w:r w:rsidRPr="00073957">
        <w:rPr>
          <w:rFonts w:ascii="Times New Roman" w:hAnsi="Times New Roman" w:cs="Times New Roman"/>
          <w:sz w:val="24"/>
          <w:szCs w:val="24"/>
        </w:rPr>
        <w:t>Otekunrin</w:t>
      </w:r>
      <w:proofErr w:type="spellEnd"/>
      <w:r w:rsidRPr="00073957">
        <w:rPr>
          <w:rFonts w:ascii="Times New Roman" w:hAnsi="Times New Roman" w:cs="Times New Roman"/>
          <w:sz w:val="24"/>
          <w:szCs w:val="24"/>
        </w:rPr>
        <w:t xml:space="preserve"> et al., </w:t>
      </w:r>
      <w:r w:rsidRPr="00834C77">
        <w:rPr>
          <w:rFonts w:ascii="Times New Roman" w:hAnsi="Times New Roman" w:cs="Times New Roman"/>
          <w:sz w:val="24"/>
          <w:szCs w:val="24"/>
        </w:rPr>
        <w:t>2019).</w:t>
      </w:r>
    </w:p>
    <w:p w14:paraId="3BE0BF74" w14:textId="77777777" w:rsidR="00FD074C" w:rsidRPr="00834C77" w:rsidRDefault="00FD074C"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noProof/>
          <w:sz w:val="24"/>
          <w:szCs w:val="24"/>
        </w:rPr>
        <w:t>Manivenkatesh</w:t>
      </w:r>
      <w:r w:rsidRPr="00834C77">
        <w:rPr>
          <w:rFonts w:ascii="Times New Roman" w:hAnsi="Times New Roman" w:cs="Times New Roman"/>
          <w:i/>
          <w:noProof/>
          <w:sz w:val="24"/>
          <w:szCs w:val="24"/>
        </w:rPr>
        <w:t xml:space="preserve"> et al.</w:t>
      </w:r>
      <w:r w:rsidRPr="00834C77">
        <w:rPr>
          <w:rFonts w:ascii="Times New Roman" w:hAnsi="Times New Roman" w:cs="Times New Roman"/>
          <w:noProof/>
          <w:sz w:val="24"/>
          <w:szCs w:val="24"/>
        </w:rPr>
        <w:t>, 2020</w:t>
      </w:r>
      <w:r w:rsidRPr="00834C77">
        <w:rPr>
          <w:rFonts w:ascii="Times New Roman" w:hAnsi="Times New Roman" w:cs="Times New Roman"/>
          <w:sz w:val="24"/>
          <w:szCs w:val="24"/>
        </w:rPr>
        <w:t xml:space="preserve"> analysed the value chain of jasmine in Madurai in Tamil Nadu and found four channels viz., Channel I (farmer – commission agents – local traders – retailers - consumers), Channel II (farmers – commission agents – processors – perfumery industry), Channel III (farmers – commission agents – exporters – international market), Channel IV (farmers – retailers - consumers).  Among the four channels, more than 70 per cent of jasmine was moved through channel II and III. The Shepherd’s marketing efficiency was highest for channel IV. In Karnataka, 70 per cent of GI-tagged </w:t>
      </w:r>
      <w:proofErr w:type="spellStart"/>
      <w:r w:rsidRPr="00834C77">
        <w:rPr>
          <w:rFonts w:ascii="Times New Roman" w:hAnsi="Times New Roman" w:cs="Times New Roman"/>
          <w:sz w:val="24"/>
          <w:szCs w:val="24"/>
        </w:rPr>
        <w:t>Hadagali</w:t>
      </w:r>
      <w:proofErr w:type="spellEnd"/>
      <w:r w:rsidRPr="00834C77">
        <w:rPr>
          <w:rFonts w:ascii="Times New Roman" w:hAnsi="Times New Roman" w:cs="Times New Roman"/>
          <w:sz w:val="24"/>
          <w:szCs w:val="24"/>
        </w:rPr>
        <w:t xml:space="preserve"> farmers sold their jasmine to wholesalers cum commission agents and the margins realized by them was Rs.110/kg while retailers realized Rs.400/kg. The price spread between producer to consumer was Rs.280/kg. The producer’s share in consumer rupee was 35 per cent </w:t>
      </w:r>
      <w:r w:rsidRPr="00834C77">
        <w:rPr>
          <w:rFonts w:ascii="Times New Roman" w:hAnsi="Times New Roman" w:cs="Times New Roman"/>
          <w:noProof/>
          <w:sz w:val="24"/>
          <w:szCs w:val="24"/>
        </w:rPr>
        <w:t>(Basavaraj</w:t>
      </w:r>
      <w:r w:rsidRPr="00834C77">
        <w:rPr>
          <w:rFonts w:ascii="Times New Roman" w:hAnsi="Times New Roman" w:cs="Times New Roman"/>
          <w:i/>
          <w:noProof/>
          <w:sz w:val="24"/>
          <w:szCs w:val="24"/>
        </w:rPr>
        <w:t xml:space="preserve"> et al.</w:t>
      </w:r>
      <w:r w:rsidRPr="00834C77">
        <w:rPr>
          <w:rFonts w:ascii="Times New Roman" w:hAnsi="Times New Roman" w:cs="Times New Roman"/>
          <w:noProof/>
          <w:sz w:val="24"/>
          <w:szCs w:val="24"/>
        </w:rPr>
        <w:t>, 2023)</w:t>
      </w:r>
      <w:r w:rsidRPr="00834C77">
        <w:rPr>
          <w:rFonts w:ascii="Times New Roman" w:hAnsi="Times New Roman" w:cs="Times New Roman"/>
          <w:sz w:val="24"/>
          <w:szCs w:val="24"/>
        </w:rPr>
        <w:t>.</w:t>
      </w:r>
    </w:p>
    <w:p w14:paraId="0F5DA57B" w14:textId="60373075" w:rsidR="006333D1" w:rsidRPr="00834C77" w:rsidRDefault="00EF31FF" w:rsidP="007418E7">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The value chain approach is both actor-oriented and consumer-focused, aiming to enhance business competitiveness. Value chain analysis raises awareness among stakeholders about opportunities for value addition, key cost drivers, and possibilities for price negotiation (GTZ, 2007).</w:t>
      </w:r>
    </w:p>
    <w:p w14:paraId="60E2F34B" w14:textId="196C8609" w:rsidR="006333D1"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2. Sampling and Methodology</w:t>
      </w:r>
    </w:p>
    <w:p w14:paraId="108A7A0D" w14:textId="3777C96F" w:rsidR="000C52C0" w:rsidRDefault="000C52C0" w:rsidP="000C52C0">
      <w:pPr>
        <w:spacing w:line="360" w:lineRule="auto"/>
        <w:ind w:firstLine="720"/>
        <w:jc w:val="both"/>
        <w:rPr>
          <w:rFonts w:ascii="Times New Roman" w:hAnsi="Times New Roman" w:cs="Times New Roman"/>
          <w:color w:val="000000" w:themeColor="text1"/>
          <w:sz w:val="24"/>
          <w:szCs w:val="24"/>
        </w:rPr>
      </w:pPr>
      <w:r w:rsidRPr="00B215E3">
        <w:rPr>
          <w:rFonts w:ascii="Times New Roman" w:hAnsi="Times New Roman" w:cs="Times New Roman"/>
          <w:sz w:val="24"/>
          <w:szCs w:val="24"/>
        </w:rPr>
        <w:t xml:space="preserve">The study focused on the GI Madurai Malli in Madurai district of Tamil Nadu. Madurai Malli, is primarily grown in the </w:t>
      </w:r>
      <w:proofErr w:type="spellStart"/>
      <w:r w:rsidRPr="00B215E3">
        <w:rPr>
          <w:rFonts w:ascii="Times New Roman" w:hAnsi="Times New Roman" w:cs="Times New Roman"/>
          <w:sz w:val="24"/>
          <w:szCs w:val="24"/>
        </w:rPr>
        <w:t>Thiruparangundram</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Chellampatti</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Usilampatti</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Kallikudi</w:t>
      </w:r>
      <w:proofErr w:type="spellEnd"/>
      <w:r w:rsidRPr="00B215E3">
        <w:rPr>
          <w:rFonts w:ascii="Times New Roman" w:hAnsi="Times New Roman" w:cs="Times New Roman"/>
          <w:sz w:val="24"/>
          <w:szCs w:val="24"/>
        </w:rPr>
        <w:t xml:space="preserve">, and </w:t>
      </w:r>
      <w:proofErr w:type="spellStart"/>
      <w:r w:rsidRPr="00B215E3">
        <w:rPr>
          <w:rFonts w:ascii="Times New Roman" w:hAnsi="Times New Roman" w:cs="Times New Roman"/>
          <w:sz w:val="24"/>
          <w:szCs w:val="24"/>
        </w:rPr>
        <w:t>Sedapatti</w:t>
      </w:r>
      <w:proofErr w:type="spellEnd"/>
      <w:r w:rsidRPr="00B215E3">
        <w:rPr>
          <w:rFonts w:ascii="Times New Roman" w:hAnsi="Times New Roman" w:cs="Times New Roman"/>
          <w:sz w:val="24"/>
          <w:szCs w:val="24"/>
        </w:rPr>
        <w:t xml:space="preserve"> blocks of Madurai district. For </w:t>
      </w:r>
      <w:r w:rsidR="007418E7">
        <w:rPr>
          <w:rFonts w:ascii="Times New Roman" w:hAnsi="Times New Roman" w:cs="Times New Roman"/>
          <w:sz w:val="24"/>
          <w:szCs w:val="24"/>
        </w:rPr>
        <w:t>this</w:t>
      </w:r>
      <w:r w:rsidRPr="00B215E3">
        <w:rPr>
          <w:rFonts w:ascii="Times New Roman" w:hAnsi="Times New Roman" w:cs="Times New Roman"/>
          <w:sz w:val="24"/>
          <w:szCs w:val="24"/>
        </w:rPr>
        <w:t xml:space="preserve"> study, </w:t>
      </w:r>
      <w:r w:rsidR="007418E7" w:rsidRPr="00B215E3">
        <w:rPr>
          <w:rFonts w:ascii="Times New Roman" w:hAnsi="Times New Roman" w:cs="Times New Roman"/>
          <w:color w:val="000000" w:themeColor="text1"/>
          <w:sz w:val="24"/>
          <w:szCs w:val="24"/>
        </w:rPr>
        <w:t>about</w:t>
      </w:r>
      <w:r w:rsidRPr="00B21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Pr="00B215E3">
        <w:rPr>
          <w:rFonts w:ascii="Times New Roman" w:hAnsi="Times New Roman" w:cs="Times New Roman"/>
          <w:color w:val="000000" w:themeColor="text1"/>
          <w:sz w:val="24"/>
          <w:szCs w:val="24"/>
        </w:rPr>
        <w:t xml:space="preserve">0 </w:t>
      </w:r>
      <w:r>
        <w:rPr>
          <w:rFonts w:ascii="Times New Roman" w:hAnsi="Times New Roman" w:cs="Times New Roman"/>
          <w:color w:val="000000" w:themeColor="text1"/>
          <w:sz w:val="24"/>
          <w:szCs w:val="24"/>
        </w:rPr>
        <w:t xml:space="preserve">Madurai Malli farmers from the </w:t>
      </w:r>
      <w:proofErr w:type="spellStart"/>
      <w:r>
        <w:rPr>
          <w:rFonts w:ascii="Times New Roman" w:hAnsi="Times New Roman" w:cs="Times New Roman"/>
          <w:color w:val="000000" w:themeColor="text1"/>
          <w:sz w:val="24"/>
          <w:szCs w:val="24"/>
        </w:rPr>
        <w:lastRenderedPageBreak/>
        <w:t>Thiruparangundram</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Kallikudi</w:t>
      </w:r>
      <w:proofErr w:type="spellEnd"/>
      <w:r>
        <w:rPr>
          <w:rFonts w:ascii="Times New Roman" w:hAnsi="Times New Roman" w:cs="Times New Roman"/>
          <w:color w:val="000000" w:themeColor="text1"/>
          <w:sz w:val="24"/>
          <w:szCs w:val="24"/>
        </w:rPr>
        <w:t xml:space="preserve"> blocks and 10 Market Intermediaries for Madurai Malli</w:t>
      </w:r>
      <w:r w:rsidRPr="00B21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 local markets </w:t>
      </w:r>
      <w:r w:rsidRPr="00B215E3">
        <w:rPr>
          <w:rFonts w:ascii="Times New Roman" w:hAnsi="Times New Roman" w:cs="Times New Roman"/>
          <w:color w:val="000000" w:themeColor="text1"/>
          <w:sz w:val="24"/>
          <w:szCs w:val="24"/>
        </w:rPr>
        <w:t xml:space="preserve">were selected at random to study the </w:t>
      </w:r>
      <w:r>
        <w:rPr>
          <w:rFonts w:ascii="Times New Roman" w:hAnsi="Times New Roman" w:cs="Times New Roman"/>
          <w:color w:val="000000" w:themeColor="text1"/>
          <w:sz w:val="24"/>
          <w:szCs w:val="24"/>
        </w:rPr>
        <w:t>value chain in</w:t>
      </w:r>
      <w:r w:rsidRPr="00B215E3">
        <w:rPr>
          <w:rFonts w:ascii="Times New Roman" w:hAnsi="Times New Roman" w:cs="Times New Roman"/>
          <w:color w:val="000000" w:themeColor="text1"/>
          <w:sz w:val="24"/>
          <w:szCs w:val="24"/>
        </w:rPr>
        <w:t xml:space="preserve"> Madurai Malli.</w:t>
      </w:r>
    </w:p>
    <w:p w14:paraId="54D28400" w14:textId="5C21C75F" w:rsidR="000C52C0" w:rsidRPr="00BF6187" w:rsidRDefault="000C52C0"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 xml:space="preserve">2.1 </w:t>
      </w:r>
      <w:r w:rsidRPr="00BF6187">
        <w:rPr>
          <w:rFonts w:ascii="Times New Roman" w:hAnsi="Times New Roman" w:cs="Times New Roman"/>
          <w:b/>
          <w:bCs/>
          <w:sz w:val="24"/>
          <w:szCs w:val="32"/>
        </w:rPr>
        <w:t>Marketing cost</w:t>
      </w:r>
    </w:p>
    <w:p w14:paraId="2B1ED52F"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Marketing costs represent the expenses incurred by the different intermediaries involved in the marketing of the GI commodities. Marketing costs of select GI commodities include the cost of procurement, packing, transportation charges, loading &amp; unloading, etc.</w:t>
      </w:r>
    </w:p>
    <w:p w14:paraId="58E5361A"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 xml:space="preserve">The marketing costs incurred by the various intermediaries involved in the sale and purchase of the commodity, till it reaches the final consumer, were computed </w:t>
      </w:r>
      <w:r w:rsidRPr="00BF6187">
        <w:rPr>
          <w:rFonts w:ascii="Times New Roman" w:hAnsi="Times New Roman" w:cs="Times New Roman"/>
          <w:sz w:val="24"/>
          <w:szCs w:val="24"/>
          <w:lang w:val="en-US"/>
        </w:rPr>
        <w:t xml:space="preserve">(Acharya and Agarwal, 2009). </w:t>
      </w:r>
    </w:p>
    <w:p w14:paraId="6C596EF7"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The total cost of marketing was calculated as under:</w:t>
      </w:r>
    </w:p>
    <w:p w14:paraId="3E02ECAC"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MC = CF + MC</w:t>
      </w:r>
      <w:r w:rsidRPr="00BF6187">
        <w:rPr>
          <w:rFonts w:ascii="Times New Roman" w:hAnsi="Times New Roman" w:cs="Times New Roman"/>
          <w:sz w:val="24"/>
          <w:szCs w:val="24"/>
          <w:vertAlign w:val="subscript"/>
          <w:lang w:val="en-US"/>
        </w:rPr>
        <w:t>1</w:t>
      </w:r>
      <w:r w:rsidRPr="00BF6187">
        <w:rPr>
          <w:rFonts w:ascii="Times New Roman" w:hAnsi="Times New Roman" w:cs="Times New Roman"/>
          <w:sz w:val="24"/>
          <w:szCs w:val="24"/>
          <w:lang w:val="en-US"/>
        </w:rPr>
        <w:t xml:space="preserve"> + MC</w:t>
      </w:r>
      <w:r w:rsidRPr="00BF6187">
        <w:rPr>
          <w:rFonts w:ascii="Times New Roman" w:hAnsi="Times New Roman" w:cs="Times New Roman"/>
          <w:sz w:val="24"/>
          <w:szCs w:val="24"/>
          <w:vertAlign w:val="subscript"/>
          <w:lang w:val="en-US"/>
        </w:rPr>
        <w:t>2</w:t>
      </w:r>
      <w:r w:rsidRPr="00BF6187">
        <w:rPr>
          <w:rFonts w:ascii="Times New Roman" w:hAnsi="Times New Roman" w:cs="Times New Roman"/>
          <w:sz w:val="24"/>
          <w:szCs w:val="24"/>
          <w:lang w:val="en-US"/>
        </w:rPr>
        <w:t xml:space="preserve"> + MC</w:t>
      </w:r>
      <w:r w:rsidRPr="00BF6187">
        <w:rPr>
          <w:rFonts w:ascii="Times New Roman" w:hAnsi="Times New Roman" w:cs="Times New Roman"/>
          <w:sz w:val="24"/>
          <w:szCs w:val="24"/>
          <w:vertAlign w:val="subscript"/>
          <w:lang w:val="en-US"/>
        </w:rPr>
        <w:t>3</w:t>
      </w:r>
      <w:r w:rsidRPr="00BF6187">
        <w:rPr>
          <w:rFonts w:ascii="Times New Roman" w:hAnsi="Times New Roman" w:cs="Times New Roman"/>
          <w:sz w:val="24"/>
          <w:szCs w:val="24"/>
          <w:lang w:val="en-US"/>
        </w:rPr>
        <w:t xml:space="preserve"> +...+ </w:t>
      </w: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n</w:t>
      </w:r>
      <w:proofErr w:type="spellEnd"/>
    </w:p>
    <w:p w14:paraId="113E4E8A"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1E57C59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     = Total cost of marketing of GI commodities</w:t>
      </w:r>
    </w:p>
    <w:p w14:paraId="28453529"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CF   = Cost borne by a farmer in marketing of produce</w:t>
      </w:r>
    </w:p>
    <w:p w14:paraId="1436EE87" w14:textId="75D9DE85" w:rsidR="007418E7" w:rsidRPr="007418E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lang w:val="en-US"/>
        </w:rPr>
        <w:t xml:space="preserve"> = Cost incurred by the </w:t>
      </w:r>
      <w:proofErr w:type="spellStart"/>
      <w:r w:rsidRPr="00BF6187">
        <w:rPr>
          <w:rFonts w:ascii="Times New Roman" w:hAnsi="Times New Roman" w:cs="Times New Roman"/>
          <w:sz w:val="24"/>
          <w:szCs w:val="24"/>
          <w:lang w:val="en-US"/>
        </w:rPr>
        <w:t>i</w:t>
      </w:r>
      <w:r w:rsidRPr="00BF6187">
        <w:rPr>
          <w:rFonts w:ascii="Times New Roman" w:hAnsi="Times New Roman" w:cs="Times New Roman"/>
          <w:sz w:val="24"/>
          <w:szCs w:val="24"/>
          <w:vertAlign w:val="superscript"/>
          <w:lang w:val="en-US"/>
        </w:rPr>
        <w:t>th</w:t>
      </w:r>
      <w:proofErr w:type="spellEnd"/>
      <w:r w:rsidRPr="00BF6187">
        <w:rPr>
          <w:rFonts w:ascii="Times New Roman" w:hAnsi="Times New Roman" w:cs="Times New Roman"/>
          <w:sz w:val="24"/>
          <w:szCs w:val="24"/>
          <w:lang w:val="en-US"/>
        </w:rPr>
        <w:t xml:space="preserve"> middleman in the process of buying and selling.</w:t>
      </w:r>
    </w:p>
    <w:p w14:paraId="03A84791" w14:textId="5FF5DADB" w:rsidR="000C52C0" w:rsidRPr="00BF6187" w:rsidRDefault="007418E7"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 xml:space="preserve">2.2 </w:t>
      </w:r>
      <w:r w:rsidR="000C52C0" w:rsidRPr="00BF6187">
        <w:rPr>
          <w:rFonts w:ascii="Times New Roman" w:hAnsi="Times New Roman" w:cs="Times New Roman"/>
          <w:b/>
          <w:bCs/>
          <w:sz w:val="24"/>
          <w:szCs w:val="32"/>
        </w:rPr>
        <w:t>Marketing Margin</w:t>
      </w:r>
    </w:p>
    <w:p w14:paraId="69CE4B0F"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 xml:space="preserve">Marketing margin refers to the difference between the total payment (including marketing cost and purchasing price) and the receipts (sale price) received by the middlemen. </w:t>
      </w:r>
    </w:p>
    <w:p w14:paraId="07392FA7" w14:textId="61C47280" w:rsidR="000C52C0" w:rsidRPr="00834C77" w:rsidRDefault="000C52C0" w:rsidP="00834C77">
      <w:pPr>
        <w:spacing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t>Marketing Margin (</w:t>
      </w:r>
      <w:proofErr w:type="spellStart"/>
      <w:r w:rsidRPr="00BF6187">
        <w:rPr>
          <w:rFonts w:ascii="Times New Roman" w:hAnsi="Times New Roman" w:cs="Times New Roman"/>
          <w:sz w:val="24"/>
          <w:szCs w:val="24"/>
        </w:rPr>
        <w:t>MM</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SP</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PP</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MC</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w:t>
      </w:r>
    </w:p>
    <w:p w14:paraId="37E5CD12"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05F8F63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SP</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vertAlign w:val="subscript"/>
          <w:lang w:val="en-US"/>
        </w:rPr>
        <w:t xml:space="preserve"> </w:t>
      </w:r>
      <w:r w:rsidRPr="00BF6187">
        <w:rPr>
          <w:rFonts w:ascii="Times New Roman" w:hAnsi="Times New Roman" w:cs="Times New Roman"/>
          <w:sz w:val="24"/>
          <w:szCs w:val="24"/>
          <w:lang w:val="en-US"/>
        </w:rPr>
        <w:t>= Sale price</w:t>
      </w:r>
    </w:p>
    <w:p w14:paraId="3B0B8609"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Pp</w:t>
      </w:r>
      <w:r w:rsidRPr="00BF6187">
        <w:rPr>
          <w:rFonts w:ascii="Times New Roman" w:hAnsi="Times New Roman" w:cs="Times New Roman"/>
          <w:sz w:val="24"/>
          <w:szCs w:val="24"/>
          <w:vertAlign w:val="subscript"/>
          <w:lang w:val="en-US"/>
        </w:rPr>
        <w:t>i</w:t>
      </w:r>
      <w:r w:rsidRPr="00BF6187">
        <w:rPr>
          <w:rFonts w:ascii="Times New Roman" w:hAnsi="Times New Roman" w:cs="Times New Roman"/>
          <w:sz w:val="24"/>
          <w:szCs w:val="24"/>
          <w:lang w:val="en-US"/>
        </w:rPr>
        <w:t xml:space="preserve"> = Purchase price</w:t>
      </w:r>
    </w:p>
    <w:p w14:paraId="4421D51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lang w:val="en-US"/>
        </w:rPr>
        <w:t xml:space="preserve"> = Marketing cost</w:t>
      </w:r>
    </w:p>
    <w:p w14:paraId="328638BA" w14:textId="77777777" w:rsidR="003B3D68" w:rsidRDefault="003B3D68" w:rsidP="000C52C0">
      <w:pPr>
        <w:spacing w:line="360" w:lineRule="auto"/>
        <w:rPr>
          <w:rFonts w:ascii="Times New Roman" w:hAnsi="Times New Roman" w:cs="Times New Roman"/>
          <w:b/>
          <w:bCs/>
          <w:sz w:val="24"/>
          <w:szCs w:val="32"/>
        </w:rPr>
      </w:pPr>
    </w:p>
    <w:p w14:paraId="60F9D589" w14:textId="63E7110E" w:rsidR="000C52C0" w:rsidRPr="00BF6187" w:rsidRDefault="000C52C0"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2.</w:t>
      </w:r>
      <w:r w:rsidR="007418E7">
        <w:rPr>
          <w:rFonts w:ascii="Times New Roman" w:hAnsi="Times New Roman" w:cs="Times New Roman"/>
          <w:b/>
          <w:bCs/>
          <w:sz w:val="24"/>
          <w:szCs w:val="32"/>
        </w:rPr>
        <w:t>3</w:t>
      </w:r>
      <w:r>
        <w:rPr>
          <w:rFonts w:ascii="Times New Roman" w:hAnsi="Times New Roman" w:cs="Times New Roman"/>
          <w:b/>
          <w:bCs/>
          <w:sz w:val="24"/>
          <w:szCs w:val="32"/>
        </w:rPr>
        <w:t xml:space="preserve"> </w:t>
      </w:r>
      <w:r w:rsidRPr="00BF6187">
        <w:rPr>
          <w:rFonts w:ascii="Times New Roman" w:hAnsi="Times New Roman" w:cs="Times New Roman"/>
          <w:b/>
          <w:bCs/>
          <w:sz w:val="24"/>
          <w:szCs w:val="32"/>
        </w:rPr>
        <w:t>Price Spread Analysis</w:t>
      </w:r>
    </w:p>
    <w:p w14:paraId="6B81C95A" w14:textId="77777777" w:rsidR="000C52C0" w:rsidRPr="00BF6187" w:rsidRDefault="000C52C0" w:rsidP="000C52C0">
      <w:pPr>
        <w:spacing w:after="0"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t xml:space="preserve">Price spread refers to the difference between the price paid by the consumer and the price received by the producer for each unit of the commodity. price spread analysis estimate the share of various market functionaries in the consumer's rupee and facilitate in understanding </w:t>
      </w:r>
      <w:r w:rsidRPr="00BF6187">
        <w:rPr>
          <w:rFonts w:ascii="Times New Roman" w:hAnsi="Times New Roman" w:cs="Times New Roman"/>
          <w:sz w:val="24"/>
          <w:szCs w:val="24"/>
        </w:rPr>
        <w:lastRenderedPageBreak/>
        <w:t>the relative efficiencies and alternative marketing channels. In this study, the concurrent margin method was employed to analyse the price spread. Information regarding prices and marketing costs of GI commodities at different stages of all identified marketing channels were collected from farmers and market functionaries. Marketing costs included expenses for transport, loading and unloading, storage, and other incidental costs related to the marketing of GI commodities.</w:t>
      </w:r>
    </w:p>
    <w:p w14:paraId="6D1660B4" w14:textId="77777777" w:rsidR="000C52C0" w:rsidRPr="00BF6187" w:rsidRDefault="000C52C0" w:rsidP="000C52C0">
      <w:pPr>
        <w:spacing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t>In the study on the marketing of GI commodities, the "price spread" was defined as the difference between the price paid by the consumer and the price received by the producer for an equivalent quantity of the agricultural commodity. Data on the profits of various market functionaries involved in moving the produce from the point of production to the final consumer were collected. The price spread analysis in this study involved calculating the marketing costs and profit margins, expressing them as a percentage of the consumer's payment. Additionally, the farmer’s share in the consumer's rupee was also estimated as part of the price spread analysis.</w:t>
      </w:r>
    </w:p>
    <w:p w14:paraId="0E88BF85" w14:textId="40B92166" w:rsidR="000C52C0" w:rsidRPr="00BF6187" w:rsidRDefault="000C52C0" w:rsidP="000C52C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7418E7">
        <w:rPr>
          <w:rFonts w:ascii="Times New Roman" w:hAnsi="Times New Roman" w:cs="Times New Roman"/>
          <w:b/>
          <w:bCs/>
          <w:sz w:val="24"/>
          <w:szCs w:val="24"/>
          <w:lang w:val="en-US"/>
        </w:rPr>
        <w:t>4</w:t>
      </w:r>
      <w:r w:rsidRPr="00BF6187">
        <w:rPr>
          <w:rFonts w:ascii="Times New Roman" w:hAnsi="Times New Roman" w:cs="Times New Roman"/>
          <w:sz w:val="24"/>
          <w:szCs w:val="24"/>
          <w:lang w:val="en-US"/>
        </w:rPr>
        <w:t xml:space="preserve"> </w:t>
      </w:r>
      <w:r w:rsidRPr="00BF6187">
        <w:rPr>
          <w:rFonts w:ascii="Times New Roman" w:hAnsi="Times New Roman" w:cs="Times New Roman"/>
          <w:b/>
          <w:bCs/>
          <w:sz w:val="24"/>
          <w:szCs w:val="24"/>
          <w:lang w:val="en-US"/>
        </w:rPr>
        <w:t>Farmer’s Share in Consumer Price</w:t>
      </w:r>
    </w:p>
    <w:p w14:paraId="2F281AF9"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The farmer’s share in the consumer price was worked out as below:</w:t>
      </w:r>
    </w:p>
    <w:p w14:paraId="309F8B24"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FS = (FP/CP) x 100</w:t>
      </w:r>
    </w:p>
    <w:p w14:paraId="73A99EE5"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4D41A795"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FS = Producer’s share in consumer’s price</w:t>
      </w:r>
    </w:p>
    <w:p w14:paraId="6AC6EAA6"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FP = Net Price received by the farmer</w:t>
      </w:r>
    </w:p>
    <w:p w14:paraId="6C24D53E"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CP = Price paid by the consumer.</w:t>
      </w:r>
    </w:p>
    <w:p w14:paraId="5C159DF0" w14:textId="3CD2A0E5" w:rsidR="000C52C0" w:rsidRPr="00BF6187" w:rsidRDefault="000C52C0" w:rsidP="000C52C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7418E7">
        <w:rPr>
          <w:rFonts w:ascii="Times New Roman" w:hAnsi="Times New Roman" w:cs="Times New Roman"/>
          <w:b/>
          <w:bCs/>
          <w:sz w:val="24"/>
          <w:szCs w:val="24"/>
          <w:lang w:val="en-US"/>
        </w:rPr>
        <w:t>5</w:t>
      </w:r>
      <w:r w:rsidRPr="00BF6187">
        <w:rPr>
          <w:rFonts w:ascii="Times New Roman" w:hAnsi="Times New Roman" w:cs="Times New Roman"/>
          <w:b/>
          <w:bCs/>
          <w:sz w:val="24"/>
          <w:szCs w:val="24"/>
          <w:lang w:val="en-US"/>
        </w:rPr>
        <w:t xml:space="preserve"> Estimation of Marketing Efficiency</w:t>
      </w:r>
    </w:p>
    <w:p w14:paraId="4458E81D"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 </w:t>
      </w:r>
      <w:r w:rsidRPr="00BF6187">
        <w:rPr>
          <w:rFonts w:ascii="Times New Roman" w:hAnsi="Times New Roman" w:cs="Times New Roman"/>
          <w:sz w:val="24"/>
          <w:szCs w:val="24"/>
          <w:lang w:val="en-US"/>
        </w:rPr>
        <w:tab/>
        <w:t xml:space="preserve">Marketing efficiency is the degree of market performance. </w:t>
      </w:r>
      <w:r w:rsidRPr="00BF6187">
        <w:rPr>
          <w:rFonts w:ascii="Times New Roman" w:hAnsi="Times New Roman" w:cs="Times New Roman"/>
          <w:sz w:val="24"/>
          <w:szCs w:val="24"/>
        </w:rPr>
        <w:t xml:space="preserve">Efficient marketing is defined as the movement of goods from producers to ultimate consumers at the lowest possible cost while ensuring the provision of services desired by the consumers. The following approaches are used in the present study to estimate the marketing efficiency of GI commodities under study. </w:t>
      </w:r>
    </w:p>
    <w:p w14:paraId="21CD77E7" w14:textId="77777777" w:rsidR="000C52C0" w:rsidRPr="00BF6187" w:rsidRDefault="000C52C0" w:rsidP="000C52C0">
      <w:pPr>
        <w:spacing w:line="360" w:lineRule="auto"/>
        <w:jc w:val="both"/>
        <w:rPr>
          <w:rFonts w:ascii="Times New Roman" w:hAnsi="Times New Roman" w:cs="Times New Roman"/>
          <w:b/>
          <w:bCs/>
          <w:sz w:val="24"/>
          <w:szCs w:val="24"/>
          <w:lang w:val="en-US"/>
        </w:rPr>
      </w:pPr>
      <w:r w:rsidRPr="00BF6187">
        <w:rPr>
          <w:rFonts w:ascii="Times New Roman" w:hAnsi="Times New Roman" w:cs="Times New Roman"/>
          <w:b/>
          <w:bCs/>
          <w:sz w:val="24"/>
          <w:szCs w:val="24"/>
          <w:lang w:val="en-US"/>
        </w:rPr>
        <w:t xml:space="preserve">a. Shepherd’s Approach </w:t>
      </w:r>
    </w:p>
    <w:p w14:paraId="627DAAD0" w14:textId="77777777" w:rsidR="000C52C0" w:rsidRPr="00BF6187" w:rsidRDefault="000C52C0" w:rsidP="003B3D68">
      <w:pPr>
        <w:spacing w:after="0"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 xml:space="preserve">Shepherd (1972) estimated marketing efficiency as the ratio of the consumer's price to the total marketing costs and margins. The higher the ratio, the greater the efficiency, and vice </w:t>
      </w:r>
      <w:r w:rsidRPr="00BF6187">
        <w:rPr>
          <w:rFonts w:ascii="Times New Roman" w:hAnsi="Times New Roman" w:cs="Times New Roman"/>
          <w:sz w:val="24"/>
          <w:szCs w:val="24"/>
        </w:rPr>
        <w:lastRenderedPageBreak/>
        <w:t>versa. A similar methodology is used in the present study, which can be expressed in the following form:</w:t>
      </w:r>
      <w:r w:rsidRPr="00BF6187">
        <w:rPr>
          <w:rFonts w:ascii="Times New Roman" w:hAnsi="Times New Roman" w:cs="Times New Roman"/>
          <w:sz w:val="24"/>
          <w:szCs w:val="24"/>
          <w:lang w:val="en-US"/>
        </w:rPr>
        <w:t xml:space="preserve">                                                              </w:t>
      </w:r>
    </w:p>
    <w:p w14:paraId="0A0EDBDC"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 ME = CP / (MC+MM)</w:t>
      </w:r>
    </w:p>
    <w:p w14:paraId="771548C8" w14:textId="77777777" w:rsidR="000C52C0" w:rsidRPr="00BF6187" w:rsidRDefault="000C52C0" w:rsidP="000C52C0">
      <w:pPr>
        <w:spacing w:line="360" w:lineRule="auto"/>
        <w:rPr>
          <w:rFonts w:ascii="Times New Roman" w:hAnsi="Times New Roman" w:cs="Times New Roman"/>
          <w:b/>
          <w:bCs/>
          <w:sz w:val="24"/>
          <w:szCs w:val="24"/>
          <w:lang w:val="en-US"/>
        </w:rPr>
      </w:pPr>
      <w:r w:rsidRPr="00BF6187">
        <w:rPr>
          <w:rFonts w:ascii="Times New Roman" w:hAnsi="Times New Roman" w:cs="Times New Roman"/>
          <w:b/>
          <w:bCs/>
          <w:sz w:val="24"/>
          <w:szCs w:val="24"/>
          <w:lang w:val="en-US"/>
        </w:rPr>
        <w:t>b. Acharya’s Approach</w:t>
      </w:r>
    </w:p>
    <w:p w14:paraId="069613E6"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According to Acharya (2003), an ideal measure of marketing efficiency, especially when comparing the efficiency of alternative market channels, should consider all of the following,</w:t>
      </w:r>
      <w:r w:rsidRPr="00BF6187">
        <w:rPr>
          <w:rFonts w:ascii="Times New Roman" w:hAnsi="Times New Roman" w:cs="Times New Roman"/>
          <w:sz w:val="24"/>
          <w:szCs w:val="24"/>
          <w:lang w:val="en-US"/>
        </w:rPr>
        <w:t xml:space="preserve"> Total marketing costs (MC), Net marketing margins (MM), Price received by the farmer (FP) and Price paid by the consumer (CP). </w:t>
      </w:r>
    </w:p>
    <w:p w14:paraId="4686201E" w14:textId="77777777" w:rsidR="000C52C0" w:rsidRPr="00BF6187" w:rsidRDefault="000C52C0" w:rsidP="003B3D68">
      <w:pPr>
        <w:spacing w:after="0"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Further, the measure should reflect the following relationship between each of these variables and the marketing efficiency. To measure the marketing efficiency of agricultural commodities marketing the following formulae is used.</w:t>
      </w:r>
    </w:p>
    <w:p w14:paraId="228AF644"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ME = FP / (MC+MM)</w:t>
      </w:r>
    </w:p>
    <w:p w14:paraId="48166099"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1D84BBE1"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ME -Marketing efficiency</w:t>
      </w:r>
    </w:p>
    <w:p w14:paraId="0828689B"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CP - Price paid by the consumer</w:t>
      </w:r>
    </w:p>
    <w:p w14:paraId="1141A8D3"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FP -Price received by the farmer per quintal of GI commodity</w:t>
      </w:r>
    </w:p>
    <w:p w14:paraId="1EF66811"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MC -Total marketing cost per quintal of GI commodity </w:t>
      </w:r>
    </w:p>
    <w:p w14:paraId="397E1BFA" w14:textId="77733586" w:rsidR="000C52C0" w:rsidRPr="007418E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MM -Net marketing margin</w:t>
      </w:r>
    </w:p>
    <w:p w14:paraId="73060155" w14:textId="4318E86F" w:rsidR="006333D1"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3. Results and Discussio</w:t>
      </w:r>
      <w:r w:rsidR="007418E7">
        <w:rPr>
          <w:rFonts w:ascii="Times New Roman" w:hAnsi="Times New Roman" w:cs="Times New Roman"/>
          <w:b/>
          <w:bCs/>
          <w:sz w:val="24"/>
          <w:szCs w:val="24"/>
        </w:rPr>
        <w:t>n</w:t>
      </w:r>
    </w:p>
    <w:p w14:paraId="4E1BB04E" w14:textId="2D892BA4" w:rsidR="00834C77" w:rsidRDefault="000C52C0" w:rsidP="00834C77">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333D1" w:rsidRPr="0049300D">
        <w:rPr>
          <w:rFonts w:ascii="Times New Roman" w:hAnsi="Times New Roman" w:cs="Times New Roman"/>
          <w:b/>
          <w:bCs/>
          <w:sz w:val="24"/>
          <w:szCs w:val="24"/>
        </w:rPr>
        <w:t>Madurai Malli Marketing Channel</w:t>
      </w:r>
    </w:p>
    <w:p w14:paraId="2F87B38B" w14:textId="77777777" w:rsidR="00F776D2" w:rsidRDefault="003B3D68" w:rsidP="003B3D68">
      <w:pPr>
        <w:tabs>
          <w:tab w:val="left" w:pos="851"/>
        </w:tabs>
        <w:spacing w:line="360" w:lineRule="auto"/>
        <w:jc w:val="both"/>
        <w:rPr>
          <w:rFonts w:ascii="Times New Roman" w:hAnsi="Times New Roman" w:cs="Times New Roman"/>
          <w:sz w:val="24"/>
          <w:szCs w:val="24"/>
          <w:lang w:val="en-US"/>
        </w:rPr>
        <w:sectPr w:rsidR="00F776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ab/>
        <w:t>I</w:t>
      </w:r>
      <w:r w:rsidR="006333D1" w:rsidRPr="0049300D">
        <w:rPr>
          <w:rFonts w:ascii="Times New Roman" w:hAnsi="Times New Roman" w:cs="Times New Roman"/>
          <w:sz w:val="24"/>
          <w:szCs w:val="24"/>
          <w:lang w:val="en-US"/>
        </w:rPr>
        <w:t xml:space="preserve">n </w:t>
      </w:r>
      <w:r w:rsidR="006333D1" w:rsidRPr="0049300D">
        <w:rPr>
          <w:rFonts w:ascii="Times New Roman" w:hAnsi="Times New Roman" w:cs="Times New Roman"/>
          <w:sz w:val="24"/>
          <w:szCs w:val="24"/>
        </w:rPr>
        <w:t>Madurai Malli</w:t>
      </w:r>
      <w:r w:rsidR="006333D1" w:rsidRPr="0049300D">
        <w:rPr>
          <w:rFonts w:ascii="Times New Roman" w:hAnsi="Times New Roman" w:cs="Times New Roman"/>
          <w:sz w:val="24"/>
          <w:szCs w:val="24"/>
          <w:lang w:val="en-US"/>
        </w:rPr>
        <w:t>, four marketing channels were identified through the study and are depicted in Fig.</w:t>
      </w:r>
      <w:r w:rsidR="004D44ED">
        <w:rPr>
          <w:rFonts w:ascii="Times New Roman" w:hAnsi="Times New Roman" w:cs="Times New Roman"/>
          <w:sz w:val="24"/>
          <w:szCs w:val="24"/>
          <w:lang w:val="en-US"/>
        </w:rPr>
        <w:t>1</w:t>
      </w:r>
      <w:r w:rsidR="006333D1" w:rsidRPr="0049300D">
        <w:rPr>
          <w:rFonts w:ascii="Times New Roman" w:hAnsi="Times New Roman" w:cs="Times New Roman"/>
          <w:sz w:val="24"/>
          <w:szCs w:val="24"/>
          <w:lang w:val="en-US"/>
        </w:rPr>
        <w:t xml:space="preserve"> and Fig </w:t>
      </w:r>
      <w:r w:rsidR="004D44ED">
        <w:rPr>
          <w:rFonts w:ascii="Times New Roman" w:hAnsi="Times New Roman" w:cs="Times New Roman"/>
          <w:sz w:val="24"/>
          <w:szCs w:val="24"/>
          <w:lang w:val="en-US"/>
        </w:rPr>
        <w:t>.</w:t>
      </w:r>
      <w:r w:rsidR="006333D1" w:rsidRPr="0049300D">
        <w:rPr>
          <w:rFonts w:ascii="Times New Roman" w:hAnsi="Times New Roman" w:cs="Times New Roman"/>
          <w:sz w:val="24"/>
          <w:szCs w:val="24"/>
          <w:lang w:val="en-US"/>
        </w:rPr>
        <w:t>2 The marketing channels identified for GI jasmine in the study area</w:t>
      </w:r>
      <w:r>
        <w:rPr>
          <w:rFonts w:ascii="Times New Roman" w:hAnsi="Times New Roman" w:cs="Times New Roman"/>
          <w:sz w:val="24"/>
          <w:szCs w:val="24"/>
          <w:lang w:val="en-US"/>
        </w:rPr>
        <w:t xml:space="preserve"> </w:t>
      </w:r>
      <w:r w:rsidR="006333D1" w:rsidRPr="0049300D">
        <w:rPr>
          <w:rFonts w:ascii="Times New Roman" w:hAnsi="Times New Roman" w:cs="Times New Roman"/>
          <w:sz w:val="24"/>
          <w:szCs w:val="24"/>
          <w:lang w:val="en-US"/>
        </w:rPr>
        <w:t>is as follows.</w:t>
      </w:r>
    </w:p>
    <w:p w14:paraId="67A83BEF" w14:textId="2533999A" w:rsidR="003B3D68" w:rsidRDefault="00F776D2" w:rsidP="003B3D68">
      <w:pPr>
        <w:tabs>
          <w:tab w:val="left" w:pos="851"/>
        </w:tabs>
        <w:spacing w:line="360" w:lineRule="auto"/>
        <w:jc w:val="both"/>
        <w:rPr>
          <w:rFonts w:ascii="Times New Roman" w:hAnsi="Times New Roman" w:cs="Times New Roman"/>
          <w:sz w:val="24"/>
          <w:szCs w:val="24"/>
          <w:lang w:val="en-US"/>
        </w:rPr>
      </w:pPr>
      <w:r>
        <w:rPr>
          <w:noProof/>
        </w:rPr>
        <w:lastRenderedPageBreak/>
        <w:drawing>
          <wp:anchor distT="0" distB="0" distL="114300" distR="114300" simplePos="0" relativeHeight="251658240" behindDoc="0" locked="0" layoutInCell="1" allowOverlap="1" wp14:anchorId="12EAAF94" wp14:editId="66D75490">
            <wp:simplePos x="0" y="0"/>
            <wp:positionH relativeFrom="column">
              <wp:posOffset>-522881</wp:posOffset>
            </wp:positionH>
            <wp:positionV relativeFrom="paragraph">
              <wp:posOffset>15903</wp:posOffset>
            </wp:positionV>
            <wp:extent cx="8863330" cy="5289550"/>
            <wp:effectExtent l="0" t="0" r="0" b="6350"/>
            <wp:wrapTopAndBottom/>
            <wp:docPr id="124023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5289550"/>
                    </a:xfrm>
                    <a:prstGeom prst="rect">
                      <a:avLst/>
                    </a:prstGeom>
                    <a:noFill/>
                    <a:ln>
                      <a:noFill/>
                    </a:ln>
                  </pic:spPr>
                </pic:pic>
              </a:graphicData>
            </a:graphic>
          </wp:anchor>
        </w:drawing>
      </w:r>
    </w:p>
    <w:p w14:paraId="28238E1F" w14:textId="6772ADD4" w:rsidR="00F776D2" w:rsidRDefault="00F776D2" w:rsidP="00F776D2">
      <w:pPr>
        <w:pStyle w:val="BodyText"/>
        <w:spacing w:before="1"/>
        <w:jc w:val="center"/>
        <w:sectPr w:rsidR="00F776D2" w:rsidSect="00F776D2">
          <w:pgSz w:w="15840" w:h="12240" w:orient="landscape"/>
          <w:pgMar w:top="1380" w:right="1800" w:bottom="280" w:left="1800" w:header="720" w:footer="720" w:gutter="0"/>
          <w:cols w:space="720"/>
        </w:sectPr>
      </w:pPr>
      <w:r>
        <w:t>Fig. 1</w:t>
      </w:r>
      <w:r>
        <w:rPr>
          <w:spacing w:val="-1"/>
        </w:rPr>
        <w:t xml:space="preserve"> </w:t>
      </w:r>
      <w:r>
        <w:t>Marketing Channels of</w:t>
      </w:r>
      <w:r>
        <w:rPr>
          <w:spacing w:val="-1"/>
        </w:rPr>
        <w:t xml:space="preserve"> </w:t>
      </w:r>
      <w:r>
        <w:t>Madurai</w:t>
      </w:r>
      <w:r>
        <w:rPr>
          <w:spacing w:val="-1"/>
        </w:rPr>
        <w:t xml:space="preserve"> </w:t>
      </w:r>
      <w:r>
        <w:rPr>
          <w:spacing w:val="-2"/>
        </w:rPr>
        <w:t>Malli</w:t>
      </w:r>
      <w:r>
        <w:t xml:space="preserve"> in the Study Area</w:t>
      </w:r>
    </w:p>
    <w:p w14:paraId="299800BC" w14:textId="5510AE40" w:rsidR="003B3D68" w:rsidRPr="0049300D" w:rsidRDefault="003B3D68" w:rsidP="003B3D68">
      <w:pPr>
        <w:tabs>
          <w:tab w:val="left" w:pos="851"/>
        </w:tabs>
        <w:spacing w:line="360" w:lineRule="auto"/>
        <w:jc w:val="both"/>
        <w:rPr>
          <w:rFonts w:ascii="Times New Roman" w:hAnsi="Times New Roman" w:cs="Times New Roman"/>
          <w:sz w:val="24"/>
          <w:szCs w:val="24"/>
          <w:lang w:val="en-US"/>
        </w:rPr>
      </w:pPr>
      <w:r w:rsidRPr="0049300D">
        <w:rPr>
          <w:noProof/>
        </w:rPr>
        <w:lastRenderedPageBreak/>
        <w:drawing>
          <wp:inline distT="0" distB="0" distL="0" distR="0" wp14:anchorId="6DC1F572" wp14:editId="44F21438">
            <wp:extent cx="5659821" cy="3752193"/>
            <wp:effectExtent l="0" t="0" r="17145" b="1270"/>
            <wp:docPr id="2105125491" name="Chart 1">
              <a:extLst xmlns:a="http://schemas.openxmlformats.org/drawingml/2006/main">
                <a:ext uri="{FF2B5EF4-FFF2-40B4-BE49-F238E27FC236}">
                  <a16:creationId xmlns:a16="http://schemas.microsoft.com/office/drawing/2014/main" id="{AF44A0B8-979C-201D-CC9F-1EF86FB49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60E94A" w14:textId="77777777" w:rsidR="003B3D68" w:rsidRPr="0049300D" w:rsidRDefault="003B3D68" w:rsidP="003B3D68">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Fig: 2 Distribution of farmers in Madurai Malli Marketing Channels</w:t>
      </w:r>
    </w:p>
    <w:p w14:paraId="4BB0C8C5" w14:textId="6BE2902D" w:rsidR="006333D1" w:rsidRPr="0049300D" w:rsidRDefault="006333D1" w:rsidP="003B3D68">
      <w:pPr>
        <w:tabs>
          <w:tab w:val="left" w:pos="851"/>
        </w:tabs>
        <w:spacing w:line="360" w:lineRule="auto"/>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 :</w:t>
      </w:r>
      <w:proofErr w:type="gramEnd"/>
      <w:r w:rsidRPr="0049300D">
        <w:rPr>
          <w:rFonts w:ascii="Times New Roman" w:hAnsi="Times New Roman" w:cs="Times New Roman"/>
          <w:b/>
          <w:bCs/>
          <w:sz w:val="24"/>
          <w:szCs w:val="24"/>
          <w:lang w:val="en-US"/>
        </w:rPr>
        <w:t xml:space="preserve"> GI Farmer →Commission Agent cum Trader →Wholesaler →Retailer →Consumer (60 per cent)</w:t>
      </w:r>
    </w:p>
    <w:p w14:paraId="5813180A"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sz w:val="24"/>
          <w:szCs w:val="24"/>
        </w:rPr>
        <w:t xml:space="preserve">The traders in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&amp;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in Madurai facilitate bulk sales from farmers. Wholesalers purchase from traders and further distribute to retailers in Madurai. Farmers receive lower prices due to multiple intermediaries, but the system ensures efficient market access.</w:t>
      </w:r>
    </w:p>
    <w:p w14:paraId="6F8E15BD"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II :</w:t>
      </w:r>
      <w:proofErr w:type="gramEnd"/>
      <w:r w:rsidRPr="0049300D">
        <w:rPr>
          <w:rFonts w:ascii="Times New Roman" w:hAnsi="Times New Roman" w:cs="Times New Roman"/>
          <w:b/>
          <w:bCs/>
          <w:sz w:val="24"/>
          <w:szCs w:val="24"/>
          <w:lang w:val="en-US"/>
        </w:rPr>
        <w:t xml:space="preserve"> GI Farmer → Commission Agent cum Trader → Exporter → Importer → Consumer (10 per cent)</w:t>
      </w:r>
    </w:p>
    <w:p w14:paraId="38E4F942"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b/>
          <w:bCs/>
          <w:sz w:val="24"/>
          <w:szCs w:val="24"/>
        </w:rPr>
        <w:t xml:space="preserve"> </w:t>
      </w:r>
      <w:r w:rsidRPr="0049300D">
        <w:rPr>
          <w:rFonts w:ascii="Times New Roman" w:hAnsi="Times New Roman" w:cs="Times New Roman"/>
          <w:sz w:val="24"/>
          <w:szCs w:val="24"/>
        </w:rPr>
        <w:t xml:space="preserve">A small portion (10 per cent) of GI Jasmine flower is exported as garlands to Arab countries via Traders of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and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who have link with exporters. Export markets offer better prices.</w:t>
      </w:r>
    </w:p>
    <w:p w14:paraId="433B2DB8"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III :</w:t>
      </w:r>
      <w:proofErr w:type="gramEnd"/>
      <w:r w:rsidRPr="0049300D">
        <w:rPr>
          <w:rFonts w:ascii="Times New Roman" w:hAnsi="Times New Roman" w:cs="Times New Roman"/>
          <w:b/>
          <w:bCs/>
          <w:sz w:val="24"/>
          <w:szCs w:val="24"/>
          <w:lang w:val="en-US"/>
        </w:rPr>
        <w:t xml:space="preserve"> GI Farmer → Commission Agent cum Trader → Retailer → Consumer (20 per cent)</w:t>
      </w:r>
    </w:p>
    <w:p w14:paraId="5055D664"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lang w:val="en-US"/>
        </w:rPr>
      </w:pPr>
      <w:r w:rsidRPr="0049300D">
        <w:rPr>
          <w:rFonts w:ascii="Times New Roman" w:hAnsi="Times New Roman" w:cs="Times New Roman"/>
          <w:sz w:val="24"/>
          <w:szCs w:val="24"/>
        </w:rPr>
        <w:t xml:space="preserve">The MC III bypasses wholesalers, allowing retailers to purchase directly from trader of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and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w:t>
      </w:r>
    </w:p>
    <w:p w14:paraId="080E9F69"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lastRenderedPageBreak/>
        <w:t xml:space="preserve">MC </w:t>
      </w:r>
      <w:proofErr w:type="gramStart"/>
      <w:r w:rsidRPr="0049300D">
        <w:rPr>
          <w:rFonts w:ascii="Times New Roman" w:hAnsi="Times New Roman" w:cs="Times New Roman"/>
          <w:b/>
          <w:bCs/>
          <w:sz w:val="24"/>
          <w:szCs w:val="24"/>
          <w:lang w:val="en-US"/>
        </w:rPr>
        <w:t>IV  :</w:t>
      </w:r>
      <w:proofErr w:type="gramEnd"/>
      <w:r w:rsidRPr="0049300D">
        <w:rPr>
          <w:rFonts w:ascii="Times New Roman" w:hAnsi="Times New Roman" w:cs="Times New Roman"/>
          <w:b/>
          <w:bCs/>
          <w:sz w:val="24"/>
          <w:szCs w:val="24"/>
          <w:lang w:val="en-US"/>
        </w:rPr>
        <w:t xml:space="preserve"> GI Farmer → Commission Agent cum Trader→ Processor → Perfumery Industries → Exporter → Importer → Consumer (10 per cent)</w:t>
      </w:r>
    </w:p>
    <w:p w14:paraId="340633E5"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sz w:val="24"/>
          <w:szCs w:val="24"/>
        </w:rPr>
        <w:t>The MC IV channel, where processors refine raw materials for perfumery industries and process GI Jasmine for perfume production, has been identified. However, insufficient data prevents the quantification of price spread and efficiency.</w:t>
      </w:r>
    </w:p>
    <w:p w14:paraId="13D5A899" w14:textId="7E499976" w:rsidR="006333D1" w:rsidRPr="0049300D" w:rsidRDefault="006333D1" w:rsidP="007418E7">
      <w:pPr>
        <w:tabs>
          <w:tab w:val="left" w:pos="851"/>
        </w:tabs>
        <w:spacing w:line="360" w:lineRule="auto"/>
        <w:ind w:firstLine="720"/>
        <w:jc w:val="both"/>
        <w:rPr>
          <w:lang w:val="en-US"/>
        </w:rPr>
      </w:pPr>
      <w:r w:rsidRPr="0049300D">
        <w:rPr>
          <w:rFonts w:ascii="Times New Roman" w:hAnsi="Times New Roman" w:cs="Times New Roman"/>
          <w:sz w:val="24"/>
          <w:szCs w:val="24"/>
          <w:lang w:val="en-US"/>
        </w:rPr>
        <w:t>It was found that</w:t>
      </w:r>
      <w:r w:rsidRPr="0049300D">
        <w:rPr>
          <w:rFonts w:ascii="Times New Roman" w:hAnsi="Times New Roman" w:cs="Times New Roman"/>
          <w:sz w:val="24"/>
          <w:szCs w:val="24"/>
        </w:rPr>
        <w:t xml:space="preserve"> MC I dominates (60 per cent) due to strong trader-retailer networks in Madurai. MC II &amp; MC III are (10 per cent and 20 per cent), showing potential for higher-value processing and global demand. MC IV is growing (10 per cent), offering better access for consumers. </w:t>
      </w:r>
    </w:p>
    <w:p w14:paraId="36D30FA8" w14:textId="2860331D" w:rsidR="006333D1" w:rsidRPr="0049300D" w:rsidRDefault="000C52C0" w:rsidP="007418E7">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3.2</w:t>
      </w:r>
      <w:r w:rsidR="006333D1" w:rsidRPr="0049300D">
        <w:rPr>
          <w:rFonts w:ascii="Times New Roman" w:hAnsi="Times New Roman" w:cs="Times New Roman"/>
          <w:b/>
          <w:bCs/>
          <w:sz w:val="24"/>
          <w:szCs w:val="24"/>
        </w:rPr>
        <w:t xml:space="preserve"> Price Spread analysis of </w:t>
      </w:r>
      <w:r w:rsidRPr="0049300D">
        <w:rPr>
          <w:rFonts w:ascii="Times New Roman" w:hAnsi="Times New Roman" w:cs="Times New Roman"/>
          <w:b/>
          <w:bCs/>
          <w:sz w:val="24"/>
          <w:szCs w:val="24"/>
        </w:rPr>
        <w:t>Madurai Malli</w:t>
      </w:r>
    </w:p>
    <w:p w14:paraId="5A0C82EF" w14:textId="73E80AB4" w:rsidR="006333D1" w:rsidRPr="0049300D" w:rsidRDefault="007418E7" w:rsidP="000C52C0">
      <w:pPr>
        <w:tabs>
          <w:tab w:val="left" w:pos="851"/>
        </w:tabs>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333D1" w:rsidRPr="0049300D">
        <w:rPr>
          <w:rFonts w:ascii="Times New Roman" w:hAnsi="Times New Roman" w:cs="Times New Roman"/>
          <w:sz w:val="24"/>
          <w:szCs w:val="24"/>
          <w:lang w:val="en-US"/>
        </w:rPr>
        <w:t>he net price received by the farmers</w:t>
      </w:r>
      <w:r>
        <w:rPr>
          <w:rFonts w:ascii="Times New Roman" w:hAnsi="Times New Roman" w:cs="Times New Roman"/>
          <w:sz w:val="24"/>
          <w:szCs w:val="24"/>
          <w:lang w:val="en-US"/>
        </w:rPr>
        <w:t xml:space="preserve"> for Madurai Malli</w:t>
      </w:r>
      <w:r w:rsidR="006333D1" w:rsidRPr="0049300D">
        <w:rPr>
          <w:rFonts w:ascii="Times New Roman" w:hAnsi="Times New Roman" w:cs="Times New Roman"/>
          <w:sz w:val="24"/>
          <w:szCs w:val="24"/>
          <w:lang w:val="en-US"/>
        </w:rPr>
        <w:t xml:space="preserve"> was highest in Marketing Channel MC III (72.97 per cent) followed by MC I (64.29 per cent), and MC II (10.67 per cent) (Table</w:t>
      </w:r>
      <w:r w:rsidR="004D44ED">
        <w:rPr>
          <w:rFonts w:ascii="Times New Roman" w:hAnsi="Times New Roman" w:cs="Times New Roman"/>
          <w:sz w:val="24"/>
          <w:szCs w:val="24"/>
          <w:lang w:val="en-US"/>
        </w:rPr>
        <w:t>.</w:t>
      </w:r>
      <w:r w:rsidR="006333D1" w:rsidRPr="0049300D">
        <w:rPr>
          <w:rFonts w:ascii="Times New Roman" w:hAnsi="Times New Roman" w:cs="Times New Roman"/>
          <w:sz w:val="24"/>
          <w:szCs w:val="24"/>
          <w:lang w:val="en-US"/>
        </w:rPr>
        <w:t xml:space="preserve"> </w:t>
      </w:r>
      <w:r w:rsidR="004D44ED">
        <w:rPr>
          <w:rFonts w:ascii="Times New Roman" w:hAnsi="Times New Roman" w:cs="Times New Roman"/>
          <w:sz w:val="24"/>
          <w:szCs w:val="24"/>
          <w:lang w:val="en-US"/>
        </w:rPr>
        <w:t>1</w:t>
      </w:r>
      <w:r w:rsidR="006333D1" w:rsidRPr="0049300D">
        <w:rPr>
          <w:rFonts w:ascii="Times New Roman" w:hAnsi="Times New Roman" w:cs="Times New Roman"/>
          <w:sz w:val="24"/>
          <w:szCs w:val="24"/>
          <w:lang w:val="en-US"/>
        </w:rPr>
        <w:t>). The trader in MC III had the highest marketing cost (2.70 per cent) followed by MC I (2.38 per cent), and MC II (0.40 per cent), similarly the highest marketing margin found in MC III (5.41 per cent) followed by MC I (4.76 per cent), and MC II (0.79 per cent). The marketing cost and marketing margin for exporter in MC II it was found 27.73 and 8.15 per cent respectively. The marketing cost and margin for importer in MC II it was found 34.42 and 16.67 per cent respectively</w:t>
      </w:r>
      <w:r w:rsidR="003B3D68">
        <w:rPr>
          <w:rFonts w:ascii="Times New Roman" w:hAnsi="Times New Roman" w:cs="Times New Roman"/>
          <w:sz w:val="24"/>
          <w:szCs w:val="24"/>
          <w:lang w:val="en-US"/>
        </w:rPr>
        <w:t>.</w:t>
      </w:r>
    </w:p>
    <w:p w14:paraId="27EF90CE" w14:textId="77777777" w:rsidR="003B3D68" w:rsidRPr="0049300D" w:rsidRDefault="003B3D68" w:rsidP="003B3D68">
      <w:pPr>
        <w:tabs>
          <w:tab w:val="left" w:pos="521"/>
          <w:tab w:val="left" w:pos="851"/>
        </w:tabs>
        <w:spacing w:after="0" w:line="360" w:lineRule="auto"/>
        <w:rPr>
          <w:rFonts w:ascii="Times New Roman" w:hAnsi="Times New Roman" w:cs="Times New Roman"/>
          <w:b/>
          <w:bCs/>
          <w:sz w:val="24"/>
          <w:szCs w:val="24"/>
          <w:lang w:val="en-US"/>
        </w:rPr>
      </w:pPr>
    </w:p>
    <w:p w14:paraId="2C92FA97" w14:textId="77777777" w:rsidR="003B3D68" w:rsidRPr="0049300D" w:rsidRDefault="003B3D68" w:rsidP="003B3D68">
      <w:pPr>
        <w:tabs>
          <w:tab w:val="left" w:pos="3869"/>
        </w:tabs>
        <w:spacing w:line="360" w:lineRule="auto"/>
        <w:jc w:val="center"/>
        <w:rPr>
          <w:rFonts w:ascii="Times New Roman" w:hAnsi="Times New Roman" w:cs="Times New Roman"/>
          <w:sz w:val="24"/>
          <w:szCs w:val="24"/>
        </w:rPr>
      </w:pPr>
      <w:r w:rsidRPr="0049300D">
        <w:rPr>
          <w:noProof/>
        </w:rPr>
        <w:drawing>
          <wp:inline distT="0" distB="0" distL="0" distR="0" wp14:anchorId="410B5243" wp14:editId="52A0DB51">
            <wp:extent cx="5796501" cy="2886323"/>
            <wp:effectExtent l="0" t="0" r="13970" b="9525"/>
            <wp:docPr id="937347101" name="Chart 1">
              <a:extLst xmlns:a="http://schemas.openxmlformats.org/drawingml/2006/main">
                <a:ext uri="{FF2B5EF4-FFF2-40B4-BE49-F238E27FC236}">
                  <a16:creationId xmlns:a16="http://schemas.microsoft.com/office/drawing/2014/main" id="{BDCE09B1-E927-1E12-A266-12DA67B8D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A43ED6" w14:textId="77777777" w:rsidR="003B3D68" w:rsidRDefault="003B3D68" w:rsidP="003B3D68">
      <w:pPr>
        <w:tabs>
          <w:tab w:val="left" w:pos="851"/>
        </w:tabs>
        <w:spacing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Fig.</w:t>
      </w:r>
      <w:r>
        <w:rPr>
          <w:rFonts w:ascii="Times New Roman" w:hAnsi="Times New Roman" w:cs="Times New Roman"/>
          <w:b/>
          <w:bCs/>
          <w:sz w:val="24"/>
          <w:szCs w:val="24"/>
        </w:rPr>
        <w:t xml:space="preserve"> 3</w:t>
      </w:r>
      <w:r w:rsidRPr="0049300D">
        <w:rPr>
          <w:rFonts w:ascii="Times New Roman" w:hAnsi="Times New Roman" w:cs="Times New Roman"/>
          <w:b/>
          <w:bCs/>
          <w:sz w:val="24"/>
          <w:szCs w:val="24"/>
        </w:rPr>
        <w:t xml:space="preserve"> Price Spread of Madurai Malli</w:t>
      </w:r>
    </w:p>
    <w:p w14:paraId="6FE69884" w14:textId="000A9902" w:rsidR="003B3D68" w:rsidRPr="003B3D68" w:rsidRDefault="000C52C0" w:rsidP="003B3D68">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006333D1" w:rsidRPr="0049300D">
        <w:rPr>
          <w:rFonts w:ascii="Times New Roman" w:hAnsi="Times New Roman" w:cs="Times New Roman"/>
          <w:sz w:val="24"/>
          <w:szCs w:val="24"/>
          <w:lang w:val="en-US"/>
        </w:rPr>
        <w:t>The retailer in MC III had the highest marketing cost (2.70 per cent) followed by MC I (2.38 per cent), whereas the marketing margin was high in MC I (9.52 per cent) followed by MC III (8.11 per cent). The price spread was found low in MC III (27.03 per cent), followed by MC I (35.71 per cent), and MC II (89.33 per cent) (Fig</w:t>
      </w:r>
      <w:r w:rsidR="004D44ED">
        <w:rPr>
          <w:rFonts w:ascii="Times New Roman" w:hAnsi="Times New Roman" w:cs="Times New Roman"/>
          <w:sz w:val="24"/>
          <w:szCs w:val="24"/>
          <w:lang w:val="en-US"/>
        </w:rPr>
        <w:t>. 3</w:t>
      </w:r>
      <w:r w:rsidR="006333D1" w:rsidRPr="0049300D">
        <w:rPr>
          <w:rFonts w:ascii="Times New Roman" w:hAnsi="Times New Roman" w:cs="Times New Roman"/>
          <w:sz w:val="24"/>
          <w:szCs w:val="24"/>
          <w:lang w:val="en-US"/>
        </w:rPr>
        <w:t>). It is evident that MC III was found to be efficient followed by MC I and MC II compared to other channels in jasmine due to higher net price received by the farmers.</w:t>
      </w:r>
      <w:r w:rsidR="006333D1">
        <w:rPr>
          <w:rFonts w:ascii="Times New Roman" w:hAnsi="Times New Roman" w:cs="Times New Roman"/>
          <w:sz w:val="24"/>
          <w:szCs w:val="24"/>
          <w:lang w:val="en-US"/>
        </w:rPr>
        <w:t xml:space="preserve"> </w:t>
      </w:r>
      <w:r w:rsidR="006333D1">
        <w:rPr>
          <w:rFonts w:ascii="Times New Roman" w:hAnsi="Times New Roman" w:cs="Times New Roman"/>
          <w:sz w:val="24"/>
          <w:szCs w:val="24"/>
        </w:rPr>
        <w:t xml:space="preserve">In </w:t>
      </w:r>
      <w:r w:rsidR="006333D1" w:rsidRPr="0049300D">
        <w:rPr>
          <w:rFonts w:ascii="Times New Roman" w:hAnsi="Times New Roman" w:cs="Times New Roman"/>
          <w:sz w:val="24"/>
          <w:szCs w:val="24"/>
        </w:rPr>
        <w:t xml:space="preserve">case of Madurai </w:t>
      </w:r>
      <w:proofErr w:type="spellStart"/>
      <w:r w:rsidR="006333D1" w:rsidRPr="0049300D">
        <w:rPr>
          <w:rFonts w:ascii="Times New Roman" w:hAnsi="Times New Roman" w:cs="Times New Roman"/>
          <w:sz w:val="24"/>
          <w:szCs w:val="24"/>
        </w:rPr>
        <w:t>malli</w:t>
      </w:r>
      <w:proofErr w:type="spellEnd"/>
      <w:r w:rsidR="006333D1" w:rsidRPr="0049300D">
        <w:rPr>
          <w:rFonts w:ascii="Times New Roman" w:hAnsi="Times New Roman" w:cs="Times New Roman"/>
          <w:sz w:val="24"/>
          <w:szCs w:val="24"/>
        </w:rPr>
        <w:t>, garland making is done at exporter level and not at farmers level or association level.</w:t>
      </w:r>
    </w:p>
    <w:p w14:paraId="2742ECBC" w14:textId="6CD98595" w:rsidR="006333D1" w:rsidRPr="0049300D" w:rsidRDefault="006333D1" w:rsidP="000C52C0">
      <w:pPr>
        <w:tabs>
          <w:tab w:val="left" w:pos="851"/>
        </w:tabs>
        <w:spacing w:after="0"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Table</w:t>
      </w:r>
      <w:r w:rsidR="004D44ED">
        <w:rPr>
          <w:rFonts w:ascii="Times New Roman" w:hAnsi="Times New Roman" w:cs="Times New Roman"/>
          <w:b/>
          <w:bCs/>
          <w:sz w:val="24"/>
          <w:szCs w:val="24"/>
          <w:lang w:val="en-US"/>
        </w:rPr>
        <w:t>.</w:t>
      </w:r>
      <w:r w:rsidRPr="0049300D">
        <w:rPr>
          <w:rFonts w:ascii="Times New Roman" w:hAnsi="Times New Roman" w:cs="Times New Roman"/>
          <w:b/>
          <w:bCs/>
          <w:sz w:val="24"/>
          <w:szCs w:val="24"/>
          <w:lang w:val="en-US"/>
        </w:rPr>
        <w:t xml:space="preserve"> </w:t>
      </w:r>
      <w:r w:rsidR="004D44ED">
        <w:rPr>
          <w:rFonts w:ascii="Times New Roman" w:hAnsi="Times New Roman" w:cs="Times New Roman"/>
          <w:b/>
          <w:bCs/>
          <w:sz w:val="24"/>
          <w:szCs w:val="24"/>
          <w:lang w:val="en-US"/>
        </w:rPr>
        <w:t>1</w:t>
      </w:r>
      <w:r w:rsidRPr="0049300D">
        <w:rPr>
          <w:rFonts w:ascii="Times New Roman" w:hAnsi="Times New Roman" w:cs="Times New Roman"/>
          <w:b/>
          <w:bCs/>
          <w:sz w:val="24"/>
          <w:szCs w:val="24"/>
          <w:lang w:val="en-US"/>
        </w:rPr>
        <w:t xml:space="preserve"> Price Spread Analysis of Madurai Malli</w:t>
      </w:r>
    </w:p>
    <w:p w14:paraId="4D80BD7D" w14:textId="77777777" w:rsidR="006333D1" w:rsidRPr="0049300D" w:rsidRDefault="006333D1" w:rsidP="000C52C0">
      <w:pPr>
        <w:tabs>
          <w:tab w:val="left" w:pos="851"/>
        </w:tabs>
        <w:spacing w:after="0" w:line="360" w:lineRule="auto"/>
        <w:ind w:right="-472"/>
        <w:jc w:val="right"/>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                          (</w:t>
      </w:r>
      <w:proofErr w:type="gramStart"/>
      <w:r w:rsidRPr="0049300D">
        <w:rPr>
          <w:rFonts w:ascii="Times New Roman" w:hAnsi="Times New Roman" w:cs="Times New Roman"/>
          <w:b/>
          <w:bCs/>
          <w:sz w:val="24"/>
          <w:szCs w:val="24"/>
          <w:lang w:val="en-US"/>
        </w:rPr>
        <w:t>Rs./</w:t>
      </w:r>
      <w:proofErr w:type="spellStart"/>
      <w:proofErr w:type="gramEnd"/>
      <w:r w:rsidRPr="0049300D">
        <w:rPr>
          <w:rFonts w:ascii="Times New Roman" w:hAnsi="Times New Roman" w:cs="Times New Roman"/>
          <w:b/>
          <w:bCs/>
          <w:sz w:val="24"/>
          <w:szCs w:val="24"/>
          <w:lang w:val="en-US"/>
        </w:rPr>
        <w:t>Qtl</w:t>
      </w:r>
      <w:proofErr w:type="spellEnd"/>
      <w:r w:rsidRPr="0049300D">
        <w:rPr>
          <w:rFonts w:ascii="Times New Roman" w:hAnsi="Times New Roman" w:cs="Times New Roman"/>
          <w:b/>
          <w:bCs/>
          <w:sz w:val="24"/>
          <w:szCs w:val="24"/>
          <w:lang w:val="en-US"/>
        </w:rPr>
        <w:t>)</w:t>
      </w:r>
      <w:r w:rsidRPr="0049300D">
        <w:rPr>
          <w:rFonts w:ascii="Times New Roman" w:hAnsi="Times New Roman" w:cs="Times New Roman"/>
          <w:b/>
          <w:bCs/>
          <w:sz w:val="24"/>
          <w:szCs w:val="24"/>
          <w:lang w:val="en-US"/>
        </w:rPr>
        <w:tab/>
      </w:r>
    </w:p>
    <w:tbl>
      <w:tblPr>
        <w:tblW w:w="8918" w:type="dxa"/>
        <w:jc w:val="center"/>
        <w:tblLook w:val="04A0" w:firstRow="1" w:lastRow="0" w:firstColumn="1" w:lastColumn="0" w:noHBand="0" w:noVBand="1"/>
      </w:tblPr>
      <w:tblGrid>
        <w:gridCol w:w="734"/>
        <w:gridCol w:w="2696"/>
        <w:gridCol w:w="845"/>
        <w:gridCol w:w="990"/>
        <w:gridCol w:w="1056"/>
        <w:gridCol w:w="876"/>
        <w:gridCol w:w="845"/>
        <w:gridCol w:w="876"/>
      </w:tblGrid>
      <w:tr w:rsidR="006333D1" w:rsidRPr="0049300D" w14:paraId="4C4AE416" w14:textId="77777777" w:rsidTr="00727E1F">
        <w:trPr>
          <w:trHeight w:val="313"/>
          <w:jc w:val="center"/>
        </w:trPr>
        <w:tc>
          <w:tcPr>
            <w:tcW w:w="734" w:type="dxa"/>
            <w:vMerge w:val="restart"/>
            <w:tcBorders>
              <w:top w:val="single" w:sz="4" w:space="0" w:color="auto"/>
              <w:left w:val="single" w:sz="4" w:space="0" w:color="auto"/>
              <w:right w:val="single" w:sz="4" w:space="0" w:color="auto"/>
            </w:tcBorders>
            <w:noWrap/>
            <w:vAlign w:val="center"/>
            <w:hideMark/>
          </w:tcPr>
          <w:p w14:paraId="5EF2526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roofErr w:type="spellStart"/>
            <w:proofErr w:type="gramStart"/>
            <w:r w:rsidRPr="0049300D">
              <w:rPr>
                <w:rFonts w:ascii="Times New Roman" w:eastAsia="Times New Roman" w:hAnsi="Times New Roman" w:cs="Times New Roman"/>
                <w:b/>
                <w:bCs/>
                <w:kern w:val="0"/>
                <w:sz w:val="24"/>
                <w:szCs w:val="24"/>
                <w:lang w:eastAsia="en-IN"/>
                <w14:ligatures w14:val="none"/>
              </w:rPr>
              <w:t>S.No</w:t>
            </w:r>
            <w:proofErr w:type="spellEnd"/>
            <w:proofErr w:type="gramEnd"/>
          </w:p>
        </w:tc>
        <w:tc>
          <w:tcPr>
            <w:tcW w:w="2696" w:type="dxa"/>
            <w:vMerge w:val="restart"/>
            <w:tcBorders>
              <w:top w:val="single" w:sz="4" w:space="0" w:color="auto"/>
              <w:left w:val="single" w:sz="4" w:space="0" w:color="auto"/>
              <w:right w:val="single" w:sz="4" w:space="0" w:color="auto"/>
            </w:tcBorders>
            <w:noWrap/>
            <w:vAlign w:val="center"/>
            <w:hideMark/>
          </w:tcPr>
          <w:p w14:paraId="11502C2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Particulars</w:t>
            </w:r>
          </w:p>
        </w:tc>
        <w:tc>
          <w:tcPr>
            <w:tcW w:w="1835" w:type="dxa"/>
            <w:gridSpan w:val="2"/>
            <w:tcBorders>
              <w:top w:val="single" w:sz="4" w:space="0" w:color="auto"/>
              <w:left w:val="nil"/>
              <w:bottom w:val="single" w:sz="4" w:space="0" w:color="auto"/>
              <w:right w:val="single" w:sz="4" w:space="0" w:color="auto"/>
            </w:tcBorders>
            <w:noWrap/>
            <w:vAlign w:val="center"/>
            <w:hideMark/>
          </w:tcPr>
          <w:p w14:paraId="4BB9F1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w:t>
            </w:r>
          </w:p>
        </w:tc>
        <w:tc>
          <w:tcPr>
            <w:tcW w:w="1932" w:type="dxa"/>
            <w:gridSpan w:val="2"/>
            <w:tcBorders>
              <w:top w:val="single" w:sz="4" w:space="0" w:color="auto"/>
              <w:left w:val="nil"/>
              <w:bottom w:val="single" w:sz="4" w:space="0" w:color="auto"/>
              <w:right w:val="single" w:sz="4" w:space="0" w:color="auto"/>
            </w:tcBorders>
            <w:vAlign w:val="center"/>
            <w:hideMark/>
          </w:tcPr>
          <w:p w14:paraId="377AB96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II</w:t>
            </w:r>
          </w:p>
        </w:tc>
        <w:tc>
          <w:tcPr>
            <w:tcW w:w="1721" w:type="dxa"/>
            <w:gridSpan w:val="2"/>
            <w:tcBorders>
              <w:top w:val="single" w:sz="4" w:space="0" w:color="auto"/>
              <w:left w:val="nil"/>
              <w:bottom w:val="single" w:sz="4" w:space="0" w:color="auto"/>
              <w:right w:val="single" w:sz="4" w:space="0" w:color="auto"/>
            </w:tcBorders>
            <w:vAlign w:val="center"/>
            <w:hideMark/>
          </w:tcPr>
          <w:p w14:paraId="7A272F3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III</w:t>
            </w:r>
          </w:p>
        </w:tc>
      </w:tr>
      <w:tr w:rsidR="006333D1" w:rsidRPr="0049300D" w14:paraId="280B0146"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701D06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
        </w:tc>
        <w:tc>
          <w:tcPr>
            <w:tcW w:w="2696" w:type="dxa"/>
            <w:vMerge/>
            <w:tcBorders>
              <w:left w:val="single" w:sz="4" w:space="0" w:color="auto"/>
              <w:bottom w:val="single" w:sz="4" w:space="0" w:color="auto"/>
              <w:right w:val="single" w:sz="4" w:space="0" w:color="auto"/>
            </w:tcBorders>
            <w:noWrap/>
            <w:vAlign w:val="center"/>
          </w:tcPr>
          <w:p w14:paraId="24809CD8"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845" w:type="dxa"/>
            <w:tcBorders>
              <w:top w:val="nil"/>
              <w:left w:val="nil"/>
              <w:bottom w:val="single" w:sz="4" w:space="0" w:color="auto"/>
              <w:right w:val="single" w:sz="4" w:space="0" w:color="auto"/>
            </w:tcBorders>
            <w:noWrap/>
            <w:vAlign w:val="center"/>
          </w:tcPr>
          <w:p w14:paraId="750DCC54"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Rs.</w:t>
            </w:r>
          </w:p>
        </w:tc>
        <w:tc>
          <w:tcPr>
            <w:tcW w:w="990" w:type="dxa"/>
            <w:tcBorders>
              <w:top w:val="nil"/>
              <w:left w:val="nil"/>
              <w:bottom w:val="single" w:sz="4" w:space="0" w:color="auto"/>
              <w:right w:val="single" w:sz="4" w:space="0" w:color="auto"/>
            </w:tcBorders>
            <w:noWrap/>
            <w:vAlign w:val="center"/>
          </w:tcPr>
          <w:p w14:paraId="2D64A5C2"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 to CP</w:t>
            </w:r>
          </w:p>
        </w:tc>
        <w:tc>
          <w:tcPr>
            <w:tcW w:w="1056" w:type="dxa"/>
            <w:tcBorders>
              <w:left w:val="nil"/>
              <w:bottom w:val="single" w:sz="4" w:space="0" w:color="auto"/>
              <w:right w:val="single" w:sz="4" w:space="0" w:color="auto"/>
            </w:tcBorders>
            <w:vAlign w:val="center"/>
          </w:tcPr>
          <w:p w14:paraId="0937C50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Rs.</w:t>
            </w:r>
          </w:p>
        </w:tc>
        <w:tc>
          <w:tcPr>
            <w:tcW w:w="876" w:type="dxa"/>
            <w:tcBorders>
              <w:top w:val="nil"/>
              <w:left w:val="nil"/>
              <w:bottom w:val="single" w:sz="4" w:space="0" w:color="auto"/>
              <w:right w:val="single" w:sz="4" w:space="0" w:color="auto"/>
            </w:tcBorders>
            <w:vAlign w:val="center"/>
          </w:tcPr>
          <w:p w14:paraId="3B8EE80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 to CP</w:t>
            </w:r>
          </w:p>
        </w:tc>
        <w:tc>
          <w:tcPr>
            <w:tcW w:w="845" w:type="dxa"/>
            <w:tcBorders>
              <w:top w:val="nil"/>
              <w:left w:val="nil"/>
              <w:bottom w:val="single" w:sz="4" w:space="0" w:color="auto"/>
              <w:right w:val="single" w:sz="4" w:space="0" w:color="auto"/>
            </w:tcBorders>
            <w:vAlign w:val="center"/>
          </w:tcPr>
          <w:p w14:paraId="746719E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Rs.</w:t>
            </w:r>
          </w:p>
        </w:tc>
        <w:tc>
          <w:tcPr>
            <w:tcW w:w="876" w:type="dxa"/>
            <w:tcBorders>
              <w:top w:val="nil"/>
              <w:left w:val="nil"/>
              <w:bottom w:val="single" w:sz="4" w:space="0" w:color="auto"/>
              <w:right w:val="single" w:sz="4" w:space="0" w:color="auto"/>
            </w:tcBorders>
            <w:vAlign w:val="center"/>
          </w:tcPr>
          <w:p w14:paraId="3259547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 to</w:t>
            </w:r>
            <w:r w:rsidRPr="0049300D">
              <w:rPr>
                <w:rFonts w:ascii="Times New Roman" w:hAnsi="Times New Roman" w:cs="Times New Roman"/>
                <w:b/>
                <w:bCs/>
                <w:sz w:val="24"/>
                <w:szCs w:val="24"/>
              </w:rPr>
              <w:br/>
              <w:t xml:space="preserve"> CP</w:t>
            </w:r>
          </w:p>
        </w:tc>
      </w:tr>
      <w:tr w:rsidR="006333D1" w:rsidRPr="0049300D" w14:paraId="7A7A78F6" w14:textId="77777777" w:rsidTr="003B3D68">
        <w:trPr>
          <w:trHeight w:val="313"/>
          <w:jc w:val="center"/>
        </w:trPr>
        <w:tc>
          <w:tcPr>
            <w:tcW w:w="734" w:type="dxa"/>
            <w:tcBorders>
              <w:top w:val="nil"/>
              <w:left w:val="single" w:sz="4" w:space="0" w:color="auto"/>
              <w:bottom w:val="single" w:sz="4" w:space="0" w:color="auto"/>
              <w:right w:val="single" w:sz="4" w:space="0" w:color="auto"/>
            </w:tcBorders>
            <w:noWrap/>
            <w:vAlign w:val="center"/>
          </w:tcPr>
          <w:p w14:paraId="493CA74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1</w:t>
            </w:r>
          </w:p>
        </w:tc>
        <w:tc>
          <w:tcPr>
            <w:tcW w:w="8184" w:type="dxa"/>
            <w:gridSpan w:val="7"/>
            <w:tcBorders>
              <w:top w:val="nil"/>
              <w:left w:val="nil"/>
              <w:bottom w:val="single" w:sz="4" w:space="0" w:color="auto"/>
              <w:right w:val="single" w:sz="4" w:space="0" w:color="auto"/>
            </w:tcBorders>
            <w:noWrap/>
            <w:vAlign w:val="center"/>
          </w:tcPr>
          <w:p w14:paraId="36EB431D"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Farmer</w:t>
            </w:r>
          </w:p>
        </w:tc>
      </w:tr>
      <w:tr w:rsidR="006333D1" w:rsidRPr="0049300D" w14:paraId="3B78AF2C" w14:textId="77777777" w:rsidTr="003B3D68">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477F75D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7FD9B344"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single" w:sz="4" w:space="0" w:color="auto"/>
              <w:left w:val="nil"/>
              <w:bottom w:val="single" w:sz="4" w:space="0" w:color="auto"/>
              <w:right w:val="single" w:sz="4" w:space="0" w:color="auto"/>
            </w:tcBorders>
            <w:noWrap/>
            <w:vAlign w:val="center"/>
          </w:tcPr>
          <w:p w14:paraId="5DBF2D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990" w:type="dxa"/>
            <w:tcBorders>
              <w:top w:val="single" w:sz="4" w:space="0" w:color="auto"/>
              <w:left w:val="nil"/>
              <w:bottom w:val="single" w:sz="4" w:space="0" w:color="auto"/>
              <w:right w:val="single" w:sz="4" w:space="0" w:color="auto"/>
            </w:tcBorders>
            <w:noWrap/>
            <w:vAlign w:val="center"/>
          </w:tcPr>
          <w:p w14:paraId="0A52424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71.43</w:t>
            </w:r>
          </w:p>
        </w:tc>
        <w:tc>
          <w:tcPr>
            <w:tcW w:w="1056" w:type="dxa"/>
            <w:tcBorders>
              <w:top w:val="single" w:sz="4" w:space="0" w:color="auto"/>
              <w:left w:val="nil"/>
              <w:bottom w:val="single" w:sz="4" w:space="0" w:color="auto"/>
              <w:right w:val="single" w:sz="4" w:space="0" w:color="auto"/>
            </w:tcBorders>
            <w:vAlign w:val="center"/>
          </w:tcPr>
          <w:p w14:paraId="10C6765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single" w:sz="4" w:space="0" w:color="auto"/>
              <w:left w:val="nil"/>
              <w:bottom w:val="single" w:sz="4" w:space="0" w:color="auto"/>
              <w:right w:val="single" w:sz="4" w:space="0" w:color="auto"/>
            </w:tcBorders>
            <w:vAlign w:val="center"/>
          </w:tcPr>
          <w:p w14:paraId="28B5BBF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11.85</w:t>
            </w:r>
          </w:p>
        </w:tc>
        <w:tc>
          <w:tcPr>
            <w:tcW w:w="845" w:type="dxa"/>
            <w:tcBorders>
              <w:top w:val="single" w:sz="4" w:space="0" w:color="auto"/>
              <w:left w:val="nil"/>
              <w:bottom w:val="single" w:sz="4" w:space="0" w:color="auto"/>
              <w:right w:val="single" w:sz="4" w:space="0" w:color="auto"/>
            </w:tcBorders>
            <w:vAlign w:val="center"/>
          </w:tcPr>
          <w:p w14:paraId="5EF8076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single" w:sz="4" w:space="0" w:color="auto"/>
              <w:left w:val="nil"/>
              <w:bottom w:val="single" w:sz="4" w:space="0" w:color="auto"/>
              <w:right w:val="single" w:sz="4" w:space="0" w:color="auto"/>
            </w:tcBorders>
            <w:vAlign w:val="center"/>
          </w:tcPr>
          <w:p w14:paraId="6C4202F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81.08</w:t>
            </w:r>
          </w:p>
        </w:tc>
      </w:tr>
      <w:tr w:rsidR="006333D1" w:rsidRPr="0049300D" w14:paraId="54F36C50"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FE5052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300263CF"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66BBC51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990" w:type="dxa"/>
            <w:tcBorders>
              <w:top w:val="nil"/>
              <w:left w:val="nil"/>
              <w:bottom w:val="single" w:sz="4" w:space="0" w:color="auto"/>
              <w:right w:val="single" w:sz="4" w:space="0" w:color="auto"/>
            </w:tcBorders>
            <w:noWrap/>
            <w:vAlign w:val="center"/>
          </w:tcPr>
          <w:p w14:paraId="4C856C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9.52</w:t>
            </w:r>
          </w:p>
        </w:tc>
        <w:tc>
          <w:tcPr>
            <w:tcW w:w="1056" w:type="dxa"/>
            <w:tcBorders>
              <w:top w:val="nil"/>
              <w:left w:val="nil"/>
              <w:bottom w:val="single" w:sz="4" w:space="0" w:color="auto"/>
              <w:right w:val="single" w:sz="4" w:space="0" w:color="auto"/>
            </w:tcBorders>
            <w:vAlign w:val="center"/>
          </w:tcPr>
          <w:p w14:paraId="35A18170"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4000</w:t>
            </w:r>
          </w:p>
        </w:tc>
        <w:tc>
          <w:tcPr>
            <w:tcW w:w="876" w:type="dxa"/>
            <w:tcBorders>
              <w:top w:val="nil"/>
              <w:left w:val="nil"/>
              <w:bottom w:val="single" w:sz="4" w:space="0" w:color="auto"/>
              <w:right w:val="single" w:sz="4" w:space="0" w:color="auto"/>
            </w:tcBorders>
            <w:vAlign w:val="center"/>
          </w:tcPr>
          <w:p w14:paraId="0FEF6BF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1.58</w:t>
            </w:r>
          </w:p>
        </w:tc>
        <w:tc>
          <w:tcPr>
            <w:tcW w:w="845" w:type="dxa"/>
            <w:tcBorders>
              <w:top w:val="nil"/>
              <w:left w:val="nil"/>
              <w:bottom w:val="single" w:sz="4" w:space="0" w:color="auto"/>
              <w:right w:val="single" w:sz="4" w:space="0" w:color="auto"/>
            </w:tcBorders>
            <w:vAlign w:val="center"/>
          </w:tcPr>
          <w:p w14:paraId="6F0DF17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876" w:type="dxa"/>
            <w:tcBorders>
              <w:top w:val="nil"/>
              <w:left w:val="nil"/>
              <w:bottom w:val="single" w:sz="4" w:space="0" w:color="auto"/>
              <w:right w:val="single" w:sz="4" w:space="0" w:color="auto"/>
            </w:tcBorders>
            <w:vAlign w:val="center"/>
          </w:tcPr>
          <w:p w14:paraId="04F5636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10.81</w:t>
            </w:r>
          </w:p>
        </w:tc>
      </w:tr>
      <w:tr w:rsidR="006333D1" w:rsidRPr="0049300D" w14:paraId="20D42CED"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98F299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243BF268"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Packing &amp; Transport</w:t>
            </w:r>
          </w:p>
        </w:tc>
        <w:tc>
          <w:tcPr>
            <w:tcW w:w="845" w:type="dxa"/>
            <w:tcBorders>
              <w:top w:val="nil"/>
              <w:left w:val="nil"/>
              <w:bottom w:val="single" w:sz="4" w:space="0" w:color="auto"/>
              <w:right w:val="single" w:sz="4" w:space="0" w:color="auto"/>
            </w:tcBorders>
            <w:noWrap/>
            <w:vAlign w:val="center"/>
          </w:tcPr>
          <w:p w14:paraId="2ACF44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6C74FF8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5F7C971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49BD49A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7DBFBF5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401C82D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66F14463"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6CC4A2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66449925"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Commission charges</w:t>
            </w:r>
          </w:p>
        </w:tc>
        <w:tc>
          <w:tcPr>
            <w:tcW w:w="845" w:type="dxa"/>
            <w:tcBorders>
              <w:top w:val="nil"/>
              <w:left w:val="nil"/>
              <w:bottom w:val="single" w:sz="4" w:space="0" w:color="auto"/>
              <w:right w:val="single" w:sz="4" w:space="0" w:color="auto"/>
            </w:tcBorders>
            <w:noWrap/>
            <w:vAlign w:val="center"/>
          </w:tcPr>
          <w:p w14:paraId="70B41361"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3000</w:t>
            </w:r>
          </w:p>
        </w:tc>
        <w:tc>
          <w:tcPr>
            <w:tcW w:w="990" w:type="dxa"/>
            <w:tcBorders>
              <w:top w:val="nil"/>
              <w:left w:val="nil"/>
              <w:bottom w:val="single" w:sz="4" w:space="0" w:color="auto"/>
              <w:right w:val="single" w:sz="4" w:space="0" w:color="auto"/>
            </w:tcBorders>
            <w:noWrap/>
            <w:vAlign w:val="center"/>
          </w:tcPr>
          <w:p w14:paraId="4758628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7.14</w:t>
            </w:r>
          </w:p>
        </w:tc>
        <w:tc>
          <w:tcPr>
            <w:tcW w:w="1056" w:type="dxa"/>
            <w:tcBorders>
              <w:top w:val="nil"/>
              <w:left w:val="nil"/>
              <w:bottom w:val="single" w:sz="4" w:space="0" w:color="auto"/>
              <w:right w:val="single" w:sz="4" w:space="0" w:color="auto"/>
            </w:tcBorders>
            <w:vAlign w:val="center"/>
          </w:tcPr>
          <w:p w14:paraId="24C7C8DB"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1F7132C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0.79</w:t>
            </w:r>
          </w:p>
        </w:tc>
        <w:tc>
          <w:tcPr>
            <w:tcW w:w="845" w:type="dxa"/>
            <w:tcBorders>
              <w:top w:val="nil"/>
              <w:left w:val="nil"/>
              <w:bottom w:val="single" w:sz="4" w:space="0" w:color="auto"/>
              <w:right w:val="single" w:sz="4" w:space="0" w:color="auto"/>
            </w:tcBorders>
            <w:vAlign w:val="center"/>
          </w:tcPr>
          <w:p w14:paraId="54B6D9FB"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3000</w:t>
            </w:r>
          </w:p>
        </w:tc>
        <w:tc>
          <w:tcPr>
            <w:tcW w:w="876" w:type="dxa"/>
            <w:tcBorders>
              <w:top w:val="nil"/>
              <w:left w:val="nil"/>
              <w:bottom w:val="single" w:sz="4" w:space="0" w:color="auto"/>
              <w:right w:val="single" w:sz="4" w:space="0" w:color="auto"/>
            </w:tcBorders>
            <w:vAlign w:val="center"/>
          </w:tcPr>
          <w:p w14:paraId="05D5678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8.11</w:t>
            </w:r>
          </w:p>
        </w:tc>
      </w:tr>
      <w:tr w:rsidR="006333D1" w:rsidRPr="0049300D" w14:paraId="5875C48D"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50D979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215622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Net price received by the farmer</w:t>
            </w:r>
          </w:p>
        </w:tc>
        <w:tc>
          <w:tcPr>
            <w:tcW w:w="845" w:type="dxa"/>
            <w:tcBorders>
              <w:top w:val="nil"/>
              <w:left w:val="nil"/>
              <w:bottom w:val="single" w:sz="4" w:space="0" w:color="auto"/>
              <w:right w:val="single" w:sz="4" w:space="0" w:color="auto"/>
            </w:tcBorders>
            <w:noWrap/>
            <w:vAlign w:val="center"/>
          </w:tcPr>
          <w:p w14:paraId="49628A0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990" w:type="dxa"/>
            <w:tcBorders>
              <w:top w:val="nil"/>
              <w:left w:val="nil"/>
              <w:bottom w:val="single" w:sz="4" w:space="0" w:color="auto"/>
              <w:right w:val="single" w:sz="4" w:space="0" w:color="auto"/>
            </w:tcBorders>
            <w:noWrap/>
            <w:vAlign w:val="center"/>
          </w:tcPr>
          <w:p w14:paraId="6455A93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64.29</w:t>
            </w:r>
          </w:p>
        </w:tc>
        <w:tc>
          <w:tcPr>
            <w:tcW w:w="1056" w:type="dxa"/>
            <w:tcBorders>
              <w:top w:val="nil"/>
              <w:left w:val="nil"/>
              <w:bottom w:val="single" w:sz="4" w:space="0" w:color="auto"/>
              <w:right w:val="single" w:sz="4" w:space="0" w:color="auto"/>
            </w:tcBorders>
            <w:vAlign w:val="center"/>
          </w:tcPr>
          <w:p w14:paraId="4549CD8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876" w:type="dxa"/>
            <w:tcBorders>
              <w:top w:val="nil"/>
              <w:left w:val="nil"/>
              <w:bottom w:val="single" w:sz="4" w:space="0" w:color="auto"/>
              <w:right w:val="single" w:sz="4" w:space="0" w:color="auto"/>
            </w:tcBorders>
            <w:vAlign w:val="center"/>
          </w:tcPr>
          <w:p w14:paraId="3B5E2AA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10.67</w:t>
            </w:r>
          </w:p>
        </w:tc>
        <w:tc>
          <w:tcPr>
            <w:tcW w:w="845" w:type="dxa"/>
            <w:tcBorders>
              <w:top w:val="nil"/>
              <w:left w:val="nil"/>
              <w:bottom w:val="single" w:sz="4" w:space="0" w:color="auto"/>
              <w:right w:val="single" w:sz="4" w:space="0" w:color="auto"/>
            </w:tcBorders>
            <w:vAlign w:val="center"/>
          </w:tcPr>
          <w:p w14:paraId="2698140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876" w:type="dxa"/>
            <w:tcBorders>
              <w:top w:val="nil"/>
              <w:left w:val="nil"/>
              <w:bottom w:val="single" w:sz="4" w:space="0" w:color="auto"/>
              <w:right w:val="single" w:sz="4" w:space="0" w:color="auto"/>
            </w:tcBorders>
            <w:vAlign w:val="center"/>
          </w:tcPr>
          <w:p w14:paraId="3344261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72.97</w:t>
            </w:r>
          </w:p>
        </w:tc>
      </w:tr>
      <w:tr w:rsidR="006333D1" w:rsidRPr="0049300D" w14:paraId="0A6EB6D1" w14:textId="77777777" w:rsidTr="00727E1F">
        <w:trPr>
          <w:trHeight w:val="313"/>
          <w:jc w:val="center"/>
        </w:trPr>
        <w:tc>
          <w:tcPr>
            <w:tcW w:w="734" w:type="dxa"/>
            <w:tcBorders>
              <w:left w:val="single" w:sz="4" w:space="0" w:color="auto"/>
              <w:bottom w:val="single" w:sz="4" w:space="0" w:color="auto"/>
              <w:right w:val="single" w:sz="4" w:space="0" w:color="auto"/>
            </w:tcBorders>
            <w:noWrap/>
            <w:vAlign w:val="center"/>
          </w:tcPr>
          <w:p w14:paraId="390235A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2</w:t>
            </w:r>
          </w:p>
        </w:tc>
        <w:tc>
          <w:tcPr>
            <w:tcW w:w="8184" w:type="dxa"/>
            <w:gridSpan w:val="7"/>
            <w:tcBorders>
              <w:top w:val="nil"/>
              <w:left w:val="nil"/>
              <w:bottom w:val="single" w:sz="4" w:space="0" w:color="auto"/>
              <w:right w:val="single" w:sz="4" w:space="0" w:color="auto"/>
            </w:tcBorders>
            <w:noWrap/>
            <w:vAlign w:val="center"/>
          </w:tcPr>
          <w:p w14:paraId="24D13F1B"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eastAsia="Times New Roman" w:hAnsi="Times New Roman" w:cs="Times New Roman"/>
                <w:b/>
                <w:bCs/>
                <w:kern w:val="0"/>
                <w:sz w:val="24"/>
                <w:szCs w:val="24"/>
                <w:lang w:eastAsia="en-IN"/>
                <w14:ligatures w14:val="none"/>
              </w:rPr>
              <w:t>Commission agent cum Trader</w:t>
            </w:r>
          </w:p>
        </w:tc>
      </w:tr>
      <w:tr w:rsidR="006333D1" w:rsidRPr="0049300D" w14:paraId="48A2C495" w14:textId="77777777" w:rsidTr="00727E1F">
        <w:trPr>
          <w:trHeight w:val="313"/>
          <w:jc w:val="center"/>
        </w:trPr>
        <w:tc>
          <w:tcPr>
            <w:tcW w:w="734" w:type="dxa"/>
            <w:vMerge w:val="restart"/>
            <w:tcBorders>
              <w:left w:val="single" w:sz="4" w:space="0" w:color="auto"/>
              <w:right w:val="single" w:sz="4" w:space="0" w:color="auto"/>
            </w:tcBorders>
            <w:noWrap/>
            <w:vAlign w:val="center"/>
          </w:tcPr>
          <w:p w14:paraId="546838C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3D56333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Purchase price</w:t>
            </w:r>
          </w:p>
        </w:tc>
        <w:tc>
          <w:tcPr>
            <w:tcW w:w="845" w:type="dxa"/>
            <w:tcBorders>
              <w:top w:val="nil"/>
              <w:left w:val="nil"/>
              <w:bottom w:val="single" w:sz="4" w:space="0" w:color="auto"/>
              <w:right w:val="single" w:sz="4" w:space="0" w:color="auto"/>
            </w:tcBorders>
            <w:noWrap/>
            <w:vAlign w:val="center"/>
          </w:tcPr>
          <w:p w14:paraId="2EF8469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990" w:type="dxa"/>
            <w:tcBorders>
              <w:top w:val="nil"/>
              <w:left w:val="nil"/>
              <w:bottom w:val="single" w:sz="4" w:space="0" w:color="auto"/>
              <w:right w:val="single" w:sz="4" w:space="0" w:color="auto"/>
            </w:tcBorders>
            <w:noWrap/>
            <w:vAlign w:val="center"/>
          </w:tcPr>
          <w:p w14:paraId="05B8AE67"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71.43</w:t>
            </w:r>
          </w:p>
        </w:tc>
        <w:tc>
          <w:tcPr>
            <w:tcW w:w="1056" w:type="dxa"/>
            <w:tcBorders>
              <w:top w:val="nil"/>
              <w:left w:val="nil"/>
              <w:bottom w:val="single" w:sz="4" w:space="0" w:color="auto"/>
              <w:right w:val="single" w:sz="4" w:space="0" w:color="auto"/>
            </w:tcBorders>
            <w:vAlign w:val="center"/>
          </w:tcPr>
          <w:p w14:paraId="19076AF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nil"/>
              <w:left w:val="nil"/>
              <w:bottom w:val="single" w:sz="4" w:space="0" w:color="auto"/>
              <w:right w:val="single" w:sz="4" w:space="0" w:color="auto"/>
            </w:tcBorders>
            <w:vAlign w:val="center"/>
          </w:tcPr>
          <w:p w14:paraId="4C9EDBB2"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11.85</w:t>
            </w:r>
          </w:p>
        </w:tc>
        <w:tc>
          <w:tcPr>
            <w:tcW w:w="845" w:type="dxa"/>
            <w:tcBorders>
              <w:top w:val="nil"/>
              <w:left w:val="nil"/>
              <w:bottom w:val="single" w:sz="4" w:space="0" w:color="auto"/>
              <w:right w:val="single" w:sz="4" w:space="0" w:color="auto"/>
            </w:tcBorders>
            <w:vAlign w:val="center"/>
          </w:tcPr>
          <w:p w14:paraId="055F195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nil"/>
              <w:left w:val="nil"/>
              <w:bottom w:val="single" w:sz="4" w:space="0" w:color="auto"/>
              <w:right w:val="single" w:sz="4" w:space="0" w:color="auto"/>
            </w:tcBorders>
            <w:vAlign w:val="center"/>
          </w:tcPr>
          <w:p w14:paraId="2C5B60F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81.08</w:t>
            </w:r>
          </w:p>
        </w:tc>
      </w:tr>
      <w:tr w:rsidR="006333D1" w:rsidRPr="0049300D" w14:paraId="2EE4FF24" w14:textId="77777777" w:rsidTr="00727E1F">
        <w:trPr>
          <w:trHeight w:val="313"/>
          <w:jc w:val="center"/>
        </w:trPr>
        <w:tc>
          <w:tcPr>
            <w:tcW w:w="734" w:type="dxa"/>
            <w:vMerge/>
            <w:tcBorders>
              <w:left w:val="single" w:sz="4" w:space="0" w:color="auto"/>
              <w:right w:val="single" w:sz="4" w:space="0" w:color="auto"/>
            </w:tcBorders>
            <w:noWrap/>
            <w:vAlign w:val="center"/>
          </w:tcPr>
          <w:p w14:paraId="275C697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1F46ABD6"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753AEDA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nil"/>
              <w:left w:val="nil"/>
              <w:bottom w:val="single" w:sz="4" w:space="0" w:color="auto"/>
              <w:right w:val="single" w:sz="4" w:space="0" w:color="auto"/>
            </w:tcBorders>
            <w:noWrap/>
            <w:vAlign w:val="center"/>
          </w:tcPr>
          <w:p w14:paraId="70BC39B8"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7FFF331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nil"/>
              <w:left w:val="nil"/>
              <w:bottom w:val="single" w:sz="4" w:space="0" w:color="auto"/>
              <w:right w:val="single" w:sz="4" w:space="0" w:color="auto"/>
            </w:tcBorders>
            <w:vAlign w:val="center"/>
          </w:tcPr>
          <w:p w14:paraId="7C56EA5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2D6808D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nil"/>
              <w:left w:val="nil"/>
              <w:bottom w:val="single" w:sz="4" w:space="0" w:color="auto"/>
              <w:right w:val="single" w:sz="4" w:space="0" w:color="auto"/>
            </w:tcBorders>
            <w:vAlign w:val="center"/>
          </w:tcPr>
          <w:p w14:paraId="0B2894E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2.70</w:t>
            </w:r>
          </w:p>
        </w:tc>
      </w:tr>
      <w:tr w:rsidR="006333D1" w:rsidRPr="0049300D" w14:paraId="72C485CB" w14:textId="77777777" w:rsidTr="00727E1F">
        <w:trPr>
          <w:trHeight w:val="313"/>
          <w:jc w:val="center"/>
        </w:trPr>
        <w:tc>
          <w:tcPr>
            <w:tcW w:w="734" w:type="dxa"/>
            <w:vMerge/>
            <w:tcBorders>
              <w:left w:val="single" w:sz="4" w:space="0" w:color="auto"/>
              <w:right w:val="single" w:sz="4" w:space="0" w:color="auto"/>
            </w:tcBorders>
            <w:noWrap/>
            <w:vAlign w:val="center"/>
          </w:tcPr>
          <w:p w14:paraId="221CDB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82810A6"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Assembling charges</w:t>
            </w:r>
          </w:p>
        </w:tc>
        <w:tc>
          <w:tcPr>
            <w:tcW w:w="845" w:type="dxa"/>
            <w:tcBorders>
              <w:top w:val="nil"/>
              <w:left w:val="nil"/>
              <w:bottom w:val="single" w:sz="4" w:space="0" w:color="auto"/>
              <w:right w:val="single" w:sz="4" w:space="0" w:color="auto"/>
            </w:tcBorders>
            <w:noWrap/>
            <w:vAlign w:val="center"/>
          </w:tcPr>
          <w:p w14:paraId="4413825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3B7C8C9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3429504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2FFA413D"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2EA57B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1D80D6F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2.70</w:t>
            </w:r>
          </w:p>
        </w:tc>
      </w:tr>
      <w:tr w:rsidR="006333D1" w:rsidRPr="0049300D" w14:paraId="13D07120" w14:textId="77777777" w:rsidTr="00727E1F">
        <w:trPr>
          <w:trHeight w:val="313"/>
          <w:jc w:val="center"/>
        </w:trPr>
        <w:tc>
          <w:tcPr>
            <w:tcW w:w="734" w:type="dxa"/>
            <w:vMerge/>
            <w:tcBorders>
              <w:left w:val="single" w:sz="4" w:space="0" w:color="auto"/>
              <w:right w:val="single" w:sz="4" w:space="0" w:color="auto"/>
            </w:tcBorders>
            <w:noWrap/>
            <w:vAlign w:val="center"/>
          </w:tcPr>
          <w:p w14:paraId="784DAD6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70382B8"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3CBAAF6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990" w:type="dxa"/>
            <w:tcBorders>
              <w:top w:val="nil"/>
              <w:left w:val="nil"/>
              <w:bottom w:val="single" w:sz="4" w:space="0" w:color="auto"/>
              <w:right w:val="single" w:sz="4" w:space="0" w:color="auto"/>
            </w:tcBorders>
            <w:noWrap/>
            <w:vAlign w:val="center"/>
          </w:tcPr>
          <w:p w14:paraId="60E6CA3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4.76</w:t>
            </w:r>
          </w:p>
        </w:tc>
        <w:tc>
          <w:tcPr>
            <w:tcW w:w="1056" w:type="dxa"/>
            <w:tcBorders>
              <w:top w:val="nil"/>
              <w:left w:val="nil"/>
              <w:bottom w:val="single" w:sz="4" w:space="0" w:color="auto"/>
              <w:right w:val="single" w:sz="4" w:space="0" w:color="auto"/>
            </w:tcBorders>
            <w:vAlign w:val="center"/>
          </w:tcPr>
          <w:p w14:paraId="10E99A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6CDC8C89"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0.79</w:t>
            </w:r>
          </w:p>
        </w:tc>
        <w:tc>
          <w:tcPr>
            <w:tcW w:w="845" w:type="dxa"/>
            <w:tcBorders>
              <w:top w:val="nil"/>
              <w:left w:val="nil"/>
              <w:bottom w:val="single" w:sz="4" w:space="0" w:color="auto"/>
              <w:right w:val="single" w:sz="4" w:space="0" w:color="auto"/>
            </w:tcBorders>
            <w:vAlign w:val="center"/>
          </w:tcPr>
          <w:p w14:paraId="6408635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30D91A3D"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5.41</w:t>
            </w:r>
          </w:p>
        </w:tc>
      </w:tr>
      <w:tr w:rsidR="006333D1" w:rsidRPr="0049300D" w14:paraId="0745FFD0"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3E909F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D4CB13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12381EA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990" w:type="dxa"/>
            <w:tcBorders>
              <w:top w:val="nil"/>
              <w:left w:val="nil"/>
              <w:bottom w:val="single" w:sz="4" w:space="0" w:color="auto"/>
              <w:right w:val="single" w:sz="4" w:space="0" w:color="auto"/>
            </w:tcBorders>
            <w:noWrap/>
            <w:vAlign w:val="center"/>
          </w:tcPr>
          <w:p w14:paraId="0DFC5D3C"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78.57</w:t>
            </w:r>
          </w:p>
        </w:tc>
        <w:tc>
          <w:tcPr>
            <w:tcW w:w="1056" w:type="dxa"/>
            <w:tcBorders>
              <w:top w:val="nil"/>
              <w:left w:val="nil"/>
              <w:bottom w:val="single" w:sz="4" w:space="0" w:color="auto"/>
              <w:right w:val="single" w:sz="4" w:space="0" w:color="auto"/>
            </w:tcBorders>
            <w:vAlign w:val="center"/>
          </w:tcPr>
          <w:p w14:paraId="2591909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876" w:type="dxa"/>
            <w:tcBorders>
              <w:top w:val="nil"/>
              <w:left w:val="nil"/>
              <w:bottom w:val="single" w:sz="4" w:space="0" w:color="auto"/>
              <w:right w:val="single" w:sz="4" w:space="0" w:color="auto"/>
            </w:tcBorders>
            <w:vAlign w:val="center"/>
          </w:tcPr>
          <w:p w14:paraId="5C653A9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13.04</w:t>
            </w:r>
          </w:p>
        </w:tc>
        <w:tc>
          <w:tcPr>
            <w:tcW w:w="845" w:type="dxa"/>
            <w:tcBorders>
              <w:top w:val="nil"/>
              <w:left w:val="nil"/>
              <w:bottom w:val="single" w:sz="4" w:space="0" w:color="auto"/>
              <w:right w:val="single" w:sz="4" w:space="0" w:color="auto"/>
            </w:tcBorders>
            <w:vAlign w:val="center"/>
          </w:tcPr>
          <w:p w14:paraId="32847F4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876" w:type="dxa"/>
            <w:tcBorders>
              <w:top w:val="nil"/>
              <w:left w:val="nil"/>
              <w:bottom w:val="single" w:sz="4" w:space="0" w:color="auto"/>
              <w:right w:val="single" w:sz="4" w:space="0" w:color="auto"/>
            </w:tcBorders>
            <w:vAlign w:val="center"/>
          </w:tcPr>
          <w:p w14:paraId="2012AB65"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89.19</w:t>
            </w:r>
          </w:p>
        </w:tc>
      </w:tr>
      <w:tr w:rsidR="006333D1" w:rsidRPr="0049300D" w14:paraId="0CDA1A3C" w14:textId="77777777" w:rsidTr="003B3D68">
        <w:trPr>
          <w:trHeight w:val="313"/>
          <w:jc w:val="center"/>
        </w:trPr>
        <w:tc>
          <w:tcPr>
            <w:tcW w:w="734" w:type="dxa"/>
            <w:tcBorders>
              <w:top w:val="nil"/>
              <w:left w:val="single" w:sz="4" w:space="0" w:color="auto"/>
              <w:bottom w:val="single" w:sz="4" w:space="0" w:color="auto"/>
              <w:right w:val="single" w:sz="4" w:space="0" w:color="auto"/>
            </w:tcBorders>
            <w:noWrap/>
            <w:vAlign w:val="center"/>
          </w:tcPr>
          <w:p w14:paraId="237371E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3</w:t>
            </w:r>
          </w:p>
        </w:tc>
        <w:tc>
          <w:tcPr>
            <w:tcW w:w="8184" w:type="dxa"/>
            <w:gridSpan w:val="7"/>
            <w:tcBorders>
              <w:top w:val="nil"/>
              <w:left w:val="nil"/>
              <w:bottom w:val="single" w:sz="4" w:space="0" w:color="auto"/>
              <w:right w:val="single" w:sz="4" w:space="0" w:color="auto"/>
            </w:tcBorders>
            <w:noWrap/>
            <w:vAlign w:val="center"/>
          </w:tcPr>
          <w:p w14:paraId="1EE6871D"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Exporter</w:t>
            </w:r>
          </w:p>
        </w:tc>
      </w:tr>
      <w:tr w:rsidR="006333D1" w:rsidRPr="0049300D" w14:paraId="6291B195" w14:textId="77777777" w:rsidTr="003B3D68">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262D3A3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301E9E87"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single" w:sz="4" w:space="0" w:color="auto"/>
              <w:bottom w:val="single" w:sz="4" w:space="0" w:color="auto"/>
              <w:right w:val="single" w:sz="4" w:space="0" w:color="auto"/>
            </w:tcBorders>
            <w:noWrap/>
            <w:vAlign w:val="center"/>
          </w:tcPr>
          <w:p w14:paraId="21B47F6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24877A0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7C60B3C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876" w:type="dxa"/>
            <w:tcBorders>
              <w:top w:val="single" w:sz="4" w:space="0" w:color="auto"/>
              <w:left w:val="single" w:sz="4" w:space="0" w:color="auto"/>
              <w:bottom w:val="single" w:sz="4" w:space="0" w:color="auto"/>
              <w:right w:val="single" w:sz="4" w:space="0" w:color="auto"/>
            </w:tcBorders>
            <w:vAlign w:val="center"/>
          </w:tcPr>
          <w:p w14:paraId="24DCFE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13.04</w:t>
            </w:r>
          </w:p>
        </w:tc>
        <w:tc>
          <w:tcPr>
            <w:tcW w:w="845" w:type="dxa"/>
            <w:tcBorders>
              <w:top w:val="single" w:sz="4" w:space="0" w:color="auto"/>
              <w:left w:val="single" w:sz="4" w:space="0" w:color="auto"/>
              <w:bottom w:val="single" w:sz="4" w:space="0" w:color="auto"/>
              <w:right w:val="single" w:sz="4" w:space="0" w:color="auto"/>
            </w:tcBorders>
            <w:vAlign w:val="center"/>
          </w:tcPr>
          <w:p w14:paraId="4D10095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7B435E9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7AA73CB3"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A56876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3495784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6534DB7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37D3641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1056" w:type="dxa"/>
            <w:tcBorders>
              <w:top w:val="single" w:sz="4" w:space="0" w:color="auto"/>
              <w:left w:val="single" w:sz="4" w:space="0" w:color="auto"/>
              <w:bottom w:val="single" w:sz="4" w:space="0" w:color="auto"/>
              <w:right w:val="single" w:sz="4" w:space="0" w:color="auto"/>
            </w:tcBorders>
            <w:vAlign w:val="center"/>
          </w:tcPr>
          <w:p w14:paraId="43B4226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70200</w:t>
            </w:r>
          </w:p>
        </w:tc>
        <w:tc>
          <w:tcPr>
            <w:tcW w:w="876" w:type="dxa"/>
            <w:tcBorders>
              <w:top w:val="single" w:sz="4" w:space="0" w:color="auto"/>
              <w:left w:val="single" w:sz="4" w:space="0" w:color="auto"/>
              <w:bottom w:val="single" w:sz="4" w:space="0" w:color="auto"/>
              <w:right w:val="single" w:sz="4" w:space="0" w:color="auto"/>
            </w:tcBorders>
            <w:vAlign w:val="center"/>
          </w:tcPr>
          <w:p w14:paraId="70994F1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27.73</w:t>
            </w:r>
          </w:p>
        </w:tc>
        <w:tc>
          <w:tcPr>
            <w:tcW w:w="845" w:type="dxa"/>
            <w:tcBorders>
              <w:top w:val="single" w:sz="4" w:space="0" w:color="auto"/>
              <w:left w:val="single" w:sz="4" w:space="0" w:color="auto"/>
              <w:bottom w:val="single" w:sz="4" w:space="0" w:color="auto"/>
              <w:right w:val="single" w:sz="4" w:space="0" w:color="auto"/>
            </w:tcBorders>
            <w:vAlign w:val="center"/>
          </w:tcPr>
          <w:p w14:paraId="447B241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4324ED0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r>
      <w:tr w:rsidR="006333D1" w:rsidRPr="0049300D" w14:paraId="625DDFEE"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7CD0A09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AAD29DA"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Garland making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102B732E"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6DEE5D29"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14:paraId="6C78E999"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13500</w:t>
            </w:r>
          </w:p>
        </w:tc>
        <w:tc>
          <w:tcPr>
            <w:tcW w:w="876" w:type="dxa"/>
            <w:tcBorders>
              <w:top w:val="single" w:sz="4" w:space="0" w:color="auto"/>
              <w:left w:val="single" w:sz="4" w:space="0" w:color="auto"/>
              <w:bottom w:val="single" w:sz="4" w:space="0" w:color="auto"/>
              <w:right w:val="single" w:sz="4" w:space="0" w:color="auto"/>
            </w:tcBorders>
            <w:vAlign w:val="center"/>
          </w:tcPr>
          <w:p w14:paraId="75A68E9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5.33</w:t>
            </w:r>
          </w:p>
        </w:tc>
        <w:tc>
          <w:tcPr>
            <w:tcW w:w="845" w:type="dxa"/>
            <w:tcBorders>
              <w:top w:val="single" w:sz="4" w:space="0" w:color="auto"/>
              <w:left w:val="single" w:sz="4" w:space="0" w:color="auto"/>
              <w:bottom w:val="single" w:sz="4" w:space="0" w:color="auto"/>
              <w:right w:val="single" w:sz="4" w:space="0" w:color="auto"/>
            </w:tcBorders>
            <w:vAlign w:val="center"/>
          </w:tcPr>
          <w:p w14:paraId="11B90203"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018EE7C3"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r>
      <w:tr w:rsidR="006333D1" w:rsidRPr="0049300D" w14:paraId="2C1EC336"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4664A13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1D8A055D"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Packing and grading</w:t>
            </w:r>
          </w:p>
        </w:tc>
        <w:tc>
          <w:tcPr>
            <w:tcW w:w="845" w:type="dxa"/>
            <w:tcBorders>
              <w:top w:val="single" w:sz="4" w:space="0" w:color="auto"/>
              <w:left w:val="single" w:sz="4" w:space="0" w:color="auto"/>
              <w:bottom w:val="single" w:sz="4" w:space="0" w:color="auto"/>
              <w:right w:val="single" w:sz="4" w:space="0" w:color="auto"/>
            </w:tcBorders>
            <w:noWrap/>
            <w:vAlign w:val="center"/>
          </w:tcPr>
          <w:p w14:paraId="52FC8B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3D88B7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1056" w:type="dxa"/>
            <w:tcBorders>
              <w:top w:val="single" w:sz="4" w:space="0" w:color="auto"/>
              <w:left w:val="single" w:sz="4" w:space="0" w:color="auto"/>
              <w:bottom w:val="single" w:sz="4" w:space="0" w:color="auto"/>
              <w:right w:val="single" w:sz="4" w:space="0" w:color="auto"/>
            </w:tcBorders>
            <w:vAlign w:val="center"/>
          </w:tcPr>
          <w:p w14:paraId="40F5C4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36000</w:t>
            </w:r>
          </w:p>
        </w:tc>
        <w:tc>
          <w:tcPr>
            <w:tcW w:w="876" w:type="dxa"/>
            <w:tcBorders>
              <w:top w:val="single" w:sz="4" w:space="0" w:color="auto"/>
              <w:left w:val="single" w:sz="4" w:space="0" w:color="auto"/>
              <w:bottom w:val="single" w:sz="4" w:space="0" w:color="auto"/>
              <w:right w:val="single" w:sz="4" w:space="0" w:color="auto"/>
            </w:tcBorders>
            <w:vAlign w:val="center"/>
          </w:tcPr>
          <w:p w14:paraId="2F76E86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14.22</w:t>
            </w:r>
          </w:p>
        </w:tc>
        <w:tc>
          <w:tcPr>
            <w:tcW w:w="845" w:type="dxa"/>
            <w:tcBorders>
              <w:top w:val="single" w:sz="4" w:space="0" w:color="auto"/>
              <w:left w:val="single" w:sz="4" w:space="0" w:color="auto"/>
              <w:bottom w:val="single" w:sz="4" w:space="0" w:color="auto"/>
              <w:right w:val="single" w:sz="4" w:space="0" w:color="auto"/>
            </w:tcBorders>
            <w:vAlign w:val="center"/>
          </w:tcPr>
          <w:p w14:paraId="7FBD80E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240698C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r>
      <w:tr w:rsidR="006333D1" w:rsidRPr="0049300D" w14:paraId="03630019"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3333B0B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10ECB2C"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Transportation</w:t>
            </w:r>
          </w:p>
        </w:tc>
        <w:tc>
          <w:tcPr>
            <w:tcW w:w="845" w:type="dxa"/>
            <w:tcBorders>
              <w:top w:val="single" w:sz="4" w:space="0" w:color="auto"/>
              <w:left w:val="single" w:sz="4" w:space="0" w:color="auto"/>
              <w:bottom w:val="single" w:sz="4" w:space="0" w:color="auto"/>
              <w:right w:val="single" w:sz="4" w:space="0" w:color="auto"/>
            </w:tcBorders>
            <w:noWrap/>
            <w:vAlign w:val="center"/>
          </w:tcPr>
          <w:p w14:paraId="0F95326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69BB3D9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4F37593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20700</w:t>
            </w:r>
          </w:p>
        </w:tc>
        <w:tc>
          <w:tcPr>
            <w:tcW w:w="876" w:type="dxa"/>
            <w:tcBorders>
              <w:top w:val="single" w:sz="4" w:space="0" w:color="auto"/>
              <w:left w:val="single" w:sz="4" w:space="0" w:color="auto"/>
              <w:bottom w:val="single" w:sz="4" w:space="0" w:color="auto"/>
              <w:right w:val="single" w:sz="4" w:space="0" w:color="auto"/>
            </w:tcBorders>
            <w:vAlign w:val="center"/>
          </w:tcPr>
          <w:p w14:paraId="19679B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8.18</w:t>
            </w:r>
          </w:p>
        </w:tc>
        <w:tc>
          <w:tcPr>
            <w:tcW w:w="845" w:type="dxa"/>
            <w:tcBorders>
              <w:top w:val="single" w:sz="4" w:space="0" w:color="auto"/>
              <w:left w:val="single" w:sz="4" w:space="0" w:color="auto"/>
              <w:bottom w:val="single" w:sz="4" w:space="0" w:color="auto"/>
              <w:right w:val="single" w:sz="4" w:space="0" w:color="auto"/>
            </w:tcBorders>
            <w:vAlign w:val="center"/>
          </w:tcPr>
          <w:p w14:paraId="36D7BA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0D22996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35FBFB90"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8077B1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220A5AE1"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single" w:sz="4" w:space="0" w:color="auto"/>
              <w:left w:val="single" w:sz="4" w:space="0" w:color="auto"/>
              <w:bottom w:val="single" w:sz="4" w:space="0" w:color="auto"/>
              <w:right w:val="single" w:sz="4" w:space="0" w:color="auto"/>
            </w:tcBorders>
            <w:noWrap/>
            <w:vAlign w:val="center"/>
          </w:tcPr>
          <w:p w14:paraId="024D39B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67AAE78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2280468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20625</w:t>
            </w:r>
          </w:p>
        </w:tc>
        <w:tc>
          <w:tcPr>
            <w:tcW w:w="876" w:type="dxa"/>
            <w:tcBorders>
              <w:top w:val="single" w:sz="4" w:space="0" w:color="auto"/>
              <w:left w:val="single" w:sz="4" w:space="0" w:color="auto"/>
              <w:bottom w:val="single" w:sz="4" w:space="0" w:color="auto"/>
              <w:right w:val="single" w:sz="4" w:space="0" w:color="auto"/>
            </w:tcBorders>
            <w:vAlign w:val="center"/>
          </w:tcPr>
          <w:p w14:paraId="2E1DE9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8.15</w:t>
            </w:r>
          </w:p>
        </w:tc>
        <w:tc>
          <w:tcPr>
            <w:tcW w:w="845" w:type="dxa"/>
            <w:tcBorders>
              <w:top w:val="single" w:sz="4" w:space="0" w:color="auto"/>
              <w:left w:val="single" w:sz="4" w:space="0" w:color="auto"/>
              <w:bottom w:val="single" w:sz="4" w:space="0" w:color="auto"/>
              <w:right w:val="single" w:sz="4" w:space="0" w:color="auto"/>
            </w:tcBorders>
            <w:vAlign w:val="center"/>
          </w:tcPr>
          <w:p w14:paraId="4C9C72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28D2B1C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9D1FDF8"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EEE80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3ED6E377"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Export price</w:t>
            </w:r>
          </w:p>
        </w:tc>
        <w:tc>
          <w:tcPr>
            <w:tcW w:w="845" w:type="dxa"/>
            <w:tcBorders>
              <w:top w:val="single" w:sz="4" w:space="0" w:color="auto"/>
              <w:left w:val="nil"/>
              <w:bottom w:val="single" w:sz="4" w:space="0" w:color="auto"/>
              <w:right w:val="single" w:sz="4" w:space="0" w:color="auto"/>
            </w:tcBorders>
            <w:noWrap/>
            <w:vAlign w:val="center"/>
          </w:tcPr>
          <w:p w14:paraId="54E1349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5EABF91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0680F9C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123825</w:t>
            </w:r>
          </w:p>
        </w:tc>
        <w:tc>
          <w:tcPr>
            <w:tcW w:w="876" w:type="dxa"/>
            <w:tcBorders>
              <w:top w:val="single" w:sz="4" w:space="0" w:color="auto"/>
              <w:left w:val="nil"/>
              <w:bottom w:val="single" w:sz="4" w:space="0" w:color="auto"/>
              <w:right w:val="single" w:sz="4" w:space="0" w:color="auto"/>
            </w:tcBorders>
            <w:vAlign w:val="center"/>
          </w:tcPr>
          <w:p w14:paraId="1CFBD14A" w14:textId="77777777" w:rsidR="006333D1" w:rsidRPr="0049300D" w:rsidRDefault="006333D1" w:rsidP="000C52C0">
            <w:pPr>
              <w:spacing w:after="100" w:afterAutospacing="1" w:line="360" w:lineRule="auto"/>
              <w:jc w:val="center"/>
              <w:rPr>
                <w:rFonts w:ascii="Times New Roman" w:hAnsi="Times New Roman" w:cs="Times New Roman"/>
                <w:sz w:val="24"/>
                <w:szCs w:val="24"/>
              </w:rPr>
            </w:pPr>
            <w:r w:rsidRPr="0049300D">
              <w:rPr>
                <w:rFonts w:ascii="Times New Roman" w:hAnsi="Times New Roman" w:cs="Times New Roman"/>
                <w:sz w:val="24"/>
                <w:szCs w:val="24"/>
              </w:rPr>
              <w:t>48.92</w:t>
            </w:r>
          </w:p>
        </w:tc>
        <w:tc>
          <w:tcPr>
            <w:tcW w:w="845" w:type="dxa"/>
            <w:tcBorders>
              <w:top w:val="single" w:sz="4" w:space="0" w:color="auto"/>
              <w:left w:val="nil"/>
              <w:bottom w:val="single" w:sz="4" w:space="0" w:color="auto"/>
              <w:right w:val="single" w:sz="4" w:space="0" w:color="auto"/>
            </w:tcBorders>
            <w:vAlign w:val="center"/>
          </w:tcPr>
          <w:p w14:paraId="0398D6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197C1F8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D7F8FB2" w14:textId="77777777" w:rsidTr="00727E1F">
        <w:trPr>
          <w:trHeight w:val="313"/>
          <w:jc w:val="center"/>
        </w:trPr>
        <w:tc>
          <w:tcPr>
            <w:tcW w:w="734" w:type="dxa"/>
            <w:tcBorders>
              <w:left w:val="single" w:sz="4" w:space="0" w:color="auto"/>
              <w:bottom w:val="single" w:sz="4" w:space="0" w:color="auto"/>
              <w:right w:val="single" w:sz="4" w:space="0" w:color="auto"/>
            </w:tcBorders>
            <w:noWrap/>
            <w:vAlign w:val="center"/>
          </w:tcPr>
          <w:p w14:paraId="1808E5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4</w:t>
            </w:r>
          </w:p>
        </w:tc>
        <w:tc>
          <w:tcPr>
            <w:tcW w:w="8184" w:type="dxa"/>
            <w:gridSpan w:val="7"/>
            <w:tcBorders>
              <w:top w:val="single" w:sz="4" w:space="0" w:color="auto"/>
              <w:left w:val="nil"/>
              <w:bottom w:val="single" w:sz="4" w:space="0" w:color="auto"/>
              <w:right w:val="single" w:sz="4" w:space="0" w:color="auto"/>
            </w:tcBorders>
            <w:noWrap/>
            <w:vAlign w:val="center"/>
          </w:tcPr>
          <w:p w14:paraId="286B0A86"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Importer</w:t>
            </w:r>
          </w:p>
        </w:tc>
      </w:tr>
      <w:tr w:rsidR="006333D1" w:rsidRPr="0049300D" w14:paraId="17A8170A" w14:textId="77777777" w:rsidTr="00727E1F">
        <w:trPr>
          <w:trHeight w:val="313"/>
          <w:jc w:val="center"/>
        </w:trPr>
        <w:tc>
          <w:tcPr>
            <w:tcW w:w="734" w:type="dxa"/>
            <w:vMerge w:val="restart"/>
            <w:tcBorders>
              <w:top w:val="single" w:sz="4" w:space="0" w:color="auto"/>
              <w:left w:val="single" w:sz="4" w:space="0" w:color="auto"/>
              <w:right w:val="single" w:sz="4" w:space="0" w:color="auto"/>
            </w:tcBorders>
            <w:noWrap/>
            <w:vAlign w:val="center"/>
          </w:tcPr>
          <w:p w14:paraId="11B8716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BE3A980"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Importing purchase price</w:t>
            </w:r>
          </w:p>
        </w:tc>
        <w:tc>
          <w:tcPr>
            <w:tcW w:w="845" w:type="dxa"/>
            <w:tcBorders>
              <w:top w:val="single" w:sz="4" w:space="0" w:color="auto"/>
              <w:left w:val="nil"/>
              <w:bottom w:val="single" w:sz="4" w:space="0" w:color="auto"/>
              <w:right w:val="single" w:sz="4" w:space="0" w:color="auto"/>
            </w:tcBorders>
            <w:noWrap/>
            <w:vAlign w:val="center"/>
          </w:tcPr>
          <w:p w14:paraId="17EA83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1AD58D4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0D9A6C0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123825</w:t>
            </w:r>
          </w:p>
        </w:tc>
        <w:tc>
          <w:tcPr>
            <w:tcW w:w="876" w:type="dxa"/>
            <w:tcBorders>
              <w:top w:val="single" w:sz="4" w:space="0" w:color="auto"/>
              <w:left w:val="nil"/>
              <w:bottom w:val="single" w:sz="4" w:space="0" w:color="auto"/>
              <w:right w:val="single" w:sz="4" w:space="0" w:color="auto"/>
            </w:tcBorders>
            <w:vAlign w:val="center"/>
          </w:tcPr>
          <w:p w14:paraId="782F5D6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48.92</w:t>
            </w:r>
          </w:p>
        </w:tc>
        <w:tc>
          <w:tcPr>
            <w:tcW w:w="845" w:type="dxa"/>
            <w:tcBorders>
              <w:top w:val="single" w:sz="4" w:space="0" w:color="auto"/>
              <w:left w:val="nil"/>
              <w:bottom w:val="single" w:sz="4" w:space="0" w:color="auto"/>
              <w:right w:val="single" w:sz="4" w:space="0" w:color="auto"/>
            </w:tcBorders>
            <w:vAlign w:val="center"/>
          </w:tcPr>
          <w:p w14:paraId="4C1FF55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114D7D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12E6C8B2" w14:textId="77777777" w:rsidTr="00727E1F">
        <w:trPr>
          <w:trHeight w:val="313"/>
          <w:jc w:val="center"/>
        </w:trPr>
        <w:tc>
          <w:tcPr>
            <w:tcW w:w="734" w:type="dxa"/>
            <w:vMerge/>
            <w:tcBorders>
              <w:left w:val="single" w:sz="4" w:space="0" w:color="auto"/>
              <w:right w:val="single" w:sz="4" w:space="0" w:color="auto"/>
            </w:tcBorders>
            <w:noWrap/>
            <w:vAlign w:val="center"/>
          </w:tcPr>
          <w:p w14:paraId="268891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0395FE9"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 and Margin</w:t>
            </w:r>
          </w:p>
        </w:tc>
        <w:tc>
          <w:tcPr>
            <w:tcW w:w="845" w:type="dxa"/>
            <w:tcBorders>
              <w:top w:val="single" w:sz="4" w:space="0" w:color="auto"/>
              <w:left w:val="nil"/>
              <w:bottom w:val="single" w:sz="4" w:space="0" w:color="auto"/>
              <w:right w:val="single" w:sz="4" w:space="0" w:color="auto"/>
            </w:tcBorders>
            <w:noWrap/>
            <w:vAlign w:val="center"/>
          </w:tcPr>
          <w:p w14:paraId="1421686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60AF88E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492474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87113</w:t>
            </w:r>
          </w:p>
        </w:tc>
        <w:tc>
          <w:tcPr>
            <w:tcW w:w="876" w:type="dxa"/>
            <w:tcBorders>
              <w:top w:val="single" w:sz="4" w:space="0" w:color="auto"/>
              <w:left w:val="nil"/>
              <w:bottom w:val="single" w:sz="4" w:space="0" w:color="auto"/>
              <w:right w:val="single" w:sz="4" w:space="0" w:color="auto"/>
            </w:tcBorders>
            <w:vAlign w:val="center"/>
          </w:tcPr>
          <w:p w14:paraId="1687671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34.42</w:t>
            </w:r>
          </w:p>
        </w:tc>
        <w:tc>
          <w:tcPr>
            <w:tcW w:w="845" w:type="dxa"/>
            <w:tcBorders>
              <w:top w:val="single" w:sz="4" w:space="0" w:color="auto"/>
              <w:left w:val="nil"/>
              <w:bottom w:val="single" w:sz="4" w:space="0" w:color="auto"/>
              <w:right w:val="single" w:sz="4" w:space="0" w:color="auto"/>
            </w:tcBorders>
            <w:vAlign w:val="center"/>
          </w:tcPr>
          <w:p w14:paraId="638A75B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51D27BD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99F9BA7" w14:textId="77777777" w:rsidTr="00727E1F">
        <w:trPr>
          <w:trHeight w:val="313"/>
          <w:jc w:val="center"/>
        </w:trPr>
        <w:tc>
          <w:tcPr>
            <w:tcW w:w="734" w:type="dxa"/>
            <w:vMerge/>
            <w:tcBorders>
              <w:left w:val="single" w:sz="4" w:space="0" w:color="auto"/>
              <w:right w:val="single" w:sz="4" w:space="0" w:color="auto"/>
            </w:tcBorders>
            <w:noWrap/>
            <w:vAlign w:val="center"/>
          </w:tcPr>
          <w:p w14:paraId="3AAE0E5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4269B404"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Marketing Margin</w:t>
            </w:r>
          </w:p>
        </w:tc>
        <w:tc>
          <w:tcPr>
            <w:tcW w:w="845" w:type="dxa"/>
            <w:tcBorders>
              <w:top w:val="single" w:sz="4" w:space="0" w:color="auto"/>
              <w:left w:val="nil"/>
              <w:bottom w:val="single" w:sz="4" w:space="0" w:color="auto"/>
              <w:right w:val="single" w:sz="4" w:space="0" w:color="auto"/>
            </w:tcBorders>
            <w:noWrap/>
            <w:vAlign w:val="center"/>
          </w:tcPr>
          <w:p w14:paraId="6C2BDA1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6959852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2A5543C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42187</w:t>
            </w:r>
          </w:p>
        </w:tc>
        <w:tc>
          <w:tcPr>
            <w:tcW w:w="876" w:type="dxa"/>
            <w:tcBorders>
              <w:top w:val="single" w:sz="4" w:space="0" w:color="auto"/>
              <w:left w:val="nil"/>
              <w:bottom w:val="single" w:sz="4" w:space="0" w:color="auto"/>
              <w:right w:val="single" w:sz="4" w:space="0" w:color="auto"/>
            </w:tcBorders>
            <w:vAlign w:val="center"/>
          </w:tcPr>
          <w:p w14:paraId="24167F7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16.67</w:t>
            </w:r>
          </w:p>
        </w:tc>
        <w:tc>
          <w:tcPr>
            <w:tcW w:w="845" w:type="dxa"/>
            <w:tcBorders>
              <w:top w:val="single" w:sz="4" w:space="0" w:color="auto"/>
              <w:left w:val="nil"/>
              <w:bottom w:val="single" w:sz="4" w:space="0" w:color="auto"/>
              <w:right w:val="single" w:sz="4" w:space="0" w:color="auto"/>
            </w:tcBorders>
            <w:vAlign w:val="center"/>
          </w:tcPr>
          <w:p w14:paraId="0E23CA7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E1B55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0F95432D"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0B233C9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1D96944"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Sale Price</w:t>
            </w:r>
          </w:p>
        </w:tc>
        <w:tc>
          <w:tcPr>
            <w:tcW w:w="845" w:type="dxa"/>
            <w:tcBorders>
              <w:top w:val="single" w:sz="4" w:space="0" w:color="auto"/>
              <w:left w:val="nil"/>
              <w:bottom w:val="single" w:sz="4" w:space="0" w:color="auto"/>
              <w:right w:val="single" w:sz="4" w:space="0" w:color="auto"/>
            </w:tcBorders>
            <w:noWrap/>
            <w:vAlign w:val="center"/>
          </w:tcPr>
          <w:p w14:paraId="6CA836C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0C4B8CA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495E9F7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253125</w:t>
            </w:r>
          </w:p>
        </w:tc>
        <w:tc>
          <w:tcPr>
            <w:tcW w:w="876" w:type="dxa"/>
            <w:tcBorders>
              <w:top w:val="single" w:sz="4" w:space="0" w:color="auto"/>
              <w:left w:val="nil"/>
              <w:bottom w:val="single" w:sz="4" w:space="0" w:color="auto"/>
              <w:right w:val="single" w:sz="4" w:space="0" w:color="auto"/>
            </w:tcBorders>
            <w:vAlign w:val="center"/>
          </w:tcPr>
          <w:p w14:paraId="4E1904D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845" w:type="dxa"/>
            <w:tcBorders>
              <w:top w:val="single" w:sz="4" w:space="0" w:color="auto"/>
              <w:left w:val="nil"/>
              <w:bottom w:val="single" w:sz="4" w:space="0" w:color="auto"/>
              <w:right w:val="single" w:sz="4" w:space="0" w:color="auto"/>
            </w:tcBorders>
            <w:vAlign w:val="center"/>
          </w:tcPr>
          <w:p w14:paraId="30DC10D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57FB6D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0093AA9"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6C3EC14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5</w:t>
            </w:r>
          </w:p>
        </w:tc>
        <w:tc>
          <w:tcPr>
            <w:tcW w:w="8184" w:type="dxa"/>
            <w:gridSpan w:val="7"/>
            <w:tcBorders>
              <w:top w:val="single" w:sz="4" w:space="0" w:color="auto"/>
              <w:left w:val="single" w:sz="4" w:space="0" w:color="auto"/>
              <w:bottom w:val="single" w:sz="4" w:space="0" w:color="auto"/>
              <w:right w:val="single" w:sz="4" w:space="0" w:color="auto"/>
            </w:tcBorders>
            <w:noWrap/>
            <w:vAlign w:val="center"/>
          </w:tcPr>
          <w:p w14:paraId="3E88C563"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Wholesaler</w:t>
            </w:r>
          </w:p>
        </w:tc>
      </w:tr>
      <w:tr w:rsidR="006333D1" w:rsidRPr="0049300D" w14:paraId="0456342C" w14:textId="77777777" w:rsidTr="00727E1F">
        <w:trPr>
          <w:trHeight w:val="241"/>
          <w:jc w:val="center"/>
        </w:trPr>
        <w:tc>
          <w:tcPr>
            <w:tcW w:w="734" w:type="dxa"/>
            <w:vMerge w:val="restart"/>
            <w:tcBorders>
              <w:top w:val="single" w:sz="4" w:space="0" w:color="auto"/>
              <w:left w:val="single" w:sz="4" w:space="0" w:color="auto"/>
              <w:right w:val="single" w:sz="4" w:space="0" w:color="auto"/>
            </w:tcBorders>
            <w:noWrap/>
            <w:vAlign w:val="center"/>
          </w:tcPr>
          <w:p w14:paraId="1D1C3B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5F149994"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nil"/>
              <w:bottom w:val="single" w:sz="4" w:space="0" w:color="auto"/>
              <w:right w:val="single" w:sz="4" w:space="0" w:color="auto"/>
            </w:tcBorders>
            <w:noWrap/>
            <w:vAlign w:val="center"/>
          </w:tcPr>
          <w:p w14:paraId="3454BEF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990" w:type="dxa"/>
            <w:tcBorders>
              <w:top w:val="single" w:sz="4" w:space="0" w:color="auto"/>
              <w:left w:val="nil"/>
              <w:bottom w:val="single" w:sz="4" w:space="0" w:color="auto"/>
              <w:right w:val="single" w:sz="4" w:space="0" w:color="auto"/>
            </w:tcBorders>
            <w:noWrap/>
            <w:vAlign w:val="center"/>
          </w:tcPr>
          <w:p w14:paraId="32301C9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78.57</w:t>
            </w:r>
          </w:p>
        </w:tc>
        <w:tc>
          <w:tcPr>
            <w:tcW w:w="1056" w:type="dxa"/>
            <w:tcBorders>
              <w:top w:val="single" w:sz="4" w:space="0" w:color="auto"/>
              <w:left w:val="nil"/>
              <w:bottom w:val="single" w:sz="4" w:space="0" w:color="auto"/>
              <w:right w:val="single" w:sz="4" w:space="0" w:color="auto"/>
            </w:tcBorders>
            <w:vAlign w:val="center"/>
          </w:tcPr>
          <w:p w14:paraId="7AC6CD6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37C22FB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single" w:sz="4" w:space="0" w:color="auto"/>
              <w:left w:val="nil"/>
              <w:bottom w:val="single" w:sz="4" w:space="0" w:color="auto"/>
              <w:right w:val="single" w:sz="4" w:space="0" w:color="auto"/>
            </w:tcBorders>
            <w:vAlign w:val="center"/>
          </w:tcPr>
          <w:p w14:paraId="2FACACB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E699A6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6391975E" w14:textId="77777777" w:rsidTr="00727E1F">
        <w:trPr>
          <w:trHeight w:val="313"/>
          <w:jc w:val="center"/>
        </w:trPr>
        <w:tc>
          <w:tcPr>
            <w:tcW w:w="734" w:type="dxa"/>
            <w:vMerge/>
            <w:tcBorders>
              <w:left w:val="single" w:sz="4" w:space="0" w:color="auto"/>
              <w:right w:val="single" w:sz="4" w:space="0" w:color="auto"/>
            </w:tcBorders>
            <w:noWrap/>
            <w:vAlign w:val="center"/>
          </w:tcPr>
          <w:p w14:paraId="7A1C370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2777E67B" w14:textId="77777777" w:rsidR="006333D1" w:rsidRPr="0049300D" w:rsidRDefault="006333D1" w:rsidP="000C52C0">
            <w:pPr>
              <w:tabs>
                <w:tab w:val="left" w:pos="851"/>
              </w:tabs>
              <w:spacing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3DD1B58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nil"/>
              <w:left w:val="nil"/>
              <w:bottom w:val="single" w:sz="4" w:space="0" w:color="auto"/>
              <w:right w:val="single" w:sz="4" w:space="0" w:color="auto"/>
            </w:tcBorders>
            <w:noWrap/>
            <w:vAlign w:val="center"/>
          </w:tcPr>
          <w:p w14:paraId="312EDD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6DEAEA3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682742F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454231B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177AF83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284F6F9" w14:textId="77777777" w:rsidTr="00727E1F">
        <w:trPr>
          <w:trHeight w:val="313"/>
          <w:jc w:val="center"/>
        </w:trPr>
        <w:tc>
          <w:tcPr>
            <w:tcW w:w="734" w:type="dxa"/>
            <w:vMerge/>
            <w:tcBorders>
              <w:left w:val="single" w:sz="4" w:space="0" w:color="auto"/>
              <w:right w:val="single" w:sz="4" w:space="0" w:color="auto"/>
            </w:tcBorders>
            <w:noWrap/>
            <w:vAlign w:val="center"/>
          </w:tcPr>
          <w:p w14:paraId="6368EA3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AEEC7A7"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Transportation</w:t>
            </w:r>
          </w:p>
        </w:tc>
        <w:tc>
          <w:tcPr>
            <w:tcW w:w="845" w:type="dxa"/>
            <w:tcBorders>
              <w:top w:val="nil"/>
              <w:left w:val="nil"/>
              <w:bottom w:val="single" w:sz="4" w:space="0" w:color="auto"/>
              <w:right w:val="single" w:sz="4" w:space="0" w:color="auto"/>
            </w:tcBorders>
            <w:noWrap/>
            <w:vAlign w:val="center"/>
          </w:tcPr>
          <w:p w14:paraId="456E32E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2FA47F1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54ACA3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DFAA93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143A6B5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2035943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CCEBED0" w14:textId="77777777" w:rsidTr="00727E1F">
        <w:trPr>
          <w:trHeight w:val="313"/>
          <w:jc w:val="center"/>
        </w:trPr>
        <w:tc>
          <w:tcPr>
            <w:tcW w:w="734" w:type="dxa"/>
            <w:vMerge/>
            <w:tcBorders>
              <w:left w:val="single" w:sz="4" w:space="0" w:color="auto"/>
              <w:right w:val="single" w:sz="4" w:space="0" w:color="auto"/>
            </w:tcBorders>
            <w:noWrap/>
            <w:vAlign w:val="center"/>
          </w:tcPr>
          <w:p w14:paraId="0203903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DC14F9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5C1684F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3000</w:t>
            </w:r>
          </w:p>
        </w:tc>
        <w:tc>
          <w:tcPr>
            <w:tcW w:w="990" w:type="dxa"/>
            <w:tcBorders>
              <w:top w:val="nil"/>
              <w:left w:val="nil"/>
              <w:bottom w:val="single" w:sz="4" w:space="0" w:color="auto"/>
              <w:right w:val="single" w:sz="4" w:space="0" w:color="auto"/>
            </w:tcBorders>
            <w:noWrap/>
            <w:vAlign w:val="center"/>
          </w:tcPr>
          <w:p w14:paraId="66F7919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7.14</w:t>
            </w:r>
          </w:p>
        </w:tc>
        <w:tc>
          <w:tcPr>
            <w:tcW w:w="1056" w:type="dxa"/>
            <w:tcBorders>
              <w:top w:val="nil"/>
              <w:left w:val="nil"/>
              <w:bottom w:val="single" w:sz="4" w:space="0" w:color="auto"/>
              <w:right w:val="single" w:sz="4" w:space="0" w:color="auto"/>
            </w:tcBorders>
            <w:vAlign w:val="center"/>
          </w:tcPr>
          <w:p w14:paraId="4298CE2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B29A3E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0780D64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4A9AFE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67DCEB68"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127AEF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1143F034"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7662AC6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990" w:type="dxa"/>
            <w:tcBorders>
              <w:top w:val="nil"/>
              <w:left w:val="nil"/>
              <w:bottom w:val="single" w:sz="4" w:space="0" w:color="auto"/>
              <w:right w:val="single" w:sz="4" w:space="0" w:color="auto"/>
            </w:tcBorders>
            <w:noWrap/>
            <w:vAlign w:val="center"/>
          </w:tcPr>
          <w:p w14:paraId="427D61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88.10</w:t>
            </w:r>
          </w:p>
        </w:tc>
        <w:tc>
          <w:tcPr>
            <w:tcW w:w="1056" w:type="dxa"/>
            <w:tcBorders>
              <w:top w:val="nil"/>
              <w:left w:val="nil"/>
              <w:bottom w:val="single" w:sz="4" w:space="0" w:color="auto"/>
              <w:right w:val="single" w:sz="4" w:space="0" w:color="auto"/>
            </w:tcBorders>
            <w:vAlign w:val="center"/>
          </w:tcPr>
          <w:p w14:paraId="5F06198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080DEE2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19769BD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6459E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1052EE1C"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213FED3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6</w:t>
            </w:r>
          </w:p>
        </w:tc>
        <w:tc>
          <w:tcPr>
            <w:tcW w:w="8184" w:type="dxa"/>
            <w:gridSpan w:val="7"/>
            <w:tcBorders>
              <w:top w:val="nil"/>
              <w:left w:val="nil"/>
              <w:bottom w:val="single" w:sz="4" w:space="0" w:color="auto"/>
              <w:right w:val="single" w:sz="4" w:space="0" w:color="auto"/>
            </w:tcBorders>
            <w:noWrap/>
            <w:vAlign w:val="center"/>
          </w:tcPr>
          <w:p w14:paraId="2C7B46AC"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Retailer</w:t>
            </w:r>
          </w:p>
        </w:tc>
      </w:tr>
      <w:tr w:rsidR="006333D1" w:rsidRPr="0049300D" w14:paraId="12CD26C8" w14:textId="77777777" w:rsidTr="00727E1F">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58854F6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0D45360F"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Purchase price</w:t>
            </w:r>
          </w:p>
        </w:tc>
        <w:tc>
          <w:tcPr>
            <w:tcW w:w="845" w:type="dxa"/>
            <w:tcBorders>
              <w:top w:val="nil"/>
              <w:left w:val="nil"/>
              <w:bottom w:val="single" w:sz="4" w:space="0" w:color="auto"/>
              <w:right w:val="single" w:sz="4" w:space="0" w:color="auto"/>
            </w:tcBorders>
            <w:noWrap/>
            <w:vAlign w:val="center"/>
          </w:tcPr>
          <w:p w14:paraId="3337A40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990" w:type="dxa"/>
            <w:tcBorders>
              <w:top w:val="nil"/>
              <w:left w:val="nil"/>
              <w:bottom w:val="single" w:sz="4" w:space="0" w:color="auto"/>
              <w:right w:val="single" w:sz="4" w:space="0" w:color="auto"/>
            </w:tcBorders>
            <w:noWrap/>
            <w:vAlign w:val="center"/>
          </w:tcPr>
          <w:p w14:paraId="789CA4C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88.10</w:t>
            </w:r>
          </w:p>
        </w:tc>
        <w:tc>
          <w:tcPr>
            <w:tcW w:w="1056" w:type="dxa"/>
            <w:tcBorders>
              <w:top w:val="nil"/>
              <w:left w:val="nil"/>
              <w:bottom w:val="single" w:sz="4" w:space="0" w:color="auto"/>
              <w:right w:val="single" w:sz="4" w:space="0" w:color="auto"/>
            </w:tcBorders>
            <w:vAlign w:val="center"/>
          </w:tcPr>
          <w:p w14:paraId="2C6ACA1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nil"/>
              <w:left w:val="nil"/>
              <w:bottom w:val="single" w:sz="4" w:space="0" w:color="auto"/>
              <w:right w:val="single" w:sz="4" w:space="0" w:color="auto"/>
            </w:tcBorders>
            <w:vAlign w:val="center"/>
          </w:tcPr>
          <w:p w14:paraId="17D71B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nil"/>
              <w:left w:val="nil"/>
              <w:bottom w:val="single" w:sz="4" w:space="0" w:color="auto"/>
              <w:right w:val="single" w:sz="4" w:space="0" w:color="auto"/>
            </w:tcBorders>
            <w:vAlign w:val="center"/>
          </w:tcPr>
          <w:p w14:paraId="3257824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876" w:type="dxa"/>
            <w:tcBorders>
              <w:top w:val="nil"/>
              <w:left w:val="nil"/>
              <w:bottom w:val="single" w:sz="4" w:space="0" w:color="auto"/>
              <w:right w:val="single" w:sz="4" w:space="0" w:color="auto"/>
            </w:tcBorders>
            <w:vAlign w:val="center"/>
          </w:tcPr>
          <w:p w14:paraId="622DD18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89.19</w:t>
            </w:r>
          </w:p>
        </w:tc>
      </w:tr>
      <w:tr w:rsidR="006333D1" w:rsidRPr="0049300D" w14:paraId="5848AE68"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6355733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032C7EB"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172C7DA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single" w:sz="4" w:space="0" w:color="auto"/>
              <w:left w:val="single" w:sz="4" w:space="0" w:color="auto"/>
              <w:bottom w:val="single" w:sz="4" w:space="0" w:color="auto"/>
              <w:right w:val="single" w:sz="4" w:space="0" w:color="auto"/>
            </w:tcBorders>
            <w:noWrap/>
            <w:vAlign w:val="center"/>
          </w:tcPr>
          <w:p w14:paraId="20DC5B9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single" w:sz="4" w:space="0" w:color="auto"/>
              <w:left w:val="single" w:sz="4" w:space="0" w:color="auto"/>
              <w:bottom w:val="single" w:sz="4" w:space="0" w:color="auto"/>
              <w:right w:val="single" w:sz="4" w:space="0" w:color="auto"/>
            </w:tcBorders>
            <w:vAlign w:val="center"/>
          </w:tcPr>
          <w:p w14:paraId="40B34C8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398AF31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45" w:type="dxa"/>
            <w:tcBorders>
              <w:top w:val="single" w:sz="4" w:space="0" w:color="auto"/>
              <w:left w:val="single" w:sz="4" w:space="0" w:color="auto"/>
              <w:bottom w:val="single" w:sz="4" w:space="0" w:color="auto"/>
              <w:right w:val="single" w:sz="4" w:space="0" w:color="auto"/>
            </w:tcBorders>
            <w:vAlign w:val="center"/>
          </w:tcPr>
          <w:p w14:paraId="229C875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single" w:sz="4" w:space="0" w:color="auto"/>
              <w:left w:val="single" w:sz="4" w:space="0" w:color="auto"/>
              <w:bottom w:val="single" w:sz="4" w:space="0" w:color="auto"/>
              <w:right w:val="single" w:sz="4" w:space="0" w:color="auto"/>
            </w:tcBorders>
            <w:vAlign w:val="center"/>
          </w:tcPr>
          <w:p w14:paraId="6A018B4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13F8B9C1"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7757AB8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795CAC37"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Transportation &amp; Handling</w:t>
            </w:r>
          </w:p>
        </w:tc>
        <w:tc>
          <w:tcPr>
            <w:tcW w:w="845" w:type="dxa"/>
            <w:tcBorders>
              <w:top w:val="single" w:sz="4" w:space="0" w:color="auto"/>
              <w:left w:val="nil"/>
              <w:bottom w:val="single" w:sz="4" w:space="0" w:color="auto"/>
              <w:right w:val="single" w:sz="4" w:space="0" w:color="auto"/>
            </w:tcBorders>
            <w:noWrap/>
            <w:vAlign w:val="center"/>
          </w:tcPr>
          <w:p w14:paraId="7347A72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single" w:sz="4" w:space="0" w:color="auto"/>
              <w:left w:val="nil"/>
              <w:bottom w:val="single" w:sz="4" w:space="0" w:color="auto"/>
              <w:right w:val="single" w:sz="4" w:space="0" w:color="auto"/>
            </w:tcBorders>
            <w:noWrap/>
            <w:vAlign w:val="center"/>
          </w:tcPr>
          <w:p w14:paraId="1EE44FA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single" w:sz="4" w:space="0" w:color="auto"/>
              <w:left w:val="nil"/>
              <w:bottom w:val="single" w:sz="4" w:space="0" w:color="auto"/>
              <w:right w:val="single" w:sz="4" w:space="0" w:color="auto"/>
            </w:tcBorders>
            <w:vAlign w:val="center"/>
          </w:tcPr>
          <w:p w14:paraId="37D13E7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single" w:sz="4" w:space="0" w:color="auto"/>
              <w:left w:val="nil"/>
              <w:bottom w:val="single" w:sz="4" w:space="0" w:color="auto"/>
              <w:right w:val="single" w:sz="4" w:space="0" w:color="auto"/>
            </w:tcBorders>
            <w:vAlign w:val="center"/>
          </w:tcPr>
          <w:p w14:paraId="71574C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single" w:sz="4" w:space="0" w:color="auto"/>
              <w:left w:val="nil"/>
              <w:bottom w:val="single" w:sz="4" w:space="0" w:color="auto"/>
              <w:right w:val="single" w:sz="4" w:space="0" w:color="auto"/>
            </w:tcBorders>
            <w:vAlign w:val="center"/>
          </w:tcPr>
          <w:p w14:paraId="3D29427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single" w:sz="4" w:space="0" w:color="auto"/>
              <w:left w:val="nil"/>
              <w:bottom w:val="single" w:sz="4" w:space="0" w:color="auto"/>
              <w:right w:val="single" w:sz="4" w:space="0" w:color="auto"/>
            </w:tcBorders>
            <w:vAlign w:val="center"/>
          </w:tcPr>
          <w:p w14:paraId="72E69BE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1480A968"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47FACEE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7BE0005A"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5B7A82B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990" w:type="dxa"/>
            <w:tcBorders>
              <w:top w:val="nil"/>
              <w:left w:val="nil"/>
              <w:bottom w:val="single" w:sz="4" w:space="0" w:color="auto"/>
              <w:right w:val="single" w:sz="4" w:space="0" w:color="auto"/>
            </w:tcBorders>
            <w:noWrap/>
            <w:vAlign w:val="center"/>
          </w:tcPr>
          <w:p w14:paraId="05F68B3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9.52</w:t>
            </w:r>
          </w:p>
        </w:tc>
        <w:tc>
          <w:tcPr>
            <w:tcW w:w="1056" w:type="dxa"/>
            <w:tcBorders>
              <w:top w:val="nil"/>
              <w:left w:val="nil"/>
              <w:bottom w:val="single" w:sz="4" w:space="0" w:color="auto"/>
              <w:right w:val="single" w:sz="4" w:space="0" w:color="auto"/>
            </w:tcBorders>
            <w:vAlign w:val="center"/>
          </w:tcPr>
          <w:p w14:paraId="5E478EC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nil"/>
              <w:left w:val="nil"/>
              <w:bottom w:val="single" w:sz="4" w:space="0" w:color="auto"/>
              <w:right w:val="single" w:sz="4" w:space="0" w:color="auto"/>
            </w:tcBorders>
            <w:vAlign w:val="center"/>
          </w:tcPr>
          <w:p w14:paraId="7A3E35C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45" w:type="dxa"/>
            <w:tcBorders>
              <w:top w:val="nil"/>
              <w:left w:val="nil"/>
              <w:bottom w:val="single" w:sz="4" w:space="0" w:color="auto"/>
              <w:right w:val="single" w:sz="4" w:space="0" w:color="auto"/>
            </w:tcBorders>
            <w:vAlign w:val="center"/>
          </w:tcPr>
          <w:p w14:paraId="3FA2BF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3000</w:t>
            </w:r>
          </w:p>
        </w:tc>
        <w:tc>
          <w:tcPr>
            <w:tcW w:w="876" w:type="dxa"/>
            <w:tcBorders>
              <w:top w:val="nil"/>
              <w:left w:val="nil"/>
              <w:bottom w:val="single" w:sz="4" w:space="0" w:color="auto"/>
              <w:right w:val="single" w:sz="4" w:space="0" w:color="auto"/>
            </w:tcBorders>
            <w:vAlign w:val="center"/>
          </w:tcPr>
          <w:p w14:paraId="6197B82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8.11</w:t>
            </w:r>
          </w:p>
        </w:tc>
      </w:tr>
      <w:tr w:rsidR="006333D1" w:rsidRPr="0049300D" w14:paraId="152892DA"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26EFAA3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361B2A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660EC2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42000</w:t>
            </w:r>
          </w:p>
        </w:tc>
        <w:tc>
          <w:tcPr>
            <w:tcW w:w="990" w:type="dxa"/>
            <w:tcBorders>
              <w:top w:val="nil"/>
              <w:left w:val="nil"/>
              <w:bottom w:val="single" w:sz="4" w:space="0" w:color="auto"/>
              <w:right w:val="single" w:sz="4" w:space="0" w:color="auto"/>
            </w:tcBorders>
            <w:noWrap/>
            <w:vAlign w:val="center"/>
          </w:tcPr>
          <w:p w14:paraId="5F4C47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1056" w:type="dxa"/>
            <w:tcBorders>
              <w:top w:val="nil"/>
              <w:left w:val="nil"/>
              <w:bottom w:val="single" w:sz="4" w:space="0" w:color="auto"/>
              <w:right w:val="single" w:sz="4" w:space="0" w:color="auto"/>
            </w:tcBorders>
            <w:noWrap/>
            <w:vAlign w:val="center"/>
          </w:tcPr>
          <w:p w14:paraId="0C70B2A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nil"/>
              <w:left w:val="nil"/>
              <w:bottom w:val="single" w:sz="4" w:space="0" w:color="auto"/>
              <w:right w:val="single" w:sz="4" w:space="0" w:color="auto"/>
            </w:tcBorders>
            <w:vAlign w:val="center"/>
          </w:tcPr>
          <w:p w14:paraId="5A82A32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nil"/>
              <w:left w:val="nil"/>
              <w:bottom w:val="single" w:sz="4" w:space="0" w:color="auto"/>
              <w:right w:val="single" w:sz="4" w:space="0" w:color="auto"/>
            </w:tcBorders>
            <w:noWrap/>
            <w:vAlign w:val="center"/>
          </w:tcPr>
          <w:p w14:paraId="60BA245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876" w:type="dxa"/>
            <w:tcBorders>
              <w:top w:val="nil"/>
              <w:left w:val="nil"/>
              <w:bottom w:val="single" w:sz="4" w:space="0" w:color="auto"/>
              <w:right w:val="single" w:sz="4" w:space="0" w:color="auto"/>
            </w:tcBorders>
            <w:vAlign w:val="center"/>
          </w:tcPr>
          <w:p w14:paraId="60115C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r>
      <w:tr w:rsidR="006333D1" w:rsidRPr="0049300D" w14:paraId="4E5121C2"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5096793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7</w:t>
            </w:r>
          </w:p>
        </w:tc>
        <w:tc>
          <w:tcPr>
            <w:tcW w:w="8184" w:type="dxa"/>
            <w:gridSpan w:val="7"/>
            <w:tcBorders>
              <w:top w:val="nil"/>
              <w:left w:val="nil"/>
              <w:bottom w:val="single" w:sz="4" w:space="0" w:color="auto"/>
              <w:right w:val="single" w:sz="4" w:space="0" w:color="auto"/>
            </w:tcBorders>
            <w:noWrap/>
            <w:vAlign w:val="center"/>
          </w:tcPr>
          <w:p w14:paraId="37B5A393"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Consumer price (CP)</w:t>
            </w:r>
          </w:p>
        </w:tc>
      </w:tr>
      <w:tr w:rsidR="006333D1" w:rsidRPr="0049300D" w14:paraId="669CBB87"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1988E3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3396E3AB"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nil"/>
              <w:bottom w:val="single" w:sz="4" w:space="0" w:color="auto"/>
              <w:right w:val="single" w:sz="4" w:space="0" w:color="auto"/>
            </w:tcBorders>
            <w:noWrap/>
            <w:vAlign w:val="center"/>
          </w:tcPr>
          <w:p w14:paraId="3EA8EE9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42000</w:t>
            </w:r>
          </w:p>
        </w:tc>
        <w:tc>
          <w:tcPr>
            <w:tcW w:w="990" w:type="dxa"/>
            <w:tcBorders>
              <w:top w:val="single" w:sz="4" w:space="0" w:color="auto"/>
              <w:left w:val="nil"/>
              <w:bottom w:val="single" w:sz="4" w:space="0" w:color="auto"/>
              <w:right w:val="single" w:sz="4" w:space="0" w:color="auto"/>
            </w:tcBorders>
            <w:noWrap/>
            <w:vAlign w:val="center"/>
          </w:tcPr>
          <w:p w14:paraId="71D4E32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1056" w:type="dxa"/>
            <w:tcBorders>
              <w:top w:val="single" w:sz="4" w:space="0" w:color="auto"/>
              <w:left w:val="nil"/>
              <w:bottom w:val="single" w:sz="4" w:space="0" w:color="auto"/>
              <w:right w:val="single" w:sz="4" w:space="0" w:color="auto"/>
            </w:tcBorders>
            <w:vAlign w:val="center"/>
          </w:tcPr>
          <w:p w14:paraId="0F1C1F8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2,53,125</w:t>
            </w:r>
          </w:p>
        </w:tc>
        <w:tc>
          <w:tcPr>
            <w:tcW w:w="876" w:type="dxa"/>
            <w:tcBorders>
              <w:top w:val="single" w:sz="4" w:space="0" w:color="auto"/>
              <w:left w:val="nil"/>
              <w:bottom w:val="single" w:sz="4" w:space="0" w:color="auto"/>
              <w:right w:val="single" w:sz="4" w:space="0" w:color="auto"/>
            </w:tcBorders>
            <w:vAlign w:val="center"/>
          </w:tcPr>
          <w:p w14:paraId="44F219F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845" w:type="dxa"/>
            <w:tcBorders>
              <w:top w:val="single" w:sz="4" w:space="0" w:color="auto"/>
              <w:left w:val="nil"/>
              <w:bottom w:val="single" w:sz="4" w:space="0" w:color="auto"/>
              <w:right w:val="single" w:sz="4" w:space="0" w:color="auto"/>
            </w:tcBorders>
            <w:vAlign w:val="center"/>
          </w:tcPr>
          <w:p w14:paraId="16DBF5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876" w:type="dxa"/>
            <w:tcBorders>
              <w:top w:val="single" w:sz="4" w:space="0" w:color="auto"/>
              <w:left w:val="nil"/>
              <w:bottom w:val="single" w:sz="4" w:space="0" w:color="auto"/>
              <w:right w:val="single" w:sz="4" w:space="0" w:color="auto"/>
            </w:tcBorders>
            <w:vAlign w:val="center"/>
          </w:tcPr>
          <w:p w14:paraId="0F69BDA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r>
      <w:tr w:rsidR="006333D1" w:rsidRPr="0049300D" w14:paraId="4CC4A0FD"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25D3156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2DE96883"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Price Spread</w:t>
            </w:r>
          </w:p>
        </w:tc>
        <w:tc>
          <w:tcPr>
            <w:tcW w:w="845" w:type="dxa"/>
            <w:tcBorders>
              <w:top w:val="single" w:sz="4" w:space="0" w:color="auto"/>
              <w:left w:val="nil"/>
              <w:bottom w:val="single" w:sz="4" w:space="0" w:color="auto"/>
              <w:right w:val="single" w:sz="4" w:space="0" w:color="auto"/>
            </w:tcBorders>
            <w:noWrap/>
            <w:vAlign w:val="center"/>
          </w:tcPr>
          <w:p w14:paraId="6E5B3D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16000</w:t>
            </w:r>
          </w:p>
        </w:tc>
        <w:tc>
          <w:tcPr>
            <w:tcW w:w="990" w:type="dxa"/>
            <w:tcBorders>
              <w:top w:val="single" w:sz="4" w:space="0" w:color="auto"/>
              <w:left w:val="nil"/>
              <w:bottom w:val="single" w:sz="4" w:space="0" w:color="auto"/>
              <w:right w:val="single" w:sz="4" w:space="0" w:color="auto"/>
            </w:tcBorders>
            <w:noWrap/>
            <w:vAlign w:val="center"/>
          </w:tcPr>
          <w:p w14:paraId="3D5C2E7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35.71</w:t>
            </w:r>
          </w:p>
        </w:tc>
        <w:tc>
          <w:tcPr>
            <w:tcW w:w="1056" w:type="dxa"/>
            <w:tcBorders>
              <w:top w:val="single" w:sz="4" w:space="0" w:color="auto"/>
              <w:left w:val="nil"/>
              <w:bottom w:val="single" w:sz="4" w:space="0" w:color="auto"/>
              <w:right w:val="single" w:sz="4" w:space="0" w:color="auto"/>
            </w:tcBorders>
            <w:vAlign w:val="center"/>
          </w:tcPr>
          <w:p w14:paraId="146F44B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2,26,125</w:t>
            </w:r>
          </w:p>
        </w:tc>
        <w:tc>
          <w:tcPr>
            <w:tcW w:w="876" w:type="dxa"/>
            <w:tcBorders>
              <w:top w:val="single" w:sz="4" w:space="0" w:color="auto"/>
              <w:left w:val="nil"/>
              <w:bottom w:val="single" w:sz="4" w:space="0" w:color="auto"/>
              <w:right w:val="single" w:sz="4" w:space="0" w:color="auto"/>
            </w:tcBorders>
            <w:vAlign w:val="center"/>
          </w:tcPr>
          <w:p w14:paraId="0BAB6D1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89.33</w:t>
            </w:r>
          </w:p>
        </w:tc>
        <w:tc>
          <w:tcPr>
            <w:tcW w:w="845" w:type="dxa"/>
            <w:tcBorders>
              <w:top w:val="single" w:sz="4" w:space="0" w:color="auto"/>
              <w:left w:val="nil"/>
              <w:bottom w:val="single" w:sz="4" w:space="0" w:color="auto"/>
              <w:right w:val="single" w:sz="4" w:space="0" w:color="auto"/>
            </w:tcBorders>
            <w:vAlign w:val="center"/>
          </w:tcPr>
          <w:p w14:paraId="4A84813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11000</w:t>
            </w:r>
          </w:p>
        </w:tc>
        <w:tc>
          <w:tcPr>
            <w:tcW w:w="876" w:type="dxa"/>
            <w:tcBorders>
              <w:top w:val="single" w:sz="4" w:space="0" w:color="auto"/>
              <w:left w:val="nil"/>
              <w:bottom w:val="single" w:sz="4" w:space="0" w:color="auto"/>
              <w:right w:val="single" w:sz="4" w:space="0" w:color="auto"/>
            </w:tcBorders>
            <w:vAlign w:val="center"/>
          </w:tcPr>
          <w:p w14:paraId="585EED5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27.03</w:t>
            </w:r>
          </w:p>
        </w:tc>
      </w:tr>
    </w:tbl>
    <w:p w14:paraId="2E60D716" w14:textId="77777777" w:rsidR="006333D1" w:rsidRPr="0049300D" w:rsidRDefault="006333D1" w:rsidP="000C52C0">
      <w:pPr>
        <w:tabs>
          <w:tab w:val="left" w:pos="521"/>
          <w:tab w:val="left" w:pos="851"/>
        </w:tabs>
        <w:spacing w:after="0" w:line="360" w:lineRule="auto"/>
        <w:rPr>
          <w:rFonts w:ascii="Times New Roman" w:hAnsi="Times New Roman" w:cs="Times New Roman"/>
          <w:b/>
          <w:bCs/>
          <w:sz w:val="24"/>
          <w:szCs w:val="24"/>
          <w:lang w:val="en-US"/>
        </w:rPr>
      </w:pPr>
    </w:p>
    <w:p w14:paraId="17DEE5B9" w14:textId="43F0468B" w:rsidR="006333D1" w:rsidRPr="0049300D"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6333D1" w:rsidRPr="0049300D">
        <w:rPr>
          <w:rFonts w:ascii="Times New Roman" w:hAnsi="Times New Roman" w:cs="Times New Roman"/>
          <w:b/>
          <w:bCs/>
          <w:sz w:val="24"/>
          <w:szCs w:val="24"/>
        </w:rPr>
        <w:t>Marketing Efficiency</w:t>
      </w:r>
    </w:p>
    <w:p w14:paraId="5D1FB00A" w14:textId="60BBCE09" w:rsidR="006333D1" w:rsidRPr="0049300D" w:rsidRDefault="006333D1" w:rsidP="00F15F5E">
      <w:pPr>
        <w:tabs>
          <w:tab w:val="left" w:pos="851"/>
        </w:tabs>
        <w:spacing w:line="360" w:lineRule="auto"/>
        <w:ind w:firstLine="720"/>
        <w:jc w:val="both"/>
        <w:rPr>
          <w:rFonts w:ascii="Times New Roman" w:hAnsi="Times New Roman" w:cs="Times New Roman"/>
          <w:sz w:val="24"/>
          <w:szCs w:val="24"/>
          <w:lang w:val="en-US"/>
        </w:rPr>
      </w:pPr>
      <w:r w:rsidRPr="0049300D">
        <w:rPr>
          <w:rFonts w:ascii="Times New Roman" w:hAnsi="Times New Roman" w:cs="Times New Roman"/>
          <w:sz w:val="24"/>
          <w:szCs w:val="24"/>
        </w:rPr>
        <w:t xml:space="preserve">Marketing efficiency is used to assess the efficiency of different channels in marketing of products. In the study, two methods </w:t>
      </w:r>
      <w:r w:rsidRPr="0049300D">
        <w:rPr>
          <w:rFonts w:ascii="Times New Roman" w:hAnsi="Times New Roman" w:cs="Times New Roman"/>
          <w:i/>
          <w:iCs/>
          <w:sz w:val="24"/>
          <w:szCs w:val="24"/>
        </w:rPr>
        <w:t>viz.,</w:t>
      </w:r>
      <w:r w:rsidRPr="0049300D">
        <w:rPr>
          <w:rFonts w:ascii="Times New Roman" w:hAnsi="Times New Roman" w:cs="Times New Roman"/>
          <w:sz w:val="24"/>
          <w:szCs w:val="24"/>
        </w:rPr>
        <w:t xml:space="preserve"> Acharya’s and Shepherd’s Approach were employed to evaluate the marketing efficiency of GI commodities namely garlic, banana and jasmine. </w:t>
      </w:r>
      <w:r w:rsidRPr="0049300D">
        <w:rPr>
          <w:rFonts w:ascii="Times New Roman" w:hAnsi="Times New Roman" w:cs="Times New Roman"/>
          <w:sz w:val="24"/>
          <w:szCs w:val="24"/>
          <w:lang w:val="en-US"/>
        </w:rPr>
        <w:t>The results of marketing efficiency of GI jasmine using Acharya and Shepherd approaches are presented in Table</w:t>
      </w:r>
      <w:r w:rsidR="004D44ED">
        <w:rPr>
          <w:rFonts w:ascii="Times New Roman" w:hAnsi="Times New Roman" w:cs="Times New Roman"/>
          <w:sz w:val="24"/>
          <w:szCs w:val="24"/>
          <w:lang w:val="en-US"/>
        </w:rPr>
        <w:t>. 2</w:t>
      </w:r>
      <w:r w:rsidRPr="0049300D">
        <w:rPr>
          <w:rFonts w:ascii="Times New Roman" w:hAnsi="Times New Roman" w:cs="Times New Roman"/>
          <w:sz w:val="24"/>
          <w:szCs w:val="24"/>
          <w:lang w:val="en-US"/>
        </w:rPr>
        <w:t>.</w:t>
      </w:r>
      <w:r w:rsidR="00F15F5E">
        <w:rPr>
          <w:rFonts w:ascii="Times New Roman" w:hAnsi="Times New Roman" w:cs="Times New Roman"/>
          <w:sz w:val="24"/>
          <w:szCs w:val="24"/>
          <w:lang w:val="en-US"/>
        </w:rPr>
        <w:t xml:space="preserve"> </w:t>
      </w:r>
      <w:r w:rsidR="00F15F5E" w:rsidRPr="0049300D">
        <w:rPr>
          <w:rFonts w:ascii="Times New Roman" w:hAnsi="Times New Roman" w:cs="Times New Roman"/>
          <w:sz w:val="24"/>
          <w:szCs w:val="24"/>
          <w:lang w:val="en-US"/>
        </w:rPr>
        <w:t xml:space="preserve">The </w:t>
      </w:r>
      <w:r w:rsidR="00F15F5E" w:rsidRPr="0049300D">
        <w:rPr>
          <w:rFonts w:ascii="Times New Roman" w:hAnsi="Times New Roman" w:cs="Times New Roman"/>
          <w:sz w:val="24"/>
          <w:szCs w:val="24"/>
        </w:rPr>
        <w:t xml:space="preserve">marketing </w:t>
      </w:r>
      <w:r w:rsidR="00F15F5E" w:rsidRPr="0049300D">
        <w:rPr>
          <w:rFonts w:ascii="Times New Roman" w:hAnsi="Times New Roman" w:cs="Times New Roman"/>
          <w:sz w:val="24"/>
          <w:szCs w:val="24"/>
          <w:lang w:val="en-US"/>
        </w:rPr>
        <w:t xml:space="preserve">efficiency of jasmine was relatively higher in marketing channel III according to both Acharya’s approach (2.45) and Shepherd’s approach (3.36) </w:t>
      </w:r>
      <w:r w:rsidR="00F15F5E" w:rsidRPr="0049300D">
        <w:rPr>
          <w:rFonts w:ascii="Times New Roman" w:hAnsi="Times New Roman" w:cs="Times New Roman"/>
          <w:sz w:val="24"/>
          <w:szCs w:val="24"/>
          <w:lang w:val="en-US"/>
        </w:rPr>
        <w:lastRenderedPageBreak/>
        <w:t>followed by MC I which was 1.69 and 2.63, MC II has 0.12 and 1.12, respectively (Fig</w:t>
      </w:r>
      <w:r w:rsidR="004D44ED">
        <w:rPr>
          <w:rFonts w:ascii="Times New Roman" w:hAnsi="Times New Roman" w:cs="Times New Roman"/>
          <w:sz w:val="24"/>
          <w:szCs w:val="24"/>
          <w:lang w:val="en-US"/>
        </w:rPr>
        <w:t>. 4</w:t>
      </w:r>
      <w:r w:rsidR="00F15F5E" w:rsidRPr="0049300D">
        <w:rPr>
          <w:rFonts w:ascii="Times New Roman" w:hAnsi="Times New Roman" w:cs="Times New Roman"/>
          <w:sz w:val="24"/>
          <w:szCs w:val="24"/>
          <w:lang w:val="en-US"/>
        </w:rPr>
        <w:t>). It is evident that MC III (Farmer → Commission agent cum trader → Retailer → Consumer) was found to be an efficient channel compared to other channels.</w:t>
      </w:r>
    </w:p>
    <w:p w14:paraId="23B15490" w14:textId="1A480A5C"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Table</w:t>
      </w:r>
      <w:r w:rsidR="004D44ED">
        <w:rPr>
          <w:rFonts w:ascii="Times New Roman" w:hAnsi="Times New Roman" w:cs="Times New Roman"/>
          <w:b/>
          <w:bCs/>
          <w:sz w:val="24"/>
          <w:szCs w:val="24"/>
          <w:lang w:val="en-US"/>
        </w:rPr>
        <w:t>. 2</w:t>
      </w:r>
      <w:r w:rsidRPr="0049300D">
        <w:rPr>
          <w:rFonts w:ascii="Times New Roman" w:hAnsi="Times New Roman" w:cs="Times New Roman"/>
          <w:b/>
          <w:bCs/>
          <w:sz w:val="24"/>
          <w:szCs w:val="24"/>
          <w:lang w:val="en-US"/>
        </w:rPr>
        <w:t xml:space="preserve"> Marketing Channel Efficiency of selected GI Commodities</w:t>
      </w:r>
    </w:p>
    <w:tbl>
      <w:tblPr>
        <w:tblStyle w:val="TableGrid"/>
        <w:tblW w:w="8985" w:type="dxa"/>
        <w:tblLook w:val="04A0" w:firstRow="1" w:lastRow="0" w:firstColumn="1" w:lastColumn="0" w:noHBand="0" w:noVBand="1"/>
      </w:tblPr>
      <w:tblGrid>
        <w:gridCol w:w="2226"/>
        <w:gridCol w:w="2566"/>
        <w:gridCol w:w="1046"/>
        <w:gridCol w:w="1046"/>
        <w:gridCol w:w="1064"/>
        <w:gridCol w:w="1037"/>
      </w:tblGrid>
      <w:tr w:rsidR="006333D1" w:rsidRPr="0049300D" w14:paraId="1ECE842E" w14:textId="77777777" w:rsidTr="006333D1">
        <w:trPr>
          <w:trHeight w:val="438"/>
        </w:trPr>
        <w:tc>
          <w:tcPr>
            <w:tcW w:w="2226" w:type="dxa"/>
            <w:vMerge w:val="restart"/>
            <w:vAlign w:val="center"/>
          </w:tcPr>
          <w:p w14:paraId="2E41C9B3"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Commodity</w:t>
            </w:r>
          </w:p>
        </w:tc>
        <w:tc>
          <w:tcPr>
            <w:tcW w:w="2566" w:type="dxa"/>
            <w:vMerge w:val="restart"/>
            <w:vAlign w:val="center"/>
          </w:tcPr>
          <w:p w14:paraId="2CE390F9"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Approaches</w:t>
            </w:r>
          </w:p>
        </w:tc>
        <w:tc>
          <w:tcPr>
            <w:tcW w:w="4193" w:type="dxa"/>
            <w:gridSpan w:val="4"/>
            <w:vAlign w:val="center"/>
          </w:tcPr>
          <w:p w14:paraId="313D7C18"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Marketing Efficiency</w:t>
            </w:r>
          </w:p>
        </w:tc>
      </w:tr>
      <w:tr w:rsidR="006333D1" w:rsidRPr="0049300D" w14:paraId="03402E91" w14:textId="77777777" w:rsidTr="006333D1">
        <w:trPr>
          <w:trHeight w:val="152"/>
        </w:trPr>
        <w:tc>
          <w:tcPr>
            <w:tcW w:w="2226" w:type="dxa"/>
            <w:vMerge/>
            <w:vAlign w:val="center"/>
          </w:tcPr>
          <w:p w14:paraId="7FB783F3"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p>
        </w:tc>
        <w:tc>
          <w:tcPr>
            <w:tcW w:w="2566" w:type="dxa"/>
            <w:vMerge/>
            <w:vAlign w:val="center"/>
          </w:tcPr>
          <w:p w14:paraId="3E4DEB9A"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p>
        </w:tc>
        <w:tc>
          <w:tcPr>
            <w:tcW w:w="1046" w:type="dxa"/>
            <w:vAlign w:val="center"/>
          </w:tcPr>
          <w:p w14:paraId="4E544331"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w:t>
            </w:r>
          </w:p>
        </w:tc>
        <w:tc>
          <w:tcPr>
            <w:tcW w:w="1046" w:type="dxa"/>
            <w:vAlign w:val="center"/>
          </w:tcPr>
          <w:p w14:paraId="11A29D40"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II</w:t>
            </w:r>
          </w:p>
        </w:tc>
        <w:tc>
          <w:tcPr>
            <w:tcW w:w="1064" w:type="dxa"/>
            <w:vAlign w:val="center"/>
          </w:tcPr>
          <w:p w14:paraId="267749B0"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III</w:t>
            </w:r>
          </w:p>
        </w:tc>
        <w:tc>
          <w:tcPr>
            <w:tcW w:w="1035" w:type="dxa"/>
            <w:vAlign w:val="center"/>
          </w:tcPr>
          <w:p w14:paraId="4952A992"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IV</w:t>
            </w:r>
          </w:p>
        </w:tc>
      </w:tr>
      <w:tr w:rsidR="006333D1" w:rsidRPr="0049300D" w14:paraId="6B4616CE" w14:textId="77777777" w:rsidTr="006333D1">
        <w:trPr>
          <w:trHeight w:val="877"/>
        </w:trPr>
        <w:tc>
          <w:tcPr>
            <w:tcW w:w="2226" w:type="dxa"/>
            <w:vMerge w:val="restart"/>
            <w:vAlign w:val="center"/>
          </w:tcPr>
          <w:p w14:paraId="627B2841"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Madurai Malli</w:t>
            </w:r>
          </w:p>
        </w:tc>
        <w:tc>
          <w:tcPr>
            <w:tcW w:w="2566" w:type="dxa"/>
            <w:vAlign w:val="center"/>
          </w:tcPr>
          <w:p w14:paraId="29C43A5A" w14:textId="77777777" w:rsidR="006333D1" w:rsidRPr="0049300D" w:rsidRDefault="006333D1" w:rsidP="000C52C0">
            <w:pPr>
              <w:tabs>
                <w:tab w:val="left" w:pos="851"/>
              </w:tabs>
              <w:spacing w:line="360" w:lineRule="auto"/>
              <w:rPr>
                <w:rFonts w:ascii="Times New Roman" w:hAnsi="Times New Roman" w:cs="Times New Roman"/>
                <w:sz w:val="24"/>
                <w:szCs w:val="24"/>
                <w:lang w:val="en-US"/>
              </w:rPr>
            </w:pPr>
            <w:r w:rsidRPr="0049300D">
              <w:rPr>
                <w:rFonts w:ascii="Times New Roman" w:hAnsi="Times New Roman" w:cs="Times New Roman"/>
                <w:sz w:val="24"/>
                <w:szCs w:val="24"/>
                <w:lang w:val="en-US"/>
              </w:rPr>
              <w:t>Acharya’s Approach</w:t>
            </w:r>
          </w:p>
        </w:tc>
        <w:tc>
          <w:tcPr>
            <w:tcW w:w="1046" w:type="dxa"/>
            <w:vAlign w:val="center"/>
          </w:tcPr>
          <w:p w14:paraId="67FF6862"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1.69</w:t>
            </w:r>
          </w:p>
        </w:tc>
        <w:tc>
          <w:tcPr>
            <w:tcW w:w="1046" w:type="dxa"/>
            <w:vAlign w:val="center"/>
          </w:tcPr>
          <w:p w14:paraId="4C5461B3"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0.12</w:t>
            </w:r>
          </w:p>
        </w:tc>
        <w:tc>
          <w:tcPr>
            <w:tcW w:w="1064" w:type="dxa"/>
            <w:vAlign w:val="center"/>
          </w:tcPr>
          <w:p w14:paraId="5C34F1A8"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b/>
                <w:bCs/>
                <w:sz w:val="24"/>
                <w:szCs w:val="24"/>
                <w:lang w:val="en-US"/>
              </w:rPr>
              <w:t>2.45</w:t>
            </w:r>
          </w:p>
        </w:tc>
        <w:tc>
          <w:tcPr>
            <w:tcW w:w="1035" w:type="dxa"/>
            <w:vAlign w:val="center"/>
          </w:tcPr>
          <w:p w14:paraId="7627ADDE"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sz w:val="24"/>
                <w:szCs w:val="24"/>
                <w:lang w:val="en-US"/>
              </w:rPr>
              <w:t>--</w:t>
            </w:r>
          </w:p>
        </w:tc>
      </w:tr>
      <w:tr w:rsidR="006333D1" w:rsidRPr="0049300D" w14:paraId="718BC996" w14:textId="77777777" w:rsidTr="006333D1">
        <w:trPr>
          <w:trHeight w:val="877"/>
        </w:trPr>
        <w:tc>
          <w:tcPr>
            <w:tcW w:w="2226" w:type="dxa"/>
            <w:vMerge/>
            <w:vAlign w:val="center"/>
          </w:tcPr>
          <w:p w14:paraId="5DB9ED42"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p>
        </w:tc>
        <w:tc>
          <w:tcPr>
            <w:tcW w:w="2566" w:type="dxa"/>
            <w:vAlign w:val="center"/>
          </w:tcPr>
          <w:p w14:paraId="40CFF7A2" w14:textId="77777777" w:rsidR="006333D1" w:rsidRPr="0049300D" w:rsidRDefault="006333D1" w:rsidP="000C52C0">
            <w:pPr>
              <w:tabs>
                <w:tab w:val="left" w:pos="851"/>
              </w:tabs>
              <w:spacing w:line="360" w:lineRule="auto"/>
              <w:rPr>
                <w:rFonts w:ascii="Times New Roman" w:hAnsi="Times New Roman" w:cs="Times New Roman"/>
                <w:sz w:val="24"/>
                <w:szCs w:val="24"/>
                <w:lang w:val="en-US"/>
              </w:rPr>
            </w:pPr>
            <w:r w:rsidRPr="0049300D">
              <w:rPr>
                <w:rFonts w:ascii="Times New Roman" w:hAnsi="Times New Roman" w:cs="Times New Roman"/>
                <w:sz w:val="24"/>
                <w:szCs w:val="24"/>
                <w:lang w:val="en-US"/>
              </w:rPr>
              <w:t>Shepherd’s Approach</w:t>
            </w:r>
          </w:p>
        </w:tc>
        <w:tc>
          <w:tcPr>
            <w:tcW w:w="1046" w:type="dxa"/>
            <w:vAlign w:val="center"/>
          </w:tcPr>
          <w:p w14:paraId="055BE8F5"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2.63</w:t>
            </w:r>
          </w:p>
        </w:tc>
        <w:tc>
          <w:tcPr>
            <w:tcW w:w="1046" w:type="dxa"/>
            <w:vAlign w:val="center"/>
          </w:tcPr>
          <w:p w14:paraId="3204B015"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1.12</w:t>
            </w:r>
          </w:p>
        </w:tc>
        <w:tc>
          <w:tcPr>
            <w:tcW w:w="1064" w:type="dxa"/>
            <w:vAlign w:val="center"/>
          </w:tcPr>
          <w:p w14:paraId="78E3EE7E"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b/>
                <w:bCs/>
                <w:sz w:val="24"/>
                <w:szCs w:val="24"/>
                <w:lang w:val="en-US"/>
              </w:rPr>
              <w:t>3.36</w:t>
            </w:r>
          </w:p>
        </w:tc>
        <w:tc>
          <w:tcPr>
            <w:tcW w:w="1035" w:type="dxa"/>
            <w:vAlign w:val="center"/>
          </w:tcPr>
          <w:p w14:paraId="5B4141F2"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sz w:val="24"/>
                <w:szCs w:val="24"/>
                <w:lang w:val="en-US"/>
              </w:rPr>
              <w:t>--</w:t>
            </w:r>
          </w:p>
        </w:tc>
      </w:tr>
    </w:tbl>
    <w:p w14:paraId="1AC1762E"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lang w:val="en-US"/>
        </w:rPr>
      </w:pPr>
    </w:p>
    <w:p w14:paraId="3C86EE37"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noProof/>
        </w:rPr>
        <w:drawing>
          <wp:inline distT="0" distB="0" distL="0" distR="0" wp14:anchorId="4A06F334" wp14:editId="2DEBB900">
            <wp:extent cx="5844209" cy="3061252"/>
            <wp:effectExtent l="0" t="0" r="4445" b="6350"/>
            <wp:docPr id="1031864629" name="Chart 1">
              <a:extLst xmlns:a="http://schemas.openxmlformats.org/drawingml/2006/main">
                <a:ext uri="{FF2B5EF4-FFF2-40B4-BE49-F238E27FC236}">
                  <a16:creationId xmlns:a16="http://schemas.microsoft.com/office/drawing/2014/main" id="{F00642A2-62DF-670F-D9CA-246E87285C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6D7911" w14:textId="45BAF76C"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Fig</w:t>
      </w:r>
      <w:r w:rsidR="004D44ED">
        <w:rPr>
          <w:rFonts w:ascii="Times New Roman" w:hAnsi="Times New Roman" w:cs="Times New Roman"/>
          <w:b/>
          <w:bCs/>
          <w:sz w:val="24"/>
          <w:szCs w:val="24"/>
          <w:lang w:val="en-US"/>
        </w:rPr>
        <w:t>. 4</w:t>
      </w:r>
      <w:r w:rsidRPr="0049300D">
        <w:rPr>
          <w:rFonts w:ascii="Times New Roman" w:hAnsi="Times New Roman" w:cs="Times New Roman"/>
          <w:b/>
          <w:bCs/>
          <w:sz w:val="24"/>
          <w:szCs w:val="24"/>
          <w:lang w:val="en-US"/>
        </w:rPr>
        <w:t xml:space="preserve"> Marketing Efficiency of Madurai Malli          </w:t>
      </w:r>
    </w:p>
    <w:p w14:paraId="54991801" w14:textId="3450E23C" w:rsidR="000C52C0" w:rsidRDefault="000C52C0" w:rsidP="000C52C0">
      <w:pPr>
        <w:spacing w:line="360" w:lineRule="auto"/>
        <w:rPr>
          <w:rFonts w:ascii="Times New Roman" w:hAnsi="Times New Roman" w:cs="Times New Roman"/>
          <w:b/>
          <w:bCs/>
          <w:sz w:val="24"/>
          <w:szCs w:val="24"/>
        </w:rPr>
      </w:pPr>
      <w:r w:rsidRPr="000C52C0">
        <w:rPr>
          <w:rFonts w:ascii="Times New Roman" w:hAnsi="Times New Roman" w:cs="Times New Roman"/>
          <w:b/>
          <w:bCs/>
          <w:sz w:val="24"/>
          <w:szCs w:val="24"/>
        </w:rPr>
        <w:t>4. Conclusion</w:t>
      </w:r>
    </w:p>
    <w:p w14:paraId="2C47B19B" w14:textId="6E5A73D2" w:rsidR="00F15F5E" w:rsidRDefault="00F15F5E" w:rsidP="00F15F5E">
      <w:pPr>
        <w:tabs>
          <w:tab w:val="left" w:pos="851"/>
        </w:tabs>
        <w:spacing w:after="0" w:line="360" w:lineRule="auto"/>
        <w:jc w:val="both"/>
        <w:rPr>
          <w:rFonts w:ascii="Times New Roman" w:hAnsi="Times New Roman" w:cs="Times New Roman"/>
          <w:iCs/>
          <w:sz w:val="24"/>
          <w:szCs w:val="24"/>
        </w:rPr>
      </w:pPr>
      <w:bookmarkStart w:id="0" w:name="_Hlk193708495"/>
      <w:r>
        <w:rPr>
          <w:rFonts w:ascii="Times New Roman" w:hAnsi="Times New Roman" w:cs="Times New Roman"/>
          <w:iCs/>
        </w:rPr>
        <w:tab/>
      </w:r>
      <w:r w:rsidRPr="00F15F5E">
        <w:rPr>
          <w:rFonts w:ascii="Times New Roman" w:hAnsi="Times New Roman" w:cs="Times New Roman"/>
          <w:iCs/>
          <w:sz w:val="24"/>
          <w:szCs w:val="24"/>
        </w:rPr>
        <w:t>The analysis of Madurai Malli’s marketing channels highlights significant variation in efficiency and farmer returns across different routes. Marketing Channel III, which connects farmers to retailers via traders, emerges as the most efficient and farmer-friendly pathway, offering the highest net returns and lowest price spread. In contrast, Channel II, despite serving international markets, offers minimal benefit to farmers due to high intermediary costs and wide price spreads.</w:t>
      </w:r>
      <w:r>
        <w:rPr>
          <w:rFonts w:ascii="Times New Roman" w:hAnsi="Times New Roman" w:cs="Times New Roman"/>
          <w:iCs/>
          <w:sz w:val="24"/>
          <w:szCs w:val="24"/>
        </w:rPr>
        <w:t xml:space="preserve"> </w:t>
      </w:r>
      <w:r w:rsidRPr="00F15F5E">
        <w:rPr>
          <w:rFonts w:ascii="Times New Roman" w:hAnsi="Times New Roman" w:cs="Times New Roman"/>
          <w:iCs/>
          <w:sz w:val="24"/>
          <w:szCs w:val="24"/>
        </w:rPr>
        <w:t xml:space="preserve">The findings suggest that promoting shorter and more direct marketing </w:t>
      </w:r>
      <w:r w:rsidRPr="00F15F5E">
        <w:rPr>
          <w:rFonts w:ascii="Times New Roman" w:hAnsi="Times New Roman" w:cs="Times New Roman"/>
          <w:iCs/>
          <w:sz w:val="24"/>
          <w:szCs w:val="24"/>
        </w:rPr>
        <w:lastRenderedPageBreak/>
        <w:t>chains such as MC III, and empowering farmers through collective marketing or direct retailer linkages, can enhance income and sustainability. There is also potential to develop value-added channels like MC IV, though better data and infrastructure are needed to realize their full benefits.</w:t>
      </w:r>
      <w:bookmarkEnd w:id="0"/>
    </w:p>
    <w:p w14:paraId="4A2C0DFA" w14:textId="77777777" w:rsidR="002D0EFC" w:rsidRDefault="002D0EFC" w:rsidP="00F15F5E">
      <w:pPr>
        <w:tabs>
          <w:tab w:val="left" w:pos="851"/>
        </w:tabs>
        <w:spacing w:after="0" w:line="360" w:lineRule="auto"/>
        <w:jc w:val="both"/>
        <w:rPr>
          <w:rFonts w:ascii="Times New Roman" w:hAnsi="Times New Roman" w:cs="Times New Roman"/>
          <w:iCs/>
          <w:sz w:val="24"/>
          <w:szCs w:val="24"/>
        </w:rPr>
      </w:pPr>
    </w:p>
    <w:p w14:paraId="2E8DDCE5" w14:textId="77777777" w:rsidR="004D066B" w:rsidRDefault="004D066B" w:rsidP="003B3D68">
      <w:pPr>
        <w:spacing w:after="0" w:line="360" w:lineRule="auto"/>
        <w:rPr>
          <w:rFonts w:ascii="Times New Roman" w:hAnsi="Times New Roman" w:cs="Times New Roman"/>
          <w:iCs/>
          <w:sz w:val="24"/>
          <w:szCs w:val="24"/>
        </w:rPr>
      </w:pPr>
    </w:p>
    <w:p w14:paraId="2D43A889" w14:textId="62533E67" w:rsidR="00937F7C" w:rsidRPr="00EF31FF" w:rsidRDefault="00937F7C" w:rsidP="003B3D68">
      <w:pPr>
        <w:spacing w:after="0" w:line="360" w:lineRule="auto"/>
        <w:rPr>
          <w:rFonts w:ascii="Times New Roman" w:hAnsi="Times New Roman" w:cs="Times New Roman"/>
          <w:b/>
          <w:bCs/>
          <w:sz w:val="28"/>
          <w:szCs w:val="28"/>
        </w:rPr>
      </w:pPr>
      <w:bookmarkStart w:id="1" w:name="_GoBack"/>
      <w:bookmarkEnd w:id="1"/>
      <w:r w:rsidRPr="00EF31FF">
        <w:rPr>
          <w:rFonts w:ascii="Times New Roman" w:hAnsi="Times New Roman" w:cs="Times New Roman"/>
          <w:b/>
          <w:bCs/>
          <w:sz w:val="28"/>
          <w:szCs w:val="28"/>
        </w:rPr>
        <w:t>References:</w:t>
      </w:r>
    </w:p>
    <w:p w14:paraId="296CE065" w14:textId="5CC8B892" w:rsidR="00513AA8" w:rsidRPr="00834C77" w:rsidRDefault="00937F7C" w:rsidP="003B3D68">
      <w:pPr>
        <w:pStyle w:val="ListParagraph"/>
        <w:numPr>
          <w:ilvl w:val="0"/>
          <w:numId w:val="6"/>
        </w:numPr>
        <w:spacing w:line="360" w:lineRule="auto"/>
        <w:ind w:left="426"/>
        <w:jc w:val="both"/>
        <w:rPr>
          <w:rFonts w:ascii="Times New Roman" w:hAnsi="Times New Roman" w:cs="Times New Roman"/>
          <w:sz w:val="24"/>
          <w:szCs w:val="24"/>
          <w:lang w:val="en-US"/>
        </w:rPr>
      </w:pPr>
      <w:r w:rsidRPr="00834C77">
        <w:rPr>
          <w:rFonts w:ascii="Times New Roman" w:hAnsi="Times New Roman" w:cs="Times New Roman"/>
          <w:sz w:val="24"/>
          <w:szCs w:val="24"/>
        </w:rPr>
        <w:t>Henry, J., Bennie, G., &amp; Gerhard, R. (2014). Conceptual framework for value chain analysis for poverty alleviation among smallholder farmers. </w:t>
      </w:r>
      <w:proofErr w:type="spellStart"/>
      <w:r w:rsidRPr="00834C77">
        <w:rPr>
          <w:rFonts w:ascii="Times New Roman" w:hAnsi="Times New Roman" w:cs="Times New Roman"/>
          <w:i/>
          <w:iCs/>
          <w:sz w:val="24"/>
          <w:szCs w:val="24"/>
        </w:rPr>
        <w:t>Agrekon</w:t>
      </w:r>
      <w:proofErr w:type="spellEnd"/>
      <w:r w:rsidRPr="00834C77">
        <w:rPr>
          <w:rFonts w:ascii="Times New Roman" w:hAnsi="Times New Roman" w:cs="Times New Roman"/>
          <w:i/>
          <w:iCs/>
          <w:sz w:val="24"/>
          <w:szCs w:val="24"/>
        </w:rPr>
        <w:t>: Agricultural Economics Research, Policy and Practice in Southern Africa</w:t>
      </w:r>
      <w:r w:rsidRPr="00834C77">
        <w:rPr>
          <w:rFonts w:ascii="Times New Roman" w:hAnsi="Times New Roman" w:cs="Times New Roman"/>
          <w:sz w:val="24"/>
          <w:szCs w:val="24"/>
        </w:rPr>
        <w:t>, 53(1), 1–25. </w:t>
      </w:r>
      <w:hyperlink r:id="rId17" w:tgtFrame="_blank" w:history="1">
        <w:r w:rsidRPr="00834C77">
          <w:rPr>
            <w:rStyle w:val="Hyperlink"/>
            <w:rFonts w:ascii="Times New Roman" w:hAnsi="Times New Roman" w:cs="Times New Roman"/>
            <w:sz w:val="24"/>
            <w:szCs w:val="24"/>
          </w:rPr>
          <w:t>https://doi.org/10.1080/03031853.2014.887903(open in a new window)</w:t>
        </w:r>
      </w:hyperlink>
      <w:r w:rsidRPr="00834C77">
        <w:rPr>
          <w:rFonts w:ascii="Times New Roman" w:hAnsi="Times New Roman" w:cs="Times New Roman"/>
          <w:sz w:val="24"/>
          <w:szCs w:val="24"/>
          <w:lang w:val="en-US"/>
        </w:rPr>
        <w:t>.</w:t>
      </w:r>
    </w:p>
    <w:p w14:paraId="724E1716" w14:textId="23FEADA7" w:rsidR="00937F7C" w:rsidRPr="00834C77" w:rsidRDefault="00937F7C" w:rsidP="003B3D68">
      <w:pPr>
        <w:pStyle w:val="ListParagraph"/>
        <w:numPr>
          <w:ilvl w:val="0"/>
          <w:numId w:val="6"/>
        </w:numPr>
        <w:spacing w:line="360" w:lineRule="auto"/>
        <w:ind w:left="426"/>
        <w:jc w:val="both"/>
        <w:rPr>
          <w:rFonts w:ascii="Times New Roman" w:hAnsi="Times New Roman" w:cs="Times New Roman"/>
          <w:i/>
          <w:iCs/>
          <w:sz w:val="24"/>
          <w:szCs w:val="24"/>
        </w:rPr>
      </w:pPr>
      <w:proofErr w:type="spellStart"/>
      <w:r w:rsidRPr="00834C77">
        <w:rPr>
          <w:rFonts w:ascii="Times New Roman" w:hAnsi="Times New Roman" w:cs="Times New Roman"/>
          <w:sz w:val="24"/>
          <w:szCs w:val="24"/>
        </w:rPr>
        <w:t>Otekunrin</w:t>
      </w:r>
      <w:proofErr w:type="spellEnd"/>
      <w:r w:rsidRPr="00834C77">
        <w:rPr>
          <w:rFonts w:ascii="Times New Roman" w:hAnsi="Times New Roman" w:cs="Times New Roman"/>
          <w:sz w:val="24"/>
          <w:szCs w:val="24"/>
        </w:rPr>
        <w:t>, O. A., Momoh, S., &amp; Ayinde, I. A. (2019). Smallholder farmers’ market participation: Concepts and methodological approaches from Sub-Saharan Africa. </w:t>
      </w:r>
      <w:r w:rsidRPr="00834C77">
        <w:rPr>
          <w:rFonts w:ascii="Times New Roman" w:hAnsi="Times New Roman" w:cs="Times New Roman"/>
          <w:i/>
          <w:iCs/>
          <w:sz w:val="24"/>
          <w:szCs w:val="24"/>
        </w:rPr>
        <w:t>Current Agriculture Research Journal</w:t>
      </w:r>
      <w:r w:rsidRPr="00834C77">
        <w:rPr>
          <w:rFonts w:ascii="Times New Roman" w:hAnsi="Times New Roman" w:cs="Times New Roman"/>
          <w:sz w:val="24"/>
          <w:szCs w:val="24"/>
        </w:rPr>
        <w:t>, 7(2), 139–157. </w:t>
      </w:r>
      <w:hyperlink r:id="rId18" w:tgtFrame="_blank" w:history="1">
        <w:r w:rsidRPr="00834C77">
          <w:rPr>
            <w:rStyle w:val="Hyperlink"/>
            <w:rFonts w:ascii="Times New Roman" w:hAnsi="Times New Roman" w:cs="Times New Roman"/>
            <w:sz w:val="24"/>
            <w:szCs w:val="24"/>
          </w:rPr>
          <w:t>https://doi.org/10.12944/CARJ.7.2.02(open in a new window)</w:t>
        </w:r>
      </w:hyperlink>
    </w:p>
    <w:p w14:paraId="7635B7C9" w14:textId="7052D6E0" w:rsidR="00EF31FF" w:rsidRPr="00834C77" w:rsidRDefault="00EF31FF" w:rsidP="003B3D68">
      <w:pPr>
        <w:pStyle w:val="ListParagraph"/>
        <w:numPr>
          <w:ilvl w:val="0"/>
          <w:numId w:val="6"/>
        </w:numPr>
        <w:spacing w:line="360" w:lineRule="auto"/>
        <w:ind w:left="426"/>
        <w:jc w:val="both"/>
        <w:rPr>
          <w:rFonts w:ascii="Times New Roman" w:hAnsi="Times New Roman" w:cs="Times New Roman"/>
          <w:sz w:val="24"/>
          <w:szCs w:val="24"/>
        </w:rPr>
      </w:pPr>
      <w:r w:rsidRPr="00834C77">
        <w:rPr>
          <w:rFonts w:ascii="Times New Roman" w:hAnsi="Times New Roman" w:cs="Times New Roman"/>
          <w:sz w:val="24"/>
          <w:szCs w:val="24"/>
        </w:rPr>
        <w:t>GTZ, (2007) The methodology of Value Chain Promotion. Value Link Manual 1st ed. Retrieved on March 11, 2024 at website http://api.ning.com/files/PiMcEmGOfyUECsnrRD6fij0Qrg64YSJO4AG76UMTGIE_/VCAGTZvaluelinksmanual.pdf</w:t>
      </w:r>
    </w:p>
    <w:p w14:paraId="17F1940C" w14:textId="77777777" w:rsidR="00834C77" w:rsidRPr="00834C77" w:rsidRDefault="00834C77" w:rsidP="003B3D68">
      <w:pPr>
        <w:pStyle w:val="ListParagraph"/>
        <w:numPr>
          <w:ilvl w:val="0"/>
          <w:numId w:val="6"/>
        </w:numPr>
        <w:spacing w:before="200" w:line="360" w:lineRule="auto"/>
        <w:ind w:left="426"/>
        <w:jc w:val="both"/>
        <w:rPr>
          <w:rFonts w:ascii="Times New Roman" w:hAnsi="Times New Roman" w:cs="Times New Roman"/>
          <w:sz w:val="24"/>
          <w:szCs w:val="24"/>
        </w:rPr>
      </w:pPr>
      <w:r w:rsidRPr="00834C77">
        <w:rPr>
          <w:rFonts w:ascii="Times New Roman" w:hAnsi="Times New Roman" w:cs="Times New Roman"/>
          <w:sz w:val="24"/>
          <w:szCs w:val="24"/>
        </w:rPr>
        <w:t>Dinnie,</w:t>
      </w:r>
      <w:r w:rsidRPr="00834C77">
        <w:rPr>
          <w:rFonts w:ascii="Times New Roman" w:hAnsi="Times New Roman" w:cs="Times New Roman"/>
          <w:spacing w:val="-1"/>
          <w:sz w:val="24"/>
          <w:szCs w:val="24"/>
        </w:rPr>
        <w:t xml:space="preserve"> </w:t>
      </w:r>
      <w:r w:rsidRPr="00834C77">
        <w:rPr>
          <w:rFonts w:ascii="Times New Roman" w:hAnsi="Times New Roman" w:cs="Times New Roman"/>
          <w:sz w:val="24"/>
          <w:szCs w:val="24"/>
        </w:rPr>
        <w:t>Keith.</w:t>
      </w:r>
      <w:r w:rsidRPr="00834C77">
        <w:rPr>
          <w:rFonts w:ascii="Times New Roman" w:hAnsi="Times New Roman" w:cs="Times New Roman"/>
          <w:spacing w:val="-1"/>
          <w:sz w:val="24"/>
          <w:szCs w:val="24"/>
        </w:rPr>
        <w:t xml:space="preserve"> </w:t>
      </w:r>
      <w:r w:rsidRPr="00834C77">
        <w:rPr>
          <w:rFonts w:ascii="Times New Roman" w:hAnsi="Times New Roman" w:cs="Times New Roman"/>
          <w:sz w:val="24"/>
          <w:szCs w:val="24"/>
        </w:rPr>
        <w:t xml:space="preserve">2015. </w:t>
      </w:r>
      <w:r w:rsidRPr="00834C77">
        <w:rPr>
          <w:rFonts w:ascii="Times New Roman" w:hAnsi="Times New Roman" w:cs="Times New Roman"/>
          <w:i/>
          <w:sz w:val="24"/>
          <w:szCs w:val="24"/>
        </w:rPr>
        <w:t>Nation</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branding:</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Concepts, issues,</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practice</w:t>
      </w:r>
      <w:r w:rsidRPr="00834C77">
        <w:rPr>
          <w:rFonts w:ascii="Times New Roman" w:hAnsi="Times New Roman" w:cs="Times New Roman"/>
          <w:sz w:val="24"/>
          <w:szCs w:val="24"/>
        </w:rPr>
        <w:t xml:space="preserve">: </w:t>
      </w:r>
      <w:r w:rsidRPr="00834C77">
        <w:rPr>
          <w:rFonts w:ascii="Times New Roman" w:hAnsi="Times New Roman" w:cs="Times New Roman"/>
          <w:spacing w:val="-2"/>
          <w:sz w:val="24"/>
          <w:szCs w:val="24"/>
        </w:rPr>
        <w:t>Routledge.</w:t>
      </w:r>
    </w:p>
    <w:p w14:paraId="2A072DBF" w14:textId="31C952D4" w:rsidR="00834C77" w:rsidRPr="00834C77" w:rsidRDefault="00834C77" w:rsidP="003B3D68">
      <w:pPr>
        <w:pStyle w:val="ListParagraph"/>
        <w:numPr>
          <w:ilvl w:val="0"/>
          <w:numId w:val="6"/>
        </w:numPr>
        <w:spacing w:before="198" w:after="0" w:line="360" w:lineRule="auto"/>
        <w:ind w:left="426" w:right="17"/>
        <w:jc w:val="both"/>
        <w:rPr>
          <w:rFonts w:ascii="Times New Roman" w:hAnsi="Times New Roman" w:cs="Times New Roman"/>
          <w:sz w:val="24"/>
          <w:szCs w:val="24"/>
        </w:rPr>
      </w:pPr>
      <w:proofErr w:type="spellStart"/>
      <w:r w:rsidRPr="00834C77">
        <w:rPr>
          <w:rFonts w:ascii="Times New Roman" w:hAnsi="Times New Roman" w:cs="Times New Roman"/>
          <w:sz w:val="24"/>
          <w:szCs w:val="24"/>
        </w:rPr>
        <w:t>Manivenkatesh</w:t>
      </w:r>
      <w:proofErr w:type="spellEnd"/>
      <w:r w:rsidRPr="00834C77">
        <w:rPr>
          <w:rFonts w:ascii="Times New Roman" w:hAnsi="Times New Roman" w:cs="Times New Roman"/>
          <w:sz w:val="24"/>
          <w:szCs w:val="24"/>
        </w:rPr>
        <w:t xml:space="preserve">, KS, S </w:t>
      </w:r>
      <w:proofErr w:type="spellStart"/>
      <w:r w:rsidRPr="00834C77">
        <w:rPr>
          <w:rFonts w:ascii="Times New Roman" w:hAnsi="Times New Roman" w:cs="Times New Roman"/>
          <w:sz w:val="24"/>
          <w:szCs w:val="24"/>
        </w:rPr>
        <w:t>Selvanayaki</w:t>
      </w:r>
      <w:proofErr w:type="spellEnd"/>
      <w:r w:rsidRPr="00834C77">
        <w:rPr>
          <w:rFonts w:ascii="Times New Roman" w:hAnsi="Times New Roman" w:cs="Times New Roman"/>
          <w:sz w:val="24"/>
          <w:szCs w:val="24"/>
        </w:rPr>
        <w:t>, M Nirmala Devi, and M Pandiyan. 2020. "Value chain analysis</w:t>
      </w:r>
      <w:r w:rsidRPr="00834C77">
        <w:rPr>
          <w:rFonts w:ascii="Times New Roman" w:hAnsi="Times New Roman" w:cs="Times New Roman"/>
          <w:spacing w:val="-7"/>
          <w:sz w:val="24"/>
          <w:szCs w:val="24"/>
        </w:rPr>
        <w:t xml:space="preserve"> </w:t>
      </w:r>
      <w:r w:rsidRPr="00834C77">
        <w:rPr>
          <w:rFonts w:ascii="Times New Roman" w:hAnsi="Times New Roman" w:cs="Times New Roman"/>
          <w:sz w:val="24"/>
          <w:szCs w:val="24"/>
        </w:rPr>
        <w:t>of</w:t>
      </w:r>
      <w:r w:rsidRPr="00834C77">
        <w:rPr>
          <w:rFonts w:ascii="Times New Roman" w:hAnsi="Times New Roman" w:cs="Times New Roman"/>
          <w:spacing w:val="-8"/>
          <w:sz w:val="24"/>
          <w:szCs w:val="24"/>
        </w:rPr>
        <w:t xml:space="preserve"> </w:t>
      </w:r>
      <w:r w:rsidRPr="00834C77">
        <w:rPr>
          <w:rFonts w:ascii="Times New Roman" w:hAnsi="Times New Roman" w:cs="Times New Roman"/>
          <w:sz w:val="24"/>
          <w:szCs w:val="24"/>
        </w:rPr>
        <w:t>jasmine</w:t>
      </w:r>
      <w:r w:rsidRPr="00834C77">
        <w:rPr>
          <w:rFonts w:ascii="Times New Roman" w:hAnsi="Times New Roman" w:cs="Times New Roman"/>
          <w:spacing w:val="-7"/>
          <w:sz w:val="24"/>
          <w:szCs w:val="24"/>
        </w:rPr>
        <w:t xml:space="preserve"> </w:t>
      </w:r>
      <w:r w:rsidRPr="00834C77">
        <w:rPr>
          <w:rFonts w:ascii="Times New Roman" w:hAnsi="Times New Roman" w:cs="Times New Roman"/>
          <w:sz w:val="24"/>
          <w:szCs w:val="24"/>
        </w:rPr>
        <w:t>in</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Madurai</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district</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of</w:t>
      </w:r>
      <w:r w:rsidRPr="00834C77">
        <w:rPr>
          <w:rFonts w:ascii="Times New Roman" w:hAnsi="Times New Roman" w:cs="Times New Roman"/>
          <w:spacing w:val="-8"/>
          <w:sz w:val="24"/>
          <w:szCs w:val="24"/>
        </w:rPr>
        <w:t xml:space="preserve"> </w:t>
      </w:r>
      <w:r w:rsidRPr="00834C77">
        <w:rPr>
          <w:rFonts w:ascii="Times New Roman" w:hAnsi="Times New Roman" w:cs="Times New Roman"/>
          <w:sz w:val="24"/>
          <w:szCs w:val="24"/>
        </w:rPr>
        <w:t>Tamil</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Nadu."</w:t>
      </w:r>
      <w:r w:rsidRPr="00834C77">
        <w:rPr>
          <w:rFonts w:ascii="Times New Roman" w:hAnsi="Times New Roman" w:cs="Times New Roman"/>
          <w:spacing w:val="40"/>
          <w:sz w:val="24"/>
          <w:szCs w:val="24"/>
        </w:rPr>
        <w:t xml:space="preserve"> </w:t>
      </w:r>
      <w:r w:rsidRPr="00834C77">
        <w:rPr>
          <w:rFonts w:ascii="Times New Roman" w:hAnsi="Times New Roman" w:cs="Times New Roman"/>
          <w:i/>
          <w:sz w:val="24"/>
          <w:szCs w:val="24"/>
        </w:rPr>
        <w:t>International</w:t>
      </w:r>
      <w:r w:rsidRPr="00834C77">
        <w:rPr>
          <w:rFonts w:ascii="Times New Roman" w:hAnsi="Times New Roman" w:cs="Times New Roman"/>
          <w:i/>
          <w:spacing w:val="-8"/>
          <w:sz w:val="24"/>
          <w:szCs w:val="24"/>
        </w:rPr>
        <w:t xml:space="preserve"> </w:t>
      </w:r>
      <w:r w:rsidRPr="00834C77">
        <w:rPr>
          <w:rFonts w:ascii="Times New Roman" w:hAnsi="Times New Roman" w:cs="Times New Roman"/>
          <w:i/>
          <w:sz w:val="24"/>
          <w:szCs w:val="24"/>
        </w:rPr>
        <w:t>Journal</w:t>
      </w:r>
      <w:r w:rsidRPr="00834C77">
        <w:rPr>
          <w:rFonts w:ascii="Times New Roman" w:hAnsi="Times New Roman" w:cs="Times New Roman"/>
          <w:i/>
          <w:spacing w:val="-6"/>
          <w:sz w:val="24"/>
          <w:szCs w:val="24"/>
        </w:rPr>
        <w:t xml:space="preserve"> </w:t>
      </w:r>
      <w:r w:rsidRPr="00834C77">
        <w:rPr>
          <w:rFonts w:ascii="Times New Roman" w:hAnsi="Times New Roman" w:cs="Times New Roman"/>
          <w:i/>
          <w:sz w:val="24"/>
          <w:szCs w:val="24"/>
        </w:rPr>
        <w:t>of</w:t>
      </w:r>
      <w:r w:rsidRPr="00834C77">
        <w:rPr>
          <w:rFonts w:ascii="Times New Roman" w:hAnsi="Times New Roman" w:cs="Times New Roman"/>
          <w:i/>
          <w:spacing w:val="-6"/>
          <w:sz w:val="24"/>
          <w:szCs w:val="24"/>
        </w:rPr>
        <w:t xml:space="preserve"> </w:t>
      </w:r>
      <w:r w:rsidRPr="00834C77">
        <w:rPr>
          <w:rFonts w:ascii="Times New Roman" w:hAnsi="Times New Roman" w:cs="Times New Roman"/>
          <w:i/>
          <w:sz w:val="24"/>
          <w:szCs w:val="24"/>
        </w:rPr>
        <w:t xml:space="preserve">Farm Sciences </w:t>
      </w:r>
      <w:r w:rsidRPr="00834C77">
        <w:rPr>
          <w:rFonts w:ascii="Times New Roman" w:hAnsi="Times New Roman" w:cs="Times New Roman"/>
          <w:sz w:val="24"/>
          <w:szCs w:val="24"/>
        </w:rPr>
        <w:t>10 (1):6-12.</w:t>
      </w:r>
    </w:p>
    <w:p w14:paraId="12911853" w14:textId="77777777" w:rsidR="00834C77" w:rsidRPr="00834C77" w:rsidRDefault="00834C77" w:rsidP="003B3D68">
      <w:pPr>
        <w:pStyle w:val="BodyText"/>
        <w:numPr>
          <w:ilvl w:val="0"/>
          <w:numId w:val="6"/>
        </w:numPr>
        <w:spacing w:before="0" w:line="360" w:lineRule="auto"/>
        <w:ind w:left="426" w:right="21"/>
      </w:pPr>
      <w:r w:rsidRPr="00834C77">
        <w:t xml:space="preserve">Basavaraj, G, C Rashmitha, SS Pramod Nayak, and GK </w:t>
      </w:r>
      <w:proofErr w:type="spellStart"/>
      <w:r w:rsidRPr="00834C77">
        <w:t>Seetharamu</w:t>
      </w:r>
      <w:proofErr w:type="spellEnd"/>
      <w:r w:rsidRPr="00834C77">
        <w:t xml:space="preserve">. 2023. "GI-tagged </w:t>
      </w:r>
      <w:proofErr w:type="spellStart"/>
      <w:r w:rsidRPr="00834C77">
        <w:t>Hadagali</w:t>
      </w:r>
      <w:proofErr w:type="spellEnd"/>
      <w:r w:rsidRPr="00834C77">
        <w:t xml:space="preserve"> jasmine in Karnataka-A production and marketing analysis."</w:t>
      </w:r>
      <w:r w:rsidRPr="00834C77">
        <w:rPr>
          <w:spacing w:val="40"/>
        </w:rPr>
        <w:t xml:space="preserve"> </w:t>
      </w:r>
      <w:r w:rsidRPr="00834C77">
        <w:rPr>
          <w:i/>
        </w:rPr>
        <w:t xml:space="preserve">Journal of Applied Horticulture </w:t>
      </w:r>
      <w:r w:rsidRPr="00834C77">
        <w:t>25 (3):260-262.</w:t>
      </w:r>
    </w:p>
    <w:p w14:paraId="43F714A4" w14:textId="77777777" w:rsidR="00834C77" w:rsidRPr="00834C77" w:rsidRDefault="00834C77" w:rsidP="003B3D68">
      <w:pPr>
        <w:pStyle w:val="BodyText"/>
        <w:numPr>
          <w:ilvl w:val="0"/>
          <w:numId w:val="6"/>
        </w:numPr>
        <w:spacing w:before="0" w:line="360" w:lineRule="auto"/>
        <w:ind w:left="426" w:right="29"/>
      </w:pPr>
      <w:r w:rsidRPr="00834C77">
        <w:t xml:space="preserve">Acharya, S. S., &amp; Agarwal, N. L. (2009). Agricultural Marketing in India. Oxford &amp; IBH </w:t>
      </w:r>
      <w:r w:rsidRPr="00834C77">
        <w:rPr>
          <w:spacing w:val="-2"/>
        </w:rPr>
        <w:t>Publishing.</w:t>
      </w:r>
    </w:p>
    <w:p w14:paraId="6B2F7D94" w14:textId="7EBF4011" w:rsidR="00834C77" w:rsidRPr="00834C77" w:rsidRDefault="00834C77" w:rsidP="003B3D68">
      <w:pPr>
        <w:pStyle w:val="ListParagraph"/>
        <w:numPr>
          <w:ilvl w:val="0"/>
          <w:numId w:val="6"/>
        </w:numPr>
        <w:spacing w:line="360" w:lineRule="auto"/>
        <w:ind w:left="426"/>
        <w:jc w:val="both"/>
        <w:rPr>
          <w:rFonts w:ascii="Times New Roman" w:hAnsi="Times New Roman" w:cs="Times New Roman"/>
          <w:sz w:val="24"/>
          <w:szCs w:val="24"/>
          <w:lang w:val="en-US"/>
        </w:rPr>
      </w:pPr>
      <w:r w:rsidRPr="00834C77">
        <w:rPr>
          <w:rFonts w:ascii="Times New Roman" w:hAnsi="Times New Roman" w:cs="Times New Roman"/>
          <w:sz w:val="24"/>
          <w:szCs w:val="24"/>
        </w:rPr>
        <w:t xml:space="preserve">Shepherd, G. S. (1972). </w:t>
      </w:r>
      <w:r w:rsidRPr="00834C77">
        <w:rPr>
          <w:rFonts w:ascii="Times New Roman" w:hAnsi="Times New Roman" w:cs="Times New Roman"/>
          <w:i/>
          <w:iCs/>
          <w:sz w:val="24"/>
          <w:szCs w:val="24"/>
        </w:rPr>
        <w:t>Marketing farm products: Economic analysis</w:t>
      </w:r>
      <w:r w:rsidRPr="00834C77">
        <w:rPr>
          <w:rFonts w:ascii="Times New Roman" w:hAnsi="Times New Roman" w:cs="Times New Roman"/>
          <w:sz w:val="24"/>
          <w:szCs w:val="24"/>
        </w:rPr>
        <w:t xml:space="preserve"> (6th ed.). Ames: Iowa State University Press.</w:t>
      </w:r>
    </w:p>
    <w:sectPr w:rsidR="00834C77" w:rsidRPr="00834C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4786" w14:textId="77777777" w:rsidR="0068361C" w:rsidRDefault="0068361C" w:rsidP="00193EA9">
      <w:pPr>
        <w:spacing w:after="0" w:line="240" w:lineRule="auto"/>
      </w:pPr>
      <w:r>
        <w:separator/>
      </w:r>
    </w:p>
  </w:endnote>
  <w:endnote w:type="continuationSeparator" w:id="0">
    <w:p w14:paraId="0AD5183A" w14:textId="77777777" w:rsidR="0068361C" w:rsidRDefault="0068361C" w:rsidP="0019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F734" w14:textId="77777777" w:rsidR="00193EA9" w:rsidRDefault="0019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058B" w14:textId="77777777" w:rsidR="00193EA9" w:rsidRDefault="0019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2430" w14:textId="77777777" w:rsidR="00193EA9" w:rsidRDefault="0019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C7BD2" w14:textId="77777777" w:rsidR="0068361C" w:rsidRDefault="0068361C" w:rsidP="00193EA9">
      <w:pPr>
        <w:spacing w:after="0" w:line="240" w:lineRule="auto"/>
      </w:pPr>
      <w:r>
        <w:separator/>
      </w:r>
    </w:p>
  </w:footnote>
  <w:footnote w:type="continuationSeparator" w:id="0">
    <w:p w14:paraId="26051681" w14:textId="77777777" w:rsidR="0068361C" w:rsidRDefault="0068361C" w:rsidP="0019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9DE2" w14:textId="1E0776DF" w:rsidR="00193EA9" w:rsidRDefault="00193EA9">
    <w:pPr>
      <w:pStyle w:val="Header"/>
    </w:pPr>
    <w:r>
      <w:rPr>
        <w:noProof/>
      </w:rPr>
      <w:pict w14:anchorId="2DFEA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E2F5" w14:textId="70E9537F" w:rsidR="00193EA9" w:rsidRDefault="00193EA9">
    <w:pPr>
      <w:pStyle w:val="Header"/>
    </w:pPr>
    <w:r>
      <w:rPr>
        <w:noProof/>
      </w:rPr>
      <w:pict w14:anchorId="42271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2EEF" w14:textId="7B78E35A" w:rsidR="00193EA9" w:rsidRDefault="00193EA9">
    <w:pPr>
      <w:pStyle w:val="Header"/>
    </w:pPr>
    <w:r>
      <w:rPr>
        <w:noProof/>
      </w:rPr>
      <w:pict w14:anchorId="415F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B7239"/>
    <w:multiLevelType w:val="hybridMultilevel"/>
    <w:tmpl w:val="54189C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3D0561"/>
    <w:multiLevelType w:val="hybridMultilevel"/>
    <w:tmpl w:val="5E52F0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856122"/>
    <w:multiLevelType w:val="hybridMultilevel"/>
    <w:tmpl w:val="EDB860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9090F"/>
    <w:multiLevelType w:val="hybridMultilevel"/>
    <w:tmpl w:val="609E2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6275DC"/>
    <w:multiLevelType w:val="hybridMultilevel"/>
    <w:tmpl w:val="24A06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E955168"/>
    <w:multiLevelType w:val="hybridMultilevel"/>
    <w:tmpl w:val="19DEB532"/>
    <w:lvl w:ilvl="0" w:tplc="746270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D1"/>
    <w:rsid w:val="000C52C0"/>
    <w:rsid w:val="00193EA9"/>
    <w:rsid w:val="002D0EFC"/>
    <w:rsid w:val="003B3D68"/>
    <w:rsid w:val="00441F0A"/>
    <w:rsid w:val="004D066B"/>
    <w:rsid w:val="004D44ED"/>
    <w:rsid w:val="00513AA8"/>
    <w:rsid w:val="00522905"/>
    <w:rsid w:val="00541AE8"/>
    <w:rsid w:val="00553C78"/>
    <w:rsid w:val="005609A0"/>
    <w:rsid w:val="006333D1"/>
    <w:rsid w:val="00655B2E"/>
    <w:rsid w:val="0068361C"/>
    <w:rsid w:val="00694F1A"/>
    <w:rsid w:val="007418E7"/>
    <w:rsid w:val="00834C77"/>
    <w:rsid w:val="00896FB7"/>
    <w:rsid w:val="00937F7C"/>
    <w:rsid w:val="00AE013A"/>
    <w:rsid w:val="00B224FE"/>
    <w:rsid w:val="00D82735"/>
    <w:rsid w:val="00E832E5"/>
    <w:rsid w:val="00EF31FF"/>
    <w:rsid w:val="00F15F5E"/>
    <w:rsid w:val="00F776D2"/>
    <w:rsid w:val="00FD0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55634E"/>
  <w15:chartTrackingRefBased/>
  <w15:docId w15:val="{23773CB5-A5C4-4009-A4CD-856DE7F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3D1"/>
  </w:style>
  <w:style w:type="paragraph" w:styleId="Heading1">
    <w:name w:val="heading 1"/>
    <w:basedOn w:val="Normal"/>
    <w:next w:val="Normal"/>
    <w:link w:val="Heading1Char"/>
    <w:uiPriority w:val="9"/>
    <w:qFormat/>
    <w:rsid w:val="00633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3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3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3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3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3D1"/>
    <w:rPr>
      <w:rFonts w:eastAsiaTheme="majorEastAsia" w:cstheme="majorBidi"/>
      <w:color w:val="272727" w:themeColor="text1" w:themeTint="D8"/>
    </w:rPr>
  </w:style>
  <w:style w:type="paragraph" w:styleId="Title">
    <w:name w:val="Title"/>
    <w:basedOn w:val="Normal"/>
    <w:next w:val="Normal"/>
    <w:link w:val="TitleChar"/>
    <w:uiPriority w:val="10"/>
    <w:qFormat/>
    <w:rsid w:val="0063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3D1"/>
    <w:pPr>
      <w:spacing w:before="160"/>
      <w:jc w:val="center"/>
    </w:pPr>
    <w:rPr>
      <w:i/>
      <w:iCs/>
      <w:color w:val="404040" w:themeColor="text1" w:themeTint="BF"/>
    </w:rPr>
  </w:style>
  <w:style w:type="character" w:customStyle="1" w:styleId="QuoteChar">
    <w:name w:val="Quote Char"/>
    <w:basedOn w:val="DefaultParagraphFont"/>
    <w:link w:val="Quote"/>
    <w:uiPriority w:val="29"/>
    <w:rsid w:val="006333D1"/>
    <w:rPr>
      <w:i/>
      <w:iCs/>
      <w:color w:val="404040" w:themeColor="text1" w:themeTint="BF"/>
    </w:rPr>
  </w:style>
  <w:style w:type="paragraph" w:styleId="ListParagraph">
    <w:name w:val="List Paragraph"/>
    <w:basedOn w:val="Normal"/>
    <w:uiPriority w:val="34"/>
    <w:qFormat/>
    <w:rsid w:val="006333D1"/>
    <w:pPr>
      <w:ind w:left="720"/>
      <w:contextualSpacing/>
    </w:pPr>
  </w:style>
  <w:style w:type="character" w:styleId="IntenseEmphasis">
    <w:name w:val="Intense Emphasis"/>
    <w:basedOn w:val="DefaultParagraphFont"/>
    <w:uiPriority w:val="21"/>
    <w:qFormat/>
    <w:rsid w:val="006333D1"/>
    <w:rPr>
      <w:i/>
      <w:iCs/>
      <w:color w:val="2F5496" w:themeColor="accent1" w:themeShade="BF"/>
    </w:rPr>
  </w:style>
  <w:style w:type="paragraph" w:styleId="IntenseQuote">
    <w:name w:val="Intense Quote"/>
    <w:basedOn w:val="Normal"/>
    <w:next w:val="Normal"/>
    <w:link w:val="IntenseQuoteChar"/>
    <w:uiPriority w:val="30"/>
    <w:qFormat/>
    <w:rsid w:val="00633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3D1"/>
    <w:rPr>
      <w:i/>
      <w:iCs/>
      <w:color w:val="2F5496" w:themeColor="accent1" w:themeShade="BF"/>
    </w:rPr>
  </w:style>
  <w:style w:type="character" w:styleId="IntenseReference">
    <w:name w:val="Intense Reference"/>
    <w:basedOn w:val="DefaultParagraphFont"/>
    <w:uiPriority w:val="32"/>
    <w:qFormat/>
    <w:rsid w:val="006333D1"/>
    <w:rPr>
      <w:b/>
      <w:bCs/>
      <w:smallCaps/>
      <w:color w:val="2F5496" w:themeColor="accent1" w:themeShade="BF"/>
      <w:spacing w:val="5"/>
    </w:rPr>
  </w:style>
  <w:style w:type="table" w:styleId="TableGrid">
    <w:name w:val="Table Grid"/>
    <w:basedOn w:val="TableNormal"/>
    <w:uiPriority w:val="39"/>
    <w:rsid w:val="0063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F7C"/>
    <w:rPr>
      <w:color w:val="0563C1" w:themeColor="hyperlink"/>
      <w:u w:val="single"/>
    </w:rPr>
  </w:style>
  <w:style w:type="character" w:styleId="UnresolvedMention">
    <w:name w:val="Unresolved Mention"/>
    <w:basedOn w:val="DefaultParagraphFont"/>
    <w:uiPriority w:val="99"/>
    <w:semiHidden/>
    <w:unhideWhenUsed/>
    <w:rsid w:val="00937F7C"/>
    <w:rPr>
      <w:color w:val="605E5C"/>
      <w:shd w:val="clear" w:color="auto" w:fill="E1DFDD"/>
    </w:rPr>
  </w:style>
  <w:style w:type="paragraph" w:styleId="BodyText">
    <w:name w:val="Body Text"/>
    <w:basedOn w:val="Normal"/>
    <w:link w:val="BodyTextChar"/>
    <w:uiPriority w:val="1"/>
    <w:qFormat/>
    <w:rsid w:val="00834C77"/>
    <w:pPr>
      <w:widowControl w:val="0"/>
      <w:autoSpaceDE w:val="0"/>
      <w:autoSpaceDN w:val="0"/>
      <w:spacing w:before="201" w:after="0" w:line="240" w:lineRule="auto"/>
      <w:ind w:left="743" w:right="20" w:hanging="72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34C77"/>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19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9"/>
  </w:style>
  <w:style w:type="paragraph" w:styleId="Footer">
    <w:name w:val="footer"/>
    <w:basedOn w:val="Normal"/>
    <w:link w:val="FooterChar"/>
    <w:uiPriority w:val="99"/>
    <w:unhideWhenUsed/>
    <w:rsid w:val="0019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07576">
      <w:bodyDiv w:val="1"/>
      <w:marLeft w:val="0"/>
      <w:marRight w:val="0"/>
      <w:marTop w:val="0"/>
      <w:marBottom w:val="0"/>
      <w:divBdr>
        <w:top w:val="none" w:sz="0" w:space="0" w:color="auto"/>
        <w:left w:val="none" w:sz="0" w:space="0" w:color="auto"/>
        <w:bottom w:val="none" w:sz="0" w:space="0" w:color="auto"/>
        <w:right w:val="none" w:sz="0" w:space="0" w:color="auto"/>
      </w:divBdr>
    </w:div>
    <w:div w:id="1740706548">
      <w:bodyDiv w:val="1"/>
      <w:marLeft w:val="0"/>
      <w:marRight w:val="0"/>
      <w:marTop w:val="0"/>
      <w:marBottom w:val="0"/>
      <w:divBdr>
        <w:top w:val="none" w:sz="0" w:space="0" w:color="auto"/>
        <w:left w:val="none" w:sz="0" w:space="0" w:color="auto"/>
        <w:bottom w:val="none" w:sz="0" w:space="0" w:color="auto"/>
        <w:right w:val="none" w:sz="0" w:space="0" w:color="auto"/>
      </w:divBdr>
    </w:div>
    <w:div w:id="1838033961">
      <w:bodyDiv w:val="1"/>
      <w:marLeft w:val="0"/>
      <w:marRight w:val="0"/>
      <w:marTop w:val="0"/>
      <w:marBottom w:val="0"/>
      <w:divBdr>
        <w:top w:val="none" w:sz="0" w:space="0" w:color="auto"/>
        <w:left w:val="none" w:sz="0" w:space="0" w:color="auto"/>
        <w:bottom w:val="none" w:sz="0" w:space="0" w:color="auto"/>
        <w:right w:val="none" w:sz="0" w:space="0" w:color="auto"/>
      </w:divBdr>
    </w:div>
    <w:div w:id="2068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2944/CARJ.7.2.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80/03031853.2014.887903"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Sheet6!$C$8</c:f>
              <c:strCache>
                <c:ptCount val="1"/>
                <c:pt idx="0">
                  <c:v>GI Jasmine</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BBFB-4303-83AA-BC8C6E91F2D8}"/>
              </c:ext>
            </c:extLst>
          </c:dPt>
          <c:dPt>
            <c:idx val="1"/>
            <c:invertIfNegative val="0"/>
            <c:bubble3D val="0"/>
            <c:spPr>
              <a:solidFill>
                <a:srgbClr val="00B0F0"/>
              </a:solidFill>
              <a:ln>
                <a:noFill/>
              </a:ln>
              <a:effectLst/>
            </c:spPr>
            <c:extLst>
              <c:ext xmlns:c16="http://schemas.microsoft.com/office/drawing/2014/chart" uri="{C3380CC4-5D6E-409C-BE32-E72D297353CC}">
                <c16:uniqueId val="{00000003-BBFB-4303-83AA-BC8C6E91F2D8}"/>
              </c:ext>
            </c:extLst>
          </c:dPt>
          <c:dPt>
            <c:idx val="2"/>
            <c:invertIfNegative val="0"/>
            <c:bubble3D val="0"/>
            <c:spPr>
              <a:solidFill>
                <a:srgbClr val="00B050"/>
              </a:solidFill>
              <a:ln>
                <a:noFill/>
              </a:ln>
              <a:effectLst/>
            </c:spPr>
            <c:extLst>
              <c:ext xmlns:c16="http://schemas.microsoft.com/office/drawing/2014/chart" uri="{C3380CC4-5D6E-409C-BE32-E72D297353CC}">
                <c16:uniqueId val="{00000005-BBFB-4303-83AA-BC8C6E91F2D8}"/>
              </c:ext>
            </c:extLst>
          </c:dPt>
          <c:cat>
            <c:strRef>
              <c:f>Sheet6!$D$7:$G$7</c:f>
              <c:strCache>
                <c:ptCount val="4"/>
                <c:pt idx="0">
                  <c:v>MC I</c:v>
                </c:pt>
                <c:pt idx="1">
                  <c:v>MC II</c:v>
                </c:pt>
                <c:pt idx="2">
                  <c:v>MC III</c:v>
                </c:pt>
                <c:pt idx="3">
                  <c:v>MC IV</c:v>
                </c:pt>
              </c:strCache>
            </c:strRef>
          </c:cat>
          <c:val>
            <c:numRef>
              <c:f>Sheet6!$D$8:$G$8</c:f>
              <c:numCache>
                <c:formatCode>General</c:formatCode>
                <c:ptCount val="4"/>
                <c:pt idx="0">
                  <c:v>60</c:v>
                </c:pt>
                <c:pt idx="1">
                  <c:v>20</c:v>
                </c:pt>
                <c:pt idx="2">
                  <c:v>10</c:v>
                </c:pt>
                <c:pt idx="3">
                  <c:v>10</c:v>
                </c:pt>
              </c:numCache>
            </c:numRef>
          </c:val>
          <c:extLst>
            <c:ext xmlns:c16="http://schemas.microsoft.com/office/drawing/2014/chart" uri="{C3380CC4-5D6E-409C-BE32-E72D297353CC}">
              <c16:uniqueId val="{00000006-BBFB-4303-83AA-BC8C6E91F2D8}"/>
            </c:ext>
          </c:extLst>
        </c:ser>
        <c:dLbls>
          <c:showLegendKey val="0"/>
          <c:showVal val="0"/>
          <c:showCatName val="0"/>
          <c:showSerName val="0"/>
          <c:showPercent val="0"/>
          <c:showBubbleSize val="0"/>
        </c:dLbls>
        <c:gapWidth val="219"/>
        <c:overlap val="-27"/>
        <c:axId val="1229315407"/>
        <c:axId val="1229312527"/>
      </c:barChart>
      <c:catAx>
        <c:axId val="122931540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Marketing Channel</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9312527"/>
        <c:crosses val="autoZero"/>
        <c:auto val="1"/>
        <c:lblAlgn val="ctr"/>
        <c:lblOffset val="100"/>
        <c:noMultiLvlLbl val="0"/>
      </c:catAx>
      <c:valAx>
        <c:axId val="122931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931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Sheet2!$E$14</c:f>
              <c:strCache>
                <c:ptCount val="1"/>
                <c:pt idx="0">
                  <c:v>Net price received by the farmer</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Sheet2!$F$13:$I$13</c:f>
              <c:strCache>
                <c:ptCount val="4"/>
                <c:pt idx="0">
                  <c:v> MC I</c:v>
                </c:pt>
                <c:pt idx="1">
                  <c:v>MC II</c:v>
                </c:pt>
                <c:pt idx="2">
                  <c:v>MC III</c:v>
                </c:pt>
                <c:pt idx="3">
                  <c:v>MC IV</c:v>
                </c:pt>
              </c:strCache>
            </c:strRef>
          </c:cat>
          <c:val>
            <c:numRef>
              <c:f>Sheet2!$F$14:$H$14</c:f>
              <c:numCache>
                <c:formatCode>0.00</c:formatCode>
                <c:ptCount val="3"/>
                <c:pt idx="0" formatCode="General">
                  <c:v>64.290000000000006</c:v>
                </c:pt>
                <c:pt idx="1">
                  <c:v>10.76</c:v>
                </c:pt>
                <c:pt idx="2">
                  <c:v>72.97</c:v>
                </c:pt>
              </c:numCache>
            </c:numRef>
          </c:val>
          <c:extLst>
            <c:ext xmlns:c16="http://schemas.microsoft.com/office/drawing/2014/chart" uri="{C3380CC4-5D6E-409C-BE32-E72D297353CC}">
              <c16:uniqueId val="{00000000-215A-4970-BF1B-F5F3AAE1F11D}"/>
            </c:ext>
          </c:extLst>
        </c:ser>
        <c:ser>
          <c:idx val="1"/>
          <c:order val="1"/>
          <c:tx>
            <c:strRef>
              <c:f>Sheet2!$E$15</c:f>
              <c:strCache>
                <c:ptCount val="1"/>
                <c:pt idx="0">
                  <c:v>price spread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Sheet2!$F$13:$I$13</c:f>
              <c:strCache>
                <c:ptCount val="4"/>
                <c:pt idx="0">
                  <c:v> MC I</c:v>
                </c:pt>
                <c:pt idx="1">
                  <c:v>MC II</c:v>
                </c:pt>
                <c:pt idx="2">
                  <c:v>MC III</c:v>
                </c:pt>
                <c:pt idx="3">
                  <c:v>MC IV</c:v>
                </c:pt>
              </c:strCache>
            </c:strRef>
          </c:cat>
          <c:val>
            <c:numRef>
              <c:f>Sheet2!$F$15:$H$15</c:f>
              <c:numCache>
                <c:formatCode>0.00</c:formatCode>
                <c:ptCount val="3"/>
                <c:pt idx="0" formatCode="General">
                  <c:v>35.71</c:v>
                </c:pt>
                <c:pt idx="1">
                  <c:v>89.33</c:v>
                </c:pt>
                <c:pt idx="2">
                  <c:v>27.03</c:v>
                </c:pt>
              </c:numCache>
            </c:numRef>
          </c:val>
          <c:extLst>
            <c:ext xmlns:c16="http://schemas.microsoft.com/office/drawing/2014/chart" uri="{C3380CC4-5D6E-409C-BE32-E72D297353CC}">
              <c16:uniqueId val="{00000001-215A-4970-BF1B-F5F3AAE1F11D}"/>
            </c:ext>
          </c:extLst>
        </c:ser>
        <c:dLbls>
          <c:dLblPos val="outEnd"/>
          <c:showLegendKey val="0"/>
          <c:showVal val="1"/>
          <c:showCatName val="0"/>
          <c:showSerName val="0"/>
          <c:showPercent val="0"/>
          <c:showBubbleSize val="0"/>
        </c:dLbls>
        <c:gapWidth val="219"/>
        <c:overlap val="-27"/>
        <c:axId val="1078233599"/>
        <c:axId val="1078227839"/>
      </c:barChart>
      <c:catAx>
        <c:axId val="107823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227839"/>
        <c:crosses val="autoZero"/>
        <c:auto val="1"/>
        <c:lblAlgn val="ctr"/>
        <c:lblOffset val="100"/>
        <c:noMultiLvlLbl val="0"/>
      </c:catAx>
      <c:valAx>
        <c:axId val="1078227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23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Sheet1!$I$24</c:f>
              <c:strCache>
                <c:ptCount val="1"/>
                <c:pt idx="0">
                  <c:v>Acharya’s Approach</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Sheet1!$J$23:$M$23</c:f>
              <c:strCache>
                <c:ptCount val="4"/>
                <c:pt idx="0">
                  <c:v>MC I</c:v>
                </c:pt>
                <c:pt idx="1">
                  <c:v>MC II</c:v>
                </c:pt>
                <c:pt idx="2">
                  <c:v>MC III</c:v>
                </c:pt>
                <c:pt idx="3">
                  <c:v>MC IV</c:v>
                </c:pt>
              </c:strCache>
            </c:strRef>
          </c:cat>
          <c:val>
            <c:numRef>
              <c:f>Sheet1!$J$24:$L$24</c:f>
              <c:numCache>
                <c:formatCode>General</c:formatCode>
                <c:ptCount val="3"/>
                <c:pt idx="0">
                  <c:v>1.69</c:v>
                </c:pt>
                <c:pt idx="1">
                  <c:v>0.12</c:v>
                </c:pt>
                <c:pt idx="2">
                  <c:v>2.4500000000000002</c:v>
                </c:pt>
              </c:numCache>
            </c:numRef>
          </c:val>
          <c:extLst>
            <c:ext xmlns:c16="http://schemas.microsoft.com/office/drawing/2014/chart" uri="{C3380CC4-5D6E-409C-BE32-E72D297353CC}">
              <c16:uniqueId val="{00000000-99A7-462A-BF30-131E1F6C6FA2}"/>
            </c:ext>
          </c:extLst>
        </c:ser>
        <c:ser>
          <c:idx val="1"/>
          <c:order val="1"/>
          <c:tx>
            <c:strRef>
              <c:f>Sheet1!$I$25</c:f>
              <c:strCache>
                <c:ptCount val="1"/>
                <c:pt idx="0">
                  <c:v>Shepherd Approach</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Sheet1!$J$23:$M$23</c:f>
              <c:strCache>
                <c:ptCount val="4"/>
                <c:pt idx="0">
                  <c:v>MC I</c:v>
                </c:pt>
                <c:pt idx="1">
                  <c:v>MC II</c:v>
                </c:pt>
                <c:pt idx="2">
                  <c:v>MC III</c:v>
                </c:pt>
                <c:pt idx="3">
                  <c:v>MC IV</c:v>
                </c:pt>
              </c:strCache>
            </c:strRef>
          </c:cat>
          <c:val>
            <c:numRef>
              <c:f>Sheet1!$J$25:$L$25</c:f>
              <c:numCache>
                <c:formatCode>General</c:formatCode>
                <c:ptCount val="3"/>
                <c:pt idx="0">
                  <c:v>2.63</c:v>
                </c:pt>
                <c:pt idx="1">
                  <c:v>1.1200000000000001</c:v>
                </c:pt>
                <c:pt idx="2">
                  <c:v>3.36</c:v>
                </c:pt>
              </c:numCache>
            </c:numRef>
          </c:val>
          <c:extLst>
            <c:ext xmlns:c16="http://schemas.microsoft.com/office/drawing/2014/chart" uri="{C3380CC4-5D6E-409C-BE32-E72D297353CC}">
              <c16:uniqueId val="{00000001-99A7-462A-BF30-131E1F6C6FA2}"/>
            </c:ext>
          </c:extLst>
        </c:ser>
        <c:dLbls>
          <c:dLblPos val="outEnd"/>
          <c:showLegendKey val="0"/>
          <c:showVal val="1"/>
          <c:showCatName val="0"/>
          <c:showSerName val="0"/>
          <c:showPercent val="0"/>
          <c:showBubbleSize val="0"/>
        </c:dLbls>
        <c:gapWidth val="219"/>
        <c:overlap val="-27"/>
        <c:axId val="1115788639"/>
        <c:axId val="1115789119"/>
      </c:barChart>
      <c:catAx>
        <c:axId val="111578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5789119"/>
        <c:crosses val="autoZero"/>
        <c:auto val="1"/>
        <c:lblAlgn val="ctr"/>
        <c:lblOffset val="100"/>
        <c:noMultiLvlLbl val="0"/>
      </c:catAx>
      <c:valAx>
        <c:axId val="1115789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578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12</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Thiru Marudhan</dc:creator>
  <cp:keywords/>
  <dc:description/>
  <cp:lastModifiedBy>SDI PC 1170</cp:lastModifiedBy>
  <cp:revision>18</cp:revision>
  <dcterms:created xsi:type="dcterms:W3CDTF">2025-06-13T04:05:00Z</dcterms:created>
  <dcterms:modified xsi:type="dcterms:W3CDTF">2026-01-29T10:01:00Z</dcterms:modified>
</cp:coreProperties>
</file>