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0A333" w14:textId="64E99858" w:rsidR="00CA2B0A" w:rsidRDefault="00CA2B0A" w:rsidP="00732A5B">
      <w:pPr>
        <w:spacing w:line="360" w:lineRule="auto"/>
        <w:jc w:val="center"/>
        <w:rPr>
          <w:rFonts w:ascii="Times New Roman" w:hAnsi="Times New Roman" w:cs="Times New Roman"/>
          <w:b/>
          <w:bCs/>
        </w:rPr>
      </w:pPr>
      <w:r w:rsidRPr="00286A94">
        <w:rPr>
          <w:rFonts w:ascii="Times New Roman" w:hAnsi="Times New Roman" w:cs="Times New Roman"/>
          <w:b/>
          <w:bCs/>
        </w:rPr>
        <w:t>Critical Consciousness in Food Security: Assessing Dialogue-Based Nutrition Literacy Within an Agricultural Intervention in Odisha, India</w:t>
      </w:r>
    </w:p>
    <w:p w14:paraId="6C115586" w14:textId="77777777" w:rsidR="004B581D" w:rsidRPr="00286A94" w:rsidRDefault="004B581D" w:rsidP="00732A5B">
      <w:pPr>
        <w:spacing w:line="360" w:lineRule="auto"/>
        <w:jc w:val="center"/>
        <w:rPr>
          <w:rFonts w:ascii="Times New Roman" w:hAnsi="Times New Roman" w:cs="Times New Roman"/>
          <w:b/>
          <w:bCs/>
        </w:rPr>
      </w:pPr>
    </w:p>
    <w:p w14:paraId="1E8C3E0B" w14:textId="56BA1B37" w:rsidR="00956CE3" w:rsidRPr="00FC01EA" w:rsidRDefault="00956CE3" w:rsidP="00286A94">
      <w:pPr>
        <w:spacing w:line="360" w:lineRule="auto"/>
        <w:jc w:val="both"/>
        <w:rPr>
          <w:rFonts w:ascii="Times New Roman" w:hAnsi="Times New Roman" w:cs="Times New Roman"/>
          <w:b/>
          <w:bCs/>
        </w:rPr>
      </w:pPr>
      <w:r w:rsidRPr="00FC01EA">
        <w:rPr>
          <w:rFonts w:ascii="Times New Roman" w:hAnsi="Times New Roman" w:cs="Times New Roman"/>
          <w:b/>
          <w:bCs/>
        </w:rPr>
        <w:t>Abstract</w:t>
      </w:r>
    </w:p>
    <w:p w14:paraId="283453E8" w14:textId="48B68EAC" w:rsidR="00FA3B0B" w:rsidRPr="00FA3B0B" w:rsidRDefault="00FA3B0B" w:rsidP="00286A94">
      <w:pPr>
        <w:spacing w:line="360" w:lineRule="auto"/>
        <w:jc w:val="both"/>
        <w:rPr>
          <w:rFonts w:ascii="Times New Roman" w:hAnsi="Times New Roman" w:cs="Times New Roman"/>
        </w:rPr>
      </w:pPr>
      <w:r w:rsidRPr="00FA3B0B">
        <w:rPr>
          <w:rFonts w:ascii="Times New Roman" w:hAnsi="Times New Roman" w:cs="Times New Roman"/>
        </w:rPr>
        <w:t xml:space="preserve">A nutrition literacy initiative grounded in Paulo Freire's methodology of fostering critical consciousness through dialogic pedagogy is currently integrated within an agricultural intervention designed to enhance nutrition in tribal communities in Odisha. The program trained 108 adult participants, designated Community Hunger Fighters (CHFs), in two intensive residential modules </w:t>
      </w:r>
      <w:proofErr w:type="spellStart"/>
      <w:r w:rsidRPr="00FA3B0B">
        <w:rPr>
          <w:rFonts w:ascii="Times New Roman" w:hAnsi="Times New Roman" w:cs="Times New Roman"/>
        </w:rPr>
        <w:t>totaling</w:t>
      </w:r>
      <w:proofErr w:type="spellEnd"/>
      <w:r w:rsidRPr="00FA3B0B">
        <w:rPr>
          <w:rFonts w:ascii="Times New Roman" w:hAnsi="Times New Roman" w:cs="Times New Roman"/>
        </w:rPr>
        <w:t xml:space="preserve"> five days over two months. Using facilitated dialogue, the CHFs critically examined the causes of low dietary diversity within their communities, identifying interconnected social, economic, and cultural obstacles to adequate food intake amidst poverty. They collaboratively engaged in planning agricultural activities sensitive to nutritional needs.</w:t>
      </w:r>
      <w:r w:rsidRPr="00286A94">
        <w:rPr>
          <w:rFonts w:ascii="Times New Roman" w:hAnsi="Times New Roman" w:cs="Times New Roman"/>
        </w:rPr>
        <w:t xml:space="preserve"> </w:t>
      </w:r>
      <w:r w:rsidRPr="00FA3B0B">
        <w:rPr>
          <w:rFonts w:ascii="Times New Roman" w:hAnsi="Times New Roman" w:cs="Times New Roman"/>
        </w:rPr>
        <w:t xml:space="preserve">Researchers documented transformative </w:t>
      </w:r>
      <w:proofErr w:type="spellStart"/>
      <w:r w:rsidRPr="00FA3B0B">
        <w:rPr>
          <w:rFonts w:ascii="Times New Roman" w:hAnsi="Times New Roman" w:cs="Times New Roman"/>
        </w:rPr>
        <w:t>behaviors</w:t>
      </w:r>
      <w:proofErr w:type="spellEnd"/>
      <w:r w:rsidRPr="00FA3B0B">
        <w:rPr>
          <w:rFonts w:ascii="Times New Roman" w:hAnsi="Times New Roman" w:cs="Times New Roman"/>
        </w:rPr>
        <w:t xml:space="preserve"> among the CHFs using qualitative methods (observations, interviews, focus groups) and specific indicators. The dialogic approach successfully stimulated community-wide discourse on food security. CHFs distilled key messages from their discussions and disseminated them creatively to fellow villagers. This process of critical analysis enabled participants to recognize gender inequalities, pinpoint constraints in local food production, adopt lifestyle changes to improve dietary intake, and express demand for agricultural technical training. Outcomes included 38 CHFs establishing </w:t>
      </w:r>
      <w:proofErr w:type="spellStart"/>
      <w:r w:rsidRPr="00FA3B0B">
        <w:rPr>
          <w:rFonts w:ascii="Times New Roman" w:hAnsi="Times New Roman" w:cs="Times New Roman"/>
        </w:rPr>
        <w:t>nutri</w:t>
      </w:r>
      <w:proofErr w:type="spellEnd"/>
      <w:r w:rsidRPr="00FA3B0B">
        <w:rPr>
          <w:rFonts w:ascii="Times New Roman" w:hAnsi="Times New Roman" w:cs="Times New Roman"/>
        </w:rPr>
        <w:t>-gardens and many assuming leadership roles on broader community issues beyond food security.</w:t>
      </w:r>
      <w:r w:rsidRPr="00286A94">
        <w:rPr>
          <w:rFonts w:ascii="Times New Roman" w:hAnsi="Times New Roman" w:cs="Times New Roman"/>
        </w:rPr>
        <w:t xml:space="preserve"> </w:t>
      </w:r>
      <w:r w:rsidRPr="00FA3B0B">
        <w:rPr>
          <w:rFonts w:ascii="Times New Roman" w:hAnsi="Times New Roman" w:cs="Times New Roman"/>
        </w:rPr>
        <w:t xml:space="preserve">This experience demonstrates that employing dialogue as a core educational strategy within agricultural nutrition programs can effectively </w:t>
      </w:r>
      <w:proofErr w:type="spellStart"/>
      <w:r w:rsidRPr="00FA3B0B">
        <w:rPr>
          <w:rFonts w:ascii="Times New Roman" w:hAnsi="Times New Roman" w:cs="Times New Roman"/>
        </w:rPr>
        <w:t>catalyze</w:t>
      </w:r>
      <w:proofErr w:type="spellEnd"/>
      <w:r w:rsidRPr="00FA3B0B">
        <w:rPr>
          <w:rFonts w:ascii="Times New Roman" w:hAnsi="Times New Roman" w:cs="Times New Roman"/>
        </w:rPr>
        <w:t xml:space="preserve"> critical reflection on the socio-cultural and economic barriers hindering both food production and consumption. This reflection, in turn, can empower communities and drive transformative actions towards improved food security and nutrition.</w:t>
      </w:r>
    </w:p>
    <w:p w14:paraId="048D2F6E" w14:textId="2F8434C7" w:rsidR="00FA3B0B" w:rsidRPr="00286A94" w:rsidRDefault="00FA3B0B" w:rsidP="00286A94">
      <w:pPr>
        <w:spacing w:line="360" w:lineRule="auto"/>
        <w:jc w:val="both"/>
        <w:rPr>
          <w:rFonts w:ascii="Times New Roman" w:hAnsi="Times New Roman" w:cs="Times New Roman"/>
        </w:rPr>
      </w:pPr>
      <w:r w:rsidRPr="00286A94">
        <w:rPr>
          <w:rFonts w:ascii="Times New Roman" w:hAnsi="Times New Roman" w:cs="Times New Roman"/>
        </w:rPr>
        <w:t>Keywords:</w:t>
      </w:r>
      <w:r w:rsidR="00CA2B0A" w:rsidRPr="00286A94">
        <w:rPr>
          <w:rFonts w:ascii="Times New Roman" w:hAnsi="Times New Roman" w:cs="Times New Roman"/>
        </w:rPr>
        <w:t xml:space="preserve"> Nutrition, Literacy, Community Hunger Fighters (CHFs). Food Security</w:t>
      </w:r>
    </w:p>
    <w:p w14:paraId="28EE17FB" w14:textId="628C1E0E" w:rsidR="00FA3B0B" w:rsidRPr="00FC01EA" w:rsidRDefault="00B30505" w:rsidP="00286A94">
      <w:pPr>
        <w:spacing w:line="360" w:lineRule="auto"/>
        <w:jc w:val="both"/>
        <w:rPr>
          <w:rFonts w:ascii="Times New Roman" w:hAnsi="Times New Roman" w:cs="Times New Roman"/>
          <w:b/>
          <w:bCs/>
        </w:rPr>
      </w:pPr>
      <w:r>
        <w:rPr>
          <w:rFonts w:ascii="Times New Roman" w:hAnsi="Times New Roman" w:cs="Times New Roman"/>
          <w:b/>
          <w:bCs/>
        </w:rPr>
        <w:t xml:space="preserve">1. </w:t>
      </w:r>
      <w:r w:rsidR="00FA3B0B" w:rsidRPr="00FC01EA">
        <w:rPr>
          <w:rFonts w:ascii="Times New Roman" w:hAnsi="Times New Roman" w:cs="Times New Roman"/>
          <w:b/>
          <w:bCs/>
        </w:rPr>
        <w:t>Introduction</w:t>
      </w:r>
    </w:p>
    <w:p w14:paraId="7C2F64B3" w14:textId="77777777" w:rsidR="00FA3B0B" w:rsidRPr="00FA3B0B" w:rsidRDefault="00FA3B0B" w:rsidP="00286A94">
      <w:pPr>
        <w:spacing w:line="360" w:lineRule="auto"/>
        <w:jc w:val="both"/>
        <w:rPr>
          <w:rFonts w:ascii="Times New Roman" w:hAnsi="Times New Roman" w:cs="Times New Roman"/>
        </w:rPr>
      </w:pPr>
      <w:r w:rsidRPr="00FA3B0B">
        <w:rPr>
          <w:rFonts w:ascii="Times New Roman" w:hAnsi="Times New Roman" w:cs="Times New Roman"/>
        </w:rPr>
        <w:t xml:space="preserve">While essential to health and nutrition initiatives, traditional nutrition communication has often yielded limited long-term improvements in dietary practices or faced sustainability challenges (Bull et al., 2014; Black et al., 2017). </w:t>
      </w:r>
      <w:proofErr w:type="spellStart"/>
      <w:r w:rsidRPr="00FA3B0B">
        <w:rPr>
          <w:rFonts w:ascii="Times New Roman" w:hAnsi="Times New Roman" w:cs="Times New Roman"/>
        </w:rPr>
        <w:t>Nutbeam</w:t>
      </w:r>
      <w:proofErr w:type="spellEnd"/>
      <w:r w:rsidRPr="00FA3B0B">
        <w:rPr>
          <w:rFonts w:ascii="Times New Roman" w:hAnsi="Times New Roman" w:cs="Times New Roman"/>
        </w:rPr>
        <w:t xml:space="preserve"> (2000) argues that programs focusing solely on information transfer, neglecting socio-economic contexts, frequently fail to achieve lasting </w:t>
      </w:r>
      <w:r w:rsidRPr="00FA3B0B">
        <w:rPr>
          <w:rFonts w:ascii="Times New Roman" w:hAnsi="Times New Roman" w:cs="Times New Roman"/>
        </w:rPr>
        <w:lastRenderedPageBreak/>
        <w:t>behaviour change. He distinguishes between "education" and "literacy," defining health literacy as the outcomes of education and communication efforts, categorised into three levels:</w:t>
      </w:r>
    </w:p>
    <w:p w14:paraId="413733BE" w14:textId="77777777" w:rsidR="00FA3B0B" w:rsidRPr="00FA3B0B" w:rsidRDefault="00FA3B0B" w:rsidP="00286A94">
      <w:pPr>
        <w:spacing w:line="360" w:lineRule="auto"/>
        <w:jc w:val="both"/>
        <w:rPr>
          <w:rFonts w:ascii="Times New Roman" w:hAnsi="Times New Roman" w:cs="Times New Roman"/>
        </w:rPr>
      </w:pPr>
      <w:r w:rsidRPr="00FA3B0B">
        <w:rPr>
          <w:rFonts w:ascii="Times New Roman" w:hAnsi="Times New Roman" w:cs="Times New Roman"/>
        </w:rPr>
        <w:t>Functional Literacy: Imparts basic knowledge to enable compliance with instructions, lacking interactivity and autonomy.</w:t>
      </w:r>
    </w:p>
    <w:p w14:paraId="7DC8DEA8" w14:textId="77777777" w:rsidR="00FA3B0B" w:rsidRPr="00FA3B0B" w:rsidRDefault="00FA3B0B" w:rsidP="00286A94">
      <w:pPr>
        <w:spacing w:line="360" w:lineRule="auto"/>
        <w:jc w:val="both"/>
        <w:rPr>
          <w:rFonts w:ascii="Times New Roman" w:hAnsi="Times New Roman" w:cs="Times New Roman"/>
        </w:rPr>
      </w:pPr>
      <w:r w:rsidRPr="00FA3B0B">
        <w:rPr>
          <w:rFonts w:ascii="Times New Roman" w:hAnsi="Times New Roman" w:cs="Times New Roman"/>
        </w:rPr>
        <w:t>Interactive Literacy: Develops skills to understand and apply health information, fostering confidence, motivation, and behaviour change.</w:t>
      </w:r>
    </w:p>
    <w:p w14:paraId="1E12BCAF" w14:textId="77777777" w:rsidR="00FA3B0B" w:rsidRPr="00FA3B0B" w:rsidRDefault="00FA3B0B" w:rsidP="00286A94">
      <w:pPr>
        <w:spacing w:line="360" w:lineRule="auto"/>
        <w:jc w:val="both"/>
        <w:rPr>
          <w:rFonts w:ascii="Times New Roman" w:hAnsi="Times New Roman" w:cs="Times New Roman"/>
        </w:rPr>
      </w:pPr>
      <w:r w:rsidRPr="00FA3B0B">
        <w:rPr>
          <w:rFonts w:ascii="Times New Roman" w:hAnsi="Times New Roman" w:cs="Times New Roman"/>
        </w:rPr>
        <w:t>Critical Literacy: Empowers individuals to critically analyse information and practices, enhancing control over their lives.</w:t>
      </w:r>
    </w:p>
    <w:p w14:paraId="4FDD3D8C" w14:textId="77777777" w:rsidR="00FA3B0B" w:rsidRPr="00FA3B0B" w:rsidRDefault="00FA3B0B" w:rsidP="00286A94">
      <w:pPr>
        <w:spacing w:line="360" w:lineRule="auto"/>
        <w:jc w:val="both"/>
        <w:rPr>
          <w:rFonts w:ascii="Times New Roman" w:hAnsi="Times New Roman" w:cs="Times New Roman"/>
        </w:rPr>
      </w:pPr>
      <w:r w:rsidRPr="00FA3B0B">
        <w:rPr>
          <w:rFonts w:ascii="Times New Roman" w:hAnsi="Times New Roman" w:cs="Times New Roman"/>
        </w:rPr>
        <w:t xml:space="preserve">Critical literacy integration in school health programs emerged in Europe/North America during the mid-1980s (St Leger, 2001), challenging top-down methods. It expanded focus to include school environments, policies, health service links, and community partnerships, entering a dynamic, political domain aimed at advocacy skills and empowerment. This framework operationalized all three of </w:t>
      </w:r>
      <w:proofErr w:type="spellStart"/>
      <w:r w:rsidRPr="00FA3B0B">
        <w:rPr>
          <w:rFonts w:ascii="Times New Roman" w:hAnsi="Times New Roman" w:cs="Times New Roman"/>
        </w:rPr>
        <w:t>Nutbeam's</w:t>
      </w:r>
      <w:proofErr w:type="spellEnd"/>
      <w:r w:rsidRPr="00FA3B0B">
        <w:rPr>
          <w:rFonts w:ascii="Times New Roman" w:hAnsi="Times New Roman" w:cs="Times New Roman"/>
        </w:rPr>
        <w:t xml:space="preserve"> literacy levels.</w:t>
      </w:r>
    </w:p>
    <w:p w14:paraId="758EF1A2" w14:textId="77777777" w:rsidR="00FA3B0B" w:rsidRPr="00FA3B0B" w:rsidRDefault="00FA3B0B" w:rsidP="00286A94">
      <w:pPr>
        <w:spacing w:line="360" w:lineRule="auto"/>
        <w:jc w:val="both"/>
        <w:rPr>
          <w:rFonts w:ascii="Times New Roman" w:hAnsi="Times New Roman" w:cs="Times New Roman"/>
        </w:rPr>
      </w:pPr>
      <w:r w:rsidRPr="00FA3B0B">
        <w:rPr>
          <w:rFonts w:ascii="Times New Roman" w:hAnsi="Times New Roman" w:cs="Times New Roman"/>
        </w:rPr>
        <w:t>Beyond schools, adult learning principles showed promise. Brown (2015) describes adapting a weight-loss nutrition program for Mexican American women using a tripartite approach (planning, teaching/learning, research). Pilot feedback led to revised classes emphasizing socialization; participants achieving 50% attendance lost weight and shared knowledge.</w:t>
      </w:r>
    </w:p>
    <w:p w14:paraId="07D8C286" w14:textId="77777777" w:rsidR="00FA3B0B" w:rsidRPr="00FA3B0B" w:rsidRDefault="00FA3B0B" w:rsidP="00286A94">
      <w:pPr>
        <w:spacing w:line="360" w:lineRule="auto"/>
        <w:jc w:val="both"/>
        <w:rPr>
          <w:rFonts w:ascii="Times New Roman" w:hAnsi="Times New Roman" w:cs="Times New Roman"/>
        </w:rPr>
      </w:pPr>
      <w:r w:rsidRPr="00FA3B0B">
        <w:rPr>
          <w:rFonts w:ascii="Times New Roman" w:hAnsi="Times New Roman" w:cs="Times New Roman"/>
        </w:rPr>
        <w:t>Experiential learning proved powerful when community college students engaged in interdisciplinary food/agriculture studies combined with producing food for low-income residents (Adelman &amp; Sandiford, 2007). This direct involvement revealed local poverty/hunger and environmental threats from industrial agriculture, convincing students of organic farming's viability and the potential for grassroots food security solutions, leading to national advocacy.</w:t>
      </w:r>
    </w:p>
    <w:p w14:paraId="21AB4D19" w14:textId="77777777" w:rsidR="00FA3B0B" w:rsidRPr="00FA3B0B" w:rsidRDefault="00FA3B0B" w:rsidP="00286A94">
      <w:pPr>
        <w:spacing w:line="360" w:lineRule="auto"/>
        <w:jc w:val="both"/>
        <w:rPr>
          <w:rFonts w:ascii="Times New Roman" w:hAnsi="Times New Roman" w:cs="Times New Roman"/>
        </w:rPr>
      </w:pPr>
      <w:r w:rsidRPr="00FA3B0B">
        <w:rPr>
          <w:rFonts w:ascii="Times New Roman" w:hAnsi="Times New Roman" w:cs="Times New Roman"/>
        </w:rPr>
        <w:t xml:space="preserve">Implementing empowerment-based literacy necessitates multidisciplinary strategies (education, development, communication, social sciences), raising questions about effective pedagogies, especially in low-literacy, resource-poor contexts. Paulo Freire's (1994) dialogic approach to foster "critical consciousness" among non-literate populations demonstrated success, leading to sustainable outcomes as confirmed by others (Wallerstein &amp; Bernstein, 1988; Naiditch, 2010). An Indian nutrition literacy program based on Freirean principles reported individual dietary improvements, broader lifestyle changes (e.g., reducing tobacco/alcohol), and critical realizations about seasonal meal skipping and grain quality </w:t>
      </w:r>
      <w:r w:rsidRPr="00FA3B0B">
        <w:rPr>
          <w:rFonts w:ascii="Times New Roman" w:hAnsi="Times New Roman" w:cs="Times New Roman"/>
        </w:rPr>
        <w:lastRenderedPageBreak/>
        <w:t>choices (Narayanan &amp; Rao, 2019). Participants identified actionable strategies for enhancing food security.</w:t>
      </w:r>
    </w:p>
    <w:p w14:paraId="43B97752" w14:textId="77777777" w:rsidR="00FA3B0B" w:rsidRPr="00286A94" w:rsidRDefault="00FA3B0B" w:rsidP="00286A94">
      <w:pPr>
        <w:spacing w:line="360" w:lineRule="auto"/>
        <w:jc w:val="both"/>
        <w:rPr>
          <w:rFonts w:ascii="Times New Roman" w:hAnsi="Times New Roman" w:cs="Times New Roman"/>
        </w:rPr>
      </w:pPr>
      <w:r w:rsidRPr="00FA3B0B">
        <w:rPr>
          <w:rFonts w:ascii="Times New Roman" w:hAnsi="Times New Roman" w:cs="Times New Roman"/>
        </w:rPr>
        <w:t xml:space="preserve">Despite these examples, </w:t>
      </w:r>
      <w:proofErr w:type="spellStart"/>
      <w:r w:rsidRPr="00FA3B0B">
        <w:rPr>
          <w:rFonts w:ascii="Times New Roman" w:hAnsi="Times New Roman" w:cs="Times New Roman"/>
        </w:rPr>
        <w:t>Gavaravarapu</w:t>
      </w:r>
      <w:proofErr w:type="spellEnd"/>
      <w:r w:rsidRPr="00FA3B0B">
        <w:rPr>
          <w:rFonts w:ascii="Times New Roman" w:hAnsi="Times New Roman" w:cs="Times New Roman"/>
        </w:rPr>
        <w:t xml:space="preserve"> (2019) notes a scarcity of published research on innovative nutrition education approaches in India, with most community nutrition research focused elsewhere. This paper addresses this gap by discussing an ongoing action research program in Eastern India. Implemented by the MS Swaminathan Research Foundation and funded by the Department of Agriculture and Farmers’ Empowerment, Government of Odisha under RKVY, the program employs dialogue as a pedagogic tool within an agricultural intervention to raise critical consciousness about nutrition. Given its current status, the paper details the conceptual framework, methodology, and preliminary field observations.</w:t>
      </w:r>
    </w:p>
    <w:p w14:paraId="54B329EC" w14:textId="5EAFD32E" w:rsidR="00B07987" w:rsidRPr="00FC01EA" w:rsidRDefault="00B30505" w:rsidP="00286A94">
      <w:pPr>
        <w:spacing w:line="360" w:lineRule="auto"/>
        <w:jc w:val="both"/>
        <w:rPr>
          <w:rFonts w:ascii="Times New Roman" w:hAnsi="Times New Roman" w:cs="Times New Roman"/>
          <w:b/>
          <w:bCs/>
        </w:rPr>
      </w:pPr>
      <w:r>
        <w:rPr>
          <w:rFonts w:ascii="Times New Roman" w:hAnsi="Times New Roman" w:cs="Times New Roman"/>
          <w:b/>
          <w:bCs/>
        </w:rPr>
        <w:t xml:space="preserve">1.1 </w:t>
      </w:r>
      <w:r w:rsidR="00B07987" w:rsidRPr="00FC01EA">
        <w:rPr>
          <w:rFonts w:ascii="Times New Roman" w:hAnsi="Times New Roman" w:cs="Times New Roman"/>
          <w:b/>
          <w:bCs/>
        </w:rPr>
        <w:t>Research Questions</w:t>
      </w:r>
    </w:p>
    <w:p w14:paraId="6D942E63" w14:textId="32A641AE" w:rsidR="007F2E8B" w:rsidRPr="00286A94" w:rsidRDefault="007F2E8B" w:rsidP="00286A94">
      <w:pPr>
        <w:spacing w:line="360" w:lineRule="auto"/>
        <w:jc w:val="both"/>
        <w:rPr>
          <w:rFonts w:ascii="Times New Roman" w:hAnsi="Times New Roman" w:cs="Times New Roman"/>
        </w:rPr>
      </w:pPr>
      <w:r w:rsidRPr="00286A94">
        <w:rPr>
          <w:rFonts w:ascii="Times New Roman" w:hAnsi="Times New Roman" w:cs="Times New Roman"/>
        </w:rPr>
        <w:t>The study addresses two questions throughout our methodology:</w:t>
      </w:r>
    </w:p>
    <w:p w14:paraId="2E7A9E9D" w14:textId="48BB1B87" w:rsidR="00B07987" w:rsidRPr="00FC01EA" w:rsidRDefault="00B07987" w:rsidP="00286A94">
      <w:pPr>
        <w:spacing w:line="360" w:lineRule="auto"/>
        <w:jc w:val="both"/>
        <w:rPr>
          <w:rFonts w:ascii="Times New Roman" w:hAnsi="Times New Roman" w:cs="Times New Roman"/>
        </w:rPr>
      </w:pPr>
      <w:r w:rsidRPr="00FC01EA">
        <w:rPr>
          <w:rFonts w:ascii="Times New Roman" w:hAnsi="Times New Roman" w:cs="Times New Roman"/>
          <w:b/>
          <w:bCs/>
        </w:rPr>
        <w:t>RQ1:</w:t>
      </w:r>
      <w:r w:rsidRPr="00FC01EA">
        <w:rPr>
          <w:rFonts w:ascii="Times New Roman" w:hAnsi="Times New Roman" w:cs="Times New Roman"/>
        </w:rPr>
        <w:t xml:space="preserve"> To what extent does engaging participants in critical dialogue about socio-cultural and economic barriers (e.g., gender inequality, poverty, production constraints) lead to measurable shifts in </w:t>
      </w:r>
      <w:r w:rsidRPr="00FC01EA">
        <w:rPr>
          <w:rFonts w:ascii="Times New Roman" w:hAnsi="Times New Roman" w:cs="Times New Roman"/>
          <w:i/>
          <w:iCs/>
        </w:rPr>
        <w:t>gender norms</w:t>
      </w:r>
      <w:r w:rsidRPr="00FC01EA">
        <w:rPr>
          <w:rFonts w:ascii="Times New Roman" w:hAnsi="Times New Roman" w:cs="Times New Roman"/>
        </w:rPr>
        <w:t> and collective action addressing nutritional inequities within households and communities</w:t>
      </w:r>
      <w:r w:rsidR="00FC01EA">
        <w:rPr>
          <w:rFonts w:ascii="Times New Roman" w:hAnsi="Times New Roman" w:cs="Times New Roman"/>
        </w:rPr>
        <w:t>?</w:t>
      </w:r>
    </w:p>
    <w:p w14:paraId="7021369D" w14:textId="36C3775B" w:rsidR="00B07987" w:rsidRPr="00FC01EA" w:rsidRDefault="00B07987" w:rsidP="00286A94">
      <w:pPr>
        <w:spacing w:line="360" w:lineRule="auto"/>
        <w:jc w:val="both"/>
        <w:rPr>
          <w:rFonts w:ascii="Times New Roman" w:hAnsi="Times New Roman" w:cs="Times New Roman"/>
        </w:rPr>
      </w:pPr>
      <w:r w:rsidRPr="00FC01EA">
        <w:rPr>
          <w:rFonts w:ascii="Times New Roman" w:hAnsi="Times New Roman" w:cs="Times New Roman"/>
          <w:b/>
          <w:bCs/>
        </w:rPr>
        <w:t>RQ2:</w:t>
      </w:r>
      <w:r w:rsidRPr="00FC01EA">
        <w:rPr>
          <w:rFonts w:ascii="Times New Roman" w:hAnsi="Times New Roman" w:cs="Times New Roman"/>
        </w:rPr>
        <w:t xml:space="preserve"> What are the enabling factors and challenges in </w:t>
      </w:r>
      <w:r w:rsidRPr="00FC01EA">
        <w:rPr>
          <w:rFonts w:ascii="Times New Roman" w:hAnsi="Times New Roman" w:cs="Times New Roman"/>
          <w:i/>
          <w:iCs/>
        </w:rPr>
        <w:t>sustaining</w:t>
      </w:r>
      <w:r w:rsidRPr="00FC01EA">
        <w:rPr>
          <w:rFonts w:ascii="Times New Roman" w:hAnsi="Times New Roman" w:cs="Times New Roman"/>
        </w:rPr>
        <w:t> community-led initiatives embedded within agricultural programming in resource-poor, tribal settings?</w:t>
      </w:r>
    </w:p>
    <w:p w14:paraId="129C1D91" w14:textId="49B616D4" w:rsidR="00FA3B0B" w:rsidRPr="00FC01EA" w:rsidRDefault="00FA3B0B" w:rsidP="00286A94">
      <w:pPr>
        <w:spacing w:line="360" w:lineRule="auto"/>
        <w:jc w:val="both"/>
        <w:rPr>
          <w:rFonts w:ascii="Times New Roman" w:hAnsi="Times New Roman" w:cs="Times New Roman"/>
          <w:b/>
          <w:bCs/>
        </w:rPr>
      </w:pPr>
      <w:r w:rsidRPr="00FC01EA">
        <w:rPr>
          <w:rFonts w:ascii="Times New Roman" w:hAnsi="Times New Roman" w:cs="Times New Roman"/>
          <w:b/>
          <w:bCs/>
        </w:rPr>
        <w:t>Review of Literature</w:t>
      </w:r>
    </w:p>
    <w:p w14:paraId="55220D65" w14:textId="669DFD7E" w:rsidR="00FA3B0B" w:rsidRPr="00FA3B0B" w:rsidRDefault="00FA3B0B" w:rsidP="00286A94">
      <w:pPr>
        <w:spacing w:line="360" w:lineRule="auto"/>
        <w:jc w:val="both"/>
        <w:rPr>
          <w:rFonts w:ascii="Times New Roman" w:hAnsi="Times New Roman" w:cs="Times New Roman"/>
        </w:rPr>
      </w:pPr>
      <w:r w:rsidRPr="00286A94">
        <w:rPr>
          <w:rFonts w:ascii="Times New Roman" w:hAnsi="Times New Roman" w:cs="Times New Roman"/>
          <w:b/>
          <w:bCs/>
        </w:rPr>
        <w:t xml:space="preserve">2.1 </w:t>
      </w:r>
      <w:r w:rsidRPr="00FA3B0B">
        <w:rPr>
          <w:rFonts w:ascii="Times New Roman" w:hAnsi="Times New Roman" w:cs="Times New Roman"/>
          <w:b/>
          <w:bCs/>
        </w:rPr>
        <w:t>Defining Nutrition Literacy</w:t>
      </w:r>
      <w:r w:rsidRPr="00FA3B0B">
        <w:rPr>
          <w:rFonts w:ascii="Times New Roman" w:hAnsi="Times New Roman" w:cs="Times New Roman"/>
        </w:rPr>
        <w:br/>
        <w:t xml:space="preserve">Krause et al. (2018) note limitations in early definitions of nutrition literacy, which primarily focused on skills for acquiring and comprehending nutrition information. A broader perspective is emphasized by the International Union of Nutrition Sciences (IUNS) and World Health Policy Forum, defining nutrition science as the interdisciplinary study of food systems, nutrients, and their biological, social, and environmental interactions (Cannon and </w:t>
      </w:r>
      <w:proofErr w:type="spellStart"/>
      <w:r w:rsidRPr="00FA3B0B">
        <w:rPr>
          <w:rFonts w:ascii="Times New Roman" w:hAnsi="Times New Roman" w:cs="Times New Roman"/>
        </w:rPr>
        <w:t>Leitzmann</w:t>
      </w:r>
      <w:proofErr w:type="spellEnd"/>
      <w:r w:rsidRPr="00FA3B0B">
        <w:rPr>
          <w:rFonts w:ascii="Times New Roman" w:hAnsi="Times New Roman" w:cs="Times New Roman"/>
        </w:rPr>
        <w:t xml:space="preserve"> 2006). Building on this, the project adopts an operational definition: </w:t>
      </w:r>
      <w:r w:rsidRPr="00FA3B0B">
        <w:rPr>
          <w:rFonts w:ascii="Times New Roman" w:hAnsi="Times New Roman" w:cs="Times New Roman"/>
          <w:i/>
          <w:iCs/>
        </w:rPr>
        <w:t xml:space="preserve">Nutrition literacy is the process empowering individuals/communities to critically </w:t>
      </w:r>
      <w:proofErr w:type="spellStart"/>
      <w:r w:rsidRPr="00FA3B0B">
        <w:rPr>
          <w:rFonts w:ascii="Times New Roman" w:hAnsi="Times New Roman" w:cs="Times New Roman"/>
          <w:i/>
          <w:iCs/>
        </w:rPr>
        <w:t>analyze</w:t>
      </w:r>
      <w:proofErr w:type="spellEnd"/>
      <w:r w:rsidRPr="00FA3B0B">
        <w:rPr>
          <w:rFonts w:ascii="Times New Roman" w:hAnsi="Times New Roman" w:cs="Times New Roman"/>
          <w:i/>
          <w:iCs/>
        </w:rPr>
        <w:t xml:space="preserve"> their nutritional context and engage meaningfully with social, cultural, biological, political, and environmental realities. This engagement aims to achieve dietary diversity, access to safe water, sanitation, and adequate health services for optimal nutrition outcomes.</w:t>
      </w:r>
    </w:p>
    <w:p w14:paraId="1668CF02" w14:textId="33BA7D42" w:rsidR="00FA3B0B" w:rsidRPr="00FA3B0B" w:rsidRDefault="00FA3B0B" w:rsidP="00286A94">
      <w:pPr>
        <w:spacing w:line="360" w:lineRule="auto"/>
        <w:jc w:val="both"/>
        <w:rPr>
          <w:rFonts w:ascii="Times New Roman" w:hAnsi="Times New Roman" w:cs="Times New Roman"/>
        </w:rPr>
      </w:pPr>
      <w:r w:rsidRPr="00286A94">
        <w:rPr>
          <w:rFonts w:ascii="Times New Roman" w:hAnsi="Times New Roman" w:cs="Times New Roman"/>
          <w:b/>
          <w:bCs/>
        </w:rPr>
        <w:lastRenderedPageBreak/>
        <w:t xml:space="preserve">2.2 </w:t>
      </w:r>
      <w:r w:rsidRPr="00FA3B0B">
        <w:rPr>
          <w:rFonts w:ascii="Times New Roman" w:hAnsi="Times New Roman" w:cs="Times New Roman"/>
          <w:b/>
          <w:bCs/>
        </w:rPr>
        <w:t>Integrating Nutrition Literacy into Agricultural Interventions</w:t>
      </w:r>
      <w:r w:rsidRPr="00FA3B0B">
        <w:rPr>
          <w:rFonts w:ascii="Times New Roman" w:hAnsi="Times New Roman" w:cs="Times New Roman"/>
        </w:rPr>
        <w:br/>
        <w:t xml:space="preserve">Nutrition-sensitive </w:t>
      </w:r>
      <w:proofErr w:type="gramStart"/>
      <w:r w:rsidRPr="00FA3B0B">
        <w:rPr>
          <w:rFonts w:ascii="Times New Roman" w:hAnsi="Times New Roman" w:cs="Times New Roman"/>
        </w:rPr>
        <w:t>agriculture  prioritizes</w:t>
      </w:r>
      <w:proofErr w:type="gramEnd"/>
      <w:r w:rsidRPr="00FA3B0B">
        <w:rPr>
          <w:rFonts w:ascii="Times New Roman" w:hAnsi="Times New Roman" w:cs="Times New Roman"/>
        </w:rPr>
        <w:t xml:space="preserve"> nutrient-rich foods, dietary diversity, and fortification to combat malnutrition. The Farming System for Nutrition (FSN) approach specifically integrates "nutritional criteria into selecting farming system components (crops, livestock, fish) to address local nutritional deficiencies" (Nagarajan et al. 2014). Embedding nutrition literacy within such agricultural interventions focuses on the opportunities and challenges in producing and consuming nutritious foods. While acknowledging non-food determinants of nutrition, this project concentrates on crop and food-related issues within participants' socio-economic, political, and environmental contexts.</w:t>
      </w:r>
    </w:p>
    <w:p w14:paraId="4DDA481B" w14:textId="49BE20E9" w:rsidR="00FA3B0B" w:rsidRPr="00FA3B0B" w:rsidRDefault="00FA3B0B" w:rsidP="00286A94">
      <w:pPr>
        <w:spacing w:line="360" w:lineRule="auto"/>
        <w:jc w:val="both"/>
        <w:rPr>
          <w:rFonts w:ascii="Times New Roman" w:hAnsi="Times New Roman" w:cs="Times New Roman"/>
        </w:rPr>
      </w:pPr>
      <w:r w:rsidRPr="00286A94">
        <w:rPr>
          <w:rFonts w:ascii="Times New Roman" w:hAnsi="Times New Roman" w:cs="Times New Roman"/>
          <w:b/>
          <w:bCs/>
        </w:rPr>
        <w:t xml:space="preserve">2.3 </w:t>
      </w:r>
      <w:r w:rsidRPr="00FA3B0B">
        <w:rPr>
          <w:rFonts w:ascii="Times New Roman" w:hAnsi="Times New Roman" w:cs="Times New Roman"/>
          <w:b/>
          <w:bCs/>
        </w:rPr>
        <w:t>Evolution of Communication Strategies</w:t>
      </w:r>
      <w:r w:rsidRPr="00FA3B0B">
        <w:rPr>
          <w:rFonts w:ascii="Times New Roman" w:hAnsi="Times New Roman" w:cs="Times New Roman"/>
        </w:rPr>
        <w:br/>
        <w:t xml:space="preserve">Behaviour Change Communication (BCC) is a research-based process using interpersonal, group, and media channels (including participatory methods) to address knowledge, attitudes, and </w:t>
      </w:r>
      <w:r w:rsidR="00FC01EA" w:rsidRPr="00FA3B0B">
        <w:rPr>
          <w:rFonts w:ascii="Times New Roman" w:hAnsi="Times New Roman" w:cs="Times New Roman"/>
        </w:rPr>
        <w:t>practices.</w:t>
      </w:r>
      <w:r w:rsidRPr="00FA3B0B">
        <w:rPr>
          <w:rFonts w:ascii="Times New Roman" w:hAnsi="Times New Roman" w:cs="Times New Roman"/>
        </w:rPr>
        <w:t xml:space="preserve"> Evolving from health education and Information, Education, and Communication (IEC) (Nancy and Dongre 2021), BCC employs various individual, interpersonal, and community-level models to develop strategies promoting positive behaviours and supportive environments. This concept expands into social marketing – applying marketing principles to foster individual and collective action for sustained social transformation, positioning the marketer as a facilitator of change (Saunders et al. 2015).</w:t>
      </w:r>
    </w:p>
    <w:p w14:paraId="4A0D1F7B" w14:textId="284054B3" w:rsidR="00FA3B0B" w:rsidRPr="00FA3B0B" w:rsidRDefault="00FA3B0B" w:rsidP="00286A94">
      <w:pPr>
        <w:spacing w:line="360" w:lineRule="auto"/>
        <w:jc w:val="both"/>
        <w:rPr>
          <w:rFonts w:ascii="Times New Roman" w:hAnsi="Times New Roman" w:cs="Times New Roman"/>
        </w:rPr>
      </w:pPr>
      <w:r w:rsidRPr="00FA3B0B">
        <w:rPr>
          <w:rFonts w:ascii="Times New Roman" w:hAnsi="Times New Roman" w:cs="Times New Roman"/>
        </w:rPr>
        <w:t>Recognizing that individual change requires addressing social determinants, BCC evolved into Social and Behaviour Change Communication (SBCC). The 'S' signifies that individual behaviour and social relationships are shaped by structural systems: gender norms, class/caste hierarchies, cultural practices, and political/economic environments (Kumar 2020). SBCC utilizes a socio-ecological model, integrating these aspects to address barriers, leverage opportunities, and promote sustainable change (McKee et al. 2014), combining communication, behaviour change, and social change strategies.</w:t>
      </w:r>
    </w:p>
    <w:p w14:paraId="06319036" w14:textId="77777777" w:rsidR="007F2E8B" w:rsidRPr="00286A94" w:rsidRDefault="00FA3B0B" w:rsidP="00286A94">
      <w:pPr>
        <w:spacing w:line="360" w:lineRule="auto"/>
        <w:jc w:val="both"/>
        <w:rPr>
          <w:rFonts w:ascii="Times New Roman" w:hAnsi="Times New Roman" w:cs="Times New Roman"/>
        </w:rPr>
      </w:pPr>
      <w:r w:rsidRPr="00286A94">
        <w:rPr>
          <w:rFonts w:ascii="Times New Roman" w:hAnsi="Times New Roman" w:cs="Times New Roman"/>
          <w:b/>
          <w:bCs/>
        </w:rPr>
        <w:t xml:space="preserve">2.4 </w:t>
      </w:r>
      <w:r w:rsidRPr="00FA3B0B">
        <w:rPr>
          <w:rFonts w:ascii="Times New Roman" w:hAnsi="Times New Roman" w:cs="Times New Roman"/>
          <w:b/>
          <w:bCs/>
        </w:rPr>
        <w:t>Dialogue as a Core SBCC Strategy: The Freirean Influence</w:t>
      </w:r>
      <w:r w:rsidRPr="00FA3B0B">
        <w:rPr>
          <w:rFonts w:ascii="Times New Roman" w:hAnsi="Times New Roman" w:cs="Times New Roman"/>
        </w:rPr>
        <w:br/>
        <w:t xml:space="preserve">Central to SBCC implementation is dialogue, discussion, and negotiation. Paulo Freire pioneered dialogic pedagogy in adult literacy, emphasizing that adult learners possess valuable knowledge which should be co-constructed democratically, breaking the "culture of silence" (Freire 2005). Engaging learners in critical dialogue raises awareness of their situation ("conscientization"), fostering hope and empowering action based on new understanding. </w:t>
      </w:r>
    </w:p>
    <w:p w14:paraId="78F832B8" w14:textId="0ACA074B" w:rsidR="007F2E8B" w:rsidRPr="00286A94" w:rsidRDefault="00FA3B0B" w:rsidP="00286A94">
      <w:pPr>
        <w:spacing w:line="360" w:lineRule="auto"/>
        <w:jc w:val="both"/>
        <w:rPr>
          <w:rFonts w:ascii="Times New Roman" w:hAnsi="Times New Roman" w:cs="Times New Roman"/>
        </w:rPr>
      </w:pPr>
      <w:r w:rsidRPr="00FA3B0B">
        <w:rPr>
          <w:rFonts w:ascii="Times New Roman" w:hAnsi="Times New Roman" w:cs="Times New Roman"/>
        </w:rPr>
        <w:lastRenderedPageBreak/>
        <w:t>Dialogue, rooted in respect, links critical reflection with informed action, enabling learners to perceive socio-economic-political contradictions and act within their realities.</w:t>
      </w:r>
      <w:r w:rsidR="007F2E8B" w:rsidRPr="00286A94">
        <w:rPr>
          <w:rFonts w:ascii="Times New Roman" w:hAnsi="Times New Roman" w:cs="Times New Roman"/>
        </w:rPr>
        <w:t xml:space="preserve"> Utilizing dialogue as an educational instrument for nutrition literacy within an agricultural intervention program can promote critical reflection on the socio-cultural and economic obstacles to food production and consumption, ultimately resulting in transformative action (Rama Narayanan et al 2022).</w:t>
      </w:r>
    </w:p>
    <w:p w14:paraId="0F784431" w14:textId="77777777" w:rsidR="00FA3B0B" w:rsidRPr="00FA3B0B" w:rsidRDefault="00FA3B0B" w:rsidP="00286A94">
      <w:pPr>
        <w:spacing w:line="360" w:lineRule="auto"/>
        <w:jc w:val="both"/>
        <w:rPr>
          <w:rFonts w:ascii="Times New Roman" w:hAnsi="Times New Roman" w:cs="Times New Roman"/>
        </w:rPr>
      </w:pPr>
      <w:r w:rsidRPr="00FA3B0B">
        <w:rPr>
          <w:rFonts w:ascii="Times New Roman" w:hAnsi="Times New Roman" w:cs="Times New Roman"/>
        </w:rPr>
        <w:t>Case studies by Bonatti et al. (2021) illustrate Freirean principles in Brazilian food security initiatives:</w:t>
      </w:r>
    </w:p>
    <w:p w14:paraId="13DCC02E" w14:textId="77777777" w:rsidR="00FA3B0B" w:rsidRPr="00FA3B0B" w:rsidRDefault="00FA3B0B" w:rsidP="00286A94">
      <w:pPr>
        <w:spacing w:line="360" w:lineRule="auto"/>
        <w:jc w:val="both"/>
        <w:rPr>
          <w:rFonts w:ascii="Times New Roman" w:hAnsi="Times New Roman" w:cs="Times New Roman"/>
        </w:rPr>
      </w:pPr>
      <w:r w:rsidRPr="00FA3B0B">
        <w:rPr>
          <w:rFonts w:ascii="Times New Roman" w:hAnsi="Times New Roman" w:cs="Times New Roman"/>
        </w:rPr>
        <w:t>Community Seed Bank (Northeast): Partnering an NGO and farmers, this initiative conserved local species through seed loans. Farmers collaboratively selected seeds for multiplication, employed agroecological knowledge (including storage), and promoted exchange via fairs and a cultural festival ("Seeds of Passion"), advocating for supportive policies.</w:t>
      </w:r>
    </w:p>
    <w:p w14:paraId="16C556EA" w14:textId="77777777" w:rsidR="00FA3B0B" w:rsidRPr="00FA3B0B" w:rsidRDefault="00FA3B0B" w:rsidP="00286A94">
      <w:pPr>
        <w:spacing w:line="360" w:lineRule="auto"/>
        <w:jc w:val="both"/>
        <w:rPr>
          <w:rFonts w:ascii="Times New Roman" w:hAnsi="Times New Roman" w:cs="Times New Roman"/>
        </w:rPr>
      </w:pPr>
      <w:r w:rsidRPr="00FA3B0B">
        <w:rPr>
          <w:rFonts w:ascii="Times New Roman" w:hAnsi="Times New Roman" w:cs="Times New Roman"/>
        </w:rPr>
        <w:t>Biodiversity Kits (South): Addressing disappearing landraces, kits were co-created with farmers, technicians, and scientists. Farmers articulated needs in meetings, received training, identified seed multipliers, and distributed kits. The authors link these social learning and Freirean-based initiatives to improved food security through landrace conservation.</w:t>
      </w:r>
    </w:p>
    <w:p w14:paraId="2BA41D4F" w14:textId="692D5122" w:rsidR="00FA3B0B" w:rsidRPr="00FA3B0B" w:rsidRDefault="00FA3B0B" w:rsidP="00286A94">
      <w:pPr>
        <w:spacing w:line="360" w:lineRule="auto"/>
        <w:jc w:val="both"/>
        <w:rPr>
          <w:rFonts w:ascii="Times New Roman" w:hAnsi="Times New Roman" w:cs="Times New Roman"/>
        </w:rPr>
      </w:pPr>
      <w:r w:rsidRPr="00286A94">
        <w:rPr>
          <w:rFonts w:ascii="Times New Roman" w:hAnsi="Times New Roman" w:cs="Times New Roman"/>
          <w:b/>
          <w:bCs/>
        </w:rPr>
        <w:t xml:space="preserve">2.5 </w:t>
      </w:r>
      <w:r w:rsidRPr="00FA3B0B">
        <w:rPr>
          <w:rFonts w:ascii="Times New Roman" w:hAnsi="Times New Roman" w:cs="Times New Roman"/>
          <w:b/>
          <w:bCs/>
        </w:rPr>
        <w:t>Addressing Critical Literacy Gaps in Interventions</w:t>
      </w:r>
      <w:r w:rsidRPr="00FA3B0B">
        <w:rPr>
          <w:rFonts w:ascii="Times New Roman" w:hAnsi="Times New Roman" w:cs="Times New Roman"/>
        </w:rPr>
        <w:br/>
        <w:t>Nichols (2021) observes numerous nutrition-sensitive agriculture projects integrating women's empowerment and BCC. Analysis of Indian projects revealed women preferred discussions on early marriage and dietary diversity over complex topics like gender and health, indicating an unmet need for structured spaces to discuss gendered aspects of diet and health. This raises critical questions: Do agriculture-nutrition interventions create spaces for </w:t>
      </w:r>
      <w:r w:rsidRPr="00FA3B0B">
        <w:rPr>
          <w:rFonts w:ascii="Times New Roman" w:hAnsi="Times New Roman" w:cs="Times New Roman"/>
          <w:i/>
          <w:iCs/>
        </w:rPr>
        <w:t>critical literacy</w:t>
      </w:r>
      <w:r w:rsidRPr="00FA3B0B">
        <w:rPr>
          <w:rFonts w:ascii="Times New Roman" w:hAnsi="Times New Roman" w:cs="Times New Roman"/>
        </w:rPr>
        <w:t>? Do they enable questioning hierarchical relations (caste, class, gender) that contribute to poor diets?</w:t>
      </w:r>
    </w:p>
    <w:p w14:paraId="5205326B" w14:textId="77777777" w:rsidR="00FA3B0B" w:rsidRPr="00FA3B0B" w:rsidRDefault="00FA3B0B" w:rsidP="00286A94">
      <w:pPr>
        <w:spacing w:line="360" w:lineRule="auto"/>
        <w:jc w:val="both"/>
        <w:rPr>
          <w:rFonts w:ascii="Times New Roman" w:hAnsi="Times New Roman" w:cs="Times New Roman"/>
        </w:rPr>
      </w:pPr>
      <w:r w:rsidRPr="00FA3B0B">
        <w:rPr>
          <w:rFonts w:ascii="Times New Roman" w:hAnsi="Times New Roman" w:cs="Times New Roman"/>
        </w:rPr>
        <w:t>Therefore, a nutrition literacy program aiming for critical consciousness must incorporate dialogue, action, reflection, and dedicated spaces for these activities. Guided by this understanding of nutrition literacy, behaviour change, critical reflection, and dialogic pedagogy, a dedicated nutrition literacy component was designed and integrated into the agricultural intervention program.</w:t>
      </w:r>
    </w:p>
    <w:p w14:paraId="538A9E07" w14:textId="28949FAC" w:rsidR="00FA3B0B" w:rsidRPr="00FC01EA" w:rsidRDefault="00D0070E" w:rsidP="00286A94">
      <w:pPr>
        <w:spacing w:line="360" w:lineRule="auto"/>
        <w:jc w:val="both"/>
        <w:rPr>
          <w:rFonts w:ascii="Times New Roman" w:hAnsi="Times New Roman" w:cs="Times New Roman"/>
          <w:b/>
          <w:bCs/>
        </w:rPr>
      </w:pPr>
      <w:r>
        <w:rPr>
          <w:rFonts w:ascii="Times New Roman" w:hAnsi="Times New Roman" w:cs="Times New Roman"/>
          <w:b/>
          <w:bCs/>
        </w:rPr>
        <w:t xml:space="preserve">3. </w:t>
      </w:r>
      <w:r w:rsidR="00FA3B0B" w:rsidRPr="00FC01EA">
        <w:rPr>
          <w:rFonts w:ascii="Times New Roman" w:hAnsi="Times New Roman" w:cs="Times New Roman"/>
          <w:b/>
          <w:bCs/>
        </w:rPr>
        <w:t>Research Methodology</w:t>
      </w:r>
    </w:p>
    <w:p w14:paraId="05D4A700" w14:textId="3D4EF433" w:rsidR="00015289" w:rsidRDefault="00F87982" w:rsidP="00286A94">
      <w:pPr>
        <w:spacing w:line="360" w:lineRule="auto"/>
        <w:jc w:val="both"/>
        <w:rPr>
          <w:rFonts w:ascii="Times New Roman" w:hAnsi="Times New Roman" w:cs="Times New Roman"/>
        </w:rPr>
      </w:pPr>
      <w:r w:rsidRPr="00F87982">
        <w:rPr>
          <w:rFonts w:ascii="Times New Roman" w:hAnsi="Times New Roman" w:cs="Times New Roman"/>
        </w:rPr>
        <w:lastRenderedPageBreak/>
        <w:t xml:space="preserve">The action research is conducted across 1,575 households in 47 villages within </w:t>
      </w:r>
      <w:proofErr w:type="spellStart"/>
      <w:r w:rsidRPr="00F87982">
        <w:rPr>
          <w:rFonts w:ascii="Times New Roman" w:hAnsi="Times New Roman" w:cs="Times New Roman"/>
        </w:rPr>
        <w:t>Mathpada</w:t>
      </w:r>
      <w:proofErr w:type="spellEnd"/>
      <w:r w:rsidRPr="00F87982">
        <w:rPr>
          <w:rFonts w:ascii="Times New Roman" w:hAnsi="Times New Roman" w:cs="Times New Roman"/>
        </w:rPr>
        <w:t xml:space="preserve"> and </w:t>
      </w:r>
      <w:proofErr w:type="spellStart"/>
      <w:r w:rsidRPr="00F87982">
        <w:rPr>
          <w:rFonts w:ascii="Times New Roman" w:hAnsi="Times New Roman" w:cs="Times New Roman"/>
        </w:rPr>
        <w:t>Doraguda</w:t>
      </w:r>
      <w:proofErr w:type="spellEnd"/>
      <w:r w:rsidRPr="00F87982">
        <w:rPr>
          <w:rFonts w:ascii="Times New Roman" w:hAnsi="Times New Roman" w:cs="Times New Roman"/>
        </w:rPr>
        <w:t xml:space="preserve"> Panchayats, located in </w:t>
      </w:r>
      <w:proofErr w:type="spellStart"/>
      <w:r w:rsidRPr="00F87982">
        <w:rPr>
          <w:rFonts w:ascii="Times New Roman" w:hAnsi="Times New Roman" w:cs="Times New Roman"/>
        </w:rPr>
        <w:t>Boipariguda</w:t>
      </w:r>
      <w:proofErr w:type="spellEnd"/>
      <w:r w:rsidRPr="00F87982">
        <w:rPr>
          <w:rFonts w:ascii="Times New Roman" w:hAnsi="Times New Roman" w:cs="Times New Roman"/>
        </w:rPr>
        <w:t xml:space="preserve"> Block, Koraput district, Odisha, Eastern India. Koraput is a predominantly tribal, rural district characterized by high biodiversity. </w:t>
      </w:r>
    </w:p>
    <w:p w14:paraId="5C584A7F" w14:textId="6F3BBCB1" w:rsidR="009D75C1" w:rsidRPr="00015289" w:rsidRDefault="009D75C1" w:rsidP="00015289">
      <w:pPr>
        <w:pStyle w:val="NoSpacing"/>
        <w:jc w:val="center"/>
        <w:rPr>
          <w:rFonts w:ascii="Times New Roman" w:hAnsi="Times New Roman" w:cs="Times New Roman"/>
        </w:rPr>
      </w:pPr>
      <w:r w:rsidRPr="00015289">
        <w:rPr>
          <w:rFonts w:ascii="Times New Roman" w:hAnsi="Times New Roman" w:cs="Times New Roman"/>
        </w:rPr>
        <w:t xml:space="preserve">Figure 1: Map of </w:t>
      </w:r>
      <w:r w:rsidR="00015289" w:rsidRPr="00015289">
        <w:rPr>
          <w:rFonts w:ascii="Times New Roman" w:hAnsi="Times New Roman" w:cs="Times New Roman"/>
        </w:rPr>
        <w:t>Koraput highlighting Area of Research</w:t>
      </w:r>
    </w:p>
    <w:p w14:paraId="76F296EE" w14:textId="617C0AEC" w:rsidR="00DA0BE2" w:rsidRPr="00015289" w:rsidRDefault="00DA0BE2" w:rsidP="00015289">
      <w:pPr>
        <w:pStyle w:val="NoSpacing"/>
        <w:jc w:val="center"/>
        <w:rPr>
          <w:rFonts w:ascii="Times New Roman" w:hAnsi="Times New Roman" w:cs="Times New Roman"/>
        </w:rPr>
      </w:pPr>
      <w:r w:rsidRPr="00015289">
        <w:rPr>
          <w:rFonts w:ascii="Times New Roman" w:hAnsi="Times New Roman" w:cs="Times New Roman"/>
          <w:noProof/>
        </w:rPr>
        <w:drawing>
          <wp:inline distT="0" distB="0" distL="0" distR="0" wp14:anchorId="6EBBEC61" wp14:editId="44E2050A">
            <wp:extent cx="5542647" cy="384841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90658" cy="3881751"/>
                    </a:xfrm>
                    <a:prstGeom prst="rect">
                      <a:avLst/>
                    </a:prstGeom>
                  </pic:spPr>
                </pic:pic>
              </a:graphicData>
            </a:graphic>
          </wp:inline>
        </w:drawing>
      </w:r>
    </w:p>
    <w:p w14:paraId="07385176" w14:textId="539286F1" w:rsidR="00015289" w:rsidRDefault="00015289" w:rsidP="00015289">
      <w:pPr>
        <w:pStyle w:val="NoSpacing"/>
        <w:jc w:val="center"/>
        <w:rPr>
          <w:rFonts w:ascii="Times New Roman" w:hAnsi="Times New Roman" w:cs="Times New Roman"/>
        </w:rPr>
      </w:pPr>
      <w:r w:rsidRPr="00015289">
        <w:rPr>
          <w:rFonts w:ascii="Times New Roman" w:hAnsi="Times New Roman" w:cs="Times New Roman"/>
        </w:rPr>
        <w:t>Source: DPMU 2017; NFHS 2015</w:t>
      </w:r>
    </w:p>
    <w:p w14:paraId="7ED7F13F" w14:textId="77777777" w:rsidR="00015289" w:rsidRDefault="00015289" w:rsidP="00015289">
      <w:pPr>
        <w:pStyle w:val="NoSpacing"/>
        <w:jc w:val="center"/>
        <w:rPr>
          <w:rFonts w:ascii="Times New Roman" w:hAnsi="Times New Roman" w:cs="Times New Roman"/>
        </w:rPr>
      </w:pPr>
    </w:p>
    <w:p w14:paraId="744E4E3C" w14:textId="77777777" w:rsidR="00015289" w:rsidRPr="00015289" w:rsidRDefault="00015289" w:rsidP="00015289">
      <w:pPr>
        <w:pStyle w:val="NoSpacing"/>
        <w:jc w:val="center"/>
        <w:rPr>
          <w:rFonts w:ascii="Times New Roman" w:hAnsi="Times New Roman" w:cs="Times New Roman"/>
        </w:rPr>
      </w:pPr>
    </w:p>
    <w:p w14:paraId="40894CE5" w14:textId="77777777" w:rsidR="00D0070E" w:rsidRDefault="00D0070E" w:rsidP="00286A94">
      <w:pPr>
        <w:spacing w:line="360" w:lineRule="auto"/>
        <w:jc w:val="both"/>
        <w:rPr>
          <w:rFonts w:ascii="Times New Roman" w:hAnsi="Times New Roman" w:cs="Times New Roman"/>
        </w:rPr>
      </w:pPr>
      <w:r w:rsidRPr="00D0070E">
        <w:rPr>
          <w:rFonts w:ascii="Times New Roman" w:hAnsi="Times New Roman" w:cs="Times New Roman"/>
        </w:rPr>
        <w:t>To establish the project foundation, 37 village meetings introduced secondary agricultural, health, and nutritional data to 1,047 community members (513 women, 534 men). Early-stage productivity trials focused on improved varieties and practices for finger millet, pigeon pea, and orange-fleshed sweet potato. A household census provided core socioeconomic information, followed by a baseline survey employing random sampling (SPSS version 2) of 315 households to characterize existing agricultural systems, food consumption habits, and nutrition awareness.</w:t>
      </w:r>
    </w:p>
    <w:p w14:paraId="34EB6C44" w14:textId="3A0DBD79" w:rsidR="00F87982" w:rsidRPr="00F87982" w:rsidRDefault="00CA2B0A" w:rsidP="00286A94">
      <w:pPr>
        <w:spacing w:line="360" w:lineRule="auto"/>
        <w:jc w:val="both"/>
        <w:rPr>
          <w:rFonts w:ascii="Times New Roman" w:hAnsi="Times New Roman" w:cs="Times New Roman"/>
        </w:rPr>
      </w:pPr>
      <w:r w:rsidRPr="00286A94">
        <w:rPr>
          <w:rFonts w:ascii="Times New Roman" w:hAnsi="Times New Roman" w:cs="Times New Roman"/>
          <w:b/>
          <w:bCs/>
        </w:rPr>
        <w:t>3.</w:t>
      </w:r>
      <w:r w:rsidR="00D0070E">
        <w:rPr>
          <w:rFonts w:ascii="Times New Roman" w:hAnsi="Times New Roman" w:cs="Times New Roman"/>
          <w:b/>
          <w:bCs/>
        </w:rPr>
        <w:t>1</w:t>
      </w:r>
      <w:r w:rsidRPr="00286A94">
        <w:rPr>
          <w:rFonts w:ascii="Times New Roman" w:hAnsi="Times New Roman" w:cs="Times New Roman"/>
          <w:b/>
          <w:bCs/>
        </w:rPr>
        <w:t xml:space="preserve"> </w:t>
      </w:r>
      <w:r w:rsidR="00F87982" w:rsidRPr="00F87982">
        <w:rPr>
          <w:rFonts w:ascii="Times New Roman" w:hAnsi="Times New Roman" w:cs="Times New Roman"/>
          <w:b/>
          <w:bCs/>
        </w:rPr>
        <w:t>Dietary Assessment Methods</w:t>
      </w:r>
    </w:p>
    <w:p w14:paraId="46A54438" w14:textId="77777777" w:rsidR="00F87982" w:rsidRPr="00F87982" w:rsidRDefault="00F87982" w:rsidP="00286A94">
      <w:pPr>
        <w:spacing w:line="360" w:lineRule="auto"/>
        <w:jc w:val="both"/>
        <w:rPr>
          <w:rFonts w:ascii="Times New Roman" w:hAnsi="Times New Roman" w:cs="Times New Roman"/>
        </w:rPr>
      </w:pPr>
      <w:r w:rsidRPr="00F87982">
        <w:rPr>
          <w:rFonts w:ascii="Times New Roman" w:hAnsi="Times New Roman" w:cs="Times New Roman"/>
        </w:rPr>
        <w:t>Household food consumption frequency was captured using two complementary recall methods:</w:t>
      </w:r>
    </w:p>
    <w:p w14:paraId="4D36F82D" w14:textId="6E4B4FD0" w:rsidR="00F87982" w:rsidRPr="00F87982" w:rsidRDefault="00F87982" w:rsidP="00FC01EA">
      <w:pPr>
        <w:spacing w:line="360" w:lineRule="auto"/>
        <w:jc w:val="both"/>
        <w:rPr>
          <w:rFonts w:ascii="Times New Roman" w:hAnsi="Times New Roman" w:cs="Times New Roman"/>
        </w:rPr>
      </w:pPr>
      <w:r w:rsidRPr="00F87982">
        <w:rPr>
          <w:rFonts w:ascii="Times New Roman" w:hAnsi="Times New Roman" w:cs="Times New Roman"/>
          <w:b/>
          <w:bCs/>
        </w:rPr>
        <w:t>24-hour Dietary Recall:</w:t>
      </w:r>
      <w:r w:rsidRPr="00F87982">
        <w:rPr>
          <w:rFonts w:ascii="Times New Roman" w:hAnsi="Times New Roman" w:cs="Times New Roman"/>
        </w:rPr>
        <w:t> Documented all foods consumed (including outside meals) on a typical non-festive day prior to the interview. Advantages include better recall accuracy.</w:t>
      </w:r>
    </w:p>
    <w:p w14:paraId="50DBBC66" w14:textId="6086B4DE" w:rsidR="00F87982" w:rsidRPr="00F87982" w:rsidRDefault="00F87982" w:rsidP="00FC01EA">
      <w:pPr>
        <w:spacing w:line="360" w:lineRule="auto"/>
        <w:jc w:val="both"/>
        <w:rPr>
          <w:rFonts w:ascii="Times New Roman" w:hAnsi="Times New Roman" w:cs="Times New Roman"/>
        </w:rPr>
      </w:pPr>
      <w:r w:rsidRPr="00F87982">
        <w:rPr>
          <w:rFonts w:ascii="Times New Roman" w:hAnsi="Times New Roman" w:cs="Times New Roman"/>
          <w:b/>
          <w:bCs/>
        </w:rPr>
        <w:lastRenderedPageBreak/>
        <w:t>30-day Food Frequency Recall:</w:t>
      </w:r>
      <w:r w:rsidRPr="00F87982">
        <w:rPr>
          <w:rFonts w:ascii="Times New Roman" w:hAnsi="Times New Roman" w:cs="Times New Roman"/>
        </w:rPr>
        <w:t> Recorded all food items consumed and their sources over the previous month. This captures greater dietary diversity (including infrequently consumed items) but risks recall bias.</w:t>
      </w:r>
    </w:p>
    <w:p w14:paraId="18D77E08" w14:textId="485E91E5" w:rsidR="00F87982" w:rsidRPr="00F87982" w:rsidRDefault="00F87982" w:rsidP="00286A94">
      <w:pPr>
        <w:spacing w:line="360" w:lineRule="auto"/>
        <w:jc w:val="both"/>
        <w:rPr>
          <w:rFonts w:ascii="Times New Roman" w:hAnsi="Times New Roman" w:cs="Times New Roman"/>
        </w:rPr>
      </w:pPr>
      <w:r w:rsidRPr="00F87982">
        <w:rPr>
          <w:rFonts w:ascii="Times New Roman" w:hAnsi="Times New Roman" w:cs="Times New Roman"/>
        </w:rPr>
        <w:t>Both methods provide a snapshot and may not fully capture seasonal dietary variations.</w:t>
      </w:r>
    </w:p>
    <w:p w14:paraId="55030D9B" w14:textId="67DEBC63" w:rsidR="00F87982" w:rsidRPr="00F87982" w:rsidRDefault="00CA2B0A" w:rsidP="00286A94">
      <w:pPr>
        <w:spacing w:line="360" w:lineRule="auto"/>
        <w:jc w:val="both"/>
        <w:rPr>
          <w:rFonts w:ascii="Times New Roman" w:hAnsi="Times New Roman" w:cs="Times New Roman"/>
        </w:rPr>
      </w:pPr>
      <w:r w:rsidRPr="00286A94">
        <w:rPr>
          <w:rFonts w:ascii="Times New Roman" w:hAnsi="Times New Roman" w:cs="Times New Roman"/>
          <w:b/>
          <w:bCs/>
        </w:rPr>
        <w:t>3.</w:t>
      </w:r>
      <w:r w:rsidR="00D0070E">
        <w:rPr>
          <w:rFonts w:ascii="Times New Roman" w:hAnsi="Times New Roman" w:cs="Times New Roman"/>
          <w:b/>
          <w:bCs/>
        </w:rPr>
        <w:t>2</w:t>
      </w:r>
      <w:r w:rsidRPr="00286A94">
        <w:rPr>
          <w:rFonts w:ascii="Times New Roman" w:hAnsi="Times New Roman" w:cs="Times New Roman"/>
          <w:b/>
          <w:bCs/>
        </w:rPr>
        <w:t xml:space="preserve"> </w:t>
      </w:r>
      <w:r w:rsidR="00F87982" w:rsidRPr="00F87982">
        <w:rPr>
          <w:rFonts w:ascii="Times New Roman" w:hAnsi="Times New Roman" w:cs="Times New Roman"/>
          <w:b/>
          <w:bCs/>
        </w:rPr>
        <w:t xml:space="preserve">Process of Social Engagement </w:t>
      </w:r>
    </w:p>
    <w:p w14:paraId="57021EC5" w14:textId="2E1A43A2" w:rsidR="00DA0BE2" w:rsidRDefault="00F87982" w:rsidP="00286A94">
      <w:pPr>
        <w:spacing w:line="360" w:lineRule="auto"/>
        <w:jc w:val="both"/>
        <w:rPr>
          <w:rFonts w:ascii="Times New Roman" w:hAnsi="Times New Roman" w:cs="Times New Roman"/>
        </w:rPr>
      </w:pPr>
      <w:r w:rsidRPr="00F87982">
        <w:rPr>
          <w:rFonts w:ascii="Times New Roman" w:hAnsi="Times New Roman" w:cs="Times New Roman"/>
        </w:rPr>
        <w:t>An experienced adult literacy facilitator (with English-Odiya translation support) led the training.</w:t>
      </w:r>
      <w:r w:rsidR="00B07987" w:rsidRPr="00286A94">
        <w:rPr>
          <w:rFonts w:ascii="Times New Roman" w:hAnsi="Times New Roman" w:cs="Times New Roman"/>
        </w:rPr>
        <w:t xml:space="preserve"> </w:t>
      </w:r>
      <w:r w:rsidRPr="00F87982">
        <w:rPr>
          <w:rFonts w:ascii="Times New Roman" w:hAnsi="Times New Roman" w:cs="Times New Roman"/>
        </w:rPr>
        <w:t>The residential setting fostered unprecedented interaction across caste, village, and gender lines</w:t>
      </w:r>
      <w:r w:rsidR="00DA0BE2">
        <w:rPr>
          <w:rFonts w:ascii="Times New Roman" w:hAnsi="Times New Roman" w:cs="Times New Roman"/>
        </w:rPr>
        <w:t>, as displayed in Figure 2.</w:t>
      </w:r>
    </w:p>
    <w:p w14:paraId="0DA814EF" w14:textId="5EECAEA9" w:rsidR="00015289" w:rsidRPr="00015289" w:rsidRDefault="00015289" w:rsidP="00015289">
      <w:pPr>
        <w:pStyle w:val="NoSpacing"/>
        <w:jc w:val="center"/>
        <w:rPr>
          <w:rFonts w:ascii="Times New Roman" w:hAnsi="Times New Roman" w:cs="Times New Roman"/>
        </w:rPr>
      </w:pPr>
      <w:r w:rsidRPr="00015289">
        <w:rPr>
          <w:rFonts w:ascii="Times New Roman" w:hAnsi="Times New Roman" w:cs="Times New Roman"/>
        </w:rPr>
        <w:t>Figure 2: Framework depicting Dialogue as Nutrition Literacy Tool</w:t>
      </w:r>
    </w:p>
    <w:p w14:paraId="0722702E" w14:textId="69D8EE40" w:rsidR="00DA0BE2" w:rsidRPr="00015289" w:rsidRDefault="00DA0BE2" w:rsidP="00015289">
      <w:pPr>
        <w:pStyle w:val="NoSpacing"/>
        <w:jc w:val="center"/>
        <w:rPr>
          <w:rFonts w:ascii="Times New Roman" w:hAnsi="Times New Roman" w:cs="Times New Roman"/>
        </w:rPr>
      </w:pPr>
      <w:r w:rsidRPr="00015289">
        <w:rPr>
          <w:rFonts w:ascii="Times New Roman" w:hAnsi="Times New Roman" w:cs="Times New Roman"/>
          <w:noProof/>
        </w:rPr>
        <w:drawing>
          <wp:inline distT="0" distB="0" distL="0" distR="0" wp14:anchorId="4238FDCB" wp14:editId="5B6C0DB8">
            <wp:extent cx="2842260" cy="43824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96994" cy="4466816"/>
                    </a:xfrm>
                    <a:prstGeom prst="rect">
                      <a:avLst/>
                    </a:prstGeom>
                  </pic:spPr>
                </pic:pic>
              </a:graphicData>
            </a:graphic>
          </wp:inline>
        </w:drawing>
      </w:r>
    </w:p>
    <w:p w14:paraId="4D321980" w14:textId="5B573E2F" w:rsidR="00015289" w:rsidRDefault="00015289" w:rsidP="00015289">
      <w:pPr>
        <w:pStyle w:val="NoSpacing"/>
        <w:jc w:val="center"/>
        <w:rPr>
          <w:rFonts w:ascii="Times New Roman" w:hAnsi="Times New Roman" w:cs="Times New Roman"/>
        </w:rPr>
      </w:pPr>
      <w:r w:rsidRPr="00015289">
        <w:rPr>
          <w:rFonts w:ascii="Times New Roman" w:hAnsi="Times New Roman" w:cs="Times New Roman"/>
        </w:rPr>
        <w:t xml:space="preserve">Source: </w:t>
      </w:r>
      <w:proofErr w:type="spellStart"/>
      <w:r w:rsidRPr="00015289">
        <w:rPr>
          <w:rFonts w:ascii="Times New Roman" w:hAnsi="Times New Roman" w:cs="Times New Roman"/>
        </w:rPr>
        <w:t>Ramanarayanan</w:t>
      </w:r>
      <w:proofErr w:type="spellEnd"/>
      <w:r w:rsidRPr="00015289">
        <w:rPr>
          <w:rFonts w:ascii="Times New Roman" w:hAnsi="Times New Roman" w:cs="Times New Roman"/>
        </w:rPr>
        <w:t xml:space="preserve"> et al 2022</w:t>
      </w:r>
    </w:p>
    <w:p w14:paraId="424C0CB2" w14:textId="2637FEAE" w:rsidR="00F87982" w:rsidRPr="00F87982" w:rsidRDefault="00F87982" w:rsidP="00286A94">
      <w:pPr>
        <w:spacing w:line="360" w:lineRule="auto"/>
        <w:jc w:val="both"/>
        <w:rPr>
          <w:rFonts w:ascii="Times New Roman" w:hAnsi="Times New Roman" w:cs="Times New Roman"/>
        </w:rPr>
      </w:pPr>
      <w:r w:rsidRPr="00F87982">
        <w:rPr>
          <w:rFonts w:ascii="Times New Roman" w:hAnsi="Times New Roman" w:cs="Times New Roman"/>
        </w:rPr>
        <w:t>This environment enabled shared experiences and collective reflection on food/nutrition status, building relationships and support – foundational steps towards collective action (Oakley et al. 1984).</w:t>
      </w:r>
      <w:r w:rsidR="00B07987" w:rsidRPr="00286A94">
        <w:rPr>
          <w:rFonts w:ascii="Times New Roman" w:hAnsi="Times New Roman" w:cs="Times New Roman"/>
        </w:rPr>
        <w:t xml:space="preserve"> </w:t>
      </w:r>
      <w:r w:rsidRPr="00F87982">
        <w:rPr>
          <w:rFonts w:ascii="Times New Roman" w:hAnsi="Times New Roman" w:cs="Times New Roman"/>
        </w:rPr>
        <w:t xml:space="preserve">While acknowledging that workshops alone cannot transform social structures, the training sensitized CHFs to power hierarchies impacting food security. This aimed to break the "culture of silence" and amplify marginalized voices for future discourse. Post-training, CHFs </w:t>
      </w:r>
      <w:r w:rsidRPr="00F87982">
        <w:rPr>
          <w:rFonts w:ascii="Times New Roman" w:hAnsi="Times New Roman" w:cs="Times New Roman"/>
        </w:rPr>
        <w:lastRenderedPageBreak/>
        <w:t>identified key messages for community dissemination</w:t>
      </w:r>
      <w:r w:rsidR="00B07987" w:rsidRPr="00286A94">
        <w:rPr>
          <w:rFonts w:ascii="Times New Roman" w:hAnsi="Times New Roman" w:cs="Times New Roman"/>
        </w:rPr>
        <w:t xml:space="preserve">. </w:t>
      </w:r>
      <w:r w:rsidRPr="00F87982">
        <w:rPr>
          <w:rFonts w:ascii="Times New Roman" w:hAnsi="Times New Roman" w:cs="Times New Roman"/>
        </w:rPr>
        <w:t>The program design anticipated emergent, sequential community actions.</w:t>
      </w:r>
    </w:p>
    <w:p w14:paraId="68A4D5F8" w14:textId="36610DBB" w:rsidR="00F87982" w:rsidRPr="00F87982" w:rsidRDefault="00F87982" w:rsidP="00286A94">
      <w:pPr>
        <w:spacing w:line="360" w:lineRule="auto"/>
        <w:jc w:val="both"/>
        <w:rPr>
          <w:rFonts w:ascii="Times New Roman" w:hAnsi="Times New Roman" w:cs="Times New Roman"/>
        </w:rPr>
      </w:pPr>
      <w:r w:rsidRPr="00F87982">
        <w:rPr>
          <w:rFonts w:ascii="Times New Roman" w:hAnsi="Times New Roman" w:cs="Times New Roman"/>
        </w:rPr>
        <w:t>Observations were coded into themes (e.g., dietary diversity, food production, entitlement claims). Interviews captured message dissemination methods (one-on-one vs. group sharing).</w:t>
      </w:r>
      <w:r w:rsidR="00430C6A">
        <w:rPr>
          <w:rFonts w:ascii="Times New Roman" w:hAnsi="Times New Roman" w:cs="Times New Roman"/>
        </w:rPr>
        <w:t xml:space="preserve"> </w:t>
      </w:r>
      <w:r w:rsidRPr="00F87982">
        <w:rPr>
          <w:rFonts w:ascii="Times New Roman" w:hAnsi="Times New Roman" w:cs="Times New Roman"/>
        </w:rPr>
        <w:t>FGDs explored CHF views on the transformative process.</w:t>
      </w:r>
      <w:r w:rsidR="00956CE3" w:rsidRPr="00286A94">
        <w:rPr>
          <w:rFonts w:ascii="Times New Roman" w:hAnsi="Times New Roman" w:cs="Times New Roman"/>
        </w:rPr>
        <w:t xml:space="preserve"> </w:t>
      </w:r>
    </w:p>
    <w:p w14:paraId="16B16BAE" w14:textId="54F5F1D8" w:rsidR="00F87982" w:rsidRPr="00F87982" w:rsidRDefault="00F87982" w:rsidP="00286A94">
      <w:pPr>
        <w:spacing w:line="360" w:lineRule="auto"/>
        <w:jc w:val="both"/>
        <w:rPr>
          <w:rFonts w:ascii="Times New Roman" w:hAnsi="Times New Roman" w:cs="Times New Roman"/>
        </w:rPr>
      </w:pPr>
      <w:r w:rsidRPr="00F87982">
        <w:rPr>
          <w:rFonts w:ascii="Times New Roman" w:hAnsi="Times New Roman" w:cs="Times New Roman"/>
        </w:rPr>
        <w:t>This paper examines dialogue's role in fostering critical analysis, reflection, and individual-level action.</w:t>
      </w:r>
    </w:p>
    <w:p w14:paraId="4B52918A" w14:textId="305C9FDE" w:rsidR="00B07987" w:rsidRPr="00286A94" w:rsidRDefault="00B07987" w:rsidP="00286A94">
      <w:pPr>
        <w:spacing w:line="360" w:lineRule="auto"/>
        <w:jc w:val="both"/>
        <w:rPr>
          <w:rFonts w:ascii="Times New Roman" w:hAnsi="Times New Roman" w:cs="Times New Roman"/>
          <w:b/>
          <w:bCs/>
        </w:rPr>
      </w:pPr>
      <w:r w:rsidRPr="00286A94">
        <w:rPr>
          <w:rFonts w:ascii="Times New Roman" w:hAnsi="Times New Roman" w:cs="Times New Roman"/>
          <w:b/>
          <w:bCs/>
        </w:rPr>
        <w:t xml:space="preserve">4. </w:t>
      </w:r>
      <w:r w:rsidR="00F87982" w:rsidRPr="00286A94">
        <w:rPr>
          <w:rFonts w:ascii="Times New Roman" w:hAnsi="Times New Roman" w:cs="Times New Roman"/>
          <w:b/>
          <w:bCs/>
        </w:rPr>
        <w:t>Results and Discussion</w:t>
      </w:r>
    </w:p>
    <w:p w14:paraId="40EC5E6F" w14:textId="7F39DAB5" w:rsidR="00030E40" w:rsidRPr="00286A94" w:rsidRDefault="00B07987" w:rsidP="00286A94">
      <w:pPr>
        <w:spacing w:line="360" w:lineRule="auto"/>
        <w:jc w:val="both"/>
        <w:rPr>
          <w:rFonts w:ascii="Times New Roman" w:hAnsi="Times New Roman" w:cs="Times New Roman"/>
        </w:rPr>
      </w:pPr>
      <w:r w:rsidRPr="00286A94">
        <w:rPr>
          <w:rFonts w:ascii="Times New Roman" w:hAnsi="Times New Roman" w:cs="Times New Roman"/>
          <w:b/>
          <w:bCs/>
        </w:rPr>
        <w:t xml:space="preserve">4.1 </w:t>
      </w:r>
      <w:r w:rsidR="00030E40" w:rsidRPr="00286A94">
        <w:rPr>
          <w:rFonts w:ascii="Times New Roman" w:hAnsi="Times New Roman" w:cs="Times New Roman"/>
          <w:b/>
          <w:bCs/>
        </w:rPr>
        <w:t>Socio-Demographic and Economic Setting</w:t>
      </w:r>
    </w:p>
    <w:p w14:paraId="46EFAF0D" w14:textId="77777777" w:rsidR="00030E40" w:rsidRPr="00030E40" w:rsidRDefault="00030E40" w:rsidP="00286A94">
      <w:pPr>
        <w:spacing w:line="360" w:lineRule="auto"/>
        <w:jc w:val="both"/>
        <w:rPr>
          <w:rFonts w:ascii="Times New Roman" w:hAnsi="Times New Roman" w:cs="Times New Roman"/>
        </w:rPr>
      </w:pPr>
      <w:r w:rsidRPr="00030E40">
        <w:rPr>
          <w:rFonts w:ascii="Times New Roman" w:hAnsi="Times New Roman" w:cs="Times New Roman"/>
        </w:rPr>
        <w:t xml:space="preserve">The study population comprised predominantly marginalized groups: Scheduled Tribes (74%) and Scheduled Castes (13%), together constituting 87% of residents. Landholding patterns revealed significant constraints: 79% were small or marginal farmers (holding &lt;1 hectare or 1-2 hectares), 11% were landless, 8% held semi-medium plots (2–4 hectares), and only 2% had medium holdings (4–10 hectares). Smallholders frequently supplemented income through paid </w:t>
      </w:r>
      <w:proofErr w:type="spellStart"/>
      <w:r w:rsidRPr="00030E40">
        <w:rPr>
          <w:rFonts w:ascii="Times New Roman" w:hAnsi="Times New Roman" w:cs="Times New Roman"/>
        </w:rPr>
        <w:t>labor</w:t>
      </w:r>
      <w:proofErr w:type="spellEnd"/>
      <w:r w:rsidRPr="00030E40">
        <w:rPr>
          <w:rFonts w:ascii="Times New Roman" w:hAnsi="Times New Roman" w:cs="Times New Roman"/>
        </w:rPr>
        <w:t>. Formal education levels were very low, with 74% of household heads having no schooling. Household size distribution showed 52% with 1–4 members, 47% with 5–8 members, and 1% with more. Drinking water sources included tube wells (85%), taps (10%), open wells (4%), and surface water (1%). Despite 70% of households possessing toilets, lack of water rendered them largely unused. This profile depicts a community of resource-poor subsistence farmers with limited assets, inadequate infrastructure, and minimal technological access.</w:t>
      </w:r>
    </w:p>
    <w:p w14:paraId="741B60AF" w14:textId="56A63F88" w:rsidR="00030E40" w:rsidRPr="00030E40" w:rsidRDefault="00B07987" w:rsidP="00286A94">
      <w:pPr>
        <w:spacing w:line="360" w:lineRule="auto"/>
        <w:jc w:val="both"/>
        <w:rPr>
          <w:rFonts w:ascii="Times New Roman" w:hAnsi="Times New Roman" w:cs="Times New Roman"/>
        </w:rPr>
      </w:pPr>
      <w:r w:rsidRPr="00286A94">
        <w:rPr>
          <w:rFonts w:ascii="Times New Roman" w:hAnsi="Times New Roman" w:cs="Times New Roman"/>
          <w:b/>
          <w:bCs/>
        </w:rPr>
        <w:t xml:space="preserve">4.2 </w:t>
      </w:r>
      <w:r w:rsidR="00030E40" w:rsidRPr="00030E40">
        <w:rPr>
          <w:rFonts w:ascii="Times New Roman" w:hAnsi="Times New Roman" w:cs="Times New Roman"/>
          <w:b/>
          <w:bCs/>
        </w:rPr>
        <w:t>Food Consumption, Production, and Nutrition Awareness</w:t>
      </w:r>
    </w:p>
    <w:p w14:paraId="5959070B" w14:textId="68C5792D" w:rsidR="00030E40" w:rsidRDefault="00030E40" w:rsidP="00286A94">
      <w:pPr>
        <w:spacing w:line="360" w:lineRule="auto"/>
        <w:jc w:val="both"/>
        <w:rPr>
          <w:rFonts w:ascii="Times New Roman" w:hAnsi="Times New Roman" w:cs="Times New Roman"/>
        </w:rPr>
      </w:pPr>
      <w:r w:rsidRPr="00030E40">
        <w:rPr>
          <w:rFonts w:ascii="Times New Roman" w:hAnsi="Times New Roman" w:cs="Times New Roman"/>
        </w:rPr>
        <w:t>Household food frequency data</w:t>
      </w:r>
      <w:r w:rsidR="009D75C1">
        <w:rPr>
          <w:rFonts w:ascii="Times New Roman" w:hAnsi="Times New Roman" w:cs="Times New Roman"/>
        </w:rPr>
        <w:t xml:space="preserve">, as tabulated in Table </w:t>
      </w:r>
      <w:proofErr w:type="gramStart"/>
      <w:r w:rsidR="009D75C1">
        <w:rPr>
          <w:rFonts w:ascii="Times New Roman" w:hAnsi="Times New Roman" w:cs="Times New Roman"/>
        </w:rPr>
        <w:t xml:space="preserve">1 </w:t>
      </w:r>
      <w:r w:rsidRPr="00030E40">
        <w:rPr>
          <w:rFonts w:ascii="Times New Roman" w:hAnsi="Times New Roman" w:cs="Times New Roman"/>
        </w:rPr>
        <w:t xml:space="preserve"> includes</w:t>
      </w:r>
      <w:proofErr w:type="gramEnd"/>
      <w:r w:rsidRPr="00030E40">
        <w:rPr>
          <w:rFonts w:ascii="Times New Roman" w:hAnsi="Times New Roman" w:cs="Times New Roman"/>
        </w:rPr>
        <w:t xml:space="preserve"> items consumed weekly by ≥25% of the population. Rice and finger millet served as staple energy sources: rice was consumed daily by all households, and finger millet by 85%. While paddy cultivation was near-universal, finger millet was grown by 62% of households. Despite 91% adopting improved paddy varieties, domestic production was insufficient for 86% of households, necessitating market rice purchases. Ninety percent held ration cards, accessing subsidized rice (5 kg/person at ₹1/kg) via the Public Distribution System (PDS). However, rice functioned as a primary cash crop; households consumed only ~85% of their harvest, selling the remainder to cover expenses. Finger millet cultivation favoured traditional varieties, yet 86% still bought </w:t>
      </w:r>
      <w:r w:rsidRPr="00030E40">
        <w:rPr>
          <w:rFonts w:ascii="Times New Roman" w:hAnsi="Times New Roman" w:cs="Times New Roman"/>
        </w:rPr>
        <w:lastRenderedPageBreak/>
        <w:t>additional millet from markets. Daily oil use (for tempering) was reported by 57% of households, and daily sugar consumption (primarily in tea) by 70%.</w:t>
      </w:r>
    </w:p>
    <w:p w14:paraId="36A89EFF" w14:textId="3B920145" w:rsidR="00430C6A" w:rsidRPr="00430C6A" w:rsidRDefault="00430C6A" w:rsidP="00430C6A">
      <w:pPr>
        <w:pStyle w:val="NoSpacing"/>
        <w:jc w:val="center"/>
        <w:rPr>
          <w:rFonts w:ascii="Times New Roman" w:hAnsi="Times New Roman" w:cs="Times New Roman"/>
          <w:b/>
          <w:bCs/>
        </w:rPr>
      </w:pPr>
      <w:r w:rsidRPr="00430C6A">
        <w:rPr>
          <w:rFonts w:ascii="Times New Roman" w:hAnsi="Times New Roman" w:cs="Times New Roman"/>
          <w:b/>
          <w:bCs/>
        </w:rPr>
        <w:t>Table 1: Frequency of Food Consumption by Households</w:t>
      </w:r>
    </w:p>
    <w:p w14:paraId="1C5E3694" w14:textId="0844CCEA" w:rsidR="009D75C1" w:rsidRPr="00430C6A" w:rsidRDefault="00430C6A" w:rsidP="00430C6A">
      <w:pPr>
        <w:pStyle w:val="NoSpacing"/>
        <w:jc w:val="center"/>
        <w:rPr>
          <w:rFonts w:ascii="Times New Roman" w:hAnsi="Times New Roman" w:cs="Times New Roman"/>
        </w:rPr>
      </w:pPr>
      <w:r w:rsidRPr="00430C6A">
        <w:rPr>
          <w:rFonts w:ascii="Times New Roman" w:hAnsi="Times New Roman" w:cs="Times New Roman"/>
          <w:noProof/>
        </w:rPr>
        <w:drawing>
          <wp:inline distT="0" distB="0" distL="0" distR="0" wp14:anchorId="630D93BF" wp14:editId="06A95645">
            <wp:extent cx="4389120" cy="4389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9120" cy="4389120"/>
                    </a:xfrm>
                    <a:prstGeom prst="rect">
                      <a:avLst/>
                    </a:prstGeom>
                    <a:noFill/>
                    <a:ln>
                      <a:noFill/>
                    </a:ln>
                  </pic:spPr>
                </pic:pic>
              </a:graphicData>
            </a:graphic>
          </wp:inline>
        </w:drawing>
      </w:r>
    </w:p>
    <w:p w14:paraId="338BE9E9" w14:textId="40A190AB" w:rsidR="00430C6A" w:rsidRPr="00430C6A" w:rsidRDefault="00430C6A" w:rsidP="00430C6A">
      <w:pPr>
        <w:pStyle w:val="NoSpacing"/>
        <w:jc w:val="center"/>
        <w:rPr>
          <w:rFonts w:ascii="Times New Roman" w:hAnsi="Times New Roman" w:cs="Times New Roman"/>
        </w:rPr>
      </w:pPr>
      <w:r w:rsidRPr="00430C6A">
        <w:rPr>
          <w:rFonts w:ascii="Times New Roman" w:hAnsi="Times New Roman" w:cs="Times New Roman"/>
        </w:rPr>
        <w:t xml:space="preserve">Source: Own </w:t>
      </w:r>
      <w:r>
        <w:rPr>
          <w:rFonts w:ascii="Times New Roman" w:hAnsi="Times New Roman" w:cs="Times New Roman"/>
        </w:rPr>
        <w:t>Data</w:t>
      </w:r>
    </w:p>
    <w:p w14:paraId="4770195F" w14:textId="77777777" w:rsidR="00030E40" w:rsidRPr="00030E40" w:rsidRDefault="00030E40" w:rsidP="00286A94">
      <w:pPr>
        <w:spacing w:line="360" w:lineRule="auto"/>
        <w:jc w:val="both"/>
        <w:rPr>
          <w:rFonts w:ascii="Times New Roman" w:hAnsi="Times New Roman" w:cs="Times New Roman"/>
        </w:rPr>
      </w:pPr>
      <w:r w:rsidRPr="00030E40">
        <w:rPr>
          <w:rFonts w:ascii="Times New Roman" w:hAnsi="Times New Roman" w:cs="Times New Roman"/>
        </w:rPr>
        <w:t>Awareness of improved agricultural practices was limited: only 14% had attended skill development programs in the past three years. Over 90% lacked knowledge of seed treatment for paddy or finger millet, and adoption of improved sowing methods was minimal.</w:t>
      </w:r>
    </w:p>
    <w:p w14:paraId="63A714EE" w14:textId="77777777" w:rsidR="00030E40" w:rsidRPr="00030E40" w:rsidRDefault="00030E40" w:rsidP="00286A94">
      <w:pPr>
        <w:spacing w:line="360" w:lineRule="auto"/>
        <w:jc w:val="both"/>
        <w:rPr>
          <w:rFonts w:ascii="Times New Roman" w:hAnsi="Times New Roman" w:cs="Times New Roman"/>
        </w:rPr>
      </w:pPr>
      <w:r w:rsidRPr="00030E40">
        <w:rPr>
          <w:rFonts w:ascii="Times New Roman" w:hAnsi="Times New Roman" w:cs="Times New Roman"/>
        </w:rPr>
        <w:t>Pulses, consumed as thin gruels accompanying rice, were unaffordable for daily consumption due to market dependence. Limited cultivation occurred: only 22 households grew horse gram, and 2 cultivated green gram. Consumption frequency reflected scarcity:</w:t>
      </w:r>
    </w:p>
    <w:p w14:paraId="1BDAE214" w14:textId="77777777" w:rsidR="00030E40" w:rsidRPr="00030E40" w:rsidRDefault="00030E40" w:rsidP="00FC01EA">
      <w:pPr>
        <w:spacing w:line="360" w:lineRule="auto"/>
        <w:jc w:val="both"/>
        <w:rPr>
          <w:rFonts w:ascii="Times New Roman" w:hAnsi="Times New Roman" w:cs="Times New Roman"/>
        </w:rPr>
      </w:pPr>
      <w:r w:rsidRPr="00030E40">
        <w:rPr>
          <w:rFonts w:ascii="Times New Roman" w:hAnsi="Times New Roman" w:cs="Times New Roman"/>
          <w:b/>
          <w:bCs/>
        </w:rPr>
        <w:t>Lentils:</w:t>
      </w:r>
      <w:r w:rsidRPr="00030E40">
        <w:rPr>
          <w:rFonts w:ascii="Times New Roman" w:hAnsi="Times New Roman" w:cs="Times New Roman"/>
        </w:rPr>
        <w:t> 12% consumed 4 times/week (entirely purchased), 34% once/week</w:t>
      </w:r>
    </w:p>
    <w:p w14:paraId="371FD728" w14:textId="77777777" w:rsidR="00030E40" w:rsidRPr="00030E40" w:rsidRDefault="00030E40" w:rsidP="00FC01EA">
      <w:pPr>
        <w:spacing w:line="360" w:lineRule="auto"/>
        <w:jc w:val="both"/>
        <w:rPr>
          <w:rFonts w:ascii="Times New Roman" w:hAnsi="Times New Roman" w:cs="Times New Roman"/>
        </w:rPr>
      </w:pPr>
      <w:r w:rsidRPr="00030E40">
        <w:rPr>
          <w:rFonts w:ascii="Times New Roman" w:hAnsi="Times New Roman" w:cs="Times New Roman"/>
          <w:b/>
          <w:bCs/>
        </w:rPr>
        <w:t>Horse gram:</w:t>
      </w:r>
      <w:r w:rsidRPr="00030E40">
        <w:rPr>
          <w:rFonts w:ascii="Times New Roman" w:hAnsi="Times New Roman" w:cs="Times New Roman"/>
        </w:rPr>
        <w:t> 2% consumed 4 times/week (61% purchased), 26% once/week</w:t>
      </w:r>
    </w:p>
    <w:p w14:paraId="5B8DF4B8" w14:textId="77777777" w:rsidR="00030E40" w:rsidRPr="00030E40" w:rsidRDefault="00030E40" w:rsidP="00FC01EA">
      <w:pPr>
        <w:spacing w:line="360" w:lineRule="auto"/>
        <w:jc w:val="both"/>
        <w:rPr>
          <w:rFonts w:ascii="Times New Roman" w:hAnsi="Times New Roman" w:cs="Times New Roman"/>
        </w:rPr>
      </w:pPr>
      <w:r w:rsidRPr="00030E40">
        <w:rPr>
          <w:rFonts w:ascii="Times New Roman" w:hAnsi="Times New Roman" w:cs="Times New Roman"/>
          <w:b/>
          <w:bCs/>
        </w:rPr>
        <w:t>Green gram:</w:t>
      </w:r>
      <w:r w:rsidRPr="00030E40">
        <w:rPr>
          <w:rFonts w:ascii="Times New Roman" w:hAnsi="Times New Roman" w:cs="Times New Roman"/>
        </w:rPr>
        <w:t> 2% consumed 4 times/week (97% purchased), 22% once/week</w:t>
      </w:r>
    </w:p>
    <w:p w14:paraId="6FF212DA" w14:textId="77777777" w:rsidR="00030E40" w:rsidRPr="00030E40" w:rsidRDefault="00030E40" w:rsidP="00286A94">
      <w:pPr>
        <w:spacing w:line="360" w:lineRule="auto"/>
        <w:jc w:val="both"/>
        <w:rPr>
          <w:rFonts w:ascii="Times New Roman" w:hAnsi="Times New Roman" w:cs="Times New Roman"/>
        </w:rPr>
      </w:pPr>
      <w:r w:rsidRPr="00030E40">
        <w:rPr>
          <w:rFonts w:ascii="Times New Roman" w:hAnsi="Times New Roman" w:cs="Times New Roman"/>
        </w:rPr>
        <w:t>A CHF participant explained the challenges: </w:t>
      </w:r>
      <w:r w:rsidRPr="00030E40">
        <w:rPr>
          <w:rFonts w:ascii="Times New Roman" w:hAnsi="Times New Roman" w:cs="Times New Roman"/>
          <w:i/>
          <w:iCs/>
        </w:rPr>
        <w:t xml:space="preserve">"The soil is unsuitable for lentils. We buy them as the cheapest, easiest-to-cook pulse. We lack green gram cultivation knowledge. Horse gram is </w:t>
      </w:r>
      <w:r w:rsidRPr="00030E40">
        <w:rPr>
          <w:rFonts w:ascii="Times New Roman" w:hAnsi="Times New Roman" w:cs="Times New Roman"/>
          <w:i/>
          <w:iCs/>
        </w:rPr>
        <w:lastRenderedPageBreak/>
        <w:t>traditional but low-yielding and tedious to process, so we sell it."</w:t>
      </w:r>
      <w:r w:rsidRPr="00030E40">
        <w:rPr>
          <w:rFonts w:ascii="Times New Roman" w:hAnsi="Times New Roman" w:cs="Times New Roman"/>
        </w:rPr>
        <w:t> Animal protein was rarely consumed, despite 80% of households rearing poultry.</w:t>
      </w:r>
    </w:p>
    <w:p w14:paraId="34CA377F" w14:textId="4DFDDCBB" w:rsidR="00030E40" w:rsidRPr="00030E40" w:rsidRDefault="00B07987" w:rsidP="00286A94">
      <w:pPr>
        <w:spacing w:line="360" w:lineRule="auto"/>
        <w:jc w:val="both"/>
        <w:rPr>
          <w:rFonts w:ascii="Times New Roman" w:hAnsi="Times New Roman" w:cs="Times New Roman"/>
        </w:rPr>
      </w:pPr>
      <w:r w:rsidRPr="00286A94">
        <w:rPr>
          <w:rFonts w:ascii="Times New Roman" w:hAnsi="Times New Roman" w:cs="Times New Roman"/>
          <w:b/>
          <w:bCs/>
        </w:rPr>
        <w:t xml:space="preserve">4.3 </w:t>
      </w:r>
      <w:r w:rsidR="00030E40" w:rsidRPr="00030E40">
        <w:rPr>
          <w:rFonts w:ascii="Times New Roman" w:hAnsi="Times New Roman" w:cs="Times New Roman"/>
          <w:b/>
          <w:bCs/>
        </w:rPr>
        <w:t>Vegetable and Fruit Consumption</w:t>
      </w:r>
    </w:p>
    <w:p w14:paraId="4CBFD82E" w14:textId="77777777" w:rsidR="00030E40" w:rsidRPr="00030E40" w:rsidRDefault="00030E40" w:rsidP="00286A94">
      <w:pPr>
        <w:spacing w:line="360" w:lineRule="auto"/>
        <w:jc w:val="both"/>
        <w:rPr>
          <w:rFonts w:ascii="Times New Roman" w:hAnsi="Times New Roman" w:cs="Times New Roman"/>
        </w:rPr>
      </w:pPr>
      <w:r w:rsidRPr="00030E40">
        <w:rPr>
          <w:rFonts w:ascii="Times New Roman" w:hAnsi="Times New Roman" w:cs="Times New Roman"/>
        </w:rPr>
        <w:t>Market-dependent vegetables dominated diets:</w:t>
      </w:r>
    </w:p>
    <w:p w14:paraId="76D53CC4" w14:textId="77777777" w:rsidR="00030E40" w:rsidRPr="00030E40" w:rsidRDefault="00030E40" w:rsidP="00FC01EA">
      <w:pPr>
        <w:spacing w:line="360" w:lineRule="auto"/>
        <w:jc w:val="both"/>
        <w:rPr>
          <w:rFonts w:ascii="Times New Roman" w:hAnsi="Times New Roman" w:cs="Times New Roman"/>
        </w:rPr>
      </w:pPr>
      <w:r w:rsidRPr="00030E40">
        <w:rPr>
          <w:rFonts w:ascii="Times New Roman" w:hAnsi="Times New Roman" w:cs="Times New Roman"/>
          <w:b/>
          <w:bCs/>
        </w:rPr>
        <w:t>Daily Consumers:</w:t>
      </w:r>
      <w:r w:rsidRPr="00030E40">
        <w:rPr>
          <w:rFonts w:ascii="Times New Roman" w:hAnsi="Times New Roman" w:cs="Times New Roman"/>
        </w:rPr>
        <w:t> Onions (70%), Tomatoes (74%), Potatoes (25%)</w:t>
      </w:r>
    </w:p>
    <w:p w14:paraId="6D892628" w14:textId="77777777" w:rsidR="00030E40" w:rsidRPr="00030E40" w:rsidRDefault="00030E40" w:rsidP="00FC01EA">
      <w:pPr>
        <w:spacing w:line="360" w:lineRule="auto"/>
        <w:jc w:val="both"/>
        <w:rPr>
          <w:rFonts w:ascii="Times New Roman" w:hAnsi="Times New Roman" w:cs="Times New Roman"/>
        </w:rPr>
      </w:pPr>
      <w:r w:rsidRPr="00030E40">
        <w:rPr>
          <w:rFonts w:ascii="Times New Roman" w:hAnsi="Times New Roman" w:cs="Times New Roman"/>
          <w:b/>
          <w:bCs/>
        </w:rPr>
        <w:t>Weekly Consumers:</w:t>
      </w:r>
      <w:r w:rsidRPr="00030E40">
        <w:rPr>
          <w:rFonts w:ascii="Times New Roman" w:hAnsi="Times New Roman" w:cs="Times New Roman"/>
        </w:rPr>
        <w:t> Cabbage (23% - 4 times/week), Amaranthus, onion stalk, radish leaves, cauliflower leaves (once/week)</w:t>
      </w:r>
    </w:p>
    <w:p w14:paraId="4189CF95" w14:textId="77777777" w:rsidR="00030E40" w:rsidRPr="00030E40" w:rsidRDefault="00030E40" w:rsidP="00286A94">
      <w:pPr>
        <w:spacing w:line="360" w:lineRule="auto"/>
        <w:jc w:val="both"/>
        <w:rPr>
          <w:rFonts w:ascii="Times New Roman" w:hAnsi="Times New Roman" w:cs="Times New Roman"/>
        </w:rPr>
      </w:pPr>
      <w:r w:rsidRPr="00030E40">
        <w:rPr>
          <w:rFonts w:ascii="Times New Roman" w:hAnsi="Times New Roman" w:cs="Times New Roman"/>
        </w:rPr>
        <w:t>Although 80% of households had small gardens (avg. 15 cents, operational 5 months/year, growing broad beans, beans, brinjal, papaya), homegrown vegetable consumption was low. Excess produce was shared or sold due to lack of storage. Fruit intake was negligible: bananas consumed once/week by 34% of households (mostly purchased; only 6 households grew bananas).</w:t>
      </w:r>
    </w:p>
    <w:p w14:paraId="5EED5521" w14:textId="2E73135A" w:rsidR="00030E40" w:rsidRPr="00030E40" w:rsidRDefault="00FC01EA" w:rsidP="00286A94">
      <w:pPr>
        <w:spacing w:line="360" w:lineRule="auto"/>
        <w:jc w:val="both"/>
        <w:rPr>
          <w:rFonts w:ascii="Times New Roman" w:hAnsi="Times New Roman" w:cs="Times New Roman"/>
        </w:rPr>
      </w:pPr>
      <w:r>
        <w:rPr>
          <w:rFonts w:ascii="Times New Roman" w:hAnsi="Times New Roman" w:cs="Times New Roman"/>
          <w:b/>
          <w:bCs/>
        </w:rPr>
        <w:t xml:space="preserve">4.3 </w:t>
      </w:r>
      <w:r w:rsidR="00030E40" w:rsidRPr="00030E40">
        <w:rPr>
          <w:rFonts w:ascii="Times New Roman" w:hAnsi="Times New Roman" w:cs="Times New Roman"/>
          <w:b/>
          <w:bCs/>
        </w:rPr>
        <w:t>Dietary Diversity and Nutrition Awareness</w:t>
      </w:r>
    </w:p>
    <w:p w14:paraId="51E7B033" w14:textId="77777777" w:rsidR="00030E40" w:rsidRPr="00030E40" w:rsidRDefault="00030E40" w:rsidP="00286A94">
      <w:pPr>
        <w:spacing w:line="360" w:lineRule="auto"/>
        <w:jc w:val="both"/>
        <w:rPr>
          <w:rFonts w:ascii="Times New Roman" w:hAnsi="Times New Roman" w:cs="Times New Roman"/>
        </w:rPr>
      </w:pPr>
      <w:r w:rsidRPr="00030E40">
        <w:rPr>
          <w:rFonts w:ascii="Times New Roman" w:hAnsi="Times New Roman" w:cs="Times New Roman"/>
        </w:rPr>
        <w:t>Diets showed low diversity with inadequate protein and micronutrients:</w:t>
      </w:r>
    </w:p>
    <w:p w14:paraId="405F6CDE" w14:textId="77777777" w:rsidR="00030E40" w:rsidRPr="00030E40" w:rsidRDefault="00030E40" w:rsidP="00FC01EA">
      <w:pPr>
        <w:spacing w:line="360" w:lineRule="auto"/>
        <w:jc w:val="both"/>
        <w:rPr>
          <w:rFonts w:ascii="Times New Roman" w:hAnsi="Times New Roman" w:cs="Times New Roman"/>
        </w:rPr>
      </w:pPr>
      <w:r w:rsidRPr="00030E40">
        <w:rPr>
          <w:rFonts w:ascii="Times New Roman" w:hAnsi="Times New Roman" w:cs="Times New Roman"/>
        </w:rPr>
        <w:t>62% of households ate only two meals daily.</w:t>
      </w:r>
    </w:p>
    <w:p w14:paraId="27E06069" w14:textId="77777777" w:rsidR="00030E40" w:rsidRPr="00030E40" w:rsidRDefault="00030E40" w:rsidP="00FC01EA">
      <w:pPr>
        <w:spacing w:line="360" w:lineRule="auto"/>
        <w:jc w:val="both"/>
        <w:rPr>
          <w:rFonts w:ascii="Times New Roman" w:hAnsi="Times New Roman" w:cs="Times New Roman"/>
        </w:rPr>
      </w:pPr>
      <w:r w:rsidRPr="00030E40">
        <w:rPr>
          <w:rFonts w:ascii="Times New Roman" w:hAnsi="Times New Roman" w:cs="Times New Roman"/>
        </w:rPr>
        <w:t>Community understanding of nutritional status was poor, likely due to its subclinical nature.</w:t>
      </w:r>
    </w:p>
    <w:p w14:paraId="65DF54DD" w14:textId="77777777" w:rsidR="00030E40" w:rsidRPr="00030E40" w:rsidRDefault="00030E40" w:rsidP="00FC01EA">
      <w:pPr>
        <w:spacing w:line="360" w:lineRule="auto"/>
        <w:jc w:val="both"/>
        <w:rPr>
          <w:rFonts w:ascii="Times New Roman" w:hAnsi="Times New Roman" w:cs="Times New Roman"/>
        </w:rPr>
      </w:pPr>
      <w:r w:rsidRPr="00030E40">
        <w:rPr>
          <w:rFonts w:ascii="Times New Roman" w:hAnsi="Times New Roman" w:cs="Times New Roman"/>
        </w:rPr>
        <w:t>Iron Supplement Awareness: 19 of 20 households receiving iron tablets during pregnancy didn't know their purpose (though women noted receiving blood transfusions indicated weakness).</w:t>
      </w:r>
    </w:p>
    <w:p w14:paraId="43C78F61" w14:textId="77777777" w:rsidR="00030E40" w:rsidRPr="00030E40" w:rsidRDefault="00030E40" w:rsidP="00FC01EA">
      <w:pPr>
        <w:spacing w:line="360" w:lineRule="auto"/>
        <w:jc w:val="both"/>
        <w:rPr>
          <w:rFonts w:ascii="Times New Roman" w:hAnsi="Times New Roman" w:cs="Times New Roman"/>
        </w:rPr>
      </w:pPr>
      <w:r w:rsidRPr="00030E40">
        <w:rPr>
          <w:rFonts w:ascii="Times New Roman" w:hAnsi="Times New Roman" w:cs="Times New Roman"/>
        </w:rPr>
        <w:t>Micronutrient Knowledge: Only 4 households had heard of Vitamin A; just 18% recognized the importance of daily fruit/vegetable consumption.</w:t>
      </w:r>
    </w:p>
    <w:p w14:paraId="59D4680F" w14:textId="0843DBC7" w:rsidR="00030E40" w:rsidRPr="00030E40" w:rsidRDefault="00FC01EA" w:rsidP="00286A94">
      <w:pPr>
        <w:spacing w:line="360" w:lineRule="auto"/>
        <w:jc w:val="both"/>
        <w:rPr>
          <w:rFonts w:ascii="Times New Roman" w:hAnsi="Times New Roman" w:cs="Times New Roman"/>
        </w:rPr>
      </w:pPr>
      <w:r>
        <w:rPr>
          <w:rFonts w:ascii="Times New Roman" w:hAnsi="Times New Roman" w:cs="Times New Roman"/>
          <w:b/>
          <w:bCs/>
        </w:rPr>
        <w:t xml:space="preserve">4.4 </w:t>
      </w:r>
      <w:r w:rsidR="00030E40" w:rsidRPr="00030E40">
        <w:rPr>
          <w:rFonts w:ascii="Times New Roman" w:hAnsi="Times New Roman" w:cs="Times New Roman"/>
          <w:b/>
          <w:bCs/>
        </w:rPr>
        <w:t>Community Hunger Fighter (CHF) Selection Process</w:t>
      </w:r>
    </w:p>
    <w:p w14:paraId="44A8EFE6" w14:textId="77777777" w:rsidR="00030E40" w:rsidRPr="00030E40" w:rsidRDefault="00030E40" w:rsidP="00FC01EA">
      <w:pPr>
        <w:spacing w:line="360" w:lineRule="auto"/>
        <w:jc w:val="both"/>
        <w:rPr>
          <w:rFonts w:ascii="Times New Roman" w:hAnsi="Times New Roman" w:cs="Times New Roman"/>
        </w:rPr>
      </w:pPr>
      <w:r w:rsidRPr="00030E40">
        <w:rPr>
          <w:rFonts w:ascii="Times New Roman" w:hAnsi="Times New Roman" w:cs="Times New Roman"/>
          <w:b/>
          <w:bCs/>
        </w:rPr>
        <w:t>Participation:</w:t>
      </w:r>
      <w:r w:rsidRPr="00030E40">
        <w:rPr>
          <w:rFonts w:ascii="Times New Roman" w:hAnsi="Times New Roman" w:cs="Times New Roman"/>
        </w:rPr>
        <w:t> Household participation rates ranged from 60-89% in most villages (35% in four villages).</w:t>
      </w:r>
    </w:p>
    <w:p w14:paraId="20082C57" w14:textId="77777777" w:rsidR="00030E40" w:rsidRPr="00030E40" w:rsidRDefault="00030E40" w:rsidP="00FC01EA">
      <w:pPr>
        <w:spacing w:line="360" w:lineRule="auto"/>
        <w:jc w:val="both"/>
        <w:rPr>
          <w:rFonts w:ascii="Times New Roman" w:hAnsi="Times New Roman" w:cs="Times New Roman"/>
        </w:rPr>
      </w:pPr>
      <w:r w:rsidRPr="00030E40">
        <w:rPr>
          <w:rFonts w:ascii="Times New Roman" w:hAnsi="Times New Roman" w:cs="Times New Roman"/>
          <w:b/>
          <w:bCs/>
        </w:rPr>
        <w:t>Process:</w:t>
      </w:r>
      <w:r w:rsidRPr="00030E40">
        <w:rPr>
          <w:rFonts w:ascii="Times New Roman" w:hAnsi="Times New Roman" w:cs="Times New Roman"/>
        </w:rPr>
        <w:t xml:space="preserve"> Villagers sat in gender-segregated circles. Men selected male candidates based on communication skills and availability of replacement farm </w:t>
      </w:r>
      <w:proofErr w:type="spellStart"/>
      <w:r w:rsidRPr="00030E40">
        <w:rPr>
          <w:rFonts w:ascii="Times New Roman" w:hAnsi="Times New Roman" w:cs="Times New Roman"/>
        </w:rPr>
        <w:t>labor</w:t>
      </w:r>
      <w:proofErr w:type="spellEnd"/>
      <w:r w:rsidRPr="00030E40">
        <w:rPr>
          <w:rFonts w:ascii="Times New Roman" w:hAnsi="Times New Roman" w:cs="Times New Roman"/>
        </w:rPr>
        <w:t>. Both genders participated in selecting female candidates, generally choosing trusted individuals.</w:t>
      </w:r>
    </w:p>
    <w:p w14:paraId="035AB525" w14:textId="33B276BD" w:rsidR="00030E40" w:rsidRPr="00030E40" w:rsidRDefault="00030E40" w:rsidP="00FC01EA">
      <w:pPr>
        <w:spacing w:line="360" w:lineRule="auto"/>
        <w:jc w:val="both"/>
        <w:rPr>
          <w:rFonts w:ascii="Times New Roman" w:hAnsi="Times New Roman" w:cs="Times New Roman"/>
        </w:rPr>
      </w:pPr>
      <w:r w:rsidRPr="00030E40">
        <w:rPr>
          <w:rFonts w:ascii="Times New Roman" w:hAnsi="Times New Roman" w:cs="Times New Roman"/>
          <w:b/>
          <w:bCs/>
        </w:rPr>
        <w:lastRenderedPageBreak/>
        <w:t>Gender Barriers:</w:t>
      </w:r>
      <w:r w:rsidR="005270F3" w:rsidRPr="00286A94">
        <w:rPr>
          <w:rFonts w:ascii="Times New Roman" w:hAnsi="Times New Roman" w:cs="Times New Roman"/>
        </w:rPr>
        <w:t xml:space="preserve"> </w:t>
      </w:r>
      <w:proofErr w:type="spellStart"/>
      <w:r w:rsidRPr="00030E40">
        <w:rPr>
          <w:rFonts w:ascii="Times New Roman" w:hAnsi="Times New Roman" w:cs="Times New Roman"/>
        </w:rPr>
        <w:t>Borapuda</w:t>
      </w:r>
      <w:proofErr w:type="spellEnd"/>
      <w:r w:rsidRPr="00030E40">
        <w:rPr>
          <w:rFonts w:ascii="Times New Roman" w:hAnsi="Times New Roman" w:cs="Times New Roman"/>
        </w:rPr>
        <w:t xml:space="preserve"> village selected no women, deeming them "incapable of communicating."</w:t>
      </w:r>
      <w:r w:rsidR="005270F3" w:rsidRPr="00286A94">
        <w:rPr>
          <w:rFonts w:ascii="Times New Roman" w:hAnsi="Times New Roman" w:cs="Times New Roman"/>
        </w:rPr>
        <w:t xml:space="preserve"> </w:t>
      </w:r>
      <w:r w:rsidRPr="00030E40">
        <w:rPr>
          <w:rFonts w:ascii="Times New Roman" w:hAnsi="Times New Roman" w:cs="Times New Roman"/>
        </w:rPr>
        <w:t>Women expressed apprehension about leaving their villages for the first time.</w:t>
      </w:r>
      <w:r w:rsidR="005270F3" w:rsidRPr="00286A94">
        <w:rPr>
          <w:rFonts w:ascii="Times New Roman" w:hAnsi="Times New Roman" w:cs="Times New Roman"/>
        </w:rPr>
        <w:t xml:space="preserve"> </w:t>
      </w:r>
      <w:r w:rsidRPr="00030E40">
        <w:rPr>
          <w:rFonts w:ascii="Times New Roman" w:hAnsi="Times New Roman" w:cs="Times New Roman"/>
        </w:rPr>
        <w:t>Mothers with childcare responsibilities were often excluded.</w:t>
      </w:r>
    </w:p>
    <w:p w14:paraId="49E3F0A2" w14:textId="77777777" w:rsidR="00030E40" w:rsidRPr="00030E40" w:rsidRDefault="00030E40" w:rsidP="00286A94">
      <w:pPr>
        <w:spacing w:line="360" w:lineRule="auto"/>
        <w:jc w:val="both"/>
        <w:rPr>
          <w:rFonts w:ascii="Times New Roman" w:hAnsi="Times New Roman" w:cs="Times New Roman"/>
        </w:rPr>
      </w:pPr>
      <w:r w:rsidRPr="00030E40">
        <w:rPr>
          <w:rFonts w:ascii="Times New Roman" w:hAnsi="Times New Roman" w:cs="Times New Roman"/>
        </w:rPr>
        <w:t xml:space="preserve">Concerns arose about staying away from home for two nights; some women agreed only because a </w:t>
      </w:r>
      <w:proofErr w:type="spellStart"/>
      <w:r w:rsidRPr="00030E40">
        <w:rPr>
          <w:rFonts w:ascii="Times New Roman" w:hAnsi="Times New Roman" w:cs="Times New Roman"/>
        </w:rPr>
        <w:t>neighbor</w:t>
      </w:r>
      <w:proofErr w:type="spellEnd"/>
      <w:r w:rsidRPr="00030E40">
        <w:rPr>
          <w:rFonts w:ascii="Times New Roman" w:hAnsi="Times New Roman" w:cs="Times New Roman"/>
        </w:rPr>
        <w:t xml:space="preserve"> was also attending.</w:t>
      </w:r>
    </w:p>
    <w:p w14:paraId="6F410882" w14:textId="10FF54C3" w:rsidR="00430C6A" w:rsidRDefault="00030E40" w:rsidP="00286A94">
      <w:pPr>
        <w:spacing w:line="360" w:lineRule="auto"/>
        <w:jc w:val="both"/>
        <w:rPr>
          <w:rFonts w:ascii="Times New Roman" w:hAnsi="Times New Roman" w:cs="Times New Roman"/>
        </w:rPr>
      </w:pPr>
      <w:r w:rsidRPr="00030E40">
        <w:rPr>
          <w:rFonts w:ascii="Times New Roman" w:hAnsi="Times New Roman" w:cs="Times New Roman"/>
        </w:rPr>
        <w:t>Literacy influenced selection, with many CHFs in their early 20s chosen for their reading/writing skills. Selected individuals included Women's SHG leaders, a school committee president, youth leaders, and a caste leader</w:t>
      </w:r>
      <w:r w:rsidR="009D75C1">
        <w:rPr>
          <w:rFonts w:ascii="Times New Roman" w:hAnsi="Times New Roman" w:cs="Times New Roman"/>
        </w:rPr>
        <w:t xml:space="preserve"> as shown in Table 2.</w:t>
      </w:r>
    </w:p>
    <w:p w14:paraId="63E0967E" w14:textId="77777777" w:rsidR="00732A5B" w:rsidRDefault="00732A5B" w:rsidP="00286A94">
      <w:pPr>
        <w:spacing w:line="360" w:lineRule="auto"/>
        <w:jc w:val="both"/>
        <w:rPr>
          <w:rFonts w:ascii="Times New Roman" w:hAnsi="Times New Roman" w:cs="Times New Roman"/>
        </w:rPr>
      </w:pPr>
    </w:p>
    <w:p w14:paraId="4982963E" w14:textId="26C5FD74" w:rsidR="00430C6A" w:rsidRPr="00430C6A" w:rsidRDefault="00430C6A" w:rsidP="00430C6A">
      <w:pPr>
        <w:pStyle w:val="NoSpacing"/>
        <w:jc w:val="center"/>
        <w:rPr>
          <w:rFonts w:ascii="Times New Roman" w:hAnsi="Times New Roman" w:cs="Times New Roman"/>
          <w:b/>
          <w:bCs/>
        </w:rPr>
      </w:pPr>
      <w:r w:rsidRPr="00430C6A">
        <w:rPr>
          <w:rFonts w:ascii="Times New Roman" w:hAnsi="Times New Roman" w:cs="Times New Roman"/>
          <w:b/>
          <w:bCs/>
        </w:rPr>
        <w:t>Table 2: Profile Distribution of Community Hunger Fighters (CHFs)</w:t>
      </w:r>
    </w:p>
    <w:p w14:paraId="029FA395" w14:textId="5EA680C9" w:rsidR="009D75C1" w:rsidRPr="00430C6A" w:rsidRDefault="009D75C1" w:rsidP="00430C6A">
      <w:pPr>
        <w:pStyle w:val="NoSpacing"/>
        <w:jc w:val="center"/>
        <w:rPr>
          <w:rFonts w:ascii="Times New Roman" w:hAnsi="Times New Roman" w:cs="Times New Roman"/>
        </w:rPr>
      </w:pPr>
      <w:r w:rsidRPr="00430C6A">
        <w:rPr>
          <w:rFonts w:ascii="Times New Roman" w:hAnsi="Times New Roman" w:cs="Times New Roman"/>
          <w:noProof/>
        </w:rPr>
        <w:drawing>
          <wp:inline distT="0" distB="0" distL="0" distR="0" wp14:anchorId="34A79449" wp14:editId="630E39A5">
            <wp:extent cx="5806440" cy="576398"/>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51737" cy="580895"/>
                    </a:xfrm>
                    <a:prstGeom prst="rect">
                      <a:avLst/>
                    </a:prstGeom>
                  </pic:spPr>
                </pic:pic>
              </a:graphicData>
            </a:graphic>
          </wp:inline>
        </w:drawing>
      </w:r>
    </w:p>
    <w:p w14:paraId="4F3884DE" w14:textId="6706F9AA" w:rsidR="00430C6A" w:rsidRDefault="00430C6A" w:rsidP="00430C6A">
      <w:pPr>
        <w:pStyle w:val="NoSpacing"/>
        <w:jc w:val="center"/>
        <w:rPr>
          <w:rFonts w:ascii="Times New Roman" w:hAnsi="Times New Roman" w:cs="Times New Roman"/>
        </w:rPr>
      </w:pPr>
      <w:r w:rsidRPr="00430C6A">
        <w:rPr>
          <w:rFonts w:ascii="Times New Roman" w:hAnsi="Times New Roman" w:cs="Times New Roman"/>
        </w:rPr>
        <w:t>Source: Own Source</w:t>
      </w:r>
    </w:p>
    <w:p w14:paraId="3806A307" w14:textId="77777777" w:rsidR="00430C6A" w:rsidRDefault="00430C6A" w:rsidP="00430C6A">
      <w:pPr>
        <w:pStyle w:val="NoSpacing"/>
        <w:jc w:val="center"/>
        <w:rPr>
          <w:rFonts w:ascii="Times New Roman" w:hAnsi="Times New Roman" w:cs="Times New Roman"/>
        </w:rPr>
      </w:pPr>
    </w:p>
    <w:p w14:paraId="1A322698" w14:textId="77777777" w:rsidR="00430C6A" w:rsidRDefault="00430C6A" w:rsidP="00430C6A">
      <w:pPr>
        <w:pStyle w:val="NoSpacing"/>
        <w:jc w:val="center"/>
        <w:rPr>
          <w:rFonts w:ascii="Times New Roman" w:hAnsi="Times New Roman" w:cs="Times New Roman"/>
        </w:rPr>
      </w:pPr>
    </w:p>
    <w:p w14:paraId="532463CE" w14:textId="77777777" w:rsidR="00732A5B" w:rsidRPr="00430C6A" w:rsidRDefault="00732A5B" w:rsidP="00430C6A">
      <w:pPr>
        <w:pStyle w:val="NoSpacing"/>
        <w:jc w:val="center"/>
        <w:rPr>
          <w:rFonts w:ascii="Times New Roman" w:hAnsi="Times New Roman" w:cs="Times New Roman"/>
        </w:rPr>
      </w:pPr>
    </w:p>
    <w:p w14:paraId="440309A1" w14:textId="2ADFE3E9" w:rsidR="00DA0BE2" w:rsidRPr="00286A94" w:rsidRDefault="00CA2B0A" w:rsidP="00732A5B">
      <w:pPr>
        <w:spacing w:line="360" w:lineRule="auto"/>
        <w:jc w:val="both"/>
        <w:rPr>
          <w:rFonts w:ascii="Times New Roman" w:hAnsi="Times New Roman" w:cs="Times New Roman"/>
        </w:rPr>
      </w:pPr>
      <w:r w:rsidRPr="00286A94">
        <w:rPr>
          <w:rFonts w:ascii="Times New Roman" w:hAnsi="Times New Roman" w:cs="Times New Roman"/>
        </w:rPr>
        <w:t xml:space="preserve">Continuous dialogue fostered dynamic stakeholder exchanges, </w:t>
      </w:r>
      <w:proofErr w:type="spellStart"/>
      <w:r w:rsidRPr="00286A94">
        <w:rPr>
          <w:rFonts w:ascii="Times New Roman" w:hAnsi="Times New Roman" w:cs="Times New Roman"/>
        </w:rPr>
        <w:t>catalyzing</w:t>
      </w:r>
      <w:proofErr w:type="spellEnd"/>
      <w:r w:rsidRPr="00286A94">
        <w:rPr>
          <w:rFonts w:ascii="Times New Roman" w:hAnsi="Times New Roman" w:cs="Times New Roman"/>
        </w:rPr>
        <w:t xml:space="preserve"> community-wide discourse on household food and nutrition security. Classroom reflection exercises enabled Community Hunger Fighters (CHFs) to critically identify socio-cultural and political barriers to food security. A pivotal outcome was the evolution of perspectives on gender inequity. Sensitization regarding women’s nutritional vulnerability, disproportionate </w:t>
      </w:r>
      <w:proofErr w:type="spellStart"/>
      <w:r w:rsidRPr="00286A94">
        <w:rPr>
          <w:rFonts w:ascii="Times New Roman" w:hAnsi="Times New Roman" w:cs="Times New Roman"/>
        </w:rPr>
        <w:t>labor</w:t>
      </w:r>
      <w:proofErr w:type="spellEnd"/>
      <w:r w:rsidRPr="00286A94">
        <w:rPr>
          <w:rFonts w:ascii="Times New Roman" w:hAnsi="Times New Roman" w:cs="Times New Roman"/>
        </w:rPr>
        <w:t xml:space="preserve"> burdens, and restricted dietary agency prompted critical questioning of entrenched norms ("should it be so?"). Male CHFs explicitly acknowledged the need to address patriarchal structures, shaping the co-created community message on "supporting women."</w:t>
      </w:r>
    </w:p>
    <w:p w14:paraId="1E7E0CC2" w14:textId="3302D735" w:rsidR="00CA2B0A" w:rsidRPr="00286A94" w:rsidRDefault="00CA2B0A" w:rsidP="00286A94">
      <w:pPr>
        <w:spacing w:line="360" w:lineRule="auto"/>
        <w:jc w:val="both"/>
        <w:rPr>
          <w:rFonts w:ascii="Times New Roman" w:hAnsi="Times New Roman" w:cs="Times New Roman"/>
        </w:rPr>
      </w:pPr>
      <w:r w:rsidRPr="00286A94">
        <w:rPr>
          <w:rFonts w:ascii="Times New Roman" w:hAnsi="Times New Roman" w:cs="Times New Roman"/>
        </w:rPr>
        <w:t xml:space="preserve">This cognitive shift aligns with Mezirow’s (1997) theory of transformative learning, where critical reflection and evidential dialogue disrupt ingrained assumptions, fostering autonomous reasoning. Subsequent actions—such as male and female CHFs co-facilitating village meetings or leading SHG sessions—demonstrate this </w:t>
      </w:r>
      <w:proofErr w:type="spellStart"/>
      <w:r w:rsidRPr="00286A94">
        <w:rPr>
          <w:rFonts w:ascii="Times New Roman" w:hAnsi="Times New Roman" w:cs="Times New Roman"/>
        </w:rPr>
        <w:t>behavioral</w:t>
      </w:r>
      <w:proofErr w:type="spellEnd"/>
      <w:r w:rsidRPr="00286A94">
        <w:rPr>
          <w:rFonts w:ascii="Times New Roman" w:hAnsi="Times New Roman" w:cs="Times New Roman"/>
        </w:rPr>
        <w:t xml:space="preserve"> transformation. These findings validate the project’s premise that sensitizing men to female disempowerment is fundamental to challenging patriarchal systems. This corroborates Nichols' (2021) argument for male inclusion in participatory initiatives, particularly as women engaged more deeply with messages where they held agency.</w:t>
      </w:r>
    </w:p>
    <w:p w14:paraId="25347579" w14:textId="64BC26AC" w:rsidR="00FA3B0B" w:rsidRPr="00286A94" w:rsidRDefault="00CA2B0A" w:rsidP="00286A94">
      <w:pPr>
        <w:spacing w:line="360" w:lineRule="auto"/>
        <w:jc w:val="both"/>
        <w:rPr>
          <w:rFonts w:ascii="Times New Roman" w:hAnsi="Times New Roman" w:cs="Times New Roman"/>
        </w:rPr>
      </w:pPr>
      <w:r w:rsidRPr="00286A94">
        <w:rPr>
          <w:rFonts w:ascii="Times New Roman" w:hAnsi="Times New Roman" w:cs="Times New Roman"/>
        </w:rPr>
        <w:lastRenderedPageBreak/>
        <w:t xml:space="preserve">For women accustomed to self-sacrificing caregiving roles, experiencing communal concern was profoundly impactful. This resonates with </w:t>
      </w:r>
      <w:proofErr w:type="spellStart"/>
      <w:r w:rsidRPr="00286A94">
        <w:rPr>
          <w:rFonts w:ascii="Times New Roman" w:hAnsi="Times New Roman" w:cs="Times New Roman"/>
        </w:rPr>
        <w:t>Niehof’s</w:t>
      </w:r>
      <w:proofErr w:type="spellEnd"/>
      <w:r w:rsidRPr="00286A94">
        <w:rPr>
          <w:rFonts w:ascii="Times New Roman" w:hAnsi="Times New Roman" w:cs="Times New Roman"/>
        </w:rPr>
        <w:t xml:space="preserve"> (2019) analysis, which notes that "women’s hegemonic role in family food care and their relational definition as mothers often leads their nutritional needs to be viewed instrumentally, rather than as intrinsically important."</w:t>
      </w:r>
    </w:p>
    <w:p w14:paraId="0EFC6891" w14:textId="4B7595D2" w:rsidR="00CA2B0A" w:rsidRPr="00DA0BE2" w:rsidRDefault="00FC01EA" w:rsidP="00286A94">
      <w:pPr>
        <w:spacing w:line="360" w:lineRule="auto"/>
        <w:jc w:val="both"/>
        <w:rPr>
          <w:rFonts w:ascii="Times New Roman" w:hAnsi="Times New Roman" w:cs="Times New Roman"/>
          <w:b/>
          <w:bCs/>
        </w:rPr>
      </w:pPr>
      <w:r>
        <w:rPr>
          <w:rFonts w:ascii="Times New Roman" w:hAnsi="Times New Roman" w:cs="Times New Roman"/>
          <w:b/>
          <w:bCs/>
        </w:rPr>
        <w:t xml:space="preserve">5. </w:t>
      </w:r>
      <w:r w:rsidR="00CA2B0A" w:rsidRPr="00DA0BE2">
        <w:rPr>
          <w:rFonts w:ascii="Times New Roman" w:hAnsi="Times New Roman" w:cs="Times New Roman"/>
          <w:b/>
          <w:bCs/>
        </w:rPr>
        <w:t>Conclusion</w:t>
      </w:r>
    </w:p>
    <w:p w14:paraId="68D16CE4" w14:textId="6AA71608" w:rsidR="005270F3" w:rsidRPr="00286A94" w:rsidRDefault="005270F3" w:rsidP="00286A94">
      <w:pPr>
        <w:spacing w:line="360" w:lineRule="auto"/>
        <w:jc w:val="both"/>
        <w:rPr>
          <w:rFonts w:ascii="Times New Roman" w:hAnsi="Times New Roman" w:cs="Times New Roman"/>
        </w:rPr>
      </w:pPr>
      <w:r w:rsidRPr="00286A94">
        <w:rPr>
          <w:rFonts w:ascii="Times New Roman" w:hAnsi="Times New Roman" w:cs="Times New Roman"/>
        </w:rPr>
        <w:t>The efficacy of critical literacy and dialogic pedagogy in adult interventions fundamentally relies on fostering interpersonal relationships and direct engagement. These core components faced significant disruption during pandemic lockdowns, necessitating exploration of alternative engagement methods. Partial mitigation was achieved through small-group interactions and brief mobile phone consultations. Future implementation under similar constraints should investigate supplementary channels like community radio broadcasts and instructional video screenings for technical skill development. Participant demand for ongoing refresher training (noted among CHFs) underscores the need for sustained engagement. Consequently, structured collaboration between government departments and CHFs will be established to co-design frameworks for continuous community involvement, advancing the operationalization of hunger-free villages.</w:t>
      </w:r>
    </w:p>
    <w:p w14:paraId="6F18FF34" w14:textId="4D44F0A9" w:rsidR="00CA2B0A" w:rsidRPr="00CA2B0A" w:rsidRDefault="00CA2B0A" w:rsidP="00286A94">
      <w:pPr>
        <w:spacing w:line="360" w:lineRule="auto"/>
        <w:jc w:val="both"/>
        <w:rPr>
          <w:rFonts w:ascii="Times New Roman" w:hAnsi="Times New Roman" w:cs="Times New Roman"/>
        </w:rPr>
      </w:pPr>
      <w:r w:rsidRPr="00CA2B0A">
        <w:rPr>
          <w:rFonts w:ascii="Times New Roman" w:hAnsi="Times New Roman" w:cs="Times New Roman"/>
        </w:rPr>
        <w:t xml:space="preserve">Dialogue, employed as a core pedagogical strategy within critical nutrition literacy programmes, holds significant potential when grounded in participants' socio-cultural-political contexts. This approach empowers individuals to derive contextually relevant meanings and messages, potentially driving </w:t>
      </w:r>
      <w:proofErr w:type="spellStart"/>
      <w:r w:rsidRPr="00CA2B0A">
        <w:rPr>
          <w:rFonts w:ascii="Times New Roman" w:hAnsi="Times New Roman" w:cs="Times New Roman"/>
        </w:rPr>
        <w:t>behavioral</w:t>
      </w:r>
      <w:proofErr w:type="spellEnd"/>
      <w:r w:rsidRPr="00CA2B0A">
        <w:rPr>
          <w:rFonts w:ascii="Times New Roman" w:hAnsi="Times New Roman" w:cs="Times New Roman"/>
        </w:rPr>
        <w:t xml:space="preserve"> change. Creating a non-prescriptive, open learning environment enabled the co-construction of nutrition-sensitive agricultural knowledge, fostering shared learning that extended into the wider community.</w:t>
      </w:r>
    </w:p>
    <w:p w14:paraId="2D035BE3" w14:textId="77777777" w:rsidR="00CA2B0A" w:rsidRPr="00CA2B0A" w:rsidRDefault="00CA2B0A" w:rsidP="00286A94">
      <w:pPr>
        <w:spacing w:line="360" w:lineRule="auto"/>
        <w:jc w:val="both"/>
        <w:rPr>
          <w:rFonts w:ascii="Times New Roman" w:hAnsi="Times New Roman" w:cs="Times New Roman"/>
        </w:rPr>
      </w:pPr>
      <w:r w:rsidRPr="00CA2B0A">
        <w:rPr>
          <w:rFonts w:ascii="Times New Roman" w:hAnsi="Times New Roman" w:cs="Times New Roman"/>
        </w:rPr>
        <w:t>Critical reflection on daily food practices and production systems revealed patterns in food preferences, challenges in diversifying production, cultural erosion of traditional foods, and gender-based nutritional disparities.</w:t>
      </w:r>
    </w:p>
    <w:p w14:paraId="6E88B6F1" w14:textId="391AAB7B" w:rsidR="00FA3B0B" w:rsidRPr="00286A94" w:rsidRDefault="00CA2B0A" w:rsidP="00286A94">
      <w:pPr>
        <w:spacing w:line="360" w:lineRule="auto"/>
        <w:jc w:val="both"/>
        <w:rPr>
          <w:rFonts w:ascii="Times New Roman" w:hAnsi="Times New Roman" w:cs="Times New Roman"/>
        </w:rPr>
      </w:pPr>
      <w:r w:rsidRPr="00CA2B0A">
        <w:rPr>
          <w:rFonts w:ascii="Times New Roman" w:hAnsi="Times New Roman" w:cs="Times New Roman"/>
        </w:rPr>
        <w:t>Future initiatives should prioritize engaging mixed-gender groups, as dialogue between men and women effectively sensitizes men to gender disparities in agricultural roles and nutritional access. Implementing such programmes necessitates skilled facilitators experienced in adult critical literacy methodologies. Finally, long-term interventions are essential to rigorously assess the sustainability of these transformative approaches.</w:t>
      </w:r>
    </w:p>
    <w:p w14:paraId="5ECC71D4" w14:textId="77777777" w:rsidR="00286A94" w:rsidRDefault="00286A94" w:rsidP="00286A94">
      <w:pPr>
        <w:spacing w:line="360" w:lineRule="auto"/>
        <w:jc w:val="both"/>
        <w:rPr>
          <w:rFonts w:ascii="Times New Roman" w:hAnsi="Times New Roman" w:cs="Times New Roman"/>
          <w:b/>
          <w:bCs/>
        </w:rPr>
      </w:pPr>
    </w:p>
    <w:p w14:paraId="450D4F01" w14:textId="1806FAB3" w:rsidR="00FA3B0B" w:rsidRPr="00286A94" w:rsidRDefault="00FA3B0B" w:rsidP="00286A94">
      <w:pPr>
        <w:spacing w:line="360" w:lineRule="auto"/>
        <w:jc w:val="both"/>
        <w:rPr>
          <w:rFonts w:ascii="Times New Roman" w:hAnsi="Times New Roman" w:cs="Times New Roman"/>
          <w:b/>
          <w:bCs/>
        </w:rPr>
      </w:pPr>
      <w:r w:rsidRPr="00286A94">
        <w:rPr>
          <w:rFonts w:ascii="Times New Roman" w:hAnsi="Times New Roman" w:cs="Times New Roman"/>
          <w:b/>
          <w:bCs/>
        </w:rPr>
        <w:lastRenderedPageBreak/>
        <w:t>References</w:t>
      </w:r>
    </w:p>
    <w:p w14:paraId="0F1DED20" w14:textId="546735B5" w:rsidR="0052495C" w:rsidRPr="00286A94" w:rsidRDefault="0052495C"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t>Adelman, D., &amp; Sandiford, S. (2007). Reflections from the garden: Developing a critical literacy of food practices.</w:t>
      </w:r>
    </w:p>
    <w:p w14:paraId="33CDED43" w14:textId="15BB5EA4" w:rsidR="005270F3" w:rsidRPr="00286A94" w:rsidRDefault="005270F3" w:rsidP="00286A94">
      <w:pPr>
        <w:pStyle w:val="ListParagraph"/>
        <w:numPr>
          <w:ilvl w:val="0"/>
          <w:numId w:val="14"/>
        </w:numPr>
        <w:spacing w:line="360" w:lineRule="auto"/>
        <w:jc w:val="both"/>
        <w:rPr>
          <w:rFonts w:ascii="Times New Roman" w:hAnsi="Times New Roman" w:cs="Times New Roman"/>
        </w:rPr>
      </w:pPr>
      <w:proofErr w:type="spellStart"/>
      <w:r w:rsidRPr="00286A94">
        <w:rPr>
          <w:rFonts w:ascii="Times New Roman" w:hAnsi="Times New Roman" w:cs="Times New Roman"/>
        </w:rPr>
        <w:t>Batliwala</w:t>
      </w:r>
      <w:proofErr w:type="spellEnd"/>
      <w:r w:rsidRPr="00286A94">
        <w:rPr>
          <w:rFonts w:ascii="Times New Roman" w:hAnsi="Times New Roman" w:cs="Times New Roman"/>
        </w:rPr>
        <w:t>, S. (2007). Taking the power out of empowerment–an experiential account. </w:t>
      </w:r>
      <w:r w:rsidRPr="00286A94">
        <w:rPr>
          <w:rFonts w:ascii="Times New Roman" w:hAnsi="Times New Roman" w:cs="Times New Roman"/>
          <w:i/>
          <w:iCs/>
        </w:rPr>
        <w:t>Development in practice</w:t>
      </w:r>
      <w:r w:rsidRPr="00286A94">
        <w:rPr>
          <w:rFonts w:ascii="Times New Roman" w:hAnsi="Times New Roman" w:cs="Times New Roman"/>
        </w:rPr>
        <w:t>, </w:t>
      </w:r>
      <w:r w:rsidRPr="00286A94">
        <w:rPr>
          <w:rFonts w:ascii="Times New Roman" w:hAnsi="Times New Roman" w:cs="Times New Roman"/>
          <w:i/>
          <w:iCs/>
        </w:rPr>
        <w:t>17</w:t>
      </w:r>
      <w:r w:rsidRPr="00286A94">
        <w:rPr>
          <w:rFonts w:ascii="Times New Roman" w:hAnsi="Times New Roman" w:cs="Times New Roman"/>
        </w:rPr>
        <w:t>(4-5), 557-565.</w:t>
      </w:r>
    </w:p>
    <w:p w14:paraId="262B4AB7" w14:textId="6C157B09" w:rsidR="007F2E8B" w:rsidRPr="00286A94" w:rsidRDefault="007F2E8B"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t xml:space="preserve">Black, A. P., </w:t>
      </w:r>
      <w:proofErr w:type="spellStart"/>
      <w:r w:rsidRPr="00286A94">
        <w:rPr>
          <w:rFonts w:ascii="Times New Roman" w:hAnsi="Times New Roman" w:cs="Times New Roman"/>
        </w:rPr>
        <w:t>D’Onise</w:t>
      </w:r>
      <w:proofErr w:type="spellEnd"/>
      <w:r w:rsidRPr="00286A94">
        <w:rPr>
          <w:rFonts w:ascii="Times New Roman" w:hAnsi="Times New Roman" w:cs="Times New Roman"/>
        </w:rPr>
        <w:t>, K., McDermott, R., Vally, H., &amp; O’Dea, K. (2017). How effective are family-based and institutional nutrition interventions in improving children’s diet and health? A systematic review. </w:t>
      </w:r>
      <w:r w:rsidRPr="00286A94">
        <w:rPr>
          <w:rFonts w:ascii="Times New Roman" w:hAnsi="Times New Roman" w:cs="Times New Roman"/>
          <w:i/>
          <w:iCs/>
        </w:rPr>
        <w:t>BMC public health</w:t>
      </w:r>
      <w:r w:rsidRPr="00286A94">
        <w:rPr>
          <w:rFonts w:ascii="Times New Roman" w:hAnsi="Times New Roman" w:cs="Times New Roman"/>
        </w:rPr>
        <w:t>, </w:t>
      </w:r>
      <w:r w:rsidRPr="00286A94">
        <w:rPr>
          <w:rFonts w:ascii="Times New Roman" w:hAnsi="Times New Roman" w:cs="Times New Roman"/>
          <w:i/>
          <w:iCs/>
        </w:rPr>
        <w:t>17</w:t>
      </w:r>
      <w:r w:rsidRPr="00286A94">
        <w:rPr>
          <w:rFonts w:ascii="Times New Roman" w:hAnsi="Times New Roman" w:cs="Times New Roman"/>
        </w:rPr>
        <w:t>, 1-19.</w:t>
      </w:r>
    </w:p>
    <w:p w14:paraId="4E67D226" w14:textId="041F0D3A" w:rsidR="00DE0AC6" w:rsidRPr="00286A94" w:rsidRDefault="00DE0AC6"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t>Bonatti, M., Borba, J., Löhr, K., Tremblay, C., &amp; Sieber, S. (2021). Social learning and Paulo Freire concepts for understanding food security cases in Brazil. </w:t>
      </w:r>
      <w:r w:rsidRPr="00286A94">
        <w:rPr>
          <w:rFonts w:ascii="Times New Roman" w:hAnsi="Times New Roman" w:cs="Times New Roman"/>
          <w:i/>
          <w:iCs/>
        </w:rPr>
        <w:t>Agriculture</w:t>
      </w:r>
      <w:r w:rsidRPr="00286A94">
        <w:rPr>
          <w:rFonts w:ascii="Times New Roman" w:hAnsi="Times New Roman" w:cs="Times New Roman"/>
        </w:rPr>
        <w:t>, </w:t>
      </w:r>
      <w:r w:rsidRPr="00286A94">
        <w:rPr>
          <w:rFonts w:ascii="Times New Roman" w:hAnsi="Times New Roman" w:cs="Times New Roman"/>
          <w:i/>
          <w:iCs/>
        </w:rPr>
        <w:t>11</w:t>
      </w:r>
      <w:r w:rsidRPr="00286A94">
        <w:rPr>
          <w:rFonts w:ascii="Times New Roman" w:hAnsi="Times New Roman" w:cs="Times New Roman"/>
        </w:rPr>
        <w:t>(9), 807.</w:t>
      </w:r>
    </w:p>
    <w:p w14:paraId="48E6BF91" w14:textId="21BA77FE" w:rsidR="0052495C" w:rsidRPr="00286A94" w:rsidRDefault="0052495C"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t>Brown, N. (2015). Facing Language, Funding, and Personnel Barriers? How Adult Education Principles and Practices Facilitate Nutrition Education for Low-Income Mexican American Audiences.</w:t>
      </w:r>
    </w:p>
    <w:p w14:paraId="685BFE7F" w14:textId="2E484928" w:rsidR="00FA3B0B" w:rsidRPr="00286A94" w:rsidRDefault="007F2E8B"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t>Bull, E. R., Dombrowski, S. U., McCleary, N., &amp; Johnston, M. (2014). Are interventions for low-income groups effective in changing healthy eating, physical activity and smoking behaviours? A systematic review and meta-analysis. </w:t>
      </w:r>
      <w:r w:rsidRPr="00286A94">
        <w:rPr>
          <w:rFonts w:ascii="Times New Roman" w:hAnsi="Times New Roman" w:cs="Times New Roman"/>
          <w:i/>
          <w:iCs/>
        </w:rPr>
        <w:t>BMJ open</w:t>
      </w:r>
      <w:r w:rsidRPr="00286A94">
        <w:rPr>
          <w:rFonts w:ascii="Times New Roman" w:hAnsi="Times New Roman" w:cs="Times New Roman"/>
        </w:rPr>
        <w:t>, </w:t>
      </w:r>
      <w:r w:rsidRPr="00286A94">
        <w:rPr>
          <w:rFonts w:ascii="Times New Roman" w:hAnsi="Times New Roman" w:cs="Times New Roman"/>
          <w:i/>
          <w:iCs/>
        </w:rPr>
        <w:t>4</w:t>
      </w:r>
      <w:r w:rsidRPr="00286A94">
        <w:rPr>
          <w:rFonts w:ascii="Times New Roman" w:hAnsi="Times New Roman" w:cs="Times New Roman"/>
        </w:rPr>
        <w:t>(11), e006046.</w:t>
      </w:r>
    </w:p>
    <w:p w14:paraId="62678B35" w14:textId="014E6711" w:rsidR="005270F3" w:rsidRPr="00286A94" w:rsidRDefault="005270F3"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t>Burke, L. A., &amp; Hutchins, H. M. (2007). Training transfer: An integrative literature review. </w:t>
      </w:r>
      <w:r w:rsidRPr="00286A94">
        <w:rPr>
          <w:rFonts w:ascii="Times New Roman" w:hAnsi="Times New Roman" w:cs="Times New Roman"/>
          <w:i/>
          <w:iCs/>
        </w:rPr>
        <w:t>Human resource development review</w:t>
      </w:r>
      <w:r w:rsidRPr="00286A94">
        <w:rPr>
          <w:rFonts w:ascii="Times New Roman" w:hAnsi="Times New Roman" w:cs="Times New Roman"/>
        </w:rPr>
        <w:t>, </w:t>
      </w:r>
      <w:r w:rsidRPr="00286A94">
        <w:rPr>
          <w:rFonts w:ascii="Times New Roman" w:hAnsi="Times New Roman" w:cs="Times New Roman"/>
          <w:i/>
          <w:iCs/>
        </w:rPr>
        <w:t>6</w:t>
      </w:r>
      <w:r w:rsidRPr="00286A94">
        <w:rPr>
          <w:rFonts w:ascii="Times New Roman" w:hAnsi="Times New Roman" w:cs="Times New Roman"/>
        </w:rPr>
        <w:t>(3), 263-296.</w:t>
      </w:r>
    </w:p>
    <w:p w14:paraId="680DCE72" w14:textId="76ECD26E" w:rsidR="00DE0AC6" w:rsidRPr="00286A94" w:rsidRDefault="00DE0AC6"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t xml:space="preserve">Cannon, G., &amp; </w:t>
      </w:r>
      <w:proofErr w:type="spellStart"/>
      <w:r w:rsidRPr="00286A94">
        <w:rPr>
          <w:rFonts w:ascii="Times New Roman" w:hAnsi="Times New Roman" w:cs="Times New Roman"/>
        </w:rPr>
        <w:t>Leitzmann</w:t>
      </w:r>
      <w:proofErr w:type="spellEnd"/>
      <w:r w:rsidRPr="00286A94">
        <w:rPr>
          <w:rFonts w:ascii="Times New Roman" w:hAnsi="Times New Roman" w:cs="Times New Roman"/>
        </w:rPr>
        <w:t>, C. (2006). The new nutrition science project. </w:t>
      </w:r>
      <w:r w:rsidRPr="00286A94">
        <w:rPr>
          <w:rFonts w:ascii="Times New Roman" w:hAnsi="Times New Roman" w:cs="Times New Roman"/>
          <w:i/>
          <w:iCs/>
        </w:rPr>
        <w:t>Scandinavian Journal of Food and Nutrition</w:t>
      </w:r>
      <w:r w:rsidRPr="00286A94">
        <w:rPr>
          <w:rFonts w:ascii="Times New Roman" w:hAnsi="Times New Roman" w:cs="Times New Roman"/>
        </w:rPr>
        <w:t>, </w:t>
      </w:r>
      <w:r w:rsidRPr="00286A94">
        <w:rPr>
          <w:rFonts w:ascii="Times New Roman" w:hAnsi="Times New Roman" w:cs="Times New Roman"/>
          <w:i/>
          <w:iCs/>
        </w:rPr>
        <w:t>50</w:t>
      </w:r>
      <w:r w:rsidRPr="00286A94">
        <w:rPr>
          <w:rFonts w:ascii="Times New Roman" w:hAnsi="Times New Roman" w:cs="Times New Roman"/>
        </w:rPr>
        <w:t>(1), 5-12.</w:t>
      </w:r>
    </w:p>
    <w:p w14:paraId="02F31313" w14:textId="09DB1FAA" w:rsidR="0052495C" w:rsidRPr="00286A94" w:rsidRDefault="0052495C"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t>Freire, P. (1994). Pedagogy of hope: Reliving pedagogy of the oppressed.</w:t>
      </w:r>
    </w:p>
    <w:p w14:paraId="2BA9A26C" w14:textId="28031B8F" w:rsidR="00DE0AC6" w:rsidRPr="00286A94" w:rsidRDefault="00DE0AC6"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t xml:space="preserve">Freire, P. (2000). Pedagogy of the oppressed (30th </w:t>
      </w:r>
      <w:proofErr w:type="spellStart"/>
      <w:r w:rsidRPr="00286A94">
        <w:rPr>
          <w:rFonts w:ascii="Times New Roman" w:hAnsi="Times New Roman" w:cs="Times New Roman"/>
        </w:rPr>
        <w:t>anniv</w:t>
      </w:r>
      <w:proofErr w:type="spellEnd"/>
      <w:r w:rsidRPr="00286A94">
        <w:rPr>
          <w:rFonts w:ascii="Times New Roman" w:hAnsi="Times New Roman" w:cs="Times New Roman"/>
        </w:rPr>
        <w:t>. ed.). </w:t>
      </w:r>
      <w:r w:rsidRPr="00286A94">
        <w:rPr>
          <w:rFonts w:ascii="Times New Roman" w:hAnsi="Times New Roman" w:cs="Times New Roman"/>
          <w:i/>
          <w:iCs/>
        </w:rPr>
        <w:t>New York: Continuum</w:t>
      </w:r>
      <w:r w:rsidRPr="00286A94">
        <w:rPr>
          <w:rFonts w:ascii="Times New Roman" w:hAnsi="Times New Roman" w:cs="Times New Roman"/>
        </w:rPr>
        <w:t>, </w:t>
      </w:r>
      <w:r w:rsidRPr="00286A94">
        <w:rPr>
          <w:rFonts w:ascii="Times New Roman" w:hAnsi="Times New Roman" w:cs="Times New Roman"/>
          <w:i/>
          <w:iCs/>
        </w:rPr>
        <w:t>35</w:t>
      </w:r>
      <w:r w:rsidRPr="00286A94">
        <w:rPr>
          <w:rFonts w:ascii="Times New Roman" w:hAnsi="Times New Roman" w:cs="Times New Roman"/>
        </w:rPr>
        <w:t>.</w:t>
      </w:r>
    </w:p>
    <w:p w14:paraId="38BDB03A" w14:textId="3FD38288" w:rsidR="0052495C" w:rsidRPr="00286A94" w:rsidRDefault="0052495C" w:rsidP="00286A94">
      <w:pPr>
        <w:pStyle w:val="ListParagraph"/>
        <w:numPr>
          <w:ilvl w:val="0"/>
          <w:numId w:val="14"/>
        </w:numPr>
        <w:spacing w:line="360" w:lineRule="auto"/>
        <w:jc w:val="both"/>
        <w:rPr>
          <w:rFonts w:ascii="Times New Roman" w:hAnsi="Times New Roman" w:cs="Times New Roman"/>
        </w:rPr>
      </w:pPr>
      <w:proofErr w:type="spellStart"/>
      <w:r w:rsidRPr="00286A94">
        <w:rPr>
          <w:rFonts w:ascii="Times New Roman" w:hAnsi="Times New Roman" w:cs="Times New Roman"/>
        </w:rPr>
        <w:t>Gavaravarapu</w:t>
      </w:r>
      <w:proofErr w:type="spellEnd"/>
      <w:r w:rsidRPr="00286A94">
        <w:rPr>
          <w:rFonts w:ascii="Times New Roman" w:hAnsi="Times New Roman" w:cs="Times New Roman"/>
        </w:rPr>
        <w:t>, S. M. (2019). Nutrition communication-Rhetoric &amp; reality. </w:t>
      </w:r>
      <w:r w:rsidRPr="00286A94">
        <w:rPr>
          <w:rFonts w:ascii="Times New Roman" w:hAnsi="Times New Roman" w:cs="Times New Roman"/>
          <w:i/>
          <w:iCs/>
        </w:rPr>
        <w:t>Indian Journal of Medical Research</w:t>
      </w:r>
      <w:r w:rsidRPr="00286A94">
        <w:rPr>
          <w:rFonts w:ascii="Times New Roman" w:hAnsi="Times New Roman" w:cs="Times New Roman"/>
        </w:rPr>
        <w:t>, </w:t>
      </w:r>
      <w:r w:rsidRPr="00286A94">
        <w:rPr>
          <w:rFonts w:ascii="Times New Roman" w:hAnsi="Times New Roman" w:cs="Times New Roman"/>
          <w:i/>
          <w:iCs/>
        </w:rPr>
        <w:t>149</w:t>
      </w:r>
      <w:r w:rsidRPr="00286A94">
        <w:rPr>
          <w:rFonts w:ascii="Times New Roman" w:hAnsi="Times New Roman" w:cs="Times New Roman"/>
        </w:rPr>
        <w:t>(3), 333-344.</w:t>
      </w:r>
    </w:p>
    <w:p w14:paraId="136235B6" w14:textId="3CAAFB2E" w:rsidR="005270F3" w:rsidRPr="00286A94" w:rsidRDefault="005270F3"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t>Hentschel, T., Heilman, M. E., &amp; Peus, C. V. (2019). The multiple dimensions of gender stereotypes: A current look at men’s and women’s characterizations of others and themselves. </w:t>
      </w:r>
      <w:r w:rsidRPr="00286A94">
        <w:rPr>
          <w:rFonts w:ascii="Times New Roman" w:hAnsi="Times New Roman" w:cs="Times New Roman"/>
          <w:i/>
          <w:iCs/>
        </w:rPr>
        <w:t>Frontiers in psychology</w:t>
      </w:r>
      <w:r w:rsidRPr="00286A94">
        <w:rPr>
          <w:rFonts w:ascii="Times New Roman" w:hAnsi="Times New Roman" w:cs="Times New Roman"/>
        </w:rPr>
        <w:t>, </w:t>
      </w:r>
      <w:r w:rsidRPr="00286A94">
        <w:rPr>
          <w:rFonts w:ascii="Times New Roman" w:hAnsi="Times New Roman" w:cs="Times New Roman"/>
          <w:i/>
          <w:iCs/>
        </w:rPr>
        <w:t>10</w:t>
      </w:r>
      <w:r w:rsidRPr="00286A94">
        <w:rPr>
          <w:rFonts w:ascii="Times New Roman" w:hAnsi="Times New Roman" w:cs="Times New Roman"/>
        </w:rPr>
        <w:t>, 11.</w:t>
      </w:r>
    </w:p>
    <w:p w14:paraId="7BBDB8FF" w14:textId="7777BEF0" w:rsidR="0052495C" w:rsidRPr="00286A94" w:rsidRDefault="0052495C"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t xml:space="preserve">Krause, C., </w:t>
      </w:r>
      <w:proofErr w:type="spellStart"/>
      <w:r w:rsidRPr="00286A94">
        <w:rPr>
          <w:rFonts w:ascii="Times New Roman" w:hAnsi="Times New Roman" w:cs="Times New Roman"/>
        </w:rPr>
        <w:t>Sommerhalder</w:t>
      </w:r>
      <w:proofErr w:type="spellEnd"/>
      <w:r w:rsidRPr="00286A94">
        <w:rPr>
          <w:rFonts w:ascii="Times New Roman" w:hAnsi="Times New Roman" w:cs="Times New Roman"/>
        </w:rPr>
        <w:t>, K., Beer-Borst, S., &amp; Abel, T. (2018). Just a subtle difference? Findings from a systematic review on definitions of nutrition literacy and food literacy. </w:t>
      </w:r>
      <w:r w:rsidRPr="00286A94">
        <w:rPr>
          <w:rFonts w:ascii="Times New Roman" w:hAnsi="Times New Roman" w:cs="Times New Roman"/>
          <w:i/>
          <w:iCs/>
        </w:rPr>
        <w:t>Health promotion international</w:t>
      </w:r>
      <w:r w:rsidRPr="00286A94">
        <w:rPr>
          <w:rFonts w:ascii="Times New Roman" w:hAnsi="Times New Roman" w:cs="Times New Roman"/>
        </w:rPr>
        <w:t>, </w:t>
      </w:r>
      <w:r w:rsidRPr="00286A94">
        <w:rPr>
          <w:rFonts w:ascii="Times New Roman" w:hAnsi="Times New Roman" w:cs="Times New Roman"/>
          <w:i/>
          <w:iCs/>
        </w:rPr>
        <w:t>33</w:t>
      </w:r>
      <w:r w:rsidRPr="00286A94">
        <w:rPr>
          <w:rFonts w:ascii="Times New Roman" w:hAnsi="Times New Roman" w:cs="Times New Roman"/>
        </w:rPr>
        <w:t>(3), 378-389.</w:t>
      </w:r>
    </w:p>
    <w:p w14:paraId="1BAEFF7C" w14:textId="4CD92763" w:rsidR="00DE0AC6" w:rsidRPr="00286A94" w:rsidRDefault="00DE0AC6"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lastRenderedPageBreak/>
        <w:t>Kumar, N., Raghunathan, K., Arrieta, A., Jilani, A., &amp; Pandey, S. (2021). The power of the collective empowers women: Evidence from self-help groups in India. </w:t>
      </w:r>
      <w:r w:rsidRPr="00286A94">
        <w:rPr>
          <w:rFonts w:ascii="Times New Roman" w:hAnsi="Times New Roman" w:cs="Times New Roman"/>
          <w:i/>
          <w:iCs/>
        </w:rPr>
        <w:t>World Development</w:t>
      </w:r>
      <w:r w:rsidRPr="00286A94">
        <w:rPr>
          <w:rFonts w:ascii="Times New Roman" w:hAnsi="Times New Roman" w:cs="Times New Roman"/>
        </w:rPr>
        <w:t>, </w:t>
      </w:r>
      <w:r w:rsidRPr="00286A94">
        <w:rPr>
          <w:rFonts w:ascii="Times New Roman" w:hAnsi="Times New Roman" w:cs="Times New Roman"/>
          <w:i/>
          <w:iCs/>
        </w:rPr>
        <w:t>146</w:t>
      </w:r>
      <w:r w:rsidRPr="00286A94">
        <w:rPr>
          <w:rFonts w:ascii="Times New Roman" w:hAnsi="Times New Roman" w:cs="Times New Roman"/>
        </w:rPr>
        <w:t>, 105579.</w:t>
      </w:r>
    </w:p>
    <w:p w14:paraId="0FD26703" w14:textId="0250001D" w:rsidR="005270F3" w:rsidRPr="00286A94" w:rsidRDefault="005270F3"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t>Lee, M. T., Hartsough, M., Borick, S., &amp; Gathagan, B. (2021). Open space, transformative education, and the pursuit of flourishing. </w:t>
      </w:r>
      <w:r w:rsidRPr="00286A94">
        <w:rPr>
          <w:rFonts w:ascii="Times New Roman" w:hAnsi="Times New Roman" w:cs="Times New Roman"/>
          <w:i/>
          <w:iCs/>
        </w:rPr>
        <w:t>Journal of Transformative Education</w:t>
      </w:r>
      <w:r w:rsidRPr="00286A94">
        <w:rPr>
          <w:rFonts w:ascii="Times New Roman" w:hAnsi="Times New Roman" w:cs="Times New Roman"/>
        </w:rPr>
        <w:t>, </w:t>
      </w:r>
      <w:r w:rsidRPr="00286A94">
        <w:rPr>
          <w:rFonts w:ascii="Times New Roman" w:hAnsi="Times New Roman" w:cs="Times New Roman"/>
          <w:i/>
          <w:iCs/>
        </w:rPr>
        <w:t>19</w:t>
      </w:r>
      <w:r w:rsidRPr="00286A94">
        <w:rPr>
          <w:rFonts w:ascii="Times New Roman" w:hAnsi="Times New Roman" w:cs="Times New Roman"/>
        </w:rPr>
        <w:t>(3), 198-217.</w:t>
      </w:r>
    </w:p>
    <w:p w14:paraId="30CE6CBA" w14:textId="578D0092" w:rsidR="00DE0AC6" w:rsidRPr="00286A94" w:rsidRDefault="00DE0AC6"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t xml:space="preserve">McKee, N., Becker‐Benton, A., &amp; </w:t>
      </w:r>
      <w:proofErr w:type="spellStart"/>
      <w:r w:rsidRPr="00286A94">
        <w:rPr>
          <w:rFonts w:ascii="Times New Roman" w:hAnsi="Times New Roman" w:cs="Times New Roman"/>
        </w:rPr>
        <w:t>Bockh</w:t>
      </w:r>
      <w:proofErr w:type="spellEnd"/>
      <w:r w:rsidRPr="00286A94">
        <w:rPr>
          <w:rFonts w:ascii="Times New Roman" w:hAnsi="Times New Roman" w:cs="Times New Roman"/>
        </w:rPr>
        <w:t xml:space="preserve">, E. (2014). Social and </w:t>
      </w:r>
      <w:proofErr w:type="spellStart"/>
      <w:r w:rsidRPr="00286A94">
        <w:rPr>
          <w:rFonts w:ascii="Times New Roman" w:hAnsi="Times New Roman" w:cs="Times New Roman"/>
        </w:rPr>
        <w:t>behavior</w:t>
      </w:r>
      <w:proofErr w:type="spellEnd"/>
      <w:r w:rsidRPr="00286A94">
        <w:rPr>
          <w:rFonts w:ascii="Times New Roman" w:hAnsi="Times New Roman" w:cs="Times New Roman"/>
        </w:rPr>
        <w:t xml:space="preserve"> change communication. </w:t>
      </w:r>
      <w:r w:rsidRPr="00286A94">
        <w:rPr>
          <w:rFonts w:ascii="Times New Roman" w:hAnsi="Times New Roman" w:cs="Times New Roman"/>
          <w:i/>
          <w:iCs/>
        </w:rPr>
        <w:t>The handbook of development communication and social change</w:t>
      </w:r>
      <w:r w:rsidRPr="00286A94">
        <w:rPr>
          <w:rFonts w:ascii="Times New Roman" w:hAnsi="Times New Roman" w:cs="Times New Roman"/>
        </w:rPr>
        <w:t>, 278-297.</w:t>
      </w:r>
    </w:p>
    <w:p w14:paraId="0B578E5D" w14:textId="763952F8" w:rsidR="00DE0AC6" w:rsidRPr="00286A94" w:rsidRDefault="00DE0AC6"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t>Mezirow, J. (1997). Transformative learning: Theory to practice. </w:t>
      </w:r>
      <w:r w:rsidRPr="00286A94">
        <w:rPr>
          <w:rFonts w:ascii="Times New Roman" w:hAnsi="Times New Roman" w:cs="Times New Roman"/>
          <w:i/>
          <w:iCs/>
        </w:rPr>
        <w:t>New directions for adult and continuing education</w:t>
      </w:r>
      <w:r w:rsidRPr="00286A94">
        <w:rPr>
          <w:rFonts w:ascii="Times New Roman" w:hAnsi="Times New Roman" w:cs="Times New Roman"/>
        </w:rPr>
        <w:t>, </w:t>
      </w:r>
      <w:r w:rsidRPr="00286A94">
        <w:rPr>
          <w:rFonts w:ascii="Times New Roman" w:hAnsi="Times New Roman" w:cs="Times New Roman"/>
          <w:i/>
          <w:iCs/>
        </w:rPr>
        <w:t>1997</w:t>
      </w:r>
      <w:r w:rsidRPr="00286A94">
        <w:rPr>
          <w:rFonts w:ascii="Times New Roman" w:hAnsi="Times New Roman" w:cs="Times New Roman"/>
        </w:rPr>
        <w:t>(74), 5-12.</w:t>
      </w:r>
    </w:p>
    <w:p w14:paraId="5ECDAD24" w14:textId="6DD189FB" w:rsidR="00DE0AC6" w:rsidRPr="00286A94" w:rsidRDefault="00DE0AC6"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t>Nagarajan, S., Bhavani, R. V., &amp; Swaminathan, M. S. (2014). Operationalizing the concept of farming system for nutrition through the promotion of nutrition-sensitive agriculture. </w:t>
      </w:r>
      <w:r w:rsidRPr="00286A94">
        <w:rPr>
          <w:rFonts w:ascii="Times New Roman" w:hAnsi="Times New Roman" w:cs="Times New Roman"/>
          <w:i/>
          <w:iCs/>
        </w:rPr>
        <w:t>Current Science</w:t>
      </w:r>
      <w:r w:rsidRPr="00286A94">
        <w:rPr>
          <w:rFonts w:ascii="Times New Roman" w:hAnsi="Times New Roman" w:cs="Times New Roman"/>
        </w:rPr>
        <w:t>, 959-964.</w:t>
      </w:r>
    </w:p>
    <w:p w14:paraId="38911557" w14:textId="481C0D9C" w:rsidR="0052495C" w:rsidRPr="00286A94" w:rsidRDefault="0052495C"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t>Naiditch, F. (2010). </w:t>
      </w:r>
      <w:r w:rsidRPr="00286A94">
        <w:rPr>
          <w:rFonts w:ascii="Times New Roman" w:hAnsi="Times New Roman" w:cs="Times New Roman"/>
          <w:i/>
          <w:iCs/>
        </w:rPr>
        <w:t>Critical Pedagogy and Teaching Reading for Social Action. Critical Questions in Education, 1 (2), 94-107</w:t>
      </w:r>
      <w:r w:rsidRPr="00286A94">
        <w:rPr>
          <w:rFonts w:ascii="Times New Roman" w:hAnsi="Times New Roman" w:cs="Times New Roman"/>
        </w:rPr>
        <w:t>.</w:t>
      </w:r>
    </w:p>
    <w:p w14:paraId="1C148712" w14:textId="591E2FD0" w:rsidR="00DE0AC6" w:rsidRPr="00286A94" w:rsidRDefault="00DE0AC6"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t xml:space="preserve">Nancy, S., &amp; Dongre, A. R. (2021). </w:t>
      </w:r>
      <w:proofErr w:type="spellStart"/>
      <w:r w:rsidRPr="00286A94">
        <w:rPr>
          <w:rFonts w:ascii="Times New Roman" w:hAnsi="Times New Roman" w:cs="Times New Roman"/>
        </w:rPr>
        <w:t>Behavior</w:t>
      </w:r>
      <w:proofErr w:type="spellEnd"/>
      <w:r w:rsidRPr="00286A94">
        <w:rPr>
          <w:rFonts w:ascii="Times New Roman" w:hAnsi="Times New Roman" w:cs="Times New Roman"/>
        </w:rPr>
        <w:t xml:space="preserve"> change communication: past, present, and future. </w:t>
      </w:r>
      <w:r w:rsidRPr="00286A94">
        <w:rPr>
          <w:rFonts w:ascii="Times New Roman" w:hAnsi="Times New Roman" w:cs="Times New Roman"/>
          <w:i/>
          <w:iCs/>
        </w:rPr>
        <w:t>Indian Journal of Community Medicine</w:t>
      </w:r>
      <w:r w:rsidRPr="00286A94">
        <w:rPr>
          <w:rFonts w:ascii="Times New Roman" w:hAnsi="Times New Roman" w:cs="Times New Roman"/>
        </w:rPr>
        <w:t>, </w:t>
      </w:r>
      <w:r w:rsidRPr="00286A94">
        <w:rPr>
          <w:rFonts w:ascii="Times New Roman" w:hAnsi="Times New Roman" w:cs="Times New Roman"/>
          <w:i/>
          <w:iCs/>
        </w:rPr>
        <w:t>46</w:t>
      </w:r>
      <w:r w:rsidRPr="00286A94">
        <w:rPr>
          <w:rFonts w:ascii="Times New Roman" w:hAnsi="Times New Roman" w:cs="Times New Roman"/>
        </w:rPr>
        <w:t>(2), 186-190.</w:t>
      </w:r>
    </w:p>
    <w:p w14:paraId="114687B7" w14:textId="68EC68EE" w:rsidR="0052495C" w:rsidRPr="00286A94" w:rsidRDefault="0052495C"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t>Narayanan, R., &amp; Rao, N. (2020). Adult learning for nutrition security: Challenging dominant values through participatory action research in Eastern India. In </w:t>
      </w:r>
      <w:r w:rsidRPr="00286A94">
        <w:rPr>
          <w:rFonts w:ascii="Times New Roman" w:hAnsi="Times New Roman" w:cs="Times New Roman"/>
          <w:i/>
          <w:iCs/>
        </w:rPr>
        <w:t>Indigenous Women and Adult Learning</w:t>
      </w:r>
      <w:r w:rsidRPr="00286A94">
        <w:rPr>
          <w:rFonts w:ascii="Times New Roman" w:hAnsi="Times New Roman" w:cs="Times New Roman"/>
        </w:rPr>
        <w:t> (pp. 63-81). Routledge.</w:t>
      </w:r>
    </w:p>
    <w:p w14:paraId="4D423449" w14:textId="2CA9F39D" w:rsidR="0052495C" w:rsidRPr="00286A94" w:rsidRDefault="0052495C"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t>Narayanan, R., Panda, A. K., Nithya, D. J., &amp; Bhavani, R. V. (2022). Dialogue as a tool of nutrition literacy in an agricultural intervention programme in Odisha, India. </w:t>
      </w:r>
      <w:r w:rsidRPr="00286A94">
        <w:rPr>
          <w:rFonts w:ascii="Times New Roman" w:hAnsi="Times New Roman" w:cs="Times New Roman"/>
          <w:i/>
          <w:iCs/>
        </w:rPr>
        <w:t>CABI agriculture and bioscience</w:t>
      </w:r>
      <w:r w:rsidRPr="00286A94">
        <w:rPr>
          <w:rFonts w:ascii="Times New Roman" w:hAnsi="Times New Roman" w:cs="Times New Roman"/>
        </w:rPr>
        <w:t>, </w:t>
      </w:r>
      <w:r w:rsidRPr="00286A94">
        <w:rPr>
          <w:rFonts w:ascii="Times New Roman" w:hAnsi="Times New Roman" w:cs="Times New Roman"/>
          <w:i/>
          <w:iCs/>
        </w:rPr>
        <w:t>3</w:t>
      </w:r>
      <w:r w:rsidRPr="00286A94">
        <w:rPr>
          <w:rFonts w:ascii="Times New Roman" w:hAnsi="Times New Roman" w:cs="Times New Roman"/>
        </w:rPr>
        <w:t>(1), 28.</w:t>
      </w:r>
    </w:p>
    <w:p w14:paraId="72EAC765" w14:textId="606C4290" w:rsidR="00DE0AC6" w:rsidRPr="00286A94" w:rsidRDefault="00DE0AC6"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t xml:space="preserve">Nichols, C. E. (2021). Spaces for women: Rethinking </w:t>
      </w:r>
      <w:proofErr w:type="spellStart"/>
      <w:r w:rsidRPr="00286A94">
        <w:rPr>
          <w:rFonts w:ascii="Times New Roman" w:hAnsi="Times New Roman" w:cs="Times New Roman"/>
        </w:rPr>
        <w:t>behavior</w:t>
      </w:r>
      <w:proofErr w:type="spellEnd"/>
      <w:r w:rsidRPr="00286A94">
        <w:rPr>
          <w:rFonts w:ascii="Times New Roman" w:hAnsi="Times New Roman" w:cs="Times New Roman"/>
        </w:rPr>
        <w:t xml:space="preserve"> change communication in the context of women's groups and nutrition-sensitive agriculture. </w:t>
      </w:r>
      <w:r w:rsidRPr="00286A94">
        <w:rPr>
          <w:rFonts w:ascii="Times New Roman" w:hAnsi="Times New Roman" w:cs="Times New Roman"/>
          <w:i/>
          <w:iCs/>
        </w:rPr>
        <w:t>Social Science &amp; Medicine</w:t>
      </w:r>
      <w:r w:rsidRPr="00286A94">
        <w:rPr>
          <w:rFonts w:ascii="Times New Roman" w:hAnsi="Times New Roman" w:cs="Times New Roman"/>
        </w:rPr>
        <w:t>, </w:t>
      </w:r>
      <w:r w:rsidRPr="00286A94">
        <w:rPr>
          <w:rFonts w:ascii="Times New Roman" w:hAnsi="Times New Roman" w:cs="Times New Roman"/>
          <w:i/>
          <w:iCs/>
        </w:rPr>
        <w:t>285</w:t>
      </w:r>
      <w:r w:rsidRPr="00286A94">
        <w:rPr>
          <w:rFonts w:ascii="Times New Roman" w:hAnsi="Times New Roman" w:cs="Times New Roman"/>
        </w:rPr>
        <w:t>, 114282.</w:t>
      </w:r>
    </w:p>
    <w:p w14:paraId="50D48009" w14:textId="2A1B06EF" w:rsidR="00DE0AC6" w:rsidRPr="00286A94" w:rsidRDefault="00DE0AC6" w:rsidP="00286A94">
      <w:pPr>
        <w:pStyle w:val="ListParagraph"/>
        <w:numPr>
          <w:ilvl w:val="0"/>
          <w:numId w:val="14"/>
        </w:numPr>
        <w:spacing w:line="360" w:lineRule="auto"/>
        <w:jc w:val="both"/>
        <w:rPr>
          <w:rFonts w:ascii="Times New Roman" w:hAnsi="Times New Roman" w:cs="Times New Roman"/>
        </w:rPr>
      </w:pPr>
      <w:proofErr w:type="spellStart"/>
      <w:r w:rsidRPr="00286A94">
        <w:rPr>
          <w:rFonts w:ascii="Times New Roman" w:hAnsi="Times New Roman" w:cs="Times New Roman"/>
        </w:rPr>
        <w:t>Niehof</w:t>
      </w:r>
      <w:proofErr w:type="spellEnd"/>
      <w:r w:rsidRPr="00286A94">
        <w:rPr>
          <w:rFonts w:ascii="Times New Roman" w:hAnsi="Times New Roman" w:cs="Times New Roman"/>
        </w:rPr>
        <w:t>, A. (2019). Gender and nutrition security. </w:t>
      </w:r>
      <w:r w:rsidRPr="00286A94">
        <w:rPr>
          <w:rFonts w:ascii="Times New Roman" w:hAnsi="Times New Roman" w:cs="Times New Roman"/>
          <w:i/>
          <w:iCs/>
        </w:rPr>
        <w:t>CABI Reviews</w:t>
      </w:r>
      <w:r w:rsidRPr="00286A94">
        <w:rPr>
          <w:rFonts w:ascii="Times New Roman" w:hAnsi="Times New Roman" w:cs="Times New Roman"/>
        </w:rPr>
        <w:t>, (2019), 1-10.</w:t>
      </w:r>
    </w:p>
    <w:p w14:paraId="2880D0EA" w14:textId="154C1461" w:rsidR="00FA3B0B" w:rsidRPr="00286A94" w:rsidRDefault="007F2E8B" w:rsidP="00286A94">
      <w:pPr>
        <w:pStyle w:val="ListParagraph"/>
        <w:numPr>
          <w:ilvl w:val="0"/>
          <w:numId w:val="14"/>
        </w:numPr>
        <w:spacing w:line="360" w:lineRule="auto"/>
        <w:jc w:val="both"/>
        <w:rPr>
          <w:rFonts w:ascii="Times New Roman" w:hAnsi="Times New Roman" w:cs="Times New Roman"/>
        </w:rPr>
      </w:pPr>
      <w:proofErr w:type="spellStart"/>
      <w:r w:rsidRPr="00286A94">
        <w:rPr>
          <w:rFonts w:ascii="Times New Roman" w:hAnsi="Times New Roman" w:cs="Times New Roman"/>
        </w:rPr>
        <w:t>Nutbeam</w:t>
      </w:r>
      <w:proofErr w:type="spellEnd"/>
      <w:r w:rsidRPr="00286A94">
        <w:rPr>
          <w:rFonts w:ascii="Times New Roman" w:hAnsi="Times New Roman" w:cs="Times New Roman"/>
        </w:rPr>
        <w:t>, D. (2000). Health literacy as a public health goal: a challenge for contemporary health education and communication strategies into the 21st century. </w:t>
      </w:r>
      <w:r w:rsidRPr="00286A94">
        <w:rPr>
          <w:rFonts w:ascii="Times New Roman" w:hAnsi="Times New Roman" w:cs="Times New Roman"/>
          <w:i/>
          <w:iCs/>
        </w:rPr>
        <w:t>Health promotion international</w:t>
      </w:r>
      <w:r w:rsidRPr="00286A94">
        <w:rPr>
          <w:rFonts w:ascii="Times New Roman" w:hAnsi="Times New Roman" w:cs="Times New Roman"/>
        </w:rPr>
        <w:t>, </w:t>
      </w:r>
      <w:r w:rsidRPr="00286A94">
        <w:rPr>
          <w:rFonts w:ascii="Times New Roman" w:hAnsi="Times New Roman" w:cs="Times New Roman"/>
          <w:i/>
          <w:iCs/>
        </w:rPr>
        <w:t>15</w:t>
      </w:r>
      <w:r w:rsidRPr="00286A94">
        <w:rPr>
          <w:rFonts w:ascii="Times New Roman" w:hAnsi="Times New Roman" w:cs="Times New Roman"/>
        </w:rPr>
        <w:t>(3), 259-267.</w:t>
      </w:r>
    </w:p>
    <w:p w14:paraId="26C5E082" w14:textId="3438F182" w:rsidR="00DE0AC6" w:rsidRPr="00286A94" w:rsidRDefault="00DE0AC6"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t>Oakley, P., &amp; Marsden, D. (1989). Approaches to participation in rural development.</w:t>
      </w:r>
    </w:p>
    <w:p w14:paraId="070E24D7" w14:textId="5D9A6D9A" w:rsidR="005270F3" w:rsidRPr="00286A94" w:rsidRDefault="005270F3" w:rsidP="00286A94">
      <w:pPr>
        <w:pStyle w:val="ListParagraph"/>
        <w:numPr>
          <w:ilvl w:val="0"/>
          <w:numId w:val="14"/>
        </w:numPr>
        <w:spacing w:line="360" w:lineRule="auto"/>
        <w:jc w:val="both"/>
        <w:rPr>
          <w:rFonts w:ascii="Times New Roman" w:hAnsi="Times New Roman" w:cs="Times New Roman"/>
        </w:rPr>
      </w:pPr>
      <w:proofErr w:type="spellStart"/>
      <w:r w:rsidRPr="00286A94">
        <w:rPr>
          <w:rFonts w:ascii="Times New Roman" w:hAnsi="Times New Roman" w:cs="Times New Roman"/>
        </w:rPr>
        <w:t>Roumell</w:t>
      </w:r>
      <w:proofErr w:type="spellEnd"/>
      <w:r w:rsidRPr="00286A94">
        <w:rPr>
          <w:rFonts w:ascii="Times New Roman" w:hAnsi="Times New Roman" w:cs="Times New Roman"/>
        </w:rPr>
        <w:t>, E. A. (2019). Priming adult learners for learning transfer: Beyond content and delivery. </w:t>
      </w:r>
      <w:r w:rsidRPr="00286A94">
        <w:rPr>
          <w:rFonts w:ascii="Times New Roman" w:hAnsi="Times New Roman" w:cs="Times New Roman"/>
          <w:i/>
          <w:iCs/>
        </w:rPr>
        <w:t>Adult Learning</w:t>
      </w:r>
      <w:r w:rsidRPr="00286A94">
        <w:rPr>
          <w:rFonts w:ascii="Times New Roman" w:hAnsi="Times New Roman" w:cs="Times New Roman"/>
        </w:rPr>
        <w:t>, </w:t>
      </w:r>
      <w:r w:rsidRPr="00286A94">
        <w:rPr>
          <w:rFonts w:ascii="Times New Roman" w:hAnsi="Times New Roman" w:cs="Times New Roman"/>
          <w:i/>
          <w:iCs/>
        </w:rPr>
        <w:t>30</w:t>
      </w:r>
      <w:r w:rsidRPr="00286A94">
        <w:rPr>
          <w:rFonts w:ascii="Times New Roman" w:hAnsi="Times New Roman" w:cs="Times New Roman"/>
        </w:rPr>
        <w:t>(1), 15-22.</w:t>
      </w:r>
    </w:p>
    <w:p w14:paraId="38A5A43D" w14:textId="41AEBD11" w:rsidR="00DE0AC6" w:rsidRPr="00286A94" w:rsidRDefault="00DE0AC6"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lastRenderedPageBreak/>
        <w:t>Saunders, S. G., Barrington, D. J., &amp; Sridharan, S. (2015). Redefining social marketing: beyond behavioural change. </w:t>
      </w:r>
      <w:r w:rsidRPr="00286A94">
        <w:rPr>
          <w:rFonts w:ascii="Times New Roman" w:hAnsi="Times New Roman" w:cs="Times New Roman"/>
          <w:i/>
          <w:iCs/>
        </w:rPr>
        <w:t>Journal of Social Marketing</w:t>
      </w:r>
      <w:r w:rsidRPr="00286A94">
        <w:rPr>
          <w:rFonts w:ascii="Times New Roman" w:hAnsi="Times New Roman" w:cs="Times New Roman"/>
        </w:rPr>
        <w:t>, </w:t>
      </w:r>
      <w:r w:rsidRPr="00286A94">
        <w:rPr>
          <w:rFonts w:ascii="Times New Roman" w:hAnsi="Times New Roman" w:cs="Times New Roman"/>
          <w:i/>
          <w:iCs/>
        </w:rPr>
        <w:t>5</w:t>
      </w:r>
      <w:r w:rsidRPr="00286A94">
        <w:rPr>
          <w:rFonts w:ascii="Times New Roman" w:hAnsi="Times New Roman" w:cs="Times New Roman"/>
        </w:rPr>
        <w:t>(2), 160-168.</w:t>
      </w:r>
    </w:p>
    <w:p w14:paraId="4832A950" w14:textId="0A3F7D6C" w:rsidR="007F2E8B" w:rsidRPr="00286A94" w:rsidRDefault="007F2E8B"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t>St Leger, L. (2001). Schools, health literacy and public health: possibilities and challenges. </w:t>
      </w:r>
      <w:r w:rsidRPr="00286A94">
        <w:rPr>
          <w:rFonts w:ascii="Times New Roman" w:hAnsi="Times New Roman" w:cs="Times New Roman"/>
          <w:i/>
          <w:iCs/>
        </w:rPr>
        <w:t>Health promotion international</w:t>
      </w:r>
      <w:r w:rsidRPr="00286A94">
        <w:rPr>
          <w:rFonts w:ascii="Times New Roman" w:hAnsi="Times New Roman" w:cs="Times New Roman"/>
        </w:rPr>
        <w:t>, </w:t>
      </w:r>
      <w:r w:rsidRPr="00286A94">
        <w:rPr>
          <w:rFonts w:ascii="Times New Roman" w:hAnsi="Times New Roman" w:cs="Times New Roman"/>
          <w:i/>
          <w:iCs/>
        </w:rPr>
        <w:t>16</w:t>
      </w:r>
      <w:r w:rsidRPr="00286A94">
        <w:rPr>
          <w:rFonts w:ascii="Times New Roman" w:hAnsi="Times New Roman" w:cs="Times New Roman"/>
        </w:rPr>
        <w:t>(2), 197-205.</w:t>
      </w:r>
    </w:p>
    <w:p w14:paraId="4D093CA3" w14:textId="32430EB5" w:rsidR="0052495C" w:rsidRDefault="0052495C"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t>Wallerstein, N., &amp; Bernstein, E. (1988). Empowerment education: Freire's ideas adapted to health education. </w:t>
      </w:r>
      <w:r w:rsidRPr="00286A94">
        <w:rPr>
          <w:rFonts w:ascii="Times New Roman" w:hAnsi="Times New Roman" w:cs="Times New Roman"/>
          <w:i/>
          <w:iCs/>
        </w:rPr>
        <w:t>Health education quarterly</w:t>
      </w:r>
      <w:r w:rsidRPr="00286A94">
        <w:rPr>
          <w:rFonts w:ascii="Times New Roman" w:hAnsi="Times New Roman" w:cs="Times New Roman"/>
        </w:rPr>
        <w:t>, </w:t>
      </w:r>
      <w:r w:rsidRPr="00286A94">
        <w:rPr>
          <w:rFonts w:ascii="Times New Roman" w:hAnsi="Times New Roman" w:cs="Times New Roman"/>
          <w:i/>
          <w:iCs/>
        </w:rPr>
        <w:t>15</w:t>
      </w:r>
      <w:r w:rsidRPr="00286A94">
        <w:rPr>
          <w:rFonts w:ascii="Times New Roman" w:hAnsi="Times New Roman" w:cs="Times New Roman"/>
        </w:rPr>
        <w:t>(4), 379-394.</w:t>
      </w:r>
    </w:p>
    <w:p w14:paraId="5D17578A" w14:textId="77777777" w:rsidR="009D75C1" w:rsidRDefault="009D75C1" w:rsidP="009D75C1">
      <w:pPr>
        <w:pStyle w:val="ListParagraph"/>
        <w:spacing w:line="360" w:lineRule="auto"/>
        <w:jc w:val="both"/>
        <w:rPr>
          <w:rFonts w:ascii="Times New Roman" w:hAnsi="Times New Roman" w:cs="Times New Roman"/>
        </w:rPr>
      </w:pPr>
    </w:p>
    <w:p w14:paraId="2BFE3BDF" w14:textId="77777777" w:rsidR="009D75C1" w:rsidRDefault="009D75C1" w:rsidP="009D75C1">
      <w:pPr>
        <w:pStyle w:val="ListParagraph"/>
        <w:spacing w:line="360" w:lineRule="auto"/>
        <w:jc w:val="both"/>
        <w:rPr>
          <w:rFonts w:ascii="Times New Roman" w:hAnsi="Times New Roman" w:cs="Times New Roman"/>
        </w:rPr>
      </w:pPr>
    </w:p>
    <w:sectPr w:rsidR="009D75C1">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A5114F" w14:textId="77777777" w:rsidR="00045F54" w:rsidRDefault="00045F54" w:rsidP="00A8770D">
      <w:pPr>
        <w:spacing w:after="0" w:line="240" w:lineRule="auto"/>
      </w:pPr>
      <w:r>
        <w:separator/>
      </w:r>
    </w:p>
  </w:endnote>
  <w:endnote w:type="continuationSeparator" w:id="0">
    <w:p w14:paraId="42380816" w14:textId="77777777" w:rsidR="00045F54" w:rsidRDefault="00045F54" w:rsidP="00A877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1BDFB" w14:textId="77777777" w:rsidR="00A8770D" w:rsidRDefault="00A877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73EDE" w14:textId="77777777" w:rsidR="00A8770D" w:rsidRDefault="00A877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26F13" w14:textId="77777777" w:rsidR="00A8770D" w:rsidRDefault="00A877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669072" w14:textId="77777777" w:rsidR="00045F54" w:rsidRDefault="00045F54" w:rsidP="00A8770D">
      <w:pPr>
        <w:spacing w:after="0" w:line="240" w:lineRule="auto"/>
      </w:pPr>
      <w:r>
        <w:separator/>
      </w:r>
    </w:p>
  </w:footnote>
  <w:footnote w:type="continuationSeparator" w:id="0">
    <w:p w14:paraId="659460E7" w14:textId="77777777" w:rsidR="00045F54" w:rsidRDefault="00045F54" w:rsidP="00A877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C8546" w14:textId="45153D23" w:rsidR="00A8770D" w:rsidRDefault="00A8770D">
    <w:pPr>
      <w:pStyle w:val="Header"/>
    </w:pPr>
    <w:r>
      <w:rPr>
        <w:noProof/>
      </w:rPr>
      <w:pict w14:anchorId="05E1DE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40254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64EBD" w14:textId="75CA4AA6" w:rsidR="00A8770D" w:rsidRDefault="00A8770D">
    <w:pPr>
      <w:pStyle w:val="Header"/>
    </w:pPr>
    <w:r>
      <w:rPr>
        <w:noProof/>
      </w:rPr>
      <w:pict w14:anchorId="10750E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40254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BD249" w14:textId="3B043FF1" w:rsidR="00A8770D" w:rsidRDefault="00A8770D">
    <w:pPr>
      <w:pStyle w:val="Header"/>
    </w:pPr>
    <w:r>
      <w:rPr>
        <w:noProof/>
      </w:rPr>
      <w:pict w14:anchorId="409BFB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40254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54359"/>
    <w:multiLevelType w:val="multilevel"/>
    <w:tmpl w:val="E452C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181D6D"/>
    <w:multiLevelType w:val="multilevel"/>
    <w:tmpl w:val="4FCA5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C95345"/>
    <w:multiLevelType w:val="multilevel"/>
    <w:tmpl w:val="7BC0E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2E4D16"/>
    <w:multiLevelType w:val="multilevel"/>
    <w:tmpl w:val="0EAA0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EE4C1D"/>
    <w:multiLevelType w:val="multilevel"/>
    <w:tmpl w:val="91BC6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0255F6"/>
    <w:multiLevelType w:val="multilevel"/>
    <w:tmpl w:val="F49CA1D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476D7077"/>
    <w:multiLevelType w:val="multilevel"/>
    <w:tmpl w:val="C1F67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C17608"/>
    <w:multiLevelType w:val="multilevel"/>
    <w:tmpl w:val="CE703C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9E177E"/>
    <w:multiLevelType w:val="multilevel"/>
    <w:tmpl w:val="F15E4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77B449B"/>
    <w:multiLevelType w:val="multilevel"/>
    <w:tmpl w:val="6C580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46172F"/>
    <w:multiLevelType w:val="multilevel"/>
    <w:tmpl w:val="4A7A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A766F2"/>
    <w:multiLevelType w:val="multilevel"/>
    <w:tmpl w:val="3654B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DBA4351"/>
    <w:multiLevelType w:val="multilevel"/>
    <w:tmpl w:val="9A7AB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09E26D3"/>
    <w:multiLevelType w:val="multilevel"/>
    <w:tmpl w:val="320A0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43017C3"/>
    <w:multiLevelType w:val="hybridMultilevel"/>
    <w:tmpl w:val="8AEE4A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13238950">
    <w:abstractNumId w:val="8"/>
  </w:num>
  <w:num w:numId="2" w16cid:durableId="1383169123">
    <w:abstractNumId w:val="12"/>
  </w:num>
  <w:num w:numId="3" w16cid:durableId="325477277">
    <w:abstractNumId w:val="13"/>
  </w:num>
  <w:num w:numId="4" w16cid:durableId="26369300">
    <w:abstractNumId w:val="9"/>
  </w:num>
  <w:num w:numId="5" w16cid:durableId="992490869">
    <w:abstractNumId w:val="2"/>
  </w:num>
  <w:num w:numId="6" w16cid:durableId="1325352780">
    <w:abstractNumId w:val="3"/>
  </w:num>
  <w:num w:numId="7" w16cid:durableId="96145296">
    <w:abstractNumId w:val="0"/>
  </w:num>
  <w:num w:numId="8" w16cid:durableId="140272596">
    <w:abstractNumId w:val="4"/>
  </w:num>
  <w:num w:numId="9" w16cid:durableId="280764571">
    <w:abstractNumId w:val="10"/>
  </w:num>
  <w:num w:numId="10" w16cid:durableId="901256264">
    <w:abstractNumId w:val="1"/>
  </w:num>
  <w:num w:numId="11" w16cid:durableId="1471437007">
    <w:abstractNumId w:val="6"/>
  </w:num>
  <w:num w:numId="12" w16cid:durableId="150028262">
    <w:abstractNumId w:val="7"/>
  </w:num>
  <w:num w:numId="13" w16cid:durableId="1660768049">
    <w:abstractNumId w:val="5"/>
  </w:num>
  <w:num w:numId="14" w16cid:durableId="571889966">
    <w:abstractNumId w:val="14"/>
  </w:num>
  <w:num w:numId="15" w16cid:durableId="6770007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9E4"/>
    <w:rsid w:val="00015289"/>
    <w:rsid w:val="00030E40"/>
    <w:rsid w:val="00045F54"/>
    <w:rsid w:val="000F69E4"/>
    <w:rsid w:val="00286A94"/>
    <w:rsid w:val="00312BFF"/>
    <w:rsid w:val="0037209A"/>
    <w:rsid w:val="00396EAC"/>
    <w:rsid w:val="003B51A2"/>
    <w:rsid w:val="00430C6A"/>
    <w:rsid w:val="004B581D"/>
    <w:rsid w:val="004E6AB0"/>
    <w:rsid w:val="0052495C"/>
    <w:rsid w:val="005270F3"/>
    <w:rsid w:val="00732A5B"/>
    <w:rsid w:val="007F2E8B"/>
    <w:rsid w:val="008B3ED2"/>
    <w:rsid w:val="00956CE3"/>
    <w:rsid w:val="00960710"/>
    <w:rsid w:val="009D75C1"/>
    <w:rsid w:val="00A7324C"/>
    <w:rsid w:val="00A73F3F"/>
    <w:rsid w:val="00A8770D"/>
    <w:rsid w:val="00B07987"/>
    <w:rsid w:val="00B30505"/>
    <w:rsid w:val="00CA2B0A"/>
    <w:rsid w:val="00D0070E"/>
    <w:rsid w:val="00DA0BE2"/>
    <w:rsid w:val="00DE0AC6"/>
    <w:rsid w:val="00F87982"/>
    <w:rsid w:val="00FA3B0B"/>
    <w:rsid w:val="00FC01E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B4E71"/>
  <w15:chartTrackingRefBased/>
  <w15:docId w15:val="{78FAFA9E-330C-4F18-9ED1-E0D5CD64E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69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F69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F69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69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69E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69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69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69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69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69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F69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F69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69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69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69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69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69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69E4"/>
    <w:rPr>
      <w:rFonts w:eastAsiaTheme="majorEastAsia" w:cstheme="majorBidi"/>
      <w:color w:val="272727" w:themeColor="text1" w:themeTint="D8"/>
    </w:rPr>
  </w:style>
  <w:style w:type="paragraph" w:styleId="Title">
    <w:name w:val="Title"/>
    <w:basedOn w:val="Normal"/>
    <w:next w:val="Normal"/>
    <w:link w:val="TitleChar"/>
    <w:uiPriority w:val="10"/>
    <w:qFormat/>
    <w:rsid w:val="000F69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69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69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69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69E4"/>
    <w:pPr>
      <w:spacing w:before="160"/>
      <w:jc w:val="center"/>
    </w:pPr>
    <w:rPr>
      <w:i/>
      <w:iCs/>
      <w:color w:val="404040" w:themeColor="text1" w:themeTint="BF"/>
    </w:rPr>
  </w:style>
  <w:style w:type="character" w:customStyle="1" w:styleId="QuoteChar">
    <w:name w:val="Quote Char"/>
    <w:basedOn w:val="DefaultParagraphFont"/>
    <w:link w:val="Quote"/>
    <w:uiPriority w:val="29"/>
    <w:rsid w:val="000F69E4"/>
    <w:rPr>
      <w:i/>
      <w:iCs/>
      <w:color w:val="404040" w:themeColor="text1" w:themeTint="BF"/>
    </w:rPr>
  </w:style>
  <w:style w:type="paragraph" w:styleId="ListParagraph">
    <w:name w:val="List Paragraph"/>
    <w:basedOn w:val="Normal"/>
    <w:uiPriority w:val="34"/>
    <w:qFormat/>
    <w:rsid w:val="000F69E4"/>
    <w:pPr>
      <w:ind w:left="720"/>
      <w:contextualSpacing/>
    </w:pPr>
  </w:style>
  <w:style w:type="character" w:styleId="IntenseEmphasis">
    <w:name w:val="Intense Emphasis"/>
    <w:basedOn w:val="DefaultParagraphFont"/>
    <w:uiPriority w:val="21"/>
    <w:qFormat/>
    <w:rsid w:val="000F69E4"/>
    <w:rPr>
      <w:i/>
      <w:iCs/>
      <w:color w:val="0F4761" w:themeColor="accent1" w:themeShade="BF"/>
    </w:rPr>
  </w:style>
  <w:style w:type="paragraph" w:styleId="IntenseQuote">
    <w:name w:val="Intense Quote"/>
    <w:basedOn w:val="Normal"/>
    <w:next w:val="Normal"/>
    <w:link w:val="IntenseQuoteChar"/>
    <w:uiPriority w:val="30"/>
    <w:qFormat/>
    <w:rsid w:val="000F69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69E4"/>
    <w:rPr>
      <w:i/>
      <w:iCs/>
      <w:color w:val="0F4761" w:themeColor="accent1" w:themeShade="BF"/>
    </w:rPr>
  </w:style>
  <w:style w:type="character" w:styleId="IntenseReference">
    <w:name w:val="Intense Reference"/>
    <w:basedOn w:val="DefaultParagraphFont"/>
    <w:uiPriority w:val="32"/>
    <w:qFormat/>
    <w:rsid w:val="000F69E4"/>
    <w:rPr>
      <w:b/>
      <w:bCs/>
      <w:smallCaps/>
      <w:color w:val="0F4761" w:themeColor="accent1" w:themeShade="BF"/>
      <w:spacing w:val="5"/>
    </w:rPr>
  </w:style>
  <w:style w:type="character" w:styleId="Hyperlink">
    <w:name w:val="Hyperlink"/>
    <w:basedOn w:val="DefaultParagraphFont"/>
    <w:uiPriority w:val="99"/>
    <w:unhideWhenUsed/>
    <w:rsid w:val="009D75C1"/>
    <w:rPr>
      <w:color w:val="467886" w:themeColor="hyperlink"/>
      <w:u w:val="single"/>
    </w:rPr>
  </w:style>
  <w:style w:type="character" w:styleId="UnresolvedMention">
    <w:name w:val="Unresolved Mention"/>
    <w:basedOn w:val="DefaultParagraphFont"/>
    <w:uiPriority w:val="99"/>
    <w:semiHidden/>
    <w:unhideWhenUsed/>
    <w:rsid w:val="009D75C1"/>
    <w:rPr>
      <w:color w:val="605E5C"/>
      <w:shd w:val="clear" w:color="auto" w:fill="E1DFDD"/>
    </w:rPr>
  </w:style>
  <w:style w:type="table" w:styleId="TableGridLight">
    <w:name w:val="Grid Table Light"/>
    <w:basedOn w:val="TableNormal"/>
    <w:uiPriority w:val="40"/>
    <w:rsid w:val="009D75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015289"/>
    <w:pPr>
      <w:spacing w:after="0" w:line="240" w:lineRule="auto"/>
    </w:pPr>
  </w:style>
  <w:style w:type="paragraph" w:styleId="Header">
    <w:name w:val="header"/>
    <w:basedOn w:val="Normal"/>
    <w:link w:val="HeaderChar"/>
    <w:uiPriority w:val="99"/>
    <w:unhideWhenUsed/>
    <w:rsid w:val="00A877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770D"/>
  </w:style>
  <w:style w:type="paragraph" w:styleId="Footer">
    <w:name w:val="footer"/>
    <w:basedOn w:val="Normal"/>
    <w:link w:val="FooterChar"/>
    <w:uiPriority w:val="99"/>
    <w:unhideWhenUsed/>
    <w:rsid w:val="00A877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77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78055">
      <w:bodyDiv w:val="1"/>
      <w:marLeft w:val="0"/>
      <w:marRight w:val="0"/>
      <w:marTop w:val="0"/>
      <w:marBottom w:val="0"/>
      <w:divBdr>
        <w:top w:val="none" w:sz="0" w:space="0" w:color="auto"/>
        <w:left w:val="none" w:sz="0" w:space="0" w:color="auto"/>
        <w:bottom w:val="none" w:sz="0" w:space="0" w:color="auto"/>
        <w:right w:val="none" w:sz="0" w:space="0" w:color="auto"/>
      </w:divBdr>
    </w:div>
    <w:div w:id="127630757">
      <w:bodyDiv w:val="1"/>
      <w:marLeft w:val="0"/>
      <w:marRight w:val="0"/>
      <w:marTop w:val="0"/>
      <w:marBottom w:val="0"/>
      <w:divBdr>
        <w:top w:val="none" w:sz="0" w:space="0" w:color="auto"/>
        <w:left w:val="none" w:sz="0" w:space="0" w:color="auto"/>
        <w:bottom w:val="none" w:sz="0" w:space="0" w:color="auto"/>
        <w:right w:val="none" w:sz="0" w:space="0" w:color="auto"/>
      </w:divBdr>
    </w:div>
    <w:div w:id="150366888">
      <w:bodyDiv w:val="1"/>
      <w:marLeft w:val="0"/>
      <w:marRight w:val="0"/>
      <w:marTop w:val="0"/>
      <w:marBottom w:val="0"/>
      <w:divBdr>
        <w:top w:val="none" w:sz="0" w:space="0" w:color="auto"/>
        <w:left w:val="none" w:sz="0" w:space="0" w:color="auto"/>
        <w:bottom w:val="none" w:sz="0" w:space="0" w:color="auto"/>
        <w:right w:val="none" w:sz="0" w:space="0" w:color="auto"/>
      </w:divBdr>
    </w:div>
    <w:div w:id="201597025">
      <w:bodyDiv w:val="1"/>
      <w:marLeft w:val="0"/>
      <w:marRight w:val="0"/>
      <w:marTop w:val="0"/>
      <w:marBottom w:val="0"/>
      <w:divBdr>
        <w:top w:val="none" w:sz="0" w:space="0" w:color="auto"/>
        <w:left w:val="none" w:sz="0" w:space="0" w:color="auto"/>
        <w:bottom w:val="none" w:sz="0" w:space="0" w:color="auto"/>
        <w:right w:val="none" w:sz="0" w:space="0" w:color="auto"/>
      </w:divBdr>
    </w:div>
    <w:div w:id="219557110">
      <w:bodyDiv w:val="1"/>
      <w:marLeft w:val="0"/>
      <w:marRight w:val="0"/>
      <w:marTop w:val="0"/>
      <w:marBottom w:val="0"/>
      <w:divBdr>
        <w:top w:val="none" w:sz="0" w:space="0" w:color="auto"/>
        <w:left w:val="none" w:sz="0" w:space="0" w:color="auto"/>
        <w:bottom w:val="none" w:sz="0" w:space="0" w:color="auto"/>
        <w:right w:val="none" w:sz="0" w:space="0" w:color="auto"/>
      </w:divBdr>
    </w:div>
    <w:div w:id="334067614">
      <w:bodyDiv w:val="1"/>
      <w:marLeft w:val="0"/>
      <w:marRight w:val="0"/>
      <w:marTop w:val="0"/>
      <w:marBottom w:val="0"/>
      <w:divBdr>
        <w:top w:val="none" w:sz="0" w:space="0" w:color="auto"/>
        <w:left w:val="none" w:sz="0" w:space="0" w:color="auto"/>
        <w:bottom w:val="none" w:sz="0" w:space="0" w:color="auto"/>
        <w:right w:val="none" w:sz="0" w:space="0" w:color="auto"/>
      </w:divBdr>
    </w:div>
    <w:div w:id="451093295">
      <w:bodyDiv w:val="1"/>
      <w:marLeft w:val="0"/>
      <w:marRight w:val="0"/>
      <w:marTop w:val="0"/>
      <w:marBottom w:val="0"/>
      <w:divBdr>
        <w:top w:val="none" w:sz="0" w:space="0" w:color="auto"/>
        <w:left w:val="none" w:sz="0" w:space="0" w:color="auto"/>
        <w:bottom w:val="none" w:sz="0" w:space="0" w:color="auto"/>
        <w:right w:val="none" w:sz="0" w:space="0" w:color="auto"/>
      </w:divBdr>
    </w:div>
    <w:div w:id="573319658">
      <w:bodyDiv w:val="1"/>
      <w:marLeft w:val="0"/>
      <w:marRight w:val="0"/>
      <w:marTop w:val="0"/>
      <w:marBottom w:val="0"/>
      <w:divBdr>
        <w:top w:val="none" w:sz="0" w:space="0" w:color="auto"/>
        <w:left w:val="none" w:sz="0" w:space="0" w:color="auto"/>
        <w:bottom w:val="none" w:sz="0" w:space="0" w:color="auto"/>
        <w:right w:val="none" w:sz="0" w:space="0" w:color="auto"/>
      </w:divBdr>
      <w:divsChild>
        <w:div w:id="409933336">
          <w:marLeft w:val="0"/>
          <w:marRight w:val="0"/>
          <w:marTop w:val="0"/>
          <w:marBottom w:val="360"/>
          <w:divBdr>
            <w:top w:val="none" w:sz="0" w:space="0" w:color="auto"/>
            <w:left w:val="none" w:sz="0" w:space="0" w:color="auto"/>
            <w:bottom w:val="none" w:sz="0" w:space="0" w:color="auto"/>
            <w:right w:val="none" w:sz="0" w:space="0" w:color="auto"/>
          </w:divBdr>
          <w:divsChild>
            <w:div w:id="1899248106">
              <w:marLeft w:val="0"/>
              <w:marRight w:val="0"/>
              <w:marTop w:val="0"/>
              <w:marBottom w:val="0"/>
              <w:divBdr>
                <w:top w:val="single" w:sz="6" w:space="0" w:color="D5D5D5"/>
                <w:left w:val="single" w:sz="6" w:space="0" w:color="D5D5D5"/>
                <w:bottom w:val="single" w:sz="6" w:space="0" w:color="D5D5D5"/>
                <w:right w:val="single" w:sz="6" w:space="0" w:color="D5D5D5"/>
              </w:divBdr>
              <w:divsChild>
                <w:div w:id="229849545">
                  <w:marLeft w:val="0"/>
                  <w:marRight w:val="0"/>
                  <w:marTop w:val="0"/>
                  <w:marBottom w:val="0"/>
                  <w:divBdr>
                    <w:top w:val="none" w:sz="0" w:space="0" w:color="auto"/>
                    <w:left w:val="none" w:sz="0" w:space="0" w:color="auto"/>
                    <w:bottom w:val="none" w:sz="0" w:space="0" w:color="auto"/>
                    <w:right w:val="none" w:sz="0" w:space="0" w:color="auto"/>
                  </w:divBdr>
                </w:div>
              </w:divsChild>
            </w:div>
            <w:div w:id="91948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830616">
      <w:bodyDiv w:val="1"/>
      <w:marLeft w:val="0"/>
      <w:marRight w:val="0"/>
      <w:marTop w:val="0"/>
      <w:marBottom w:val="0"/>
      <w:divBdr>
        <w:top w:val="none" w:sz="0" w:space="0" w:color="auto"/>
        <w:left w:val="none" w:sz="0" w:space="0" w:color="auto"/>
        <w:bottom w:val="none" w:sz="0" w:space="0" w:color="auto"/>
        <w:right w:val="none" w:sz="0" w:space="0" w:color="auto"/>
      </w:divBdr>
    </w:div>
    <w:div w:id="676006361">
      <w:bodyDiv w:val="1"/>
      <w:marLeft w:val="0"/>
      <w:marRight w:val="0"/>
      <w:marTop w:val="0"/>
      <w:marBottom w:val="0"/>
      <w:divBdr>
        <w:top w:val="none" w:sz="0" w:space="0" w:color="auto"/>
        <w:left w:val="none" w:sz="0" w:space="0" w:color="auto"/>
        <w:bottom w:val="none" w:sz="0" w:space="0" w:color="auto"/>
        <w:right w:val="none" w:sz="0" w:space="0" w:color="auto"/>
      </w:divBdr>
    </w:div>
    <w:div w:id="724262071">
      <w:bodyDiv w:val="1"/>
      <w:marLeft w:val="0"/>
      <w:marRight w:val="0"/>
      <w:marTop w:val="0"/>
      <w:marBottom w:val="0"/>
      <w:divBdr>
        <w:top w:val="none" w:sz="0" w:space="0" w:color="auto"/>
        <w:left w:val="none" w:sz="0" w:space="0" w:color="auto"/>
        <w:bottom w:val="none" w:sz="0" w:space="0" w:color="auto"/>
        <w:right w:val="none" w:sz="0" w:space="0" w:color="auto"/>
      </w:divBdr>
    </w:div>
    <w:div w:id="726488548">
      <w:bodyDiv w:val="1"/>
      <w:marLeft w:val="0"/>
      <w:marRight w:val="0"/>
      <w:marTop w:val="0"/>
      <w:marBottom w:val="0"/>
      <w:divBdr>
        <w:top w:val="none" w:sz="0" w:space="0" w:color="auto"/>
        <w:left w:val="none" w:sz="0" w:space="0" w:color="auto"/>
        <w:bottom w:val="none" w:sz="0" w:space="0" w:color="auto"/>
        <w:right w:val="none" w:sz="0" w:space="0" w:color="auto"/>
      </w:divBdr>
    </w:div>
    <w:div w:id="781804922">
      <w:bodyDiv w:val="1"/>
      <w:marLeft w:val="0"/>
      <w:marRight w:val="0"/>
      <w:marTop w:val="0"/>
      <w:marBottom w:val="0"/>
      <w:divBdr>
        <w:top w:val="none" w:sz="0" w:space="0" w:color="auto"/>
        <w:left w:val="none" w:sz="0" w:space="0" w:color="auto"/>
        <w:bottom w:val="none" w:sz="0" w:space="0" w:color="auto"/>
        <w:right w:val="none" w:sz="0" w:space="0" w:color="auto"/>
      </w:divBdr>
    </w:div>
    <w:div w:id="900091429">
      <w:bodyDiv w:val="1"/>
      <w:marLeft w:val="0"/>
      <w:marRight w:val="0"/>
      <w:marTop w:val="0"/>
      <w:marBottom w:val="0"/>
      <w:divBdr>
        <w:top w:val="none" w:sz="0" w:space="0" w:color="auto"/>
        <w:left w:val="none" w:sz="0" w:space="0" w:color="auto"/>
        <w:bottom w:val="none" w:sz="0" w:space="0" w:color="auto"/>
        <w:right w:val="none" w:sz="0" w:space="0" w:color="auto"/>
      </w:divBdr>
    </w:div>
    <w:div w:id="1334066551">
      <w:bodyDiv w:val="1"/>
      <w:marLeft w:val="0"/>
      <w:marRight w:val="0"/>
      <w:marTop w:val="0"/>
      <w:marBottom w:val="0"/>
      <w:divBdr>
        <w:top w:val="none" w:sz="0" w:space="0" w:color="auto"/>
        <w:left w:val="none" w:sz="0" w:space="0" w:color="auto"/>
        <w:bottom w:val="none" w:sz="0" w:space="0" w:color="auto"/>
        <w:right w:val="none" w:sz="0" w:space="0" w:color="auto"/>
      </w:divBdr>
    </w:div>
    <w:div w:id="1391073846">
      <w:bodyDiv w:val="1"/>
      <w:marLeft w:val="0"/>
      <w:marRight w:val="0"/>
      <w:marTop w:val="0"/>
      <w:marBottom w:val="0"/>
      <w:divBdr>
        <w:top w:val="none" w:sz="0" w:space="0" w:color="auto"/>
        <w:left w:val="none" w:sz="0" w:space="0" w:color="auto"/>
        <w:bottom w:val="none" w:sz="0" w:space="0" w:color="auto"/>
        <w:right w:val="none" w:sz="0" w:space="0" w:color="auto"/>
      </w:divBdr>
      <w:divsChild>
        <w:div w:id="1831558189">
          <w:marLeft w:val="0"/>
          <w:marRight w:val="0"/>
          <w:marTop w:val="0"/>
          <w:marBottom w:val="360"/>
          <w:divBdr>
            <w:top w:val="none" w:sz="0" w:space="0" w:color="auto"/>
            <w:left w:val="none" w:sz="0" w:space="0" w:color="auto"/>
            <w:bottom w:val="none" w:sz="0" w:space="0" w:color="auto"/>
            <w:right w:val="none" w:sz="0" w:space="0" w:color="auto"/>
          </w:divBdr>
          <w:divsChild>
            <w:div w:id="102306003">
              <w:marLeft w:val="0"/>
              <w:marRight w:val="0"/>
              <w:marTop w:val="0"/>
              <w:marBottom w:val="0"/>
              <w:divBdr>
                <w:top w:val="single" w:sz="6" w:space="0" w:color="D5D5D5"/>
                <w:left w:val="single" w:sz="6" w:space="0" w:color="D5D5D5"/>
                <w:bottom w:val="single" w:sz="6" w:space="0" w:color="D5D5D5"/>
                <w:right w:val="single" w:sz="6" w:space="0" w:color="D5D5D5"/>
              </w:divBdr>
              <w:divsChild>
                <w:div w:id="1898665790">
                  <w:marLeft w:val="0"/>
                  <w:marRight w:val="0"/>
                  <w:marTop w:val="0"/>
                  <w:marBottom w:val="0"/>
                  <w:divBdr>
                    <w:top w:val="none" w:sz="0" w:space="0" w:color="auto"/>
                    <w:left w:val="none" w:sz="0" w:space="0" w:color="auto"/>
                    <w:bottom w:val="none" w:sz="0" w:space="0" w:color="auto"/>
                    <w:right w:val="none" w:sz="0" w:space="0" w:color="auto"/>
                  </w:divBdr>
                </w:div>
              </w:divsChild>
            </w:div>
            <w:div w:id="99375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27460">
      <w:bodyDiv w:val="1"/>
      <w:marLeft w:val="0"/>
      <w:marRight w:val="0"/>
      <w:marTop w:val="0"/>
      <w:marBottom w:val="0"/>
      <w:divBdr>
        <w:top w:val="none" w:sz="0" w:space="0" w:color="auto"/>
        <w:left w:val="none" w:sz="0" w:space="0" w:color="auto"/>
        <w:bottom w:val="none" w:sz="0" w:space="0" w:color="auto"/>
        <w:right w:val="none" w:sz="0" w:space="0" w:color="auto"/>
      </w:divBdr>
    </w:div>
    <w:div w:id="1759715334">
      <w:bodyDiv w:val="1"/>
      <w:marLeft w:val="0"/>
      <w:marRight w:val="0"/>
      <w:marTop w:val="0"/>
      <w:marBottom w:val="0"/>
      <w:divBdr>
        <w:top w:val="none" w:sz="0" w:space="0" w:color="auto"/>
        <w:left w:val="none" w:sz="0" w:space="0" w:color="auto"/>
        <w:bottom w:val="none" w:sz="0" w:space="0" w:color="auto"/>
        <w:right w:val="none" w:sz="0" w:space="0" w:color="auto"/>
      </w:divBdr>
    </w:div>
    <w:div w:id="1765690200">
      <w:bodyDiv w:val="1"/>
      <w:marLeft w:val="0"/>
      <w:marRight w:val="0"/>
      <w:marTop w:val="0"/>
      <w:marBottom w:val="0"/>
      <w:divBdr>
        <w:top w:val="none" w:sz="0" w:space="0" w:color="auto"/>
        <w:left w:val="none" w:sz="0" w:space="0" w:color="auto"/>
        <w:bottom w:val="none" w:sz="0" w:space="0" w:color="auto"/>
        <w:right w:val="none" w:sz="0" w:space="0" w:color="auto"/>
      </w:divBdr>
    </w:div>
    <w:div w:id="1901862537">
      <w:bodyDiv w:val="1"/>
      <w:marLeft w:val="0"/>
      <w:marRight w:val="0"/>
      <w:marTop w:val="0"/>
      <w:marBottom w:val="0"/>
      <w:divBdr>
        <w:top w:val="none" w:sz="0" w:space="0" w:color="auto"/>
        <w:left w:val="none" w:sz="0" w:space="0" w:color="auto"/>
        <w:bottom w:val="none" w:sz="0" w:space="0" w:color="auto"/>
        <w:right w:val="none" w:sz="0" w:space="0" w:color="auto"/>
      </w:divBdr>
    </w:div>
    <w:div w:id="2058701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163</TotalTime>
  <Pages>15</Pages>
  <Words>4369</Words>
  <Characters>24909</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Aurodeep Kamal</dc:creator>
  <cp:keywords/>
  <dc:description/>
  <cp:lastModifiedBy>Editor-22</cp:lastModifiedBy>
  <cp:revision>11</cp:revision>
  <dcterms:created xsi:type="dcterms:W3CDTF">2025-06-25T22:30:00Z</dcterms:created>
  <dcterms:modified xsi:type="dcterms:W3CDTF">2025-07-01T07:52:00Z</dcterms:modified>
</cp:coreProperties>
</file>