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7DDD1" w14:textId="77777777" w:rsidR="00D1695D" w:rsidRPr="00D1695D" w:rsidRDefault="00D1695D" w:rsidP="00D1695D">
      <w:pPr>
        <w:jc w:val="both"/>
        <w:rPr>
          <w:rFonts w:ascii="Times New Roman" w:hAnsi="Times New Roman" w:cs="Times New Roman"/>
          <w:b/>
          <w:bCs/>
          <w:i/>
          <w:iCs/>
          <w:sz w:val="24"/>
          <w:szCs w:val="24"/>
          <w:u w:val="single"/>
        </w:rPr>
      </w:pPr>
      <w:r w:rsidRPr="00D1695D">
        <w:rPr>
          <w:rFonts w:ascii="Times New Roman" w:hAnsi="Times New Roman" w:cs="Times New Roman"/>
          <w:b/>
          <w:bCs/>
          <w:i/>
          <w:iCs/>
          <w:sz w:val="24"/>
          <w:szCs w:val="24"/>
          <w:u w:val="single"/>
        </w:rPr>
        <w:t>Original Research Article</w:t>
      </w:r>
    </w:p>
    <w:p w14:paraId="14F64778" w14:textId="6620C693" w:rsidR="00D76104" w:rsidRPr="00F3471F" w:rsidRDefault="00D76104" w:rsidP="00F3471F">
      <w:pPr>
        <w:jc w:val="both"/>
        <w:rPr>
          <w:rFonts w:ascii="Times New Roman" w:hAnsi="Times New Roman" w:cs="Times New Roman"/>
          <w:b/>
          <w:sz w:val="24"/>
          <w:szCs w:val="24"/>
          <w:cs/>
          <w:lang w:bidi="bn-IN"/>
        </w:rPr>
      </w:pPr>
      <w:r w:rsidRPr="00F3471F">
        <w:rPr>
          <w:rFonts w:ascii="Times New Roman" w:hAnsi="Times New Roman" w:cs="Times New Roman"/>
          <w:b/>
          <w:sz w:val="24"/>
          <w:szCs w:val="24"/>
        </w:rPr>
        <w:t xml:space="preserve">Effects of different sources of organic manures and chemical fertilizers on growth &amp; yield of BJRI developed kenaf variety </w:t>
      </w:r>
    </w:p>
    <w:p w14:paraId="472086BB" w14:textId="77777777" w:rsidR="00D76104" w:rsidRPr="00F3471F" w:rsidRDefault="00D76104" w:rsidP="00F3471F">
      <w:pPr>
        <w:jc w:val="both"/>
        <w:rPr>
          <w:rFonts w:ascii="Times New Roman" w:hAnsi="Times New Roman" w:cs="Times New Roman"/>
          <w:b/>
          <w:sz w:val="24"/>
          <w:szCs w:val="24"/>
        </w:rPr>
      </w:pPr>
      <w:bookmarkStart w:id="0" w:name="_GoBack"/>
      <w:bookmarkEnd w:id="0"/>
    </w:p>
    <w:p w14:paraId="45DDA05B" w14:textId="77777777" w:rsidR="00D76104" w:rsidRPr="00F3471F" w:rsidRDefault="00D76104" w:rsidP="00F3471F">
      <w:pPr>
        <w:jc w:val="both"/>
        <w:rPr>
          <w:rFonts w:ascii="Times New Roman" w:hAnsi="Times New Roman" w:cs="Times New Roman"/>
          <w:b/>
          <w:bCs/>
          <w:iCs/>
          <w:sz w:val="24"/>
          <w:szCs w:val="24"/>
        </w:rPr>
      </w:pPr>
      <w:r w:rsidRPr="00F3471F">
        <w:rPr>
          <w:rFonts w:ascii="Times New Roman" w:hAnsi="Times New Roman" w:cs="Times New Roman"/>
          <w:b/>
          <w:bCs/>
          <w:iCs/>
          <w:sz w:val="24"/>
          <w:szCs w:val="24"/>
        </w:rPr>
        <w:t>Abstract</w:t>
      </w:r>
    </w:p>
    <w:p w14:paraId="4D2C231D" w14:textId="0C5679A5" w:rsidR="00876F07" w:rsidRPr="00876F07" w:rsidRDefault="00876F07" w:rsidP="00F3471F">
      <w:pPr>
        <w:spacing w:before="100" w:beforeAutospacing="1" w:after="100" w:afterAutospacing="1" w:line="240" w:lineRule="auto"/>
        <w:jc w:val="both"/>
        <w:rPr>
          <w:rFonts w:ascii="Times New Roman" w:eastAsia="Times New Roman" w:hAnsi="Times New Roman" w:cs="Times New Roman"/>
          <w:sz w:val="24"/>
          <w:szCs w:val="24"/>
        </w:rPr>
      </w:pPr>
      <w:r w:rsidRPr="00876F07">
        <w:rPr>
          <w:rFonts w:ascii="Times New Roman" w:eastAsia="Times New Roman" w:hAnsi="Times New Roman" w:cs="Times New Roman"/>
          <w:sz w:val="24"/>
          <w:szCs w:val="24"/>
        </w:rPr>
        <w:t>This study evaluated the effects of integrated organic and inorganic nutrient management on the growth and fiber yield of BJRI Kenaf-5 (</w:t>
      </w:r>
      <w:r w:rsidRPr="00876F07">
        <w:rPr>
          <w:rFonts w:ascii="Times New Roman" w:eastAsia="Times New Roman" w:hAnsi="Times New Roman" w:cs="Times New Roman"/>
          <w:i/>
          <w:iCs/>
          <w:sz w:val="24"/>
          <w:szCs w:val="24"/>
        </w:rPr>
        <w:t>Hibiscus cannabinus</w:t>
      </w:r>
      <w:r w:rsidRPr="00876F07">
        <w:rPr>
          <w:rFonts w:ascii="Times New Roman" w:eastAsia="Times New Roman" w:hAnsi="Times New Roman" w:cs="Times New Roman"/>
          <w:sz w:val="24"/>
          <w:szCs w:val="24"/>
        </w:rPr>
        <w:t xml:space="preserve"> L.) at Kishoreganj, Bangladesh during 2023. The experiment was conducted in a randomized complete block design with three replications and six treatments combining recommended dose of fertilizer (RDF: 132–50–40 kg N–P–K ha⁻¹) with cow dung (CD), poultry manure (PM), and vermicompost (VC). Growth attributes including plant population, plant height, base diameter, fiber yield, and stick yield were </w:t>
      </w:r>
      <w:proofErr w:type="spellStart"/>
      <w:proofErr w:type="gramStart"/>
      <w:r w:rsidRPr="00876F07">
        <w:rPr>
          <w:rFonts w:ascii="Times New Roman" w:eastAsia="Times New Roman" w:hAnsi="Times New Roman" w:cs="Times New Roman"/>
          <w:sz w:val="24"/>
          <w:szCs w:val="24"/>
        </w:rPr>
        <w:t>recorded.Significant</w:t>
      </w:r>
      <w:proofErr w:type="spellEnd"/>
      <w:proofErr w:type="gramEnd"/>
      <w:r w:rsidRPr="00876F07">
        <w:rPr>
          <w:rFonts w:ascii="Times New Roman" w:eastAsia="Times New Roman" w:hAnsi="Times New Roman" w:cs="Times New Roman"/>
          <w:sz w:val="24"/>
          <w:szCs w:val="24"/>
        </w:rPr>
        <w:t xml:space="preserve"> differences (p ≤ 0.05) were observed among treatments. The integrated treatment T6 (100% RDF + CD 1.5 t ha⁻¹ + PM 1.5 t ha⁻¹ + VC 1.5 t ha⁻¹) produced the highest fiber yield (3.36 t ha⁻¹) and stick yield (6.73 t ha⁻¹), representing a 75.9% increase in fiber yield over the control. Plant height was highest under T5 (3.11 m), while maximum base diameter was observed in T4 (19.63 mm). Principal component analysis explained 99.1% of total variance, confirming strong positive associations among growth parameters. Pearson’s correlation revealed highly significant relationships (r = 0.96–0.99) between vegetative growth and yield </w:t>
      </w:r>
      <w:proofErr w:type="spellStart"/>
      <w:proofErr w:type="gramStart"/>
      <w:r w:rsidRPr="00876F07">
        <w:rPr>
          <w:rFonts w:ascii="Times New Roman" w:eastAsia="Times New Roman" w:hAnsi="Times New Roman" w:cs="Times New Roman"/>
          <w:sz w:val="24"/>
          <w:szCs w:val="24"/>
        </w:rPr>
        <w:t>traits.The</w:t>
      </w:r>
      <w:proofErr w:type="spellEnd"/>
      <w:proofErr w:type="gramEnd"/>
      <w:r w:rsidRPr="00876F07">
        <w:rPr>
          <w:rFonts w:ascii="Times New Roman" w:eastAsia="Times New Roman" w:hAnsi="Times New Roman" w:cs="Times New Roman"/>
          <w:sz w:val="24"/>
          <w:szCs w:val="24"/>
        </w:rPr>
        <w:t xml:space="preserve"> results demonstrate that integrated nutrient management significantly enhances biomass accumulation and fiber productivity in BJRI Kenaf-5, suggesting T6 as an optimal nutrient strategy for sustainable kenaf cultivation in the </w:t>
      </w:r>
      <w:proofErr w:type="spellStart"/>
      <w:r w:rsidRPr="00876F07">
        <w:rPr>
          <w:rFonts w:ascii="Times New Roman" w:eastAsia="Times New Roman" w:hAnsi="Times New Roman" w:cs="Times New Roman"/>
          <w:sz w:val="24"/>
          <w:szCs w:val="24"/>
        </w:rPr>
        <w:t>agro</w:t>
      </w:r>
      <w:proofErr w:type="spellEnd"/>
      <w:r w:rsidRPr="00876F07">
        <w:rPr>
          <w:rFonts w:ascii="Times New Roman" w:eastAsia="Times New Roman" w:hAnsi="Times New Roman" w:cs="Times New Roman"/>
          <w:sz w:val="24"/>
          <w:szCs w:val="24"/>
        </w:rPr>
        <w:t>-ecolo</w:t>
      </w:r>
      <w:r w:rsidRPr="00F3471F">
        <w:rPr>
          <w:rFonts w:ascii="Times New Roman" w:eastAsia="Times New Roman" w:hAnsi="Times New Roman" w:cs="Times New Roman"/>
          <w:sz w:val="24"/>
          <w:szCs w:val="24"/>
        </w:rPr>
        <w:t xml:space="preserve">gical conditions of </w:t>
      </w:r>
      <w:proofErr w:type="spellStart"/>
      <w:r w:rsidRPr="00F3471F">
        <w:rPr>
          <w:rFonts w:ascii="Times New Roman" w:eastAsia="Times New Roman" w:hAnsi="Times New Roman" w:cs="Times New Roman"/>
          <w:sz w:val="24"/>
          <w:szCs w:val="24"/>
        </w:rPr>
        <w:t>Kishoreganj</w:t>
      </w:r>
      <w:proofErr w:type="spellEnd"/>
    </w:p>
    <w:p w14:paraId="3B9B9D99" w14:textId="4DDDFF09" w:rsidR="00876F07" w:rsidRPr="00876F07" w:rsidRDefault="00876F07" w:rsidP="00746B38">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proofErr w:type="gramStart"/>
      <w:r w:rsidRPr="00876F07">
        <w:rPr>
          <w:rFonts w:ascii="Times New Roman" w:eastAsia="Times New Roman" w:hAnsi="Times New Roman" w:cs="Times New Roman"/>
          <w:b/>
          <w:bCs/>
          <w:sz w:val="24"/>
          <w:szCs w:val="24"/>
        </w:rPr>
        <w:t>Keywords:</w:t>
      </w:r>
      <w:r w:rsidRPr="00876F07">
        <w:rPr>
          <w:rFonts w:ascii="Times New Roman" w:eastAsia="Times New Roman" w:hAnsi="Times New Roman" w:cs="Times New Roman"/>
          <w:sz w:val="24"/>
          <w:szCs w:val="24"/>
        </w:rPr>
        <w:t>Kenaf</w:t>
      </w:r>
      <w:proofErr w:type="spellEnd"/>
      <w:proofErr w:type="gramEnd"/>
      <w:r w:rsidRPr="00876F07">
        <w:rPr>
          <w:rFonts w:ascii="Times New Roman" w:eastAsia="Times New Roman" w:hAnsi="Times New Roman" w:cs="Times New Roman"/>
          <w:sz w:val="24"/>
          <w:szCs w:val="24"/>
        </w:rPr>
        <w:t>; Integrated nutrient management; Organic manure; Fiber yield; BJRI Kenaf-5; Sustainable agriculture</w:t>
      </w:r>
    </w:p>
    <w:p w14:paraId="7ABF51A4" w14:textId="77777777" w:rsidR="002C2459" w:rsidRPr="00F3471F" w:rsidRDefault="002C2459" w:rsidP="00F3471F">
      <w:pPr>
        <w:spacing w:after="0"/>
        <w:jc w:val="both"/>
        <w:rPr>
          <w:rFonts w:ascii="Times New Roman" w:hAnsi="Times New Roman" w:cs="Times New Roman"/>
          <w:b/>
          <w:sz w:val="24"/>
          <w:szCs w:val="24"/>
        </w:rPr>
      </w:pPr>
    </w:p>
    <w:p w14:paraId="1E6362C1" w14:textId="333E1A0C" w:rsidR="00D76104" w:rsidRPr="00F3471F" w:rsidRDefault="002C2459" w:rsidP="00F3471F">
      <w:pPr>
        <w:spacing w:after="0"/>
        <w:jc w:val="both"/>
        <w:rPr>
          <w:rFonts w:ascii="Times New Roman" w:hAnsi="Times New Roman" w:cs="Times New Roman"/>
          <w:b/>
          <w:bCs/>
          <w:sz w:val="24"/>
          <w:szCs w:val="24"/>
        </w:rPr>
      </w:pPr>
      <w:r w:rsidRPr="00F3471F">
        <w:rPr>
          <w:rFonts w:ascii="Times New Roman" w:hAnsi="Times New Roman" w:cs="Times New Roman"/>
          <w:b/>
          <w:sz w:val="24"/>
          <w:szCs w:val="24"/>
        </w:rPr>
        <w:t>Introduction</w:t>
      </w:r>
      <w:r w:rsidR="00D76104" w:rsidRPr="00F3471F">
        <w:rPr>
          <w:rFonts w:ascii="Times New Roman" w:hAnsi="Times New Roman" w:cs="Times New Roman"/>
          <w:b/>
          <w:sz w:val="24"/>
          <w:szCs w:val="24"/>
        </w:rPr>
        <w:t xml:space="preserve">: </w:t>
      </w:r>
    </w:p>
    <w:p w14:paraId="65D05ADB" w14:textId="40998916" w:rsidR="00D76104" w:rsidRPr="00F3471F" w:rsidRDefault="00297671" w:rsidP="00F3471F">
      <w:pPr>
        <w:spacing w:after="0"/>
        <w:jc w:val="both"/>
        <w:rPr>
          <w:rFonts w:ascii="Times New Roman" w:hAnsi="Times New Roman" w:cs="Times New Roman"/>
          <w:b/>
          <w:bCs/>
          <w:sz w:val="24"/>
          <w:szCs w:val="24"/>
        </w:rPr>
      </w:pPr>
      <w:r w:rsidRPr="00F3471F">
        <w:rPr>
          <w:rFonts w:ascii="Times New Roman" w:hAnsi="Times New Roman" w:cs="Times New Roman"/>
          <w:sz w:val="24"/>
          <w:szCs w:val="24"/>
        </w:rPr>
        <w:t xml:space="preserve">Jute often termed Bangladesh’s “golden fiber,” remains integral to </w:t>
      </w:r>
      <w:proofErr w:type="spellStart"/>
      <w:r w:rsidRPr="00F3471F">
        <w:rPr>
          <w:rFonts w:ascii="Times New Roman" w:hAnsi="Times New Roman" w:cs="Times New Roman"/>
          <w:sz w:val="24"/>
          <w:szCs w:val="24"/>
        </w:rPr>
        <w:t>thenation’s</w:t>
      </w:r>
      <w:proofErr w:type="spellEnd"/>
      <w:r w:rsidRPr="00F3471F">
        <w:rPr>
          <w:rFonts w:ascii="Times New Roman" w:hAnsi="Times New Roman" w:cs="Times New Roman"/>
          <w:sz w:val="24"/>
          <w:szCs w:val="24"/>
        </w:rPr>
        <w:t xml:space="preserve"> agrarian economy, industrial sustainability, and rural livelihoods (Das et al.,2025). </w:t>
      </w:r>
      <w:r w:rsidR="00D76104" w:rsidRPr="00F3471F">
        <w:rPr>
          <w:rFonts w:ascii="Times New Roman" w:hAnsi="Times New Roman" w:cs="Times New Roman"/>
          <w:sz w:val="24"/>
          <w:szCs w:val="24"/>
        </w:rPr>
        <w:t>Jute is an eco-friendly and the major cash crop in Bangladesh.</w:t>
      </w:r>
      <w:r w:rsidR="00D76104" w:rsidRPr="00F3471F">
        <w:rPr>
          <w:rFonts w:ascii="Times New Roman" w:eastAsia="Calibri" w:hAnsi="Times New Roman" w:cs="Times New Roman"/>
          <w:sz w:val="24"/>
          <w:szCs w:val="24"/>
        </w:rPr>
        <w:t xml:space="preserve"> Jute holds an important position in the industrial sector of the economy of Bangladesh (Islam and Ali, 2017).</w:t>
      </w:r>
      <w:r w:rsidR="00D76104" w:rsidRPr="00F3471F">
        <w:rPr>
          <w:rFonts w:ascii="Times New Roman" w:eastAsia="Calibri" w:hAnsi="Times New Roman" w:cs="Times New Roman"/>
          <w:sz w:val="24"/>
          <w:szCs w:val="24"/>
          <w:lang w:bidi="bn-BD"/>
        </w:rPr>
        <w:t xml:space="preserve"> Jute is the principal bast</w:t>
      </w:r>
      <w:r w:rsidRPr="00F3471F">
        <w:rPr>
          <w:rFonts w:ascii="Times New Roman" w:eastAsia="Calibri" w:hAnsi="Times New Roman" w:cs="Times New Roman"/>
          <w:sz w:val="24"/>
          <w:szCs w:val="24"/>
          <w:lang w:bidi="bn-BD"/>
        </w:rPr>
        <w:t xml:space="preserve"> </w:t>
      </w:r>
      <w:r w:rsidR="00C91D6D" w:rsidRPr="00F3471F">
        <w:rPr>
          <w:rFonts w:ascii="Times New Roman" w:eastAsia="Calibri" w:hAnsi="Times New Roman" w:cs="Times New Roman"/>
          <w:sz w:val="24"/>
          <w:szCs w:val="24"/>
          <w:lang w:bidi="bn-BD"/>
        </w:rPr>
        <w:t>fiber</w:t>
      </w:r>
      <w:r w:rsidR="00D76104" w:rsidRPr="00F3471F">
        <w:rPr>
          <w:rFonts w:ascii="Times New Roman" w:eastAsia="Calibri" w:hAnsi="Times New Roman" w:cs="Times New Roman"/>
          <w:sz w:val="24"/>
          <w:szCs w:val="24"/>
          <w:lang w:bidi="bn-BD"/>
        </w:rPr>
        <w:t xml:space="preserve"> crop of the World and a matter of pride to Bangladesh. Bangladesh and India produce over 92% of the total jute </w:t>
      </w:r>
      <w:r w:rsidR="00C91D6D" w:rsidRPr="00F3471F">
        <w:rPr>
          <w:rFonts w:ascii="Times New Roman" w:eastAsia="Calibri" w:hAnsi="Times New Roman" w:cs="Times New Roman"/>
          <w:sz w:val="24"/>
          <w:szCs w:val="24"/>
          <w:lang w:bidi="bn-BD"/>
        </w:rPr>
        <w:t>fiber</w:t>
      </w:r>
      <w:r w:rsidR="00D76104" w:rsidRPr="00F3471F">
        <w:rPr>
          <w:rFonts w:ascii="Times New Roman" w:eastAsia="Calibri" w:hAnsi="Times New Roman" w:cs="Times New Roman"/>
          <w:sz w:val="24"/>
          <w:szCs w:val="24"/>
          <w:lang w:bidi="bn-BD"/>
        </w:rPr>
        <w:t xml:space="preserve"> of the world. </w:t>
      </w:r>
      <w:r w:rsidR="00D76104" w:rsidRPr="00F3471F">
        <w:rPr>
          <w:rFonts w:ascii="Times New Roman" w:hAnsi="Times New Roman" w:cs="Times New Roman"/>
          <w:sz w:val="24"/>
          <w:szCs w:val="24"/>
        </w:rPr>
        <w:t xml:space="preserve">Kenaf plays an important role in </w:t>
      </w:r>
      <w:r w:rsidR="00C91D6D" w:rsidRPr="00F3471F">
        <w:rPr>
          <w:rFonts w:ascii="Times New Roman" w:hAnsi="Times New Roman" w:cs="Times New Roman"/>
          <w:sz w:val="24"/>
          <w:szCs w:val="24"/>
        </w:rPr>
        <w:t>fiber</w:t>
      </w:r>
      <w:r w:rsidR="00D76104" w:rsidRPr="00F3471F">
        <w:rPr>
          <w:rFonts w:ascii="Times New Roman" w:hAnsi="Times New Roman" w:cs="Times New Roman"/>
          <w:sz w:val="24"/>
          <w:szCs w:val="24"/>
        </w:rPr>
        <w:t xml:space="preserve"> production leading to more income with low cost involvement. It is a short day, herbaceous fiber crop belonging to the family </w:t>
      </w:r>
      <w:proofErr w:type="spellStart"/>
      <w:r w:rsidR="00D76104" w:rsidRPr="00F3471F">
        <w:rPr>
          <w:rFonts w:ascii="Times New Roman" w:hAnsi="Times New Roman" w:cs="Times New Roman"/>
          <w:sz w:val="24"/>
          <w:szCs w:val="24"/>
        </w:rPr>
        <w:t>Malvaceae</w:t>
      </w:r>
      <w:proofErr w:type="spellEnd"/>
      <w:r w:rsidR="00D76104" w:rsidRPr="00F3471F">
        <w:rPr>
          <w:rFonts w:ascii="Times New Roman" w:hAnsi="Times New Roman" w:cs="Times New Roman"/>
          <w:sz w:val="24"/>
          <w:szCs w:val="24"/>
        </w:rPr>
        <w:t xml:space="preserve"> (</w:t>
      </w:r>
      <w:proofErr w:type="spellStart"/>
      <w:r w:rsidR="00D76104" w:rsidRPr="00F3471F">
        <w:rPr>
          <w:rFonts w:ascii="Times New Roman" w:hAnsi="Times New Roman" w:cs="Times New Roman"/>
          <w:sz w:val="24"/>
          <w:szCs w:val="24"/>
        </w:rPr>
        <w:t>H'ng</w:t>
      </w:r>
      <w:proofErr w:type="spellEnd"/>
      <w:r w:rsidR="00D76104" w:rsidRPr="00F3471F">
        <w:rPr>
          <w:rFonts w:ascii="Times New Roman" w:hAnsi="Times New Roman" w:cs="Times New Roman"/>
          <w:sz w:val="24"/>
          <w:szCs w:val="24"/>
        </w:rPr>
        <w:t xml:space="preserve"> et al., </w:t>
      </w:r>
      <w:hyperlink r:id="rId7" w:anchor="jfds14714-bib-0027" w:history="1">
        <w:r w:rsidR="00D76104" w:rsidRPr="00F3471F">
          <w:rPr>
            <w:rFonts w:ascii="Times New Roman" w:hAnsi="Times New Roman" w:cs="Times New Roman"/>
            <w:bCs/>
            <w:sz w:val="24"/>
            <w:szCs w:val="24"/>
          </w:rPr>
          <w:t>2009</w:t>
        </w:r>
      </w:hyperlink>
      <w:r w:rsidR="00D76104" w:rsidRPr="00F3471F">
        <w:rPr>
          <w:rFonts w:ascii="Times New Roman" w:hAnsi="Times New Roman" w:cs="Times New Roman"/>
          <w:sz w:val="24"/>
          <w:szCs w:val="24"/>
        </w:rPr>
        <w:t xml:space="preserve">). The </w:t>
      </w:r>
      <w:proofErr w:type="spellStart"/>
      <w:r w:rsidR="00D76104" w:rsidRPr="00F3471F">
        <w:rPr>
          <w:rFonts w:ascii="Times New Roman" w:hAnsi="Times New Roman" w:cs="Times New Roman"/>
          <w:sz w:val="24"/>
          <w:szCs w:val="24"/>
        </w:rPr>
        <w:t>Malvaceae</w:t>
      </w:r>
      <w:proofErr w:type="spellEnd"/>
      <w:r w:rsidR="00D76104" w:rsidRPr="00F3471F">
        <w:rPr>
          <w:rFonts w:ascii="Times New Roman" w:hAnsi="Times New Roman" w:cs="Times New Roman"/>
          <w:sz w:val="24"/>
          <w:szCs w:val="24"/>
        </w:rPr>
        <w:t xml:space="preserve"> family is noted for their economic and horticultural importance (</w:t>
      </w:r>
      <w:proofErr w:type="spellStart"/>
      <w:r w:rsidR="00D76104" w:rsidRPr="00F3471F">
        <w:rPr>
          <w:rFonts w:ascii="Times New Roman" w:hAnsi="Times New Roman" w:cs="Times New Roman"/>
          <w:sz w:val="24"/>
          <w:szCs w:val="24"/>
        </w:rPr>
        <w:t>Akinrotimi&amp;Okocha</w:t>
      </w:r>
      <w:proofErr w:type="spellEnd"/>
      <w:r w:rsidR="00D76104" w:rsidRPr="00F3471F">
        <w:rPr>
          <w:rFonts w:ascii="Times New Roman" w:hAnsi="Times New Roman" w:cs="Times New Roman"/>
          <w:sz w:val="24"/>
          <w:szCs w:val="24"/>
        </w:rPr>
        <w:t>, </w:t>
      </w:r>
      <w:hyperlink r:id="rId8" w:anchor="jfds14714-bib-0002" w:history="1">
        <w:r w:rsidR="00D76104" w:rsidRPr="00F3471F">
          <w:rPr>
            <w:rFonts w:ascii="Times New Roman" w:hAnsi="Times New Roman" w:cs="Times New Roman"/>
            <w:bCs/>
            <w:sz w:val="24"/>
            <w:szCs w:val="24"/>
          </w:rPr>
          <w:t>2018</w:t>
        </w:r>
      </w:hyperlink>
      <w:r w:rsidR="00D76104" w:rsidRPr="00F3471F">
        <w:rPr>
          <w:rFonts w:ascii="Times New Roman" w:hAnsi="Times New Roman" w:cs="Times New Roman"/>
          <w:sz w:val="24"/>
          <w:szCs w:val="24"/>
        </w:rPr>
        <w:t>).</w:t>
      </w:r>
      <w:r w:rsidR="00D76104" w:rsidRPr="00F3471F">
        <w:rPr>
          <w:rFonts w:ascii="Times New Roman" w:eastAsia="Calibri" w:hAnsi="Times New Roman" w:cs="Times New Roman"/>
          <w:sz w:val="24"/>
          <w:szCs w:val="24"/>
          <w:lang w:bidi="bn-BD"/>
        </w:rPr>
        <w:t xml:space="preserve">The production of jute and kenaf allied </w:t>
      </w:r>
      <w:r w:rsidR="00C91D6D" w:rsidRPr="00F3471F">
        <w:rPr>
          <w:rFonts w:ascii="Times New Roman" w:eastAsia="Calibri" w:hAnsi="Times New Roman" w:cs="Times New Roman"/>
          <w:sz w:val="24"/>
          <w:szCs w:val="24"/>
          <w:lang w:bidi="bn-BD"/>
        </w:rPr>
        <w:t>fiber</w:t>
      </w:r>
      <w:r w:rsidR="00D76104" w:rsidRPr="00F3471F">
        <w:rPr>
          <w:rFonts w:ascii="Times New Roman" w:eastAsia="Calibri" w:hAnsi="Times New Roman" w:cs="Times New Roman"/>
          <w:sz w:val="24"/>
          <w:szCs w:val="24"/>
          <w:lang w:bidi="bn-BD"/>
        </w:rPr>
        <w:t xml:space="preserve"> crops in Bangladesh is decreasing day by day due to improper fertilizer management. </w:t>
      </w:r>
      <w:r w:rsidR="00D76104" w:rsidRPr="00F3471F">
        <w:rPr>
          <w:rFonts w:ascii="Times New Roman" w:hAnsi="Times New Roman" w:cs="Times New Roman"/>
          <w:sz w:val="24"/>
          <w:szCs w:val="24"/>
        </w:rPr>
        <w:t xml:space="preserve">In years to come, utilization of organic manure to meet crop nutrient requirement will be an unavoidable practice to enhance sustainable agriculture, this is because, the physical, chemical and biological properties of soil is generally improved by the addition of organic manures which in turn enhances crop productivity </w:t>
      </w:r>
      <w:r w:rsidR="00D76104" w:rsidRPr="00F3471F">
        <w:rPr>
          <w:rFonts w:ascii="Times New Roman" w:hAnsi="Times New Roman" w:cs="Times New Roman"/>
          <w:sz w:val="24"/>
          <w:szCs w:val="24"/>
        </w:rPr>
        <w:lastRenderedPageBreak/>
        <w:t xml:space="preserve">and maintains the quality of crop </w:t>
      </w:r>
      <w:r w:rsidR="003E5614" w:rsidRPr="00F3471F">
        <w:rPr>
          <w:rFonts w:ascii="Times New Roman" w:hAnsi="Times New Roman" w:cs="Times New Roman"/>
          <w:sz w:val="24"/>
          <w:szCs w:val="24"/>
        </w:rPr>
        <w:t>produce (</w:t>
      </w:r>
      <w:proofErr w:type="spellStart"/>
      <w:r w:rsidR="003E5614" w:rsidRPr="00F3471F">
        <w:rPr>
          <w:rFonts w:ascii="Times New Roman" w:hAnsi="Times New Roman" w:cs="Times New Roman"/>
          <w:sz w:val="24"/>
          <w:szCs w:val="24"/>
        </w:rPr>
        <w:t>Maheswarappa</w:t>
      </w:r>
      <w:proofErr w:type="spellEnd"/>
      <w:r w:rsidR="00D76104" w:rsidRPr="00F3471F">
        <w:rPr>
          <w:rFonts w:ascii="Times New Roman" w:hAnsi="Times New Roman" w:cs="Times New Roman"/>
          <w:sz w:val="24"/>
          <w:szCs w:val="24"/>
        </w:rPr>
        <w:t xml:space="preserve"> et al.,1999). Although, in comparison to inorganic fertilizers, organic manures contain smaller quantities of plant nutrients. To use of inorganic fertilizer to increase yield has been found to be </w:t>
      </w:r>
      <w:proofErr w:type="spellStart"/>
      <w:r w:rsidR="00D76104" w:rsidRPr="00F3471F">
        <w:rPr>
          <w:rFonts w:ascii="Times New Roman" w:hAnsi="Times New Roman" w:cs="Times New Roman"/>
          <w:sz w:val="24"/>
          <w:szCs w:val="24"/>
        </w:rPr>
        <w:t>efective</w:t>
      </w:r>
      <w:proofErr w:type="spellEnd"/>
      <w:r w:rsidR="00D76104" w:rsidRPr="00F3471F">
        <w:rPr>
          <w:rFonts w:ascii="Times New Roman" w:hAnsi="Times New Roman" w:cs="Times New Roman"/>
          <w:sz w:val="24"/>
          <w:szCs w:val="24"/>
        </w:rPr>
        <w:t xml:space="preserve"> as a short-term solution but demands consistent use on a long-term basis. The high cost of inorganic fertilizers makes it uneconomical and out of reach to poor farmers and it is also undesirable due to its hazardous environmental effects (Olowoake.,2014</w:t>
      </w:r>
      <w:proofErr w:type="gramStart"/>
      <w:r w:rsidR="00D76104" w:rsidRPr="00F3471F">
        <w:rPr>
          <w:rFonts w:ascii="Times New Roman" w:hAnsi="Times New Roman" w:cs="Times New Roman"/>
          <w:sz w:val="24"/>
          <w:szCs w:val="24"/>
        </w:rPr>
        <w:t>) .</w:t>
      </w:r>
      <w:proofErr w:type="gramEnd"/>
      <w:r w:rsidR="002059AA" w:rsidRPr="00F3471F">
        <w:rPr>
          <w:rFonts w:ascii="Times New Roman" w:hAnsi="Times New Roman" w:cs="Times New Roman"/>
          <w:sz w:val="24"/>
          <w:szCs w:val="24"/>
        </w:rPr>
        <w:t xml:space="preserve"> </w:t>
      </w:r>
      <w:r w:rsidR="00D76104" w:rsidRPr="00F3471F">
        <w:rPr>
          <w:rFonts w:ascii="Times New Roman" w:hAnsi="Times New Roman" w:cs="Times New Roman"/>
          <w:sz w:val="24"/>
          <w:szCs w:val="24"/>
        </w:rPr>
        <w:t>Compost is an important resource for soil amendment in organic farming with the benefits of being environment-friendly. Composted manure helps to modify physical, chemical, and biological properties of the soil, provides slow release of nutrients and increases crop yield (</w:t>
      </w:r>
      <w:proofErr w:type="spellStart"/>
      <w:r w:rsidR="00D76104" w:rsidRPr="00F3471F">
        <w:rPr>
          <w:rFonts w:ascii="Times New Roman" w:hAnsi="Times New Roman" w:cs="Times New Roman"/>
          <w:sz w:val="24"/>
          <w:szCs w:val="24"/>
        </w:rPr>
        <w:t>Agbede</w:t>
      </w:r>
      <w:proofErr w:type="spellEnd"/>
      <w:r w:rsidR="00D76104" w:rsidRPr="00F3471F">
        <w:rPr>
          <w:rFonts w:ascii="Times New Roman" w:hAnsi="Times New Roman" w:cs="Times New Roman"/>
          <w:sz w:val="24"/>
          <w:szCs w:val="24"/>
        </w:rPr>
        <w:t xml:space="preserve"> et al. 2008; Moral et al. 2009). Composted organic manure especially from poultry wastes have been reported to improve mineral composition in tissues of vegetables such as Jute mallow (Mazen et al. 2010; Jonathan et al. 2012). The application of animal manure can improve soil structure by reducing bulk density and increasing soil porosity, water infiltration/percolation rate, and aggregate stability [Edmeades</w:t>
      </w:r>
      <w:proofErr w:type="gramStart"/>
      <w:r w:rsidR="00D76104" w:rsidRPr="00F3471F">
        <w:rPr>
          <w:rFonts w:ascii="Times New Roman" w:hAnsi="Times New Roman" w:cs="Times New Roman"/>
          <w:sz w:val="24"/>
          <w:szCs w:val="24"/>
        </w:rPr>
        <w:t>2003 ,Thangarajan</w:t>
      </w:r>
      <w:proofErr w:type="gramEnd"/>
      <w:r w:rsidR="00D76104" w:rsidRPr="00F3471F">
        <w:rPr>
          <w:rFonts w:ascii="Times New Roman" w:hAnsi="Times New Roman" w:cs="Times New Roman"/>
          <w:sz w:val="24"/>
          <w:szCs w:val="24"/>
        </w:rPr>
        <w:t xml:space="preserve"> et al.,2016]. Furthermore, manure-based amendments can stimulate soil microbial activity and biomass, as well as alter the composition and diversity of soil microbial communities [</w:t>
      </w:r>
      <w:proofErr w:type="gramStart"/>
      <w:r w:rsidR="00D76104" w:rsidRPr="00F3471F">
        <w:rPr>
          <w:rFonts w:ascii="Times New Roman" w:hAnsi="Times New Roman" w:cs="Times New Roman"/>
          <w:sz w:val="24"/>
          <w:szCs w:val="24"/>
        </w:rPr>
        <w:t>Liu  et al.</w:t>
      </w:r>
      <w:proofErr w:type="gramEnd"/>
      <w:r w:rsidR="00D76104" w:rsidRPr="00F3471F">
        <w:rPr>
          <w:rFonts w:ascii="Times New Roman" w:hAnsi="Times New Roman" w:cs="Times New Roman"/>
          <w:sz w:val="24"/>
          <w:szCs w:val="24"/>
        </w:rPr>
        <w:t xml:space="preserve">,2016 , Reardon et al.,2016]. Proper dose of nutrients is essential for each of the variety of jute for its optimum growth and yield.  Judicial application of NPKS is also important to complete life cycle of jute plant </w:t>
      </w:r>
      <w:r w:rsidR="00D76104" w:rsidRPr="00F3471F">
        <w:rPr>
          <w:rFonts w:ascii="Times New Roman" w:hAnsi="Times New Roman" w:cs="Times New Roman"/>
          <w:sz w:val="24"/>
          <w:szCs w:val="24"/>
          <w:lang w:bidi="bn-IN"/>
        </w:rPr>
        <w:t>(</w:t>
      </w:r>
      <w:proofErr w:type="spellStart"/>
      <w:r w:rsidR="00D76104" w:rsidRPr="00F3471F">
        <w:rPr>
          <w:rFonts w:ascii="Times New Roman" w:hAnsi="Times New Roman" w:cs="Times New Roman"/>
          <w:sz w:val="24"/>
          <w:szCs w:val="24"/>
          <w:lang w:bidi="bn-IN"/>
        </w:rPr>
        <w:t>Sarker</w:t>
      </w:r>
      <w:r w:rsidR="00D76104" w:rsidRPr="00F3471F">
        <w:rPr>
          <w:rFonts w:ascii="Times New Roman" w:hAnsi="Times New Roman" w:cs="Times New Roman"/>
          <w:i/>
          <w:sz w:val="24"/>
          <w:szCs w:val="24"/>
          <w:lang w:bidi="bn-IN"/>
        </w:rPr>
        <w:t>et</w:t>
      </w:r>
      <w:proofErr w:type="spellEnd"/>
      <w:r w:rsidR="00D76104" w:rsidRPr="00F3471F">
        <w:rPr>
          <w:rFonts w:ascii="Times New Roman" w:hAnsi="Times New Roman" w:cs="Times New Roman"/>
          <w:i/>
          <w:sz w:val="24"/>
          <w:szCs w:val="24"/>
          <w:lang w:bidi="bn-IN"/>
        </w:rPr>
        <w:t xml:space="preserve"> al</w:t>
      </w:r>
      <w:r w:rsidR="00D76104" w:rsidRPr="00F3471F">
        <w:rPr>
          <w:rFonts w:ascii="Times New Roman" w:hAnsi="Times New Roman" w:cs="Times New Roman"/>
          <w:sz w:val="24"/>
          <w:szCs w:val="24"/>
          <w:lang w:bidi="bn-IN"/>
        </w:rPr>
        <w:t xml:space="preserve">., 2000; Das </w:t>
      </w:r>
      <w:r w:rsidR="00D76104" w:rsidRPr="00F3471F">
        <w:rPr>
          <w:rFonts w:ascii="Times New Roman" w:hAnsi="Times New Roman" w:cs="Times New Roman"/>
          <w:i/>
          <w:sz w:val="24"/>
          <w:szCs w:val="24"/>
          <w:lang w:bidi="bn-IN"/>
        </w:rPr>
        <w:t>et al</w:t>
      </w:r>
      <w:r w:rsidR="00D76104" w:rsidRPr="00F3471F">
        <w:rPr>
          <w:rFonts w:ascii="Times New Roman" w:hAnsi="Times New Roman" w:cs="Times New Roman"/>
          <w:sz w:val="24"/>
          <w:szCs w:val="24"/>
          <w:lang w:bidi="bn-IN"/>
        </w:rPr>
        <w:t>., 1996)</w:t>
      </w:r>
      <w:r w:rsidR="00D76104" w:rsidRPr="00F3471F">
        <w:rPr>
          <w:rFonts w:ascii="Times New Roman" w:hAnsi="Times New Roman" w:cs="Times New Roman"/>
          <w:sz w:val="24"/>
          <w:szCs w:val="24"/>
        </w:rPr>
        <w:t xml:space="preserve">. Therefore, it is essential to investigate the use of locally sourced organic materials which are environment friendly, cheap and probably an effective way of improving and sustaining the productivity of soils and </w:t>
      </w:r>
      <w:r w:rsidR="00C91D6D" w:rsidRPr="00F3471F">
        <w:rPr>
          <w:rFonts w:ascii="Times New Roman" w:hAnsi="Times New Roman" w:cs="Times New Roman"/>
          <w:sz w:val="24"/>
          <w:szCs w:val="24"/>
        </w:rPr>
        <w:t>fiber</w:t>
      </w:r>
      <w:r w:rsidR="00D76104" w:rsidRPr="00F3471F">
        <w:rPr>
          <w:rFonts w:ascii="Times New Roman" w:hAnsi="Times New Roman" w:cs="Times New Roman"/>
          <w:sz w:val="24"/>
          <w:szCs w:val="24"/>
        </w:rPr>
        <w:t xml:space="preserve"> crops such as kenaf. Determination of nutrients rate for the varieties/strains are also pre-requisite for final release. Yet this organic manure and fertilizer plays an important role to increase the </w:t>
      </w:r>
      <w:r w:rsidR="00C91D6D" w:rsidRPr="00F3471F">
        <w:rPr>
          <w:rFonts w:ascii="Times New Roman" w:hAnsi="Times New Roman" w:cs="Times New Roman"/>
          <w:sz w:val="24"/>
          <w:szCs w:val="24"/>
        </w:rPr>
        <w:t>fiber</w:t>
      </w:r>
      <w:r w:rsidR="00D76104" w:rsidRPr="00F3471F">
        <w:rPr>
          <w:rFonts w:ascii="Times New Roman" w:hAnsi="Times New Roman" w:cs="Times New Roman"/>
          <w:sz w:val="24"/>
          <w:szCs w:val="24"/>
        </w:rPr>
        <w:t xml:space="preserve"> quality.</w:t>
      </w:r>
      <w:r w:rsidR="00D76104" w:rsidRPr="00F3471F">
        <w:rPr>
          <w:rFonts w:ascii="Times New Roman" w:hAnsi="Times New Roman" w:cs="Times New Roman"/>
          <w:sz w:val="24"/>
          <w:szCs w:val="24"/>
          <w:lang w:bidi="bn-IN"/>
        </w:rPr>
        <w:t xml:space="preserve"> It is necessary to find a combination treatment which is economically profitable and at the same time gives yield which is very close to maximum yield potential and obviously improve soil health.</w:t>
      </w:r>
      <w:r w:rsidR="00D76104" w:rsidRPr="00F3471F">
        <w:rPr>
          <w:rFonts w:ascii="Times New Roman" w:hAnsi="Times New Roman" w:cs="Times New Roman"/>
          <w:sz w:val="24"/>
          <w:szCs w:val="24"/>
        </w:rPr>
        <w:t xml:space="preserve"> </w:t>
      </w:r>
      <w:proofErr w:type="gramStart"/>
      <w:r w:rsidR="00D76104" w:rsidRPr="00F3471F">
        <w:rPr>
          <w:rFonts w:ascii="Times New Roman" w:hAnsi="Times New Roman" w:cs="Times New Roman"/>
          <w:sz w:val="24"/>
          <w:szCs w:val="24"/>
        </w:rPr>
        <w:t>So</w:t>
      </w:r>
      <w:proofErr w:type="gramEnd"/>
      <w:r w:rsidR="00D76104" w:rsidRPr="00F3471F">
        <w:rPr>
          <w:rFonts w:ascii="Times New Roman" w:hAnsi="Times New Roman" w:cs="Times New Roman"/>
          <w:sz w:val="24"/>
          <w:szCs w:val="24"/>
        </w:rPr>
        <w:t xml:space="preserve"> an experiment has been </w:t>
      </w:r>
      <w:r w:rsidR="00D76104" w:rsidRPr="00F3471F">
        <w:rPr>
          <w:rFonts w:ascii="Times New Roman" w:hAnsi="Times New Roman" w:cs="Times New Roman"/>
          <w:sz w:val="24"/>
          <w:szCs w:val="24"/>
          <w:lang w:bidi="bn-IN"/>
        </w:rPr>
        <w:t xml:space="preserve">undertaken to observe the effects of organic and inorganic fertilizers on the growth, yield </w:t>
      </w:r>
      <w:r w:rsidR="00D76104" w:rsidRPr="00F3471F">
        <w:rPr>
          <w:rFonts w:ascii="Times New Roman" w:hAnsi="Times New Roman" w:cs="Times New Roman"/>
          <w:sz w:val="24"/>
          <w:szCs w:val="24"/>
        </w:rPr>
        <w:t xml:space="preserve">of the kenaf variety and improve the soil properties. </w:t>
      </w:r>
    </w:p>
    <w:p w14:paraId="053A6E1C" w14:textId="77777777" w:rsidR="00D76104" w:rsidRPr="00F3471F" w:rsidRDefault="00D76104" w:rsidP="00F3471F">
      <w:pPr>
        <w:spacing w:after="0" w:line="240" w:lineRule="auto"/>
        <w:jc w:val="both"/>
        <w:rPr>
          <w:rFonts w:ascii="Times New Roman" w:hAnsi="Times New Roman" w:cs="Times New Roman"/>
          <w:sz w:val="24"/>
          <w:szCs w:val="24"/>
        </w:rPr>
      </w:pPr>
    </w:p>
    <w:p w14:paraId="595368FF" w14:textId="77777777" w:rsidR="00567166" w:rsidRPr="00567166" w:rsidRDefault="00567166" w:rsidP="00F3471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567166">
        <w:rPr>
          <w:rFonts w:ascii="Times New Roman" w:eastAsia="Times New Roman" w:hAnsi="Times New Roman" w:cs="Times New Roman"/>
          <w:b/>
          <w:bCs/>
          <w:kern w:val="36"/>
          <w:sz w:val="24"/>
          <w:szCs w:val="24"/>
        </w:rPr>
        <w:t>3. Materials and Methods</w:t>
      </w:r>
    </w:p>
    <w:p w14:paraId="6FEFEE34"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3.1 Experimental Site and Duration</w:t>
      </w:r>
    </w:p>
    <w:p w14:paraId="1CC18AF5" w14:textId="122EB8D8"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 xml:space="preserve">The field experiment was conducted during the 2023 growing season at the Bangladesh Jute Research Institute (BJRI) Regional Station, Kishoreganj, Bangladesh. The experimental site represents a typical </w:t>
      </w:r>
      <w:proofErr w:type="spellStart"/>
      <w:r w:rsidRPr="00567166">
        <w:rPr>
          <w:rFonts w:ascii="Times New Roman" w:eastAsia="Times New Roman" w:hAnsi="Times New Roman" w:cs="Times New Roman"/>
          <w:sz w:val="24"/>
          <w:szCs w:val="24"/>
        </w:rPr>
        <w:t>agro</w:t>
      </w:r>
      <w:proofErr w:type="spellEnd"/>
      <w:r w:rsidRPr="00567166">
        <w:rPr>
          <w:rFonts w:ascii="Times New Roman" w:eastAsia="Times New Roman" w:hAnsi="Times New Roman" w:cs="Times New Roman"/>
          <w:sz w:val="24"/>
          <w:szCs w:val="24"/>
        </w:rPr>
        <w:t>-ecological condition suitable for kenaf cultivation. Standard agronomic practices were followed throughout the cropping period.</w:t>
      </w:r>
    </w:p>
    <w:p w14:paraId="47FCA0C9"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3.2 Experimental Design and Layout</w:t>
      </w:r>
    </w:p>
    <w:p w14:paraId="41B1194F"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The experiment was laid out in a Randomized Complete Block Design (RCBD) with three replications and six treatments.</w:t>
      </w:r>
    </w:p>
    <w:p w14:paraId="1705F8F4" w14:textId="2C833006"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lastRenderedPageBreak/>
        <w:t>Each unit plot measured 2.1 m × 2.0 m. A spacing of 1.0 m was maintained between plots and blocks to minimize treatment interference. Drainage channels of 30 cm depth were constructed around the experimental field to ensure proper water management.</w:t>
      </w:r>
    </w:p>
    <w:p w14:paraId="5B2C791D"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3.3 Test Crop</w:t>
      </w:r>
    </w:p>
    <w:p w14:paraId="307F1A1E" w14:textId="10A449E0"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The test crop used in the experiment was BJRI Kenaf-5 (</w:t>
      </w:r>
      <w:r w:rsidRPr="00567166">
        <w:rPr>
          <w:rFonts w:ascii="Times New Roman" w:eastAsia="Times New Roman" w:hAnsi="Times New Roman" w:cs="Times New Roman"/>
          <w:i/>
          <w:iCs/>
          <w:sz w:val="24"/>
          <w:szCs w:val="24"/>
        </w:rPr>
        <w:t>Hibiscus cannabinus</w:t>
      </w:r>
      <w:r w:rsidRPr="00567166">
        <w:rPr>
          <w:rFonts w:ascii="Times New Roman" w:eastAsia="Times New Roman" w:hAnsi="Times New Roman" w:cs="Times New Roman"/>
          <w:sz w:val="24"/>
          <w:szCs w:val="24"/>
        </w:rPr>
        <w:t xml:space="preserve"> L.), a variety developed by Bangladesh Jute Research Institute for improved fiber production.</w:t>
      </w:r>
    </w:p>
    <w:p w14:paraId="1719B6A9"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3.4 Treatment Details</w:t>
      </w:r>
    </w:p>
    <w:p w14:paraId="508128FE"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Six fertilizer treatments were evaluated:</w:t>
      </w:r>
    </w:p>
    <w:p w14:paraId="060E6993"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T1:</w:t>
      </w:r>
      <w:r w:rsidRPr="00567166">
        <w:rPr>
          <w:rFonts w:ascii="Times New Roman" w:eastAsia="Times New Roman" w:hAnsi="Times New Roman" w:cs="Times New Roman"/>
          <w:sz w:val="24"/>
          <w:szCs w:val="24"/>
        </w:rPr>
        <w:t xml:space="preserve"> Control (no fertilizer)</w:t>
      </w:r>
    </w:p>
    <w:p w14:paraId="71F4E2F3"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T2:</w:t>
      </w:r>
      <w:r w:rsidRPr="00567166">
        <w:rPr>
          <w:rFonts w:ascii="Times New Roman" w:eastAsia="Times New Roman" w:hAnsi="Times New Roman" w:cs="Times New Roman"/>
          <w:sz w:val="24"/>
          <w:szCs w:val="24"/>
        </w:rPr>
        <w:t xml:space="preserve"> 100% Recommended Dose of Fertilizer (RDF)</w:t>
      </w:r>
    </w:p>
    <w:p w14:paraId="5AB3671B" w14:textId="30950F09"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T3:</w:t>
      </w:r>
      <w:r w:rsidRPr="00567166">
        <w:rPr>
          <w:rFonts w:ascii="Times New Roman" w:eastAsia="Times New Roman" w:hAnsi="Times New Roman" w:cs="Times New Roman"/>
          <w:sz w:val="24"/>
          <w:szCs w:val="24"/>
        </w:rPr>
        <w:t xml:space="preserve"> 50% RDF + Cow dung (CD) @ 1 t ha⁻¹ + P</w:t>
      </w:r>
      <w:r w:rsidR="00DE68DD">
        <w:rPr>
          <w:rFonts w:ascii="Times New Roman" w:eastAsia="Times New Roman" w:hAnsi="Times New Roman" w:cs="Times New Roman"/>
          <w:sz w:val="24"/>
          <w:szCs w:val="24"/>
        </w:rPr>
        <w:t xml:space="preserve">oultry manure (PM) @ 1 t ha⁻¹ + </w:t>
      </w:r>
      <w:r w:rsidRPr="00567166">
        <w:rPr>
          <w:rFonts w:ascii="Times New Roman" w:eastAsia="Times New Roman" w:hAnsi="Times New Roman" w:cs="Times New Roman"/>
          <w:sz w:val="24"/>
          <w:szCs w:val="24"/>
        </w:rPr>
        <w:t>Vermicompost (VC) @ 1 t ha⁻¹</w:t>
      </w:r>
    </w:p>
    <w:p w14:paraId="2F876721"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T4:</w:t>
      </w:r>
      <w:r w:rsidRPr="00567166">
        <w:rPr>
          <w:rFonts w:ascii="Times New Roman" w:eastAsia="Times New Roman" w:hAnsi="Times New Roman" w:cs="Times New Roman"/>
          <w:sz w:val="24"/>
          <w:szCs w:val="24"/>
        </w:rPr>
        <w:t xml:space="preserve"> 50% RDF + CD @ 1.5 t ha⁻¹ + PM @ 1.5 t ha⁻¹ + VC @ 1.5 t ha⁻¹</w:t>
      </w:r>
    </w:p>
    <w:p w14:paraId="788C1B2D"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T5:</w:t>
      </w:r>
      <w:r w:rsidRPr="00567166">
        <w:rPr>
          <w:rFonts w:ascii="Times New Roman" w:eastAsia="Times New Roman" w:hAnsi="Times New Roman" w:cs="Times New Roman"/>
          <w:sz w:val="24"/>
          <w:szCs w:val="24"/>
        </w:rPr>
        <w:t xml:space="preserve"> 75% RDF + CD @ 1.5 t ha⁻¹ + PM @ 1.5 t ha⁻¹ + VC @ 1.5 t ha⁻¹</w:t>
      </w:r>
    </w:p>
    <w:p w14:paraId="31FB8469" w14:textId="77777777" w:rsidR="00567166" w:rsidRPr="00567166" w:rsidRDefault="00567166" w:rsidP="00F3471F">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b/>
          <w:bCs/>
          <w:sz w:val="24"/>
          <w:szCs w:val="24"/>
        </w:rPr>
        <w:t>T6:</w:t>
      </w:r>
      <w:r w:rsidRPr="00567166">
        <w:rPr>
          <w:rFonts w:ascii="Times New Roman" w:eastAsia="Times New Roman" w:hAnsi="Times New Roman" w:cs="Times New Roman"/>
          <w:sz w:val="24"/>
          <w:szCs w:val="24"/>
        </w:rPr>
        <w:t xml:space="preserve"> 100% RDF + CD @ 1.5 t ha⁻¹ + PM @ 1.5 t ha⁻¹ + VC @ 1.5 t ha⁻¹</w:t>
      </w:r>
    </w:p>
    <w:p w14:paraId="1B7F32CB" w14:textId="234250DB"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The recommended fertilizer dose (RDF) consisted of 132–50–40 kg N–P–K ha⁻¹.</w:t>
      </w:r>
    </w:p>
    <w:p w14:paraId="79CC5881"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3.5 Fertilizer and Organic Amendment Application</w:t>
      </w:r>
    </w:p>
    <w:p w14:paraId="2F6C46FF"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Organic manures (cow dung, poultry manure, and vermicompost) were incorporated into the soil during final land preparation according to the treatment combinations.</w:t>
      </w:r>
    </w:p>
    <w:p w14:paraId="67EC8179"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Nitrogen fertilizer was applied in two splits:</w:t>
      </w:r>
    </w:p>
    <w:p w14:paraId="772FDAD1" w14:textId="77777777" w:rsidR="00567166" w:rsidRPr="00567166" w:rsidRDefault="00567166" w:rsidP="00F3471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50% as basal application at sowing</w:t>
      </w:r>
    </w:p>
    <w:p w14:paraId="01EA784B" w14:textId="77777777" w:rsidR="00567166" w:rsidRPr="00567166" w:rsidRDefault="00567166" w:rsidP="00F3471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Remaining 50% top-dressed at 45 days after sowing (DAS)</w:t>
      </w:r>
    </w:p>
    <w:p w14:paraId="24AF2CEF" w14:textId="20A87C38"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Phosphorus and potassium were applied as basal doses during final land preparation.</w:t>
      </w:r>
    </w:p>
    <w:p w14:paraId="6F5B9919"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3.6 Crop Management Practices</w:t>
      </w:r>
    </w:p>
    <w:p w14:paraId="21E30C38" w14:textId="63968A85"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Seeds of BJRI Kenaf-5 were sown following recommended spacing. Proper agronomic management practices, including weeding, irrigation (if required), pest control, and rouging, were performed uniformly across all treatments to ensure unbiased treatment effects.</w:t>
      </w:r>
    </w:p>
    <w:p w14:paraId="1E587818"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3.7 Data Collection</w:t>
      </w:r>
    </w:p>
    <w:p w14:paraId="4303E997"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Data were recorded from randomly selected plants in each plot on the following parameters:</w:t>
      </w:r>
    </w:p>
    <w:p w14:paraId="08251A87"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Plant population (plants m⁻²)</w:t>
      </w:r>
    </w:p>
    <w:p w14:paraId="12776A43"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lastRenderedPageBreak/>
        <w:t>Plant height (m)</w:t>
      </w:r>
    </w:p>
    <w:p w14:paraId="0A344F2E"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Base diameter (mm)</w:t>
      </w:r>
    </w:p>
    <w:p w14:paraId="13CE4C17"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Fiber yield (t ha⁻¹)</w:t>
      </w:r>
    </w:p>
    <w:p w14:paraId="6C49C08E" w14:textId="77777777" w:rsidR="00567166" w:rsidRPr="00567166" w:rsidRDefault="00567166" w:rsidP="00F3471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Stick yield (t ha⁻¹)</w:t>
      </w:r>
    </w:p>
    <w:p w14:paraId="4415F60C" w14:textId="52A9961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Fiber and stick yields were calculated on a hectare basis after harvest.</w:t>
      </w:r>
    </w:p>
    <w:p w14:paraId="198CF930" w14:textId="77777777" w:rsidR="00567166" w:rsidRPr="00567166" w:rsidRDefault="00567166"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67166">
        <w:rPr>
          <w:rFonts w:ascii="Times New Roman" w:eastAsia="Times New Roman" w:hAnsi="Times New Roman" w:cs="Times New Roman"/>
          <w:b/>
          <w:bCs/>
          <w:sz w:val="24"/>
          <w:szCs w:val="24"/>
        </w:rPr>
        <w:t>3.8 Statistical Analysis</w:t>
      </w:r>
    </w:p>
    <w:p w14:paraId="50405D36"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Data were subjected to analysis of variance (ANOVA) using the RCBD model to determine treatment effects. Mean comparisons were performed using the Least Significant Difference (LSD) test at the 5% probability level.</w:t>
      </w:r>
    </w:p>
    <w:p w14:paraId="5044B1FD" w14:textId="77777777" w:rsidR="00567166" w:rsidRPr="00567166" w:rsidRDefault="00567166" w:rsidP="00F3471F">
      <w:pPr>
        <w:spacing w:before="100" w:beforeAutospacing="1" w:after="100" w:afterAutospacing="1" w:line="240" w:lineRule="auto"/>
        <w:jc w:val="both"/>
        <w:rPr>
          <w:rFonts w:ascii="Times New Roman" w:eastAsia="Times New Roman" w:hAnsi="Times New Roman" w:cs="Times New Roman"/>
          <w:sz w:val="24"/>
          <w:szCs w:val="24"/>
        </w:rPr>
      </w:pPr>
      <w:r w:rsidRPr="00567166">
        <w:rPr>
          <w:rFonts w:ascii="Times New Roman" w:eastAsia="Times New Roman" w:hAnsi="Times New Roman" w:cs="Times New Roman"/>
          <w:sz w:val="24"/>
          <w:szCs w:val="24"/>
        </w:rPr>
        <w:t>Multivariate statistical analyses including Principal Component Analysis (PCA) and Pearson’s correlation were conducted to evaluate relationships among growth and yield parameters.</w:t>
      </w:r>
    </w:p>
    <w:p w14:paraId="55E7C878" w14:textId="77777777" w:rsidR="00B5384B" w:rsidRPr="00F3471F" w:rsidRDefault="00B5384B" w:rsidP="00F3471F">
      <w:pPr>
        <w:pStyle w:val="BodyText2"/>
        <w:spacing w:after="0" w:line="276" w:lineRule="auto"/>
        <w:jc w:val="both"/>
        <w:rPr>
          <w:rFonts w:ascii="Times New Roman" w:hAnsi="Times New Roman"/>
          <w:b/>
        </w:rPr>
      </w:pPr>
    </w:p>
    <w:p w14:paraId="5292DCFF" w14:textId="77777777" w:rsidR="00B5384B" w:rsidRPr="00F3471F" w:rsidRDefault="00B5384B" w:rsidP="00F3471F">
      <w:pPr>
        <w:pStyle w:val="BodyText2"/>
        <w:spacing w:after="0" w:line="276" w:lineRule="auto"/>
        <w:jc w:val="both"/>
        <w:rPr>
          <w:rFonts w:ascii="Times New Roman" w:hAnsi="Times New Roman"/>
          <w:b/>
        </w:rPr>
      </w:pPr>
    </w:p>
    <w:p w14:paraId="76B566C4" w14:textId="77777777" w:rsidR="00B5384B" w:rsidRPr="00F3471F" w:rsidRDefault="00B5384B" w:rsidP="00F3471F">
      <w:pPr>
        <w:pStyle w:val="BodyText2"/>
        <w:spacing w:after="0" w:line="276" w:lineRule="auto"/>
        <w:jc w:val="both"/>
        <w:rPr>
          <w:rFonts w:ascii="Times New Roman" w:hAnsi="Times New Roman"/>
          <w:b/>
        </w:rPr>
      </w:pPr>
    </w:p>
    <w:p w14:paraId="7C3998D7" w14:textId="77777777" w:rsidR="00B5384B" w:rsidRPr="00F3471F" w:rsidRDefault="00B5384B" w:rsidP="00F3471F">
      <w:pPr>
        <w:pStyle w:val="BodyText2"/>
        <w:spacing w:after="0" w:line="276" w:lineRule="auto"/>
        <w:jc w:val="both"/>
        <w:rPr>
          <w:rFonts w:ascii="Times New Roman" w:hAnsi="Times New Roman"/>
          <w:b/>
        </w:rPr>
      </w:pPr>
    </w:p>
    <w:p w14:paraId="23A0228E" w14:textId="77777777" w:rsidR="00B5384B" w:rsidRPr="00F3471F" w:rsidRDefault="00B5384B" w:rsidP="00F3471F">
      <w:pPr>
        <w:pStyle w:val="BodyText2"/>
        <w:spacing w:after="0" w:line="276" w:lineRule="auto"/>
        <w:jc w:val="both"/>
        <w:rPr>
          <w:rFonts w:ascii="Times New Roman" w:hAnsi="Times New Roman"/>
          <w:b/>
        </w:rPr>
      </w:pPr>
    </w:p>
    <w:p w14:paraId="13022707" w14:textId="77777777" w:rsidR="00B5384B" w:rsidRPr="00F3471F" w:rsidRDefault="00B5384B" w:rsidP="00F3471F">
      <w:pPr>
        <w:pStyle w:val="BodyText2"/>
        <w:spacing w:after="0" w:line="276" w:lineRule="auto"/>
        <w:jc w:val="both"/>
        <w:rPr>
          <w:rFonts w:ascii="Times New Roman" w:hAnsi="Times New Roman"/>
          <w:b/>
        </w:rPr>
      </w:pPr>
    </w:p>
    <w:p w14:paraId="679FB5BC" w14:textId="77777777" w:rsidR="004B66A9" w:rsidRDefault="004B66A9" w:rsidP="00F3471F">
      <w:pPr>
        <w:pStyle w:val="BodyText2"/>
        <w:spacing w:after="0" w:line="276" w:lineRule="auto"/>
        <w:jc w:val="both"/>
        <w:rPr>
          <w:rFonts w:ascii="Times New Roman" w:hAnsi="Times New Roman"/>
          <w:b/>
        </w:rPr>
      </w:pPr>
    </w:p>
    <w:p w14:paraId="750BD166" w14:textId="77777777" w:rsidR="004B66A9" w:rsidRDefault="004B66A9" w:rsidP="00F3471F">
      <w:pPr>
        <w:pStyle w:val="BodyText2"/>
        <w:spacing w:after="0" w:line="276" w:lineRule="auto"/>
        <w:jc w:val="both"/>
        <w:rPr>
          <w:rFonts w:ascii="Times New Roman" w:hAnsi="Times New Roman"/>
          <w:b/>
        </w:rPr>
      </w:pPr>
    </w:p>
    <w:p w14:paraId="616D29AB" w14:textId="77777777" w:rsidR="004B66A9" w:rsidRDefault="004B66A9" w:rsidP="00F3471F">
      <w:pPr>
        <w:pStyle w:val="BodyText2"/>
        <w:spacing w:after="0" w:line="276" w:lineRule="auto"/>
        <w:jc w:val="both"/>
        <w:rPr>
          <w:rFonts w:ascii="Times New Roman" w:hAnsi="Times New Roman"/>
          <w:b/>
        </w:rPr>
      </w:pPr>
    </w:p>
    <w:p w14:paraId="33E46973" w14:textId="77777777" w:rsidR="004B66A9" w:rsidRDefault="004B66A9" w:rsidP="00F3471F">
      <w:pPr>
        <w:pStyle w:val="BodyText2"/>
        <w:spacing w:after="0" w:line="276" w:lineRule="auto"/>
        <w:jc w:val="both"/>
        <w:rPr>
          <w:rFonts w:ascii="Times New Roman" w:hAnsi="Times New Roman"/>
          <w:b/>
        </w:rPr>
      </w:pPr>
    </w:p>
    <w:p w14:paraId="5CAE42EF" w14:textId="77777777" w:rsidR="004B66A9" w:rsidRDefault="004B66A9" w:rsidP="00F3471F">
      <w:pPr>
        <w:pStyle w:val="BodyText2"/>
        <w:spacing w:after="0" w:line="276" w:lineRule="auto"/>
        <w:jc w:val="both"/>
        <w:rPr>
          <w:rFonts w:ascii="Times New Roman" w:hAnsi="Times New Roman"/>
          <w:b/>
        </w:rPr>
      </w:pPr>
    </w:p>
    <w:p w14:paraId="05EE568C" w14:textId="65C979FF" w:rsidR="00B5384B" w:rsidRPr="00F3471F" w:rsidRDefault="0040647D" w:rsidP="00F3471F">
      <w:pPr>
        <w:pStyle w:val="BodyText2"/>
        <w:spacing w:after="0" w:line="276" w:lineRule="auto"/>
        <w:jc w:val="both"/>
        <w:rPr>
          <w:rFonts w:ascii="Times New Roman" w:hAnsi="Times New Roman"/>
          <w:b/>
        </w:rPr>
      </w:pPr>
      <w:r>
        <w:rPr>
          <w:rFonts w:ascii="Times New Roman" w:hAnsi="Times New Roman"/>
          <w:b/>
        </w:rPr>
        <w:t>Result and Discussion</w:t>
      </w:r>
    </w:p>
    <w:p w14:paraId="5C46D5A8" w14:textId="77777777" w:rsidR="00D76104" w:rsidRPr="00F3471F" w:rsidRDefault="00D76104" w:rsidP="00F3471F">
      <w:pPr>
        <w:spacing w:after="0" w:line="240" w:lineRule="auto"/>
        <w:contextualSpacing/>
        <w:jc w:val="both"/>
        <w:rPr>
          <w:rFonts w:ascii="Times New Roman" w:hAnsi="Times New Roman" w:cs="Times New Roman"/>
          <w:sz w:val="24"/>
          <w:szCs w:val="24"/>
          <w:lang w:bidi="bn-IN"/>
        </w:rPr>
      </w:pPr>
    </w:p>
    <w:p w14:paraId="247F8445" w14:textId="77777777" w:rsidR="00D76104" w:rsidRPr="00F3471F" w:rsidRDefault="00D76104" w:rsidP="00F3471F">
      <w:pPr>
        <w:jc w:val="both"/>
        <w:rPr>
          <w:rFonts w:ascii="Times New Roman" w:hAnsi="Times New Roman" w:cs="Times New Roman"/>
          <w:b/>
          <w:bCs/>
          <w:sz w:val="24"/>
          <w:szCs w:val="24"/>
        </w:rPr>
      </w:pPr>
      <w:r w:rsidRPr="00F3471F">
        <w:rPr>
          <w:rFonts w:ascii="Times New Roman" w:hAnsi="Times New Roman" w:cs="Times New Roman"/>
          <w:b/>
          <w:bCs/>
          <w:sz w:val="24"/>
          <w:szCs w:val="24"/>
        </w:rPr>
        <w:t>Table 1: Yield and yield contributing characters of BJRI Kenaf-5 with different sources of inorganic &amp; organic fertilizer at Kishoreganj.</w:t>
      </w:r>
    </w:p>
    <w:p w14:paraId="4B0216AB" w14:textId="77777777" w:rsidR="00D76104" w:rsidRPr="00F3471F" w:rsidRDefault="00D76104" w:rsidP="00F3471F">
      <w:pPr>
        <w:pStyle w:val="ListParagraph"/>
        <w:ind w:left="1080"/>
        <w:jc w:val="both"/>
        <w:rPr>
          <w:rFonts w:ascii="Times New Roman" w:hAnsi="Times New Roman" w:cs="Times New Roman"/>
          <w:sz w:val="24"/>
          <w:szCs w:val="24"/>
        </w:rPr>
      </w:pPr>
    </w:p>
    <w:tbl>
      <w:tblPr>
        <w:tblStyle w:val="TableGrid1"/>
        <w:tblW w:w="9862" w:type="dxa"/>
        <w:tblInd w:w="-185" w:type="dxa"/>
        <w:tblLook w:val="04A0" w:firstRow="1" w:lastRow="0" w:firstColumn="1" w:lastColumn="0" w:noHBand="0" w:noVBand="1"/>
      </w:tblPr>
      <w:tblGrid>
        <w:gridCol w:w="990"/>
        <w:gridCol w:w="1260"/>
        <w:gridCol w:w="1620"/>
        <w:gridCol w:w="1216"/>
        <w:gridCol w:w="1844"/>
        <w:gridCol w:w="1440"/>
        <w:gridCol w:w="1492"/>
      </w:tblGrid>
      <w:tr w:rsidR="00D76104" w:rsidRPr="00F3471F" w14:paraId="62F0175E" w14:textId="77777777" w:rsidTr="0040647D">
        <w:trPr>
          <w:trHeight w:val="799"/>
        </w:trPr>
        <w:tc>
          <w:tcPr>
            <w:tcW w:w="990" w:type="dxa"/>
          </w:tcPr>
          <w:p w14:paraId="2A2C828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Sl. No.</w:t>
            </w:r>
          </w:p>
        </w:tc>
        <w:tc>
          <w:tcPr>
            <w:tcW w:w="1260" w:type="dxa"/>
          </w:tcPr>
          <w:p w14:paraId="089837C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Treatment</w:t>
            </w:r>
          </w:p>
        </w:tc>
        <w:tc>
          <w:tcPr>
            <w:tcW w:w="1620" w:type="dxa"/>
          </w:tcPr>
          <w:p w14:paraId="52A1AD9B" w14:textId="77777777" w:rsidR="00D76104" w:rsidRPr="00F3471F" w:rsidRDefault="00D76104" w:rsidP="00F3471F">
            <w:pPr>
              <w:jc w:val="both"/>
              <w:rPr>
                <w:rFonts w:ascii="Times New Roman" w:hAnsi="Times New Roman" w:cs="Times New Roman"/>
                <w:sz w:val="24"/>
                <w:szCs w:val="24"/>
                <w:vertAlign w:val="superscript"/>
              </w:rPr>
            </w:pPr>
            <w:r w:rsidRPr="00F3471F">
              <w:rPr>
                <w:rFonts w:ascii="Times New Roman" w:eastAsia="Times New Roman" w:hAnsi="Times New Roman" w:cs="Times New Roman"/>
                <w:color w:val="000000"/>
                <w:sz w:val="24"/>
                <w:szCs w:val="24"/>
              </w:rPr>
              <w:t>Plant Population/m</w:t>
            </w:r>
            <w:r w:rsidRPr="00F3471F">
              <w:rPr>
                <w:rFonts w:ascii="Times New Roman" w:eastAsia="Times New Roman" w:hAnsi="Times New Roman" w:cs="Times New Roman"/>
                <w:color w:val="000000"/>
                <w:sz w:val="24"/>
                <w:szCs w:val="24"/>
                <w:vertAlign w:val="superscript"/>
              </w:rPr>
              <w:t>2</w:t>
            </w:r>
          </w:p>
        </w:tc>
        <w:tc>
          <w:tcPr>
            <w:tcW w:w="1216" w:type="dxa"/>
          </w:tcPr>
          <w:p w14:paraId="1F8DEFFF" w14:textId="77777777" w:rsidR="00D76104" w:rsidRPr="00F3471F" w:rsidRDefault="00D76104" w:rsidP="00F3471F">
            <w:pPr>
              <w:jc w:val="both"/>
              <w:rPr>
                <w:rFonts w:ascii="Times New Roman" w:hAnsi="Times New Roman" w:cs="Times New Roman"/>
                <w:sz w:val="24"/>
                <w:szCs w:val="24"/>
              </w:rPr>
            </w:pPr>
            <w:r w:rsidRPr="00F3471F">
              <w:rPr>
                <w:rFonts w:ascii="Times New Roman" w:eastAsia="Times New Roman" w:hAnsi="Times New Roman" w:cs="Times New Roman"/>
                <w:color w:val="000000"/>
                <w:sz w:val="24"/>
                <w:szCs w:val="24"/>
              </w:rPr>
              <w:t>Plant Height(m)</w:t>
            </w:r>
          </w:p>
        </w:tc>
        <w:tc>
          <w:tcPr>
            <w:tcW w:w="1844" w:type="dxa"/>
          </w:tcPr>
          <w:p w14:paraId="233CD790" w14:textId="77777777" w:rsidR="00D76104" w:rsidRPr="00F3471F" w:rsidRDefault="00D76104" w:rsidP="00F3471F">
            <w:pPr>
              <w:jc w:val="both"/>
              <w:rPr>
                <w:rFonts w:ascii="Times New Roman" w:eastAsia="Times New Roman" w:hAnsi="Times New Roman" w:cs="Times New Roman"/>
                <w:color w:val="000000"/>
                <w:sz w:val="24"/>
                <w:szCs w:val="24"/>
              </w:rPr>
            </w:pPr>
            <w:r w:rsidRPr="00F3471F">
              <w:rPr>
                <w:rFonts w:ascii="Times New Roman" w:eastAsia="Times New Roman" w:hAnsi="Times New Roman" w:cs="Times New Roman"/>
                <w:color w:val="000000"/>
                <w:sz w:val="24"/>
                <w:szCs w:val="24"/>
              </w:rPr>
              <w:t>Base Diameter(mm)</w:t>
            </w:r>
          </w:p>
          <w:p w14:paraId="7026858D" w14:textId="77777777" w:rsidR="00D76104" w:rsidRPr="00F3471F" w:rsidRDefault="00D76104" w:rsidP="00F3471F">
            <w:pPr>
              <w:jc w:val="both"/>
              <w:rPr>
                <w:rFonts w:ascii="Times New Roman" w:hAnsi="Times New Roman" w:cs="Times New Roman"/>
                <w:sz w:val="24"/>
                <w:szCs w:val="24"/>
              </w:rPr>
            </w:pPr>
          </w:p>
        </w:tc>
        <w:tc>
          <w:tcPr>
            <w:tcW w:w="1440" w:type="dxa"/>
          </w:tcPr>
          <w:p w14:paraId="10DE750D" w14:textId="77777777" w:rsidR="00D76104" w:rsidRPr="00F3471F" w:rsidRDefault="00D76104" w:rsidP="00F3471F">
            <w:pPr>
              <w:jc w:val="both"/>
              <w:rPr>
                <w:rFonts w:ascii="Times New Roman" w:hAnsi="Times New Roman" w:cs="Times New Roman"/>
                <w:sz w:val="24"/>
                <w:szCs w:val="24"/>
              </w:rPr>
            </w:pPr>
            <w:r w:rsidRPr="00F3471F">
              <w:rPr>
                <w:rFonts w:ascii="Times New Roman" w:eastAsia="Times New Roman" w:hAnsi="Times New Roman" w:cs="Times New Roman"/>
                <w:color w:val="000000"/>
                <w:sz w:val="24"/>
                <w:szCs w:val="24"/>
              </w:rPr>
              <w:t>Fiber Yield(t/ha)</w:t>
            </w:r>
          </w:p>
        </w:tc>
        <w:tc>
          <w:tcPr>
            <w:tcW w:w="1492" w:type="dxa"/>
          </w:tcPr>
          <w:p w14:paraId="413D2CE5" w14:textId="77777777" w:rsidR="00D76104" w:rsidRPr="00F3471F" w:rsidRDefault="00D76104" w:rsidP="00F3471F">
            <w:pPr>
              <w:jc w:val="both"/>
              <w:rPr>
                <w:rFonts w:ascii="Times New Roman" w:hAnsi="Times New Roman" w:cs="Times New Roman"/>
                <w:sz w:val="24"/>
                <w:szCs w:val="24"/>
              </w:rPr>
            </w:pPr>
            <w:r w:rsidRPr="00F3471F">
              <w:rPr>
                <w:rFonts w:ascii="Times New Roman" w:eastAsia="Times New Roman" w:hAnsi="Times New Roman" w:cs="Times New Roman"/>
                <w:color w:val="000000"/>
                <w:sz w:val="24"/>
                <w:szCs w:val="24"/>
              </w:rPr>
              <w:t>Stick Yield(t/ha)</w:t>
            </w:r>
          </w:p>
        </w:tc>
      </w:tr>
      <w:tr w:rsidR="00D76104" w:rsidRPr="00F3471F" w14:paraId="6DF274B5" w14:textId="77777777" w:rsidTr="0040647D">
        <w:trPr>
          <w:trHeight w:val="296"/>
        </w:trPr>
        <w:tc>
          <w:tcPr>
            <w:tcW w:w="990" w:type="dxa"/>
          </w:tcPr>
          <w:p w14:paraId="2FBD6A9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w:t>
            </w:r>
          </w:p>
        </w:tc>
        <w:tc>
          <w:tcPr>
            <w:tcW w:w="1260" w:type="dxa"/>
          </w:tcPr>
          <w:p w14:paraId="10AFA702"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1</w:t>
            </w:r>
          </w:p>
        </w:tc>
        <w:tc>
          <w:tcPr>
            <w:tcW w:w="1620" w:type="dxa"/>
          </w:tcPr>
          <w:p w14:paraId="3DA6C46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25.00 b</w:t>
            </w:r>
          </w:p>
        </w:tc>
        <w:tc>
          <w:tcPr>
            <w:tcW w:w="1216" w:type="dxa"/>
          </w:tcPr>
          <w:p w14:paraId="41C8901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1.98 c</w:t>
            </w:r>
          </w:p>
        </w:tc>
        <w:tc>
          <w:tcPr>
            <w:tcW w:w="1844" w:type="dxa"/>
          </w:tcPr>
          <w:p w14:paraId="464D57F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11.99 d</w:t>
            </w:r>
          </w:p>
        </w:tc>
        <w:tc>
          <w:tcPr>
            <w:tcW w:w="1440" w:type="dxa"/>
          </w:tcPr>
          <w:p w14:paraId="203477B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1.91 e</w:t>
            </w:r>
          </w:p>
        </w:tc>
        <w:tc>
          <w:tcPr>
            <w:tcW w:w="1492" w:type="dxa"/>
          </w:tcPr>
          <w:p w14:paraId="17E2AC2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3.88 e</w:t>
            </w:r>
          </w:p>
        </w:tc>
      </w:tr>
      <w:tr w:rsidR="00D76104" w:rsidRPr="00F3471F" w14:paraId="212B41CF" w14:textId="77777777" w:rsidTr="0040647D">
        <w:trPr>
          <w:trHeight w:val="296"/>
        </w:trPr>
        <w:tc>
          <w:tcPr>
            <w:tcW w:w="990" w:type="dxa"/>
          </w:tcPr>
          <w:p w14:paraId="0974343A"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w:t>
            </w:r>
          </w:p>
        </w:tc>
        <w:tc>
          <w:tcPr>
            <w:tcW w:w="1260" w:type="dxa"/>
          </w:tcPr>
          <w:p w14:paraId="4A043AE9"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2</w:t>
            </w:r>
          </w:p>
        </w:tc>
        <w:tc>
          <w:tcPr>
            <w:tcW w:w="1620" w:type="dxa"/>
          </w:tcPr>
          <w:p w14:paraId="1F54CC1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28.00 a</w:t>
            </w:r>
          </w:p>
        </w:tc>
        <w:tc>
          <w:tcPr>
            <w:tcW w:w="1216" w:type="dxa"/>
          </w:tcPr>
          <w:p w14:paraId="132596B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2.42 b</w:t>
            </w:r>
          </w:p>
        </w:tc>
        <w:tc>
          <w:tcPr>
            <w:tcW w:w="1844" w:type="dxa"/>
          </w:tcPr>
          <w:p w14:paraId="2413016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15.39 c</w:t>
            </w:r>
          </w:p>
        </w:tc>
        <w:tc>
          <w:tcPr>
            <w:tcW w:w="1440" w:type="dxa"/>
          </w:tcPr>
          <w:p w14:paraId="082ABFD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2.41 d</w:t>
            </w:r>
          </w:p>
        </w:tc>
        <w:tc>
          <w:tcPr>
            <w:tcW w:w="1492" w:type="dxa"/>
          </w:tcPr>
          <w:p w14:paraId="6B0E5DA4"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4.87 d</w:t>
            </w:r>
          </w:p>
        </w:tc>
      </w:tr>
      <w:tr w:rsidR="00D76104" w:rsidRPr="00F3471F" w14:paraId="026CC3C9" w14:textId="77777777" w:rsidTr="0040647D">
        <w:trPr>
          <w:trHeight w:val="305"/>
        </w:trPr>
        <w:tc>
          <w:tcPr>
            <w:tcW w:w="990" w:type="dxa"/>
          </w:tcPr>
          <w:p w14:paraId="138864F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w:t>
            </w:r>
          </w:p>
        </w:tc>
        <w:tc>
          <w:tcPr>
            <w:tcW w:w="1260" w:type="dxa"/>
          </w:tcPr>
          <w:p w14:paraId="72960522"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3</w:t>
            </w:r>
          </w:p>
        </w:tc>
        <w:tc>
          <w:tcPr>
            <w:tcW w:w="1620" w:type="dxa"/>
          </w:tcPr>
          <w:p w14:paraId="004FEC68"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 xml:space="preserve">29.00 a </w:t>
            </w:r>
          </w:p>
        </w:tc>
        <w:tc>
          <w:tcPr>
            <w:tcW w:w="1216" w:type="dxa"/>
          </w:tcPr>
          <w:p w14:paraId="152CF96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2.81 a</w:t>
            </w:r>
          </w:p>
        </w:tc>
        <w:tc>
          <w:tcPr>
            <w:tcW w:w="1844" w:type="dxa"/>
          </w:tcPr>
          <w:p w14:paraId="79695B15"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17.43 b</w:t>
            </w:r>
          </w:p>
        </w:tc>
        <w:tc>
          <w:tcPr>
            <w:tcW w:w="1440" w:type="dxa"/>
          </w:tcPr>
          <w:p w14:paraId="59D81B5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2.68 c</w:t>
            </w:r>
          </w:p>
        </w:tc>
        <w:tc>
          <w:tcPr>
            <w:tcW w:w="1492" w:type="dxa"/>
          </w:tcPr>
          <w:p w14:paraId="529D951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5.43 c</w:t>
            </w:r>
          </w:p>
        </w:tc>
      </w:tr>
      <w:tr w:rsidR="00D76104" w:rsidRPr="00F3471F" w14:paraId="73894841" w14:textId="77777777" w:rsidTr="0040647D">
        <w:trPr>
          <w:trHeight w:val="296"/>
        </w:trPr>
        <w:tc>
          <w:tcPr>
            <w:tcW w:w="990" w:type="dxa"/>
          </w:tcPr>
          <w:p w14:paraId="219FAD3E"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lastRenderedPageBreak/>
              <w:t>4</w:t>
            </w:r>
          </w:p>
        </w:tc>
        <w:tc>
          <w:tcPr>
            <w:tcW w:w="1260" w:type="dxa"/>
          </w:tcPr>
          <w:p w14:paraId="05C5F859"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4</w:t>
            </w:r>
          </w:p>
        </w:tc>
        <w:tc>
          <w:tcPr>
            <w:tcW w:w="1620" w:type="dxa"/>
          </w:tcPr>
          <w:p w14:paraId="16D52A2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30.00 a</w:t>
            </w:r>
          </w:p>
        </w:tc>
        <w:tc>
          <w:tcPr>
            <w:tcW w:w="1216" w:type="dxa"/>
          </w:tcPr>
          <w:p w14:paraId="0ABDE585"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3.04 a</w:t>
            </w:r>
          </w:p>
        </w:tc>
        <w:tc>
          <w:tcPr>
            <w:tcW w:w="1844" w:type="dxa"/>
          </w:tcPr>
          <w:p w14:paraId="321AD544"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19.63 a</w:t>
            </w:r>
          </w:p>
        </w:tc>
        <w:tc>
          <w:tcPr>
            <w:tcW w:w="1440" w:type="dxa"/>
          </w:tcPr>
          <w:p w14:paraId="4A74632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3.11 ab</w:t>
            </w:r>
          </w:p>
        </w:tc>
        <w:tc>
          <w:tcPr>
            <w:tcW w:w="1492" w:type="dxa"/>
          </w:tcPr>
          <w:p w14:paraId="6E0C93A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6.43 ab</w:t>
            </w:r>
          </w:p>
        </w:tc>
      </w:tr>
      <w:tr w:rsidR="00D76104" w:rsidRPr="00F3471F" w14:paraId="08141726" w14:textId="77777777" w:rsidTr="0040647D">
        <w:trPr>
          <w:trHeight w:val="296"/>
        </w:trPr>
        <w:tc>
          <w:tcPr>
            <w:tcW w:w="990" w:type="dxa"/>
          </w:tcPr>
          <w:p w14:paraId="74A5D6AD"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w:t>
            </w:r>
          </w:p>
        </w:tc>
        <w:tc>
          <w:tcPr>
            <w:tcW w:w="1260" w:type="dxa"/>
          </w:tcPr>
          <w:p w14:paraId="1929AECD"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5</w:t>
            </w:r>
          </w:p>
        </w:tc>
        <w:tc>
          <w:tcPr>
            <w:tcW w:w="1620" w:type="dxa"/>
          </w:tcPr>
          <w:p w14:paraId="6F239D00"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31.00 a</w:t>
            </w:r>
          </w:p>
        </w:tc>
        <w:tc>
          <w:tcPr>
            <w:tcW w:w="1216" w:type="dxa"/>
          </w:tcPr>
          <w:p w14:paraId="444B017C"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3.11 a</w:t>
            </w:r>
          </w:p>
        </w:tc>
        <w:tc>
          <w:tcPr>
            <w:tcW w:w="1844" w:type="dxa"/>
          </w:tcPr>
          <w:p w14:paraId="0C84CEE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18.87 ab</w:t>
            </w:r>
          </w:p>
        </w:tc>
        <w:tc>
          <w:tcPr>
            <w:tcW w:w="1440" w:type="dxa"/>
          </w:tcPr>
          <w:p w14:paraId="5E018FF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3.05 b</w:t>
            </w:r>
          </w:p>
        </w:tc>
        <w:tc>
          <w:tcPr>
            <w:tcW w:w="1492" w:type="dxa"/>
          </w:tcPr>
          <w:p w14:paraId="7CFCC4BA"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6.11b</w:t>
            </w:r>
          </w:p>
        </w:tc>
      </w:tr>
      <w:tr w:rsidR="00D76104" w:rsidRPr="00F3471F" w14:paraId="0E209807" w14:textId="77777777" w:rsidTr="0040647D">
        <w:trPr>
          <w:trHeight w:val="296"/>
        </w:trPr>
        <w:tc>
          <w:tcPr>
            <w:tcW w:w="990" w:type="dxa"/>
          </w:tcPr>
          <w:p w14:paraId="05C8BEC9"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w:t>
            </w:r>
          </w:p>
        </w:tc>
        <w:tc>
          <w:tcPr>
            <w:tcW w:w="1260" w:type="dxa"/>
          </w:tcPr>
          <w:p w14:paraId="014BDE6B" w14:textId="77777777" w:rsidR="00D76104" w:rsidRPr="00F3471F" w:rsidRDefault="00D76104" w:rsidP="00F3471F">
            <w:pPr>
              <w:jc w:val="both"/>
              <w:rPr>
                <w:rFonts w:ascii="Times New Roman" w:hAnsi="Times New Roman" w:cs="Times New Roman"/>
                <w:sz w:val="24"/>
                <w:szCs w:val="24"/>
                <w:vertAlign w:val="subscript"/>
              </w:rPr>
            </w:pPr>
            <w:r w:rsidRPr="00F3471F">
              <w:rPr>
                <w:rFonts w:ascii="Times New Roman" w:hAnsi="Times New Roman" w:cs="Times New Roman"/>
                <w:sz w:val="24"/>
                <w:szCs w:val="24"/>
              </w:rPr>
              <w:t>T</w:t>
            </w:r>
            <w:r w:rsidRPr="00F3471F">
              <w:rPr>
                <w:rFonts w:ascii="Times New Roman" w:hAnsi="Times New Roman" w:cs="Times New Roman"/>
                <w:sz w:val="24"/>
                <w:szCs w:val="24"/>
                <w:vertAlign w:val="subscript"/>
              </w:rPr>
              <w:t>6</w:t>
            </w:r>
          </w:p>
        </w:tc>
        <w:tc>
          <w:tcPr>
            <w:tcW w:w="1620" w:type="dxa"/>
          </w:tcPr>
          <w:p w14:paraId="56A06797"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32.00 a</w:t>
            </w:r>
          </w:p>
        </w:tc>
        <w:tc>
          <w:tcPr>
            <w:tcW w:w="1216" w:type="dxa"/>
          </w:tcPr>
          <w:p w14:paraId="62B2F8F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3.06 a</w:t>
            </w:r>
          </w:p>
        </w:tc>
        <w:tc>
          <w:tcPr>
            <w:tcW w:w="1844" w:type="dxa"/>
          </w:tcPr>
          <w:p w14:paraId="0705799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19.17 a</w:t>
            </w:r>
          </w:p>
        </w:tc>
        <w:tc>
          <w:tcPr>
            <w:tcW w:w="1440" w:type="dxa"/>
          </w:tcPr>
          <w:p w14:paraId="781569BE"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3.36 a</w:t>
            </w:r>
          </w:p>
        </w:tc>
        <w:tc>
          <w:tcPr>
            <w:tcW w:w="1492" w:type="dxa"/>
          </w:tcPr>
          <w:p w14:paraId="68869575"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6.73 a</w:t>
            </w:r>
          </w:p>
        </w:tc>
      </w:tr>
      <w:tr w:rsidR="00D76104" w:rsidRPr="00F3471F" w14:paraId="58616EE9" w14:textId="77777777" w:rsidTr="0040647D">
        <w:trPr>
          <w:trHeight w:val="296"/>
        </w:trPr>
        <w:tc>
          <w:tcPr>
            <w:tcW w:w="990" w:type="dxa"/>
          </w:tcPr>
          <w:p w14:paraId="1374F4F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7</w:t>
            </w:r>
          </w:p>
        </w:tc>
        <w:tc>
          <w:tcPr>
            <w:tcW w:w="1260" w:type="dxa"/>
          </w:tcPr>
          <w:p w14:paraId="08E5CECB"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Mean</w:t>
            </w:r>
          </w:p>
        </w:tc>
        <w:tc>
          <w:tcPr>
            <w:tcW w:w="1620" w:type="dxa"/>
          </w:tcPr>
          <w:p w14:paraId="733B0448"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29.16</w:t>
            </w:r>
          </w:p>
        </w:tc>
        <w:tc>
          <w:tcPr>
            <w:tcW w:w="1216" w:type="dxa"/>
          </w:tcPr>
          <w:p w14:paraId="3A202363"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2.73</w:t>
            </w:r>
          </w:p>
        </w:tc>
        <w:tc>
          <w:tcPr>
            <w:tcW w:w="1844" w:type="dxa"/>
          </w:tcPr>
          <w:p w14:paraId="7DFA4FB9"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17.08</w:t>
            </w:r>
          </w:p>
        </w:tc>
        <w:tc>
          <w:tcPr>
            <w:tcW w:w="1440" w:type="dxa"/>
          </w:tcPr>
          <w:p w14:paraId="06D16658"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2.75</w:t>
            </w:r>
          </w:p>
        </w:tc>
        <w:tc>
          <w:tcPr>
            <w:tcW w:w="1492" w:type="dxa"/>
          </w:tcPr>
          <w:p w14:paraId="2A4FF47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5.56</w:t>
            </w:r>
          </w:p>
        </w:tc>
      </w:tr>
      <w:tr w:rsidR="00D76104" w:rsidRPr="00F3471F" w14:paraId="4A2E03EE" w14:textId="77777777" w:rsidTr="0040647D">
        <w:trPr>
          <w:trHeight w:val="144"/>
        </w:trPr>
        <w:tc>
          <w:tcPr>
            <w:tcW w:w="990" w:type="dxa"/>
          </w:tcPr>
          <w:p w14:paraId="2CE8D50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8</w:t>
            </w:r>
          </w:p>
        </w:tc>
        <w:tc>
          <w:tcPr>
            <w:tcW w:w="1260" w:type="dxa"/>
          </w:tcPr>
          <w:p w14:paraId="7B408AE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CV</w:t>
            </w:r>
          </w:p>
        </w:tc>
        <w:tc>
          <w:tcPr>
            <w:tcW w:w="1620" w:type="dxa"/>
          </w:tcPr>
          <w:p w14:paraId="761EF186"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7.35</w:t>
            </w:r>
          </w:p>
        </w:tc>
        <w:tc>
          <w:tcPr>
            <w:tcW w:w="1216" w:type="dxa"/>
          </w:tcPr>
          <w:p w14:paraId="1C24A7E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6.06</w:t>
            </w:r>
          </w:p>
        </w:tc>
        <w:tc>
          <w:tcPr>
            <w:tcW w:w="1844" w:type="dxa"/>
          </w:tcPr>
          <w:p w14:paraId="45492281"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5.56</w:t>
            </w:r>
          </w:p>
        </w:tc>
        <w:tc>
          <w:tcPr>
            <w:tcW w:w="1440" w:type="dxa"/>
          </w:tcPr>
          <w:p w14:paraId="21BD7872"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5.50</w:t>
            </w:r>
          </w:p>
        </w:tc>
        <w:tc>
          <w:tcPr>
            <w:tcW w:w="1492" w:type="dxa"/>
          </w:tcPr>
          <w:p w14:paraId="7CC26F1F" w14:textId="77777777" w:rsidR="00D76104" w:rsidRPr="00F3471F" w:rsidRDefault="00D76104" w:rsidP="00F3471F">
            <w:pPr>
              <w:jc w:val="both"/>
              <w:rPr>
                <w:rFonts w:ascii="Times New Roman" w:hAnsi="Times New Roman" w:cs="Times New Roman"/>
                <w:sz w:val="24"/>
                <w:szCs w:val="24"/>
              </w:rPr>
            </w:pPr>
            <w:r w:rsidRPr="00F3471F">
              <w:rPr>
                <w:rFonts w:ascii="Times New Roman" w:hAnsi="Times New Roman" w:cs="Times New Roman"/>
                <w:sz w:val="24"/>
                <w:szCs w:val="24"/>
              </w:rPr>
              <w:t>5.34</w:t>
            </w:r>
          </w:p>
        </w:tc>
      </w:tr>
    </w:tbl>
    <w:p w14:paraId="09E0FCF4" w14:textId="77777777" w:rsidR="00D76104" w:rsidRPr="00F3471F" w:rsidRDefault="00D76104" w:rsidP="00F3471F">
      <w:pPr>
        <w:spacing w:after="0" w:line="240" w:lineRule="auto"/>
        <w:jc w:val="both"/>
        <w:rPr>
          <w:rFonts w:ascii="Times New Roman" w:hAnsi="Times New Roman" w:cs="Times New Roman"/>
          <w:sz w:val="24"/>
          <w:szCs w:val="24"/>
        </w:rPr>
      </w:pPr>
    </w:p>
    <w:p w14:paraId="1754C04F" w14:textId="77777777" w:rsidR="00D76104" w:rsidRPr="00F3471F" w:rsidRDefault="00D76104" w:rsidP="00F3471F">
      <w:pPr>
        <w:spacing w:after="0" w:line="240" w:lineRule="auto"/>
        <w:jc w:val="both"/>
        <w:rPr>
          <w:rFonts w:ascii="Times New Roman" w:hAnsi="Times New Roman" w:cs="Times New Roman"/>
          <w:sz w:val="24"/>
          <w:szCs w:val="24"/>
        </w:rPr>
      </w:pPr>
    </w:p>
    <w:p w14:paraId="29625BDC" w14:textId="77777777" w:rsidR="00D76104" w:rsidRPr="00F3471F" w:rsidRDefault="00D76104"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sz w:val="24"/>
          <w:szCs w:val="24"/>
        </w:rPr>
        <w:t>According to table 1 the results indicate significant differences among the treatments. The plant population per square meter was lowest in the T</w:t>
      </w:r>
      <w:r w:rsidRPr="00F3471F">
        <w:rPr>
          <w:rFonts w:ascii="Times New Roman" w:hAnsi="Times New Roman" w:cs="Times New Roman"/>
          <w:sz w:val="24"/>
          <w:szCs w:val="24"/>
          <w:vertAlign w:val="subscript"/>
        </w:rPr>
        <w:t>1</w:t>
      </w:r>
      <w:r w:rsidRPr="00F3471F">
        <w:rPr>
          <w:rFonts w:ascii="Times New Roman" w:hAnsi="Times New Roman" w:cs="Times New Roman"/>
          <w:sz w:val="24"/>
          <w:szCs w:val="24"/>
        </w:rPr>
        <w:t xml:space="preserve"> treatment. In case of plant height was highest in the T</w:t>
      </w:r>
      <w:r w:rsidRPr="00F3471F">
        <w:rPr>
          <w:rFonts w:ascii="Times New Roman" w:hAnsi="Times New Roman" w:cs="Times New Roman"/>
          <w:sz w:val="24"/>
          <w:szCs w:val="24"/>
          <w:vertAlign w:val="subscript"/>
        </w:rPr>
        <w:t>5</w:t>
      </w:r>
      <w:r w:rsidRPr="00F3471F">
        <w:rPr>
          <w:rFonts w:ascii="Times New Roman" w:hAnsi="Times New Roman" w:cs="Times New Roman"/>
          <w:sz w:val="24"/>
          <w:szCs w:val="24"/>
        </w:rPr>
        <w:t xml:space="preserve"> treatment, reaching 3.11 meters. The base diameter was greatest in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at 19.17 mm. Importantly, fiber yield peaked in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at 3.36 t/ha, while T</w:t>
      </w:r>
      <w:r w:rsidRPr="00F3471F">
        <w:rPr>
          <w:rFonts w:ascii="Times New Roman" w:hAnsi="Times New Roman" w:cs="Times New Roman"/>
          <w:sz w:val="24"/>
          <w:szCs w:val="24"/>
          <w:vertAlign w:val="subscript"/>
        </w:rPr>
        <w:t xml:space="preserve">1 </w:t>
      </w:r>
      <w:r w:rsidRPr="00F3471F">
        <w:rPr>
          <w:rFonts w:ascii="Times New Roman" w:hAnsi="Times New Roman" w:cs="Times New Roman"/>
          <w:sz w:val="24"/>
          <w:szCs w:val="24"/>
        </w:rPr>
        <w:t>treatment had the lowest fiber yield at 1.91 t/ha. Stick yield was also highest in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producing 6.73 t/ha, whereas the T</w:t>
      </w:r>
      <w:r w:rsidRPr="00F3471F">
        <w:rPr>
          <w:rFonts w:ascii="Times New Roman" w:hAnsi="Times New Roman" w:cs="Times New Roman"/>
          <w:sz w:val="24"/>
          <w:szCs w:val="24"/>
          <w:vertAlign w:val="subscript"/>
        </w:rPr>
        <w:t xml:space="preserve">1 </w:t>
      </w:r>
      <w:r w:rsidRPr="00F3471F">
        <w:rPr>
          <w:rFonts w:ascii="Times New Roman" w:hAnsi="Times New Roman" w:cs="Times New Roman"/>
          <w:sz w:val="24"/>
          <w:szCs w:val="24"/>
        </w:rPr>
        <w:t>treatment yielded the lowest at 3.88 t/ha. Additionally, the T</w:t>
      </w:r>
      <w:r w:rsidRPr="00F3471F">
        <w:rPr>
          <w:rFonts w:ascii="Times New Roman" w:hAnsi="Times New Roman" w:cs="Times New Roman"/>
          <w:sz w:val="24"/>
          <w:szCs w:val="24"/>
          <w:vertAlign w:val="subscript"/>
        </w:rPr>
        <w:t>4</w:t>
      </w:r>
      <w:r w:rsidRPr="00F3471F">
        <w:rPr>
          <w:rFonts w:ascii="Times New Roman" w:hAnsi="Times New Roman" w:cs="Times New Roman"/>
          <w:sz w:val="24"/>
          <w:szCs w:val="24"/>
        </w:rPr>
        <w:t xml:space="preserve"> and T</w:t>
      </w:r>
      <w:r w:rsidRPr="00F3471F">
        <w:rPr>
          <w:rFonts w:ascii="Times New Roman" w:hAnsi="Times New Roman" w:cs="Times New Roman"/>
          <w:sz w:val="24"/>
          <w:szCs w:val="24"/>
          <w:vertAlign w:val="subscript"/>
        </w:rPr>
        <w:t>5</w:t>
      </w:r>
      <w:r w:rsidRPr="00F3471F">
        <w:rPr>
          <w:rFonts w:ascii="Times New Roman" w:hAnsi="Times New Roman" w:cs="Times New Roman"/>
          <w:sz w:val="24"/>
          <w:szCs w:val="24"/>
        </w:rPr>
        <w:t xml:space="preserve"> treatments showed significant stick yield values.</w:t>
      </w:r>
      <w:r w:rsidRPr="00F3471F">
        <w:rPr>
          <w:rFonts w:ascii="Times New Roman" w:hAnsi="Times New Roman" w:cs="Times New Roman"/>
          <w:color w:val="0D0D0D"/>
          <w:sz w:val="24"/>
          <w:szCs w:val="24"/>
          <w:shd w:val="clear" w:color="auto" w:fill="FFFFFF"/>
        </w:rPr>
        <w:t xml:space="preserve"> The mean values for fiber yield across all treatments was 2.75 t/ha, with a coefficient of variation (CV) of 5.50%. This indicates a relatively consistent effect of the treatments on fiber yield across different trials.</w:t>
      </w:r>
      <w:r w:rsidRPr="00F3471F">
        <w:rPr>
          <w:rFonts w:ascii="Times New Roman" w:hAnsi="Times New Roman" w:cs="Times New Roman"/>
          <w:sz w:val="24"/>
          <w:szCs w:val="24"/>
        </w:rPr>
        <w:t xml:space="preserve"> </w:t>
      </w:r>
    </w:p>
    <w:p w14:paraId="3D6AD380" w14:textId="1510D6C8" w:rsidR="00D76104" w:rsidRPr="00F3471F" w:rsidRDefault="00D76104"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sz w:val="24"/>
          <w:szCs w:val="24"/>
        </w:rPr>
        <w:t>In conclusion, the study highlights the effectiveness of the T</w:t>
      </w:r>
      <w:r w:rsidRPr="00F3471F">
        <w:rPr>
          <w:rFonts w:ascii="Times New Roman" w:hAnsi="Times New Roman" w:cs="Times New Roman"/>
          <w:sz w:val="24"/>
          <w:szCs w:val="24"/>
          <w:vertAlign w:val="subscript"/>
        </w:rPr>
        <w:t>6</w:t>
      </w:r>
      <w:r w:rsidRPr="00F3471F">
        <w:rPr>
          <w:rFonts w:ascii="Times New Roman" w:hAnsi="Times New Roman" w:cs="Times New Roman"/>
          <w:sz w:val="24"/>
          <w:szCs w:val="24"/>
        </w:rPr>
        <w:t xml:space="preserve"> treatment in enhancing both fiber and stick yields in the BJRI-developed kenaf-5 variety. These findings suggest that the combined use of organic and inorganic fertilizers can optimize kenaf-5 cultivation at the Kishoreganj station.</w:t>
      </w:r>
    </w:p>
    <w:p w14:paraId="7E2A34CE" w14:textId="77777777" w:rsidR="00EE3461" w:rsidRPr="00F3471F" w:rsidRDefault="00EE3461" w:rsidP="00F3471F">
      <w:pPr>
        <w:spacing w:after="0" w:line="240" w:lineRule="auto"/>
        <w:jc w:val="both"/>
        <w:rPr>
          <w:rFonts w:ascii="Times New Roman" w:hAnsi="Times New Roman" w:cs="Times New Roman"/>
          <w:sz w:val="24"/>
          <w:szCs w:val="24"/>
        </w:rPr>
      </w:pPr>
    </w:p>
    <w:p w14:paraId="19C1410F" w14:textId="7D066CB8" w:rsidR="00BE3EFE" w:rsidRPr="00F3471F" w:rsidRDefault="00BE3EFE" w:rsidP="00F3471F">
      <w:pPr>
        <w:pStyle w:val="Heading2"/>
        <w:jc w:val="both"/>
        <w:rPr>
          <w:rFonts w:ascii="Times New Roman" w:hAnsi="Times New Roman"/>
          <w:i w:val="0"/>
          <w:iCs w:val="0"/>
          <w:sz w:val="24"/>
          <w:szCs w:val="24"/>
        </w:rPr>
      </w:pPr>
      <w:r w:rsidRPr="00F3471F">
        <w:rPr>
          <w:rFonts w:ascii="Times New Roman" w:hAnsi="Times New Roman"/>
          <w:i w:val="0"/>
          <w:iCs w:val="0"/>
          <w:sz w:val="24"/>
          <w:szCs w:val="24"/>
        </w:rPr>
        <w:t>4.1 Plant Population</w:t>
      </w:r>
    </w:p>
    <w:p w14:paraId="25E99300"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Plant population varied significantly (p ≤ 0.05) among treatments (Table 1). The highest plant population (32.00 plants m⁻²) was recorded in T6, which was statistically similar to T2–T5, whereas the control (T1) produced the lowest population (25.00 plants m⁻²).</w:t>
      </w:r>
    </w:p>
    <w:p w14:paraId="0CB92378"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The improved plant stand under integrated nutrient treatments may be attributed to enhanced early seedling vigor and improved soil physical conditions resulting from organic amendments. Organic manures improve soil aggregation, porosity, and moisture retention, which collectively enhance germination and establishment. Similar improvements in plant density under integrated nutrient management have been reported in kenaf and related fiber crops, where balanced nutrient availability ensured better seedling survival and reduced early mortality.</w:t>
      </w:r>
    </w:p>
    <w:p w14:paraId="4FBE0B8B" w14:textId="14BEF695"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Maintaining optimal plant density is critical in fiber crops because biomass accumulation per unit area largely depends on stand establishment efficiency.</w:t>
      </w:r>
    </w:p>
    <w:p w14:paraId="3C91C9FD" w14:textId="0BDFE045" w:rsidR="00F21F8F" w:rsidRPr="00F3471F" w:rsidRDefault="00F21F8F" w:rsidP="00F3471F">
      <w:pPr>
        <w:pStyle w:val="Heading3"/>
        <w:jc w:val="both"/>
        <w:rPr>
          <w:rFonts w:ascii="Times New Roman" w:hAnsi="Times New Roman" w:cs="Times New Roman"/>
        </w:rPr>
      </w:pPr>
    </w:p>
    <w:p w14:paraId="39395E9C" w14:textId="4BDB6B12" w:rsidR="0014325B" w:rsidRPr="00F3471F" w:rsidRDefault="008C0019"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noProof/>
          <w:sz w:val="24"/>
          <w:szCs w:val="24"/>
        </w:rPr>
        <w:drawing>
          <wp:inline distT="0" distB="0" distL="0" distR="0" wp14:anchorId="5BBC4F6D" wp14:editId="5C1E2C2B">
            <wp:extent cx="5873065" cy="355327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5750" cy="3597255"/>
                    </a:xfrm>
                    <a:prstGeom prst="rect">
                      <a:avLst/>
                    </a:prstGeom>
                    <a:noFill/>
                    <a:ln>
                      <a:noFill/>
                    </a:ln>
                  </pic:spPr>
                </pic:pic>
              </a:graphicData>
            </a:graphic>
          </wp:inline>
        </w:drawing>
      </w:r>
    </w:p>
    <w:p w14:paraId="26FC8B11" w14:textId="7D5923F7" w:rsidR="0032658C" w:rsidRPr="00F3471F" w:rsidRDefault="0032658C" w:rsidP="00F3471F">
      <w:pPr>
        <w:spacing w:after="0" w:line="240" w:lineRule="auto"/>
        <w:jc w:val="both"/>
        <w:rPr>
          <w:rFonts w:ascii="Times New Roman" w:hAnsi="Times New Roman" w:cs="Times New Roman"/>
          <w:sz w:val="24"/>
          <w:szCs w:val="24"/>
        </w:rPr>
      </w:pPr>
      <w:r w:rsidRPr="00F3471F">
        <w:rPr>
          <w:rFonts w:ascii="Times New Roman" w:hAnsi="Times New Roman" w:cs="Times New Roman"/>
          <w:b/>
          <w:sz w:val="24"/>
          <w:szCs w:val="24"/>
        </w:rPr>
        <w:t xml:space="preserve">Figure </w:t>
      </w:r>
      <w:proofErr w:type="gramStart"/>
      <w:r w:rsidRPr="00F3471F">
        <w:rPr>
          <w:rFonts w:ascii="Times New Roman" w:hAnsi="Times New Roman" w:cs="Times New Roman"/>
          <w:b/>
          <w:sz w:val="24"/>
          <w:szCs w:val="24"/>
        </w:rPr>
        <w:t>1.</w:t>
      </w:r>
      <w:r w:rsidRPr="00F3471F">
        <w:rPr>
          <w:rFonts w:ascii="Times New Roman" w:hAnsi="Times New Roman" w:cs="Times New Roman"/>
          <w:sz w:val="24"/>
          <w:szCs w:val="24"/>
        </w:rPr>
        <w:t>Effect</w:t>
      </w:r>
      <w:proofErr w:type="gramEnd"/>
      <w:r w:rsidRPr="00F3471F">
        <w:rPr>
          <w:rFonts w:ascii="Times New Roman" w:hAnsi="Times New Roman" w:cs="Times New Roman"/>
          <w:sz w:val="24"/>
          <w:szCs w:val="24"/>
        </w:rPr>
        <w:t xml:space="preserve"> of fertilizer treatments on plant Population of BJRI Kenaf-5</w:t>
      </w:r>
    </w:p>
    <w:p w14:paraId="416FE2FE" w14:textId="77777777" w:rsidR="0032658C" w:rsidRPr="00F3471F" w:rsidRDefault="0032658C" w:rsidP="00F3471F">
      <w:pPr>
        <w:spacing w:after="0" w:line="240" w:lineRule="auto"/>
        <w:jc w:val="both"/>
        <w:rPr>
          <w:rFonts w:ascii="Times New Roman" w:hAnsi="Times New Roman" w:cs="Times New Roman"/>
          <w:sz w:val="24"/>
          <w:szCs w:val="24"/>
        </w:rPr>
      </w:pPr>
    </w:p>
    <w:p w14:paraId="7A497947" w14:textId="50FE427A" w:rsidR="00BE3EFE" w:rsidRPr="00F3471F" w:rsidRDefault="00BE3EFE" w:rsidP="00F3471F">
      <w:pPr>
        <w:jc w:val="both"/>
        <w:rPr>
          <w:rFonts w:ascii="Times New Roman" w:eastAsia="Times New Roman" w:hAnsi="Times New Roman" w:cs="Times New Roman"/>
          <w:b/>
          <w:sz w:val="24"/>
          <w:szCs w:val="24"/>
        </w:rPr>
      </w:pPr>
      <w:r w:rsidRPr="00F3471F">
        <w:rPr>
          <w:rFonts w:ascii="Times New Roman" w:eastAsia="Times New Roman" w:hAnsi="Times New Roman" w:cs="Times New Roman"/>
          <w:b/>
          <w:sz w:val="24"/>
          <w:szCs w:val="24"/>
        </w:rPr>
        <w:t>4.2 Plant Height</w:t>
      </w:r>
    </w:p>
    <w:p w14:paraId="7F679024" w14:textId="402B2E5D" w:rsidR="00BE3EFE" w:rsidRPr="00F3471F" w:rsidRDefault="00BE3EFE" w:rsidP="00F3471F">
      <w:pPr>
        <w:jc w:val="both"/>
        <w:rPr>
          <w:rFonts w:ascii="Times New Roman" w:eastAsia="Times New Roman" w:hAnsi="Times New Roman" w:cs="Times New Roman"/>
          <w:sz w:val="24"/>
          <w:szCs w:val="24"/>
        </w:rPr>
      </w:pPr>
      <w:r w:rsidRPr="00F3471F">
        <w:rPr>
          <w:rFonts w:ascii="Times New Roman" w:eastAsia="Times New Roman" w:hAnsi="Times New Roman" w:cs="Times New Roman"/>
          <w:sz w:val="24"/>
          <w:szCs w:val="24"/>
        </w:rPr>
        <w:t>Plant height responded positively to increasing levels of integrated nutrient application. The tallest plants were recorded in T5 (3.11 m), followed closely by T6 (3.06 m) and T4 (3.04 m), with no significant differences among these treatments. In contrast, the control treatment produced significantly shorter plants (1.98</w:t>
      </w:r>
      <w:r w:rsidR="0032658C" w:rsidRPr="00F3471F">
        <w:rPr>
          <w:rFonts w:ascii="Times New Roman" w:eastAsia="Times New Roman" w:hAnsi="Times New Roman" w:cs="Times New Roman"/>
          <w:sz w:val="24"/>
          <w:szCs w:val="24"/>
        </w:rPr>
        <w:t xml:space="preserve"> m).</w:t>
      </w:r>
    </w:p>
    <w:p w14:paraId="16E079E0" w14:textId="21F7F4FD" w:rsidR="00BE3EFE" w:rsidRPr="00F3471F" w:rsidRDefault="00BE3EFE" w:rsidP="00F3471F">
      <w:pPr>
        <w:jc w:val="both"/>
        <w:rPr>
          <w:rFonts w:ascii="Times New Roman" w:eastAsia="Times New Roman" w:hAnsi="Times New Roman" w:cs="Times New Roman"/>
          <w:sz w:val="24"/>
          <w:szCs w:val="24"/>
        </w:rPr>
      </w:pPr>
      <w:r w:rsidRPr="00F3471F">
        <w:rPr>
          <w:rFonts w:ascii="Times New Roman" w:eastAsia="Times New Roman" w:hAnsi="Times New Roman" w:cs="Times New Roman"/>
          <w:sz w:val="24"/>
          <w:szCs w:val="24"/>
        </w:rPr>
        <w:t>The increase in plant height under integrated treatments can be attributed to improved nitrogen availability, which promotes cell division and elongation through enhanced protein synthesis and chlorophyll formation. Phosphorus likely supported energy transfer processes (ATP synthesis), while potassium improved enzymatic regulation and water balance, collectively stimulating vertical growth.</w:t>
      </w:r>
    </w:p>
    <w:p w14:paraId="3967E4CA" w14:textId="3CB042C5" w:rsidR="0014325B" w:rsidRPr="00F3471F" w:rsidRDefault="00BE3EFE" w:rsidP="00F3471F">
      <w:pPr>
        <w:jc w:val="both"/>
        <w:rPr>
          <w:rFonts w:ascii="Times New Roman" w:hAnsi="Times New Roman" w:cs="Times New Roman"/>
          <w:sz w:val="24"/>
          <w:szCs w:val="24"/>
        </w:rPr>
      </w:pPr>
      <w:r w:rsidRPr="00F3471F">
        <w:rPr>
          <w:rFonts w:ascii="Times New Roman" w:eastAsia="Times New Roman" w:hAnsi="Times New Roman" w:cs="Times New Roman"/>
          <w:sz w:val="24"/>
          <w:szCs w:val="24"/>
        </w:rPr>
        <w:t>Furthermore, organic amendments may have contributed to synchronized nutrient release, preventing nutrient stress during critical growth stages. This balanced nutrient supply promotes sustained internode elongation, which is directly associated with fiber-producing stem tissues in kenaf.</w:t>
      </w:r>
    </w:p>
    <w:p w14:paraId="3BA77DD0" w14:textId="37826606" w:rsidR="0014325B" w:rsidRPr="00F3471F" w:rsidRDefault="0014325B" w:rsidP="00F3471F">
      <w:pPr>
        <w:jc w:val="both"/>
        <w:rPr>
          <w:rFonts w:ascii="Times New Roman" w:hAnsi="Times New Roman" w:cs="Times New Roman"/>
          <w:sz w:val="24"/>
          <w:szCs w:val="24"/>
        </w:rPr>
      </w:pPr>
      <w:r w:rsidRPr="00F3471F">
        <w:rPr>
          <w:rFonts w:ascii="Times New Roman" w:hAnsi="Times New Roman" w:cs="Times New Roman"/>
          <w:noProof/>
          <w:sz w:val="24"/>
          <w:szCs w:val="24"/>
        </w:rPr>
        <w:lastRenderedPageBreak/>
        <w:drawing>
          <wp:inline distT="0" distB="0" distL="0" distR="0" wp14:anchorId="573056F5" wp14:editId="0EDEA015">
            <wp:extent cx="5943600" cy="380339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803397"/>
                    </a:xfrm>
                    <a:prstGeom prst="rect">
                      <a:avLst/>
                    </a:prstGeom>
                    <a:noFill/>
                    <a:ln>
                      <a:noFill/>
                    </a:ln>
                  </pic:spPr>
                </pic:pic>
              </a:graphicData>
            </a:graphic>
          </wp:inline>
        </w:drawing>
      </w:r>
    </w:p>
    <w:p w14:paraId="6A1FA095" w14:textId="02A70DE5" w:rsidR="0032658C" w:rsidRPr="00F3471F" w:rsidRDefault="0032658C" w:rsidP="00F3471F">
      <w:pPr>
        <w:jc w:val="both"/>
        <w:rPr>
          <w:rFonts w:ascii="Times New Roman" w:hAnsi="Times New Roman" w:cs="Times New Roman"/>
          <w:sz w:val="24"/>
          <w:szCs w:val="24"/>
        </w:rPr>
      </w:pPr>
      <w:r w:rsidRPr="00F3471F">
        <w:rPr>
          <w:rFonts w:ascii="Times New Roman" w:hAnsi="Times New Roman" w:cs="Times New Roman"/>
          <w:b/>
          <w:sz w:val="24"/>
          <w:szCs w:val="24"/>
        </w:rPr>
        <w:t xml:space="preserve">Figure </w:t>
      </w:r>
      <w:proofErr w:type="gramStart"/>
      <w:r w:rsidRPr="00F3471F">
        <w:rPr>
          <w:rFonts w:ascii="Times New Roman" w:hAnsi="Times New Roman" w:cs="Times New Roman"/>
          <w:b/>
          <w:sz w:val="24"/>
          <w:szCs w:val="24"/>
        </w:rPr>
        <w:t>2.</w:t>
      </w:r>
      <w:r w:rsidRPr="00F3471F">
        <w:rPr>
          <w:rFonts w:ascii="Times New Roman" w:hAnsi="Times New Roman" w:cs="Times New Roman"/>
          <w:sz w:val="24"/>
          <w:szCs w:val="24"/>
        </w:rPr>
        <w:t>Effect</w:t>
      </w:r>
      <w:proofErr w:type="gramEnd"/>
      <w:r w:rsidRPr="00F3471F">
        <w:rPr>
          <w:rFonts w:ascii="Times New Roman" w:hAnsi="Times New Roman" w:cs="Times New Roman"/>
          <w:sz w:val="24"/>
          <w:szCs w:val="24"/>
        </w:rPr>
        <w:t xml:space="preserve"> of fertilizer treatments on plant height of BJRI Kenaf-5</w:t>
      </w:r>
    </w:p>
    <w:p w14:paraId="5A8EF310" w14:textId="042EDD7B" w:rsidR="00BE3EFE" w:rsidRPr="00F3471F" w:rsidRDefault="00BE3EFE" w:rsidP="00F3471F">
      <w:pPr>
        <w:pStyle w:val="NormalWeb"/>
        <w:jc w:val="both"/>
        <w:rPr>
          <w:rFonts w:eastAsiaTheme="majorEastAsia"/>
          <w:b/>
        </w:rPr>
      </w:pPr>
      <w:r w:rsidRPr="00F3471F">
        <w:rPr>
          <w:rFonts w:eastAsiaTheme="majorEastAsia"/>
          <w:b/>
        </w:rPr>
        <w:t>4.3 Base Diameter</w:t>
      </w:r>
    </w:p>
    <w:p w14:paraId="23CD24EB" w14:textId="7F783B39" w:rsidR="00BE3EFE" w:rsidRPr="00F3471F" w:rsidRDefault="00BE3EFE" w:rsidP="00F3471F">
      <w:pPr>
        <w:pStyle w:val="NormalWeb"/>
        <w:jc w:val="both"/>
        <w:rPr>
          <w:rFonts w:eastAsiaTheme="majorEastAsia"/>
        </w:rPr>
      </w:pPr>
      <w:r w:rsidRPr="00F3471F">
        <w:rPr>
          <w:rFonts w:eastAsiaTheme="majorEastAsia"/>
        </w:rPr>
        <w:t>Base diameter ranged from 11.99 mm (T1) to 19.63 mm (T4), with T4, T6, and T5 forming the statistically superior group. The marked increase in stem thickness under integrated treatments suggests improved radial growth.</w:t>
      </w:r>
    </w:p>
    <w:p w14:paraId="0899C719" w14:textId="2E662041" w:rsidR="00BE3EFE" w:rsidRPr="00F3471F" w:rsidRDefault="00BE3EFE" w:rsidP="00F3471F">
      <w:pPr>
        <w:pStyle w:val="NormalWeb"/>
        <w:jc w:val="both"/>
        <w:rPr>
          <w:rFonts w:eastAsiaTheme="majorEastAsia"/>
        </w:rPr>
      </w:pPr>
      <w:r w:rsidRPr="00F3471F">
        <w:rPr>
          <w:rFonts w:eastAsiaTheme="majorEastAsia"/>
        </w:rPr>
        <w:t>Stem diameter is strongly influenced by carbohydrate translocation and cambial activity. Organic amendments enhance microbial activity and improve nutrient mineralization, thereby sustaining nutrient supply during the vegetative growth phase. Improved potassium availability may have enhanced assimilate transport and fiber bundle development, resulting in thicker stems.</w:t>
      </w:r>
    </w:p>
    <w:p w14:paraId="14F35CDA" w14:textId="77777777" w:rsidR="00BE3EFE" w:rsidRPr="00F3471F" w:rsidRDefault="00BE3EFE" w:rsidP="00F3471F">
      <w:pPr>
        <w:pStyle w:val="NormalWeb"/>
        <w:jc w:val="both"/>
        <w:rPr>
          <w:rFonts w:eastAsiaTheme="majorEastAsia"/>
        </w:rPr>
      </w:pPr>
      <w:r w:rsidRPr="00F3471F">
        <w:rPr>
          <w:rFonts w:eastAsiaTheme="majorEastAsia"/>
        </w:rPr>
        <w:t>The superior base diameter observed in T4 indicates that moderate RDF combined with higher organic inputs may optimize structural growth, possibly due to improved soil carbon dynamics and enhanced cation exchange capacity.</w:t>
      </w:r>
    </w:p>
    <w:p w14:paraId="21B752DA" w14:textId="573DCE44" w:rsidR="00417200" w:rsidRPr="00F3471F" w:rsidRDefault="00417200" w:rsidP="00F3471F">
      <w:pPr>
        <w:pStyle w:val="NormalWeb"/>
        <w:jc w:val="both"/>
      </w:pPr>
      <w:r w:rsidRPr="00F3471F">
        <w:rPr>
          <w:noProof/>
        </w:rPr>
        <w:lastRenderedPageBreak/>
        <w:drawing>
          <wp:inline distT="0" distB="0" distL="0" distR="0" wp14:anchorId="06951E48" wp14:editId="4166DACF">
            <wp:extent cx="5863771" cy="3387725"/>
            <wp:effectExtent l="0" t="0" r="3810" b="3175"/>
            <wp:docPr id="7" name="Picture 7" descr="C:\Users\User\Downloads\base_diameter_plotbjri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base_diameter_plotbjri5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8367" cy="3401935"/>
                    </a:xfrm>
                    <a:prstGeom prst="rect">
                      <a:avLst/>
                    </a:prstGeom>
                    <a:noFill/>
                    <a:ln>
                      <a:noFill/>
                    </a:ln>
                  </pic:spPr>
                </pic:pic>
              </a:graphicData>
            </a:graphic>
          </wp:inline>
        </w:drawing>
      </w:r>
    </w:p>
    <w:p w14:paraId="13F0EB26" w14:textId="02CA712B" w:rsidR="0032658C" w:rsidRPr="00F3471F" w:rsidRDefault="0032658C" w:rsidP="00F3471F">
      <w:pPr>
        <w:pStyle w:val="NormalWeb"/>
        <w:jc w:val="both"/>
      </w:pPr>
      <w:r w:rsidRPr="00F3471F">
        <w:rPr>
          <w:b/>
        </w:rPr>
        <w:t xml:space="preserve">Figure </w:t>
      </w:r>
      <w:proofErr w:type="gramStart"/>
      <w:r w:rsidRPr="00F3471F">
        <w:rPr>
          <w:b/>
        </w:rPr>
        <w:t>3.</w:t>
      </w:r>
      <w:r w:rsidRPr="00F3471F">
        <w:t>Effect</w:t>
      </w:r>
      <w:proofErr w:type="gramEnd"/>
      <w:r w:rsidRPr="00F3471F">
        <w:t xml:space="preserve"> of fertilizer treatments on base diameter of BJRI Kenaf-5</w:t>
      </w:r>
    </w:p>
    <w:p w14:paraId="015A40C7" w14:textId="77777777" w:rsidR="00BE3EFE" w:rsidRPr="00BE3EFE" w:rsidRDefault="00BE3EF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3EFE">
        <w:rPr>
          <w:rFonts w:ascii="Times New Roman" w:eastAsia="Times New Roman" w:hAnsi="Times New Roman" w:cs="Times New Roman"/>
          <w:b/>
          <w:bCs/>
          <w:sz w:val="24"/>
          <w:szCs w:val="24"/>
        </w:rPr>
        <w:t>4.4 Fiber Yield</w:t>
      </w:r>
    </w:p>
    <w:p w14:paraId="7E73B0DC"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Fiber yield showed a highly significant response to fertilizer integration. The maximum fiber yield (3.36 t ha⁻¹) was obtained in T6, followed by T4 (3.11 t ha⁻¹) and T5 (3.05 t ha⁻¹). The control treatment produced the lowest yield (1.91 t ha⁻¹), representing nearly a 76% reduction compared to T6.</w:t>
      </w:r>
    </w:p>
    <w:p w14:paraId="3754EC52"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The superior performance of T6 demonstrates the synergistic effect of combining 100% RDF with organic amendments. Inorganic fertilizers provide immediately available nutrients, while organic sources ensure slow-release nutrient supply and improve soil biological activity. This integrated nutrient supply likely minimized nutrient losses through leaching and volatilization, thereby enhancing nutrient use efficiency.</w:t>
      </w:r>
    </w:p>
    <w:p w14:paraId="4FFAE9AB"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Fiber yield in kenaf is directly associated with stem elongation and thickening, as fiber bundles develop in the phloem tissues of elongated stems. The strong response observed in T6 indicates that balanced macro-nutrient availability, supported by improved soil structure and microbial processes, maximized the genetic potential of BJRI Kenaf-5.</w:t>
      </w:r>
    </w:p>
    <w:p w14:paraId="464BC713" w14:textId="77777777" w:rsidR="00417200" w:rsidRPr="00F3471F" w:rsidRDefault="00417200" w:rsidP="00F3471F">
      <w:pPr>
        <w:pStyle w:val="NormalWeb"/>
        <w:jc w:val="both"/>
      </w:pPr>
    </w:p>
    <w:p w14:paraId="435F1672" w14:textId="08388FCA" w:rsidR="008C0019" w:rsidRPr="00F3471F" w:rsidRDefault="0014325B" w:rsidP="00F3471F">
      <w:pPr>
        <w:tabs>
          <w:tab w:val="left" w:pos="7177"/>
        </w:tabs>
        <w:jc w:val="both"/>
        <w:rPr>
          <w:rFonts w:ascii="Times New Roman" w:hAnsi="Times New Roman" w:cs="Times New Roman"/>
          <w:sz w:val="24"/>
          <w:szCs w:val="24"/>
        </w:rPr>
      </w:pPr>
      <w:r w:rsidRPr="00F3471F">
        <w:rPr>
          <w:rFonts w:ascii="Times New Roman" w:hAnsi="Times New Roman" w:cs="Times New Roman"/>
          <w:sz w:val="24"/>
          <w:szCs w:val="24"/>
        </w:rPr>
        <w:lastRenderedPageBreak/>
        <w:tab/>
      </w:r>
      <w:r w:rsidRPr="00F3471F">
        <w:rPr>
          <w:rFonts w:ascii="Times New Roman" w:hAnsi="Times New Roman" w:cs="Times New Roman"/>
          <w:noProof/>
          <w:sz w:val="24"/>
          <w:szCs w:val="24"/>
        </w:rPr>
        <w:drawing>
          <wp:inline distT="0" distB="0" distL="0" distR="0" wp14:anchorId="5A012842" wp14:editId="1D0E3F45">
            <wp:extent cx="5942582" cy="303348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8128" cy="3051631"/>
                    </a:xfrm>
                    <a:prstGeom prst="rect">
                      <a:avLst/>
                    </a:prstGeom>
                    <a:noFill/>
                    <a:ln>
                      <a:noFill/>
                    </a:ln>
                  </pic:spPr>
                </pic:pic>
              </a:graphicData>
            </a:graphic>
          </wp:inline>
        </w:drawing>
      </w:r>
    </w:p>
    <w:p w14:paraId="2B643253" w14:textId="4C80DD5F" w:rsidR="0032658C" w:rsidRPr="00F3471F" w:rsidRDefault="0032658C" w:rsidP="00F3471F">
      <w:pPr>
        <w:tabs>
          <w:tab w:val="left" w:pos="7177"/>
        </w:tabs>
        <w:jc w:val="both"/>
        <w:rPr>
          <w:rFonts w:ascii="Times New Roman" w:hAnsi="Times New Roman" w:cs="Times New Roman"/>
          <w:sz w:val="24"/>
          <w:szCs w:val="24"/>
        </w:rPr>
      </w:pPr>
      <w:r w:rsidRPr="00F3471F">
        <w:rPr>
          <w:rFonts w:ascii="Times New Roman" w:hAnsi="Times New Roman" w:cs="Times New Roman"/>
          <w:b/>
          <w:sz w:val="24"/>
          <w:szCs w:val="24"/>
        </w:rPr>
        <w:t xml:space="preserve">Figure </w:t>
      </w:r>
      <w:proofErr w:type="gramStart"/>
      <w:r w:rsidRPr="00F3471F">
        <w:rPr>
          <w:rFonts w:ascii="Times New Roman" w:hAnsi="Times New Roman" w:cs="Times New Roman"/>
          <w:b/>
          <w:sz w:val="24"/>
          <w:szCs w:val="24"/>
        </w:rPr>
        <w:t>4</w:t>
      </w:r>
      <w:r w:rsidRPr="00F3471F">
        <w:rPr>
          <w:rFonts w:ascii="Times New Roman" w:hAnsi="Times New Roman" w:cs="Times New Roman"/>
          <w:sz w:val="24"/>
          <w:szCs w:val="24"/>
        </w:rPr>
        <w:t>.Effect</w:t>
      </w:r>
      <w:proofErr w:type="gramEnd"/>
      <w:r w:rsidRPr="00F3471F">
        <w:rPr>
          <w:rFonts w:ascii="Times New Roman" w:hAnsi="Times New Roman" w:cs="Times New Roman"/>
          <w:sz w:val="24"/>
          <w:szCs w:val="24"/>
        </w:rPr>
        <w:t xml:space="preserve"> of fertilizer treatments on fiber yield of BJRI Kenaf-5</w:t>
      </w:r>
    </w:p>
    <w:p w14:paraId="4C039DCA" w14:textId="77777777" w:rsidR="00BE3EFE" w:rsidRPr="00BE3EFE" w:rsidRDefault="00BE3EF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E3EFE">
        <w:rPr>
          <w:rFonts w:ascii="Times New Roman" w:eastAsia="Times New Roman" w:hAnsi="Times New Roman" w:cs="Times New Roman"/>
          <w:b/>
          <w:bCs/>
          <w:sz w:val="24"/>
          <w:szCs w:val="24"/>
        </w:rPr>
        <w:t>4.5 Stick Yield</w:t>
      </w:r>
    </w:p>
    <w:p w14:paraId="41C9351C"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Stick yield followed a trend similar to fiber yield. T6 produced the highest stick yield (6.73 t ha⁻¹), whereas T1 recorded the lowest (3.88 t ha⁻¹). The mean stick yield across treatments was 5.56 t ha⁻¹ with a low coefficient of variation (5.34%), indicating experimental reliability.</w:t>
      </w:r>
    </w:p>
    <w:p w14:paraId="5F074E22" w14:textId="77777777" w:rsidR="00BE3EFE" w:rsidRPr="00BE3EFE" w:rsidRDefault="00BE3EFE" w:rsidP="00F3471F">
      <w:pPr>
        <w:spacing w:before="100" w:beforeAutospacing="1" w:after="100" w:afterAutospacing="1" w:line="240" w:lineRule="auto"/>
        <w:jc w:val="both"/>
        <w:rPr>
          <w:rFonts w:ascii="Times New Roman" w:eastAsia="Times New Roman" w:hAnsi="Times New Roman" w:cs="Times New Roman"/>
          <w:sz w:val="24"/>
          <w:szCs w:val="24"/>
        </w:rPr>
      </w:pPr>
      <w:r w:rsidRPr="00BE3EFE">
        <w:rPr>
          <w:rFonts w:ascii="Times New Roman" w:eastAsia="Times New Roman" w:hAnsi="Times New Roman" w:cs="Times New Roman"/>
          <w:sz w:val="24"/>
          <w:szCs w:val="24"/>
        </w:rPr>
        <w:t>Higher stick yield reflects enhanced total biomass production. Since stick biomass represents the woody core of the stem, its increase under integrated treatments suggests improved carbon assimilation and structural tissue formation. Balanced phosphorus and potassium nutrition likely enhanced root development and assimilate partitioning, contributing to overall biomass accumulation.</w:t>
      </w:r>
    </w:p>
    <w:p w14:paraId="7CF0F1D9" w14:textId="77777777" w:rsidR="00000C8F" w:rsidRPr="00F3471F" w:rsidRDefault="00000C8F" w:rsidP="00F3471F">
      <w:pPr>
        <w:tabs>
          <w:tab w:val="left" w:pos="7177"/>
        </w:tabs>
        <w:jc w:val="both"/>
        <w:rPr>
          <w:rFonts w:ascii="Times New Roman" w:hAnsi="Times New Roman" w:cs="Times New Roman"/>
          <w:sz w:val="24"/>
          <w:szCs w:val="24"/>
        </w:rPr>
      </w:pPr>
    </w:p>
    <w:p w14:paraId="6B355746" w14:textId="658FEA88" w:rsidR="002C2459" w:rsidRPr="00F3471F" w:rsidRDefault="002C2459" w:rsidP="00F3471F">
      <w:pPr>
        <w:pStyle w:val="NormalWeb"/>
        <w:jc w:val="both"/>
      </w:pPr>
      <w:r w:rsidRPr="00F3471F">
        <w:rPr>
          <w:noProof/>
        </w:rPr>
        <w:lastRenderedPageBreak/>
        <w:drawing>
          <wp:inline distT="0" distB="0" distL="0" distR="0" wp14:anchorId="4186CB62" wp14:editId="1BFA2ED0">
            <wp:extent cx="6052457" cy="3225800"/>
            <wp:effectExtent l="0" t="0" r="5715" b="0"/>
            <wp:docPr id="1" name="Picture 1" descr="C:\Users\User\Downloads\stick_yield_plotbjri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tick_yield_plotbjri5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5651" cy="3270140"/>
                    </a:xfrm>
                    <a:prstGeom prst="rect">
                      <a:avLst/>
                    </a:prstGeom>
                    <a:noFill/>
                    <a:ln>
                      <a:noFill/>
                    </a:ln>
                  </pic:spPr>
                </pic:pic>
              </a:graphicData>
            </a:graphic>
          </wp:inline>
        </w:drawing>
      </w:r>
    </w:p>
    <w:p w14:paraId="06B96B58" w14:textId="17B2592A" w:rsidR="0032658C" w:rsidRPr="00F3471F" w:rsidRDefault="0032658C" w:rsidP="00F3471F">
      <w:pPr>
        <w:pStyle w:val="NormalWeb"/>
        <w:jc w:val="both"/>
      </w:pPr>
      <w:r w:rsidRPr="00F3471F">
        <w:rPr>
          <w:b/>
        </w:rPr>
        <w:t xml:space="preserve">Figure </w:t>
      </w:r>
      <w:proofErr w:type="gramStart"/>
      <w:r w:rsidRPr="00F3471F">
        <w:rPr>
          <w:b/>
        </w:rPr>
        <w:t>5.</w:t>
      </w:r>
      <w:r w:rsidRPr="00F3471F">
        <w:t>Effect</w:t>
      </w:r>
      <w:proofErr w:type="gramEnd"/>
      <w:r w:rsidRPr="00F3471F">
        <w:t xml:space="preserve"> of fertilizer treatments on stick yield of BJRI Kenaf-5</w:t>
      </w:r>
    </w:p>
    <w:p w14:paraId="53417D3A" w14:textId="77777777" w:rsidR="0065502D" w:rsidRPr="0065502D" w:rsidRDefault="0065502D"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5502D">
        <w:rPr>
          <w:rFonts w:ascii="Times New Roman" w:eastAsia="Times New Roman" w:hAnsi="Times New Roman" w:cs="Times New Roman"/>
          <w:b/>
          <w:bCs/>
          <w:sz w:val="24"/>
          <w:szCs w:val="24"/>
        </w:rPr>
        <w:t>4.6 Multivariate Analysis (PCA)</w:t>
      </w:r>
    </w:p>
    <w:p w14:paraId="126DF7CF"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Principal Component Analysis revealed that the first principal component (PC1) explained 97.7% of the total variation, while PC2 accounted for 1.4%, together explaining 99.1% of total variability.</w:t>
      </w:r>
    </w:p>
    <w:p w14:paraId="1FC87C98"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All growth and yield variables were positively loaded on PC1, indicating a strong collective response to integrated nutrient application. Treatments T4, T5, and T6 were positioned on the positive side of PC1, confirming their superior performance across measured traits. In contrast, T1 and T2 clustered on the negative side, indicating lower productivity.</w:t>
      </w:r>
    </w:p>
    <w:p w14:paraId="69609621"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The close angular proximity among vectors for plant height, base diameter, fiber yield, and stick yield suggests strong positive associations among vegetative growth and yield traits. The dominance of PC1 indicates that nutrient management was the primary driver of variation in this experiment.</w:t>
      </w:r>
    </w:p>
    <w:p w14:paraId="253158BF" w14:textId="77777777" w:rsidR="00F3471F" w:rsidRPr="00F3471F" w:rsidRDefault="0014325B" w:rsidP="00F3471F">
      <w:pPr>
        <w:pStyle w:val="Heading2"/>
        <w:jc w:val="both"/>
        <w:rPr>
          <w:rFonts w:ascii="Times New Roman" w:hAnsi="Times New Roman"/>
          <w:i w:val="0"/>
          <w:iCs w:val="0"/>
          <w:sz w:val="24"/>
          <w:szCs w:val="24"/>
        </w:rPr>
      </w:pPr>
      <w:r w:rsidRPr="00F3471F">
        <w:rPr>
          <w:rFonts w:ascii="Times New Roman" w:hAnsi="Times New Roman"/>
          <w:noProof/>
          <w:sz w:val="24"/>
          <w:szCs w:val="24"/>
        </w:rPr>
        <w:lastRenderedPageBreak/>
        <w:drawing>
          <wp:inline distT="0" distB="0" distL="0" distR="0" wp14:anchorId="240819AD" wp14:editId="25FE995F">
            <wp:extent cx="5942065" cy="3817257"/>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5227" cy="3838561"/>
                    </a:xfrm>
                    <a:prstGeom prst="rect">
                      <a:avLst/>
                    </a:prstGeom>
                    <a:noFill/>
                    <a:ln>
                      <a:noFill/>
                    </a:ln>
                  </pic:spPr>
                </pic:pic>
              </a:graphicData>
            </a:graphic>
          </wp:inline>
        </w:drawing>
      </w:r>
    </w:p>
    <w:p w14:paraId="69FDD94F" w14:textId="7F61DBCA" w:rsidR="00F3471F" w:rsidRPr="00F3471F" w:rsidRDefault="00F3471F" w:rsidP="00F3471F">
      <w:pPr>
        <w:pStyle w:val="Heading2"/>
        <w:jc w:val="both"/>
        <w:rPr>
          <w:rFonts w:ascii="Times New Roman" w:hAnsi="Times New Roman"/>
          <w:b w:val="0"/>
          <w:i w:val="0"/>
          <w:iCs w:val="0"/>
          <w:sz w:val="24"/>
          <w:szCs w:val="24"/>
        </w:rPr>
      </w:pPr>
      <w:r w:rsidRPr="00F3471F">
        <w:rPr>
          <w:rFonts w:ascii="Times New Roman" w:hAnsi="Times New Roman"/>
          <w:i w:val="0"/>
          <w:iCs w:val="0"/>
          <w:sz w:val="24"/>
          <w:szCs w:val="24"/>
        </w:rPr>
        <w:t xml:space="preserve">Figure 6. </w:t>
      </w:r>
      <w:r w:rsidRPr="00F3471F">
        <w:rPr>
          <w:rFonts w:ascii="Times New Roman" w:hAnsi="Times New Roman"/>
          <w:b w:val="0"/>
          <w:i w:val="0"/>
          <w:iCs w:val="0"/>
          <w:sz w:val="24"/>
          <w:szCs w:val="24"/>
        </w:rPr>
        <w:t>Principal component analysis (PCA) biplot illustrating the relationships among growth and yield parameters of BJRI Kenaf-5 (Hibiscus cannabinus L.) under different integrated nutrient management treatments (T1–T6) at Kishoreganj. The first principal component (PC1) explained 97.7% of the total variance, while PC2 accounted for 1.4%. Vector length indicates the contribution of each variable to total variation, and the angle between vectors reflects the degree of correlation among traits. Treatments located on the positive side of PC1 (T4, T5, and T6) demonstrated superior performance across growth and yield attributes.</w:t>
      </w:r>
    </w:p>
    <w:p w14:paraId="4A86A981" w14:textId="77777777" w:rsidR="00F3471F" w:rsidRPr="00F3471F" w:rsidRDefault="00F3471F" w:rsidP="00F3471F">
      <w:pPr>
        <w:pStyle w:val="Heading2"/>
        <w:jc w:val="both"/>
        <w:rPr>
          <w:rFonts w:ascii="Times New Roman" w:hAnsi="Times New Roman"/>
          <w:i w:val="0"/>
          <w:iCs w:val="0"/>
          <w:sz w:val="24"/>
          <w:szCs w:val="24"/>
        </w:rPr>
      </w:pPr>
    </w:p>
    <w:p w14:paraId="35AB85C6" w14:textId="71266BAE" w:rsidR="0065502D" w:rsidRPr="00F3471F" w:rsidRDefault="0065502D" w:rsidP="00F3471F">
      <w:pPr>
        <w:pStyle w:val="Heading2"/>
        <w:jc w:val="both"/>
        <w:rPr>
          <w:rFonts w:ascii="Times New Roman" w:hAnsi="Times New Roman"/>
          <w:i w:val="0"/>
          <w:iCs w:val="0"/>
          <w:sz w:val="24"/>
          <w:szCs w:val="24"/>
        </w:rPr>
      </w:pPr>
      <w:r w:rsidRPr="00F3471F">
        <w:rPr>
          <w:rFonts w:ascii="Times New Roman" w:hAnsi="Times New Roman"/>
          <w:i w:val="0"/>
          <w:iCs w:val="0"/>
          <w:sz w:val="24"/>
          <w:szCs w:val="24"/>
        </w:rPr>
        <w:t>4.7 Pearson’s Correlation Analysis</w:t>
      </w:r>
    </w:p>
    <w:p w14:paraId="1037C071"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Pearson’s correlation analysis demonstrated strong and highly significant (p &lt; 0.001) positive relationships among all growth and yield parameters.</w:t>
      </w:r>
    </w:p>
    <w:p w14:paraId="45DE7BC7"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Fiber yield showed strong positive correlations with:</w:t>
      </w:r>
    </w:p>
    <w:p w14:paraId="033F5B23" w14:textId="77777777" w:rsidR="0065502D" w:rsidRPr="0065502D" w:rsidRDefault="0065502D" w:rsidP="00F3471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Plant height (r ≈ 0.96–0.98)</w:t>
      </w:r>
    </w:p>
    <w:p w14:paraId="3097F906" w14:textId="77777777" w:rsidR="0065502D" w:rsidRPr="0065502D" w:rsidRDefault="0065502D" w:rsidP="00F3471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Base diameter (r ≈ 0.97–0.99)</w:t>
      </w:r>
    </w:p>
    <w:p w14:paraId="51393492" w14:textId="77777777" w:rsidR="0065502D" w:rsidRPr="0065502D" w:rsidRDefault="0065502D" w:rsidP="00F3471F">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Plant population (r ≈ 0.95–0.97)</w:t>
      </w:r>
    </w:p>
    <w:p w14:paraId="1AA2AA45"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Similarly, stick yield exhibited strong associations with vegetative traits, confirming that biomass accumulation is closely linked to structural growth parameters.</w:t>
      </w:r>
    </w:p>
    <w:p w14:paraId="6D6ADBC0"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lastRenderedPageBreak/>
        <w:t>The near-linear relationship between plant height and base diameter suggests coordinated longitudinal and radial stem development under balanced nutrient supply. These strong correlations indicate that integrated nutrient management influenced the crop growth cycle in a synchronized manner, enhancing both vegetative growth and final yield.</w:t>
      </w:r>
    </w:p>
    <w:p w14:paraId="377D47EA" w14:textId="77777777" w:rsidR="0065502D" w:rsidRPr="0065502D" w:rsidRDefault="0065502D" w:rsidP="00F3471F">
      <w:pPr>
        <w:spacing w:before="100" w:beforeAutospacing="1" w:after="100" w:afterAutospacing="1" w:line="240" w:lineRule="auto"/>
        <w:jc w:val="both"/>
        <w:rPr>
          <w:rFonts w:ascii="Times New Roman" w:eastAsia="Times New Roman" w:hAnsi="Times New Roman" w:cs="Times New Roman"/>
          <w:sz w:val="24"/>
          <w:szCs w:val="24"/>
        </w:rPr>
      </w:pPr>
      <w:r w:rsidRPr="0065502D">
        <w:rPr>
          <w:rFonts w:ascii="Times New Roman" w:eastAsia="Times New Roman" w:hAnsi="Times New Roman" w:cs="Times New Roman"/>
          <w:sz w:val="24"/>
          <w:szCs w:val="24"/>
        </w:rPr>
        <w:t>Importantly, the extremely high correlations observed are likely influenced by the limited number of treatments (n = 6), which may inflate correlation coefficients. Nevertheless, the biological relationships remain consistent with fiber crop physiology.</w:t>
      </w:r>
    </w:p>
    <w:p w14:paraId="4640A167" w14:textId="75360D5C" w:rsidR="00D76104" w:rsidRPr="00F3471F" w:rsidRDefault="0014325B" w:rsidP="00F3471F">
      <w:pPr>
        <w:pStyle w:val="Heading3"/>
        <w:jc w:val="both"/>
        <w:rPr>
          <w:rFonts w:ascii="Times New Roman" w:hAnsi="Times New Roman" w:cs="Times New Roman"/>
          <w:b/>
          <w:bCs/>
        </w:rPr>
      </w:pPr>
      <w:r w:rsidRPr="00F3471F">
        <w:rPr>
          <w:rFonts w:ascii="Times New Roman" w:hAnsi="Times New Roman" w:cs="Times New Roman"/>
          <w:noProof/>
        </w:rPr>
        <w:drawing>
          <wp:inline distT="0" distB="0" distL="0" distR="0" wp14:anchorId="38094B68" wp14:editId="557FD6F2">
            <wp:extent cx="5941529" cy="297488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81073" cy="2994684"/>
                    </a:xfrm>
                    <a:prstGeom prst="rect">
                      <a:avLst/>
                    </a:prstGeom>
                    <a:noFill/>
                    <a:ln>
                      <a:noFill/>
                    </a:ln>
                  </pic:spPr>
                </pic:pic>
              </a:graphicData>
            </a:graphic>
          </wp:inline>
        </w:drawing>
      </w:r>
    </w:p>
    <w:p w14:paraId="6839BF61" w14:textId="77777777" w:rsidR="00F3471F" w:rsidRPr="00F3471F" w:rsidRDefault="00F3471F" w:rsidP="00F3471F">
      <w:pPr>
        <w:jc w:val="both"/>
        <w:rPr>
          <w:rFonts w:ascii="Times New Roman" w:hAnsi="Times New Roman" w:cs="Times New Roman"/>
          <w:sz w:val="24"/>
          <w:szCs w:val="24"/>
        </w:rPr>
      </w:pPr>
    </w:p>
    <w:p w14:paraId="0A6FD4C4" w14:textId="794208D6" w:rsidR="00F3471F" w:rsidRPr="00F3471F" w:rsidRDefault="00F3471F" w:rsidP="00F3471F">
      <w:pPr>
        <w:jc w:val="both"/>
        <w:rPr>
          <w:rFonts w:ascii="Times New Roman" w:hAnsi="Times New Roman" w:cs="Times New Roman"/>
          <w:sz w:val="24"/>
          <w:szCs w:val="24"/>
        </w:rPr>
      </w:pPr>
      <w:r w:rsidRPr="00F3471F">
        <w:rPr>
          <w:rFonts w:ascii="Times New Roman" w:hAnsi="Times New Roman" w:cs="Times New Roman"/>
          <w:b/>
          <w:sz w:val="24"/>
          <w:szCs w:val="24"/>
        </w:rPr>
        <w:t>Figure 7.</w:t>
      </w:r>
      <w:r w:rsidRPr="00F3471F">
        <w:rPr>
          <w:rFonts w:ascii="Times New Roman" w:hAnsi="Times New Roman" w:cs="Times New Roman"/>
          <w:sz w:val="24"/>
          <w:szCs w:val="24"/>
        </w:rPr>
        <w:t xml:space="preserve"> Pearson’s correlation matrix showing the relationships among plant population, plant height, base diameter, fiber yield, and stick yield of BJRI Kenaf-5 under different fertilizer treatments. Positive correlations are indicated by darker shading, while lighter tones represent weaker associations. All measured growth parameters exhibited strong positive relationships with fiber and stick yield, indicating coordinated vegetative and biomass development under integrated nutrient management.</w:t>
      </w:r>
    </w:p>
    <w:p w14:paraId="66D90B3D" w14:textId="546571E0" w:rsidR="009F2AEE" w:rsidRPr="009F2AEE" w:rsidRDefault="009F2AEE" w:rsidP="00F3471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F2AEE">
        <w:rPr>
          <w:rFonts w:ascii="Times New Roman" w:eastAsia="Times New Roman" w:hAnsi="Times New Roman" w:cs="Times New Roman"/>
          <w:b/>
          <w:bCs/>
          <w:kern w:val="36"/>
          <w:sz w:val="24"/>
          <w:szCs w:val="24"/>
        </w:rPr>
        <w:t>5. Concl</w:t>
      </w:r>
      <w:r w:rsidRPr="00F3471F">
        <w:rPr>
          <w:rFonts w:ascii="Times New Roman" w:eastAsia="Times New Roman" w:hAnsi="Times New Roman" w:cs="Times New Roman"/>
          <w:b/>
          <w:bCs/>
          <w:kern w:val="36"/>
          <w:sz w:val="24"/>
          <w:szCs w:val="24"/>
        </w:rPr>
        <w:t>usion</w:t>
      </w:r>
    </w:p>
    <w:p w14:paraId="2F911E45"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 xml:space="preserve">Integrated nutrient management significantly enhanced the growth and fiber productivity of BJRI Kenaf-5 under the </w:t>
      </w:r>
      <w:proofErr w:type="spellStart"/>
      <w:r w:rsidRPr="009F2AEE">
        <w:rPr>
          <w:rFonts w:ascii="Times New Roman" w:eastAsia="Times New Roman" w:hAnsi="Times New Roman" w:cs="Times New Roman"/>
          <w:sz w:val="24"/>
          <w:szCs w:val="24"/>
        </w:rPr>
        <w:t>agro</w:t>
      </w:r>
      <w:proofErr w:type="spellEnd"/>
      <w:r w:rsidRPr="009F2AEE">
        <w:rPr>
          <w:rFonts w:ascii="Times New Roman" w:eastAsia="Times New Roman" w:hAnsi="Times New Roman" w:cs="Times New Roman"/>
          <w:sz w:val="24"/>
          <w:szCs w:val="24"/>
        </w:rPr>
        <w:t xml:space="preserve">-ecological conditions of </w:t>
      </w:r>
      <w:proofErr w:type="spellStart"/>
      <w:r w:rsidRPr="009F2AEE">
        <w:rPr>
          <w:rFonts w:ascii="Times New Roman" w:eastAsia="Times New Roman" w:hAnsi="Times New Roman" w:cs="Times New Roman"/>
          <w:sz w:val="24"/>
          <w:szCs w:val="24"/>
        </w:rPr>
        <w:t>Kishoreganj</w:t>
      </w:r>
      <w:proofErr w:type="spellEnd"/>
      <w:r w:rsidRPr="009F2AEE">
        <w:rPr>
          <w:rFonts w:ascii="Times New Roman" w:eastAsia="Times New Roman" w:hAnsi="Times New Roman" w:cs="Times New Roman"/>
          <w:sz w:val="24"/>
          <w:szCs w:val="24"/>
        </w:rPr>
        <w:t>. The combined application of inorganic fertilizers with organic amendments improved plant height, base diameter, plant population, and ultimately fiber and stick yield.</w:t>
      </w:r>
    </w:p>
    <w:p w14:paraId="6D430140"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 xml:space="preserve">Among the evaluated treatments, T6 (100% RDF + cow dung + poultry manure + vermicompost at 1.5 t ha⁻¹ each) demonstrated superior performance, producing the highest fiber yield (3.36 t ha⁻¹) and stick yield (6.73 t ha⁻¹). The strong positive associations observed between vegetative </w:t>
      </w:r>
      <w:r w:rsidRPr="009F2AEE">
        <w:rPr>
          <w:rFonts w:ascii="Times New Roman" w:eastAsia="Times New Roman" w:hAnsi="Times New Roman" w:cs="Times New Roman"/>
          <w:sz w:val="24"/>
          <w:szCs w:val="24"/>
        </w:rPr>
        <w:lastRenderedPageBreak/>
        <w:t>growth traits and yield parameters confirm that balanced nutrient supply promotes synchronized longitudinal and radial stem development, which is essential for maximizing fiber production.</w:t>
      </w:r>
    </w:p>
    <w:p w14:paraId="3E93D954"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The multivariate analyses further validated that integrated fertilization was the primary driver of yield variability, emphasizing the importance of combining organic and inorganic nutrient sources rather than relying solely on chemical fertilizers.</w:t>
      </w:r>
    </w:p>
    <w:p w14:paraId="6A764366" w14:textId="2AC1B848"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Overall, the findings indicate that integrated nutrient management not only enhances fiber productivity but also supports sustainable soil fertility improvement, making it a viable strategy for long-term kenaf cultivation in Bangladesh.</w:t>
      </w:r>
    </w:p>
    <w:p w14:paraId="5604A25B" w14:textId="1C039B4F" w:rsidR="009F2AEE" w:rsidRPr="009F2AEE" w:rsidRDefault="009F2AEE" w:rsidP="00F3471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F2AEE">
        <w:rPr>
          <w:rFonts w:ascii="Times New Roman" w:eastAsia="Times New Roman" w:hAnsi="Times New Roman" w:cs="Times New Roman"/>
          <w:b/>
          <w:bCs/>
          <w:kern w:val="36"/>
          <w:sz w:val="24"/>
          <w:szCs w:val="24"/>
        </w:rPr>
        <w:t xml:space="preserve">6. Future Recommendations </w:t>
      </w:r>
    </w:p>
    <w:p w14:paraId="0AD55208"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6.1 Economic Evaluation</w:t>
      </w:r>
    </w:p>
    <w:p w14:paraId="34B8AFA2"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Although T6 produced the highest yield, treatments T4 and T5 also showed statistically competitive performance. A detailed cost–benefit analysis is recommended to determine the most economically viable nutrient combination for smallholder farmers, considering input costs and market prices.</w:t>
      </w:r>
    </w:p>
    <w:p w14:paraId="2C36B291"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6.2 Multi-Location Validation</w:t>
      </w:r>
    </w:p>
    <w:p w14:paraId="496D40EA"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 xml:space="preserve">To ensure the broader applicability of these findings, similar experiments should be conducted across different </w:t>
      </w:r>
      <w:proofErr w:type="spellStart"/>
      <w:r w:rsidRPr="009F2AEE">
        <w:rPr>
          <w:rFonts w:ascii="Times New Roman" w:eastAsia="Times New Roman" w:hAnsi="Times New Roman" w:cs="Times New Roman"/>
          <w:sz w:val="24"/>
          <w:szCs w:val="24"/>
        </w:rPr>
        <w:t>agro</w:t>
      </w:r>
      <w:proofErr w:type="spellEnd"/>
      <w:r w:rsidRPr="009F2AEE">
        <w:rPr>
          <w:rFonts w:ascii="Times New Roman" w:eastAsia="Times New Roman" w:hAnsi="Times New Roman" w:cs="Times New Roman"/>
          <w:sz w:val="24"/>
          <w:szCs w:val="24"/>
        </w:rPr>
        <w:t>-ecological zones of Bangladesh to evaluate treatment stability under varying soil and climatic conditions.</w:t>
      </w:r>
    </w:p>
    <w:p w14:paraId="7F601B7C"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6.3 Long-Term Soil Health Monitoring</w:t>
      </w:r>
    </w:p>
    <w:p w14:paraId="250B5305"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Long-term studies are necessary to assess the residual effects of repeated organic amendment application on soil organic carbon, nutrient dynamics, microbial activity, and sustainability of fiber production.</w:t>
      </w:r>
    </w:p>
    <w:p w14:paraId="3E7C9ABE" w14:textId="77777777" w:rsidR="009F2AEE" w:rsidRPr="009F2AEE" w:rsidRDefault="009F2AEE" w:rsidP="00F3471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F2AEE">
        <w:rPr>
          <w:rFonts w:ascii="Times New Roman" w:eastAsia="Times New Roman" w:hAnsi="Times New Roman" w:cs="Times New Roman"/>
          <w:b/>
          <w:bCs/>
          <w:sz w:val="24"/>
          <w:szCs w:val="24"/>
        </w:rPr>
        <w:t>6.4 Nutrient Use Efficiency Studies</w:t>
      </w:r>
    </w:p>
    <w:p w14:paraId="4D494024" w14:textId="77777777" w:rsidR="009F2AEE" w:rsidRPr="009F2AEE" w:rsidRDefault="009F2AEE" w:rsidP="00F3471F">
      <w:pPr>
        <w:spacing w:before="100" w:beforeAutospacing="1" w:after="100" w:afterAutospacing="1" w:line="240" w:lineRule="auto"/>
        <w:jc w:val="both"/>
        <w:rPr>
          <w:rFonts w:ascii="Times New Roman" w:eastAsia="Times New Roman" w:hAnsi="Times New Roman" w:cs="Times New Roman"/>
          <w:sz w:val="24"/>
          <w:szCs w:val="24"/>
        </w:rPr>
      </w:pPr>
      <w:r w:rsidRPr="009F2AEE">
        <w:rPr>
          <w:rFonts w:ascii="Times New Roman" w:eastAsia="Times New Roman" w:hAnsi="Times New Roman" w:cs="Times New Roman"/>
          <w:sz w:val="24"/>
          <w:szCs w:val="24"/>
        </w:rPr>
        <w:t>Future research should focus on quantifying nutrient use efficiency (NUE) and carbon sequestration potential under integrated nutrient management to better understand environmental benefits.</w:t>
      </w:r>
    </w:p>
    <w:p w14:paraId="0B793206" w14:textId="77777777" w:rsidR="004922E8" w:rsidRPr="00F3471F" w:rsidRDefault="004922E8" w:rsidP="00F3471F">
      <w:pPr>
        <w:spacing w:before="100" w:beforeAutospacing="1" w:after="100" w:afterAutospacing="1" w:line="240" w:lineRule="auto"/>
        <w:jc w:val="both"/>
        <w:rPr>
          <w:rFonts w:ascii="Times New Roman" w:eastAsia="Times New Roman" w:hAnsi="Times New Roman" w:cs="Times New Roman"/>
          <w:sz w:val="24"/>
          <w:szCs w:val="24"/>
        </w:rPr>
      </w:pPr>
    </w:p>
    <w:p w14:paraId="315390BC" w14:textId="77777777" w:rsidR="0014325B" w:rsidRPr="00F3471F" w:rsidRDefault="0014325B" w:rsidP="00F3471F">
      <w:pPr>
        <w:jc w:val="both"/>
        <w:rPr>
          <w:rFonts w:ascii="Times New Roman" w:hAnsi="Times New Roman" w:cs="Times New Roman"/>
          <w:b/>
          <w:bCs/>
          <w:sz w:val="24"/>
          <w:szCs w:val="24"/>
        </w:rPr>
      </w:pPr>
    </w:p>
    <w:p w14:paraId="0E0C715C" w14:textId="77777777" w:rsidR="00D76104" w:rsidRPr="00F3471F" w:rsidRDefault="00D76104" w:rsidP="00F3471F">
      <w:pPr>
        <w:spacing w:after="0" w:line="240" w:lineRule="auto"/>
        <w:jc w:val="both"/>
        <w:rPr>
          <w:rFonts w:ascii="Times New Roman" w:eastAsia="Calibri" w:hAnsi="Times New Roman" w:cs="Times New Roman"/>
          <w:b/>
          <w:bCs/>
          <w:sz w:val="24"/>
          <w:szCs w:val="24"/>
          <w:lang w:bidi="bn-BD"/>
        </w:rPr>
      </w:pPr>
    </w:p>
    <w:p w14:paraId="3D3CFDF6" w14:textId="77777777" w:rsidR="004B66A9" w:rsidRDefault="004B66A9" w:rsidP="00F3471F">
      <w:pPr>
        <w:spacing w:after="0" w:line="240" w:lineRule="auto"/>
        <w:jc w:val="both"/>
        <w:rPr>
          <w:rFonts w:ascii="Times New Roman" w:hAnsi="Times New Roman" w:cs="Times New Roman"/>
          <w:b/>
          <w:sz w:val="24"/>
          <w:szCs w:val="24"/>
        </w:rPr>
      </w:pPr>
    </w:p>
    <w:p w14:paraId="67E78AD9" w14:textId="77777777" w:rsidR="004B66A9" w:rsidRDefault="004B66A9" w:rsidP="00F3471F">
      <w:pPr>
        <w:spacing w:after="0" w:line="240" w:lineRule="auto"/>
        <w:jc w:val="both"/>
        <w:rPr>
          <w:rFonts w:ascii="Times New Roman" w:hAnsi="Times New Roman" w:cs="Times New Roman"/>
          <w:b/>
          <w:sz w:val="24"/>
          <w:szCs w:val="24"/>
        </w:rPr>
      </w:pPr>
    </w:p>
    <w:p w14:paraId="38C6A7C9" w14:textId="77777777" w:rsidR="004B66A9" w:rsidRDefault="004B66A9" w:rsidP="00F3471F">
      <w:pPr>
        <w:spacing w:after="0" w:line="240" w:lineRule="auto"/>
        <w:jc w:val="both"/>
        <w:rPr>
          <w:rFonts w:ascii="Times New Roman" w:hAnsi="Times New Roman" w:cs="Times New Roman"/>
          <w:b/>
          <w:sz w:val="24"/>
          <w:szCs w:val="24"/>
        </w:rPr>
      </w:pPr>
    </w:p>
    <w:p w14:paraId="0CADDD8A" w14:textId="5DF3A8CD" w:rsidR="00D76104" w:rsidRPr="004B66A9" w:rsidRDefault="004B66A9" w:rsidP="004B66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01162059"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A4162">
        <w:rPr>
          <w:rFonts w:ascii="Times New Roman" w:eastAsia="Times New Roman" w:hAnsi="Times New Roman" w:cs="Times New Roman"/>
          <w:sz w:val="24"/>
          <w:szCs w:val="24"/>
        </w:rPr>
        <w:t>Agbede</w:t>
      </w:r>
      <w:proofErr w:type="spellEnd"/>
      <w:r w:rsidRPr="006A4162">
        <w:rPr>
          <w:rFonts w:ascii="Times New Roman" w:eastAsia="Times New Roman" w:hAnsi="Times New Roman" w:cs="Times New Roman"/>
          <w:sz w:val="24"/>
          <w:szCs w:val="24"/>
        </w:rPr>
        <w:t xml:space="preserve">, T. M., </w:t>
      </w:r>
      <w:proofErr w:type="spellStart"/>
      <w:r w:rsidRPr="006A4162">
        <w:rPr>
          <w:rFonts w:ascii="Times New Roman" w:eastAsia="Times New Roman" w:hAnsi="Times New Roman" w:cs="Times New Roman"/>
          <w:sz w:val="24"/>
          <w:szCs w:val="24"/>
        </w:rPr>
        <w:t>Ojeniyi</w:t>
      </w:r>
      <w:proofErr w:type="spellEnd"/>
      <w:r w:rsidRPr="006A4162">
        <w:rPr>
          <w:rFonts w:ascii="Times New Roman" w:eastAsia="Times New Roman" w:hAnsi="Times New Roman" w:cs="Times New Roman"/>
          <w:sz w:val="24"/>
          <w:szCs w:val="24"/>
        </w:rPr>
        <w:t xml:space="preserve">, S. O., &amp; Adeyemo, A. J. (2008). Effect of poultry manure on soil physical and chemical properties, growth and grain yield of sorghum in South-West, Nigeria. </w:t>
      </w:r>
      <w:r w:rsidRPr="00F3471F">
        <w:rPr>
          <w:rFonts w:ascii="Times New Roman" w:eastAsia="Times New Roman" w:hAnsi="Times New Roman" w:cs="Times New Roman"/>
          <w:i/>
          <w:iCs/>
          <w:sz w:val="24"/>
          <w:szCs w:val="24"/>
        </w:rPr>
        <w:t>American Eurasian Journal of Sustainable Agriculture</w:t>
      </w:r>
      <w:r w:rsidRPr="006A4162">
        <w:rPr>
          <w:rFonts w:ascii="Times New Roman" w:eastAsia="Times New Roman" w:hAnsi="Times New Roman" w:cs="Times New Roman"/>
          <w:sz w:val="24"/>
          <w:szCs w:val="24"/>
        </w:rPr>
        <w:t>, 2, 72–77.</w:t>
      </w:r>
    </w:p>
    <w:p w14:paraId="48E39521"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Akinrotimi, C. A., &amp; Okocha, P. I. (2018). Evaluation of genetic divergence in kenaf (</w:t>
      </w:r>
      <w:r w:rsidRPr="00F3471F">
        <w:rPr>
          <w:rFonts w:ascii="Times New Roman" w:eastAsia="Times New Roman" w:hAnsi="Times New Roman" w:cs="Times New Roman"/>
          <w:i/>
          <w:iCs/>
          <w:sz w:val="24"/>
          <w:szCs w:val="24"/>
        </w:rPr>
        <w:t>Hibiscus cannabinus</w:t>
      </w:r>
      <w:r w:rsidRPr="006A4162">
        <w:rPr>
          <w:rFonts w:ascii="Times New Roman" w:eastAsia="Times New Roman" w:hAnsi="Times New Roman" w:cs="Times New Roman"/>
          <w:sz w:val="24"/>
          <w:szCs w:val="24"/>
        </w:rPr>
        <w:t xml:space="preserve"> L.) genotypes using </w:t>
      </w:r>
      <w:proofErr w:type="spellStart"/>
      <w:r w:rsidRPr="006A4162">
        <w:rPr>
          <w:rFonts w:ascii="Times New Roman" w:eastAsia="Times New Roman" w:hAnsi="Times New Roman" w:cs="Times New Roman"/>
          <w:sz w:val="24"/>
          <w:szCs w:val="24"/>
        </w:rPr>
        <w:t>agro</w:t>
      </w:r>
      <w:proofErr w:type="spellEnd"/>
      <w:r w:rsidRPr="006A4162">
        <w:rPr>
          <w:rFonts w:ascii="Times New Roman" w:eastAsia="Times New Roman" w:hAnsi="Times New Roman" w:cs="Times New Roman"/>
          <w:sz w:val="24"/>
          <w:szCs w:val="24"/>
        </w:rPr>
        <w:t xml:space="preserve">‐morphological characteristics. </w:t>
      </w:r>
      <w:r w:rsidRPr="00F3471F">
        <w:rPr>
          <w:rFonts w:ascii="Times New Roman" w:eastAsia="Times New Roman" w:hAnsi="Times New Roman" w:cs="Times New Roman"/>
          <w:i/>
          <w:iCs/>
          <w:sz w:val="24"/>
          <w:szCs w:val="24"/>
        </w:rPr>
        <w:t>Journal of Plant Sciences and Agricultural Research</w:t>
      </w:r>
      <w:r w:rsidRPr="006A4162">
        <w:rPr>
          <w:rFonts w:ascii="Times New Roman" w:eastAsia="Times New Roman" w:hAnsi="Times New Roman" w:cs="Times New Roman"/>
          <w:sz w:val="24"/>
          <w:szCs w:val="24"/>
        </w:rPr>
        <w:t>, 2(12), 1–10.</w:t>
      </w:r>
    </w:p>
    <w:p w14:paraId="5DDCF690"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Alam, M. S., Islam, M. S., &amp; Nasreen, S. (2021). Effect of integrated nutrient management on the growth and yield of Kenaf (</w:t>
      </w:r>
      <w:r w:rsidRPr="00F3471F">
        <w:rPr>
          <w:rFonts w:ascii="Times New Roman" w:eastAsia="Times New Roman" w:hAnsi="Times New Roman" w:cs="Times New Roman"/>
          <w:i/>
          <w:iCs/>
          <w:sz w:val="24"/>
          <w:szCs w:val="24"/>
        </w:rPr>
        <w:t>Hibiscus cannabinus</w:t>
      </w:r>
      <w:r w:rsidRPr="006A4162">
        <w:rPr>
          <w:rFonts w:ascii="Times New Roman" w:eastAsia="Times New Roman" w:hAnsi="Times New Roman" w:cs="Times New Roman"/>
          <w:sz w:val="24"/>
          <w:szCs w:val="24"/>
        </w:rPr>
        <w:t xml:space="preserve"> L.). </w:t>
      </w:r>
      <w:r w:rsidRPr="00F3471F">
        <w:rPr>
          <w:rFonts w:ascii="Times New Roman" w:eastAsia="Times New Roman" w:hAnsi="Times New Roman" w:cs="Times New Roman"/>
          <w:i/>
          <w:iCs/>
          <w:sz w:val="24"/>
          <w:szCs w:val="24"/>
        </w:rPr>
        <w:t>Journal of Agriculture and Ecology Research International</w:t>
      </w:r>
      <w:r w:rsidRPr="006A4162">
        <w:rPr>
          <w:rFonts w:ascii="Times New Roman" w:eastAsia="Times New Roman" w:hAnsi="Times New Roman" w:cs="Times New Roman"/>
          <w:sz w:val="24"/>
          <w:szCs w:val="24"/>
        </w:rPr>
        <w:t xml:space="preserve">, 22(4), 1–10. </w:t>
      </w:r>
      <w:hyperlink r:id="rId16" w:tgtFrame="_new" w:history="1">
        <w:r w:rsidRPr="00F3471F">
          <w:rPr>
            <w:rFonts w:ascii="Times New Roman" w:eastAsia="Times New Roman" w:hAnsi="Times New Roman" w:cs="Times New Roman"/>
            <w:color w:val="0000FF"/>
            <w:sz w:val="24"/>
            <w:szCs w:val="24"/>
            <w:u w:val="single"/>
          </w:rPr>
          <w:t>https://doi.org/10.9734/jaeri/2021/v22i430191</w:t>
        </w:r>
      </w:hyperlink>
    </w:p>
    <w:p w14:paraId="00EBC869"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Das, K., Guha, B., &amp; Pathak, D. (1996). Response of capsularis to potassium fertilization. </w:t>
      </w:r>
      <w:r w:rsidRPr="00F3471F">
        <w:rPr>
          <w:rFonts w:ascii="Times New Roman" w:eastAsia="Times New Roman" w:hAnsi="Times New Roman" w:cs="Times New Roman"/>
          <w:i/>
          <w:iCs/>
          <w:sz w:val="24"/>
          <w:szCs w:val="24"/>
        </w:rPr>
        <w:t>Annals of Agricultural Research</w:t>
      </w:r>
      <w:r w:rsidRPr="006A4162">
        <w:rPr>
          <w:rFonts w:ascii="Times New Roman" w:eastAsia="Times New Roman" w:hAnsi="Times New Roman" w:cs="Times New Roman"/>
          <w:sz w:val="24"/>
          <w:szCs w:val="24"/>
        </w:rPr>
        <w:t>, 17(2), 188–189.</w:t>
      </w:r>
    </w:p>
    <w:p w14:paraId="70740C4E"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Das, R. C., Mallick, C., </w:t>
      </w:r>
      <w:proofErr w:type="spellStart"/>
      <w:r w:rsidRPr="006A4162">
        <w:rPr>
          <w:rFonts w:ascii="Times New Roman" w:eastAsia="Times New Roman" w:hAnsi="Times New Roman" w:cs="Times New Roman"/>
          <w:sz w:val="24"/>
          <w:szCs w:val="24"/>
        </w:rPr>
        <w:t>Syfullah</w:t>
      </w:r>
      <w:proofErr w:type="spellEnd"/>
      <w:r w:rsidRPr="006A4162">
        <w:rPr>
          <w:rFonts w:ascii="Times New Roman" w:eastAsia="Times New Roman" w:hAnsi="Times New Roman" w:cs="Times New Roman"/>
          <w:sz w:val="24"/>
          <w:szCs w:val="24"/>
        </w:rPr>
        <w:t xml:space="preserve">, K., Kabir, M. H., </w:t>
      </w:r>
      <w:proofErr w:type="spellStart"/>
      <w:r w:rsidRPr="006A4162">
        <w:rPr>
          <w:rFonts w:ascii="Times New Roman" w:eastAsia="Times New Roman" w:hAnsi="Times New Roman" w:cs="Times New Roman"/>
          <w:sz w:val="24"/>
          <w:szCs w:val="24"/>
        </w:rPr>
        <w:t>Zhumur</w:t>
      </w:r>
      <w:proofErr w:type="spellEnd"/>
      <w:r w:rsidRPr="006A4162">
        <w:rPr>
          <w:rFonts w:ascii="Times New Roman" w:eastAsia="Times New Roman" w:hAnsi="Times New Roman" w:cs="Times New Roman"/>
          <w:sz w:val="24"/>
          <w:szCs w:val="24"/>
        </w:rPr>
        <w:t xml:space="preserve">, T. K., Fahim, F. A., Ali, M. I., &amp; Ali, M. Y. (2025). BJRI-developed </w:t>
      </w:r>
      <w:proofErr w:type="spellStart"/>
      <w:r w:rsidRPr="006A4162">
        <w:rPr>
          <w:rFonts w:ascii="Times New Roman" w:eastAsia="Times New Roman" w:hAnsi="Times New Roman" w:cs="Times New Roman"/>
          <w:sz w:val="24"/>
          <w:szCs w:val="24"/>
        </w:rPr>
        <w:t>Tossa</w:t>
      </w:r>
      <w:proofErr w:type="spellEnd"/>
      <w:r w:rsidRPr="006A4162">
        <w:rPr>
          <w:rFonts w:ascii="Times New Roman" w:eastAsia="Times New Roman" w:hAnsi="Times New Roman" w:cs="Times New Roman"/>
          <w:sz w:val="24"/>
          <w:szCs w:val="24"/>
        </w:rPr>
        <w:t xml:space="preserve"> jute (</w:t>
      </w:r>
      <w:r w:rsidRPr="00F3471F">
        <w:rPr>
          <w:rFonts w:ascii="Times New Roman" w:eastAsia="Times New Roman" w:hAnsi="Times New Roman" w:cs="Times New Roman"/>
          <w:i/>
          <w:iCs/>
          <w:sz w:val="24"/>
          <w:szCs w:val="24"/>
        </w:rPr>
        <w:t xml:space="preserve">Corchorus </w:t>
      </w:r>
      <w:proofErr w:type="spellStart"/>
      <w:r w:rsidRPr="00F3471F">
        <w:rPr>
          <w:rFonts w:ascii="Times New Roman" w:eastAsia="Times New Roman" w:hAnsi="Times New Roman" w:cs="Times New Roman"/>
          <w:i/>
          <w:iCs/>
          <w:sz w:val="24"/>
          <w:szCs w:val="24"/>
        </w:rPr>
        <w:t>olitorius</w:t>
      </w:r>
      <w:proofErr w:type="spellEnd"/>
      <w:r w:rsidRPr="006A4162">
        <w:rPr>
          <w:rFonts w:ascii="Times New Roman" w:eastAsia="Times New Roman" w:hAnsi="Times New Roman" w:cs="Times New Roman"/>
          <w:sz w:val="24"/>
          <w:szCs w:val="24"/>
        </w:rPr>
        <w:t xml:space="preserve">) varieties: Agronomic traits, fiber quality, economic significance, and future prospect in Bangladesh. </w:t>
      </w:r>
      <w:r w:rsidRPr="00F3471F">
        <w:rPr>
          <w:rFonts w:ascii="Times New Roman" w:eastAsia="Times New Roman" w:hAnsi="Times New Roman" w:cs="Times New Roman"/>
          <w:i/>
          <w:iCs/>
          <w:sz w:val="24"/>
          <w:szCs w:val="24"/>
        </w:rPr>
        <w:t>Journal of Bioscience and Agriculture Research</w:t>
      </w:r>
      <w:r w:rsidRPr="006A4162">
        <w:rPr>
          <w:rFonts w:ascii="Times New Roman" w:eastAsia="Times New Roman" w:hAnsi="Times New Roman" w:cs="Times New Roman"/>
          <w:sz w:val="24"/>
          <w:szCs w:val="24"/>
        </w:rPr>
        <w:t>, 35(01), 2783–2798.</w:t>
      </w:r>
    </w:p>
    <w:p w14:paraId="2F08F3F7"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Edmeades, D. C. (2003). The long-term effects of manures and </w:t>
      </w:r>
      <w:proofErr w:type="spellStart"/>
      <w:r w:rsidRPr="006A4162">
        <w:rPr>
          <w:rFonts w:ascii="Times New Roman" w:eastAsia="Times New Roman" w:hAnsi="Times New Roman" w:cs="Times New Roman"/>
          <w:sz w:val="24"/>
          <w:szCs w:val="24"/>
        </w:rPr>
        <w:t>fertilisers</w:t>
      </w:r>
      <w:proofErr w:type="spellEnd"/>
      <w:r w:rsidRPr="006A4162">
        <w:rPr>
          <w:rFonts w:ascii="Times New Roman" w:eastAsia="Times New Roman" w:hAnsi="Times New Roman" w:cs="Times New Roman"/>
          <w:sz w:val="24"/>
          <w:szCs w:val="24"/>
        </w:rPr>
        <w:t xml:space="preserve"> on soil productivity and quality: A review. </w:t>
      </w:r>
      <w:r w:rsidRPr="00F3471F">
        <w:rPr>
          <w:rFonts w:ascii="Times New Roman" w:eastAsia="Times New Roman" w:hAnsi="Times New Roman" w:cs="Times New Roman"/>
          <w:i/>
          <w:iCs/>
          <w:sz w:val="24"/>
          <w:szCs w:val="24"/>
        </w:rPr>
        <w:t>Nutrient Cycling in Agroecosystems</w:t>
      </w:r>
      <w:r w:rsidRPr="006A4162">
        <w:rPr>
          <w:rFonts w:ascii="Times New Roman" w:eastAsia="Times New Roman" w:hAnsi="Times New Roman" w:cs="Times New Roman"/>
          <w:sz w:val="24"/>
          <w:szCs w:val="24"/>
        </w:rPr>
        <w:t>, 66, 165–180.</w:t>
      </w:r>
    </w:p>
    <w:p w14:paraId="058411D7"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H'ng, P. S., Khor, B. N., Tadashi, N., Aini, A. S. N., &amp; </w:t>
      </w:r>
      <w:proofErr w:type="spellStart"/>
      <w:r w:rsidRPr="006A4162">
        <w:rPr>
          <w:rFonts w:ascii="Times New Roman" w:eastAsia="Times New Roman" w:hAnsi="Times New Roman" w:cs="Times New Roman"/>
          <w:sz w:val="24"/>
          <w:szCs w:val="24"/>
        </w:rPr>
        <w:t>Paridah</w:t>
      </w:r>
      <w:proofErr w:type="spellEnd"/>
      <w:r w:rsidRPr="006A4162">
        <w:rPr>
          <w:rFonts w:ascii="Times New Roman" w:eastAsia="Times New Roman" w:hAnsi="Times New Roman" w:cs="Times New Roman"/>
          <w:sz w:val="24"/>
          <w:szCs w:val="24"/>
        </w:rPr>
        <w:t xml:space="preserve">, M. T. (2009). Anatomical structure and morphology of new kenaf varieties. </w:t>
      </w:r>
      <w:r w:rsidRPr="00F3471F">
        <w:rPr>
          <w:rFonts w:ascii="Times New Roman" w:eastAsia="Times New Roman" w:hAnsi="Times New Roman" w:cs="Times New Roman"/>
          <w:i/>
          <w:iCs/>
          <w:sz w:val="24"/>
          <w:szCs w:val="24"/>
        </w:rPr>
        <w:t>Asian Journal of Scientific Research</w:t>
      </w:r>
      <w:r w:rsidRPr="006A4162">
        <w:rPr>
          <w:rFonts w:ascii="Times New Roman" w:eastAsia="Times New Roman" w:hAnsi="Times New Roman" w:cs="Times New Roman"/>
          <w:sz w:val="24"/>
          <w:szCs w:val="24"/>
        </w:rPr>
        <w:t>, 2(3), 161–166.</w:t>
      </w:r>
    </w:p>
    <w:p w14:paraId="36AD270B"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Hossain, M. A., Ahmed, F., &amp; Gani, M. N. (2019). Biomass partitioning and yield of BJRI Kenaf-5 under varied </w:t>
      </w:r>
      <w:proofErr w:type="spellStart"/>
      <w:r w:rsidRPr="006A4162">
        <w:rPr>
          <w:rFonts w:ascii="Times New Roman" w:eastAsia="Times New Roman" w:hAnsi="Times New Roman" w:cs="Times New Roman"/>
          <w:sz w:val="24"/>
          <w:szCs w:val="24"/>
        </w:rPr>
        <w:t>agro</w:t>
      </w:r>
      <w:proofErr w:type="spellEnd"/>
      <w:r w:rsidRPr="006A4162">
        <w:rPr>
          <w:rFonts w:ascii="Times New Roman" w:eastAsia="Times New Roman" w:hAnsi="Times New Roman" w:cs="Times New Roman"/>
          <w:sz w:val="24"/>
          <w:szCs w:val="24"/>
        </w:rPr>
        <w:t xml:space="preserve">-climatic conditions. </w:t>
      </w:r>
      <w:r w:rsidRPr="00F3471F">
        <w:rPr>
          <w:rFonts w:ascii="Times New Roman" w:eastAsia="Times New Roman" w:hAnsi="Times New Roman" w:cs="Times New Roman"/>
          <w:i/>
          <w:iCs/>
          <w:sz w:val="24"/>
          <w:szCs w:val="24"/>
        </w:rPr>
        <w:t>Bangladesh Journal of Agricultural Research</w:t>
      </w:r>
      <w:r w:rsidRPr="006A4162">
        <w:rPr>
          <w:rFonts w:ascii="Times New Roman" w:eastAsia="Times New Roman" w:hAnsi="Times New Roman" w:cs="Times New Roman"/>
          <w:sz w:val="24"/>
          <w:szCs w:val="24"/>
        </w:rPr>
        <w:t xml:space="preserve">, 44(3), 453–465. </w:t>
      </w:r>
      <w:hyperlink r:id="rId17" w:tgtFrame="_new" w:history="1">
        <w:r w:rsidRPr="00F3471F">
          <w:rPr>
            <w:rFonts w:ascii="Times New Roman" w:eastAsia="Times New Roman" w:hAnsi="Times New Roman" w:cs="Times New Roman"/>
            <w:color w:val="0000FF"/>
            <w:sz w:val="24"/>
            <w:szCs w:val="24"/>
            <w:u w:val="single"/>
          </w:rPr>
          <w:t>https://doi.org/10.3329/bjar.v44i3.43478</w:t>
        </w:r>
      </w:hyperlink>
    </w:p>
    <w:p w14:paraId="2BBFA4D8"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Islam, M. M., &amp; Ali, M. S. (2017). Economic importance of jute in Bangladesh: Production, research achievements and diversification. </w:t>
      </w:r>
      <w:r w:rsidRPr="00F3471F">
        <w:rPr>
          <w:rFonts w:ascii="Times New Roman" w:eastAsia="Times New Roman" w:hAnsi="Times New Roman" w:cs="Times New Roman"/>
          <w:i/>
          <w:iCs/>
          <w:sz w:val="24"/>
          <w:szCs w:val="24"/>
        </w:rPr>
        <w:t>International Journal of Economic Theory and Application</w:t>
      </w:r>
      <w:r w:rsidRPr="006A4162">
        <w:rPr>
          <w:rFonts w:ascii="Times New Roman" w:eastAsia="Times New Roman" w:hAnsi="Times New Roman" w:cs="Times New Roman"/>
          <w:sz w:val="24"/>
          <w:szCs w:val="24"/>
        </w:rPr>
        <w:t>, 4(6), 45–57.</w:t>
      </w:r>
    </w:p>
    <w:p w14:paraId="7223AFC2"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Islam, M. M., Ahmed, S., &amp; Rahman, M. S. (2020). Impact of organic and inorganic fertilizers on fiber quality and yield of kenaf in Bangladesh. </w:t>
      </w:r>
      <w:r w:rsidRPr="00F3471F">
        <w:rPr>
          <w:rFonts w:ascii="Times New Roman" w:eastAsia="Times New Roman" w:hAnsi="Times New Roman" w:cs="Times New Roman"/>
          <w:i/>
          <w:iCs/>
          <w:sz w:val="24"/>
          <w:szCs w:val="24"/>
        </w:rPr>
        <w:t>International Journal of Plant &amp; Soil Science</w:t>
      </w:r>
      <w:r w:rsidRPr="006A4162">
        <w:rPr>
          <w:rFonts w:ascii="Times New Roman" w:eastAsia="Times New Roman" w:hAnsi="Times New Roman" w:cs="Times New Roman"/>
          <w:sz w:val="24"/>
          <w:szCs w:val="24"/>
        </w:rPr>
        <w:t xml:space="preserve">, 32(12), 45–56. </w:t>
      </w:r>
      <w:hyperlink r:id="rId18" w:tgtFrame="_new" w:history="1">
        <w:r w:rsidRPr="00F3471F">
          <w:rPr>
            <w:rFonts w:ascii="Times New Roman" w:eastAsia="Times New Roman" w:hAnsi="Times New Roman" w:cs="Times New Roman"/>
            <w:color w:val="0000FF"/>
            <w:sz w:val="24"/>
            <w:szCs w:val="24"/>
            <w:u w:val="single"/>
          </w:rPr>
          <w:t>https://doi.org/10.9734/ijpss/2020/v32i1230351</w:t>
        </w:r>
      </w:hyperlink>
    </w:p>
    <w:p w14:paraId="5E1A95A5"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Jonathan, S. G., Oyetunji, O. J., Olawuyi, O. J., &amp; </w:t>
      </w:r>
      <w:proofErr w:type="spellStart"/>
      <w:r w:rsidRPr="006A4162">
        <w:rPr>
          <w:rFonts w:ascii="Times New Roman" w:eastAsia="Times New Roman" w:hAnsi="Times New Roman" w:cs="Times New Roman"/>
          <w:sz w:val="24"/>
          <w:szCs w:val="24"/>
        </w:rPr>
        <w:t>Asemoloye</w:t>
      </w:r>
      <w:proofErr w:type="spellEnd"/>
      <w:r w:rsidRPr="006A4162">
        <w:rPr>
          <w:rFonts w:ascii="Times New Roman" w:eastAsia="Times New Roman" w:hAnsi="Times New Roman" w:cs="Times New Roman"/>
          <w:sz w:val="24"/>
          <w:szCs w:val="24"/>
        </w:rPr>
        <w:t xml:space="preserve">, M. D. (2012). Growth responses of </w:t>
      </w:r>
      <w:r w:rsidRPr="00F3471F">
        <w:rPr>
          <w:rFonts w:ascii="Times New Roman" w:eastAsia="Times New Roman" w:hAnsi="Times New Roman" w:cs="Times New Roman"/>
          <w:i/>
          <w:iCs/>
          <w:sz w:val="24"/>
          <w:szCs w:val="24"/>
        </w:rPr>
        <w:t xml:space="preserve">Corchorus </w:t>
      </w:r>
      <w:proofErr w:type="spellStart"/>
      <w:r w:rsidRPr="00F3471F">
        <w:rPr>
          <w:rFonts w:ascii="Times New Roman" w:eastAsia="Times New Roman" w:hAnsi="Times New Roman" w:cs="Times New Roman"/>
          <w:i/>
          <w:iCs/>
          <w:sz w:val="24"/>
          <w:szCs w:val="24"/>
        </w:rPr>
        <w:t>olitorius</w:t>
      </w:r>
      <w:proofErr w:type="spellEnd"/>
      <w:r w:rsidRPr="006A4162">
        <w:rPr>
          <w:rFonts w:ascii="Times New Roman" w:eastAsia="Times New Roman" w:hAnsi="Times New Roman" w:cs="Times New Roman"/>
          <w:sz w:val="24"/>
          <w:szCs w:val="24"/>
        </w:rPr>
        <w:t xml:space="preserve"> L. (Jute) to the application of organic manure as an organic fertilizer. </w:t>
      </w:r>
      <w:r w:rsidRPr="00F3471F">
        <w:rPr>
          <w:rFonts w:ascii="Times New Roman" w:eastAsia="Times New Roman" w:hAnsi="Times New Roman" w:cs="Times New Roman"/>
          <w:i/>
          <w:iCs/>
          <w:sz w:val="24"/>
          <w:szCs w:val="24"/>
        </w:rPr>
        <w:t>Academic Arena</w:t>
      </w:r>
      <w:r w:rsidRPr="006A4162">
        <w:rPr>
          <w:rFonts w:ascii="Times New Roman" w:eastAsia="Times New Roman" w:hAnsi="Times New Roman" w:cs="Times New Roman"/>
          <w:sz w:val="24"/>
          <w:szCs w:val="24"/>
        </w:rPr>
        <w:t>, 4(9), 48–56.</w:t>
      </w:r>
    </w:p>
    <w:p w14:paraId="3CEBB1A2"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lastRenderedPageBreak/>
        <w:t xml:space="preserve">Liu, T., Chen, X. Y., Hu, F., Ran, W., Shen, Q. R., Li, H. X., &amp; Whalen, J. K. (2016). Carbon-rich organic fertilizers to increase soil biodiversity: Evidence from a meta-analysis of nematode communities. </w:t>
      </w:r>
      <w:r w:rsidRPr="00F3471F">
        <w:rPr>
          <w:rFonts w:ascii="Times New Roman" w:eastAsia="Times New Roman" w:hAnsi="Times New Roman" w:cs="Times New Roman"/>
          <w:i/>
          <w:iCs/>
          <w:sz w:val="24"/>
          <w:szCs w:val="24"/>
        </w:rPr>
        <w:t>Agriculture, Ecosystems &amp; Environment</w:t>
      </w:r>
      <w:r w:rsidRPr="006A4162">
        <w:rPr>
          <w:rFonts w:ascii="Times New Roman" w:eastAsia="Times New Roman" w:hAnsi="Times New Roman" w:cs="Times New Roman"/>
          <w:sz w:val="24"/>
          <w:szCs w:val="24"/>
        </w:rPr>
        <w:t>, 223, 199–207.</w:t>
      </w:r>
    </w:p>
    <w:p w14:paraId="390A73C3"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A4162">
        <w:rPr>
          <w:rFonts w:ascii="Times New Roman" w:eastAsia="Times New Roman" w:hAnsi="Times New Roman" w:cs="Times New Roman"/>
          <w:sz w:val="24"/>
          <w:szCs w:val="24"/>
        </w:rPr>
        <w:t>Maheswarappa</w:t>
      </w:r>
      <w:proofErr w:type="spellEnd"/>
      <w:r w:rsidRPr="006A4162">
        <w:rPr>
          <w:rFonts w:ascii="Times New Roman" w:eastAsia="Times New Roman" w:hAnsi="Times New Roman" w:cs="Times New Roman"/>
          <w:sz w:val="24"/>
          <w:szCs w:val="24"/>
        </w:rPr>
        <w:t xml:space="preserve">, H. P., </w:t>
      </w:r>
      <w:proofErr w:type="spellStart"/>
      <w:r w:rsidRPr="006A4162">
        <w:rPr>
          <w:rFonts w:ascii="Times New Roman" w:eastAsia="Times New Roman" w:hAnsi="Times New Roman" w:cs="Times New Roman"/>
          <w:sz w:val="24"/>
          <w:szCs w:val="24"/>
        </w:rPr>
        <w:t>Nanjappa</w:t>
      </w:r>
      <w:proofErr w:type="spellEnd"/>
      <w:r w:rsidRPr="006A4162">
        <w:rPr>
          <w:rFonts w:ascii="Times New Roman" w:eastAsia="Times New Roman" w:hAnsi="Times New Roman" w:cs="Times New Roman"/>
          <w:sz w:val="24"/>
          <w:szCs w:val="24"/>
        </w:rPr>
        <w:t>, H. V., Hegde, M. R., &amp; Prabhu, S. R. (1999). Influence of planting material, plant population and organic manures on yield of East Indian galangal (</w:t>
      </w:r>
      <w:proofErr w:type="spellStart"/>
      <w:r w:rsidRPr="00F3471F">
        <w:rPr>
          <w:rFonts w:ascii="Times New Roman" w:eastAsia="Times New Roman" w:hAnsi="Times New Roman" w:cs="Times New Roman"/>
          <w:i/>
          <w:iCs/>
          <w:sz w:val="24"/>
          <w:szCs w:val="24"/>
        </w:rPr>
        <w:t>Kaempferia</w:t>
      </w:r>
      <w:proofErr w:type="spellEnd"/>
      <w:r w:rsidRPr="00F3471F">
        <w:rPr>
          <w:rFonts w:ascii="Times New Roman" w:eastAsia="Times New Roman" w:hAnsi="Times New Roman" w:cs="Times New Roman"/>
          <w:i/>
          <w:iCs/>
          <w:sz w:val="24"/>
          <w:szCs w:val="24"/>
        </w:rPr>
        <w:t xml:space="preserve"> </w:t>
      </w:r>
      <w:proofErr w:type="spellStart"/>
      <w:r w:rsidRPr="00F3471F">
        <w:rPr>
          <w:rFonts w:ascii="Times New Roman" w:eastAsia="Times New Roman" w:hAnsi="Times New Roman" w:cs="Times New Roman"/>
          <w:i/>
          <w:iCs/>
          <w:sz w:val="24"/>
          <w:szCs w:val="24"/>
        </w:rPr>
        <w:t>galanga</w:t>
      </w:r>
      <w:proofErr w:type="spellEnd"/>
      <w:r w:rsidRPr="006A4162">
        <w:rPr>
          <w:rFonts w:ascii="Times New Roman" w:eastAsia="Times New Roman" w:hAnsi="Times New Roman" w:cs="Times New Roman"/>
          <w:sz w:val="24"/>
          <w:szCs w:val="24"/>
        </w:rPr>
        <w:t xml:space="preserve">), soil </w:t>
      </w:r>
      <w:proofErr w:type="spellStart"/>
      <w:r w:rsidRPr="006A4162">
        <w:rPr>
          <w:rFonts w:ascii="Times New Roman" w:eastAsia="Times New Roman" w:hAnsi="Times New Roman" w:cs="Times New Roman"/>
          <w:sz w:val="24"/>
          <w:szCs w:val="24"/>
        </w:rPr>
        <w:t>physico</w:t>
      </w:r>
      <w:proofErr w:type="spellEnd"/>
      <w:r w:rsidRPr="006A4162">
        <w:rPr>
          <w:rFonts w:ascii="Times New Roman" w:eastAsia="Times New Roman" w:hAnsi="Times New Roman" w:cs="Times New Roman"/>
          <w:sz w:val="24"/>
          <w:szCs w:val="24"/>
        </w:rPr>
        <w:t xml:space="preserve">-chemical and biological properties. </w:t>
      </w:r>
      <w:r w:rsidRPr="00F3471F">
        <w:rPr>
          <w:rFonts w:ascii="Times New Roman" w:eastAsia="Times New Roman" w:hAnsi="Times New Roman" w:cs="Times New Roman"/>
          <w:i/>
          <w:iCs/>
          <w:sz w:val="24"/>
          <w:szCs w:val="24"/>
        </w:rPr>
        <w:t>Indian Journal of Agronomy</w:t>
      </w:r>
      <w:r w:rsidRPr="006A4162">
        <w:rPr>
          <w:rFonts w:ascii="Times New Roman" w:eastAsia="Times New Roman" w:hAnsi="Times New Roman" w:cs="Times New Roman"/>
          <w:sz w:val="24"/>
          <w:szCs w:val="24"/>
        </w:rPr>
        <w:t>, 44(3), 651–657.</w:t>
      </w:r>
    </w:p>
    <w:p w14:paraId="6107C67F"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Mazen, A., </w:t>
      </w:r>
      <w:proofErr w:type="spellStart"/>
      <w:r w:rsidRPr="006A4162">
        <w:rPr>
          <w:rFonts w:ascii="Times New Roman" w:eastAsia="Times New Roman" w:hAnsi="Times New Roman" w:cs="Times New Roman"/>
          <w:sz w:val="24"/>
          <w:szCs w:val="24"/>
        </w:rPr>
        <w:t>Faheed</w:t>
      </w:r>
      <w:proofErr w:type="spellEnd"/>
      <w:r w:rsidRPr="006A4162">
        <w:rPr>
          <w:rFonts w:ascii="Times New Roman" w:eastAsia="Times New Roman" w:hAnsi="Times New Roman" w:cs="Times New Roman"/>
          <w:sz w:val="24"/>
          <w:szCs w:val="24"/>
        </w:rPr>
        <w:t xml:space="preserve">, F. A., &amp; Ahmed, A. F. (2010). Study of potential impacts of using organic manure in the amendment of desert reclaimed soil on wheat and Jews mallow plants. </w:t>
      </w:r>
      <w:r w:rsidRPr="00F3471F">
        <w:rPr>
          <w:rFonts w:ascii="Times New Roman" w:eastAsia="Times New Roman" w:hAnsi="Times New Roman" w:cs="Times New Roman"/>
          <w:i/>
          <w:iCs/>
          <w:sz w:val="24"/>
          <w:szCs w:val="24"/>
        </w:rPr>
        <w:t>Brazilian Archives of Biology and Technology</w:t>
      </w:r>
      <w:r w:rsidRPr="006A4162">
        <w:rPr>
          <w:rFonts w:ascii="Times New Roman" w:eastAsia="Times New Roman" w:hAnsi="Times New Roman" w:cs="Times New Roman"/>
          <w:sz w:val="24"/>
          <w:szCs w:val="24"/>
        </w:rPr>
        <w:t xml:space="preserve">, 53(4), 917–930. </w:t>
      </w:r>
      <w:hyperlink r:id="rId19" w:tgtFrame="_new" w:history="1">
        <w:r w:rsidRPr="00F3471F">
          <w:rPr>
            <w:rFonts w:ascii="Times New Roman" w:eastAsia="Times New Roman" w:hAnsi="Times New Roman" w:cs="Times New Roman"/>
            <w:color w:val="0000FF"/>
            <w:sz w:val="24"/>
            <w:szCs w:val="24"/>
            <w:u w:val="single"/>
          </w:rPr>
          <w:t>https://doi.org/10.1590/S1516-89132010000400022</w:t>
        </w:r>
      </w:hyperlink>
    </w:p>
    <w:p w14:paraId="0256DAFF"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Moral, R., Paredes, C., Bustamante, M. A., </w:t>
      </w:r>
      <w:proofErr w:type="spellStart"/>
      <w:r w:rsidRPr="006A4162">
        <w:rPr>
          <w:rFonts w:ascii="Times New Roman" w:eastAsia="Times New Roman" w:hAnsi="Times New Roman" w:cs="Times New Roman"/>
          <w:sz w:val="24"/>
          <w:szCs w:val="24"/>
        </w:rPr>
        <w:t>Marhuenda-Egea</w:t>
      </w:r>
      <w:proofErr w:type="spellEnd"/>
      <w:r w:rsidRPr="006A4162">
        <w:rPr>
          <w:rFonts w:ascii="Times New Roman" w:eastAsia="Times New Roman" w:hAnsi="Times New Roman" w:cs="Times New Roman"/>
          <w:sz w:val="24"/>
          <w:szCs w:val="24"/>
        </w:rPr>
        <w:t xml:space="preserve">, F., &amp; Bernal, M. P. (2009). </w:t>
      </w:r>
      <w:proofErr w:type="spellStart"/>
      <w:r w:rsidRPr="006A4162">
        <w:rPr>
          <w:rFonts w:ascii="Times New Roman" w:eastAsia="Times New Roman" w:hAnsi="Times New Roman" w:cs="Times New Roman"/>
          <w:sz w:val="24"/>
          <w:szCs w:val="24"/>
        </w:rPr>
        <w:t>Utilisation</w:t>
      </w:r>
      <w:proofErr w:type="spellEnd"/>
      <w:r w:rsidRPr="006A4162">
        <w:rPr>
          <w:rFonts w:ascii="Times New Roman" w:eastAsia="Times New Roman" w:hAnsi="Times New Roman" w:cs="Times New Roman"/>
          <w:sz w:val="24"/>
          <w:szCs w:val="24"/>
        </w:rPr>
        <w:t xml:space="preserve"> of manure composts by high-value crops: Safety and environmental challenges. </w:t>
      </w:r>
      <w:r w:rsidRPr="00F3471F">
        <w:rPr>
          <w:rFonts w:ascii="Times New Roman" w:eastAsia="Times New Roman" w:hAnsi="Times New Roman" w:cs="Times New Roman"/>
          <w:i/>
          <w:iCs/>
          <w:sz w:val="24"/>
          <w:szCs w:val="24"/>
        </w:rPr>
        <w:t>Bioresource Technology</w:t>
      </w:r>
      <w:r w:rsidRPr="006A4162">
        <w:rPr>
          <w:rFonts w:ascii="Times New Roman" w:eastAsia="Times New Roman" w:hAnsi="Times New Roman" w:cs="Times New Roman"/>
          <w:sz w:val="24"/>
          <w:szCs w:val="24"/>
        </w:rPr>
        <w:t xml:space="preserve">, 100(22), 5454–5460. </w:t>
      </w:r>
      <w:hyperlink r:id="rId20" w:tgtFrame="_new" w:history="1">
        <w:r w:rsidRPr="00F3471F">
          <w:rPr>
            <w:rFonts w:ascii="Times New Roman" w:eastAsia="Times New Roman" w:hAnsi="Times New Roman" w:cs="Times New Roman"/>
            <w:color w:val="0000FF"/>
            <w:sz w:val="24"/>
            <w:szCs w:val="24"/>
            <w:u w:val="single"/>
          </w:rPr>
          <w:t>https://doi.org/10.1016/j.biortech.2008.12.007</w:t>
        </w:r>
      </w:hyperlink>
    </w:p>
    <w:p w14:paraId="591C087B"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A4162">
        <w:rPr>
          <w:rFonts w:ascii="Times New Roman" w:eastAsia="Times New Roman" w:hAnsi="Times New Roman" w:cs="Times New Roman"/>
          <w:sz w:val="24"/>
          <w:szCs w:val="24"/>
        </w:rPr>
        <w:t>Olowoake</w:t>
      </w:r>
      <w:proofErr w:type="spellEnd"/>
      <w:r w:rsidRPr="006A4162">
        <w:rPr>
          <w:rFonts w:ascii="Times New Roman" w:eastAsia="Times New Roman" w:hAnsi="Times New Roman" w:cs="Times New Roman"/>
          <w:sz w:val="24"/>
          <w:szCs w:val="24"/>
        </w:rPr>
        <w:t xml:space="preserve">, A. A. (2014). Influence of organic, mineral and </w:t>
      </w:r>
      <w:proofErr w:type="spellStart"/>
      <w:r w:rsidRPr="006A4162">
        <w:rPr>
          <w:rFonts w:ascii="Times New Roman" w:eastAsia="Times New Roman" w:hAnsi="Times New Roman" w:cs="Times New Roman"/>
          <w:sz w:val="24"/>
          <w:szCs w:val="24"/>
        </w:rPr>
        <w:t>organomineral</w:t>
      </w:r>
      <w:proofErr w:type="spellEnd"/>
      <w:r w:rsidRPr="006A4162">
        <w:rPr>
          <w:rFonts w:ascii="Times New Roman" w:eastAsia="Times New Roman" w:hAnsi="Times New Roman" w:cs="Times New Roman"/>
          <w:sz w:val="24"/>
          <w:szCs w:val="24"/>
        </w:rPr>
        <w:t xml:space="preserve"> fertilizers on growth, yield, and soil properties in grain amaranth (</w:t>
      </w:r>
      <w:r w:rsidRPr="00F3471F">
        <w:rPr>
          <w:rFonts w:ascii="Times New Roman" w:eastAsia="Times New Roman" w:hAnsi="Times New Roman" w:cs="Times New Roman"/>
          <w:i/>
          <w:iCs/>
          <w:sz w:val="24"/>
          <w:szCs w:val="24"/>
        </w:rPr>
        <w:t xml:space="preserve">Amaranthus </w:t>
      </w:r>
      <w:proofErr w:type="spellStart"/>
      <w:r w:rsidRPr="00F3471F">
        <w:rPr>
          <w:rFonts w:ascii="Times New Roman" w:eastAsia="Times New Roman" w:hAnsi="Times New Roman" w:cs="Times New Roman"/>
          <w:i/>
          <w:iCs/>
          <w:sz w:val="24"/>
          <w:szCs w:val="24"/>
        </w:rPr>
        <w:t>cruentus</w:t>
      </w:r>
      <w:proofErr w:type="spellEnd"/>
      <w:r w:rsidRPr="006A4162">
        <w:rPr>
          <w:rFonts w:ascii="Times New Roman" w:eastAsia="Times New Roman" w:hAnsi="Times New Roman" w:cs="Times New Roman"/>
          <w:sz w:val="24"/>
          <w:szCs w:val="24"/>
        </w:rPr>
        <w:t xml:space="preserve"> L.). </w:t>
      </w:r>
      <w:r w:rsidRPr="00F3471F">
        <w:rPr>
          <w:rFonts w:ascii="Times New Roman" w:eastAsia="Times New Roman" w:hAnsi="Times New Roman" w:cs="Times New Roman"/>
          <w:i/>
          <w:iCs/>
          <w:sz w:val="24"/>
          <w:szCs w:val="24"/>
        </w:rPr>
        <w:t>Journal of Organic Systems</w:t>
      </w:r>
      <w:r w:rsidRPr="006A4162">
        <w:rPr>
          <w:rFonts w:ascii="Times New Roman" w:eastAsia="Times New Roman" w:hAnsi="Times New Roman" w:cs="Times New Roman"/>
          <w:sz w:val="24"/>
          <w:szCs w:val="24"/>
        </w:rPr>
        <w:t>, 1(1), 39–47.</w:t>
      </w:r>
    </w:p>
    <w:p w14:paraId="237E3818"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Reardon, C., &amp; Wuest, S. B. (2016). Soil amendments yield persisting effects on the microbial communities: A 7-year study. </w:t>
      </w:r>
      <w:r w:rsidRPr="00F3471F">
        <w:rPr>
          <w:rFonts w:ascii="Times New Roman" w:eastAsia="Times New Roman" w:hAnsi="Times New Roman" w:cs="Times New Roman"/>
          <w:i/>
          <w:iCs/>
          <w:sz w:val="24"/>
          <w:szCs w:val="24"/>
        </w:rPr>
        <w:t>Applied Soil Ecology</w:t>
      </w:r>
      <w:r w:rsidRPr="006A4162">
        <w:rPr>
          <w:rFonts w:ascii="Times New Roman" w:eastAsia="Times New Roman" w:hAnsi="Times New Roman" w:cs="Times New Roman"/>
          <w:sz w:val="24"/>
          <w:szCs w:val="24"/>
        </w:rPr>
        <w:t>, 101, 107–116.</w:t>
      </w:r>
    </w:p>
    <w:p w14:paraId="3C3AC04B"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Sarker, A. K., &amp; Bandopaddhay, P. K. (2000). Effect of potassium, boron and crop age on the yield and quality of white jute (</w:t>
      </w:r>
      <w:r w:rsidRPr="00F3471F">
        <w:rPr>
          <w:rFonts w:ascii="Times New Roman" w:eastAsia="Times New Roman" w:hAnsi="Times New Roman" w:cs="Times New Roman"/>
          <w:i/>
          <w:iCs/>
          <w:sz w:val="24"/>
          <w:szCs w:val="24"/>
        </w:rPr>
        <w:t>Corchorus capsularis</w:t>
      </w:r>
      <w:r w:rsidRPr="006A4162">
        <w:rPr>
          <w:rFonts w:ascii="Times New Roman" w:eastAsia="Times New Roman" w:hAnsi="Times New Roman" w:cs="Times New Roman"/>
          <w:sz w:val="24"/>
          <w:szCs w:val="24"/>
        </w:rPr>
        <w:t xml:space="preserve">). </w:t>
      </w:r>
      <w:r w:rsidRPr="00F3471F">
        <w:rPr>
          <w:rFonts w:ascii="Times New Roman" w:eastAsia="Times New Roman" w:hAnsi="Times New Roman" w:cs="Times New Roman"/>
          <w:i/>
          <w:iCs/>
          <w:sz w:val="24"/>
          <w:szCs w:val="24"/>
        </w:rPr>
        <w:t>Indian Agriculture</w:t>
      </w:r>
      <w:r w:rsidRPr="006A4162">
        <w:rPr>
          <w:rFonts w:ascii="Times New Roman" w:eastAsia="Times New Roman" w:hAnsi="Times New Roman" w:cs="Times New Roman"/>
          <w:sz w:val="24"/>
          <w:szCs w:val="24"/>
        </w:rPr>
        <w:t>, 26, 212–216.</w:t>
      </w:r>
    </w:p>
    <w:p w14:paraId="34EFD357"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Sarkar, S. K., </w:t>
      </w:r>
      <w:proofErr w:type="spellStart"/>
      <w:r w:rsidRPr="006A4162">
        <w:rPr>
          <w:rFonts w:ascii="Times New Roman" w:eastAsia="Times New Roman" w:hAnsi="Times New Roman" w:cs="Times New Roman"/>
          <w:sz w:val="24"/>
          <w:szCs w:val="24"/>
        </w:rPr>
        <w:t>Mostofa</w:t>
      </w:r>
      <w:proofErr w:type="spellEnd"/>
      <w:r w:rsidRPr="006A4162">
        <w:rPr>
          <w:rFonts w:ascii="Times New Roman" w:eastAsia="Times New Roman" w:hAnsi="Times New Roman" w:cs="Times New Roman"/>
          <w:sz w:val="24"/>
          <w:szCs w:val="24"/>
        </w:rPr>
        <w:t xml:space="preserve">, M. G., &amp; Ali, M. A. (2018). Management of soil fertility for sustainable fiber production. </w:t>
      </w:r>
      <w:r w:rsidRPr="00F3471F">
        <w:rPr>
          <w:rFonts w:ascii="Times New Roman" w:eastAsia="Times New Roman" w:hAnsi="Times New Roman" w:cs="Times New Roman"/>
          <w:i/>
          <w:iCs/>
          <w:sz w:val="24"/>
          <w:szCs w:val="24"/>
        </w:rPr>
        <w:t>Fiber Crops Research Journal</w:t>
      </w:r>
      <w:r w:rsidRPr="006A4162">
        <w:rPr>
          <w:rFonts w:ascii="Times New Roman" w:eastAsia="Times New Roman" w:hAnsi="Times New Roman" w:cs="Times New Roman"/>
          <w:sz w:val="24"/>
          <w:szCs w:val="24"/>
        </w:rPr>
        <w:t>, 6(2), 112–125.</w:t>
      </w:r>
    </w:p>
    <w:p w14:paraId="6F8B7F21" w14:textId="77777777" w:rsidR="006A4162" w:rsidRPr="006A4162" w:rsidRDefault="006A4162" w:rsidP="00F3471F">
      <w:pPr>
        <w:spacing w:before="100" w:beforeAutospacing="1" w:after="100" w:afterAutospacing="1" w:line="240" w:lineRule="auto"/>
        <w:jc w:val="both"/>
        <w:rPr>
          <w:rFonts w:ascii="Times New Roman" w:eastAsia="Times New Roman" w:hAnsi="Times New Roman" w:cs="Times New Roman"/>
          <w:sz w:val="24"/>
          <w:szCs w:val="24"/>
        </w:rPr>
      </w:pPr>
      <w:r w:rsidRPr="006A4162">
        <w:rPr>
          <w:rFonts w:ascii="Times New Roman" w:eastAsia="Times New Roman" w:hAnsi="Times New Roman" w:cs="Times New Roman"/>
          <w:sz w:val="24"/>
          <w:szCs w:val="24"/>
        </w:rPr>
        <w:t xml:space="preserve">Thangarajan, R., Bolan, N. S., Tian, G., Naidu, R., &amp; </w:t>
      </w:r>
      <w:proofErr w:type="spellStart"/>
      <w:r w:rsidRPr="006A4162">
        <w:rPr>
          <w:rFonts w:ascii="Times New Roman" w:eastAsia="Times New Roman" w:hAnsi="Times New Roman" w:cs="Times New Roman"/>
          <w:sz w:val="24"/>
          <w:szCs w:val="24"/>
        </w:rPr>
        <w:t>Kunhikrishnan</w:t>
      </w:r>
      <w:proofErr w:type="spellEnd"/>
      <w:r w:rsidRPr="006A4162">
        <w:rPr>
          <w:rFonts w:ascii="Times New Roman" w:eastAsia="Times New Roman" w:hAnsi="Times New Roman" w:cs="Times New Roman"/>
          <w:sz w:val="24"/>
          <w:szCs w:val="24"/>
        </w:rPr>
        <w:t xml:space="preserve">, A. (2013). Role of organic amendment application on greenhouse gas emission from soil. </w:t>
      </w:r>
      <w:r w:rsidRPr="00F3471F">
        <w:rPr>
          <w:rFonts w:ascii="Times New Roman" w:eastAsia="Times New Roman" w:hAnsi="Times New Roman" w:cs="Times New Roman"/>
          <w:i/>
          <w:iCs/>
          <w:sz w:val="24"/>
          <w:szCs w:val="24"/>
        </w:rPr>
        <w:t>Science of the Total Environment</w:t>
      </w:r>
      <w:r w:rsidRPr="006A4162">
        <w:rPr>
          <w:rFonts w:ascii="Times New Roman" w:eastAsia="Times New Roman" w:hAnsi="Times New Roman" w:cs="Times New Roman"/>
          <w:sz w:val="24"/>
          <w:szCs w:val="24"/>
        </w:rPr>
        <w:t>, 465, 72–96.</w:t>
      </w:r>
    </w:p>
    <w:p w14:paraId="5654F3DF" w14:textId="77777777" w:rsidR="00FC29BE" w:rsidRPr="00F3471F" w:rsidRDefault="00FC29BE" w:rsidP="00F3471F">
      <w:pPr>
        <w:jc w:val="both"/>
        <w:rPr>
          <w:rFonts w:ascii="Times New Roman" w:hAnsi="Times New Roman" w:cs="Times New Roman"/>
          <w:sz w:val="24"/>
          <w:szCs w:val="24"/>
        </w:rPr>
      </w:pPr>
    </w:p>
    <w:sectPr w:rsidR="00FC29BE" w:rsidRPr="00F3471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2F4F2" w14:textId="77777777" w:rsidR="00AD0565" w:rsidRDefault="00AD0565" w:rsidP="0014325B">
      <w:pPr>
        <w:spacing w:after="0" w:line="240" w:lineRule="auto"/>
      </w:pPr>
      <w:r>
        <w:separator/>
      </w:r>
    </w:p>
  </w:endnote>
  <w:endnote w:type="continuationSeparator" w:id="0">
    <w:p w14:paraId="1BC510B3" w14:textId="77777777" w:rsidR="00AD0565" w:rsidRDefault="00AD0565" w:rsidP="0014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tka">
    <w:altName w:val="Sitka Displa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F9EA" w14:textId="77777777" w:rsidR="006842C6" w:rsidRDefault="00684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ED1B" w14:textId="77777777" w:rsidR="006842C6" w:rsidRDefault="00684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4D52D" w14:textId="77777777" w:rsidR="006842C6" w:rsidRDefault="00684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F544" w14:textId="77777777" w:rsidR="00AD0565" w:rsidRDefault="00AD0565" w:rsidP="0014325B">
      <w:pPr>
        <w:spacing w:after="0" w:line="240" w:lineRule="auto"/>
      </w:pPr>
      <w:r>
        <w:separator/>
      </w:r>
    </w:p>
  </w:footnote>
  <w:footnote w:type="continuationSeparator" w:id="0">
    <w:p w14:paraId="386F891F" w14:textId="77777777" w:rsidR="00AD0565" w:rsidRDefault="00AD0565" w:rsidP="0014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C997" w14:textId="720EFCA4" w:rsidR="006842C6" w:rsidRDefault="006842C6">
    <w:pPr>
      <w:pStyle w:val="Header"/>
    </w:pPr>
    <w:r>
      <w:rPr>
        <w:noProof/>
      </w:rPr>
      <w:pict w14:anchorId="5C563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ED09" w14:textId="480FA659" w:rsidR="006842C6" w:rsidRDefault="006842C6">
    <w:pPr>
      <w:pStyle w:val="Header"/>
    </w:pPr>
    <w:r>
      <w:rPr>
        <w:noProof/>
      </w:rPr>
      <w:pict w14:anchorId="1EAF5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81CE" w14:textId="1939082F" w:rsidR="006842C6" w:rsidRDefault="006842C6">
    <w:pPr>
      <w:pStyle w:val="Header"/>
    </w:pPr>
    <w:r>
      <w:rPr>
        <w:noProof/>
      </w:rPr>
      <w:pict w14:anchorId="2503A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0A30"/>
    <w:multiLevelType w:val="multilevel"/>
    <w:tmpl w:val="2A74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E0695"/>
    <w:multiLevelType w:val="multilevel"/>
    <w:tmpl w:val="842289A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E3587"/>
    <w:multiLevelType w:val="multilevel"/>
    <w:tmpl w:val="7A1C044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A77F6"/>
    <w:multiLevelType w:val="multilevel"/>
    <w:tmpl w:val="842289A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22D8C"/>
    <w:multiLevelType w:val="multilevel"/>
    <w:tmpl w:val="842289A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11B00"/>
    <w:multiLevelType w:val="multilevel"/>
    <w:tmpl w:val="EA6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67E"/>
    <w:rsid w:val="00000C8F"/>
    <w:rsid w:val="0013018D"/>
    <w:rsid w:val="0014325B"/>
    <w:rsid w:val="001458DA"/>
    <w:rsid w:val="001B4F71"/>
    <w:rsid w:val="001C267E"/>
    <w:rsid w:val="001D7C8E"/>
    <w:rsid w:val="001E0824"/>
    <w:rsid w:val="002059AA"/>
    <w:rsid w:val="00263AB9"/>
    <w:rsid w:val="00297671"/>
    <w:rsid w:val="002C2459"/>
    <w:rsid w:val="002C7653"/>
    <w:rsid w:val="0032658C"/>
    <w:rsid w:val="00375A6A"/>
    <w:rsid w:val="00382497"/>
    <w:rsid w:val="003E5614"/>
    <w:rsid w:val="0040647D"/>
    <w:rsid w:val="00417200"/>
    <w:rsid w:val="00484B5B"/>
    <w:rsid w:val="004922E8"/>
    <w:rsid w:val="004A562C"/>
    <w:rsid w:val="004B66A9"/>
    <w:rsid w:val="004E67D3"/>
    <w:rsid w:val="00537B41"/>
    <w:rsid w:val="00567166"/>
    <w:rsid w:val="005A39D4"/>
    <w:rsid w:val="005A6B29"/>
    <w:rsid w:val="005E5C3A"/>
    <w:rsid w:val="00622964"/>
    <w:rsid w:val="00624A51"/>
    <w:rsid w:val="0065502D"/>
    <w:rsid w:val="006842C6"/>
    <w:rsid w:val="006A4162"/>
    <w:rsid w:val="006C5FCD"/>
    <w:rsid w:val="006F0C9E"/>
    <w:rsid w:val="0072185D"/>
    <w:rsid w:val="00746B38"/>
    <w:rsid w:val="007B3087"/>
    <w:rsid w:val="00851D88"/>
    <w:rsid w:val="00876F07"/>
    <w:rsid w:val="00893D7F"/>
    <w:rsid w:val="008C0019"/>
    <w:rsid w:val="0090696D"/>
    <w:rsid w:val="009508D0"/>
    <w:rsid w:val="009D12B3"/>
    <w:rsid w:val="009F2AEE"/>
    <w:rsid w:val="00AA7872"/>
    <w:rsid w:val="00AD0565"/>
    <w:rsid w:val="00B23CCE"/>
    <w:rsid w:val="00B30D15"/>
    <w:rsid w:val="00B451FC"/>
    <w:rsid w:val="00B4794A"/>
    <w:rsid w:val="00B5384B"/>
    <w:rsid w:val="00BE3EFE"/>
    <w:rsid w:val="00C91D6D"/>
    <w:rsid w:val="00CC0483"/>
    <w:rsid w:val="00D15258"/>
    <w:rsid w:val="00D1695D"/>
    <w:rsid w:val="00D76104"/>
    <w:rsid w:val="00DE68DD"/>
    <w:rsid w:val="00E42F21"/>
    <w:rsid w:val="00EE3461"/>
    <w:rsid w:val="00F21F8F"/>
    <w:rsid w:val="00F3471F"/>
    <w:rsid w:val="00F36756"/>
    <w:rsid w:val="00F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2D7466"/>
  <w15:chartTrackingRefBased/>
  <w15:docId w15:val="{FE742C29-3E7D-4E0C-93A4-B8025738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104"/>
    <w:pPr>
      <w:spacing w:after="200" w:line="276" w:lineRule="auto"/>
    </w:pPr>
    <w:rPr>
      <w:rFonts w:eastAsiaTheme="minorEastAsia"/>
    </w:rPr>
  </w:style>
  <w:style w:type="paragraph" w:styleId="Heading1">
    <w:name w:val="heading 1"/>
    <w:basedOn w:val="Normal"/>
    <w:next w:val="Normal"/>
    <w:link w:val="Heading1Char"/>
    <w:uiPriority w:val="9"/>
    <w:qFormat/>
    <w:rsid w:val="00567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7610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4A5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6104"/>
    <w:rPr>
      <w:rFonts w:ascii="Cambria" w:eastAsia="Times New Roman" w:hAnsi="Cambria" w:cs="Times New Roman"/>
      <w:b/>
      <w:bCs/>
      <w:i/>
      <w:iCs/>
      <w:sz w:val="28"/>
      <w:szCs w:val="28"/>
    </w:rPr>
  </w:style>
  <w:style w:type="paragraph" w:styleId="ListParagraph">
    <w:name w:val="List Paragraph"/>
    <w:basedOn w:val="Normal"/>
    <w:uiPriority w:val="34"/>
    <w:qFormat/>
    <w:rsid w:val="00D76104"/>
    <w:pPr>
      <w:ind w:left="720"/>
      <w:contextualSpacing/>
    </w:pPr>
  </w:style>
  <w:style w:type="character" w:styleId="Hyperlink">
    <w:name w:val="Hyperlink"/>
    <w:basedOn w:val="DefaultParagraphFont"/>
    <w:uiPriority w:val="99"/>
    <w:unhideWhenUsed/>
    <w:rsid w:val="00D76104"/>
    <w:rPr>
      <w:color w:val="0000FF"/>
      <w:u w:val="single"/>
    </w:rPr>
  </w:style>
  <w:style w:type="character" w:customStyle="1" w:styleId="author">
    <w:name w:val="author"/>
    <w:basedOn w:val="DefaultParagraphFont"/>
    <w:rsid w:val="00D76104"/>
  </w:style>
  <w:style w:type="character" w:customStyle="1" w:styleId="pubyear">
    <w:name w:val="pubyear"/>
    <w:basedOn w:val="DefaultParagraphFont"/>
    <w:rsid w:val="00D76104"/>
  </w:style>
  <w:style w:type="character" w:customStyle="1" w:styleId="articletitle">
    <w:name w:val="articletitle"/>
    <w:basedOn w:val="DefaultParagraphFont"/>
    <w:rsid w:val="00D76104"/>
  </w:style>
  <w:style w:type="character" w:customStyle="1" w:styleId="vol">
    <w:name w:val="vol"/>
    <w:basedOn w:val="DefaultParagraphFont"/>
    <w:rsid w:val="00D76104"/>
  </w:style>
  <w:style w:type="character" w:customStyle="1" w:styleId="citedissue">
    <w:name w:val="citedissue"/>
    <w:basedOn w:val="DefaultParagraphFont"/>
    <w:rsid w:val="00D76104"/>
  </w:style>
  <w:style w:type="character" w:customStyle="1" w:styleId="pagefirst">
    <w:name w:val="pagefirst"/>
    <w:basedOn w:val="DefaultParagraphFont"/>
    <w:rsid w:val="00D76104"/>
  </w:style>
  <w:style w:type="character" w:customStyle="1" w:styleId="pagelast">
    <w:name w:val="pagelast"/>
    <w:basedOn w:val="DefaultParagraphFont"/>
    <w:rsid w:val="00D76104"/>
  </w:style>
  <w:style w:type="table" w:styleId="TableGrid">
    <w:name w:val="Table Grid"/>
    <w:basedOn w:val="TableNormal"/>
    <w:uiPriority w:val="39"/>
    <w:rsid w:val="00D7610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76104"/>
    <w:pPr>
      <w:spacing w:after="0" w:line="240" w:lineRule="auto"/>
    </w:pPr>
    <w:rPr>
      <w:rFonts w:eastAsiaTheme="minorEastAsia"/>
    </w:rPr>
  </w:style>
  <w:style w:type="character" w:customStyle="1" w:styleId="scayt-misspell">
    <w:name w:val="scayt-misspell"/>
    <w:basedOn w:val="DefaultParagraphFont"/>
    <w:rsid w:val="00D76104"/>
  </w:style>
  <w:style w:type="paragraph" w:styleId="BodyText2">
    <w:name w:val="Body Text 2"/>
    <w:basedOn w:val="Normal"/>
    <w:link w:val="BodyText2Char"/>
    <w:unhideWhenUsed/>
    <w:rsid w:val="00D76104"/>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D76104"/>
    <w:rPr>
      <w:rFonts w:ascii="Calibri" w:eastAsia="Times New Roman" w:hAnsi="Calibri" w:cs="Times New Roman"/>
      <w:sz w:val="24"/>
      <w:szCs w:val="24"/>
    </w:rPr>
  </w:style>
  <w:style w:type="table" w:customStyle="1" w:styleId="TableGrid1">
    <w:name w:val="Table Grid1"/>
    <w:basedOn w:val="TableNormal"/>
    <w:next w:val="TableGrid"/>
    <w:uiPriority w:val="39"/>
    <w:rsid w:val="00D7610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2964"/>
    <w:pPr>
      <w:autoSpaceDE w:val="0"/>
      <w:autoSpaceDN w:val="0"/>
      <w:adjustRightInd w:val="0"/>
      <w:spacing w:after="0" w:line="240" w:lineRule="auto"/>
    </w:pPr>
    <w:rPr>
      <w:rFonts w:ascii="Sitka" w:hAnsi="Sitka" w:cs="Sitka"/>
      <w:color w:val="000000"/>
      <w:sz w:val="24"/>
      <w:szCs w:val="24"/>
    </w:rPr>
  </w:style>
  <w:style w:type="paragraph" w:styleId="NormalWeb">
    <w:name w:val="Normal (Web)"/>
    <w:basedOn w:val="Normal"/>
    <w:uiPriority w:val="99"/>
    <w:unhideWhenUsed/>
    <w:rsid w:val="002C24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25B"/>
    <w:rPr>
      <w:rFonts w:eastAsiaTheme="minorEastAsia"/>
    </w:rPr>
  </w:style>
  <w:style w:type="paragraph" w:styleId="Footer">
    <w:name w:val="footer"/>
    <w:basedOn w:val="Normal"/>
    <w:link w:val="FooterChar"/>
    <w:uiPriority w:val="99"/>
    <w:unhideWhenUsed/>
    <w:rsid w:val="00143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25B"/>
    <w:rPr>
      <w:rFonts w:eastAsiaTheme="minorEastAsia"/>
    </w:rPr>
  </w:style>
  <w:style w:type="character" w:customStyle="1" w:styleId="Heading3Char">
    <w:name w:val="Heading 3 Char"/>
    <w:basedOn w:val="DefaultParagraphFont"/>
    <w:link w:val="Heading3"/>
    <w:uiPriority w:val="9"/>
    <w:rsid w:val="004A562C"/>
    <w:rPr>
      <w:rFonts w:asciiTheme="majorHAnsi" w:eastAsiaTheme="majorEastAsia" w:hAnsiTheme="majorHAnsi" w:cstheme="majorBidi"/>
      <w:color w:val="1F3763" w:themeColor="accent1" w:themeShade="7F"/>
      <w:sz w:val="24"/>
      <w:szCs w:val="24"/>
    </w:rPr>
  </w:style>
  <w:style w:type="character" w:customStyle="1" w:styleId="math-inline">
    <w:name w:val="math-inline"/>
    <w:basedOn w:val="DefaultParagraphFont"/>
    <w:rsid w:val="004A562C"/>
  </w:style>
  <w:style w:type="character" w:customStyle="1" w:styleId="citation-125">
    <w:name w:val="citation-125"/>
    <w:basedOn w:val="DefaultParagraphFont"/>
    <w:rsid w:val="004A562C"/>
  </w:style>
  <w:style w:type="character" w:customStyle="1" w:styleId="citation-124">
    <w:name w:val="citation-124"/>
    <w:basedOn w:val="DefaultParagraphFont"/>
    <w:rsid w:val="004A562C"/>
  </w:style>
  <w:style w:type="character" w:customStyle="1" w:styleId="citation-123">
    <w:name w:val="citation-123"/>
    <w:basedOn w:val="DefaultParagraphFont"/>
    <w:rsid w:val="004A562C"/>
  </w:style>
  <w:style w:type="character" w:customStyle="1" w:styleId="button-label">
    <w:name w:val="button-label"/>
    <w:basedOn w:val="DefaultParagraphFont"/>
    <w:rsid w:val="004A562C"/>
  </w:style>
  <w:style w:type="character" w:customStyle="1" w:styleId="citation-122">
    <w:name w:val="citation-122"/>
    <w:basedOn w:val="DefaultParagraphFont"/>
    <w:rsid w:val="00EE3461"/>
  </w:style>
  <w:style w:type="character" w:customStyle="1" w:styleId="citation-121">
    <w:name w:val="citation-121"/>
    <w:basedOn w:val="DefaultParagraphFont"/>
    <w:rsid w:val="00EE3461"/>
  </w:style>
  <w:style w:type="character" w:customStyle="1" w:styleId="citation-120">
    <w:name w:val="citation-120"/>
    <w:basedOn w:val="DefaultParagraphFont"/>
    <w:rsid w:val="00EE3461"/>
  </w:style>
  <w:style w:type="character" w:customStyle="1" w:styleId="citation-119">
    <w:name w:val="citation-119"/>
    <w:basedOn w:val="DefaultParagraphFont"/>
    <w:rsid w:val="00417200"/>
  </w:style>
  <w:style w:type="character" w:customStyle="1" w:styleId="citation-118">
    <w:name w:val="citation-118"/>
    <w:basedOn w:val="DefaultParagraphFont"/>
    <w:rsid w:val="00417200"/>
  </w:style>
  <w:style w:type="character" w:customStyle="1" w:styleId="citation-117">
    <w:name w:val="citation-117"/>
    <w:basedOn w:val="DefaultParagraphFont"/>
    <w:rsid w:val="00417200"/>
  </w:style>
  <w:style w:type="character" w:customStyle="1" w:styleId="citation-116">
    <w:name w:val="citation-116"/>
    <w:basedOn w:val="DefaultParagraphFont"/>
    <w:rsid w:val="00417200"/>
  </w:style>
  <w:style w:type="character" w:customStyle="1" w:styleId="citation-115">
    <w:name w:val="citation-115"/>
    <w:basedOn w:val="DefaultParagraphFont"/>
    <w:rsid w:val="00417200"/>
  </w:style>
  <w:style w:type="character" w:customStyle="1" w:styleId="citation-114">
    <w:name w:val="citation-114"/>
    <w:basedOn w:val="DefaultParagraphFont"/>
    <w:rsid w:val="00417200"/>
  </w:style>
  <w:style w:type="character" w:customStyle="1" w:styleId="citation-113">
    <w:name w:val="citation-113"/>
    <w:basedOn w:val="DefaultParagraphFont"/>
    <w:rsid w:val="00000C8F"/>
  </w:style>
  <w:style w:type="character" w:customStyle="1" w:styleId="citation-112">
    <w:name w:val="citation-112"/>
    <w:basedOn w:val="DefaultParagraphFont"/>
    <w:rsid w:val="00000C8F"/>
  </w:style>
  <w:style w:type="character" w:customStyle="1" w:styleId="citation-111">
    <w:name w:val="citation-111"/>
    <w:basedOn w:val="DefaultParagraphFont"/>
    <w:rsid w:val="00000C8F"/>
  </w:style>
  <w:style w:type="character" w:customStyle="1" w:styleId="citation-223">
    <w:name w:val="citation-223"/>
    <w:basedOn w:val="DefaultParagraphFont"/>
    <w:rsid w:val="00624A51"/>
  </w:style>
  <w:style w:type="character" w:customStyle="1" w:styleId="citation-222">
    <w:name w:val="citation-222"/>
    <w:basedOn w:val="DefaultParagraphFont"/>
    <w:rsid w:val="00624A51"/>
  </w:style>
  <w:style w:type="character" w:customStyle="1" w:styleId="citation-221">
    <w:name w:val="citation-221"/>
    <w:basedOn w:val="DefaultParagraphFont"/>
    <w:rsid w:val="00624A51"/>
  </w:style>
  <w:style w:type="character" w:customStyle="1" w:styleId="citation-220">
    <w:name w:val="citation-220"/>
    <w:basedOn w:val="DefaultParagraphFont"/>
    <w:rsid w:val="00624A51"/>
  </w:style>
  <w:style w:type="character" w:customStyle="1" w:styleId="citation-219">
    <w:name w:val="citation-219"/>
    <w:basedOn w:val="DefaultParagraphFont"/>
    <w:rsid w:val="00624A51"/>
  </w:style>
  <w:style w:type="character" w:customStyle="1" w:styleId="citation-218">
    <w:name w:val="citation-218"/>
    <w:basedOn w:val="DefaultParagraphFont"/>
    <w:rsid w:val="00624A51"/>
  </w:style>
  <w:style w:type="character" w:customStyle="1" w:styleId="citation-217">
    <w:name w:val="citation-217"/>
    <w:basedOn w:val="DefaultParagraphFont"/>
    <w:rsid w:val="00624A51"/>
  </w:style>
  <w:style w:type="character" w:customStyle="1" w:styleId="citation-216">
    <w:name w:val="citation-216"/>
    <w:basedOn w:val="DefaultParagraphFont"/>
    <w:rsid w:val="00624A51"/>
  </w:style>
  <w:style w:type="character" w:customStyle="1" w:styleId="citation-215">
    <w:name w:val="citation-215"/>
    <w:basedOn w:val="DefaultParagraphFont"/>
    <w:rsid w:val="00624A51"/>
  </w:style>
  <w:style w:type="character" w:customStyle="1" w:styleId="citation-365">
    <w:name w:val="citation-365"/>
    <w:basedOn w:val="DefaultParagraphFont"/>
    <w:rsid w:val="00F36756"/>
  </w:style>
  <w:style w:type="character" w:customStyle="1" w:styleId="citation-364">
    <w:name w:val="citation-364"/>
    <w:basedOn w:val="DefaultParagraphFont"/>
    <w:rsid w:val="00F36756"/>
  </w:style>
  <w:style w:type="character" w:customStyle="1" w:styleId="mord">
    <w:name w:val="mord"/>
    <w:basedOn w:val="DefaultParagraphFont"/>
    <w:rsid w:val="00F36756"/>
  </w:style>
  <w:style w:type="character" w:customStyle="1" w:styleId="mrel">
    <w:name w:val="mrel"/>
    <w:basedOn w:val="DefaultParagraphFont"/>
    <w:rsid w:val="00F36756"/>
  </w:style>
  <w:style w:type="character" w:customStyle="1" w:styleId="citation-363">
    <w:name w:val="citation-363"/>
    <w:basedOn w:val="DefaultParagraphFont"/>
    <w:rsid w:val="00F36756"/>
  </w:style>
  <w:style w:type="character" w:customStyle="1" w:styleId="citation-362">
    <w:name w:val="citation-362"/>
    <w:basedOn w:val="DefaultParagraphFont"/>
    <w:rsid w:val="00F36756"/>
  </w:style>
  <w:style w:type="character" w:customStyle="1" w:styleId="citation-376">
    <w:name w:val="citation-376"/>
    <w:basedOn w:val="DefaultParagraphFont"/>
    <w:rsid w:val="004922E8"/>
  </w:style>
  <w:style w:type="character" w:customStyle="1" w:styleId="citation-375">
    <w:name w:val="citation-375"/>
    <w:basedOn w:val="DefaultParagraphFont"/>
    <w:rsid w:val="004922E8"/>
  </w:style>
  <w:style w:type="character" w:customStyle="1" w:styleId="citation-401">
    <w:name w:val="citation-401"/>
    <w:basedOn w:val="DefaultParagraphFont"/>
    <w:rsid w:val="004922E8"/>
  </w:style>
  <w:style w:type="character" w:customStyle="1" w:styleId="UnresolvedMention1">
    <w:name w:val="Unresolved Mention1"/>
    <w:basedOn w:val="DefaultParagraphFont"/>
    <w:uiPriority w:val="99"/>
    <w:semiHidden/>
    <w:unhideWhenUsed/>
    <w:rsid w:val="00537B41"/>
    <w:rPr>
      <w:color w:val="605E5C"/>
      <w:shd w:val="clear" w:color="auto" w:fill="E1DFDD"/>
    </w:rPr>
  </w:style>
  <w:style w:type="character" w:customStyle="1" w:styleId="Heading1Char">
    <w:name w:val="Heading 1 Char"/>
    <w:basedOn w:val="DefaultParagraphFont"/>
    <w:link w:val="Heading1"/>
    <w:uiPriority w:val="9"/>
    <w:rsid w:val="005671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6060">
      <w:bodyDiv w:val="1"/>
      <w:marLeft w:val="0"/>
      <w:marRight w:val="0"/>
      <w:marTop w:val="0"/>
      <w:marBottom w:val="0"/>
      <w:divBdr>
        <w:top w:val="none" w:sz="0" w:space="0" w:color="auto"/>
        <w:left w:val="none" w:sz="0" w:space="0" w:color="auto"/>
        <w:bottom w:val="none" w:sz="0" w:space="0" w:color="auto"/>
        <w:right w:val="none" w:sz="0" w:space="0" w:color="auto"/>
      </w:divBdr>
    </w:div>
    <w:div w:id="262106600">
      <w:bodyDiv w:val="1"/>
      <w:marLeft w:val="0"/>
      <w:marRight w:val="0"/>
      <w:marTop w:val="0"/>
      <w:marBottom w:val="0"/>
      <w:divBdr>
        <w:top w:val="none" w:sz="0" w:space="0" w:color="auto"/>
        <w:left w:val="none" w:sz="0" w:space="0" w:color="auto"/>
        <w:bottom w:val="none" w:sz="0" w:space="0" w:color="auto"/>
        <w:right w:val="none" w:sz="0" w:space="0" w:color="auto"/>
      </w:divBdr>
    </w:div>
    <w:div w:id="394546972">
      <w:bodyDiv w:val="1"/>
      <w:marLeft w:val="0"/>
      <w:marRight w:val="0"/>
      <w:marTop w:val="0"/>
      <w:marBottom w:val="0"/>
      <w:divBdr>
        <w:top w:val="none" w:sz="0" w:space="0" w:color="auto"/>
        <w:left w:val="none" w:sz="0" w:space="0" w:color="auto"/>
        <w:bottom w:val="none" w:sz="0" w:space="0" w:color="auto"/>
        <w:right w:val="none" w:sz="0" w:space="0" w:color="auto"/>
      </w:divBdr>
    </w:div>
    <w:div w:id="530194051">
      <w:bodyDiv w:val="1"/>
      <w:marLeft w:val="0"/>
      <w:marRight w:val="0"/>
      <w:marTop w:val="0"/>
      <w:marBottom w:val="0"/>
      <w:divBdr>
        <w:top w:val="none" w:sz="0" w:space="0" w:color="auto"/>
        <w:left w:val="none" w:sz="0" w:space="0" w:color="auto"/>
        <w:bottom w:val="none" w:sz="0" w:space="0" w:color="auto"/>
        <w:right w:val="none" w:sz="0" w:space="0" w:color="auto"/>
      </w:divBdr>
    </w:div>
    <w:div w:id="684864550">
      <w:bodyDiv w:val="1"/>
      <w:marLeft w:val="0"/>
      <w:marRight w:val="0"/>
      <w:marTop w:val="0"/>
      <w:marBottom w:val="0"/>
      <w:divBdr>
        <w:top w:val="none" w:sz="0" w:space="0" w:color="auto"/>
        <w:left w:val="none" w:sz="0" w:space="0" w:color="auto"/>
        <w:bottom w:val="none" w:sz="0" w:space="0" w:color="auto"/>
        <w:right w:val="none" w:sz="0" w:space="0" w:color="auto"/>
      </w:divBdr>
    </w:div>
    <w:div w:id="818884648">
      <w:bodyDiv w:val="1"/>
      <w:marLeft w:val="0"/>
      <w:marRight w:val="0"/>
      <w:marTop w:val="0"/>
      <w:marBottom w:val="0"/>
      <w:divBdr>
        <w:top w:val="none" w:sz="0" w:space="0" w:color="auto"/>
        <w:left w:val="none" w:sz="0" w:space="0" w:color="auto"/>
        <w:bottom w:val="none" w:sz="0" w:space="0" w:color="auto"/>
        <w:right w:val="none" w:sz="0" w:space="0" w:color="auto"/>
      </w:divBdr>
    </w:div>
    <w:div w:id="909923665">
      <w:bodyDiv w:val="1"/>
      <w:marLeft w:val="0"/>
      <w:marRight w:val="0"/>
      <w:marTop w:val="0"/>
      <w:marBottom w:val="0"/>
      <w:divBdr>
        <w:top w:val="none" w:sz="0" w:space="0" w:color="auto"/>
        <w:left w:val="none" w:sz="0" w:space="0" w:color="auto"/>
        <w:bottom w:val="none" w:sz="0" w:space="0" w:color="auto"/>
        <w:right w:val="none" w:sz="0" w:space="0" w:color="auto"/>
      </w:divBdr>
    </w:div>
    <w:div w:id="956957448">
      <w:bodyDiv w:val="1"/>
      <w:marLeft w:val="0"/>
      <w:marRight w:val="0"/>
      <w:marTop w:val="0"/>
      <w:marBottom w:val="0"/>
      <w:divBdr>
        <w:top w:val="none" w:sz="0" w:space="0" w:color="auto"/>
        <w:left w:val="none" w:sz="0" w:space="0" w:color="auto"/>
        <w:bottom w:val="none" w:sz="0" w:space="0" w:color="auto"/>
        <w:right w:val="none" w:sz="0" w:space="0" w:color="auto"/>
      </w:divBdr>
      <w:divsChild>
        <w:div w:id="224218766">
          <w:marLeft w:val="0"/>
          <w:marRight w:val="0"/>
          <w:marTop w:val="0"/>
          <w:marBottom w:val="0"/>
          <w:divBdr>
            <w:top w:val="none" w:sz="0" w:space="0" w:color="auto"/>
            <w:left w:val="none" w:sz="0" w:space="0" w:color="auto"/>
            <w:bottom w:val="none" w:sz="0" w:space="0" w:color="auto"/>
            <w:right w:val="none" w:sz="0" w:space="0" w:color="auto"/>
          </w:divBdr>
          <w:divsChild>
            <w:div w:id="583148900">
              <w:marLeft w:val="0"/>
              <w:marRight w:val="0"/>
              <w:marTop w:val="0"/>
              <w:marBottom w:val="0"/>
              <w:divBdr>
                <w:top w:val="none" w:sz="0" w:space="0" w:color="auto"/>
                <w:left w:val="none" w:sz="0" w:space="0" w:color="auto"/>
                <w:bottom w:val="none" w:sz="0" w:space="0" w:color="auto"/>
                <w:right w:val="none" w:sz="0" w:space="0" w:color="auto"/>
              </w:divBdr>
              <w:divsChild>
                <w:div w:id="19162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04670">
      <w:bodyDiv w:val="1"/>
      <w:marLeft w:val="0"/>
      <w:marRight w:val="0"/>
      <w:marTop w:val="0"/>
      <w:marBottom w:val="0"/>
      <w:divBdr>
        <w:top w:val="none" w:sz="0" w:space="0" w:color="auto"/>
        <w:left w:val="none" w:sz="0" w:space="0" w:color="auto"/>
        <w:bottom w:val="none" w:sz="0" w:space="0" w:color="auto"/>
        <w:right w:val="none" w:sz="0" w:space="0" w:color="auto"/>
      </w:divBdr>
      <w:divsChild>
        <w:div w:id="249319903">
          <w:marLeft w:val="0"/>
          <w:marRight w:val="0"/>
          <w:marTop w:val="0"/>
          <w:marBottom w:val="0"/>
          <w:divBdr>
            <w:top w:val="none" w:sz="0" w:space="0" w:color="auto"/>
            <w:left w:val="none" w:sz="0" w:space="0" w:color="auto"/>
            <w:bottom w:val="none" w:sz="0" w:space="0" w:color="auto"/>
            <w:right w:val="none" w:sz="0" w:space="0" w:color="auto"/>
          </w:divBdr>
        </w:div>
        <w:div w:id="2094623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707176">
      <w:bodyDiv w:val="1"/>
      <w:marLeft w:val="0"/>
      <w:marRight w:val="0"/>
      <w:marTop w:val="0"/>
      <w:marBottom w:val="0"/>
      <w:divBdr>
        <w:top w:val="none" w:sz="0" w:space="0" w:color="auto"/>
        <w:left w:val="none" w:sz="0" w:space="0" w:color="auto"/>
        <w:bottom w:val="none" w:sz="0" w:space="0" w:color="auto"/>
        <w:right w:val="none" w:sz="0" w:space="0" w:color="auto"/>
      </w:divBdr>
    </w:div>
    <w:div w:id="1202748422">
      <w:bodyDiv w:val="1"/>
      <w:marLeft w:val="0"/>
      <w:marRight w:val="0"/>
      <w:marTop w:val="0"/>
      <w:marBottom w:val="0"/>
      <w:divBdr>
        <w:top w:val="none" w:sz="0" w:space="0" w:color="auto"/>
        <w:left w:val="none" w:sz="0" w:space="0" w:color="auto"/>
        <w:bottom w:val="none" w:sz="0" w:space="0" w:color="auto"/>
        <w:right w:val="none" w:sz="0" w:space="0" w:color="auto"/>
      </w:divBdr>
      <w:divsChild>
        <w:div w:id="1029179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653897">
      <w:bodyDiv w:val="1"/>
      <w:marLeft w:val="0"/>
      <w:marRight w:val="0"/>
      <w:marTop w:val="0"/>
      <w:marBottom w:val="0"/>
      <w:divBdr>
        <w:top w:val="none" w:sz="0" w:space="0" w:color="auto"/>
        <w:left w:val="none" w:sz="0" w:space="0" w:color="auto"/>
        <w:bottom w:val="none" w:sz="0" w:space="0" w:color="auto"/>
        <w:right w:val="none" w:sz="0" w:space="0" w:color="auto"/>
      </w:divBdr>
    </w:div>
    <w:div w:id="1212040789">
      <w:bodyDiv w:val="1"/>
      <w:marLeft w:val="0"/>
      <w:marRight w:val="0"/>
      <w:marTop w:val="0"/>
      <w:marBottom w:val="0"/>
      <w:divBdr>
        <w:top w:val="none" w:sz="0" w:space="0" w:color="auto"/>
        <w:left w:val="none" w:sz="0" w:space="0" w:color="auto"/>
        <w:bottom w:val="none" w:sz="0" w:space="0" w:color="auto"/>
        <w:right w:val="none" w:sz="0" w:space="0" w:color="auto"/>
      </w:divBdr>
    </w:div>
    <w:div w:id="1481121253">
      <w:bodyDiv w:val="1"/>
      <w:marLeft w:val="0"/>
      <w:marRight w:val="0"/>
      <w:marTop w:val="0"/>
      <w:marBottom w:val="0"/>
      <w:divBdr>
        <w:top w:val="none" w:sz="0" w:space="0" w:color="auto"/>
        <w:left w:val="none" w:sz="0" w:space="0" w:color="auto"/>
        <w:bottom w:val="none" w:sz="0" w:space="0" w:color="auto"/>
        <w:right w:val="none" w:sz="0" w:space="0" w:color="auto"/>
      </w:divBdr>
      <w:divsChild>
        <w:div w:id="645398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7113">
      <w:bodyDiv w:val="1"/>
      <w:marLeft w:val="0"/>
      <w:marRight w:val="0"/>
      <w:marTop w:val="0"/>
      <w:marBottom w:val="0"/>
      <w:divBdr>
        <w:top w:val="none" w:sz="0" w:space="0" w:color="auto"/>
        <w:left w:val="none" w:sz="0" w:space="0" w:color="auto"/>
        <w:bottom w:val="none" w:sz="0" w:space="0" w:color="auto"/>
        <w:right w:val="none" w:sz="0" w:space="0" w:color="auto"/>
      </w:divBdr>
      <w:divsChild>
        <w:div w:id="16781303">
          <w:marLeft w:val="0"/>
          <w:marRight w:val="0"/>
          <w:marTop w:val="0"/>
          <w:marBottom w:val="0"/>
          <w:divBdr>
            <w:top w:val="none" w:sz="0" w:space="0" w:color="auto"/>
            <w:left w:val="none" w:sz="0" w:space="0" w:color="auto"/>
            <w:bottom w:val="none" w:sz="0" w:space="0" w:color="auto"/>
            <w:right w:val="none" w:sz="0" w:space="0" w:color="auto"/>
          </w:divBdr>
        </w:div>
        <w:div w:id="1962765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968053">
      <w:bodyDiv w:val="1"/>
      <w:marLeft w:val="0"/>
      <w:marRight w:val="0"/>
      <w:marTop w:val="0"/>
      <w:marBottom w:val="0"/>
      <w:divBdr>
        <w:top w:val="none" w:sz="0" w:space="0" w:color="auto"/>
        <w:left w:val="none" w:sz="0" w:space="0" w:color="auto"/>
        <w:bottom w:val="none" w:sz="0" w:space="0" w:color="auto"/>
        <w:right w:val="none" w:sz="0" w:space="0" w:color="auto"/>
      </w:divBdr>
    </w:div>
    <w:div w:id="1853564942">
      <w:bodyDiv w:val="1"/>
      <w:marLeft w:val="0"/>
      <w:marRight w:val="0"/>
      <w:marTop w:val="0"/>
      <w:marBottom w:val="0"/>
      <w:divBdr>
        <w:top w:val="none" w:sz="0" w:space="0" w:color="auto"/>
        <w:left w:val="none" w:sz="0" w:space="0" w:color="auto"/>
        <w:bottom w:val="none" w:sz="0" w:space="0" w:color="auto"/>
        <w:right w:val="none" w:sz="0" w:space="0" w:color="auto"/>
      </w:divBdr>
    </w:div>
    <w:div w:id="1856116533">
      <w:bodyDiv w:val="1"/>
      <w:marLeft w:val="0"/>
      <w:marRight w:val="0"/>
      <w:marTop w:val="0"/>
      <w:marBottom w:val="0"/>
      <w:divBdr>
        <w:top w:val="none" w:sz="0" w:space="0" w:color="auto"/>
        <w:left w:val="none" w:sz="0" w:space="0" w:color="auto"/>
        <w:bottom w:val="none" w:sz="0" w:space="0" w:color="auto"/>
        <w:right w:val="none" w:sz="0" w:space="0" w:color="auto"/>
      </w:divBdr>
      <w:divsChild>
        <w:div w:id="736054772">
          <w:marLeft w:val="0"/>
          <w:marRight w:val="0"/>
          <w:marTop w:val="0"/>
          <w:marBottom w:val="0"/>
          <w:divBdr>
            <w:top w:val="none" w:sz="0" w:space="0" w:color="auto"/>
            <w:left w:val="none" w:sz="0" w:space="0" w:color="auto"/>
            <w:bottom w:val="none" w:sz="0" w:space="0" w:color="auto"/>
            <w:right w:val="none" w:sz="0" w:space="0" w:color="auto"/>
          </w:divBdr>
        </w:div>
        <w:div w:id="952786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939751">
      <w:bodyDiv w:val="1"/>
      <w:marLeft w:val="0"/>
      <w:marRight w:val="0"/>
      <w:marTop w:val="0"/>
      <w:marBottom w:val="0"/>
      <w:divBdr>
        <w:top w:val="none" w:sz="0" w:space="0" w:color="auto"/>
        <w:left w:val="none" w:sz="0" w:space="0" w:color="auto"/>
        <w:bottom w:val="none" w:sz="0" w:space="0" w:color="auto"/>
        <w:right w:val="none" w:sz="0" w:space="0" w:color="auto"/>
      </w:divBdr>
    </w:div>
    <w:div w:id="1918008170">
      <w:bodyDiv w:val="1"/>
      <w:marLeft w:val="0"/>
      <w:marRight w:val="0"/>
      <w:marTop w:val="0"/>
      <w:marBottom w:val="0"/>
      <w:divBdr>
        <w:top w:val="none" w:sz="0" w:space="0" w:color="auto"/>
        <w:left w:val="none" w:sz="0" w:space="0" w:color="auto"/>
        <w:bottom w:val="none" w:sz="0" w:space="0" w:color="auto"/>
        <w:right w:val="none" w:sz="0" w:space="0" w:color="auto"/>
      </w:divBdr>
    </w:div>
    <w:div w:id="1921213144">
      <w:bodyDiv w:val="1"/>
      <w:marLeft w:val="0"/>
      <w:marRight w:val="0"/>
      <w:marTop w:val="0"/>
      <w:marBottom w:val="0"/>
      <w:divBdr>
        <w:top w:val="none" w:sz="0" w:space="0" w:color="auto"/>
        <w:left w:val="none" w:sz="0" w:space="0" w:color="auto"/>
        <w:bottom w:val="none" w:sz="0" w:space="0" w:color="auto"/>
        <w:right w:val="none" w:sz="0" w:space="0" w:color="auto"/>
      </w:divBdr>
    </w:div>
    <w:div w:id="212022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1750-3841.14714" TargetMode="External"/><Relationship Id="rId13" Type="http://schemas.openxmlformats.org/officeDocument/2006/relationships/image" Target="media/image5.jpeg"/><Relationship Id="rId18" Type="http://schemas.openxmlformats.org/officeDocument/2006/relationships/hyperlink" Target="https://doi.org/10.9734/ijpss/2020/v32i123035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nlinelibrary.wiley.com/doi/full/10.1111/1750-3841.14714" TargetMode="External"/><Relationship Id="rId12" Type="http://schemas.openxmlformats.org/officeDocument/2006/relationships/image" Target="media/image4.jpeg"/><Relationship Id="rId17" Type="http://schemas.openxmlformats.org/officeDocument/2006/relationships/hyperlink" Target="https://doi.org/10.3329/bjar.v44i3.4347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jaeri/2021/v22i430191" TargetMode="External"/><Relationship Id="rId20" Type="http://schemas.openxmlformats.org/officeDocument/2006/relationships/hyperlink" Target="https://doi.org/10.1016/j.biortech.2008.12.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590/S1516-8913201000040002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15</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46</cp:revision>
  <dcterms:created xsi:type="dcterms:W3CDTF">2026-02-12T17:36:00Z</dcterms:created>
  <dcterms:modified xsi:type="dcterms:W3CDTF">2026-02-14T08:57:00Z</dcterms:modified>
</cp:coreProperties>
</file>