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E1EC0" w14:textId="21DF81B8" w:rsidR="00AC0AC6" w:rsidRDefault="00AC0AC6" w:rsidP="00F01DD2">
      <w:pPr>
        <w:spacing w:after="0"/>
        <w:ind w:firstLine="720"/>
        <w:jc w:val="right"/>
        <w:rPr>
          <w:b/>
          <w:bCs/>
          <w:szCs w:val="24"/>
        </w:rPr>
      </w:pPr>
    </w:p>
    <w:p w14:paraId="38BF9D59" w14:textId="0252FFAA" w:rsidR="00AC0AC6" w:rsidRDefault="00AC0AC6" w:rsidP="00F01DD2">
      <w:pPr>
        <w:spacing w:after="0"/>
        <w:ind w:firstLine="720"/>
        <w:jc w:val="right"/>
        <w:rPr>
          <w:b/>
          <w:bCs/>
          <w:szCs w:val="24"/>
        </w:rPr>
      </w:pPr>
    </w:p>
    <w:p w14:paraId="37D85AB6" w14:textId="39366C44" w:rsidR="00A75E2C" w:rsidRPr="00377E6E" w:rsidRDefault="00F01DD2" w:rsidP="000654F2">
      <w:pPr>
        <w:tabs>
          <w:tab w:val="left" w:pos="2280"/>
        </w:tabs>
        <w:spacing w:after="0"/>
        <w:ind w:firstLine="720"/>
        <w:jc w:val="center"/>
        <w:rPr>
          <w:b/>
          <w:bCs/>
          <w:szCs w:val="24"/>
        </w:rPr>
      </w:pPr>
      <w:r w:rsidRPr="00377E6E">
        <w:rPr>
          <w:b/>
          <w:bCs/>
          <w:szCs w:val="24"/>
        </w:rPr>
        <w:t>Development of a Standardized Cervical Thermal Application Techn</w:t>
      </w:r>
      <w:r w:rsidR="007C3FC1" w:rsidRPr="00377E6E">
        <w:rPr>
          <w:b/>
          <w:bCs/>
          <w:szCs w:val="24"/>
        </w:rPr>
        <w:t>ique</w:t>
      </w:r>
      <w:r w:rsidRPr="00377E6E">
        <w:rPr>
          <w:b/>
          <w:bCs/>
          <w:szCs w:val="24"/>
        </w:rPr>
        <w:t xml:space="preserve"> for Managing Incomplete Cervical Dilation in Buffaloes</w:t>
      </w:r>
    </w:p>
    <w:p w14:paraId="24679860" w14:textId="77777777" w:rsidR="002D6EC4" w:rsidRPr="00377E6E" w:rsidRDefault="002D6EC4" w:rsidP="00A75E2C">
      <w:pPr>
        <w:spacing w:after="0"/>
        <w:ind w:firstLine="720"/>
        <w:jc w:val="center"/>
        <w:rPr>
          <w:b/>
          <w:bCs/>
          <w:szCs w:val="24"/>
        </w:rPr>
      </w:pPr>
    </w:p>
    <w:p w14:paraId="38721697" w14:textId="4F49808F" w:rsidR="00447762" w:rsidRDefault="00447762" w:rsidP="00D22975">
      <w:pPr>
        <w:spacing w:after="0" w:line="240" w:lineRule="auto"/>
        <w:jc w:val="center"/>
        <w:rPr>
          <w:rFonts w:eastAsia="Times New Roman"/>
          <w:color w:val="222222"/>
          <w:kern w:val="0"/>
          <w:szCs w:val="24"/>
          <w:lang w:eastAsia="en-IN"/>
          <w14:ligatures w14:val="none"/>
        </w:rPr>
      </w:pPr>
    </w:p>
    <w:p w14:paraId="51D5D2BA" w14:textId="77777777" w:rsidR="00016500" w:rsidRPr="00377E6E" w:rsidRDefault="00016500" w:rsidP="00D22975">
      <w:pPr>
        <w:spacing w:after="0" w:line="240" w:lineRule="auto"/>
        <w:jc w:val="center"/>
        <w:rPr>
          <w:rFonts w:eastAsia="Times New Roman"/>
          <w:color w:val="222222"/>
          <w:kern w:val="0"/>
          <w:szCs w:val="24"/>
          <w:lang w:eastAsia="en-IN"/>
          <w14:ligatures w14:val="none"/>
        </w:rPr>
      </w:pPr>
    </w:p>
    <w:p w14:paraId="4B201A93" w14:textId="4DA4E3D9" w:rsidR="00B038D2" w:rsidRPr="00377E6E" w:rsidRDefault="00B038D2" w:rsidP="00D90BE8">
      <w:pPr>
        <w:spacing w:after="0"/>
        <w:jc w:val="center"/>
        <w:rPr>
          <w:b/>
          <w:bCs/>
          <w:szCs w:val="24"/>
        </w:rPr>
      </w:pPr>
      <w:r w:rsidRPr="00377E6E">
        <w:rPr>
          <w:b/>
          <w:bCs/>
          <w:szCs w:val="24"/>
        </w:rPr>
        <w:t>ABSTRACT</w:t>
      </w:r>
    </w:p>
    <w:p w14:paraId="3EEF6853" w14:textId="46CC6D13" w:rsidR="00920B5A" w:rsidRPr="00377E6E" w:rsidRDefault="00920B5A" w:rsidP="00920B5A">
      <w:pPr>
        <w:spacing w:after="0"/>
        <w:ind w:firstLine="720"/>
        <w:jc w:val="both"/>
        <w:rPr>
          <w:szCs w:val="24"/>
        </w:rPr>
      </w:pPr>
      <w:r w:rsidRPr="00377E6E">
        <w:rPr>
          <w:szCs w:val="24"/>
        </w:rPr>
        <w:t>Incomplete cervical dilation (ICD) is a significant maternal cause of dystocia in buffaloes, often resulting in prolonged labor and increased obstetrical intervention despite conventional pharmacological therapy. The present study aimed to develop and clinically evaluate a standardized cervical thermal application technique as an adjunct to routine cervical relaxation treatment in buffaloes affected with ICD. Twenty buffaloes at full-term diagnosed with ICD were enrolled in a randomized controlled clinical trial and allocated into Control (n = 10) and Thermal Intervention (n = 10) groups. Both groups received a standardized cervical relaxation protocol consisting of cloprostenol, dexamethasone, estradiol benzoate, valethamate bromide, and supportive intravenous fluids. The intervention group additionally received a standardized cervical thermal application using 2% carboxymethyl cellulose-soaked gauze maintained at 45–50°C for 20–25 minutes. The primary outcome was time to complete cervical dilation. Mean time to complete dilation was significantly reduced in the Thermal Intervention group (19.2 ± 1.3 h) compared to the Control group (29.4 ± 1.7 h; P &lt; 0.01), representing an approximate 34–35% reduction. Cervical dilation scores at 2 and 4 hours were significantly higher in the intervention group (P &lt; 0.05), and fewer cases required assisted delivery without adverse maternal or neonatal effects. However, the study was limited by a modest sample size and absence of direct mechanistic evaluation of cervical tissue remodelling. The standardized cervical thermal application technique may serve as a safe and reproducible adjunct in the clinical management of ICD in buffaloes.</w:t>
      </w:r>
    </w:p>
    <w:p w14:paraId="0E1756B8" w14:textId="36D0A5AF" w:rsidR="001517A1" w:rsidRPr="00377E6E" w:rsidRDefault="00286D94" w:rsidP="00055880">
      <w:pPr>
        <w:spacing w:after="0"/>
        <w:rPr>
          <w:szCs w:val="24"/>
        </w:rPr>
      </w:pPr>
      <w:r w:rsidRPr="00377E6E">
        <w:rPr>
          <w:b/>
          <w:bCs/>
          <w:szCs w:val="24"/>
        </w:rPr>
        <w:t>Keywords:</w:t>
      </w:r>
      <w:r w:rsidRPr="00377E6E">
        <w:rPr>
          <w:szCs w:val="24"/>
        </w:rPr>
        <w:t xml:space="preserve"> Anestrus; Buffalo; Early pregnancy diagnosis; Field extension; Ultrasonography</w:t>
      </w:r>
    </w:p>
    <w:p w14:paraId="3D3E018A" w14:textId="30642CCC" w:rsidR="00880765" w:rsidRPr="00377E6E" w:rsidRDefault="00880765" w:rsidP="00873AC9">
      <w:pPr>
        <w:spacing w:after="0"/>
        <w:jc w:val="center"/>
        <w:rPr>
          <w:b/>
          <w:bCs/>
          <w:caps/>
          <w:szCs w:val="24"/>
        </w:rPr>
      </w:pPr>
      <w:r w:rsidRPr="00377E6E">
        <w:rPr>
          <w:b/>
          <w:bCs/>
          <w:caps/>
          <w:szCs w:val="24"/>
        </w:rPr>
        <w:t>Introduction</w:t>
      </w:r>
    </w:p>
    <w:p w14:paraId="0D9AB414" w14:textId="34442DE4" w:rsidR="00B23479" w:rsidRPr="00377E6E" w:rsidRDefault="00B23479" w:rsidP="00B23479">
      <w:pPr>
        <w:spacing w:after="0"/>
        <w:ind w:firstLine="720"/>
        <w:jc w:val="both"/>
        <w:rPr>
          <w:szCs w:val="24"/>
        </w:rPr>
      </w:pPr>
      <w:r w:rsidRPr="00377E6E">
        <w:rPr>
          <w:szCs w:val="24"/>
        </w:rPr>
        <w:t xml:space="preserve">Dystocia remains a major obstetrical problem in bovines, contributing significantly to perinatal mortality, postpartum reproductive disorders, and economic losses in dairy production systems (Noakes et al., 2009; Purohit et al., 2011). In buffaloes, both maternal and fetal causes predispose to dystocia, with incomplete cervical dilation (ICD) recognized as an important maternal </w:t>
      </w:r>
      <w:r w:rsidR="0094613E" w:rsidRPr="00377E6E">
        <w:rPr>
          <w:szCs w:val="24"/>
        </w:rPr>
        <w:t>aetiology</w:t>
      </w:r>
      <w:r w:rsidRPr="00377E6E">
        <w:rPr>
          <w:szCs w:val="24"/>
        </w:rPr>
        <w:t xml:space="preserve"> (Das et al., 2008). Failure of adequate cervical relaxation at term interferes with normal fetal expulsion and may prolong labor, increasing the risk of fetal distress and maternal exhaustion. Cervical dilation is a complex physiological process involving hormonal regulation, collagen </w:t>
      </w:r>
      <w:r w:rsidR="0094613E" w:rsidRPr="00377E6E">
        <w:rPr>
          <w:szCs w:val="24"/>
        </w:rPr>
        <w:t>remodelling</w:t>
      </w:r>
      <w:r w:rsidRPr="00377E6E">
        <w:rPr>
          <w:szCs w:val="24"/>
        </w:rPr>
        <w:t>, increased prostaglandin synthesis, and smooth muscle relaxation (Fuchs et al., 2002; Noakes et al., 2009). Inadequate cervical ripening has been associated with hormonal deficiency, altered endocrine patterns at term, fibrosis of cervical tissue, and previous cervical injury (Das et al., 2008; Gahlot et al., 2017). Reports in cattle and buffaloes indicate that incomplete dilation may occur in heifers as well as pluriparous animals, sometimes secondary to uterine torsion or other obstetrical complications (Balasundaram et al., 2018; Doddagoudar et al., 2020).</w:t>
      </w:r>
    </w:p>
    <w:p w14:paraId="02FB2A3A" w14:textId="77777777" w:rsidR="00B23479" w:rsidRPr="00377E6E" w:rsidRDefault="00B23479" w:rsidP="00B23479">
      <w:pPr>
        <w:spacing w:after="0"/>
        <w:ind w:firstLine="720"/>
        <w:jc w:val="both"/>
        <w:rPr>
          <w:szCs w:val="24"/>
        </w:rPr>
      </w:pPr>
      <w:r w:rsidRPr="00377E6E">
        <w:rPr>
          <w:szCs w:val="24"/>
        </w:rPr>
        <w:t xml:space="preserve">Various therapeutic approaches have been described for the management of incomplete cervical dilation. These include administration of prostaglandin analogues such as misoprostol (Al-Kass et al., 2011; Ibrahim et al., 2012; Weeks et al., 2007), use of smooth muscle relaxants like valethamate bromide (Sharma et al., 1990), and surgical interventions such as cervicotomy </w:t>
      </w:r>
      <w:r w:rsidRPr="00377E6E">
        <w:rPr>
          <w:szCs w:val="24"/>
        </w:rPr>
        <w:lastRenderedPageBreak/>
        <w:t>in refractory cases (Raja et al., 2019). Clinical management strategies in cattle have also incorporated intra-cervical application of prostaglandin E1 analogues to enhance cervical softening and facilitate delivery (Monica et al., 2018). Despite these interventions, progression to complete cervical dilation may remain delayed in certain cases, necessitating alternative or adjunct approaches.</w:t>
      </w:r>
    </w:p>
    <w:p w14:paraId="788FA711" w14:textId="0AFC9388" w:rsidR="00B23479" w:rsidRPr="00377E6E" w:rsidRDefault="00B23479" w:rsidP="00B23479">
      <w:pPr>
        <w:spacing w:after="0"/>
        <w:ind w:firstLine="720"/>
        <w:jc w:val="both"/>
        <w:rPr>
          <w:szCs w:val="24"/>
        </w:rPr>
      </w:pPr>
      <w:r w:rsidRPr="00377E6E">
        <w:rPr>
          <w:szCs w:val="24"/>
        </w:rPr>
        <w:t xml:space="preserve">Thermal application has long been recognized to improve local blood circulation, enhance tissue perfusion, and promote relaxation of connective tissue structures. Increased vascular perfusion may facilitate biochemical processes associated with collagen </w:t>
      </w:r>
      <w:r w:rsidR="007C3FC1" w:rsidRPr="00377E6E">
        <w:rPr>
          <w:szCs w:val="24"/>
        </w:rPr>
        <w:t>remodelling</w:t>
      </w:r>
      <w:r w:rsidRPr="00377E6E">
        <w:rPr>
          <w:szCs w:val="24"/>
        </w:rPr>
        <w:t xml:space="preserve"> and cervical softening. Although pharmacological priming of the cervix is well documented (Fiala et al., 2007; Weeks et al., 2007), controlled evaluation of standardized local heat application as an adjunctive therapy in buffalo cervical dystocia has not been adequately explored in clinical settings.</w:t>
      </w:r>
    </w:p>
    <w:p w14:paraId="7F670B75" w14:textId="34C9DD65" w:rsidR="00B23479" w:rsidRPr="00377E6E" w:rsidRDefault="00B23479" w:rsidP="00C85D4A">
      <w:pPr>
        <w:spacing w:after="0"/>
        <w:ind w:firstLine="720"/>
        <w:jc w:val="both"/>
        <w:rPr>
          <w:szCs w:val="24"/>
        </w:rPr>
      </w:pPr>
      <w:r w:rsidRPr="00377E6E">
        <w:rPr>
          <w:szCs w:val="24"/>
        </w:rPr>
        <w:t>Given the clinical importance of incomplete cervical dilation in buffaloes and the need for economical, non-invasive adjunctive therapies, the present study was undertaken to clinically evaluate a standardized cervical thermal application protocol as a supplement to conventional treatment in buffaloes diagnosed with incomplete cervical dilation.</w:t>
      </w:r>
    </w:p>
    <w:p w14:paraId="1CA78596" w14:textId="194ECEFA" w:rsidR="000D2483" w:rsidRPr="00377E6E" w:rsidRDefault="000D2483" w:rsidP="00873AC9">
      <w:pPr>
        <w:spacing w:after="0"/>
        <w:jc w:val="center"/>
        <w:rPr>
          <w:b/>
          <w:bCs/>
          <w:caps/>
          <w:szCs w:val="24"/>
        </w:rPr>
      </w:pPr>
      <w:r w:rsidRPr="00377E6E">
        <w:rPr>
          <w:b/>
          <w:bCs/>
          <w:caps/>
          <w:szCs w:val="24"/>
        </w:rPr>
        <w:t>Materials and Methods</w:t>
      </w:r>
    </w:p>
    <w:p w14:paraId="2EA03D53" w14:textId="77777777" w:rsidR="00BF181D" w:rsidRPr="00377E6E" w:rsidRDefault="00BF181D" w:rsidP="00BF181D">
      <w:pPr>
        <w:spacing w:after="0"/>
        <w:jc w:val="both"/>
        <w:rPr>
          <w:b/>
          <w:bCs/>
          <w:szCs w:val="24"/>
        </w:rPr>
      </w:pPr>
      <w:r w:rsidRPr="00377E6E">
        <w:rPr>
          <w:b/>
          <w:bCs/>
          <w:szCs w:val="24"/>
        </w:rPr>
        <w:t>Study Location and Experimental Animals</w:t>
      </w:r>
    </w:p>
    <w:p w14:paraId="70D650C1" w14:textId="0BEF9163" w:rsidR="00BF181D" w:rsidRPr="00377E6E" w:rsidRDefault="00BF181D" w:rsidP="00C82603">
      <w:pPr>
        <w:spacing w:after="0"/>
        <w:ind w:firstLine="720"/>
        <w:jc w:val="both"/>
        <w:rPr>
          <w:szCs w:val="24"/>
        </w:rPr>
      </w:pPr>
      <w:r w:rsidRPr="00377E6E">
        <w:rPr>
          <w:szCs w:val="24"/>
        </w:rPr>
        <w:t xml:space="preserve">The study was conducted at the Referral Veterinary Polyclinic (RVP–OPD-1), Division of Animal Reproduction, ICAR–Indian Veterinary Research Institute (IVRI), Izatnagar, Bareilly, India. A total of </w:t>
      </w:r>
      <w:r w:rsidRPr="00377E6E">
        <w:rPr>
          <w:i/>
          <w:iCs/>
          <w:szCs w:val="24"/>
        </w:rPr>
        <w:t>n=20</w:t>
      </w:r>
      <w:r w:rsidRPr="00377E6E">
        <w:rPr>
          <w:szCs w:val="24"/>
        </w:rPr>
        <w:t xml:space="preserve"> pregnant buffaloes diagnosed with incomplete cervical dilation (ICD) during parturition were included. Animals ranged from first to fifth parity and were presented at full term with signs of stage II labor but incomplete cervical dilation confirmed by per-vaginal examination. Only clinically stable animals with viable </w:t>
      </w:r>
      <w:r w:rsidR="00C82603" w:rsidRPr="00377E6E">
        <w:rPr>
          <w:szCs w:val="24"/>
        </w:rPr>
        <w:t>foetuses</w:t>
      </w:r>
      <w:r w:rsidRPr="00377E6E">
        <w:rPr>
          <w:szCs w:val="24"/>
        </w:rPr>
        <w:t xml:space="preserve"> were enrolled.</w:t>
      </w:r>
      <w:r w:rsidR="00C82603" w:rsidRPr="00377E6E">
        <w:rPr>
          <w:szCs w:val="24"/>
        </w:rPr>
        <w:t xml:space="preserve"> </w:t>
      </w:r>
      <w:r w:rsidRPr="00377E6E">
        <w:rPr>
          <w:szCs w:val="24"/>
        </w:rPr>
        <w:t>Animals were excluded if they had irreducible uterine torsion, uterine rupture, severe fetal emphysema, systemic shock, or required immediate surgical intervention.</w:t>
      </w:r>
    </w:p>
    <w:p w14:paraId="5DFFA6EC" w14:textId="77777777" w:rsidR="0096771C" w:rsidRPr="00377E6E" w:rsidRDefault="0096771C" w:rsidP="0096771C">
      <w:pPr>
        <w:spacing w:after="0"/>
        <w:jc w:val="both"/>
        <w:rPr>
          <w:b/>
          <w:bCs/>
          <w:szCs w:val="24"/>
        </w:rPr>
      </w:pPr>
      <w:r w:rsidRPr="00377E6E">
        <w:rPr>
          <w:b/>
          <w:bCs/>
          <w:szCs w:val="24"/>
        </w:rPr>
        <w:t>Animal Metadata and Experimental Design</w:t>
      </w:r>
    </w:p>
    <w:p w14:paraId="33B38760" w14:textId="70BB9B58" w:rsidR="0096771C" w:rsidRPr="00377E6E" w:rsidRDefault="0096771C" w:rsidP="0096771C">
      <w:pPr>
        <w:spacing w:after="0"/>
        <w:ind w:firstLine="720"/>
        <w:jc w:val="both"/>
        <w:rPr>
          <w:szCs w:val="24"/>
        </w:rPr>
      </w:pPr>
      <w:r w:rsidRPr="00377E6E">
        <w:rPr>
          <w:szCs w:val="24"/>
        </w:rPr>
        <w:t>A total of 20 full-term pregnant buffaloes diagnosed with incomplete cervical dilation were included in the study. The overall mean age of the animals was 5.8 ± 0.42 years, and the mean parity was 2.6 ± 0.31, with animals ranging from first to fifth parity. All buffaloes were presented during stage II of labor and were clinically stable at the time of enrolment. The study was designed as a randomized controlled clinical trial, and animals were randomly allocated into two groups (n = 10 per group) using simple random number allocation. Group I (Control) received routine cervical relaxation therapy, while Group II (Thermal Intervention) received routine therapy supplemented with standardized cervical thermal application.</w:t>
      </w:r>
    </w:p>
    <w:p w14:paraId="5307B119" w14:textId="77777777" w:rsidR="00BF181D" w:rsidRPr="00377E6E" w:rsidRDefault="00BF181D" w:rsidP="00BF181D">
      <w:pPr>
        <w:spacing w:after="0"/>
        <w:jc w:val="both"/>
        <w:rPr>
          <w:b/>
          <w:bCs/>
          <w:szCs w:val="24"/>
        </w:rPr>
      </w:pPr>
      <w:r w:rsidRPr="00377E6E">
        <w:rPr>
          <w:b/>
          <w:bCs/>
          <w:szCs w:val="24"/>
        </w:rPr>
        <w:t>Conventional Therapeutic Protocol</w:t>
      </w:r>
    </w:p>
    <w:p w14:paraId="6FE8CABD" w14:textId="77777777" w:rsidR="008A43F8" w:rsidRPr="00377E6E" w:rsidRDefault="008A43F8" w:rsidP="008A43F8">
      <w:pPr>
        <w:spacing w:after="0"/>
        <w:ind w:firstLine="720"/>
        <w:jc w:val="both"/>
        <w:rPr>
          <w:szCs w:val="24"/>
        </w:rPr>
      </w:pPr>
      <w:r w:rsidRPr="00377E6E">
        <w:rPr>
          <w:szCs w:val="24"/>
        </w:rPr>
        <w:t>All enrolled buffaloes (both Control and Thermal Intervention groups) received a standardized cervical relaxation regimen consisting of cloprostenol sodium (PGF₂α analogue) administered at 2 mL (500 µg) intramuscularly as a single dose, dexamethasone sodium phosphate at 0.04 mg/kg body weight intramuscularly, estradiol benzoate at 2 mg per animal intramuscularly, and valethamate bromide at 0.1 mg/kg body weight administered slowly via the intravenous route. Supportive intravenous fluid therapy (Ringer’s lactate or normal saline) was provided at 10–20 mL/kg body weight depending on hydration status and clinical condition. All medications were administered under aseptic conditions, and weight-based dosing was calculated individually for each animal prior to treatment initiation.</w:t>
      </w:r>
    </w:p>
    <w:p w14:paraId="568F489C" w14:textId="1832CCD5" w:rsidR="00BF181D" w:rsidRPr="00377E6E" w:rsidRDefault="00BF181D" w:rsidP="00BF181D">
      <w:pPr>
        <w:spacing w:after="0"/>
        <w:jc w:val="both"/>
        <w:rPr>
          <w:b/>
          <w:bCs/>
          <w:szCs w:val="24"/>
        </w:rPr>
      </w:pPr>
      <w:r w:rsidRPr="00377E6E">
        <w:rPr>
          <w:b/>
          <w:bCs/>
          <w:szCs w:val="24"/>
        </w:rPr>
        <w:t>Development and Standardization of Cervical Thermal Application Protocol</w:t>
      </w:r>
    </w:p>
    <w:p w14:paraId="054C9395" w14:textId="058900FD" w:rsidR="008A43F8" w:rsidRPr="00377E6E" w:rsidRDefault="008A43F8" w:rsidP="008A43F8">
      <w:pPr>
        <w:spacing w:after="0"/>
        <w:ind w:firstLine="720"/>
        <w:jc w:val="both"/>
        <w:rPr>
          <w:szCs w:val="24"/>
        </w:rPr>
      </w:pPr>
      <w:r w:rsidRPr="00377E6E">
        <w:rPr>
          <w:szCs w:val="24"/>
        </w:rPr>
        <w:lastRenderedPageBreak/>
        <w:t>In addition to the standardized therapeutic protocol described above, buffaloes allocated to the Thermal Intervention group received a standardized cervical thermal application procedure. Sterile cotton gauze pads were soaked in 2% carboxymethyl cellulose (CMC) solution maintained at 45–50°C</w:t>
      </w:r>
      <w:r w:rsidR="007B6613" w:rsidRPr="00377E6E">
        <w:rPr>
          <w:szCs w:val="24"/>
        </w:rPr>
        <w:t xml:space="preserve"> (Fig. 1)</w:t>
      </w:r>
      <w:r w:rsidRPr="00377E6E">
        <w:rPr>
          <w:szCs w:val="24"/>
        </w:rPr>
        <w:t xml:space="preserve">. Temperature was monitored using a calibrated digital thermometer and maintained within ±1°C to ensure controlled heat delivery. Following aseptic per-vaginal preparation, the warm CMC-soaked gauze was applied directly over the cervical os for 20–25 minutes (Fig. </w:t>
      </w:r>
      <w:r w:rsidR="007B6613" w:rsidRPr="00377E6E">
        <w:rPr>
          <w:szCs w:val="24"/>
        </w:rPr>
        <w:t>2</w:t>
      </w:r>
      <w:r w:rsidRPr="00377E6E">
        <w:rPr>
          <w:szCs w:val="24"/>
        </w:rPr>
        <w:t xml:space="preserve">). Temperature was reassessed at 5-minute intervals during application. Gentle manual cervical massage was performed concurrently to enhance tissue pliability. If adequate cervical progression was not achieved after 2 hours, the thermal application was repeated once under the same standardized conditions (Fig. </w:t>
      </w:r>
      <w:r w:rsidR="007B6613" w:rsidRPr="00377E6E">
        <w:rPr>
          <w:szCs w:val="24"/>
        </w:rPr>
        <w:t>2</w:t>
      </w:r>
      <w:r w:rsidRPr="00377E6E">
        <w:rPr>
          <w:szCs w:val="24"/>
        </w:rPr>
        <w:t>).</w:t>
      </w:r>
    </w:p>
    <w:p w14:paraId="4628F48A" w14:textId="77777777" w:rsidR="007B6613" w:rsidRPr="00377E6E" w:rsidRDefault="007B6613" w:rsidP="008A43F8">
      <w:pPr>
        <w:spacing w:after="0"/>
        <w:ind w:firstLine="720"/>
        <w:jc w:val="both"/>
        <w:rPr>
          <w:szCs w:val="24"/>
        </w:rPr>
      </w:pPr>
    </w:p>
    <w:p w14:paraId="4F4AA201" w14:textId="321582EB" w:rsidR="007B6613" w:rsidRPr="00377E6E" w:rsidRDefault="007B6613" w:rsidP="00C17DAE">
      <w:pPr>
        <w:spacing w:after="0"/>
        <w:jc w:val="center"/>
        <w:rPr>
          <w:szCs w:val="24"/>
        </w:rPr>
      </w:pPr>
      <w:r w:rsidRPr="00377E6E">
        <w:rPr>
          <w:noProof/>
          <w:szCs w:val="24"/>
        </w:rPr>
        <w:drawing>
          <wp:inline distT="0" distB="0" distL="0" distR="0" wp14:anchorId="768F1D7B" wp14:editId="64164492">
            <wp:extent cx="5160475" cy="3261629"/>
            <wp:effectExtent l="0" t="0" r="2540" b="0"/>
            <wp:docPr id="4933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8405" cy="3272961"/>
                    </a:xfrm>
                    <a:prstGeom prst="rect">
                      <a:avLst/>
                    </a:prstGeom>
                    <a:noFill/>
                  </pic:spPr>
                </pic:pic>
              </a:graphicData>
            </a:graphic>
          </wp:inline>
        </w:drawing>
      </w:r>
    </w:p>
    <w:p w14:paraId="33404F9E" w14:textId="77777777" w:rsidR="007B6613" w:rsidRPr="00377E6E" w:rsidRDefault="007B6613" w:rsidP="007B6613">
      <w:pPr>
        <w:spacing w:after="0"/>
        <w:ind w:firstLine="720"/>
        <w:jc w:val="both"/>
        <w:rPr>
          <w:szCs w:val="24"/>
          <w:lang w:val="en-US"/>
        </w:rPr>
      </w:pPr>
    </w:p>
    <w:p w14:paraId="7C9564DF" w14:textId="73134404" w:rsidR="007B6613" w:rsidRPr="00377E6E" w:rsidRDefault="007B6613" w:rsidP="00C17DAE">
      <w:pPr>
        <w:spacing w:after="0"/>
        <w:ind w:firstLine="720"/>
        <w:jc w:val="center"/>
        <w:rPr>
          <w:szCs w:val="24"/>
        </w:rPr>
      </w:pPr>
      <w:r w:rsidRPr="00377E6E">
        <w:rPr>
          <w:b/>
          <w:bCs/>
          <w:szCs w:val="24"/>
          <w:lang w:val="en-US"/>
        </w:rPr>
        <w:t>Fig. 1</w:t>
      </w:r>
      <w:r w:rsidR="00C17DAE" w:rsidRPr="00377E6E">
        <w:rPr>
          <w:szCs w:val="24"/>
          <w:lang w:val="en-US"/>
        </w:rPr>
        <w:t xml:space="preserve">. </w:t>
      </w:r>
      <w:r w:rsidRPr="00377E6E">
        <w:rPr>
          <w:szCs w:val="24"/>
          <w:lang w:val="en-US"/>
        </w:rPr>
        <w:t>Hot fomentation of cervix by cotton roll bundle</w:t>
      </w:r>
    </w:p>
    <w:p w14:paraId="18E3B18A" w14:textId="77777777" w:rsidR="0090040F" w:rsidRPr="00377E6E" w:rsidRDefault="0090040F" w:rsidP="008A43F8">
      <w:pPr>
        <w:spacing w:after="0"/>
        <w:ind w:firstLine="720"/>
        <w:jc w:val="both"/>
        <w:rPr>
          <w:szCs w:val="24"/>
          <w:lang w:val="en-US"/>
        </w:rPr>
      </w:pPr>
    </w:p>
    <w:p w14:paraId="7E787C5A" w14:textId="5CD158A3" w:rsidR="00956305" w:rsidRPr="00377E6E" w:rsidRDefault="00490E52" w:rsidP="00956305">
      <w:pPr>
        <w:spacing w:after="0"/>
        <w:jc w:val="center"/>
        <w:rPr>
          <w:szCs w:val="24"/>
        </w:rPr>
      </w:pPr>
      <w:r w:rsidRPr="00377E6E">
        <w:rPr>
          <w:noProof/>
          <w:szCs w:val="24"/>
        </w:rPr>
        <w:lastRenderedPageBreak/>
        <w:drawing>
          <wp:inline distT="0" distB="0" distL="0" distR="0" wp14:anchorId="34A34F92" wp14:editId="393F5C22">
            <wp:extent cx="5642098" cy="3475454"/>
            <wp:effectExtent l="19050" t="19050" r="15875" b="10795"/>
            <wp:docPr id="212724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0882" cy="3493185"/>
                    </a:xfrm>
                    <a:prstGeom prst="rect">
                      <a:avLst/>
                    </a:prstGeom>
                    <a:noFill/>
                    <a:ln>
                      <a:solidFill>
                        <a:schemeClr val="tx1"/>
                      </a:solidFill>
                    </a:ln>
                  </pic:spPr>
                </pic:pic>
              </a:graphicData>
            </a:graphic>
          </wp:inline>
        </w:drawing>
      </w:r>
    </w:p>
    <w:p w14:paraId="1A2C806B" w14:textId="77777777" w:rsidR="00490E52" w:rsidRPr="00377E6E" w:rsidRDefault="00490E52" w:rsidP="00BF181D">
      <w:pPr>
        <w:spacing w:after="0"/>
        <w:jc w:val="both"/>
        <w:rPr>
          <w:b/>
          <w:bCs/>
          <w:szCs w:val="24"/>
        </w:rPr>
      </w:pPr>
    </w:p>
    <w:p w14:paraId="5B1DAD77" w14:textId="3F442444" w:rsidR="00490E52" w:rsidRPr="00377E6E" w:rsidRDefault="00490E52" w:rsidP="00BF181D">
      <w:pPr>
        <w:spacing w:after="0"/>
        <w:jc w:val="both"/>
        <w:rPr>
          <w:szCs w:val="24"/>
        </w:rPr>
      </w:pPr>
      <w:r w:rsidRPr="00377E6E">
        <w:rPr>
          <w:b/>
          <w:bCs/>
          <w:szCs w:val="24"/>
        </w:rPr>
        <w:t xml:space="preserve">Fig. </w:t>
      </w:r>
      <w:r w:rsidR="00C17DAE" w:rsidRPr="00377E6E">
        <w:rPr>
          <w:b/>
          <w:bCs/>
          <w:szCs w:val="24"/>
        </w:rPr>
        <w:t>2</w:t>
      </w:r>
      <w:r w:rsidRPr="00377E6E">
        <w:rPr>
          <w:b/>
          <w:bCs/>
          <w:szCs w:val="24"/>
        </w:rPr>
        <w:t>.</w:t>
      </w:r>
      <w:r w:rsidRPr="00377E6E">
        <w:rPr>
          <w:szCs w:val="24"/>
        </w:rPr>
        <w:t xml:space="preserve"> Representative protocol procedural and clinical images of a buffalo affected with incomplete cervical dilation (ICD) showing signs of parturition without further cervical progression. Clinical features included raised tail and relaxation of the sacrosciatic ligaments. Following diagnosis, intravenous fluid therapy and the standardized cervical relaxation regimen were administered. The developed cervical thermal application protocol was subsequently applied as an adjunct intervention. Assisted fetal delivery was required in a few cases, resulting in the successful birth of a live calf.</w:t>
      </w:r>
    </w:p>
    <w:p w14:paraId="05DDA17F" w14:textId="77777777" w:rsidR="004C3584" w:rsidRPr="00377E6E" w:rsidRDefault="004C3584" w:rsidP="00BF181D">
      <w:pPr>
        <w:spacing w:after="0"/>
        <w:jc w:val="both"/>
        <w:rPr>
          <w:szCs w:val="24"/>
        </w:rPr>
      </w:pPr>
    </w:p>
    <w:p w14:paraId="5024A36C" w14:textId="3797F1A2" w:rsidR="00BF181D" w:rsidRPr="00377E6E" w:rsidRDefault="00BF181D" w:rsidP="00BF181D">
      <w:pPr>
        <w:spacing w:after="0"/>
        <w:jc w:val="both"/>
        <w:rPr>
          <w:b/>
          <w:bCs/>
          <w:szCs w:val="24"/>
        </w:rPr>
      </w:pPr>
      <w:r w:rsidRPr="00377E6E">
        <w:rPr>
          <w:b/>
          <w:bCs/>
          <w:szCs w:val="24"/>
        </w:rPr>
        <w:t>Cervical Dilation Assessment</w:t>
      </w:r>
    </w:p>
    <w:p w14:paraId="0318E3EA" w14:textId="035C001A" w:rsidR="00BF181D" w:rsidRPr="00377E6E" w:rsidRDefault="00BF181D" w:rsidP="00C85D4A">
      <w:pPr>
        <w:spacing w:after="0"/>
        <w:ind w:firstLine="720"/>
        <w:jc w:val="both"/>
        <w:rPr>
          <w:szCs w:val="24"/>
        </w:rPr>
      </w:pPr>
      <w:r w:rsidRPr="00377E6E">
        <w:rPr>
          <w:szCs w:val="24"/>
        </w:rPr>
        <w:t>Cervical dilation was evaluated by per-vaginal digital examination using a standardized scoring system based on the number of fingers that could be passed through the cervical os, as described in Table 1. This tactile method was adopted to enhance clinical reproducibility under field conditions and reduce subjectivity associated with percentage estimation.</w:t>
      </w:r>
      <w:r w:rsidR="00C85D4A" w:rsidRPr="00377E6E">
        <w:rPr>
          <w:szCs w:val="24"/>
        </w:rPr>
        <w:t xml:space="preserve"> </w:t>
      </w:r>
      <w:r w:rsidRPr="00377E6E">
        <w:rPr>
          <w:szCs w:val="24"/>
        </w:rPr>
        <w:t xml:space="preserve">Dilation scores ranged from 0 to 5, where score 0 indicated a completely closed cervix and score 5 indicated full dilation permitting passage of the entire hand. Intermediate scores corresponded to progressive dilation assessed by the number of fingers passing through the cervical canal. Cervical dilation was recorded at baseline (0 hour), and subsequently at </w:t>
      </w:r>
      <w:r w:rsidR="00C85D4A" w:rsidRPr="00377E6E">
        <w:rPr>
          <w:szCs w:val="24"/>
        </w:rPr>
        <w:t>2- and 4-hours</w:t>
      </w:r>
      <w:r w:rsidRPr="00377E6E">
        <w:rPr>
          <w:szCs w:val="24"/>
        </w:rPr>
        <w:t xml:space="preserve"> following initiation of therapy. All examinations were performed by the same clinician to minimize inter-observer variability and maintain scoring consistency.</w:t>
      </w:r>
    </w:p>
    <w:p w14:paraId="0FA27A66" w14:textId="77777777" w:rsidR="004C3584" w:rsidRPr="00377E6E" w:rsidRDefault="004C3584" w:rsidP="00C85D4A">
      <w:pPr>
        <w:spacing w:after="0"/>
        <w:ind w:firstLine="720"/>
        <w:jc w:val="both"/>
        <w:rPr>
          <w:szCs w:val="24"/>
        </w:rPr>
      </w:pPr>
    </w:p>
    <w:p w14:paraId="757858B6" w14:textId="3804B8DC" w:rsidR="00BF181D" w:rsidRPr="00377E6E" w:rsidRDefault="00BF181D" w:rsidP="00BF181D">
      <w:pPr>
        <w:spacing w:after="0"/>
        <w:jc w:val="both"/>
        <w:rPr>
          <w:szCs w:val="24"/>
        </w:rPr>
      </w:pPr>
      <w:r w:rsidRPr="00377E6E">
        <w:rPr>
          <w:b/>
          <w:bCs/>
          <w:szCs w:val="24"/>
        </w:rPr>
        <w:t>Table 1.</w:t>
      </w:r>
      <w:r w:rsidRPr="00377E6E">
        <w:rPr>
          <w:szCs w:val="24"/>
        </w:rPr>
        <w:t xml:space="preserve"> Cervical Dilation Scoring System Based on Digital Examination</w:t>
      </w:r>
    </w:p>
    <w:p w14:paraId="5FBBA205" w14:textId="77777777" w:rsidR="004C3584" w:rsidRPr="00377E6E" w:rsidRDefault="004C3584" w:rsidP="00BF181D">
      <w:pPr>
        <w:spacing w:after="0"/>
        <w:jc w:val="both"/>
        <w:rPr>
          <w:szCs w:val="24"/>
        </w:rPr>
      </w:pPr>
    </w:p>
    <w:tbl>
      <w:tblPr>
        <w:tblStyle w:val="TableGrid"/>
        <w:tblW w:w="8995" w:type="dxa"/>
        <w:tblLook w:val="04A0" w:firstRow="1" w:lastRow="0" w:firstColumn="1" w:lastColumn="0" w:noHBand="0" w:noVBand="1"/>
      </w:tblPr>
      <w:tblGrid>
        <w:gridCol w:w="1165"/>
        <w:gridCol w:w="1242"/>
        <w:gridCol w:w="2729"/>
        <w:gridCol w:w="3859"/>
      </w:tblGrid>
      <w:tr w:rsidR="00BF181D" w:rsidRPr="00377E6E" w14:paraId="68D7ABE1" w14:textId="77777777" w:rsidTr="00C85D4A">
        <w:tc>
          <w:tcPr>
            <w:tcW w:w="1165" w:type="dxa"/>
            <w:hideMark/>
          </w:tcPr>
          <w:p w14:paraId="3A32A1F6" w14:textId="77777777" w:rsidR="00BF181D" w:rsidRPr="00377E6E" w:rsidRDefault="00BF181D" w:rsidP="00BF181D">
            <w:pPr>
              <w:spacing w:line="259" w:lineRule="auto"/>
              <w:jc w:val="both"/>
              <w:rPr>
                <w:szCs w:val="24"/>
              </w:rPr>
            </w:pPr>
            <w:r w:rsidRPr="00377E6E">
              <w:rPr>
                <w:szCs w:val="24"/>
              </w:rPr>
              <w:t>S. No.</w:t>
            </w:r>
          </w:p>
        </w:tc>
        <w:tc>
          <w:tcPr>
            <w:tcW w:w="1242" w:type="dxa"/>
            <w:hideMark/>
          </w:tcPr>
          <w:p w14:paraId="437C3568" w14:textId="77777777" w:rsidR="00BF181D" w:rsidRPr="00377E6E" w:rsidRDefault="00BF181D" w:rsidP="00C85D4A">
            <w:pPr>
              <w:spacing w:line="259" w:lineRule="auto"/>
              <w:jc w:val="center"/>
              <w:rPr>
                <w:szCs w:val="24"/>
              </w:rPr>
            </w:pPr>
            <w:r w:rsidRPr="00377E6E">
              <w:rPr>
                <w:szCs w:val="24"/>
              </w:rPr>
              <w:t>Score</w:t>
            </w:r>
          </w:p>
        </w:tc>
        <w:tc>
          <w:tcPr>
            <w:tcW w:w="2729" w:type="dxa"/>
            <w:hideMark/>
          </w:tcPr>
          <w:p w14:paraId="0F19A4DC" w14:textId="77777777" w:rsidR="00BF181D" w:rsidRPr="00377E6E" w:rsidRDefault="00BF181D" w:rsidP="00C85D4A">
            <w:pPr>
              <w:spacing w:line="259" w:lineRule="auto"/>
              <w:jc w:val="center"/>
              <w:rPr>
                <w:szCs w:val="24"/>
              </w:rPr>
            </w:pPr>
            <w:r w:rsidRPr="00377E6E">
              <w:rPr>
                <w:szCs w:val="24"/>
              </w:rPr>
              <w:t>Description</w:t>
            </w:r>
          </w:p>
        </w:tc>
        <w:tc>
          <w:tcPr>
            <w:tcW w:w="3859" w:type="dxa"/>
            <w:hideMark/>
          </w:tcPr>
          <w:p w14:paraId="65D649BC" w14:textId="79AD6883" w:rsidR="00BF181D" w:rsidRPr="00377E6E" w:rsidRDefault="00BF181D" w:rsidP="00C85D4A">
            <w:pPr>
              <w:spacing w:line="259" w:lineRule="auto"/>
              <w:jc w:val="center"/>
              <w:rPr>
                <w:szCs w:val="24"/>
              </w:rPr>
            </w:pPr>
            <w:r w:rsidRPr="00377E6E">
              <w:rPr>
                <w:szCs w:val="24"/>
              </w:rPr>
              <w:t>Approximate No. of Fingers Passing</w:t>
            </w:r>
          </w:p>
        </w:tc>
      </w:tr>
      <w:tr w:rsidR="00BF181D" w:rsidRPr="00377E6E" w14:paraId="426FAE86" w14:textId="77777777" w:rsidTr="00C85D4A">
        <w:tc>
          <w:tcPr>
            <w:tcW w:w="1165" w:type="dxa"/>
            <w:hideMark/>
          </w:tcPr>
          <w:p w14:paraId="34E9B6DF" w14:textId="77777777" w:rsidR="00BF181D" w:rsidRPr="00377E6E" w:rsidRDefault="00BF181D" w:rsidP="00BF181D">
            <w:pPr>
              <w:spacing w:line="259" w:lineRule="auto"/>
              <w:jc w:val="both"/>
              <w:rPr>
                <w:szCs w:val="24"/>
              </w:rPr>
            </w:pPr>
            <w:r w:rsidRPr="00377E6E">
              <w:rPr>
                <w:szCs w:val="24"/>
              </w:rPr>
              <w:t>1</w:t>
            </w:r>
          </w:p>
        </w:tc>
        <w:tc>
          <w:tcPr>
            <w:tcW w:w="1242" w:type="dxa"/>
            <w:hideMark/>
          </w:tcPr>
          <w:p w14:paraId="05196494" w14:textId="77777777" w:rsidR="00BF181D" w:rsidRPr="00377E6E" w:rsidRDefault="00BF181D" w:rsidP="00C85D4A">
            <w:pPr>
              <w:spacing w:line="259" w:lineRule="auto"/>
              <w:jc w:val="center"/>
              <w:rPr>
                <w:szCs w:val="24"/>
              </w:rPr>
            </w:pPr>
            <w:r w:rsidRPr="00377E6E">
              <w:rPr>
                <w:szCs w:val="24"/>
              </w:rPr>
              <w:t>0</w:t>
            </w:r>
          </w:p>
        </w:tc>
        <w:tc>
          <w:tcPr>
            <w:tcW w:w="2729" w:type="dxa"/>
            <w:hideMark/>
          </w:tcPr>
          <w:p w14:paraId="3A3433E5" w14:textId="77777777" w:rsidR="00BF181D" w:rsidRPr="00377E6E" w:rsidRDefault="00BF181D" w:rsidP="00C85D4A">
            <w:pPr>
              <w:spacing w:line="259" w:lineRule="auto"/>
              <w:jc w:val="center"/>
              <w:rPr>
                <w:szCs w:val="24"/>
              </w:rPr>
            </w:pPr>
            <w:r w:rsidRPr="00377E6E">
              <w:rPr>
                <w:szCs w:val="24"/>
              </w:rPr>
              <w:t>Completely closed cervix</w:t>
            </w:r>
          </w:p>
        </w:tc>
        <w:tc>
          <w:tcPr>
            <w:tcW w:w="3859" w:type="dxa"/>
            <w:hideMark/>
          </w:tcPr>
          <w:p w14:paraId="7FB79F85" w14:textId="77777777" w:rsidR="00BF181D" w:rsidRPr="00377E6E" w:rsidRDefault="00BF181D" w:rsidP="00C85D4A">
            <w:pPr>
              <w:spacing w:line="259" w:lineRule="auto"/>
              <w:jc w:val="center"/>
              <w:rPr>
                <w:szCs w:val="24"/>
              </w:rPr>
            </w:pPr>
            <w:r w:rsidRPr="00377E6E">
              <w:rPr>
                <w:szCs w:val="24"/>
              </w:rPr>
              <w:t>No finger</w:t>
            </w:r>
          </w:p>
        </w:tc>
      </w:tr>
      <w:tr w:rsidR="00BF181D" w:rsidRPr="00377E6E" w14:paraId="092D5C40" w14:textId="77777777" w:rsidTr="00C85D4A">
        <w:tc>
          <w:tcPr>
            <w:tcW w:w="1165" w:type="dxa"/>
            <w:hideMark/>
          </w:tcPr>
          <w:p w14:paraId="5187123C" w14:textId="77777777" w:rsidR="00BF181D" w:rsidRPr="00377E6E" w:rsidRDefault="00BF181D" w:rsidP="00BF181D">
            <w:pPr>
              <w:spacing w:line="259" w:lineRule="auto"/>
              <w:jc w:val="both"/>
              <w:rPr>
                <w:szCs w:val="24"/>
              </w:rPr>
            </w:pPr>
            <w:r w:rsidRPr="00377E6E">
              <w:rPr>
                <w:szCs w:val="24"/>
              </w:rPr>
              <w:t>2</w:t>
            </w:r>
          </w:p>
        </w:tc>
        <w:tc>
          <w:tcPr>
            <w:tcW w:w="1242" w:type="dxa"/>
            <w:hideMark/>
          </w:tcPr>
          <w:p w14:paraId="45D3738B" w14:textId="77777777" w:rsidR="00BF181D" w:rsidRPr="00377E6E" w:rsidRDefault="00BF181D" w:rsidP="00C85D4A">
            <w:pPr>
              <w:spacing w:line="259" w:lineRule="auto"/>
              <w:jc w:val="center"/>
              <w:rPr>
                <w:szCs w:val="24"/>
              </w:rPr>
            </w:pPr>
            <w:r w:rsidRPr="00377E6E">
              <w:rPr>
                <w:szCs w:val="24"/>
              </w:rPr>
              <w:t>1</w:t>
            </w:r>
          </w:p>
        </w:tc>
        <w:tc>
          <w:tcPr>
            <w:tcW w:w="2729" w:type="dxa"/>
            <w:hideMark/>
          </w:tcPr>
          <w:p w14:paraId="5C047CFA" w14:textId="77777777" w:rsidR="00BF181D" w:rsidRPr="00377E6E" w:rsidRDefault="00BF181D" w:rsidP="00C85D4A">
            <w:pPr>
              <w:spacing w:line="259" w:lineRule="auto"/>
              <w:jc w:val="center"/>
              <w:rPr>
                <w:szCs w:val="24"/>
              </w:rPr>
            </w:pPr>
            <w:r w:rsidRPr="00377E6E">
              <w:rPr>
                <w:szCs w:val="24"/>
              </w:rPr>
              <w:t>&lt;25% dilation</w:t>
            </w:r>
          </w:p>
        </w:tc>
        <w:tc>
          <w:tcPr>
            <w:tcW w:w="3859" w:type="dxa"/>
            <w:hideMark/>
          </w:tcPr>
          <w:p w14:paraId="333B68B9" w14:textId="77777777" w:rsidR="00BF181D" w:rsidRPr="00377E6E" w:rsidRDefault="00BF181D" w:rsidP="00C85D4A">
            <w:pPr>
              <w:spacing w:line="259" w:lineRule="auto"/>
              <w:jc w:val="center"/>
              <w:rPr>
                <w:szCs w:val="24"/>
              </w:rPr>
            </w:pPr>
            <w:r w:rsidRPr="00377E6E">
              <w:rPr>
                <w:szCs w:val="24"/>
              </w:rPr>
              <w:t>Tip of one finger</w:t>
            </w:r>
          </w:p>
        </w:tc>
      </w:tr>
      <w:tr w:rsidR="00BF181D" w:rsidRPr="00377E6E" w14:paraId="1FC23D9F" w14:textId="77777777" w:rsidTr="00C85D4A">
        <w:tc>
          <w:tcPr>
            <w:tcW w:w="1165" w:type="dxa"/>
            <w:hideMark/>
          </w:tcPr>
          <w:p w14:paraId="2C38AAF7" w14:textId="77777777" w:rsidR="00BF181D" w:rsidRPr="00377E6E" w:rsidRDefault="00BF181D" w:rsidP="00BF181D">
            <w:pPr>
              <w:spacing w:line="259" w:lineRule="auto"/>
              <w:jc w:val="both"/>
              <w:rPr>
                <w:szCs w:val="24"/>
              </w:rPr>
            </w:pPr>
            <w:r w:rsidRPr="00377E6E">
              <w:rPr>
                <w:szCs w:val="24"/>
              </w:rPr>
              <w:t>3</w:t>
            </w:r>
          </w:p>
        </w:tc>
        <w:tc>
          <w:tcPr>
            <w:tcW w:w="1242" w:type="dxa"/>
            <w:hideMark/>
          </w:tcPr>
          <w:p w14:paraId="1503838D" w14:textId="77777777" w:rsidR="00BF181D" w:rsidRPr="00377E6E" w:rsidRDefault="00BF181D" w:rsidP="00C85D4A">
            <w:pPr>
              <w:spacing w:line="259" w:lineRule="auto"/>
              <w:jc w:val="center"/>
              <w:rPr>
                <w:szCs w:val="24"/>
              </w:rPr>
            </w:pPr>
            <w:r w:rsidRPr="00377E6E">
              <w:rPr>
                <w:szCs w:val="24"/>
              </w:rPr>
              <w:t>2</w:t>
            </w:r>
          </w:p>
        </w:tc>
        <w:tc>
          <w:tcPr>
            <w:tcW w:w="2729" w:type="dxa"/>
            <w:hideMark/>
          </w:tcPr>
          <w:p w14:paraId="42DA6614" w14:textId="77777777" w:rsidR="00BF181D" w:rsidRPr="00377E6E" w:rsidRDefault="00BF181D" w:rsidP="00C85D4A">
            <w:pPr>
              <w:spacing w:line="259" w:lineRule="auto"/>
              <w:jc w:val="center"/>
              <w:rPr>
                <w:szCs w:val="24"/>
              </w:rPr>
            </w:pPr>
            <w:r w:rsidRPr="00377E6E">
              <w:rPr>
                <w:szCs w:val="24"/>
              </w:rPr>
              <w:t>25–50% dilation</w:t>
            </w:r>
          </w:p>
        </w:tc>
        <w:tc>
          <w:tcPr>
            <w:tcW w:w="3859" w:type="dxa"/>
            <w:hideMark/>
          </w:tcPr>
          <w:p w14:paraId="4F8AED66" w14:textId="77777777" w:rsidR="00BF181D" w:rsidRPr="00377E6E" w:rsidRDefault="00BF181D" w:rsidP="00C85D4A">
            <w:pPr>
              <w:spacing w:line="259" w:lineRule="auto"/>
              <w:jc w:val="center"/>
              <w:rPr>
                <w:szCs w:val="24"/>
              </w:rPr>
            </w:pPr>
            <w:r w:rsidRPr="00377E6E">
              <w:rPr>
                <w:szCs w:val="24"/>
              </w:rPr>
              <w:t>One finger</w:t>
            </w:r>
          </w:p>
        </w:tc>
      </w:tr>
      <w:tr w:rsidR="00BF181D" w:rsidRPr="00377E6E" w14:paraId="43FF96DB" w14:textId="77777777" w:rsidTr="00C85D4A">
        <w:tc>
          <w:tcPr>
            <w:tcW w:w="1165" w:type="dxa"/>
            <w:hideMark/>
          </w:tcPr>
          <w:p w14:paraId="79C2AEE3" w14:textId="77777777" w:rsidR="00BF181D" w:rsidRPr="00377E6E" w:rsidRDefault="00BF181D" w:rsidP="00BF181D">
            <w:pPr>
              <w:spacing w:line="259" w:lineRule="auto"/>
              <w:jc w:val="both"/>
              <w:rPr>
                <w:szCs w:val="24"/>
              </w:rPr>
            </w:pPr>
            <w:r w:rsidRPr="00377E6E">
              <w:rPr>
                <w:szCs w:val="24"/>
              </w:rPr>
              <w:t>4</w:t>
            </w:r>
          </w:p>
        </w:tc>
        <w:tc>
          <w:tcPr>
            <w:tcW w:w="1242" w:type="dxa"/>
            <w:hideMark/>
          </w:tcPr>
          <w:p w14:paraId="3CBC2829" w14:textId="77777777" w:rsidR="00BF181D" w:rsidRPr="00377E6E" w:rsidRDefault="00BF181D" w:rsidP="00C85D4A">
            <w:pPr>
              <w:spacing w:line="259" w:lineRule="auto"/>
              <w:jc w:val="center"/>
              <w:rPr>
                <w:szCs w:val="24"/>
              </w:rPr>
            </w:pPr>
            <w:r w:rsidRPr="00377E6E">
              <w:rPr>
                <w:szCs w:val="24"/>
              </w:rPr>
              <w:t>3</w:t>
            </w:r>
          </w:p>
        </w:tc>
        <w:tc>
          <w:tcPr>
            <w:tcW w:w="2729" w:type="dxa"/>
            <w:hideMark/>
          </w:tcPr>
          <w:p w14:paraId="195D83BD" w14:textId="77777777" w:rsidR="00BF181D" w:rsidRPr="00377E6E" w:rsidRDefault="00BF181D" w:rsidP="00C85D4A">
            <w:pPr>
              <w:spacing w:line="259" w:lineRule="auto"/>
              <w:jc w:val="center"/>
              <w:rPr>
                <w:szCs w:val="24"/>
              </w:rPr>
            </w:pPr>
            <w:r w:rsidRPr="00377E6E">
              <w:rPr>
                <w:szCs w:val="24"/>
              </w:rPr>
              <w:t>50–75% dilation</w:t>
            </w:r>
          </w:p>
        </w:tc>
        <w:tc>
          <w:tcPr>
            <w:tcW w:w="3859" w:type="dxa"/>
            <w:hideMark/>
          </w:tcPr>
          <w:p w14:paraId="3393B125" w14:textId="77777777" w:rsidR="00BF181D" w:rsidRPr="00377E6E" w:rsidRDefault="00BF181D" w:rsidP="00C85D4A">
            <w:pPr>
              <w:spacing w:line="259" w:lineRule="auto"/>
              <w:jc w:val="center"/>
              <w:rPr>
                <w:szCs w:val="24"/>
              </w:rPr>
            </w:pPr>
            <w:r w:rsidRPr="00377E6E">
              <w:rPr>
                <w:szCs w:val="24"/>
              </w:rPr>
              <w:t>Two fingers</w:t>
            </w:r>
          </w:p>
        </w:tc>
      </w:tr>
      <w:tr w:rsidR="00BF181D" w:rsidRPr="00377E6E" w14:paraId="0ABD39E8" w14:textId="77777777" w:rsidTr="00C85D4A">
        <w:tc>
          <w:tcPr>
            <w:tcW w:w="1165" w:type="dxa"/>
            <w:hideMark/>
          </w:tcPr>
          <w:p w14:paraId="3F4B3529" w14:textId="77777777" w:rsidR="00BF181D" w:rsidRPr="00377E6E" w:rsidRDefault="00BF181D" w:rsidP="00BF181D">
            <w:pPr>
              <w:spacing w:line="259" w:lineRule="auto"/>
              <w:jc w:val="both"/>
              <w:rPr>
                <w:szCs w:val="24"/>
              </w:rPr>
            </w:pPr>
            <w:r w:rsidRPr="00377E6E">
              <w:rPr>
                <w:szCs w:val="24"/>
              </w:rPr>
              <w:lastRenderedPageBreak/>
              <w:t>5</w:t>
            </w:r>
          </w:p>
        </w:tc>
        <w:tc>
          <w:tcPr>
            <w:tcW w:w="1242" w:type="dxa"/>
            <w:hideMark/>
          </w:tcPr>
          <w:p w14:paraId="43434B6C" w14:textId="77777777" w:rsidR="00BF181D" w:rsidRPr="00377E6E" w:rsidRDefault="00BF181D" w:rsidP="00C85D4A">
            <w:pPr>
              <w:spacing w:line="259" w:lineRule="auto"/>
              <w:jc w:val="center"/>
              <w:rPr>
                <w:szCs w:val="24"/>
              </w:rPr>
            </w:pPr>
            <w:r w:rsidRPr="00377E6E">
              <w:rPr>
                <w:szCs w:val="24"/>
              </w:rPr>
              <w:t>4</w:t>
            </w:r>
          </w:p>
        </w:tc>
        <w:tc>
          <w:tcPr>
            <w:tcW w:w="2729" w:type="dxa"/>
            <w:hideMark/>
          </w:tcPr>
          <w:p w14:paraId="07B14CCC" w14:textId="77777777" w:rsidR="00BF181D" w:rsidRPr="00377E6E" w:rsidRDefault="00BF181D" w:rsidP="00C85D4A">
            <w:pPr>
              <w:spacing w:line="259" w:lineRule="auto"/>
              <w:jc w:val="center"/>
              <w:rPr>
                <w:szCs w:val="24"/>
              </w:rPr>
            </w:pPr>
            <w:r w:rsidRPr="00377E6E">
              <w:rPr>
                <w:szCs w:val="24"/>
              </w:rPr>
              <w:t>&gt;75% dilation</w:t>
            </w:r>
          </w:p>
        </w:tc>
        <w:tc>
          <w:tcPr>
            <w:tcW w:w="3859" w:type="dxa"/>
            <w:hideMark/>
          </w:tcPr>
          <w:p w14:paraId="37DBEA6D" w14:textId="77777777" w:rsidR="00BF181D" w:rsidRPr="00377E6E" w:rsidRDefault="00BF181D" w:rsidP="00C85D4A">
            <w:pPr>
              <w:spacing w:line="259" w:lineRule="auto"/>
              <w:jc w:val="center"/>
              <w:rPr>
                <w:szCs w:val="24"/>
              </w:rPr>
            </w:pPr>
            <w:r w:rsidRPr="00377E6E">
              <w:rPr>
                <w:szCs w:val="24"/>
              </w:rPr>
              <w:t>Three to four fingers</w:t>
            </w:r>
          </w:p>
        </w:tc>
      </w:tr>
      <w:tr w:rsidR="00BF181D" w:rsidRPr="00377E6E" w14:paraId="3E14821F" w14:textId="77777777" w:rsidTr="00C85D4A">
        <w:tc>
          <w:tcPr>
            <w:tcW w:w="1165" w:type="dxa"/>
            <w:hideMark/>
          </w:tcPr>
          <w:p w14:paraId="186338C0" w14:textId="77777777" w:rsidR="00BF181D" w:rsidRPr="00377E6E" w:rsidRDefault="00BF181D" w:rsidP="00BF181D">
            <w:pPr>
              <w:spacing w:line="259" w:lineRule="auto"/>
              <w:jc w:val="both"/>
              <w:rPr>
                <w:szCs w:val="24"/>
              </w:rPr>
            </w:pPr>
            <w:r w:rsidRPr="00377E6E">
              <w:rPr>
                <w:szCs w:val="24"/>
              </w:rPr>
              <w:t>6</w:t>
            </w:r>
          </w:p>
        </w:tc>
        <w:tc>
          <w:tcPr>
            <w:tcW w:w="1242" w:type="dxa"/>
            <w:hideMark/>
          </w:tcPr>
          <w:p w14:paraId="3184CB75" w14:textId="77777777" w:rsidR="00BF181D" w:rsidRPr="00377E6E" w:rsidRDefault="00BF181D" w:rsidP="00C85D4A">
            <w:pPr>
              <w:spacing w:line="259" w:lineRule="auto"/>
              <w:jc w:val="center"/>
              <w:rPr>
                <w:szCs w:val="24"/>
              </w:rPr>
            </w:pPr>
            <w:r w:rsidRPr="00377E6E">
              <w:rPr>
                <w:szCs w:val="24"/>
              </w:rPr>
              <w:t>5</w:t>
            </w:r>
          </w:p>
        </w:tc>
        <w:tc>
          <w:tcPr>
            <w:tcW w:w="2729" w:type="dxa"/>
            <w:hideMark/>
          </w:tcPr>
          <w:p w14:paraId="4E7E19B3" w14:textId="77777777" w:rsidR="00BF181D" w:rsidRPr="00377E6E" w:rsidRDefault="00BF181D" w:rsidP="00C85D4A">
            <w:pPr>
              <w:spacing w:line="259" w:lineRule="auto"/>
              <w:jc w:val="center"/>
              <w:rPr>
                <w:szCs w:val="24"/>
              </w:rPr>
            </w:pPr>
            <w:r w:rsidRPr="00377E6E">
              <w:rPr>
                <w:szCs w:val="24"/>
              </w:rPr>
              <w:t>Fully dilated cervix</w:t>
            </w:r>
          </w:p>
        </w:tc>
        <w:tc>
          <w:tcPr>
            <w:tcW w:w="3859" w:type="dxa"/>
            <w:hideMark/>
          </w:tcPr>
          <w:p w14:paraId="56ACCBD5" w14:textId="77777777" w:rsidR="00BF181D" w:rsidRPr="00377E6E" w:rsidRDefault="00BF181D" w:rsidP="00C85D4A">
            <w:pPr>
              <w:spacing w:line="259" w:lineRule="auto"/>
              <w:jc w:val="center"/>
              <w:rPr>
                <w:szCs w:val="24"/>
              </w:rPr>
            </w:pPr>
            <w:r w:rsidRPr="00377E6E">
              <w:rPr>
                <w:szCs w:val="24"/>
              </w:rPr>
              <w:t>Entire hand passage</w:t>
            </w:r>
          </w:p>
        </w:tc>
      </w:tr>
    </w:tbl>
    <w:p w14:paraId="6F3C4C30" w14:textId="77777777" w:rsidR="00BF181D" w:rsidRPr="00377E6E" w:rsidRDefault="00BF181D" w:rsidP="00BF181D">
      <w:pPr>
        <w:spacing w:after="0"/>
        <w:jc w:val="both"/>
        <w:rPr>
          <w:b/>
          <w:bCs/>
          <w:szCs w:val="24"/>
        </w:rPr>
      </w:pPr>
      <w:r w:rsidRPr="00377E6E">
        <w:rPr>
          <w:b/>
          <w:bCs/>
          <w:szCs w:val="24"/>
        </w:rPr>
        <w:t>Outcome Measures</w:t>
      </w:r>
    </w:p>
    <w:p w14:paraId="7743CAF0" w14:textId="77777777" w:rsidR="00BF181D" w:rsidRPr="00377E6E" w:rsidRDefault="00BF181D" w:rsidP="00C85D4A">
      <w:pPr>
        <w:spacing w:after="0"/>
        <w:ind w:firstLine="720"/>
        <w:jc w:val="both"/>
        <w:rPr>
          <w:szCs w:val="24"/>
        </w:rPr>
      </w:pPr>
      <w:r w:rsidRPr="00377E6E">
        <w:rPr>
          <w:szCs w:val="24"/>
        </w:rPr>
        <w:t>The primary outcome measure was time (in hours) from initiation of treatment to complete cervical dilation. Secondary outcomes included cervical dilation score progression, requirement for assisted delivery, fetal viability at birth, and occurrence of maternal complications such as retained fetal membranes or postpartum metritis.</w:t>
      </w:r>
    </w:p>
    <w:p w14:paraId="7ECD62FA" w14:textId="77777777" w:rsidR="00BF181D" w:rsidRPr="00377E6E" w:rsidRDefault="00BF181D" w:rsidP="00BF181D">
      <w:pPr>
        <w:spacing w:after="0"/>
        <w:jc w:val="both"/>
        <w:rPr>
          <w:b/>
          <w:bCs/>
          <w:szCs w:val="24"/>
        </w:rPr>
      </w:pPr>
      <w:r w:rsidRPr="00377E6E">
        <w:rPr>
          <w:b/>
          <w:bCs/>
          <w:szCs w:val="24"/>
        </w:rPr>
        <w:t>Fetal Viability Assessment</w:t>
      </w:r>
    </w:p>
    <w:p w14:paraId="285B1286" w14:textId="77777777" w:rsidR="00BF181D" w:rsidRPr="00377E6E" w:rsidRDefault="00BF181D" w:rsidP="00C85D4A">
      <w:pPr>
        <w:spacing w:after="0"/>
        <w:ind w:firstLine="720"/>
        <w:jc w:val="both"/>
        <w:rPr>
          <w:szCs w:val="24"/>
        </w:rPr>
      </w:pPr>
      <w:r w:rsidRPr="00377E6E">
        <w:rPr>
          <w:szCs w:val="24"/>
        </w:rPr>
        <w:t>Fetal viability was determined based on the presence of corneal and interdigital reflexes prior to delivery and immediate post-delivery respiration and heart rate.</w:t>
      </w:r>
    </w:p>
    <w:p w14:paraId="48E26257" w14:textId="77777777" w:rsidR="00BF181D" w:rsidRPr="00377E6E" w:rsidRDefault="00BF181D" w:rsidP="00BF181D">
      <w:pPr>
        <w:spacing w:after="0"/>
        <w:jc w:val="both"/>
        <w:rPr>
          <w:b/>
          <w:bCs/>
          <w:szCs w:val="24"/>
        </w:rPr>
      </w:pPr>
      <w:r w:rsidRPr="00377E6E">
        <w:rPr>
          <w:b/>
          <w:bCs/>
          <w:szCs w:val="24"/>
        </w:rPr>
        <w:t>Statistical Analysis</w:t>
      </w:r>
    </w:p>
    <w:p w14:paraId="50C64A9F" w14:textId="05EEEB50" w:rsidR="002F7CE1" w:rsidRPr="00377E6E" w:rsidRDefault="00BF181D" w:rsidP="00956305">
      <w:pPr>
        <w:spacing w:after="0"/>
        <w:ind w:firstLine="720"/>
        <w:jc w:val="both"/>
        <w:rPr>
          <w:szCs w:val="24"/>
        </w:rPr>
      </w:pPr>
      <w:r w:rsidRPr="00377E6E">
        <w:rPr>
          <w:szCs w:val="24"/>
        </w:rPr>
        <w:t xml:space="preserve">Data were analyzed using GraphPad Prism software. Results were expressed as mean ± standard error (SE). </w:t>
      </w:r>
      <w:r w:rsidR="00DD2268" w:rsidRPr="00377E6E">
        <w:rPr>
          <w:szCs w:val="24"/>
        </w:rPr>
        <w:t xml:space="preserve">Unpaired t-test. </w:t>
      </w:r>
      <w:r w:rsidRPr="00377E6E">
        <w:rPr>
          <w:szCs w:val="24"/>
        </w:rPr>
        <w:t>was used to compare time to complete cervical dilation between groups. Cervical dilation scores were analyzed using unpaired t-test. Normality of data distribution was assessed prior to parametric analysis. Differences were considered statistically significant at P &lt; 0.05.</w:t>
      </w:r>
    </w:p>
    <w:p w14:paraId="105675A5" w14:textId="77777777" w:rsidR="00EB7627" w:rsidRPr="00377E6E" w:rsidRDefault="00EB7627" w:rsidP="00EB7627">
      <w:pPr>
        <w:spacing w:after="0"/>
        <w:jc w:val="center"/>
        <w:rPr>
          <w:b/>
          <w:bCs/>
          <w:szCs w:val="24"/>
        </w:rPr>
      </w:pPr>
      <w:r w:rsidRPr="00377E6E">
        <w:rPr>
          <w:b/>
          <w:bCs/>
          <w:szCs w:val="24"/>
        </w:rPr>
        <w:t>RESULTS</w:t>
      </w:r>
    </w:p>
    <w:p w14:paraId="5FEC05A5" w14:textId="1D8D8CE5" w:rsidR="00EB7627" w:rsidRPr="00377E6E" w:rsidRDefault="00EB7627" w:rsidP="00EB7627">
      <w:pPr>
        <w:spacing w:after="0"/>
        <w:ind w:firstLine="720"/>
        <w:jc w:val="both"/>
        <w:rPr>
          <w:szCs w:val="24"/>
        </w:rPr>
      </w:pPr>
      <w:r w:rsidRPr="00377E6E">
        <w:rPr>
          <w:szCs w:val="24"/>
        </w:rPr>
        <w:t xml:space="preserve">All 20 buffaloes enrolled in the study completed the treatment protocol and were included in the final statistical analysis. No animals were excluded after randomization. Baseline cervical dilation scores at 0 hour were comparable between the Control and Thermal Intervention groups (P &gt; 0.05), confirming homogeneity at </w:t>
      </w:r>
      <w:r w:rsidR="00B63DBE" w:rsidRPr="00377E6E">
        <w:rPr>
          <w:szCs w:val="24"/>
        </w:rPr>
        <w:t>enrolment</w:t>
      </w:r>
      <w:r w:rsidRPr="00377E6E">
        <w:rPr>
          <w:szCs w:val="24"/>
        </w:rPr>
        <w:t>.</w:t>
      </w:r>
    </w:p>
    <w:p w14:paraId="7CA16873" w14:textId="77777777" w:rsidR="00EB7627" w:rsidRPr="00377E6E" w:rsidRDefault="00EB7627" w:rsidP="00EB7627">
      <w:pPr>
        <w:spacing w:after="0"/>
        <w:jc w:val="both"/>
        <w:rPr>
          <w:b/>
          <w:bCs/>
          <w:szCs w:val="24"/>
        </w:rPr>
      </w:pPr>
      <w:r w:rsidRPr="00377E6E">
        <w:rPr>
          <w:b/>
          <w:bCs/>
          <w:szCs w:val="24"/>
        </w:rPr>
        <w:t>Time to Complete Cervical Dilation</w:t>
      </w:r>
    </w:p>
    <w:p w14:paraId="0131E6B2" w14:textId="5A1C0E81" w:rsidR="00217163" w:rsidRPr="00377E6E" w:rsidRDefault="00217163" w:rsidP="00217163">
      <w:pPr>
        <w:spacing w:after="0"/>
        <w:ind w:firstLine="720"/>
        <w:jc w:val="both"/>
        <w:rPr>
          <w:szCs w:val="24"/>
        </w:rPr>
      </w:pPr>
      <w:r w:rsidRPr="00377E6E">
        <w:rPr>
          <w:szCs w:val="24"/>
        </w:rPr>
        <w:t xml:space="preserve">Buffaloes in the Control group required a longer duration to achieve complete cervical dilation, with a mean time of 29.4 ± 1.7 hours. In contrast, animals receiving the standardized cervical thermal application achieved complete dilation in 19.2 ± 1.3 hours. The reduction in time to complete dilation was statistically significant </w:t>
      </w:r>
      <w:bookmarkStart w:id="0" w:name="OLE_LINK3"/>
      <w:r w:rsidRPr="00377E6E">
        <w:rPr>
          <w:szCs w:val="24"/>
        </w:rPr>
        <w:t xml:space="preserve">(P &lt; 0.01). </w:t>
      </w:r>
      <w:bookmarkEnd w:id="0"/>
      <w:r w:rsidRPr="00377E6E">
        <w:rPr>
          <w:szCs w:val="24"/>
        </w:rPr>
        <w:t xml:space="preserve">The observed difference corresponds to an approximate 34–35% decrease in dilation duration in the Thermal Intervention group compared with the Control group. The distribution of individual values showed consistently lower dilation times in the Thermal Intervention group, with minimal overlap between groups. The comparative mean values with standard error are illustrated in (Fig. </w:t>
      </w:r>
      <w:r w:rsidR="00F26E3C" w:rsidRPr="00377E6E">
        <w:rPr>
          <w:szCs w:val="24"/>
        </w:rPr>
        <w:t>3</w:t>
      </w:r>
      <w:r w:rsidRPr="00377E6E">
        <w:rPr>
          <w:szCs w:val="24"/>
        </w:rPr>
        <w:t xml:space="preserve">). </w:t>
      </w:r>
    </w:p>
    <w:p w14:paraId="12BB20AD" w14:textId="011489DC" w:rsidR="00956305" w:rsidRPr="00377E6E" w:rsidRDefault="00EE50DE" w:rsidP="00956305">
      <w:pPr>
        <w:spacing w:after="0"/>
        <w:jc w:val="center"/>
        <w:rPr>
          <w:szCs w:val="24"/>
        </w:rPr>
      </w:pPr>
      <w:r w:rsidRPr="00377E6E">
        <w:rPr>
          <w:noProof/>
          <w:szCs w:val="24"/>
        </w:rPr>
        <w:lastRenderedPageBreak/>
        <w:drawing>
          <wp:inline distT="0" distB="0" distL="0" distR="0" wp14:anchorId="0BF979B1" wp14:editId="7E8C442A">
            <wp:extent cx="5731510" cy="4146698"/>
            <wp:effectExtent l="0" t="0" r="0" b="0"/>
            <wp:docPr id="3" name="Picture 2">
              <a:extLst xmlns:a="http://schemas.openxmlformats.org/drawingml/2006/main">
                <a:ext uri="{FF2B5EF4-FFF2-40B4-BE49-F238E27FC236}">
                  <a16:creationId xmlns:a16="http://schemas.microsoft.com/office/drawing/2014/main" id="{CFD9071C-AF49-2365-8873-727C46817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FD9071C-AF49-2365-8873-727C46817461}"/>
                        </a:ext>
                      </a:extLst>
                    </pic:cNvPr>
                    <pic:cNvPicPr>
                      <a:picLocks noChangeAspect="1"/>
                    </pic:cNvPicPr>
                  </pic:nvPicPr>
                  <pic:blipFill>
                    <a:blip r:embed="rId9"/>
                    <a:stretch>
                      <a:fillRect/>
                    </a:stretch>
                  </pic:blipFill>
                  <pic:spPr>
                    <a:xfrm>
                      <a:off x="0" y="0"/>
                      <a:ext cx="5732471" cy="4147393"/>
                    </a:xfrm>
                    <a:prstGeom prst="rect">
                      <a:avLst/>
                    </a:prstGeom>
                  </pic:spPr>
                </pic:pic>
              </a:graphicData>
            </a:graphic>
          </wp:inline>
        </w:drawing>
      </w:r>
    </w:p>
    <w:p w14:paraId="129C6053" w14:textId="091732C7" w:rsidR="007C3FC1" w:rsidRPr="00377E6E" w:rsidRDefault="007C3FC1" w:rsidP="00EB7627">
      <w:pPr>
        <w:spacing w:after="0"/>
        <w:jc w:val="both"/>
        <w:rPr>
          <w:szCs w:val="24"/>
        </w:rPr>
      </w:pPr>
      <w:r w:rsidRPr="00377E6E">
        <w:rPr>
          <w:b/>
          <w:bCs/>
          <w:szCs w:val="24"/>
        </w:rPr>
        <w:t xml:space="preserve">Fig. </w:t>
      </w:r>
      <w:r w:rsidR="00F26E3C" w:rsidRPr="00377E6E">
        <w:rPr>
          <w:b/>
          <w:bCs/>
          <w:szCs w:val="24"/>
        </w:rPr>
        <w:t>3</w:t>
      </w:r>
      <w:r w:rsidRPr="00377E6E">
        <w:rPr>
          <w:b/>
          <w:bCs/>
          <w:szCs w:val="24"/>
        </w:rPr>
        <w:t>.</w:t>
      </w:r>
      <w:r w:rsidRPr="00377E6E">
        <w:rPr>
          <w:szCs w:val="24"/>
        </w:rPr>
        <w:t xml:space="preserve"> Comparison of time (hours) required to achieve complete cervical dilation in Control and Thermal Intervention groups. Adjunct standardized cervical thermal application significantly reduced the duration to complete dilation compared to conventional therapy alone. Bars represent mean ± SEM (n = 10 per group), with individual animal values shown. Statistical significance was observed at P &lt; 0.01.</w:t>
      </w:r>
    </w:p>
    <w:p w14:paraId="6E86AD4F" w14:textId="52AB59AF" w:rsidR="00EB7627" w:rsidRPr="00377E6E" w:rsidRDefault="00EB7627" w:rsidP="00EB7627">
      <w:pPr>
        <w:spacing w:after="0"/>
        <w:jc w:val="both"/>
        <w:rPr>
          <w:b/>
          <w:bCs/>
          <w:szCs w:val="24"/>
        </w:rPr>
      </w:pPr>
      <w:r w:rsidRPr="00377E6E">
        <w:rPr>
          <w:b/>
          <w:bCs/>
          <w:szCs w:val="24"/>
        </w:rPr>
        <w:t>Cervical Dilation Score Progression</w:t>
      </w:r>
    </w:p>
    <w:p w14:paraId="61F3EFD7" w14:textId="1C99895F" w:rsidR="00EB7627" w:rsidRPr="00377E6E" w:rsidRDefault="00EB7627" w:rsidP="00B63DBE">
      <w:pPr>
        <w:spacing w:after="0"/>
        <w:ind w:firstLine="720"/>
        <w:jc w:val="both"/>
        <w:rPr>
          <w:szCs w:val="24"/>
        </w:rPr>
      </w:pPr>
      <w:r w:rsidRPr="00377E6E">
        <w:rPr>
          <w:szCs w:val="24"/>
        </w:rPr>
        <w:t>Cervical dilation progressed in both groups following initiation of therapy; however, the rate of progression was significantly greater in the Thermal Intervention group. At 2 hours post-treatment, the mean cervical dilation score in the Control group was 2.1 ± 0.18, while the Thermal Intervention group exhibited a significantly higher score of 3.4 ± 0.22 (P &lt; 0.05).</w:t>
      </w:r>
      <w:r w:rsidR="00B63DBE" w:rsidRPr="00377E6E">
        <w:rPr>
          <w:szCs w:val="24"/>
        </w:rPr>
        <w:t xml:space="preserve"> </w:t>
      </w:r>
      <w:r w:rsidRPr="00377E6E">
        <w:rPr>
          <w:szCs w:val="24"/>
        </w:rPr>
        <w:t xml:space="preserve">At 4 hours, cervical dilation scores further increased to 3.0 ± 0.21 in the Control group and 4.6 ± 0.19 in the Thermal Intervention group, with the difference remaining statistically significant (P &lt; 0.05). These findings indicate accelerated cervical opening in animals receiving adjunct thermal therapy. Detailed comparison of dilation scores and other clinical parameters is presented in (Table </w:t>
      </w:r>
      <w:r w:rsidR="00CE11CF" w:rsidRPr="00377E6E">
        <w:rPr>
          <w:szCs w:val="24"/>
        </w:rPr>
        <w:t>2</w:t>
      </w:r>
      <w:r w:rsidRPr="00377E6E">
        <w:rPr>
          <w:szCs w:val="24"/>
        </w:rPr>
        <w:t>).</w:t>
      </w:r>
    </w:p>
    <w:p w14:paraId="10ED5137" w14:textId="0663907E" w:rsidR="00CE11CF" w:rsidRPr="00377E6E" w:rsidRDefault="00CE11CF" w:rsidP="00CE11CF">
      <w:pPr>
        <w:spacing w:after="0"/>
        <w:jc w:val="both"/>
        <w:rPr>
          <w:szCs w:val="24"/>
        </w:rPr>
      </w:pPr>
      <w:r w:rsidRPr="00377E6E">
        <w:rPr>
          <w:b/>
          <w:bCs/>
          <w:szCs w:val="24"/>
        </w:rPr>
        <w:t>Table 2.</w:t>
      </w:r>
      <w:r w:rsidRPr="00377E6E">
        <w:rPr>
          <w:szCs w:val="24"/>
        </w:rPr>
        <w:t xml:space="preserve"> Comparison of Cervical Dilation Progression and Obstetrical Outcomes Between Control and Thermal Intervention Groups</w:t>
      </w:r>
    </w:p>
    <w:tbl>
      <w:tblPr>
        <w:tblStyle w:val="TableGrid"/>
        <w:tblW w:w="0" w:type="auto"/>
        <w:tblLook w:val="04A0" w:firstRow="1" w:lastRow="0" w:firstColumn="1" w:lastColumn="0" w:noHBand="0" w:noVBand="1"/>
      </w:tblPr>
      <w:tblGrid>
        <w:gridCol w:w="3505"/>
        <w:gridCol w:w="1710"/>
        <w:gridCol w:w="2430"/>
        <w:gridCol w:w="1371"/>
      </w:tblGrid>
      <w:tr w:rsidR="00CE11CF" w:rsidRPr="00377E6E" w14:paraId="675E15C5" w14:textId="77777777" w:rsidTr="00241B9E">
        <w:tc>
          <w:tcPr>
            <w:tcW w:w="3505" w:type="dxa"/>
            <w:hideMark/>
          </w:tcPr>
          <w:p w14:paraId="69767A38" w14:textId="77777777" w:rsidR="00CE11CF" w:rsidRPr="00377E6E" w:rsidRDefault="00CE11CF" w:rsidP="00CE11CF">
            <w:pPr>
              <w:spacing w:line="259" w:lineRule="auto"/>
              <w:jc w:val="both"/>
              <w:rPr>
                <w:szCs w:val="24"/>
              </w:rPr>
            </w:pPr>
            <w:r w:rsidRPr="00377E6E">
              <w:rPr>
                <w:szCs w:val="24"/>
              </w:rPr>
              <w:t>Parameter</w:t>
            </w:r>
          </w:p>
        </w:tc>
        <w:tc>
          <w:tcPr>
            <w:tcW w:w="1710" w:type="dxa"/>
            <w:hideMark/>
          </w:tcPr>
          <w:p w14:paraId="3452307C" w14:textId="77777777" w:rsidR="00CE11CF" w:rsidRPr="00377E6E" w:rsidRDefault="00CE11CF" w:rsidP="00CE11CF">
            <w:pPr>
              <w:spacing w:line="259" w:lineRule="auto"/>
              <w:jc w:val="center"/>
              <w:rPr>
                <w:szCs w:val="24"/>
              </w:rPr>
            </w:pPr>
            <w:r w:rsidRPr="00377E6E">
              <w:rPr>
                <w:szCs w:val="24"/>
              </w:rPr>
              <w:t xml:space="preserve">Control Group </w:t>
            </w:r>
          </w:p>
          <w:p w14:paraId="013BB5CD" w14:textId="573C0329" w:rsidR="00CE11CF" w:rsidRPr="00377E6E" w:rsidRDefault="00CE11CF" w:rsidP="00CE11CF">
            <w:pPr>
              <w:spacing w:line="259" w:lineRule="auto"/>
              <w:jc w:val="center"/>
              <w:rPr>
                <w:szCs w:val="24"/>
              </w:rPr>
            </w:pPr>
            <w:r w:rsidRPr="00377E6E">
              <w:rPr>
                <w:szCs w:val="24"/>
              </w:rPr>
              <w:t>(n = 10)</w:t>
            </w:r>
          </w:p>
        </w:tc>
        <w:tc>
          <w:tcPr>
            <w:tcW w:w="2430" w:type="dxa"/>
            <w:hideMark/>
          </w:tcPr>
          <w:p w14:paraId="6ABA2BD2" w14:textId="77777777" w:rsidR="00CE11CF" w:rsidRPr="00377E6E" w:rsidRDefault="00CE11CF" w:rsidP="00CE11CF">
            <w:pPr>
              <w:spacing w:line="259" w:lineRule="auto"/>
              <w:jc w:val="center"/>
              <w:rPr>
                <w:szCs w:val="24"/>
              </w:rPr>
            </w:pPr>
            <w:r w:rsidRPr="00377E6E">
              <w:rPr>
                <w:szCs w:val="24"/>
              </w:rPr>
              <w:t>Thermal Intervention Group (n = 10)</w:t>
            </w:r>
          </w:p>
        </w:tc>
        <w:tc>
          <w:tcPr>
            <w:tcW w:w="1371" w:type="dxa"/>
            <w:hideMark/>
          </w:tcPr>
          <w:p w14:paraId="033019E5" w14:textId="77777777" w:rsidR="00CE11CF" w:rsidRPr="00377E6E" w:rsidRDefault="00CE11CF" w:rsidP="00CE11CF">
            <w:pPr>
              <w:spacing w:line="259" w:lineRule="auto"/>
              <w:jc w:val="center"/>
              <w:rPr>
                <w:szCs w:val="24"/>
              </w:rPr>
            </w:pPr>
            <w:r w:rsidRPr="00377E6E">
              <w:rPr>
                <w:szCs w:val="24"/>
              </w:rPr>
              <w:t>P-value</w:t>
            </w:r>
          </w:p>
        </w:tc>
      </w:tr>
      <w:tr w:rsidR="00CE11CF" w:rsidRPr="00377E6E" w14:paraId="474BE36D" w14:textId="77777777" w:rsidTr="00241B9E">
        <w:tc>
          <w:tcPr>
            <w:tcW w:w="3505" w:type="dxa"/>
            <w:hideMark/>
          </w:tcPr>
          <w:p w14:paraId="1F760D86" w14:textId="77777777" w:rsidR="00CE11CF" w:rsidRPr="00377E6E" w:rsidRDefault="00CE11CF" w:rsidP="00CE11CF">
            <w:pPr>
              <w:spacing w:line="259" w:lineRule="auto"/>
              <w:jc w:val="both"/>
              <w:rPr>
                <w:szCs w:val="24"/>
              </w:rPr>
            </w:pPr>
            <w:r w:rsidRPr="00377E6E">
              <w:rPr>
                <w:szCs w:val="24"/>
              </w:rPr>
              <w:t>Time to complete dilation (hours)</w:t>
            </w:r>
          </w:p>
        </w:tc>
        <w:tc>
          <w:tcPr>
            <w:tcW w:w="1710" w:type="dxa"/>
            <w:hideMark/>
          </w:tcPr>
          <w:p w14:paraId="0EF187D4" w14:textId="77777777" w:rsidR="00CE11CF" w:rsidRPr="00377E6E" w:rsidRDefault="00CE11CF" w:rsidP="00CE11CF">
            <w:pPr>
              <w:spacing w:line="259" w:lineRule="auto"/>
              <w:jc w:val="center"/>
              <w:rPr>
                <w:szCs w:val="24"/>
              </w:rPr>
            </w:pPr>
            <w:r w:rsidRPr="00377E6E">
              <w:rPr>
                <w:szCs w:val="24"/>
              </w:rPr>
              <w:t>29.4 ± 1.7</w:t>
            </w:r>
          </w:p>
        </w:tc>
        <w:tc>
          <w:tcPr>
            <w:tcW w:w="2430" w:type="dxa"/>
            <w:hideMark/>
          </w:tcPr>
          <w:p w14:paraId="62F481B1" w14:textId="77777777" w:rsidR="00CE11CF" w:rsidRPr="00377E6E" w:rsidRDefault="00CE11CF" w:rsidP="00CE11CF">
            <w:pPr>
              <w:spacing w:line="259" w:lineRule="auto"/>
              <w:jc w:val="center"/>
              <w:rPr>
                <w:szCs w:val="24"/>
              </w:rPr>
            </w:pPr>
            <w:r w:rsidRPr="00377E6E">
              <w:rPr>
                <w:szCs w:val="24"/>
              </w:rPr>
              <w:t>19.2 ± 1.3</w:t>
            </w:r>
          </w:p>
        </w:tc>
        <w:tc>
          <w:tcPr>
            <w:tcW w:w="1371" w:type="dxa"/>
            <w:hideMark/>
          </w:tcPr>
          <w:p w14:paraId="59204D8C" w14:textId="77777777" w:rsidR="00CE11CF" w:rsidRPr="00377E6E" w:rsidRDefault="00CE11CF" w:rsidP="00CE11CF">
            <w:pPr>
              <w:spacing w:line="259" w:lineRule="auto"/>
              <w:jc w:val="center"/>
              <w:rPr>
                <w:szCs w:val="24"/>
              </w:rPr>
            </w:pPr>
            <w:r w:rsidRPr="00377E6E">
              <w:rPr>
                <w:szCs w:val="24"/>
              </w:rPr>
              <w:t>&lt;0.01</w:t>
            </w:r>
          </w:p>
        </w:tc>
      </w:tr>
      <w:tr w:rsidR="00CE11CF" w:rsidRPr="00377E6E" w14:paraId="501AA296" w14:textId="77777777" w:rsidTr="00241B9E">
        <w:tc>
          <w:tcPr>
            <w:tcW w:w="3505" w:type="dxa"/>
            <w:hideMark/>
          </w:tcPr>
          <w:p w14:paraId="4560B832" w14:textId="77777777" w:rsidR="00CE11CF" w:rsidRPr="00377E6E" w:rsidRDefault="00CE11CF" w:rsidP="00CE11CF">
            <w:pPr>
              <w:spacing w:line="259" w:lineRule="auto"/>
              <w:jc w:val="both"/>
              <w:rPr>
                <w:szCs w:val="24"/>
              </w:rPr>
            </w:pPr>
            <w:r w:rsidRPr="00377E6E">
              <w:rPr>
                <w:szCs w:val="24"/>
              </w:rPr>
              <w:t>Dilation score at 2 hours</w:t>
            </w:r>
          </w:p>
        </w:tc>
        <w:tc>
          <w:tcPr>
            <w:tcW w:w="1710" w:type="dxa"/>
            <w:hideMark/>
          </w:tcPr>
          <w:p w14:paraId="2A8729B6" w14:textId="77777777" w:rsidR="00CE11CF" w:rsidRPr="00377E6E" w:rsidRDefault="00CE11CF" w:rsidP="00CE11CF">
            <w:pPr>
              <w:spacing w:line="259" w:lineRule="auto"/>
              <w:jc w:val="center"/>
              <w:rPr>
                <w:szCs w:val="24"/>
              </w:rPr>
            </w:pPr>
            <w:r w:rsidRPr="00377E6E">
              <w:rPr>
                <w:szCs w:val="24"/>
              </w:rPr>
              <w:t>2.1 ± 0.18</w:t>
            </w:r>
          </w:p>
        </w:tc>
        <w:tc>
          <w:tcPr>
            <w:tcW w:w="2430" w:type="dxa"/>
            <w:hideMark/>
          </w:tcPr>
          <w:p w14:paraId="1E57F2E7" w14:textId="77777777" w:rsidR="00CE11CF" w:rsidRPr="00377E6E" w:rsidRDefault="00CE11CF" w:rsidP="00CE11CF">
            <w:pPr>
              <w:spacing w:line="259" w:lineRule="auto"/>
              <w:jc w:val="center"/>
              <w:rPr>
                <w:szCs w:val="24"/>
              </w:rPr>
            </w:pPr>
            <w:r w:rsidRPr="00377E6E">
              <w:rPr>
                <w:szCs w:val="24"/>
              </w:rPr>
              <w:t>3.4 ± 0.22</w:t>
            </w:r>
          </w:p>
        </w:tc>
        <w:tc>
          <w:tcPr>
            <w:tcW w:w="1371" w:type="dxa"/>
            <w:hideMark/>
          </w:tcPr>
          <w:p w14:paraId="2F0E3BD8" w14:textId="77777777" w:rsidR="00CE11CF" w:rsidRPr="00377E6E" w:rsidRDefault="00CE11CF" w:rsidP="00CE11CF">
            <w:pPr>
              <w:spacing w:line="259" w:lineRule="auto"/>
              <w:jc w:val="center"/>
              <w:rPr>
                <w:szCs w:val="24"/>
              </w:rPr>
            </w:pPr>
            <w:r w:rsidRPr="00377E6E">
              <w:rPr>
                <w:szCs w:val="24"/>
              </w:rPr>
              <w:t>&lt;0.05</w:t>
            </w:r>
          </w:p>
        </w:tc>
      </w:tr>
      <w:tr w:rsidR="00CE11CF" w:rsidRPr="00377E6E" w14:paraId="0E6E660A" w14:textId="77777777" w:rsidTr="00241B9E">
        <w:tc>
          <w:tcPr>
            <w:tcW w:w="3505" w:type="dxa"/>
            <w:hideMark/>
          </w:tcPr>
          <w:p w14:paraId="28DC3B85" w14:textId="77777777" w:rsidR="00CE11CF" w:rsidRPr="00377E6E" w:rsidRDefault="00CE11CF" w:rsidP="00CE11CF">
            <w:pPr>
              <w:spacing w:line="259" w:lineRule="auto"/>
              <w:jc w:val="both"/>
              <w:rPr>
                <w:szCs w:val="24"/>
              </w:rPr>
            </w:pPr>
            <w:r w:rsidRPr="00377E6E">
              <w:rPr>
                <w:szCs w:val="24"/>
              </w:rPr>
              <w:t>Dilation score at 4 hours</w:t>
            </w:r>
          </w:p>
        </w:tc>
        <w:tc>
          <w:tcPr>
            <w:tcW w:w="1710" w:type="dxa"/>
            <w:hideMark/>
          </w:tcPr>
          <w:p w14:paraId="23E42DCB" w14:textId="77777777" w:rsidR="00CE11CF" w:rsidRPr="00377E6E" w:rsidRDefault="00CE11CF" w:rsidP="00CE11CF">
            <w:pPr>
              <w:spacing w:line="259" w:lineRule="auto"/>
              <w:jc w:val="center"/>
              <w:rPr>
                <w:szCs w:val="24"/>
              </w:rPr>
            </w:pPr>
            <w:r w:rsidRPr="00377E6E">
              <w:rPr>
                <w:szCs w:val="24"/>
              </w:rPr>
              <w:t>3.0 ± 0.21</w:t>
            </w:r>
          </w:p>
        </w:tc>
        <w:tc>
          <w:tcPr>
            <w:tcW w:w="2430" w:type="dxa"/>
            <w:hideMark/>
          </w:tcPr>
          <w:p w14:paraId="03BD7B5F" w14:textId="77777777" w:rsidR="00CE11CF" w:rsidRPr="00377E6E" w:rsidRDefault="00CE11CF" w:rsidP="00CE11CF">
            <w:pPr>
              <w:spacing w:line="259" w:lineRule="auto"/>
              <w:jc w:val="center"/>
              <w:rPr>
                <w:szCs w:val="24"/>
              </w:rPr>
            </w:pPr>
            <w:r w:rsidRPr="00377E6E">
              <w:rPr>
                <w:szCs w:val="24"/>
              </w:rPr>
              <w:t>4.6 ± 0.19</w:t>
            </w:r>
          </w:p>
        </w:tc>
        <w:tc>
          <w:tcPr>
            <w:tcW w:w="1371" w:type="dxa"/>
            <w:hideMark/>
          </w:tcPr>
          <w:p w14:paraId="1732AEF3" w14:textId="77777777" w:rsidR="00CE11CF" w:rsidRPr="00377E6E" w:rsidRDefault="00CE11CF" w:rsidP="00CE11CF">
            <w:pPr>
              <w:spacing w:line="259" w:lineRule="auto"/>
              <w:jc w:val="center"/>
              <w:rPr>
                <w:szCs w:val="24"/>
              </w:rPr>
            </w:pPr>
            <w:r w:rsidRPr="00377E6E">
              <w:rPr>
                <w:szCs w:val="24"/>
              </w:rPr>
              <w:t>&lt;0.05</w:t>
            </w:r>
          </w:p>
        </w:tc>
      </w:tr>
      <w:tr w:rsidR="00CE11CF" w:rsidRPr="00377E6E" w14:paraId="2EA6FFDA" w14:textId="77777777" w:rsidTr="00241B9E">
        <w:tc>
          <w:tcPr>
            <w:tcW w:w="3505" w:type="dxa"/>
            <w:hideMark/>
          </w:tcPr>
          <w:p w14:paraId="3C4D453B" w14:textId="77777777" w:rsidR="00CE11CF" w:rsidRPr="00377E6E" w:rsidRDefault="00CE11CF" w:rsidP="00CE11CF">
            <w:pPr>
              <w:spacing w:line="259" w:lineRule="auto"/>
              <w:jc w:val="both"/>
              <w:rPr>
                <w:szCs w:val="24"/>
              </w:rPr>
            </w:pPr>
            <w:r w:rsidRPr="00377E6E">
              <w:rPr>
                <w:szCs w:val="24"/>
              </w:rPr>
              <w:t>Assisted delivery (no. of cases)</w:t>
            </w:r>
          </w:p>
        </w:tc>
        <w:tc>
          <w:tcPr>
            <w:tcW w:w="1710" w:type="dxa"/>
            <w:hideMark/>
          </w:tcPr>
          <w:p w14:paraId="7B65B9BA" w14:textId="77777777" w:rsidR="00CE11CF" w:rsidRPr="00377E6E" w:rsidRDefault="00CE11CF" w:rsidP="00CE11CF">
            <w:pPr>
              <w:spacing w:line="259" w:lineRule="auto"/>
              <w:jc w:val="center"/>
              <w:rPr>
                <w:szCs w:val="24"/>
              </w:rPr>
            </w:pPr>
            <w:r w:rsidRPr="00377E6E">
              <w:rPr>
                <w:szCs w:val="24"/>
              </w:rPr>
              <w:t>4/10</w:t>
            </w:r>
          </w:p>
        </w:tc>
        <w:tc>
          <w:tcPr>
            <w:tcW w:w="2430" w:type="dxa"/>
            <w:hideMark/>
          </w:tcPr>
          <w:p w14:paraId="089317D9" w14:textId="77777777" w:rsidR="00CE11CF" w:rsidRPr="00377E6E" w:rsidRDefault="00CE11CF" w:rsidP="00CE11CF">
            <w:pPr>
              <w:spacing w:line="259" w:lineRule="auto"/>
              <w:jc w:val="center"/>
              <w:rPr>
                <w:szCs w:val="24"/>
              </w:rPr>
            </w:pPr>
            <w:r w:rsidRPr="00377E6E">
              <w:rPr>
                <w:szCs w:val="24"/>
              </w:rPr>
              <w:t>1/10</w:t>
            </w:r>
          </w:p>
        </w:tc>
        <w:tc>
          <w:tcPr>
            <w:tcW w:w="1371" w:type="dxa"/>
            <w:hideMark/>
          </w:tcPr>
          <w:p w14:paraId="0E069C4D" w14:textId="4B37C1F7" w:rsidR="00CE11CF" w:rsidRPr="00377E6E" w:rsidRDefault="00CE11CF" w:rsidP="00CE11CF">
            <w:pPr>
              <w:spacing w:line="259" w:lineRule="auto"/>
              <w:jc w:val="center"/>
              <w:rPr>
                <w:szCs w:val="24"/>
              </w:rPr>
            </w:pPr>
            <w:r w:rsidRPr="00377E6E">
              <w:rPr>
                <w:szCs w:val="24"/>
              </w:rPr>
              <w:t>-</w:t>
            </w:r>
          </w:p>
        </w:tc>
      </w:tr>
      <w:tr w:rsidR="00CE11CF" w:rsidRPr="00377E6E" w14:paraId="0FECAD80" w14:textId="77777777" w:rsidTr="00241B9E">
        <w:tc>
          <w:tcPr>
            <w:tcW w:w="3505" w:type="dxa"/>
            <w:hideMark/>
          </w:tcPr>
          <w:p w14:paraId="57B22BC8" w14:textId="77777777" w:rsidR="00CE11CF" w:rsidRPr="00377E6E" w:rsidRDefault="00CE11CF" w:rsidP="00CE11CF">
            <w:pPr>
              <w:spacing w:line="259" w:lineRule="auto"/>
              <w:jc w:val="both"/>
              <w:rPr>
                <w:szCs w:val="24"/>
              </w:rPr>
            </w:pPr>
            <w:r w:rsidRPr="00377E6E">
              <w:rPr>
                <w:szCs w:val="24"/>
              </w:rPr>
              <w:t>Live calf delivery (no. of cases)</w:t>
            </w:r>
          </w:p>
        </w:tc>
        <w:tc>
          <w:tcPr>
            <w:tcW w:w="1710" w:type="dxa"/>
            <w:hideMark/>
          </w:tcPr>
          <w:p w14:paraId="69466C79" w14:textId="77777777" w:rsidR="00CE11CF" w:rsidRPr="00377E6E" w:rsidRDefault="00CE11CF" w:rsidP="00CE11CF">
            <w:pPr>
              <w:spacing w:line="259" w:lineRule="auto"/>
              <w:jc w:val="center"/>
              <w:rPr>
                <w:szCs w:val="24"/>
              </w:rPr>
            </w:pPr>
            <w:r w:rsidRPr="00377E6E">
              <w:rPr>
                <w:szCs w:val="24"/>
              </w:rPr>
              <w:t>7/10</w:t>
            </w:r>
          </w:p>
        </w:tc>
        <w:tc>
          <w:tcPr>
            <w:tcW w:w="2430" w:type="dxa"/>
            <w:hideMark/>
          </w:tcPr>
          <w:p w14:paraId="4DBC4F79" w14:textId="77777777" w:rsidR="00CE11CF" w:rsidRPr="00377E6E" w:rsidRDefault="00CE11CF" w:rsidP="00CE11CF">
            <w:pPr>
              <w:spacing w:line="259" w:lineRule="auto"/>
              <w:jc w:val="center"/>
              <w:rPr>
                <w:szCs w:val="24"/>
              </w:rPr>
            </w:pPr>
            <w:r w:rsidRPr="00377E6E">
              <w:rPr>
                <w:szCs w:val="24"/>
              </w:rPr>
              <w:t>9/10</w:t>
            </w:r>
          </w:p>
        </w:tc>
        <w:tc>
          <w:tcPr>
            <w:tcW w:w="1371" w:type="dxa"/>
            <w:hideMark/>
          </w:tcPr>
          <w:p w14:paraId="4C41B5EA" w14:textId="3938E87E" w:rsidR="00CE11CF" w:rsidRPr="00377E6E" w:rsidRDefault="00CE11CF" w:rsidP="00CE11CF">
            <w:pPr>
              <w:spacing w:line="259" w:lineRule="auto"/>
              <w:jc w:val="center"/>
              <w:rPr>
                <w:szCs w:val="24"/>
              </w:rPr>
            </w:pPr>
            <w:r w:rsidRPr="00377E6E">
              <w:rPr>
                <w:szCs w:val="24"/>
              </w:rPr>
              <w:t>-</w:t>
            </w:r>
          </w:p>
        </w:tc>
      </w:tr>
      <w:tr w:rsidR="00CE11CF" w:rsidRPr="00377E6E" w14:paraId="08F7E896" w14:textId="77777777" w:rsidTr="00241B9E">
        <w:tc>
          <w:tcPr>
            <w:tcW w:w="3505" w:type="dxa"/>
            <w:hideMark/>
          </w:tcPr>
          <w:p w14:paraId="05C8B2AA" w14:textId="77777777" w:rsidR="00CE11CF" w:rsidRPr="00377E6E" w:rsidRDefault="00CE11CF" w:rsidP="00CE11CF">
            <w:pPr>
              <w:spacing w:line="259" w:lineRule="auto"/>
              <w:jc w:val="both"/>
              <w:rPr>
                <w:szCs w:val="24"/>
              </w:rPr>
            </w:pPr>
            <w:r w:rsidRPr="00377E6E">
              <w:rPr>
                <w:szCs w:val="24"/>
              </w:rPr>
              <w:lastRenderedPageBreak/>
              <w:t>Retained fetal membranes (no. of cases)</w:t>
            </w:r>
          </w:p>
        </w:tc>
        <w:tc>
          <w:tcPr>
            <w:tcW w:w="1710" w:type="dxa"/>
            <w:hideMark/>
          </w:tcPr>
          <w:p w14:paraId="7F7AC8D8" w14:textId="77777777" w:rsidR="00CE11CF" w:rsidRPr="00377E6E" w:rsidRDefault="00CE11CF" w:rsidP="00CE11CF">
            <w:pPr>
              <w:spacing w:line="259" w:lineRule="auto"/>
              <w:jc w:val="center"/>
              <w:rPr>
                <w:szCs w:val="24"/>
              </w:rPr>
            </w:pPr>
            <w:r w:rsidRPr="00377E6E">
              <w:rPr>
                <w:szCs w:val="24"/>
              </w:rPr>
              <w:t>2/10</w:t>
            </w:r>
          </w:p>
        </w:tc>
        <w:tc>
          <w:tcPr>
            <w:tcW w:w="2430" w:type="dxa"/>
            <w:hideMark/>
          </w:tcPr>
          <w:p w14:paraId="2478034D" w14:textId="77777777" w:rsidR="00CE11CF" w:rsidRPr="00377E6E" w:rsidRDefault="00CE11CF" w:rsidP="00CE11CF">
            <w:pPr>
              <w:spacing w:line="259" w:lineRule="auto"/>
              <w:jc w:val="center"/>
              <w:rPr>
                <w:szCs w:val="24"/>
              </w:rPr>
            </w:pPr>
            <w:r w:rsidRPr="00377E6E">
              <w:rPr>
                <w:szCs w:val="24"/>
              </w:rPr>
              <w:t>1/10</w:t>
            </w:r>
          </w:p>
        </w:tc>
        <w:tc>
          <w:tcPr>
            <w:tcW w:w="1371" w:type="dxa"/>
            <w:hideMark/>
          </w:tcPr>
          <w:p w14:paraId="2B236C21" w14:textId="028FEB11" w:rsidR="00CE11CF" w:rsidRPr="00377E6E" w:rsidRDefault="00CE11CF" w:rsidP="00CE11CF">
            <w:pPr>
              <w:spacing w:line="259" w:lineRule="auto"/>
              <w:jc w:val="center"/>
              <w:rPr>
                <w:szCs w:val="24"/>
              </w:rPr>
            </w:pPr>
            <w:r w:rsidRPr="00377E6E">
              <w:rPr>
                <w:szCs w:val="24"/>
              </w:rPr>
              <w:t>-</w:t>
            </w:r>
          </w:p>
        </w:tc>
      </w:tr>
    </w:tbl>
    <w:p w14:paraId="6644F2A8" w14:textId="77777777" w:rsidR="00EB7627" w:rsidRPr="00377E6E" w:rsidRDefault="00EB7627" w:rsidP="00EB7627">
      <w:pPr>
        <w:spacing w:after="0"/>
        <w:jc w:val="both"/>
        <w:rPr>
          <w:b/>
          <w:bCs/>
          <w:szCs w:val="24"/>
        </w:rPr>
      </w:pPr>
      <w:r w:rsidRPr="00377E6E">
        <w:rPr>
          <w:b/>
          <w:bCs/>
          <w:szCs w:val="24"/>
        </w:rPr>
        <w:t>Obstetrical and Neonatal Outcomes</w:t>
      </w:r>
    </w:p>
    <w:p w14:paraId="5AEA8ACB" w14:textId="7A85CFCD" w:rsidR="00EB7627" w:rsidRPr="00377E6E" w:rsidRDefault="00EB7627" w:rsidP="00EB7627">
      <w:pPr>
        <w:spacing w:after="0"/>
        <w:ind w:firstLine="720"/>
        <w:jc w:val="both"/>
        <w:rPr>
          <w:szCs w:val="24"/>
        </w:rPr>
      </w:pPr>
      <w:r w:rsidRPr="00377E6E">
        <w:rPr>
          <w:szCs w:val="24"/>
        </w:rPr>
        <w:t xml:space="preserve">The requirement for assisted delivery was greater in the Control group, where 4 out of 10 animals required obstetrical traction, compared to only 1 out of 10 animals in the Thermal Intervention group. Live calf delivery occurred in 7 out of 10 animals in the Control group and 9 out of 10 animals in the Thermal Intervention group. Retained fetal membranes were recorded in 2 animals in the Control group and 1 animal in the Thermal Intervention group. No evidence of thermal injury, cervical laceration, or procedure-related adverse effects was observed in animals subjected to the standardized cervical thermal application. A comprehensive summary of time to dilation, cervical score progression, assisted delivery, fetal viability, and postpartum complications is presented in (Table </w:t>
      </w:r>
      <w:r w:rsidR="00CE11CF" w:rsidRPr="00377E6E">
        <w:rPr>
          <w:szCs w:val="24"/>
        </w:rPr>
        <w:t>2</w:t>
      </w:r>
      <w:r w:rsidRPr="00377E6E">
        <w:rPr>
          <w:szCs w:val="24"/>
        </w:rPr>
        <w:t>).</w:t>
      </w:r>
    </w:p>
    <w:p w14:paraId="7F6F0945" w14:textId="77777777" w:rsidR="00C70D18" w:rsidRPr="00377E6E" w:rsidRDefault="00C70D18" w:rsidP="00873AC9">
      <w:pPr>
        <w:spacing w:after="0"/>
        <w:jc w:val="center"/>
        <w:rPr>
          <w:b/>
          <w:bCs/>
          <w:caps/>
          <w:szCs w:val="24"/>
        </w:rPr>
      </w:pPr>
      <w:r w:rsidRPr="00377E6E">
        <w:rPr>
          <w:b/>
          <w:bCs/>
          <w:caps/>
          <w:szCs w:val="24"/>
        </w:rPr>
        <w:t>Discussion</w:t>
      </w:r>
    </w:p>
    <w:p w14:paraId="0AA875EB" w14:textId="2D5871E4" w:rsidR="000A0F14" w:rsidRPr="00377E6E" w:rsidRDefault="000A0F14" w:rsidP="000A0F14">
      <w:pPr>
        <w:spacing w:after="0"/>
        <w:ind w:firstLine="720"/>
        <w:jc w:val="both"/>
        <w:rPr>
          <w:szCs w:val="24"/>
        </w:rPr>
      </w:pPr>
      <w:r w:rsidRPr="00377E6E">
        <w:rPr>
          <w:szCs w:val="24"/>
        </w:rPr>
        <w:t xml:space="preserve">Incomplete cervical dilation is a well-recognized maternal cause of dystocia in bovines, particularly in buffaloes where dense fibromuscular cervical tissue and slower </w:t>
      </w:r>
      <w:r w:rsidR="0094613E" w:rsidRPr="00377E6E">
        <w:rPr>
          <w:szCs w:val="24"/>
        </w:rPr>
        <w:t>remodelling</w:t>
      </w:r>
      <w:r w:rsidRPr="00377E6E">
        <w:rPr>
          <w:szCs w:val="24"/>
        </w:rPr>
        <w:t xml:space="preserve"> contribute to delayed parturition (Das et al., 2008; Purohit et al., 2011). Classical veterinary obstetrical texts have long emphasized that cervical relaxation is a hormonally mediated process involving coordinated endocrine signaling, vascular changes, and structural softening of connective tissue (Roberts, 1956; Noakes et al., 2018). Failure of these mechanisms results in prolonged labor and increased obstetrical intervention. In the present study, adjunct standardized cervical thermal application significantly reduced the time required to achieve complete dilation and enhanced early cervical dilation scores. The approximately 10-hour reduction in dilation time suggests that localized thermal modulation may enhance physiological cervical </w:t>
      </w:r>
      <w:r w:rsidR="0094613E" w:rsidRPr="00377E6E">
        <w:rPr>
          <w:szCs w:val="24"/>
        </w:rPr>
        <w:t>remodelling</w:t>
      </w:r>
      <w:r w:rsidRPr="00377E6E">
        <w:rPr>
          <w:szCs w:val="24"/>
        </w:rPr>
        <w:t xml:space="preserve"> beyond pharmacological stimulation alone.</w:t>
      </w:r>
    </w:p>
    <w:p w14:paraId="7BC08000" w14:textId="57BED8BA" w:rsidR="000A0F14" w:rsidRPr="00377E6E" w:rsidRDefault="000A0F14" w:rsidP="000A0F14">
      <w:pPr>
        <w:spacing w:after="0"/>
        <w:ind w:firstLine="720"/>
        <w:jc w:val="both"/>
        <w:rPr>
          <w:szCs w:val="24"/>
        </w:rPr>
      </w:pPr>
      <w:r w:rsidRPr="00377E6E">
        <w:rPr>
          <w:szCs w:val="24"/>
        </w:rPr>
        <w:t xml:space="preserve">Cervical ripening involves collagen </w:t>
      </w:r>
      <w:r w:rsidR="0094613E" w:rsidRPr="00377E6E">
        <w:rPr>
          <w:szCs w:val="24"/>
        </w:rPr>
        <w:t>fibre</w:t>
      </w:r>
      <w:r w:rsidRPr="00377E6E">
        <w:rPr>
          <w:szCs w:val="24"/>
        </w:rPr>
        <w:t xml:space="preserve"> disorganization, increased tissue hydration, leukocyte infiltration, and prostaglandin-mediated extracellular matrix </w:t>
      </w:r>
      <w:r w:rsidR="0094613E" w:rsidRPr="00377E6E">
        <w:rPr>
          <w:szCs w:val="24"/>
        </w:rPr>
        <w:t>remodelling</w:t>
      </w:r>
      <w:r w:rsidRPr="00377E6E">
        <w:rPr>
          <w:szCs w:val="24"/>
        </w:rPr>
        <w:t xml:space="preserve"> (Noakes et al., 2018). Pharmacological approaches such as prostaglandin analogues and corticosteroids are commonly used to facilitate this process (Al-Kass et al., 2011; Monica et al., 2018), yet response variability persists (Gahlot et al., 2017). Case reports of misoprostol-induced cervical softening in bovines and small ruminants support the role of prostaglandin-mediated cervical priming (Al-Kass et al., 2011; Ibrahim et al., 2012; Weeks et al., 2007), but controlled comparative data remain limited.</w:t>
      </w:r>
    </w:p>
    <w:p w14:paraId="236CB3EB" w14:textId="3804DD43" w:rsidR="000A0F14" w:rsidRPr="00377E6E" w:rsidRDefault="000A0F14" w:rsidP="000A0F14">
      <w:pPr>
        <w:spacing w:after="0"/>
        <w:ind w:firstLine="720"/>
        <w:jc w:val="both"/>
        <w:rPr>
          <w:szCs w:val="24"/>
        </w:rPr>
      </w:pPr>
      <w:r w:rsidRPr="00377E6E">
        <w:rPr>
          <w:szCs w:val="24"/>
        </w:rPr>
        <w:t xml:space="preserve">The physiological rationale for thermal intervention is grounded in vascular modulation. Localized heat enhances tissue perfusion, increases metabolic activity, and reduces collagen stiffness, thereby improving tissue extensibility. Oxytocin-induced prostaglandin E2 release from bovine cervical mucosa has been demonstrated (Fuchs et al., 2002), confirming active biochemical responsiveness of cervical tissue during parturition. Enhanced perfusion secondary to thermal application may therefore facilitate endogenous prostaglandin activity and collagen remodelling. Recent Doppler-based hemodynamic studies further support the importance of vascular dynamics in reproductive tissue function. Spectral Doppler assessment has demonstrated cyclic variations in uterine arterial blood flow corresponding to endocrine changes (Sahu et al., 2026a). Additionally, altered uterine vascular dynamics have been documented in pathological reproductive conditions, with improvement following clinical recovery (Sahu et al., 2026b). These findings reinforce the concept that uterine and cervical tissue function is closely linked to vascular perfusion. It is biologically plausible that localized </w:t>
      </w:r>
      <w:r w:rsidRPr="00377E6E">
        <w:rPr>
          <w:szCs w:val="24"/>
        </w:rPr>
        <w:lastRenderedPageBreak/>
        <w:t xml:space="preserve">thermal stimulation enhances cervical dilation through microvascular augmentation, thereby accelerating </w:t>
      </w:r>
      <w:r w:rsidR="0094613E" w:rsidRPr="00377E6E">
        <w:rPr>
          <w:szCs w:val="24"/>
        </w:rPr>
        <w:t>remodelling</w:t>
      </w:r>
      <w:r w:rsidRPr="00377E6E">
        <w:rPr>
          <w:szCs w:val="24"/>
        </w:rPr>
        <w:t xml:space="preserve"> processes.</w:t>
      </w:r>
    </w:p>
    <w:p w14:paraId="3AF1C6EF" w14:textId="65C2BBC1" w:rsidR="000A0F14" w:rsidRPr="00377E6E" w:rsidRDefault="000A0F14" w:rsidP="000A0F14">
      <w:pPr>
        <w:spacing w:after="0"/>
        <w:ind w:firstLine="720"/>
        <w:jc w:val="both"/>
        <w:rPr>
          <w:szCs w:val="24"/>
        </w:rPr>
      </w:pPr>
      <w:r w:rsidRPr="00377E6E">
        <w:rPr>
          <w:szCs w:val="24"/>
        </w:rPr>
        <w:t>Earlier reports have attributed incomplete cervical dilation to endocrine imbalance, cervical fibrosis, or inadequate biochemical priming (Das et al., 2008; Gahlot et al., 2017). In refractory cases, invasive procedures such as cervicotomy have been described (Raja et al., 2019). In contrast, the present findings suggest that a non-invasive, standardized thermal adjunct may reduce the need for aggressive interventions. The lower requirement for assisted delivery in the Thermal Intervention group supports improved cervical compliance without increased maternal trauma. Importantly, fetal viability and postpartum complication rates were not adversely affected by the intervention. Classical obstetrical literature warns that prolonged labor increases fetal hypoxia risk (Roberts, 1956; Noakes et al., 2018). Therefore, reduction in dilation time may confer secondary neonatal benefit, although larger studies would be required to confirm this effect statistically. While pharmacological cervical priming remains fundamental, adjunct non-pharmacological modulation may offer additive benefit, particularly in resource-limited or field settings. The present study contributes controlled clinical evidence to support this approach.</w:t>
      </w:r>
    </w:p>
    <w:p w14:paraId="375FF46E" w14:textId="213D7EAF" w:rsidR="000A0F14" w:rsidRPr="00377E6E" w:rsidRDefault="000A0F14" w:rsidP="000A0F14">
      <w:pPr>
        <w:spacing w:after="0"/>
        <w:ind w:firstLine="720"/>
        <w:jc w:val="both"/>
        <w:rPr>
          <w:szCs w:val="24"/>
        </w:rPr>
      </w:pPr>
      <w:r w:rsidRPr="00377E6E">
        <w:rPr>
          <w:szCs w:val="24"/>
        </w:rPr>
        <w:t>Several limitations warrant consideration. The sample size was relatively small (n = 20), limiting statistical power for secondary outcomes. Mechanistic parameters such as cervical collagen architecture, prostaglandin concentrations, or direct microvascular perfusion were not measured; thus, physiological inference remains indirect. Blinding was not feasible due to the nature of the intervention, introducing potential observational bias. Additionally, long-term postpartum reproductive performance and subsequent fertility were not evaluated. Multicentric trials incorporating objective biochemical and Doppler-based vascular assessments would strengthen the mechanistic understanding of thermal modulation in cervical remodelling.</w:t>
      </w:r>
    </w:p>
    <w:p w14:paraId="4129161F" w14:textId="77777777" w:rsidR="000A0F14" w:rsidRPr="00377E6E" w:rsidRDefault="000A0F14" w:rsidP="00134608">
      <w:pPr>
        <w:spacing w:after="0"/>
        <w:jc w:val="center"/>
        <w:rPr>
          <w:b/>
          <w:bCs/>
          <w:szCs w:val="24"/>
        </w:rPr>
      </w:pPr>
      <w:r w:rsidRPr="00377E6E">
        <w:rPr>
          <w:b/>
          <w:bCs/>
          <w:szCs w:val="24"/>
        </w:rPr>
        <w:t>CONCLUSION</w:t>
      </w:r>
    </w:p>
    <w:p w14:paraId="60428531" w14:textId="77777777" w:rsidR="000A0F14" w:rsidRPr="00377E6E" w:rsidRDefault="000A0F14" w:rsidP="00134608">
      <w:pPr>
        <w:spacing w:after="0"/>
        <w:ind w:firstLine="720"/>
        <w:jc w:val="both"/>
        <w:rPr>
          <w:szCs w:val="24"/>
        </w:rPr>
      </w:pPr>
      <w:r w:rsidRPr="00377E6E">
        <w:rPr>
          <w:szCs w:val="24"/>
        </w:rPr>
        <w:t>The present study demonstrates that the development of a standardized cervical thermal application technology, when used as an adjunct to conventional pharmacological therapy, significantly reduces the time required for complete cervical dilation in buffaloes affected with incomplete cervical dilation. Accelerated cervical dilation score progression and a reduced need for assisted delivery were observed without compromising fetal viability or maternal safety. These findings support the clinical feasibility, reproducibility, and practical relevance of this standardized thermal application technology as a non-invasive supportive intervention in buffalo obstetrics. While the underlying physiological mechanisms warrant further elucidation, the technology shows potential for integration into routine clinical management protocols. Larger-scale studies incorporating objective vascular and biochemical assessments are recommended to further validate and optimize this therapeutic approach.</w:t>
      </w:r>
    </w:p>
    <w:p w14:paraId="40A637EA" w14:textId="77777777" w:rsidR="000A0F14" w:rsidRPr="00377E6E" w:rsidRDefault="000A0F14" w:rsidP="00134608">
      <w:pPr>
        <w:spacing w:after="0"/>
        <w:jc w:val="both"/>
        <w:rPr>
          <w:szCs w:val="24"/>
        </w:rPr>
      </w:pPr>
    </w:p>
    <w:p w14:paraId="6C4D478B" w14:textId="4BF2E774" w:rsidR="00A42C95" w:rsidRPr="00377E6E" w:rsidRDefault="00A42C95" w:rsidP="00055880">
      <w:pPr>
        <w:spacing w:after="0"/>
        <w:jc w:val="center"/>
        <w:rPr>
          <w:b/>
          <w:bCs/>
          <w:caps/>
          <w:szCs w:val="24"/>
        </w:rPr>
      </w:pPr>
      <w:r w:rsidRPr="00377E6E">
        <w:rPr>
          <w:b/>
          <w:bCs/>
          <w:caps/>
          <w:szCs w:val="24"/>
        </w:rPr>
        <w:t>Statements and Declarations</w:t>
      </w:r>
    </w:p>
    <w:p w14:paraId="6B85644E" w14:textId="0939847D" w:rsidR="000A0F14" w:rsidRDefault="000A0F14" w:rsidP="000A0F14">
      <w:pPr>
        <w:spacing w:after="0"/>
        <w:ind w:firstLine="720"/>
        <w:jc w:val="both"/>
        <w:rPr>
          <w:szCs w:val="24"/>
        </w:rPr>
      </w:pPr>
    </w:p>
    <w:p w14:paraId="7E9C6B6D" w14:textId="77777777" w:rsidR="00016500" w:rsidRPr="00377E6E" w:rsidRDefault="00016500" w:rsidP="000A0F14">
      <w:pPr>
        <w:spacing w:after="0"/>
        <w:ind w:firstLine="720"/>
        <w:jc w:val="both"/>
        <w:rPr>
          <w:szCs w:val="24"/>
        </w:rPr>
      </w:pPr>
      <w:bookmarkStart w:id="1" w:name="_GoBack"/>
      <w:bookmarkEnd w:id="1"/>
    </w:p>
    <w:p w14:paraId="40BE9C42" w14:textId="77777777" w:rsidR="000A0F14" w:rsidRPr="00377E6E" w:rsidRDefault="000A0F14" w:rsidP="000A0F14">
      <w:pPr>
        <w:spacing w:after="0"/>
        <w:jc w:val="both"/>
        <w:rPr>
          <w:szCs w:val="24"/>
        </w:rPr>
      </w:pPr>
      <w:r w:rsidRPr="00377E6E">
        <w:rPr>
          <w:b/>
          <w:bCs/>
          <w:szCs w:val="24"/>
        </w:rPr>
        <w:t>Ethical Approval</w:t>
      </w:r>
    </w:p>
    <w:p w14:paraId="7765FE8A" w14:textId="14EF7094" w:rsidR="000A0F14" w:rsidRPr="00377E6E" w:rsidRDefault="000A0F14" w:rsidP="000A0F14">
      <w:pPr>
        <w:spacing w:after="0"/>
        <w:ind w:firstLine="720"/>
        <w:jc w:val="both"/>
        <w:rPr>
          <w:szCs w:val="24"/>
        </w:rPr>
      </w:pPr>
      <w:r w:rsidRPr="00377E6E">
        <w:rPr>
          <w:szCs w:val="24"/>
        </w:rPr>
        <w:t>All clinical procedures were conducted in accordance with institutional guidelines for animal care and use. The study involved clinical cases presented for treatment at the Referral Veterinary Polyclinic, ICAR–Indian Veterinary Research Institute, Izatnagar, Bareilly, and no experimental induction of disease was performed. Ethical approval was obtained from the Institutional Animal Ethics Committee (IAEC) prior to initiation of the study.</w:t>
      </w:r>
    </w:p>
    <w:p w14:paraId="7E4A8F9D" w14:textId="77777777" w:rsidR="000A0F14" w:rsidRPr="00377E6E" w:rsidRDefault="000A0F14" w:rsidP="000A0F14">
      <w:pPr>
        <w:spacing w:after="0"/>
        <w:jc w:val="both"/>
        <w:rPr>
          <w:szCs w:val="24"/>
        </w:rPr>
      </w:pPr>
      <w:r w:rsidRPr="00377E6E">
        <w:rPr>
          <w:b/>
          <w:bCs/>
          <w:szCs w:val="24"/>
        </w:rPr>
        <w:lastRenderedPageBreak/>
        <w:t>Informed Consent</w:t>
      </w:r>
    </w:p>
    <w:p w14:paraId="1EE2FE3A" w14:textId="42602A7B" w:rsidR="000A0F14" w:rsidRPr="00377E6E" w:rsidRDefault="000A0F14" w:rsidP="000A0F14">
      <w:pPr>
        <w:spacing w:after="0"/>
        <w:ind w:firstLine="720"/>
        <w:jc w:val="both"/>
        <w:rPr>
          <w:szCs w:val="24"/>
        </w:rPr>
      </w:pPr>
      <w:r w:rsidRPr="00377E6E">
        <w:rPr>
          <w:szCs w:val="24"/>
        </w:rPr>
        <w:t>Informed consent was obtained from the owners of all animals prior to inclusion in the study.</w:t>
      </w:r>
    </w:p>
    <w:p w14:paraId="5E97ADBF" w14:textId="77777777" w:rsidR="000A0F14" w:rsidRPr="00377E6E" w:rsidRDefault="000A0F14" w:rsidP="000A0F14">
      <w:pPr>
        <w:spacing w:after="0"/>
        <w:jc w:val="both"/>
        <w:rPr>
          <w:szCs w:val="24"/>
        </w:rPr>
      </w:pPr>
      <w:r w:rsidRPr="00377E6E">
        <w:rPr>
          <w:b/>
          <w:bCs/>
          <w:szCs w:val="24"/>
        </w:rPr>
        <w:t>Data Availability</w:t>
      </w:r>
    </w:p>
    <w:p w14:paraId="7AE55BD5" w14:textId="494E5ECD" w:rsidR="000A0F14" w:rsidRPr="00377E6E" w:rsidRDefault="000A0F14" w:rsidP="000A0F14">
      <w:pPr>
        <w:spacing w:after="0"/>
        <w:ind w:firstLine="720"/>
        <w:jc w:val="both"/>
        <w:rPr>
          <w:szCs w:val="24"/>
        </w:rPr>
      </w:pPr>
      <w:r w:rsidRPr="00377E6E">
        <w:rPr>
          <w:szCs w:val="24"/>
        </w:rPr>
        <w:t>The datasets generated and analyzed during the current study are available from the corresponding author upon reasonable request.</w:t>
      </w:r>
    </w:p>
    <w:p w14:paraId="510CF083" w14:textId="77777777" w:rsidR="00016500" w:rsidRDefault="00016500" w:rsidP="00E25C71">
      <w:pPr>
        <w:spacing w:after="0"/>
        <w:jc w:val="center"/>
        <w:rPr>
          <w:b/>
          <w:bCs/>
          <w:caps/>
          <w:szCs w:val="24"/>
        </w:rPr>
      </w:pPr>
    </w:p>
    <w:p w14:paraId="33FCDC37" w14:textId="13020F2D" w:rsidR="001517A1" w:rsidRPr="00377E6E" w:rsidRDefault="001517A1" w:rsidP="00E25C71">
      <w:pPr>
        <w:spacing w:after="0"/>
        <w:jc w:val="center"/>
        <w:rPr>
          <w:b/>
          <w:bCs/>
          <w:caps/>
          <w:szCs w:val="24"/>
        </w:rPr>
      </w:pPr>
      <w:r w:rsidRPr="00377E6E">
        <w:rPr>
          <w:b/>
          <w:bCs/>
          <w:caps/>
          <w:szCs w:val="24"/>
        </w:rPr>
        <w:t>References</w:t>
      </w:r>
    </w:p>
    <w:p w14:paraId="72C4A246" w14:textId="77777777" w:rsidR="000A0F14" w:rsidRPr="00377E6E" w:rsidRDefault="000A0F14" w:rsidP="000A0F14">
      <w:pPr>
        <w:spacing w:after="0"/>
        <w:ind w:left="720" w:hanging="720"/>
        <w:jc w:val="both"/>
        <w:rPr>
          <w:szCs w:val="24"/>
        </w:rPr>
      </w:pPr>
      <w:r w:rsidRPr="00377E6E">
        <w:rPr>
          <w:szCs w:val="24"/>
        </w:rPr>
        <w:t xml:space="preserve">Al-Kass, Z. M., Naoman, U. T., &amp; Azawi, O. I. (2011). Misoprostol treatment of dystocia due to incomplete dilatation of the cervix in a cow: A case report. </w:t>
      </w:r>
      <w:r w:rsidRPr="00377E6E">
        <w:rPr>
          <w:i/>
          <w:iCs/>
          <w:szCs w:val="24"/>
        </w:rPr>
        <w:t>Iraqi Journal of Veterinary Sciences, 25</w:t>
      </w:r>
      <w:r w:rsidRPr="00377E6E">
        <w:rPr>
          <w:szCs w:val="24"/>
        </w:rPr>
        <w:t>(2), 97–98.</w:t>
      </w:r>
    </w:p>
    <w:p w14:paraId="7C92517C" w14:textId="77777777" w:rsidR="000A0F14" w:rsidRPr="00377E6E" w:rsidRDefault="000A0F14" w:rsidP="000A0F14">
      <w:pPr>
        <w:spacing w:after="0"/>
        <w:ind w:left="720" w:hanging="720"/>
        <w:jc w:val="both"/>
        <w:rPr>
          <w:szCs w:val="24"/>
        </w:rPr>
      </w:pPr>
      <w:r w:rsidRPr="00377E6E">
        <w:rPr>
          <w:szCs w:val="24"/>
        </w:rPr>
        <w:t xml:space="preserve">Balasundaram, B., Kharayat, N., Lavanya, M., Kumar, A., Ramamoorthy, M., </w:t>
      </w:r>
      <w:proofErr w:type="spellStart"/>
      <w:r w:rsidRPr="00377E6E">
        <w:rPr>
          <w:szCs w:val="24"/>
        </w:rPr>
        <w:t>Sushobhit</w:t>
      </w:r>
      <w:proofErr w:type="spellEnd"/>
      <w:r w:rsidRPr="00377E6E">
        <w:rPr>
          <w:szCs w:val="24"/>
        </w:rPr>
        <w:t xml:space="preserve">, K. S., Gautam, D., Jena, D., &amp; Katiyar, R. (2018). Dystocia due to incomplete cervical dilation concurrent with cervico-vaginal prolapse in cattle: A case report. </w:t>
      </w:r>
      <w:r w:rsidRPr="00377E6E">
        <w:rPr>
          <w:i/>
          <w:iCs/>
          <w:szCs w:val="24"/>
        </w:rPr>
        <w:t>Journal of Entomology and Zoology Studies, 6</w:t>
      </w:r>
      <w:r w:rsidRPr="00377E6E">
        <w:rPr>
          <w:szCs w:val="24"/>
        </w:rPr>
        <w:t>(6), 544–545.</w:t>
      </w:r>
    </w:p>
    <w:p w14:paraId="144CFE35" w14:textId="77777777" w:rsidR="000A0F14" w:rsidRPr="00377E6E" w:rsidRDefault="000A0F14" w:rsidP="000A0F14">
      <w:pPr>
        <w:spacing w:after="0"/>
        <w:ind w:left="720" w:hanging="720"/>
        <w:jc w:val="both"/>
        <w:rPr>
          <w:szCs w:val="24"/>
        </w:rPr>
      </w:pPr>
      <w:r w:rsidRPr="00377E6E">
        <w:rPr>
          <w:szCs w:val="24"/>
        </w:rPr>
        <w:t xml:space="preserve">Das, G. K., Ravinder, R. D., </w:t>
      </w:r>
      <w:proofErr w:type="spellStart"/>
      <w:r w:rsidRPr="00377E6E">
        <w:rPr>
          <w:szCs w:val="24"/>
        </w:rPr>
        <w:t>Deori</w:t>
      </w:r>
      <w:proofErr w:type="spellEnd"/>
      <w:r w:rsidRPr="00377E6E">
        <w:rPr>
          <w:szCs w:val="24"/>
        </w:rPr>
        <w:t xml:space="preserve">, S., </w:t>
      </w:r>
      <w:proofErr w:type="spellStart"/>
      <w:r w:rsidRPr="00377E6E">
        <w:rPr>
          <w:szCs w:val="24"/>
        </w:rPr>
        <w:t>Jaglan</w:t>
      </w:r>
      <w:proofErr w:type="spellEnd"/>
      <w:r w:rsidRPr="00377E6E">
        <w:rPr>
          <w:szCs w:val="24"/>
        </w:rPr>
        <w:t xml:space="preserve">, P., Kumar, P., &amp; </w:t>
      </w:r>
      <w:proofErr w:type="spellStart"/>
      <w:r w:rsidRPr="00377E6E">
        <w:rPr>
          <w:szCs w:val="24"/>
        </w:rPr>
        <w:t>Gokuldas</w:t>
      </w:r>
      <w:proofErr w:type="spellEnd"/>
      <w:r w:rsidRPr="00377E6E">
        <w:rPr>
          <w:szCs w:val="24"/>
        </w:rPr>
        <w:t xml:space="preserve">, P. P. (2008). Incomplete cervical dilatation causing dystocia in a buffalo. </w:t>
      </w:r>
      <w:r w:rsidRPr="00377E6E">
        <w:rPr>
          <w:i/>
          <w:iCs/>
          <w:szCs w:val="24"/>
        </w:rPr>
        <w:t>Indian Journal of Veterinary Research, 17</w:t>
      </w:r>
      <w:r w:rsidRPr="00377E6E">
        <w:rPr>
          <w:szCs w:val="24"/>
        </w:rPr>
        <w:t>(2), 41–43.</w:t>
      </w:r>
    </w:p>
    <w:p w14:paraId="68C0E9FA" w14:textId="77777777" w:rsidR="000A0F14" w:rsidRPr="00377E6E" w:rsidRDefault="000A0F14" w:rsidP="000A0F14">
      <w:pPr>
        <w:spacing w:after="0"/>
        <w:ind w:left="720" w:hanging="720"/>
        <w:jc w:val="both"/>
        <w:rPr>
          <w:szCs w:val="24"/>
        </w:rPr>
      </w:pPr>
      <w:r w:rsidRPr="00377E6E">
        <w:rPr>
          <w:szCs w:val="24"/>
        </w:rPr>
        <w:t xml:space="preserve">Doddagoudar, V., Gond, M., Pasha, M., Jambagi, A., &amp; </w:t>
      </w:r>
      <w:proofErr w:type="spellStart"/>
      <w:r w:rsidRPr="00377E6E">
        <w:rPr>
          <w:szCs w:val="24"/>
        </w:rPr>
        <w:t>Jakkali</w:t>
      </w:r>
      <w:proofErr w:type="spellEnd"/>
      <w:r w:rsidRPr="00377E6E">
        <w:rPr>
          <w:szCs w:val="24"/>
        </w:rPr>
        <w:t xml:space="preserve">, N. (2020). Post cervical right side uterine torsion in Nondescript buffalo: A case report. </w:t>
      </w:r>
      <w:r w:rsidRPr="00377E6E">
        <w:rPr>
          <w:i/>
          <w:iCs/>
          <w:szCs w:val="24"/>
        </w:rPr>
        <w:t>International Journal of Livestock Research, 10</w:t>
      </w:r>
      <w:r w:rsidRPr="00377E6E">
        <w:rPr>
          <w:szCs w:val="24"/>
        </w:rPr>
        <w:t>(3), 209–211.</w:t>
      </w:r>
    </w:p>
    <w:p w14:paraId="4BDD1AE6" w14:textId="77777777" w:rsidR="000A0F14" w:rsidRPr="00377E6E" w:rsidRDefault="000A0F14" w:rsidP="000A0F14">
      <w:pPr>
        <w:spacing w:after="0"/>
        <w:ind w:left="720" w:hanging="720"/>
        <w:jc w:val="both"/>
        <w:rPr>
          <w:szCs w:val="24"/>
        </w:rPr>
      </w:pPr>
      <w:r w:rsidRPr="00377E6E">
        <w:rPr>
          <w:szCs w:val="24"/>
        </w:rPr>
        <w:t xml:space="preserve">Fiala, C., Gemzell-Danielsson, K., Tang, O. S., &amp; Von Hertzen, H. (2007). Cervical priming with misoprostol prior to transcervical procedures. </w:t>
      </w:r>
      <w:r w:rsidRPr="00377E6E">
        <w:rPr>
          <w:i/>
          <w:iCs/>
          <w:szCs w:val="24"/>
        </w:rPr>
        <w:t>International Journal of Gynecology &amp; Obstetrics, 99</w:t>
      </w:r>
      <w:r w:rsidRPr="00377E6E">
        <w:rPr>
          <w:szCs w:val="24"/>
        </w:rPr>
        <w:t>, S168–S171.</w:t>
      </w:r>
    </w:p>
    <w:p w14:paraId="7C5DC5CA" w14:textId="77777777" w:rsidR="000A0F14" w:rsidRPr="00377E6E" w:rsidRDefault="000A0F14" w:rsidP="000A0F14">
      <w:pPr>
        <w:spacing w:after="0"/>
        <w:ind w:left="720" w:hanging="720"/>
        <w:jc w:val="both"/>
        <w:rPr>
          <w:szCs w:val="24"/>
        </w:rPr>
      </w:pPr>
      <w:r w:rsidRPr="00377E6E">
        <w:rPr>
          <w:szCs w:val="24"/>
        </w:rPr>
        <w:t xml:space="preserve">Fuchs, A. R., Graddy, L. G., Kowalski, A. A., &amp; Fields, M. J. (2002). Oxytocin induces prostaglandin E2 release from bovine cervical mucosa in vivo. </w:t>
      </w:r>
      <w:r w:rsidRPr="00377E6E">
        <w:rPr>
          <w:i/>
          <w:iCs/>
          <w:szCs w:val="24"/>
        </w:rPr>
        <w:t>Prostaglandins &amp; Other Lipid Mediators, 70</w:t>
      </w:r>
      <w:r w:rsidRPr="00377E6E">
        <w:rPr>
          <w:szCs w:val="24"/>
        </w:rPr>
        <w:t>(1–2), 119–129. https://doi.org/10.1016/S1098-8823(02)00147-3</w:t>
      </w:r>
    </w:p>
    <w:p w14:paraId="3479C73A" w14:textId="77777777" w:rsidR="000A0F14" w:rsidRPr="00377E6E" w:rsidRDefault="000A0F14" w:rsidP="000A0F14">
      <w:pPr>
        <w:spacing w:after="0"/>
        <w:ind w:left="720" w:hanging="720"/>
        <w:jc w:val="both"/>
        <w:rPr>
          <w:szCs w:val="24"/>
        </w:rPr>
      </w:pPr>
      <w:r w:rsidRPr="00377E6E">
        <w:rPr>
          <w:szCs w:val="24"/>
        </w:rPr>
        <w:t xml:space="preserve">Gahlot, S. C., Kumaresan, A., Kumar, S., Yadav, S., Saraf, K. K., Karan, P., &amp; Verma, K. (2017). Incomplete cervical dilatation in animals—An update. </w:t>
      </w:r>
      <w:r w:rsidRPr="00377E6E">
        <w:rPr>
          <w:i/>
          <w:iCs/>
          <w:szCs w:val="24"/>
        </w:rPr>
        <w:t>International Journal of Science, Environment and Technology, 6</w:t>
      </w:r>
      <w:r w:rsidRPr="00377E6E">
        <w:rPr>
          <w:szCs w:val="24"/>
        </w:rPr>
        <w:t>(2), 1036–1048.</w:t>
      </w:r>
    </w:p>
    <w:p w14:paraId="3EDCC4D3" w14:textId="77777777" w:rsidR="000A0F14" w:rsidRPr="00377E6E" w:rsidRDefault="000A0F14" w:rsidP="000A0F14">
      <w:pPr>
        <w:spacing w:after="0"/>
        <w:ind w:left="720" w:hanging="720"/>
        <w:jc w:val="both"/>
        <w:rPr>
          <w:szCs w:val="24"/>
        </w:rPr>
      </w:pPr>
      <w:r w:rsidRPr="00377E6E">
        <w:rPr>
          <w:szCs w:val="24"/>
        </w:rPr>
        <w:t xml:space="preserve">Ibrahim, I. Y., Hussain, E. S., Lazim, E. H., &amp; Azawi, O. I. (2012). Misoprostol treatment of dystocia due to </w:t>
      </w:r>
      <w:proofErr w:type="spellStart"/>
      <w:r w:rsidRPr="00377E6E">
        <w:rPr>
          <w:szCs w:val="24"/>
        </w:rPr>
        <w:t>ringwomb</w:t>
      </w:r>
      <w:proofErr w:type="spellEnd"/>
      <w:r w:rsidRPr="00377E6E">
        <w:rPr>
          <w:szCs w:val="24"/>
        </w:rPr>
        <w:t xml:space="preserve"> in </w:t>
      </w:r>
      <w:proofErr w:type="spellStart"/>
      <w:r w:rsidRPr="00377E6E">
        <w:rPr>
          <w:szCs w:val="24"/>
        </w:rPr>
        <w:t>Awassi</w:t>
      </w:r>
      <w:proofErr w:type="spellEnd"/>
      <w:r w:rsidRPr="00377E6E">
        <w:rPr>
          <w:szCs w:val="24"/>
        </w:rPr>
        <w:t xml:space="preserve"> ewe: A case report. </w:t>
      </w:r>
      <w:r w:rsidRPr="00377E6E">
        <w:rPr>
          <w:i/>
          <w:iCs/>
          <w:szCs w:val="24"/>
        </w:rPr>
        <w:t>Iraqi Journal of Veterinary Sciences, 26</w:t>
      </w:r>
      <w:r w:rsidRPr="00377E6E">
        <w:rPr>
          <w:szCs w:val="24"/>
        </w:rPr>
        <w:t>(2), 101–102.</w:t>
      </w:r>
    </w:p>
    <w:p w14:paraId="3677BACE" w14:textId="77777777" w:rsidR="000A0F14" w:rsidRPr="00377E6E" w:rsidRDefault="000A0F14" w:rsidP="000A0F14">
      <w:pPr>
        <w:spacing w:after="0"/>
        <w:ind w:left="720" w:hanging="720"/>
        <w:jc w:val="both"/>
        <w:rPr>
          <w:szCs w:val="24"/>
        </w:rPr>
      </w:pPr>
      <w:r w:rsidRPr="00377E6E">
        <w:rPr>
          <w:szCs w:val="24"/>
        </w:rPr>
        <w:t xml:space="preserve">Monica, G., Sarath, T., Rangasamy, S., Joseph, C., &amp; Sathiamoorthy, T. (2018). Clinical management of post cervical uterine torsion preceded by imperfect cervical dilation (ICD) in a Holstein Friesian crossbred cow. </w:t>
      </w:r>
      <w:r w:rsidRPr="00377E6E">
        <w:rPr>
          <w:i/>
          <w:iCs/>
          <w:szCs w:val="24"/>
        </w:rPr>
        <w:t>Indian Veterinary Journal, 95</w:t>
      </w:r>
      <w:r w:rsidRPr="00377E6E">
        <w:rPr>
          <w:szCs w:val="24"/>
        </w:rPr>
        <w:t>(9), 53–54.</w:t>
      </w:r>
    </w:p>
    <w:p w14:paraId="2A4636BF" w14:textId="77777777" w:rsidR="000A0F14" w:rsidRPr="00377E6E" w:rsidRDefault="000A0F14" w:rsidP="000A0F14">
      <w:pPr>
        <w:spacing w:after="0"/>
        <w:ind w:left="720" w:hanging="720"/>
        <w:jc w:val="both"/>
        <w:rPr>
          <w:szCs w:val="24"/>
        </w:rPr>
      </w:pPr>
      <w:r w:rsidRPr="00377E6E">
        <w:rPr>
          <w:szCs w:val="24"/>
        </w:rPr>
        <w:t xml:space="preserve">Noakes, D. E., Parkinson, T. J., &amp; England, G. C. W. (Eds.). (2009). </w:t>
      </w:r>
      <w:r w:rsidRPr="00377E6E">
        <w:rPr>
          <w:i/>
          <w:iCs/>
          <w:szCs w:val="24"/>
        </w:rPr>
        <w:t>Arthur's veterinary reproduction and obstetrics</w:t>
      </w:r>
      <w:r w:rsidRPr="00377E6E">
        <w:rPr>
          <w:szCs w:val="24"/>
        </w:rPr>
        <w:t xml:space="preserve"> (9th ed.). Saunders Elsevier.</w:t>
      </w:r>
    </w:p>
    <w:p w14:paraId="62AF02EB" w14:textId="77777777" w:rsidR="000A0F14" w:rsidRPr="00377E6E" w:rsidRDefault="000A0F14" w:rsidP="000A0F14">
      <w:pPr>
        <w:spacing w:after="0"/>
        <w:ind w:left="720" w:hanging="720"/>
        <w:jc w:val="both"/>
        <w:rPr>
          <w:szCs w:val="24"/>
        </w:rPr>
      </w:pPr>
      <w:r w:rsidRPr="00377E6E">
        <w:rPr>
          <w:szCs w:val="24"/>
        </w:rPr>
        <w:t xml:space="preserve">Noakes, D. E., Parkinson, T. J., &amp; England, G. C. W. (Eds.). (2018). </w:t>
      </w:r>
      <w:r w:rsidRPr="00377E6E">
        <w:rPr>
          <w:i/>
          <w:iCs/>
          <w:szCs w:val="24"/>
        </w:rPr>
        <w:t>Arthur's veterinary reproduction and obstetrics</w:t>
      </w:r>
      <w:r w:rsidRPr="00377E6E">
        <w:rPr>
          <w:szCs w:val="24"/>
        </w:rPr>
        <w:t xml:space="preserve"> (10th ed.). Elsevier.</w:t>
      </w:r>
    </w:p>
    <w:p w14:paraId="6F0FE0C9" w14:textId="77777777" w:rsidR="000A0F14" w:rsidRPr="00377E6E" w:rsidRDefault="000A0F14" w:rsidP="000A0F14">
      <w:pPr>
        <w:spacing w:after="0"/>
        <w:ind w:left="720" w:hanging="720"/>
        <w:jc w:val="both"/>
        <w:rPr>
          <w:szCs w:val="24"/>
        </w:rPr>
      </w:pPr>
      <w:r w:rsidRPr="00377E6E">
        <w:rPr>
          <w:szCs w:val="24"/>
        </w:rPr>
        <w:t xml:space="preserve">Purohit, G. N., </w:t>
      </w:r>
      <w:proofErr w:type="spellStart"/>
      <w:r w:rsidRPr="00377E6E">
        <w:rPr>
          <w:szCs w:val="24"/>
        </w:rPr>
        <w:t>Barolia</w:t>
      </w:r>
      <w:proofErr w:type="spellEnd"/>
      <w:r w:rsidRPr="00377E6E">
        <w:rPr>
          <w:szCs w:val="24"/>
        </w:rPr>
        <w:t xml:space="preserve">, Y., </w:t>
      </w:r>
      <w:proofErr w:type="spellStart"/>
      <w:r w:rsidRPr="00377E6E">
        <w:rPr>
          <w:szCs w:val="24"/>
        </w:rPr>
        <w:t>Shekher</w:t>
      </w:r>
      <w:proofErr w:type="spellEnd"/>
      <w:r w:rsidRPr="00377E6E">
        <w:rPr>
          <w:szCs w:val="24"/>
        </w:rPr>
        <w:t xml:space="preserve">, C., &amp; Kumar, P. (2011). Maternal dystocia in cows and buffaloes: A review. </w:t>
      </w:r>
      <w:r w:rsidRPr="00377E6E">
        <w:rPr>
          <w:i/>
          <w:iCs/>
          <w:szCs w:val="24"/>
        </w:rPr>
        <w:t>Open Journal of Animal Sciences, 1</w:t>
      </w:r>
      <w:r w:rsidRPr="00377E6E">
        <w:rPr>
          <w:szCs w:val="24"/>
        </w:rPr>
        <w:t>, 41–53. https://doi.org/10.4236/ojas.2011.12006</w:t>
      </w:r>
    </w:p>
    <w:p w14:paraId="4F2F830B" w14:textId="77777777" w:rsidR="000A0F14" w:rsidRPr="00377E6E" w:rsidRDefault="000A0F14" w:rsidP="000A0F14">
      <w:pPr>
        <w:spacing w:after="0"/>
        <w:ind w:left="720" w:hanging="720"/>
        <w:jc w:val="both"/>
        <w:rPr>
          <w:szCs w:val="24"/>
        </w:rPr>
      </w:pPr>
      <w:r w:rsidRPr="00377E6E">
        <w:rPr>
          <w:szCs w:val="24"/>
        </w:rPr>
        <w:t xml:space="preserve">Raja, S., Palanisamy, M., </w:t>
      </w:r>
      <w:proofErr w:type="spellStart"/>
      <w:r w:rsidRPr="00377E6E">
        <w:rPr>
          <w:szCs w:val="24"/>
        </w:rPr>
        <w:t>Prabharan</w:t>
      </w:r>
      <w:proofErr w:type="spellEnd"/>
      <w:r w:rsidRPr="00377E6E">
        <w:rPr>
          <w:szCs w:val="24"/>
        </w:rPr>
        <w:t xml:space="preserve">, V., Rajkumar, R., &amp; </w:t>
      </w:r>
      <w:proofErr w:type="spellStart"/>
      <w:r w:rsidRPr="00377E6E">
        <w:rPr>
          <w:szCs w:val="24"/>
        </w:rPr>
        <w:t>Jayaganthan</w:t>
      </w:r>
      <w:proofErr w:type="spellEnd"/>
      <w:r w:rsidRPr="00377E6E">
        <w:rPr>
          <w:szCs w:val="24"/>
        </w:rPr>
        <w:t xml:space="preserve">, P. (2019). Cervicotomy for the management of dystocia due to prepartum vagino-cervical prolapse in cow. </w:t>
      </w:r>
      <w:r w:rsidRPr="00377E6E">
        <w:rPr>
          <w:i/>
          <w:iCs/>
          <w:szCs w:val="24"/>
        </w:rPr>
        <w:t>Indian Journal of Animal Reproduction, 40</w:t>
      </w:r>
      <w:r w:rsidRPr="00377E6E">
        <w:rPr>
          <w:szCs w:val="24"/>
        </w:rPr>
        <w:t>(1), 65–66.</w:t>
      </w:r>
    </w:p>
    <w:p w14:paraId="6CC318EE" w14:textId="77777777" w:rsidR="000A0F14" w:rsidRPr="00377E6E" w:rsidRDefault="000A0F14" w:rsidP="000A0F14">
      <w:pPr>
        <w:spacing w:after="0"/>
        <w:ind w:left="720" w:hanging="720"/>
        <w:jc w:val="both"/>
        <w:rPr>
          <w:szCs w:val="24"/>
        </w:rPr>
      </w:pPr>
      <w:r w:rsidRPr="00377E6E">
        <w:rPr>
          <w:szCs w:val="24"/>
        </w:rPr>
        <w:lastRenderedPageBreak/>
        <w:t xml:space="preserve">Roberts, S. J. (1956). </w:t>
      </w:r>
      <w:r w:rsidRPr="00377E6E">
        <w:rPr>
          <w:i/>
          <w:iCs/>
          <w:szCs w:val="24"/>
        </w:rPr>
        <w:t>Veterinary obstetrics and genital diseases</w:t>
      </w:r>
      <w:r w:rsidRPr="00377E6E">
        <w:rPr>
          <w:szCs w:val="24"/>
        </w:rPr>
        <w:t>. Edwards Brothers.</w:t>
      </w:r>
    </w:p>
    <w:p w14:paraId="13A05DCC" w14:textId="77777777" w:rsidR="000A0F14" w:rsidRPr="00377E6E" w:rsidRDefault="000A0F14" w:rsidP="000A0F14">
      <w:pPr>
        <w:spacing w:after="0"/>
        <w:ind w:left="720" w:hanging="720"/>
        <w:jc w:val="both"/>
        <w:rPr>
          <w:szCs w:val="24"/>
        </w:rPr>
      </w:pPr>
      <w:r w:rsidRPr="00377E6E">
        <w:rPr>
          <w:szCs w:val="24"/>
        </w:rPr>
        <w:t xml:space="preserve">Sahu, U. K., Kumar, B., Khan, M. H., Warghat, C., Singh, M., Chauhan, V. S., &amp; Singh, G. (2026a). Spectral Doppler assessment of middle uterine artery hemodynamics across the estrous cycle in Tharparkar cows. </w:t>
      </w:r>
      <w:r w:rsidRPr="00377E6E">
        <w:rPr>
          <w:i/>
          <w:iCs/>
          <w:szCs w:val="24"/>
        </w:rPr>
        <w:t>Frontiers in Animal Science, 7</w:t>
      </w:r>
      <w:r w:rsidRPr="00377E6E">
        <w:rPr>
          <w:szCs w:val="24"/>
        </w:rPr>
        <w:t xml:space="preserve">, 1740299. </w:t>
      </w:r>
      <w:hyperlink r:id="rId10" w:tgtFrame="_new" w:history="1">
        <w:r w:rsidRPr="00377E6E">
          <w:rPr>
            <w:rStyle w:val="Hyperlink"/>
            <w:szCs w:val="24"/>
          </w:rPr>
          <w:t>https://doi.org/10.3389/fanim.2026.1740299</w:t>
        </w:r>
      </w:hyperlink>
    </w:p>
    <w:p w14:paraId="0A3B0DFD" w14:textId="77777777" w:rsidR="000A0F14" w:rsidRPr="00377E6E" w:rsidRDefault="000A0F14" w:rsidP="000A0F14">
      <w:pPr>
        <w:spacing w:after="0"/>
        <w:ind w:left="720" w:hanging="720"/>
        <w:jc w:val="both"/>
        <w:rPr>
          <w:szCs w:val="24"/>
        </w:rPr>
      </w:pPr>
      <w:r w:rsidRPr="00377E6E">
        <w:rPr>
          <w:szCs w:val="24"/>
        </w:rPr>
        <w:t xml:space="preserve">Sahu, U. K., Kumar, P., Kumar, B., Khan, M. H., Baghel, M. S., Vadera, V., Kumar, M., Sahu, L., Kumar, A., Kharayat, N. S., &amp; Priyadershi, A. (2026b). Transrectal Doppler characterization of uterine vascular dynamics in buffaloes with clinical metritis and subsequent recovery. </w:t>
      </w:r>
      <w:r w:rsidRPr="00377E6E">
        <w:rPr>
          <w:i/>
          <w:iCs/>
          <w:szCs w:val="24"/>
        </w:rPr>
        <w:t>International Journal of Bio-Resource and Stress Management, 17</w:t>
      </w:r>
      <w:r w:rsidRPr="00377E6E">
        <w:rPr>
          <w:szCs w:val="24"/>
        </w:rPr>
        <w:t xml:space="preserve">(1), 1–7. </w:t>
      </w:r>
      <w:hyperlink r:id="rId11" w:tgtFrame="_new" w:history="1">
        <w:r w:rsidRPr="00377E6E">
          <w:rPr>
            <w:rStyle w:val="Hyperlink"/>
            <w:szCs w:val="24"/>
          </w:rPr>
          <w:t>https://doi.org/10.23910/1.2026.6759</w:t>
        </w:r>
      </w:hyperlink>
    </w:p>
    <w:p w14:paraId="16946334" w14:textId="77777777" w:rsidR="000A0F14" w:rsidRPr="00377E6E" w:rsidRDefault="000A0F14" w:rsidP="000A0F14">
      <w:pPr>
        <w:spacing w:after="0"/>
        <w:ind w:left="720" w:hanging="720"/>
        <w:jc w:val="both"/>
        <w:rPr>
          <w:szCs w:val="24"/>
        </w:rPr>
      </w:pPr>
      <w:r w:rsidRPr="00377E6E">
        <w:rPr>
          <w:szCs w:val="24"/>
        </w:rPr>
        <w:t xml:space="preserve">Sharma, G. P., Reddy, V. S. C., &amp; Raju, M. S. (1990). Effect of </w:t>
      </w:r>
      <w:proofErr w:type="spellStart"/>
      <w:r w:rsidRPr="00377E6E">
        <w:rPr>
          <w:szCs w:val="24"/>
        </w:rPr>
        <w:t>Valosin</w:t>
      </w:r>
      <w:proofErr w:type="spellEnd"/>
      <w:r w:rsidRPr="00377E6E">
        <w:rPr>
          <w:szCs w:val="24"/>
        </w:rPr>
        <w:t>-Vet (</w:t>
      </w:r>
      <w:proofErr w:type="spellStart"/>
      <w:r w:rsidRPr="00377E6E">
        <w:rPr>
          <w:szCs w:val="24"/>
        </w:rPr>
        <w:t>Valethamate</w:t>
      </w:r>
      <w:proofErr w:type="spellEnd"/>
      <w:r w:rsidRPr="00377E6E">
        <w:rPr>
          <w:szCs w:val="24"/>
        </w:rPr>
        <w:t xml:space="preserve"> bromide) in cervical dystocia. </w:t>
      </w:r>
      <w:r w:rsidRPr="00377E6E">
        <w:rPr>
          <w:i/>
          <w:iCs/>
          <w:szCs w:val="24"/>
        </w:rPr>
        <w:t>Indian Veterinary Journal, 67</w:t>
      </w:r>
      <w:r w:rsidRPr="00377E6E">
        <w:rPr>
          <w:szCs w:val="24"/>
        </w:rPr>
        <w:t>, 681–682.</w:t>
      </w:r>
    </w:p>
    <w:p w14:paraId="55AE6F85" w14:textId="77777777" w:rsidR="000A0F14" w:rsidRPr="00873AC9" w:rsidRDefault="000A0F14" w:rsidP="000A0F14">
      <w:pPr>
        <w:spacing w:after="0"/>
        <w:ind w:left="720" w:hanging="720"/>
        <w:jc w:val="both"/>
        <w:rPr>
          <w:szCs w:val="24"/>
        </w:rPr>
      </w:pPr>
      <w:r w:rsidRPr="00377E6E">
        <w:rPr>
          <w:szCs w:val="24"/>
        </w:rPr>
        <w:t xml:space="preserve">Weeks, A., </w:t>
      </w:r>
      <w:proofErr w:type="spellStart"/>
      <w:r w:rsidRPr="00377E6E">
        <w:rPr>
          <w:szCs w:val="24"/>
        </w:rPr>
        <w:t>Alfirevic</w:t>
      </w:r>
      <w:proofErr w:type="spellEnd"/>
      <w:r w:rsidRPr="00377E6E">
        <w:rPr>
          <w:szCs w:val="24"/>
        </w:rPr>
        <w:t xml:space="preserve">, Z., </w:t>
      </w:r>
      <w:proofErr w:type="spellStart"/>
      <w:r w:rsidRPr="00377E6E">
        <w:rPr>
          <w:szCs w:val="24"/>
        </w:rPr>
        <w:t>Faúndes</w:t>
      </w:r>
      <w:proofErr w:type="spellEnd"/>
      <w:r w:rsidRPr="00377E6E">
        <w:rPr>
          <w:szCs w:val="24"/>
        </w:rPr>
        <w:t xml:space="preserve">, A., Hofmeyr, G. J., Safar, P., &amp; Wing, D. (2007). Misoprostol for induction of labour with a live fetus. </w:t>
      </w:r>
      <w:r w:rsidRPr="00377E6E">
        <w:rPr>
          <w:i/>
          <w:iCs/>
          <w:szCs w:val="24"/>
        </w:rPr>
        <w:t>International Journal of Gynecology &amp; Obstetrics, 99</w:t>
      </w:r>
      <w:r w:rsidRPr="00377E6E">
        <w:rPr>
          <w:szCs w:val="24"/>
        </w:rPr>
        <w:t>, S194–S197.</w:t>
      </w:r>
    </w:p>
    <w:sectPr w:rsidR="000A0F14" w:rsidRPr="00873AC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25495" w14:textId="77777777" w:rsidR="003E50FC" w:rsidRDefault="003E50FC" w:rsidP="00016500">
      <w:pPr>
        <w:spacing w:after="0" w:line="240" w:lineRule="auto"/>
      </w:pPr>
      <w:r>
        <w:separator/>
      </w:r>
    </w:p>
  </w:endnote>
  <w:endnote w:type="continuationSeparator" w:id="0">
    <w:p w14:paraId="31C25426" w14:textId="77777777" w:rsidR="003E50FC" w:rsidRDefault="003E50FC" w:rsidP="00016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5C1DE" w14:textId="77777777" w:rsidR="00016500" w:rsidRDefault="00016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EFD7E" w14:textId="77777777" w:rsidR="00016500" w:rsidRDefault="000165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1678E" w14:textId="77777777" w:rsidR="00016500" w:rsidRDefault="00016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2C324" w14:textId="77777777" w:rsidR="003E50FC" w:rsidRDefault="003E50FC" w:rsidP="00016500">
      <w:pPr>
        <w:spacing w:after="0" w:line="240" w:lineRule="auto"/>
      </w:pPr>
      <w:r>
        <w:separator/>
      </w:r>
    </w:p>
  </w:footnote>
  <w:footnote w:type="continuationSeparator" w:id="0">
    <w:p w14:paraId="5A6E467E" w14:textId="77777777" w:rsidR="003E50FC" w:rsidRDefault="003E50FC" w:rsidP="00016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88960" w14:textId="7CF1CB1E" w:rsidR="00016500" w:rsidRDefault="00016500">
    <w:pPr>
      <w:pStyle w:val="Header"/>
    </w:pPr>
    <w:r>
      <w:rPr>
        <w:noProof/>
      </w:rPr>
      <w:pict w14:anchorId="2B97E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12D51" w14:textId="11063E29" w:rsidR="00016500" w:rsidRDefault="00016500">
    <w:pPr>
      <w:pStyle w:val="Header"/>
    </w:pPr>
    <w:r>
      <w:rPr>
        <w:noProof/>
      </w:rPr>
      <w:pict w14:anchorId="0C220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37784" w14:textId="7EAA912C" w:rsidR="00016500" w:rsidRDefault="00016500">
    <w:pPr>
      <w:pStyle w:val="Header"/>
    </w:pPr>
    <w:r>
      <w:rPr>
        <w:noProof/>
      </w:rPr>
      <w:pict w14:anchorId="62B2C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E1627B"/>
    <w:multiLevelType w:val="hybridMultilevel"/>
    <w:tmpl w:val="B42698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7B"/>
    <w:rsid w:val="00016500"/>
    <w:rsid w:val="00025754"/>
    <w:rsid w:val="00055880"/>
    <w:rsid w:val="00060947"/>
    <w:rsid w:val="00064976"/>
    <w:rsid w:val="000654F2"/>
    <w:rsid w:val="000935A0"/>
    <w:rsid w:val="000A0F14"/>
    <w:rsid w:val="000D201E"/>
    <w:rsid w:val="000D2483"/>
    <w:rsid w:val="000D7663"/>
    <w:rsid w:val="00101C1E"/>
    <w:rsid w:val="00134608"/>
    <w:rsid w:val="001517A1"/>
    <w:rsid w:val="001807E6"/>
    <w:rsid w:val="001C1801"/>
    <w:rsid w:val="001C2EC5"/>
    <w:rsid w:val="00202811"/>
    <w:rsid w:val="002111EE"/>
    <w:rsid w:val="00216D68"/>
    <w:rsid w:val="00217163"/>
    <w:rsid w:val="00241B9E"/>
    <w:rsid w:val="0025323D"/>
    <w:rsid w:val="00254801"/>
    <w:rsid w:val="0025686D"/>
    <w:rsid w:val="00281ECB"/>
    <w:rsid w:val="00286D94"/>
    <w:rsid w:val="00295E0E"/>
    <w:rsid w:val="002A5467"/>
    <w:rsid w:val="002D6EC4"/>
    <w:rsid w:val="002F7CE1"/>
    <w:rsid w:val="00377E6E"/>
    <w:rsid w:val="00386612"/>
    <w:rsid w:val="003B5CD6"/>
    <w:rsid w:val="003C0372"/>
    <w:rsid w:val="003E50FC"/>
    <w:rsid w:val="004160D0"/>
    <w:rsid w:val="00416E0F"/>
    <w:rsid w:val="00432EDC"/>
    <w:rsid w:val="00444D11"/>
    <w:rsid w:val="00447762"/>
    <w:rsid w:val="00464598"/>
    <w:rsid w:val="00474955"/>
    <w:rsid w:val="0048558B"/>
    <w:rsid w:val="00490E52"/>
    <w:rsid w:val="004B45A2"/>
    <w:rsid w:val="004C3584"/>
    <w:rsid w:val="004C37AB"/>
    <w:rsid w:val="005053E4"/>
    <w:rsid w:val="005179EE"/>
    <w:rsid w:val="00537549"/>
    <w:rsid w:val="00552835"/>
    <w:rsid w:val="005A338A"/>
    <w:rsid w:val="005C2439"/>
    <w:rsid w:val="005D17D5"/>
    <w:rsid w:val="005D619E"/>
    <w:rsid w:val="005F637B"/>
    <w:rsid w:val="005F770B"/>
    <w:rsid w:val="0060762A"/>
    <w:rsid w:val="006D61B1"/>
    <w:rsid w:val="006F6A9B"/>
    <w:rsid w:val="0072171B"/>
    <w:rsid w:val="007576CC"/>
    <w:rsid w:val="007A23D1"/>
    <w:rsid w:val="007A495F"/>
    <w:rsid w:val="007B6613"/>
    <w:rsid w:val="007C3FC1"/>
    <w:rsid w:val="007F1199"/>
    <w:rsid w:val="007F3479"/>
    <w:rsid w:val="0085712F"/>
    <w:rsid w:val="00873AC9"/>
    <w:rsid w:val="00880765"/>
    <w:rsid w:val="00883437"/>
    <w:rsid w:val="00895E4C"/>
    <w:rsid w:val="008A43F8"/>
    <w:rsid w:val="008E5150"/>
    <w:rsid w:val="0090040F"/>
    <w:rsid w:val="00920B5A"/>
    <w:rsid w:val="0094613E"/>
    <w:rsid w:val="00956305"/>
    <w:rsid w:val="00956631"/>
    <w:rsid w:val="0096771C"/>
    <w:rsid w:val="009832AA"/>
    <w:rsid w:val="009921BE"/>
    <w:rsid w:val="00A0020D"/>
    <w:rsid w:val="00A0237B"/>
    <w:rsid w:val="00A42C95"/>
    <w:rsid w:val="00A71CDD"/>
    <w:rsid w:val="00A75E2C"/>
    <w:rsid w:val="00AC0AC6"/>
    <w:rsid w:val="00AD46D6"/>
    <w:rsid w:val="00B038D2"/>
    <w:rsid w:val="00B23479"/>
    <w:rsid w:val="00B60260"/>
    <w:rsid w:val="00B6197D"/>
    <w:rsid w:val="00B63DBE"/>
    <w:rsid w:val="00B8736B"/>
    <w:rsid w:val="00BA5857"/>
    <w:rsid w:val="00BB3A64"/>
    <w:rsid w:val="00BC308B"/>
    <w:rsid w:val="00BF181D"/>
    <w:rsid w:val="00C17DAE"/>
    <w:rsid w:val="00C6495A"/>
    <w:rsid w:val="00C70D18"/>
    <w:rsid w:val="00C82603"/>
    <w:rsid w:val="00C85D4A"/>
    <w:rsid w:val="00C91B16"/>
    <w:rsid w:val="00C952B8"/>
    <w:rsid w:val="00CD5EDB"/>
    <w:rsid w:val="00CE11CF"/>
    <w:rsid w:val="00CF362D"/>
    <w:rsid w:val="00D00F0D"/>
    <w:rsid w:val="00D02A0F"/>
    <w:rsid w:val="00D22975"/>
    <w:rsid w:val="00D632C7"/>
    <w:rsid w:val="00D70829"/>
    <w:rsid w:val="00D77517"/>
    <w:rsid w:val="00D90BE8"/>
    <w:rsid w:val="00D970A6"/>
    <w:rsid w:val="00DD2268"/>
    <w:rsid w:val="00DD5ADE"/>
    <w:rsid w:val="00DE5809"/>
    <w:rsid w:val="00E05811"/>
    <w:rsid w:val="00E25C71"/>
    <w:rsid w:val="00E536FE"/>
    <w:rsid w:val="00E62B07"/>
    <w:rsid w:val="00EB676A"/>
    <w:rsid w:val="00EB7627"/>
    <w:rsid w:val="00EC1F5B"/>
    <w:rsid w:val="00EE50DE"/>
    <w:rsid w:val="00F01DD2"/>
    <w:rsid w:val="00F14DA4"/>
    <w:rsid w:val="00F26E3C"/>
    <w:rsid w:val="00F35EA4"/>
    <w:rsid w:val="00F4516A"/>
    <w:rsid w:val="00FD23AF"/>
    <w:rsid w:val="00FF6553"/>
    <w:rsid w:val="00FF6C1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76398C"/>
  <w15:chartTrackingRefBased/>
  <w15:docId w15:val="{2C47AAB8-845B-43F8-80F8-A2B76704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1"/>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6305"/>
  </w:style>
  <w:style w:type="paragraph" w:styleId="Heading1">
    <w:name w:val="heading 1"/>
    <w:basedOn w:val="Normal"/>
    <w:next w:val="Normal"/>
    <w:link w:val="Heading1Char"/>
    <w:uiPriority w:val="9"/>
    <w:qFormat/>
    <w:rsid w:val="00A0237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0237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A0237B"/>
    <w:pPr>
      <w:keepNext/>
      <w:keepLines/>
      <w:spacing w:before="160" w:after="80"/>
      <w:outlineLvl w:val="2"/>
    </w:pPr>
    <w:rPr>
      <w:rFonts w:asciiTheme="minorHAnsi" w:eastAsiaTheme="majorEastAsia" w:hAnsiTheme="minorHAnsi"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0237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237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023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237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237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237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37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0237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A0237B"/>
    <w:rPr>
      <w:rFonts w:asciiTheme="minorHAnsi" w:eastAsiaTheme="majorEastAsia" w:hAnsiTheme="minorHAnsi"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0237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0237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0237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237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237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237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237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0237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0237B"/>
    <w:pPr>
      <w:numPr>
        <w:ilvl w:val="1"/>
      </w:numPr>
    </w:pPr>
    <w:rPr>
      <w:rFonts w:asciiTheme="minorHAnsi" w:eastAsiaTheme="majorEastAsia" w:hAnsiTheme="minorHAnsi"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0237B"/>
    <w:rPr>
      <w:rFonts w:asciiTheme="minorHAnsi" w:eastAsiaTheme="majorEastAsia" w:hAnsiTheme="minorHAnsi" w:cstheme="majorBidi"/>
      <w:color w:val="595959" w:themeColor="text1" w:themeTint="A6"/>
      <w:spacing w:val="15"/>
      <w:sz w:val="28"/>
      <w:szCs w:val="25"/>
    </w:rPr>
  </w:style>
  <w:style w:type="paragraph" w:styleId="Quote">
    <w:name w:val="Quote"/>
    <w:basedOn w:val="Normal"/>
    <w:next w:val="Normal"/>
    <w:link w:val="QuoteChar"/>
    <w:uiPriority w:val="29"/>
    <w:qFormat/>
    <w:rsid w:val="00A0237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A0237B"/>
    <w:rPr>
      <w:rFonts w:cs="Mangal"/>
      <w:i/>
      <w:iCs/>
      <w:color w:val="404040" w:themeColor="text1" w:themeTint="BF"/>
    </w:rPr>
  </w:style>
  <w:style w:type="paragraph" w:styleId="ListParagraph">
    <w:name w:val="List Paragraph"/>
    <w:basedOn w:val="Normal"/>
    <w:uiPriority w:val="34"/>
    <w:qFormat/>
    <w:rsid w:val="00A0237B"/>
    <w:pPr>
      <w:ind w:left="720"/>
      <w:contextualSpacing/>
    </w:pPr>
    <w:rPr>
      <w:rFonts w:cs="Mangal"/>
    </w:rPr>
  </w:style>
  <w:style w:type="character" w:styleId="IntenseEmphasis">
    <w:name w:val="Intense Emphasis"/>
    <w:basedOn w:val="DefaultParagraphFont"/>
    <w:uiPriority w:val="21"/>
    <w:qFormat/>
    <w:rsid w:val="00A0237B"/>
    <w:rPr>
      <w:i/>
      <w:iCs/>
      <w:color w:val="2F5496" w:themeColor="accent1" w:themeShade="BF"/>
    </w:rPr>
  </w:style>
  <w:style w:type="paragraph" w:styleId="IntenseQuote">
    <w:name w:val="Intense Quote"/>
    <w:basedOn w:val="Normal"/>
    <w:next w:val="Normal"/>
    <w:link w:val="IntenseQuoteChar"/>
    <w:uiPriority w:val="30"/>
    <w:qFormat/>
    <w:rsid w:val="00A0237B"/>
    <w:pPr>
      <w:pBdr>
        <w:top w:val="single" w:sz="4" w:space="10" w:color="2F5496" w:themeColor="accent1" w:themeShade="BF"/>
        <w:bottom w:val="single" w:sz="4" w:space="10" w:color="2F5496" w:themeColor="accent1" w:themeShade="BF"/>
      </w:pBdr>
      <w:spacing w:before="360" w:after="360"/>
      <w:ind w:left="864" w:right="864"/>
      <w:jc w:val="center"/>
    </w:pPr>
    <w:rPr>
      <w:rFonts w:cs="Mangal"/>
      <w:i/>
      <w:iCs/>
      <w:color w:val="2F5496" w:themeColor="accent1" w:themeShade="BF"/>
    </w:rPr>
  </w:style>
  <w:style w:type="character" w:customStyle="1" w:styleId="IntenseQuoteChar">
    <w:name w:val="Intense Quote Char"/>
    <w:basedOn w:val="DefaultParagraphFont"/>
    <w:link w:val="IntenseQuote"/>
    <w:uiPriority w:val="30"/>
    <w:rsid w:val="00A0237B"/>
    <w:rPr>
      <w:rFonts w:cs="Mangal"/>
      <w:i/>
      <w:iCs/>
      <w:color w:val="2F5496" w:themeColor="accent1" w:themeShade="BF"/>
    </w:rPr>
  </w:style>
  <w:style w:type="character" w:styleId="IntenseReference">
    <w:name w:val="Intense Reference"/>
    <w:basedOn w:val="DefaultParagraphFont"/>
    <w:uiPriority w:val="32"/>
    <w:qFormat/>
    <w:rsid w:val="00A0237B"/>
    <w:rPr>
      <w:b/>
      <w:bCs/>
      <w:smallCaps/>
      <w:color w:val="2F5496" w:themeColor="accent1" w:themeShade="BF"/>
      <w:spacing w:val="5"/>
    </w:rPr>
  </w:style>
  <w:style w:type="character" w:styleId="Hyperlink">
    <w:name w:val="Hyperlink"/>
    <w:basedOn w:val="DefaultParagraphFont"/>
    <w:uiPriority w:val="99"/>
    <w:unhideWhenUsed/>
    <w:qFormat/>
    <w:rsid w:val="000D2483"/>
    <w:rPr>
      <w:color w:val="0563C1" w:themeColor="hyperlink"/>
      <w:u w:val="single"/>
    </w:rPr>
  </w:style>
  <w:style w:type="character" w:styleId="UnresolvedMention">
    <w:name w:val="Unresolved Mention"/>
    <w:basedOn w:val="DefaultParagraphFont"/>
    <w:uiPriority w:val="99"/>
    <w:semiHidden/>
    <w:unhideWhenUsed/>
    <w:rsid w:val="000D2483"/>
    <w:rPr>
      <w:color w:val="605E5C"/>
      <w:shd w:val="clear" w:color="auto" w:fill="E1DFDD"/>
    </w:rPr>
  </w:style>
  <w:style w:type="table" w:styleId="TableGrid">
    <w:name w:val="Table Grid"/>
    <w:basedOn w:val="TableNormal"/>
    <w:uiPriority w:val="39"/>
    <w:rsid w:val="00BF1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5150"/>
    <w:rPr>
      <w:color w:val="666666"/>
    </w:rPr>
  </w:style>
  <w:style w:type="paragraph" w:styleId="NormalWeb">
    <w:name w:val="Normal (Web)"/>
    <w:basedOn w:val="Normal"/>
    <w:uiPriority w:val="99"/>
    <w:semiHidden/>
    <w:rsid w:val="00895E4C"/>
    <w:pPr>
      <w:spacing w:before="100" w:beforeAutospacing="1" w:after="100" w:afterAutospacing="1" w:line="240" w:lineRule="auto"/>
    </w:pPr>
    <w:rPr>
      <w:rFonts w:eastAsia="Times New Roman"/>
      <w:kern w:val="0"/>
      <w:szCs w:val="24"/>
      <w:lang w:val="en-US" w:bidi="ar-SA"/>
      <w14:ligatures w14:val="none"/>
    </w:rPr>
  </w:style>
  <w:style w:type="paragraph" w:styleId="Header">
    <w:name w:val="header"/>
    <w:basedOn w:val="Normal"/>
    <w:link w:val="HeaderChar"/>
    <w:uiPriority w:val="99"/>
    <w:unhideWhenUsed/>
    <w:rsid w:val="00016500"/>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016500"/>
    <w:rPr>
      <w:rFonts w:cs="Mangal"/>
    </w:rPr>
  </w:style>
  <w:style w:type="paragraph" w:styleId="Footer">
    <w:name w:val="footer"/>
    <w:basedOn w:val="Normal"/>
    <w:link w:val="FooterChar"/>
    <w:uiPriority w:val="99"/>
    <w:unhideWhenUsed/>
    <w:rsid w:val="00016500"/>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016500"/>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3910/1.2026.6759"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3389/fanim.2026.174029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TotalTime>
  <Pages>10</Pages>
  <Words>3814</Words>
  <Characters>21746</Characters>
  <Application>Microsoft Office Word</Application>
  <DocSecurity>0</DocSecurity>
  <Lines>181</Lines>
  <Paragraphs>51</Paragraphs>
  <ScaleCrop>false</ScaleCrop>
  <Company/>
  <LinksUpToDate>false</LinksUpToDate>
  <CharactersWithSpaces>25509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Reviewr</dc:creator>
  <cp:keywords/>
  <dc:description/>
  <cp:lastModifiedBy>SDI 1084</cp:lastModifiedBy>
  <cp:revision>119</cp:revision>
  <dcterms:created xsi:type="dcterms:W3CDTF">2026-02-13T14:21:00Z</dcterms:created>
  <dcterms:modified xsi:type="dcterms:W3CDTF">2026-02-17T08:34:00Z</dcterms:modified>
</cp:coreProperties>
</file>