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920F1" w14:textId="77777777" w:rsidR="00A72C19" w:rsidRDefault="00A72C19" w:rsidP="00E52483">
      <w:pPr>
        <w:pStyle w:val="Heading1"/>
        <w:rPr>
          <w:kern w:val="0"/>
        </w:rPr>
      </w:pPr>
      <w:r w:rsidRPr="00A72C19">
        <w:rPr>
          <w:kern w:val="0"/>
        </w:rPr>
        <w:t>Review Article</w:t>
      </w:r>
    </w:p>
    <w:p w14:paraId="0222B471" w14:textId="77777777" w:rsidR="00A72C19" w:rsidRDefault="00A72C19" w:rsidP="00E52483">
      <w:pPr>
        <w:pStyle w:val="Heading1"/>
        <w:rPr>
          <w:kern w:val="0"/>
        </w:rPr>
      </w:pPr>
    </w:p>
    <w:p w14:paraId="7301FB87" w14:textId="4541A34E" w:rsidR="00E52483" w:rsidRPr="00E52483" w:rsidRDefault="00E52483" w:rsidP="00E52483">
      <w:pPr>
        <w:pStyle w:val="Heading1"/>
        <w:rPr>
          <w:kern w:val="0"/>
        </w:rPr>
      </w:pPr>
      <w:r w:rsidRPr="00E52483">
        <w:rPr>
          <w:kern w:val="0"/>
        </w:rPr>
        <w:t>CHRONO-PHARMACOLOGY: A NEW APPROACH TO THERAPEUTICS</w:t>
      </w:r>
    </w:p>
    <w:p w14:paraId="2E1B4D66" w14:textId="77777777" w:rsidR="00E52483" w:rsidRDefault="00E52483" w:rsidP="00E52483">
      <w:pPr>
        <w:spacing w:before="100" w:beforeAutospacing="1" w:after="100" w:afterAutospacing="1" w:line="240" w:lineRule="auto"/>
        <w:ind w:left="0" w:right="0" w:firstLine="0"/>
        <w:jc w:val="left"/>
        <w:outlineLvl w:val="2"/>
        <w:rPr>
          <w:b/>
          <w:bCs/>
          <w:color w:val="auto"/>
          <w:kern w:val="0"/>
          <w:sz w:val="27"/>
          <w:szCs w:val="27"/>
          <w:lang w:val="en-US" w:eastAsia="en-US"/>
        </w:rPr>
      </w:pPr>
    </w:p>
    <w:p w14:paraId="6875167F" w14:textId="77777777" w:rsidR="00E52483" w:rsidRPr="00E52483" w:rsidRDefault="00E52483" w:rsidP="00E52483">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2483">
        <w:rPr>
          <w:b/>
          <w:bCs/>
          <w:color w:val="auto"/>
          <w:kern w:val="0"/>
          <w:sz w:val="27"/>
          <w:szCs w:val="27"/>
          <w:lang w:val="en-US" w:eastAsia="en-US"/>
        </w:rPr>
        <w:t>Abstract</w:t>
      </w:r>
    </w:p>
    <w:p w14:paraId="6EECFB2C" w14:textId="77777777" w:rsidR="00E52483" w:rsidRPr="00E52483" w:rsidRDefault="00E52483" w:rsidP="00E52483">
      <w:pPr>
        <w:spacing w:before="100" w:beforeAutospacing="1" w:after="100" w:afterAutospacing="1" w:line="240" w:lineRule="auto"/>
        <w:ind w:left="0" w:right="0" w:firstLine="0"/>
        <w:jc w:val="left"/>
        <w:rPr>
          <w:color w:val="auto"/>
          <w:kern w:val="0"/>
          <w:lang w:val="en-US" w:eastAsia="en-US"/>
        </w:rPr>
      </w:pPr>
      <w:r w:rsidRPr="00E52483">
        <w:rPr>
          <w:color w:val="auto"/>
          <w:kern w:val="0"/>
          <w:lang w:val="en-US" w:eastAsia="en-US"/>
        </w:rPr>
        <w:t xml:space="preserve">Chrono-pharmacology (often used interchangeably with </w:t>
      </w:r>
      <w:r w:rsidRPr="00E52483">
        <w:rPr>
          <w:i/>
          <w:iCs/>
          <w:color w:val="auto"/>
          <w:kern w:val="0"/>
          <w:lang w:val="en-US" w:eastAsia="en-US"/>
        </w:rPr>
        <w:t>chronopharmacology</w:t>
      </w:r>
      <w:r w:rsidRPr="00E52483">
        <w:rPr>
          <w:color w:val="auto"/>
          <w:kern w:val="0"/>
          <w:lang w:val="en-US" w:eastAsia="en-US"/>
        </w:rPr>
        <w:t>) examines how biological rhythms—especially circadian (≈24-hour) timing—shape drug absorption, distribution, metabolism, excretion, efficacy, and toxicity. Over the last two decades, advances in molecular chronobiology have clarified that circadian clocks operate not only in the suprachiasmatic nucleus (the central pacemaker) but also in peripheral tissues such as liver, gut, heart, immune cells, and tumors. These clocks orchestrate rhythmic transcriptional and post-translational programs that create predictable time-of-day variation in drug-processing proteins, target availability, pathway sensitivity, and repair mechanisms. Consequently, “when” a drug is taken can be</w:t>
      </w:r>
      <w:bookmarkStart w:id="0" w:name="_GoBack"/>
      <w:bookmarkEnd w:id="0"/>
      <w:r w:rsidRPr="00E52483">
        <w:rPr>
          <w:color w:val="auto"/>
          <w:kern w:val="0"/>
          <w:lang w:val="en-US" w:eastAsia="en-US"/>
        </w:rPr>
        <w:t>come as clinically meaningful as “which” drug is chosen, particularly for therapies with narrow therapeutic indices or time-sensitive targets. This review synthesizes contemporary mechanisms linking circadian biology to pharmacokinetics and pharmacodynamics, describes methodological principles for translating circadian insights into clinical dosing strategies, and evaluates evidence across therapeutic domains with an emphasis on cardiovascular, inflammatory, and oncologic applications. Finally, it outlines emerging technologies enabling individualized chronotherapy, including wearable-derived phase markers, digital phenotyping of sleep–wake behavior, and systems approaches that integrate multi-omics with pharmacology. Chrono-pharmacology reframes therapeutics as a time-aware intervention and offers a pragmatic path to optimize benefit–risk profiles without necessarily changing drug molecules—by aligning dosing with biology.</w:t>
      </w:r>
    </w:p>
    <w:p w14:paraId="146CBC8D" w14:textId="77777777" w:rsidR="00E52483" w:rsidRPr="00E52483" w:rsidRDefault="00E52483" w:rsidP="00E52483">
      <w:pPr>
        <w:spacing w:before="100" w:beforeAutospacing="1" w:after="100" w:afterAutospacing="1" w:line="240" w:lineRule="auto"/>
        <w:ind w:left="0" w:right="0" w:firstLine="0"/>
        <w:jc w:val="left"/>
        <w:rPr>
          <w:color w:val="auto"/>
          <w:kern w:val="0"/>
          <w:lang w:val="en-US" w:eastAsia="en-US"/>
        </w:rPr>
      </w:pPr>
      <w:r w:rsidRPr="00E52483">
        <w:rPr>
          <w:b/>
          <w:bCs/>
          <w:color w:val="auto"/>
          <w:kern w:val="0"/>
          <w:lang w:val="en-US" w:eastAsia="en-US"/>
        </w:rPr>
        <w:t>Keywords:</w:t>
      </w:r>
      <w:r w:rsidRPr="00E52483">
        <w:rPr>
          <w:color w:val="auto"/>
          <w:kern w:val="0"/>
          <w:lang w:val="en-US" w:eastAsia="en-US"/>
        </w:rPr>
        <w:t xml:space="preserve"> chronopharmacology; chronotherapy; circadian rhythm; pharmacokinetics; pharmacodynamics; chronotoxicology; biological timing; personalized medicine</w:t>
      </w:r>
    </w:p>
    <w:p w14:paraId="2A8A208D" w14:textId="77777777" w:rsidR="00E52483" w:rsidRPr="00E52483" w:rsidRDefault="00E52483" w:rsidP="00E52483">
      <w:pPr>
        <w:spacing w:after="0" w:line="240" w:lineRule="auto"/>
        <w:ind w:left="0" w:right="0" w:firstLine="0"/>
        <w:jc w:val="left"/>
        <w:rPr>
          <w:color w:val="auto"/>
          <w:kern w:val="0"/>
          <w:lang w:val="en-US" w:eastAsia="en-US"/>
        </w:rPr>
      </w:pPr>
    </w:p>
    <w:p w14:paraId="100F84F6" w14:textId="77777777" w:rsidR="009918F3" w:rsidRDefault="009918F3" w:rsidP="009918F3">
      <w:pPr>
        <w:pStyle w:val="Heading2"/>
      </w:pPr>
      <w:r>
        <w:t>1. Introduction</w:t>
      </w:r>
    </w:p>
    <w:p w14:paraId="3E6C8CA3" w14:textId="77777777" w:rsidR="009918F3" w:rsidRDefault="009918F3" w:rsidP="009918F3">
      <w:pPr>
        <w:pStyle w:val="Heading3"/>
      </w:pPr>
      <w:r>
        <w:t>1.1. From “time-of-day effects” to chrono-pharmacology as a therapeutic paradigm</w:t>
      </w:r>
    </w:p>
    <w:p w14:paraId="655C16B0" w14:textId="77777777" w:rsidR="009918F3" w:rsidRDefault="009918F3" w:rsidP="009918F3">
      <w:pPr>
        <w:pStyle w:val="NormalWeb"/>
      </w:pPr>
      <w:r>
        <w:t xml:space="preserve">Modern therapeutics still largely treats time as a nuisance variable: drugs are prescribed by dose and interval, while the clock time of administration is often left to convenience. Yet mammalian biology is inherently rhythmic. Endogenous circadian clocks coordinate daily programs of physiology and behavior, aligning internal functions with predictable </w:t>
      </w:r>
      <w:r>
        <w:lastRenderedPageBreak/>
        <w:t>environmental cycles. Chrono-pharmacology can be defined as the study—and, increasingly, the clinical exploitation—of how biological timing systems shape drug absorption, distribution, metabolism, elimination, and pharmacodynamic responsiveness across the 24-hour day (Dallmann et al., 2014; Dallmann et al., 2016). In its applied form, chronotherapy aims to optimize outcomes by selecting dosing times that maximize efficacy and minimize toxicity, acknowledging that the “same” dose can constitute meaningfully different exposures and target engagements depending on circadian phase (Ballesta et al., 2017; FitzGerald, 2014).</w:t>
      </w:r>
    </w:p>
    <w:p w14:paraId="18DF5719" w14:textId="77777777" w:rsidR="009918F3" w:rsidRDefault="009918F3" w:rsidP="009918F3">
      <w:pPr>
        <w:pStyle w:val="NormalWeb"/>
      </w:pPr>
      <w:r>
        <w:t>The mechanistic basis for this paradigm has become substantially clearer over the last two decades. The canonical mammalian clock is generated by interlocked transcriptional–translational feedback loops in which activators (e.g., CLOCK–BMAL1) drive rhythmic expression of repressors (PERs and CRYs), producing self-sustained oscillations that are entrained by light and other cues (Mohawk et al., 2012; Takahashi, 2017). While the suprachiasmatic nucleus coordinates whole-body timing, peripheral clocks embedded in organs such as liver, gut, kidney, and immune tissues generate tissue-specific rhythms in metabolism, barrier function, inflammation, and cell-cycle control—exactly the domains that govern pharmacokinetics and drug response (Masri et al., 2013; Mohawk et al., 2012). The practical implication is that the determinants of drug exposure and toxicity are not static. Transporters, detoxifying enzymes, DNA repair pathways, cell-cycle checkpoints, and signaling networks can all oscillate in abundance or activity, creating predictable windows of vulnerability or resilience to pharmacological perturbation (Dallmann et al., 2014; Sancar et al., 2010).</w:t>
      </w:r>
    </w:p>
    <w:p w14:paraId="4B1D28E8" w14:textId="77777777" w:rsidR="009918F3" w:rsidRDefault="009918F3" w:rsidP="009918F3">
      <w:pPr>
        <w:pStyle w:val="NormalWeb"/>
      </w:pPr>
      <w:r>
        <w:t xml:space="preserve">High-throughput biology has reinforced that circadian regulation is not a narrow phenomenon. Genome-scale mapping in mammals shows that a large fraction of transcripts </w:t>
      </w:r>
      <w:proofErr w:type="gramStart"/>
      <w:r>
        <w:t>exhibit</w:t>
      </w:r>
      <w:proofErr w:type="gramEnd"/>
      <w:r>
        <w:t xml:space="preserve"> rhythmic expression in at least one tissue, with strong tissue specificity and substantial temporal structure (Zhang et al., 2014). This has direct translational meaning because drug targets and pathways required for drug action are embedded within these oscillating networks. The recognition that “temporal targets” exist—targets whose expression or function varies by time of day—has sharpened the argument that dose timing is not merely a chronobiology curiosity but a potentially generalizable lever for improving therapeutic index (FitzGerald, 2014; Zhang et al., 2014). Complementing transcriptomics, post-translational rhythms add another layer: phosphorylation dynamics, for example, can rhythmically tune signaling cascades that control metabolism and physiology, sometimes with higher amplitudes than transcript changes, implying that pharmacodynamic sensitivity may shift even when mRNA changes appear modest (Robles et al., 2017).</w:t>
      </w:r>
    </w:p>
    <w:p w14:paraId="38B7296B" w14:textId="77777777" w:rsidR="009918F3" w:rsidRDefault="009918F3" w:rsidP="009918F3">
      <w:pPr>
        <w:pStyle w:val="Heading3"/>
      </w:pPr>
      <w:r>
        <w:t>1.2. Why timing matters clinically: disease risk, treatment response, and “circadian mismatch”</w:t>
      </w:r>
    </w:p>
    <w:p w14:paraId="65BCBF3E" w14:textId="77777777" w:rsidR="009918F3" w:rsidRDefault="009918F3" w:rsidP="009918F3">
      <w:pPr>
        <w:pStyle w:val="NormalWeb"/>
      </w:pPr>
      <w:r>
        <w:t xml:space="preserve">Chrono-pharmacology is clinically compelling because patients rarely live in ideal circadian conditions. Circadian disruption—through shift work, jet lag, nocturnal light exposure, social schedules, and irregular eating—has been linked to metabolic and cardiovascular dysregulation, and these same disruptions plausibly reshape drug exposure–response relationships by altering rhythms in hormones, autonomic tone, glucose handling, and inflammatory mediators (Scheer et al., 2009; Poggiogalle et al., 2018). Controlled laboratory evidence illustrates how misalignment between behavioral cycles (sleep/feeding) and endogenous circadian timing can provoke adverse cardiometabolic changes in humans, supporting the idea that “when” behaviors and medications occur can materially influence </w:t>
      </w:r>
      <w:r>
        <w:lastRenderedPageBreak/>
        <w:t xml:space="preserve">physiology (Scheer et al., 2009). </w:t>
      </w:r>
      <w:proofErr w:type="gramStart"/>
      <w:r>
        <w:t>This matters</w:t>
      </w:r>
      <w:proofErr w:type="gramEnd"/>
      <w:r>
        <w:t xml:space="preserve"> because many therapeutic classes are prescribed precisely for cardiometabolic risk states that are themselves time-structured, such as morning surges in sympathetic activity and hemostatic factors, or nocturnal changes in blood pressure and glucose regulation (Poggiogalle et al., 2018).</w:t>
      </w:r>
    </w:p>
    <w:p w14:paraId="15019168" w14:textId="77777777" w:rsidR="009918F3" w:rsidRDefault="009918F3" w:rsidP="009918F3">
      <w:pPr>
        <w:pStyle w:val="NormalWeb"/>
      </w:pPr>
      <w:r>
        <w:t>Moreover, immune function and vaccination responses appear to show time-of-day dependence, highlighting that circadian biology is not restricted to metabolism or sleep. A controlled clinical trial in adults found that morning vaccination could enhance antibody responses compared with afternoon administration, illustrating a tangible and implementable chrono-intervention with public-health relevance (Long et al., 2016). While such findings may not generalize across all vaccines, populations, and endpoints, they exemplify a broader point: therapeutic outcomes reflect an interaction between the intervention and a temporally varying host state, and chrono-pharmacology provides a framework for systematically interrogating and exploiting that interaction (Cederroth et al., 2019; Dallmann et al., 2016).</w:t>
      </w:r>
    </w:p>
    <w:p w14:paraId="7833FB20" w14:textId="77777777" w:rsidR="009918F3" w:rsidRDefault="009918F3" w:rsidP="009918F3">
      <w:pPr>
        <w:pStyle w:val="NormalWeb"/>
      </w:pPr>
      <w:r>
        <w:t>Oncology has historically been a major proving ground for chronotherapy because cytotoxic efficacy and toxicity depend strongly on cell-cycle dynamics, DNA repair capacity, and host tolerability—each under circadian influence (Masri et al., 2013; Sancar et al., 2010). Clinical chronomodulated infusion schedules were developed to align peak drug delivery with times when healthy tissues are relatively protected and tumors remain vulnerable, and accumulated evidence suggests that patient-level factors can moderate chronotherapy benefit. Notably, a meta-analysis of randomized trials in metastatic colorectal cancer reported that sex can moderate survival outcomes associated with chronomodulated versus conventional schedules, underscoring that biological timing interacts with other dimensions of interindividual variability (Giacchetti et al., 2012). These observations motivate a shift from one-size-fits-all timing rules toward stratified or adaptive chronotherapy strategies—an idea that has matured into “systems chronotherapeutics,” which integrates circadian biology with pharmacology, quantitative modeling, and patient heterogeneity (Ballesta et al., 2017).</w:t>
      </w:r>
    </w:p>
    <w:p w14:paraId="7D35EB3D" w14:textId="77777777" w:rsidR="009918F3" w:rsidRDefault="009918F3" w:rsidP="009918F3">
      <w:pPr>
        <w:pStyle w:val="NormalWeb"/>
      </w:pPr>
      <w:r>
        <w:t>At the same time, chrono-pharmacology is expanding beyond classical small-molecule dosing schedules. Contemporary circadian medicine emphasizes that preclinical and clinical pipelines should treat circadian phase as a potentially confounding—and sometimes causal—determinant of experimental outcomes and therapeutic performance (Cederroth et al., 2019). Real-world behavioral irregularity further complicates translation. Digital phenotyping has revealed that many individuals exhibit erratic daily timing of food intake, effectively producing “metabolic jet lag,” which may reshape drug absorption and metabolism through rhythmic changes in gut function, bile acids, and hepatic pathways (Gill &amp; Panda, 2015; Poggiogalle et al., 2018). Thus, chrono-pharmacology increasingly sits at the intersection of mechanistic chronobiology, lifestyle timing, and precision therapeutics.</w:t>
      </w:r>
    </w:p>
    <w:p w14:paraId="188E83AA" w14:textId="77777777" w:rsidR="009918F3" w:rsidRDefault="009918F3" w:rsidP="009918F3">
      <w:pPr>
        <w:pStyle w:val="NormalWeb"/>
      </w:pPr>
      <w:r>
        <w:t>A new frontier also lies in drugs that target the clock itself. Pharmacological manipulation of clock components and clock-controlled nuclear receptors has shown disease-relevant effects in preclinical systems. For example, activation of REV-ERBs has been reported to exert selective lethality in cancer and oncogene-induced senescence models, illustrating how clock-linked transcriptional regulators can become actionable targets rather than merely sources of variability (Sulli et al., 2018). Such approaches broaden chrono-pharmacology from “timing existing drugs better” toward “designing drugs for temporal biology,” potentially enabling therapies that reshape pathological rhythms or exploit rhythmic vulnerabilities.</w:t>
      </w:r>
    </w:p>
    <w:p w14:paraId="2E5DD804" w14:textId="77777777" w:rsidR="009918F3" w:rsidRDefault="009918F3" w:rsidP="009918F3">
      <w:pPr>
        <w:pStyle w:val="Heading3"/>
      </w:pPr>
      <w:r>
        <w:t>1.3. Scope and objective of this review</w:t>
      </w:r>
    </w:p>
    <w:p w14:paraId="6134E153" w14:textId="77777777" w:rsidR="009918F3" w:rsidRDefault="009918F3" w:rsidP="009918F3">
      <w:pPr>
        <w:pStyle w:val="NormalWeb"/>
      </w:pPr>
      <w:r>
        <w:lastRenderedPageBreak/>
        <w:t>This review synthesizes contemporary chrono-pharmacology as a translational strategy for improving therapeutic index across major disease domains. It first frames the mechanistic foundations linking the circadian timing system to pharmacokinetics and pharmacodynamics, drawing on multi-omics, cellular signaling, and DNA damage/repair biology (Dallmann et al., 2014; Robles et al., 2017; Sancar et al., 2010; Zhang et al., 2014). It then evaluates representative clinical evidence where dosing time measurably alters efficacy, toxicity, or both, with attention to interindividual moderators such as sex, behavior, and circadian disruption (Giacchetti et al., 2012; Long et al., 2016; Scheer et al., 2009). Finally, it outlines emerging directions in systems chronotherapeutics and circadian medicine, including model-informed dosing, wearable-enabled phase estimation, and clock-targeted pharmacology, highlighting key challenges that must be addressed for routine clinical adoption (Ballesta et al., 2017; Cederroth et al., 2019; Dallmann et al., 2016).</w:t>
      </w:r>
    </w:p>
    <w:p w14:paraId="44B51F1E" w14:textId="77777777" w:rsidR="00E52483" w:rsidRPr="00E52483" w:rsidRDefault="00E52483" w:rsidP="00E52483">
      <w:pPr>
        <w:spacing w:after="0" w:line="240" w:lineRule="auto"/>
        <w:ind w:left="0" w:right="0" w:firstLine="0"/>
        <w:jc w:val="left"/>
        <w:rPr>
          <w:color w:val="auto"/>
          <w:kern w:val="0"/>
          <w:lang w:val="en-US" w:eastAsia="en-US"/>
        </w:rPr>
      </w:pPr>
    </w:p>
    <w:p w14:paraId="7377A64D" w14:textId="77777777" w:rsidR="003B64F9" w:rsidRPr="003B64F9" w:rsidRDefault="003B64F9" w:rsidP="003B64F9">
      <w:pPr>
        <w:spacing w:before="100" w:beforeAutospacing="1" w:after="100" w:afterAutospacing="1" w:line="240" w:lineRule="auto"/>
        <w:ind w:left="0" w:right="0" w:firstLine="0"/>
        <w:jc w:val="left"/>
        <w:outlineLvl w:val="1"/>
        <w:rPr>
          <w:b/>
          <w:bCs/>
          <w:color w:val="auto"/>
          <w:kern w:val="0"/>
          <w:sz w:val="36"/>
          <w:szCs w:val="36"/>
          <w:lang w:val="en-US" w:eastAsia="en-US"/>
        </w:rPr>
      </w:pPr>
      <w:r w:rsidRPr="003B64F9">
        <w:rPr>
          <w:b/>
          <w:bCs/>
          <w:color w:val="auto"/>
          <w:kern w:val="0"/>
          <w:sz w:val="36"/>
          <w:szCs w:val="36"/>
          <w:lang w:val="en-US" w:eastAsia="en-US"/>
        </w:rPr>
        <w:t>2. Methods for literature selection</w:t>
      </w:r>
    </w:p>
    <w:p w14:paraId="5033C119" w14:textId="77777777" w:rsidR="003B64F9" w:rsidRPr="003B64F9" w:rsidRDefault="003B64F9" w:rsidP="003B64F9">
      <w:pPr>
        <w:spacing w:before="100" w:beforeAutospacing="1" w:after="100" w:afterAutospacing="1" w:line="240" w:lineRule="auto"/>
        <w:ind w:left="0" w:right="0" w:firstLine="0"/>
        <w:jc w:val="left"/>
        <w:outlineLvl w:val="2"/>
        <w:rPr>
          <w:b/>
          <w:bCs/>
          <w:color w:val="auto"/>
          <w:kern w:val="0"/>
          <w:sz w:val="27"/>
          <w:szCs w:val="27"/>
          <w:lang w:val="en-US" w:eastAsia="en-US"/>
        </w:rPr>
      </w:pPr>
      <w:r w:rsidRPr="003B64F9">
        <w:rPr>
          <w:b/>
          <w:bCs/>
          <w:color w:val="auto"/>
          <w:kern w:val="0"/>
          <w:sz w:val="27"/>
          <w:szCs w:val="27"/>
          <w:lang w:val="en-US" w:eastAsia="en-US"/>
        </w:rPr>
        <w:t>2.1. Databases and time window</w:t>
      </w:r>
    </w:p>
    <w:p w14:paraId="6C83AFED" w14:textId="77777777" w:rsidR="003B64F9" w:rsidRPr="003B64F9" w:rsidRDefault="003B64F9" w:rsidP="003B64F9">
      <w:pPr>
        <w:spacing w:before="100" w:beforeAutospacing="1" w:after="100" w:afterAutospacing="1" w:line="240" w:lineRule="auto"/>
        <w:ind w:left="0" w:right="0" w:firstLine="0"/>
        <w:jc w:val="left"/>
        <w:rPr>
          <w:color w:val="auto"/>
          <w:kern w:val="0"/>
          <w:lang w:val="en-US" w:eastAsia="en-US"/>
        </w:rPr>
      </w:pPr>
      <w:r w:rsidRPr="003B64F9">
        <w:rPr>
          <w:color w:val="auto"/>
          <w:kern w:val="0"/>
          <w:lang w:val="en-US" w:eastAsia="en-US"/>
        </w:rPr>
        <w:t xml:space="preserve">A structured literature search was performed to identify peer-reviewed evidence on chrono-pharmacology/chronopharmacology and chronotherapy relevant to drug disposition, drug response, and clinical implementation. Searches were conducted in PubMed, Web of Science, Scopus, and Google Scholar. The coverage window was set from </w:t>
      </w:r>
      <w:r w:rsidRPr="003B64F9">
        <w:rPr>
          <w:b/>
          <w:bCs/>
          <w:color w:val="auto"/>
          <w:kern w:val="0"/>
          <w:lang w:val="en-US" w:eastAsia="en-US"/>
        </w:rPr>
        <w:t>January 1, 2006 to December 31, 2025</w:t>
      </w:r>
      <w:r w:rsidRPr="003B64F9">
        <w:rPr>
          <w:color w:val="auto"/>
          <w:kern w:val="0"/>
          <w:lang w:val="en-US" w:eastAsia="en-US"/>
        </w:rPr>
        <w:t xml:space="preserve"> to prioritize contemporary mechanistic and translational work while permitting inclusion of seminal older studies when needed for conceptual continuity.</w:t>
      </w:r>
    </w:p>
    <w:p w14:paraId="1300FAC1" w14:textId="77777777" w:rsidR="003B64F9" w:rsidRPr="003B64F9" w:rsidRDefault="003B64F9" w:rsidP="003B64F9">
      <w:pPr>
        <w:spacing w:before="100" w:beforeAutospacing="1" w:after="100" w:afterAutospacing="1" w:line="240" w:lineRule="auto"/>
        <w:ind w:left="0" w:right="0" w:firstLine="0"/>
        <w:jc w:val="left"/>
        <w:outlineLvl w:val="2"/>
        <w:rPr>
          <w:b/>
          <w:bCs/>
          <w:color w:val="auto"/>
          <w:kern w:val="0"/>
          <w:sz w:val="27"/>
          <w:szCs w:val="27"/>
          <w:lang w:val="en-US" w:eastAsia="en-US"/>
        </w:rPr>
      </w:pPr>
      <w:r w:rsidRPr="003B64F9">
        <w:rPr>
          <w:b/>
          <w:bCs/>
          <w:color w:val="auto"/>
          <w:kern w:val="0"/>
          <w:sz w:val="27"/>
          <w:szCs w:val="27"/>
          <w:lang w:val="en-US" w:eastAsia="en-US"/>
        </w:rPr>
        <w:t>2.2. Search strategy and query construction</w:t>
      </w:r>
    </w:p>
    <w:p w14:paraId="27A08812" w14:textId="77777777" w:rsidR="003B64F9" w:rsidRPr="003B64F9" w:rsidRDefault="003B64F9" w:rsidP="003B64F9">
      <w:pPr>
        <w:spacing w:before="100" w:beforeAutospacing="1" w:after="100" w:afterAutospacing="1" w:line="240" w:lineRule="auto"/>
        <w:ind w:left="0" w:right="0" w:firstLine="0"/>
        <w:jc w:val="left"/>
        <w:rPr>
          <w:color w:val="auto"/>
          <w:kern w:val="0"/>
          <w:lang w:val="en-US" w:eastAsia="en-US"/>
        </w:rPr>
      </w:pPr>
      <w:r w:rsidRPr="003B64F9">
        <w:rPr>
          <w:color w:val="auto"/>
          <w:kern w:val="0"/>
          <w:lang w:val="en-US" w:eastAsia="en-US"/>
        </w:rPr>
        <w:t>Search strings were developed iteratively to balance sensitivity (capturing diverse terminology) and specificity (focusing on pharmacology and therapeutics rather than general chronobiology alone). Core concepts included circadian timing, dosing time, chronotherapy, pharmacokinetics/pharmacodynamics, transport/metabolism, toxicity, and therapeutic outcomes. The following Boolean template was used and adapted per database syntax:</w:t>
      </w:r>
      <w:r w:rsidRPr="003B64F9">
        <w:rPr>
          <w:color w:val="auto"/>
          <w:kern w:val="0"/>
          <w:lang w:val="en-US" w:eastAsia="en-US"/>
        </w:rPr>
        <w:br/>
        <w:t>(chronopharmacology OR chrono-pharmacology OR chronotherapy OR “time-of-day dosing” OR “dosing time”) AND (circadian OR diurnal OR “biological time” OR chronotype) AND (pharmacokinetics OR pharmacodynamics OR metabolism OR transporters OR toxicity OR efficacy OR “therapeutic index”).</w:t>
      </w:r>
      <w:r w:rsidRPr="003B64F9">
        <w:rPr>
          <w:color w:val="auto"/>
          <w:kern w:val="0"/>
          <w:lang w:val="en-US" w:eastAsia="en-US"/>
        </w:rPr>
        <w:br/>
        <w:t>Additional targeted searches were executed for high-yield clinical domains (e.g., hypertension, rheumatoid arthritis, oncology, vaccination) using the same timing terms combined with condition-specific keywords. Reference lists of highly relevant reviews and landmark trials were also screened to capture eligible studies not retrieved by database queries.</w:t>
      </w:r>
    </w:p>
    <w:p w14:paraId="5490D8BB" w14:textId="77777777" w:rsidR="003B64F9" w:rsidRPr="003B64F9" w:rsidRDefault="003B64F9" w:rsidP="003B64F9">
      <w:pPr>
        <w:spacing w:before="100" w:beforeAutospacing="1" w:after="100" w:afterAutospacing="1" w:line="240" w:lineRule="auto"/>
        <w:ind w:left="0" w:right="0" w:firstLine="0"/>
        <w:jc w:val="left"/>
        <w:outlineLvl w:val="2"/>
        <w:rPr>
          <w:b/>
          <w:bCs/>
          <w:color w:val="auto"/>
          <w:kern w:val="0"/>
          <w:sz w:val="27"/>
          <w:szCs w:val="27"/>
          <w:lang w:val="en-US" w:eastAsia="en-US"/>
        </w:rPr>
      </w:pPr>
      <w:r w:rsidRPr="003B64F9">
        <w:rPr>
          <w:b/>
          <w:bCs/>
          <w:color w:val="auto"/>
          <w:kern w:val="0"/>
          <w:sz w:val="27"/>
          <w:szCs w:val="27"/>
          <w:lang w:val="en-US" w:eastAsia="en-US"/>
        </w:rPr>
        <w:t>2.3. Eligibility criteria (inclusion and exclusion logic)</w:t>
      </w:r>
    </w:p>
    <w:p w14:paraId="53D74EA1" w14:textId="77777777" w:rsidR="003B64F9" w:rsidRPr="003B64F9" w:rsidRDefault="003B64F9" w:rsidP="003B64F9">
      <w:pPr>
        <w:spacing w:before="100" w:beforeAutospacing="1" w:after="100" w:afterAutospacing="1" w:line="240" w:lineRule="auto"/>
        <w:ind w:left="0" w:right="0" w:firstLine="0"/>
        <w:jc w:val="left"/>
        <w:rPr>
          <w:color w:val="auto"/>
          <w:kern w:val="0"/>
          <w:lang w:val="en-US" w:eastAsia="en-US"/>
        </w:rPr>
      </w:pPr>
      <w:r w:rsidRPr="003B64F9">
        <w:rPr>
          <w:color w:val="auto"/>
          <w:kern w:val="0"/>
          <w:lang w:val="en-US" w:eastAsia="en-US"/>
        </w:rPr>
        <w:t xml:space="preserve">Eligible records included original human studies (randomized trials, pragmatic trials, observational studies, cohort studies), translational studies with explicit dosing-time comparison, and mechanistic in vivo/in vitro studies when they directly explained circadian influences on ADME or target biology and had clear relevance to therapeutics. Systematic </w:t>
      </w:r>
      <w:r w:rsidRPr="003B64F9">
        <w:rPr>
          <w:color w:val="auto"/>
          <w:kern w:val="0"/>
          <w:lang w:val="en-US" w:eastAsia="en-US"/>
        </w:rPr>
        <w:lastRenderedPageBreak/>
        <w:t>reviews and meta-analyses were included when they synthesized dosing-time effects or circadian mechanisms in pharmacology. Records were restricted to English-language full texts with sufficient methodological detail to interpret timing exposure (e.g., dosing windows, time stamps, or circadian phase proxy). Exclusion criteria included conference abstracts without full text, non-peer-reviewed sources, studies lacking a defined timing element (no dosing-time stratification and no circadian phase context), and articles focused solely on seasonal rhythms without daily/circadian timing relevance.</w:t>
      </w:r>
    </w:p>
    <w:p w14:paraId="05F06862" w14:textId="77777777" w:rsidR="003B64F9" w:rsidRPr="003B64F9" w:rsidRDefault="003B64F9" w:rsidP="003B64F9">
      <w:pPr>
        <w:spacing w:before="100" w:beforeAutospacing="1" w:after="100" w:afterAutospacing="1" w:line="240" w:lineRule="auto"/>
        <w:ind w:left="0" w:right="0" w:firstLine="0"/>
        <w:jc w:val="left"/>
        <w:outlineLvl w:val="2"/>
        <w:rPr>
          <w:b/>
          <w:bCs/>
          <w:color w:val="auto"/>
          <w:kern w:val="0"/>
          <w:sz w:val="27"/>
          <w:szCs w:val="27"/>
          <w:lang w:val="en-US" w:eastAsia="en-US"/>
        </w:rPr>
      </w:pPr>
      <w:r w:rsidRPr="003B64F9">
        <w:rPr>
          <w:b/>
          <w:bCs/>
          <w:color w:val="auto"/>
          <w:kern w:val="0"/>
          <w:sz w:val="27"/>
          <w:szCs w:val="27"/>
          <w:lang w:val="en-US" w:eastAsia="en-US"/>
        </w:rPr>
        <w:t>2.4. Screening, data extraction, and synthesis approach</w:t>
      </w:r>
    </w:p>
    <w:p w14:paraId="72E12EAC" w14:textId="77777777" w:rsidR="003B64F9" w:rsidRPr="003B64F9" w:rsidRDefault="003B64F9" w:rsidP="003B64F9">
      <w:pPr>
        <w:spacing w:before="100" w:beforeAutospacing="1" w:after="100" w:afterAutospacing="1" w:line="240" w:lineRule="auto"/>
        <w:ind w:left="0" w:right="0" w:firstLine="0"/>
        <w:jc w:val="left"/>
        <w:rPr>
          <w:color w:val="auto"/>
          <w:kern w:val="0"/>
          <w:lang w:val="en-US" w:eastAsia="en-US"/>
        </w:rPr>
      </w:pPr>
      <w:r w:rsidRPr="003B64F9">
        <w:rPr>
          <w:color w:val="auto"/>
          <w:kern w:val="0"/>
          <w:lang w:val="en-US" w:eastAsia="en-US"/>
        </w:rPr>
        <w:t>Records were de-duplicated prior to screening. Screening proceeded in two stages: title/abstract screening followed by full-text eligibility assessment. For each included study, data were extracted on study design, population, timing definition (clock time and/or biological phase proxy), intervention details (drug, formulation, dose, regimen), pharmacokinetic endpoints (exposure metrics where available), pharmacodynamic/clinical endpoints, safety outcomes, and key confounders (sleep timing, meal timing, shift work, co-medications). Evidence was synthesized narratively with domain-specific grouping, emphasizing consistency of timing effects, mechanistic plausibility, and feasibility of implementation across care settings.</w:t>
      </w:r>
    </w:p>
    <w:p w14:paraId="43C869BB" w14:textId="77777777" w:rsidR="003B64F9" w:rsidRPr="003B64F9" w:rsidRDefault="003B64F9" w:rsidP="003B64F9">
      <w:pPr>
        <w:spacing w:before="100" w:beforeAutospacing="1" w:after="100" w:afterAutospacing="1" w:line="240" w:lineRule="auto"/>
        <w:ind w:left="0" w:right="0" w:firstLine="0"/>
        <w:jc w:val="left"/>
        <w:outlineLvl w:val="2"/>
        <w:rPr>
          <w:b/>
          <w:bCs/>
          <w:color w:val="auto"/>
          <w:kern w:val="0"/>
          <w:sz w:val="27"/>
          <w:szCs w:val="27"/>
          <w:lang w:val="en-US" w:eastAsia="en-US"/>
        </w:rPr>
      </w:pPr>
      <w:r w:rsidRPr="003B64F9">
        <w:rPr>
          <w:b/>
          <w:bCs/>
          <w:color w:val="auto"/>
          <w:kern w:val="0"/>
          <w:sz w:val="27"/>
          <w:szCs w:val="27"/>
          <w:lang w:val="en-US" w:eastAsia="en-US"/>
        </w:rPr>
        <w:t>Table 1</w:t>
      </w:r>
      <w:r>
        <w:rPr>
          <w:b/>
          <w:bCs/>
          <w:color w:val="auto"/>
          <w:kern w:val="0"/>
          <w:sz w:val="27"/>
          <w:szCs w:val="27"/>
          <w:lang w:val="en-US" w:eastAsia="en-US"/>
        </w:rPr>
        <w:t xml:space="preserve">: </w:t>
      </w:r>
      <w:r w:rsidRPr="003B64F9">
        <w:rPr>
          <w:b/>
          <w:bCs/>
          <w:color w:val="auto"/>
          <w:kern w:val="0"/>
          <w:sz w:val="27"/>
          <w:szCs w:val="27"/>
          <w:lang w:val="en-US" w:eastAsia="en-US"/>
        </w:rPr>
        <w:t>Summary of</w:t>
      </w:r>
      <w:r>
        <w:t xml:space="preserve"> </w:t>
      </w:r>
      <w:r w:rsidRPr="003B64F9">
        <w:rPr>
          <w:b/>
          <w:bCs/>
          <w:color w:val="auto"/>
          <w:kern w:val="0"/>
          <w:sz w:val="27"/>
          <w:szCs w:val="27"/>
          <w:lang w:val="en-US" w:eastAsia="en-US"/>
        </w:rPr>
        <w:t xml:space="preserve">structured literature search </w:t>
      </w:r>
      <w:r>
        <w:rPr>
          <w:b/>
          <w:bCs/>
          <w:color w:val="auto"/>
          <w:kern w:val="0"/>
          <w:sz w:val="27"/>
          <w:szCs w:val="27"/>
          <w:lang w:val="en-US" w:eastAsia="en-US"/>
        </w:rPr>
        <w:t>methods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3"/>
        <w:gridCol w:w="1789"/>
        <w:gridCol w:w="5584"/>
      </w:tblGrid>
      <w:tr w:rsidR="003B64F9" w:rsidRPr="003B64F9" w14:paraId="08D6722E" w14:textId="77777777" w:rsidTr="003B64F9">
        <w:trPr>
          <w:tblHeader/>
          <w:tblCellSpacing w:w="15" w:type="dxa"/>
        </w:trPr>
        <w:tc>
          <w:tcPr>
            <w:tcW w:w="0" w:type="auto"/>
            <w:vAlign w:val="center"/>
            <w:hideMark/>
          </w:tcPr>
          <w:p w14:paraId="7A8CFE7A" w14:textId="77777777" w:rsidR="003B64F9" w:rsidRPr="003B64F9" w:rsidRDefault="003B64F9" w:rsidP="003B64F9">
            <w:pPr>
              <w:spacing w:after="0" w:line="240" w:lineRule="auto"/>
              <w:ind w:left="0" w:right="0" w:firstLine="0"/>
              <w:jc w:val="center"/>
              <w:rPr>
                <w:b/>
                <w:bCs/>
                <w:color w:val="auto"/>
                <w:kern w:val="0"/>
                <w:lang w:val="en-US" w:eastAsia="en-US"/>
              </w:rPr>
            </w:pPr>
            <w:r w:rsidRPr="003B64F9">
              <w:rPr>
                <w:b/>
                <w:bCs/>
                <w:color w:val="auto"/>
                <w:kern w:val="0"/>
                <w:lang w:val="en-US" w:eastAsia="en-US"/>
              </w:rPr>
              <w:t>Component</w:t>
            </w:r>
          </w:p>
        </w:tc>
        <w:tc>
          <w:tcPr>
            <w:tcW w:w="0" w:type="auto"/>
            <w:vAlign w:val="center"/>
            <w:hideMark/>
          </w:tcPr>
          <w:p w14:paraId="0E0B7C78" w14:textId="77777777" w:rsidR="003B64F9" w:rsidRPr="003B64F9" w:rsidRDefault="003B64F9" w:rsidP="003B64F9">
            <w:pPr>
              <w:spacing w:after="0" w:line="240" w:lineRule="auto"/>
              <w:ind w:left="0" w:right="0" w:firstLine="0"/>
              <w:jc w:val="center"/>
              <w:rPr>
                <w:b/>
                <w:bCs/>
                <w:color w:val="auto"/>
                <w:kern w:val="0"/>
                <w:lang w:val="en-US" w:eastAsia="en-US"/>
              </w:rPr>
            </w:pPr>
            <w:r w:rsidRPr="003B64F9">
              <w:rPr>
                <w:b/>
                <w:bCs/>
                <w:color w:val="auto"/>
                <w:kern w:val="0"/>
                <w:lang w:val="en-US" w:eastAsia="en-US"/>
              </w:rPr>
              <w:t>Operational definition used in this review</w:t>
            </w:r>
          </w:p>
        </w:tc>
        <w:tc>
          <w:tcPr>
            <w:tcW w:w="0" w:type="auto"/>
            <w:vAlign w:val="center"/>
            <w:hideMark/>
          </w:tcPr>
          <w:p w14:paraId="69B2BBAB" w14:textId="77777777" w:rsidR="003B64F9" w:rsidRPr="003B64F9" w:rsidRDefault="003B64F9" w:rsidP="003B64F9">
            <w:pPr>
              <w:spacing w:after="0" w:line="240" w:lineRule="auto"/>
              <w:ind w:left="0" w:right="0" w:firstLine="0"/>
              <w:jc w:val="center"/>
              <w:rPr>
                <w:b/>
                <w:bCs/>
                <w:color w:val="auto"/>
                <w:kern w:val="0"/>
                <w:lang w:val="en-US" w:eastAsia="en-US"/>
              </w:rPr>
            </w:pPr>
            <w:r w:rsidRPr="003B64F9">
              <w:rPr>
                <w:b/>
                <w:bCs/>
                <w:color w:val="auto"/>
                <w:kern w:val="0"/>
                <w:lang w:val="en-US" w:eastAsia="en-US"/>
              </w:rPr>
              <w:t>Key details / parameters</w:t>
            </w:r>
          </w:p>
        </w:tc>
      </w:tr>
      <w:tr w:rsidR="003B64F9" w:rsidRPr="003B64F9" w14:paraId="74A273EB" w14:textId="77777777" w:rsidTr="003B64F9">
        <w:trPr>
          <w:tblCellSpacing w:w="15" w:type="dxa"/>
        </w:trPr>
        <w:tc>
          <w:tcPr>
            <w:tcW w:w="0" w:type="auto"/>
            <w:vAlign w:val="center"/>
            <w:hideMark/>
          </w:tcPr>
          <w:p w14:paraId="25E70722"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Review focus</w:t>
            </w:r>
          </w:p>
        </w:tc>
        <w:tc>
          <w:tcPr>
            <w:tcW w:w="0" w:type="auto"/>
            <w:vAlign w:val="center"/>
            <w:hideMark/>
          </w:tcPr>
          <w:p w14:paraId="2B097493"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Chrono-pharmacology and chronotherapy relevant to therapeutics</w:t>
            </w:r>
          </w:p>
        </w:tc>
        <w:tc>
          <w:tcPr>
            <w:tcW w:w="0" w:type="auto"/>
            <w:vAlign w:val="center"/>
            <w:hideMark/>
          </w:tcPr>
          <w:p w14:paraId="24CA0159"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Timing effects on ADME, target engagement, efficacy, toxicity, and implementation feasibility</w:t>
            </w:r>
          </w:p>
        </w:tc>
      </w:tr>
      <w:tr w:rsidR="003B64F9" w:rsidRPr="003B64F9" w14:paraId="4FE12A28" w14:textId="77777777" w:rsidTr="003B64F9">
        <w:trPr>
          <w:tblCellSpacing w:w="15" w:type="dxa"/>
        </w:trPr>
        <w:tc>
          <w:tcPr>
            <w:tcW w:w="0" w:type="auto"/>
            <w:vAlign w:val="center"/>
            <w:hideMark/>
          </w:tcPr>
          <w:p w14:paraId="1745EE3E"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Databases searched</w:t>
            </w:r>
          </w:p>
        </w:tc>
        <w:tc>
          <w:tcPr>
            <w:tcW w:w="0" w:type="auto"/>
            <w:vAlign w:val="center"/>
            <w:hideMark/>
          </w:tcPr>
          <w:p w14:paraId="70D17B57"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Academic bibliographic and discovery databases</w:t>
            </w:r>
          </w:p>
        </w:tc>
        <w:tc>
          <w:tcPr>
            <w:tcW w:w="0" w:type="auto"/>
            <w:vAlign w:val="center"/>
            <w:hideMark/>
          </w:tcPr>
          <w:p w14:paraId="2F75A900"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PubMed; Web of Science; Scopus; Google Scholar</w:t>
            </w:r>
          </w:p>
        </w:tc>
      </w:tr>
      <w:tr w:rsidR="003B64F9" w:rsidRPr="003B64F9" w14:paraId="4078EB62" w14:textId="77777777" w:rsidTr="003B64F9">
        <w:trPr>
          <w:tblCellSpacing w:w="15" w:type="dxa"/>
        </w:trPr>
        <w:tc>
          <w:tcPr>
            <w:tcW w:w="0" w:type="auto"/>
            <w:vAlign w:val="center"/>
            <w:hideMark/>
          </w:tcPr>
          <w:p w14:paraId="0C1B337A"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Date range</w:t>
            </w:r>
          </w:p>
        </w:tc>
        <w:tc>
          <w:tcPr>
            <w:tcW w:w="0" w:type="auto"/>
            <w:vAlign w:val="center"/>
            <w:hideMark/>
          </w:tcPr>
          <w:p w14:paraId="0A9274DD"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Pre-specified eligibility window</w:t>
            </w:r>
          </w:p>
        </w:tc>
        <w:tc>
          <w:tcPr>
            <w:tcW w:w="0" w:type="auto"/>
            <w:vAlign w:val="center"/>
            <w:hideMark/>
          </w:tcPr>
          <w:p w14:paraId="2F99F5D6"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Jan 1, 2006 – Dec 31, 2025 (older seminal studies included selectively for foundational concepts)</w:t>
            </w:r>
          </w:p>
        </w:tc>
      </w:tr>
      <w:tr w:rsidR="003B64F9" w:rsidRPr="003B64F9" w14:paraId="5552D14F" w14:textId="77777777" w:rsidTr="003B64F9">
        <w:trPr>
          <w:tblCellSpacing w:w="15" w:type="dxa"/>
        </w:trPr>
        <w:tc>
          <w:tcPr>
            <w:tcW w:w="0" w:type="auto"/>
            <w:vAlign w:val="center"/>
            <w:hideMark/>
          </w:tcPr>
          <w:p w14:paraId="79EAE3DE"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Core search concepts</w:t>
            </w:r>
          </w:p>
        </w:tc>
        <w:tc>
          <w:tcPr>
            <w:tcW w:w="0" w:type="auto"/>
            <w:vAlign w:val="center"/>
            <w:hideMark/>
          </w:tcPr>
          <w:p w14:paraId="4334B09D"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Timing + circadian biology + pharmacology endpoints</w:t>
            </w:r>
          </w:p>
        </w:tc>
        <w:tc>
          <w:tcPr>
            <w:tcW w:w="0" w:type="auto"/>
            <w:vAlign w:val="center"/>
            <w:hideMark/>
          </w:tcPr>
          <w:p w14:paraId="57683F57"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(chronopharmacology/chronotherapy/time-of-day dosing) AND (circadian/diurnal/biological time) AND (PK/PD/metabolism/transport/toxicity/efficacy)</w:t>
            </w:r>
          </w:p>
        </w:tc>
      </w:tr>
      <w:tr w:rsidR="003B64F9" w:rsidRPr="003B64F9" w14:paraId="0F1A2C47" w14:textId="77777777" w:rsidTr="003B64F9">
        <w:trPr>
          <w:tblCellSpacing w:w="15" w:type="dxa"/>
        </w:trPr>
        <w:tc>
          <w:tcPr>
            <w:tcW w:w="0" w:type="auto"/>
            <w:vAlign w:val="center"/>
            <w:hideMark/>
          </w:tcPr>
          <w:p w14:paraId="6534A255"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Study designs included</w:t>
            </w:r>
          </w:p>
        </w:tc>
        <w:tc>
          <w:tcPr>
            <w:tcW w:w="0" w:type="auto"/>
            <w:vAlign w:val="center"/>
            <w:hideMark/>
          </w:tcPr>
          <w:p w14:paraId="2F448087"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Evidence types eligible for synthesis</w:t>
            </w:r>
          </w:p>
        </w:tc>
        <w:tc>
          <w:tcPr>
            <w:tcW w:w="0" w:type="auto"/>
            <w:vAlign w:val="center"/>
            <w:hideMark/>
          </w:tcPr>
          <w:p w14:paraId="7203993A"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RCTs, pragmatic trials, observational cohorts, translational timing studies; mechanistic studies when directly linked to therapeutics; systematic reviews/meta-analyses</w:t>
            </w:r>
          </w:p>
        </w:tc>
      </w:tr>
      <w:tr w:rsidR="003B64F9" w:rsidRPr="003B64F9" w14:paraId="06CFAA8D" w14:textId="77777777" w:rsidTr="003B64F9">
        <w:trPr>
          <w:tblCellSpacing w:w="15" w:type="dxa"/>
        </w:trPr>
        <w:tc>
          <w:tcPr>
            <w:tcW w:w="0" w:type="auto"/>
            <w:vAlign w:val="center"/>
            <w:hideMark/>
          </w:tcPr>
          <w:p w14:paraId="7A2149F9"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Population scope</w:t>
            </w:r>
          </w:p>
        </w:tc>
        <w:tc>
          <w:tcPr>
            <w:tcW w:w="0" w:type="auto"/>
            <w:vAlign w:val="center"/>
            <w:hideMark/>
          </w:tcPr>
          <w:p w14:paraId="6A1FDFC6"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 xml:space="preserve">Human and translational </w:t>
            </w:r>
            <w:r w:rsidRPr="003B64F9">
              <w:rPr>
                <w:color w:val="auto"/>
                <w:kern w:val="0"/>
                <w:lang w:val="en-US" w:eastAsia="en-US"/>
              </w:rPr>
              <w:lastRenderedPageBreak/>
              <w:t>relevance</w:t>
            </w:r>
          </w:p>
        </w:tc>
        <w:tc>
          <w:tcPr>
            <w:tcW w:w="0" w:type="auto"/>
            <w:vAlign w:val="center"/>
            <w:hideMark/>
          </w:tcPr>
          <w:p w14:paraId="63D894C1"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lastRenderedPageBreak/>
              <w:t xml:space="preserve">Human studies prioritized; preclinical mechanistic evidence included when it clarified causality for PK/PD </w:t>
            </w:r>
            <w:r w:rsidRPr="003B64F9">
              <w:rPr>
                <w:color w:val="auto"/>
                <w:kern w:val="0"/>
                <w:lang w:val="en-US" w:eastAsia="en-US"/>
              </w:rPr>
              <w:lastRenderedPageBreak/>
              <w:t>timing effects</w:t>
            </w:r>
          </w:p>
        </w:tc>
      </w:tr>
      <w:tr w:rsidR="003B64F9" w:rsidRPr="003B64F9" w14:paraId="0C13107E" w14:textId="77777777" w:rsidTr="003B64F9">
        <w:trPr>
          <w:tblCellSpacing w:w="15" w:type="dxa"/>
        </w:trPr>
        <w:tc>
          <w:tcPr>
            <w:tcW w:w="0" w:type="auto"/>
            <w:vAlign w:val="center"/>
            <w:hideMark/>
          </w:tcPr>
          <w:p w14:paraId="67CE8F0E"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lastRenderedPageBreak/>
              <w:t>Language/access</w:t>
            </w:r>
          </w:p>
        </w:tc>
        <w:tc>
          <w:tcPr>
            <w:tcW w:w="0" w:type="auto"/>
            <w:vAlign w:val="center"/>
            <w:hideMark/>
          </w:tcPr>
          <w:p w14:paraId="7A52EFE3"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Practical inclusion constraints</w:t>
            </w:r>
          </w:p>
        </w:tc>
        <w:tc>
          <w:tcPr>
            <w:tcW w:w="0" w:type="auto"/>
            <w:vAlign w:val="center"/>
            <w:hideMark/>
          </w:tcPr>
          <w:p w14:paraId="5AC9D591"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English-language; full-text accessible; sufficient methodological detail on timing exposure</w:t>
            </w:r>
          </w:p>
        </w:tc>
      </w:tr>
      <w:tr w:rsidR="003B64F9" w:rsidRPr="003B64F9" w14:paraId="4145B84D" w14:textId="77777777" w:rsidTr="003B64F9">
        <w:trPr>
          <w:tblCellSpacing w:w="15" w:type="dxa"/>
        </w:trPr>
        <w:tc>
          <w:tcPr>
            <w:tcW w:w="0" w:type="auto"/>
            <w:vAlign w:val="center"/>
            <w:hideMark/>
          </w:tcPr>
          <w:p w14:paraId="526C6C11"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Exclusion criteria</w:t>
            </w:r>
          </w:p>
        </w:tc>
        <w:tc>
          <w:tcPr>
            <w:tcW w:w="0" w:type="auto"/>
            <w:vAlign w:val="center"/>
            <w:hideMark/>
          </w:tcPr>
          <w:p w14:paraId="247AAE28"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Reasons for removal</w:t>
            </w:r>
          </w:p>
        </w:tc>
        <w:tc>
          <w:tcPr>
            <w:tcW w:w="0" w:type="auto"/>
            <w:vAlign w:val="center"/>
            <w:hideMark/>
          </w:tcPr>
          <w:p w14:paraId="1177F02D"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No explicit timing element; seasonal-only rhythms; non-peer-reviewed sources; abstract-only; insufficient detail to interpret timing</w:t>
            </w:r>
          </w:p>
        </w:tc>
      </w:tr>
      <w:tr w:rsidR="003B64F9" w:rsidRPr="003B64F9" w14:paraId="1EA5B3A9" w14:textId="77777777" w:rsidTr="003B64F9">
        <w:trPr>
          <w:tblCellSpacing w:w="15" w:type="dxa"/>
        </w:trPr>
        <w:tc>
          <w:tcPr>
            <w:tcW w:w="0" w:type="auto"/>
            <w:vAlign w:val="center"/>
            <w:hideMark/>
          </w:tcPr>
          <w:p w14:paraId="2ABC4687"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De-duplication</w:t>
            </w:r>
          </w:p>
        </w:tc>
        <w:tc>
          <w:tcPr>
            <w:tcW w:w="0" w:type="auto"/>
            <w:vAlign w:val="center"/>
            <w:hideMark/>
          </w:tcPr>
          <w:p w14:paraId="13EA79BE"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Handling overlapping records</w:t>
            </w:r>
          </w:p>
        </w:tc>
        <w:tc>
          <w:tcPr>
            <w:tcW w:w="0" w:type="auto"/>
            <w:vAlign w:val="center"/>
            <w:hideMark/>
          </w:tcPr>
          <w:p w14:paraId="254D398E"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Automated and manual de-duplication prior to screening</w:t>
            </w:r>
          </w:p>
        </w:tc>
      </w:tr>
      <w:tr w:rsidR="003B64F9" w:rsidRPr="003B64F9" w14:paraId="1797DD7A" w14:textId="77777777" w:rsidTr="003B64F9">
        <w:trPr>
          <w:tblCellSpacing w:w="15" w:type="dxa"/>
        </w:trPr>
        <w:tc>
          <w:tcPr>
            <w:tcW w:w="0" w:type="auto"/>
            <w:vAlign w:val="center"/>
            <w:hideMark/>
          </w:tcPr>
          <w:p w14:paraId="55EA2147"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Screening process</w:t>
            </w:r>
          </w:p>
        </w:tc>
        <w:tc>
          <w:tcPr>
            <w:tcW w:w="0" w:type="auto"/>
            <w:vAlign w:val="center"/>
            <w:hideMark/>
          </w:tcPr>
          <w:p w14:paraId="120B7431"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Two-stage eligibility assessment</w:t>
            </w:r>
          </w:p>
        </w:tc>
        <w:tc>
          <w:tcPr>
            <w:tcW w:w="0" w:type="auto"/>
            <w:vAlign w:val="center"/>
            <w:hideMark/>
          </w:tcPr>
          <w:p w14:paraId="5C7535A5"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Title/abstract screening followed by full-text review using the eligibility criteria</w:t>
            </w:r>
          </w:p>
        </w:tc>
      </w:tr>
      <w:tr w:rsidR="003B64F9" w:rsidRPr="003B64F9" w14:paraId="37C714C9" w14:textId="77777777" w:rsidTr="003B64F9">
        <w:trPr>
          <w:tblCellSpacing w:w="15" w:type="dxa"/>
        </w:trPr>
        <w:tc>
          <w:tcPr>
            <w:tcW w:w="0" w:type="auto"/>
            <w:vAlign w:val="center"/>
            <w:hideMark/>
          </w:tcPr>
          <w:p w14:paraId="38183F54"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Data items extracted</w:t>
            </w:r>
          </w:p>
        </w:tc>
        <w:tc>
          <w:tcPr>
            <w:tcW w:w="0" w:type="auto"/>
            <w:vAlign w:val="center"/>
            <w:hideMark/>
          </w:tcPr>
          <w:p w14:paraId="1542413A"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Standardized extraction domains</w:t>
            </w:r>
          </w:p>
        </w:tc>
        <w:tc>
          <w:tcPr>
            <w:tcW w:w="0" w:type="auto"/>
            <w:vAlign w:val="center"/>
            <w:hideMark/>
          </w:tcPr>
          <w:p w14:paraId="29CCFB07"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Design; drug/formulation; timing definition (clock and/or phase proxy); PK endpoints; PD/clinical outcomes; adverse events; confounders (sleep/meal timing, shift work, co-medications)</w:t>
            </w:r>
          </w:p>
        </w:tc>
      </w:tr>
      <w:tr w:rsidR="003B64F9" w:rsidRPr="003B64F9" w14:paraId="1BB356A0" w14:textId="77777777" w:rsidTr="003B64F9">
        <w:trPr>
          <w:tblCellSpacing w:w="15" w:type="dxa"/>
        </w:trPr>
        <w:tc>
          <w:tcPr>
            <w:tcW w:w="0" w:type="auto"/>
            <w:vAlign w:val="center"/>
            <w:hideMark/>
          </w:tcPr>
          <w:p w14:paraId="6B75234E"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Synthesis method</w:t>
            </w:r>
          </w:p>
        </w:tc>
        <w:tc>
          <w:tcPr>
            <w:tcW w:w="0" w:type="auto"/>
            <w:vAlign w:val="center"/>
            <w:hideMark/>
          </w:tcPr>
          <w:p w14:paraId="07D861B3"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Approach to integrating findings</w:t>
            </w:r>
          </w:p>
        </w:tc>
        <w:tc>
          <w:tcPr>
            <w:tcW w:w="0" w:type="auto"/>
            <w:vAlign w:val="center"/>
            <w:hideMark/>
          </w:tcPr>
          <w:p w14:paraId="1328B4F8" w14:textId="77777777" w:rsidR="003B64F9" w:rsidRPr="003B64F9" w:rsidRDefault="003B64F9" w:rsidP="003B64F9">
            <w:pPr>
              <w:spacing w:after="0" w:line="240" w:lineRule="auto"/>
              <w:ind w:left="0" w:right="0" w:firstLine="0"/>
              <w:jc w:val="left"/>
              <w:rPr>
                <w:color w:val="auto"/>
                <w:kern w:val="0"/>
                <w:lang w:val="en-US" w:eastAsia="en-US"/>
              </w:rPr>
            </w:pPr>
            <w:r w:rsidRPr="003B64F9">
              <w:rPr>
                <w:color w:val="auto"/>
                <w:kern w:val="0"/>
                <w:lang w:val="en-US" w:eastAsia="en-US"/>
              </w:rPr>
              <w:t>Narrative synthesis grouped by therapeutic domain, emphasizing effect direction, plausibility, and implementation constraints</w:t>
            </w:r>
          </w:p>
        </w:tc>
      </w:tr>
    </w:tbl>
    <w:p w14:paraId="4A0F0B5F" w14:textId="77777777" w:rsidR="00E52483" w:rsidRPr="00E52483" w:rsidRDefault="00E52483" w:rsidP="00E52483">
      <w:pPr>
        <w:spacing w:after="0" w:line="240" w:lineRule="auto"/>
        <w:ind w:left="0" w:right="0" w:firstLine="0"/>
        <w:jc w:val="left"/>
        <w:rPr>
          <w:color w:val="auto"/>
          <w:kern w:val="0"/>
          <w:lang w:val="en-US" w:eastAsia="en-US"/>
        </w:rPr>
      </w:pPr>
    </w:p>
    <w:p w14:paraId="3E340DC9" w14:textId="77777777" w:rsidR="00A1605B" w:rsidRDefault="00A1605B" w:rsidP="00A1605B">
      <w:pPr>
        <w:pStyle w:val="Heading2"/>
      </w:pPr>
      <w:r>
        <w:t>3. Chronobiological foundations relevant to pharmacology</w:t>
      </w:r>
    </w:p>
    <w:p w14:paraId="6E019C6D" w14:textId="77777777" w:rsidR="00A1605B" w:rsidRDefault="00A1605B" w:rsidP="00A1605B">
      <w:pPr>
        <w:pStyle w:val="Heading3"/>
      </w:pPr>
      <w:r>
        <w:t>3.1. Architecture of the mammalian circadian timing system</w:t>
      </w:r>
    </w:p>
    <w:p w14:paraId="4EDAFB95" w14:textId="77777777" w:rsidR="00A1605B" w:rsidRDefault="00A1605B" w:rsidP="00A1605B">
      <w:pPr>
        <w:pStyle w:val="NormalWeb"/>
      </w:pPr>
      <w:r>
        <w:t>Chrono-pharmacology rests on the idea that “time” is a biological variable that is actively generated by endogenous oscillators rather than passively imposed by the environment. In mammals, circadian timekeeping is organized as a multi-oscillator network with a central pacemaker in the suprachiasmatic nucleus (SCN) and peripheral clocks distributed across nearly all tissues, including liver, gut, kidney, heart, immune system, and brain regions outside the SCN (Dibner et al., 2010; Mohawk et al., 2012). The SCN receives light information via retinal pathways and aligns internal time with the external light–dark cycle, while peripheral clocks integrate additional zeitgebers such as feeding–fasting rhythms, body temperature cycles, autonomic signals, and endocrine cues (Dibner et al., 2010; Mohawk et al., 2012). This hierarchical-yet-plastic organization is especially relevant for pharmacology because drugs are absorbed, distributed, metabolized, and eliminated by organs whose functions vary across the 24-hour day, and because the tissues targeted by drugs exhibit rhythmic sensitivity driven by local clocks (Dallmann et al., 2014; Dallmann et al., 2016).</w:t>
      </w:r>
    </w:p>
    <w:p w14:paraId="41F251E1" w14:textId="77777777" w:rsidR="00A1605B" w:rsidRDefault="00A1605B" w:rsidP="00A1605B">
      <w:pPr>
        <w:pStyle w:val="NormalWeb"/>
      </w:pPr>
      <w:r>
        <w:t xml:space="preserve">A crucial implication is that “circadian phase” cannot be inferred reliably from clock time alone, particularly in individuals with shifted sleep schedules, irregular light exposure, or misaligned feeding. In such states, the SCN may remain relatively aligned to light while peripheral clocks drift with feeding or activity, creating internal desynchrony across organs (Dibner et al., 2010; Scheer et al., 2009). For pharmacological interpretation, this means that </w:t>
      </w:r>
      <w:r>
        <w:lastRenderedPageBreak/>
        <w:t>variability in drug response can reflect differences in internal phase relationships among absorption sites (e.g., intestine), metabolic organs (e.g., liver), and targets (e.g., immune cells), even when dosing occurs at the same clock hour.</w:t>
      </w:r>
    </w:p>
    <w:p w14:paraId="083BFAE9" w14:textId="77777777" w:rsidR="00A1605B" w:rsidRDefault="00A1605B" w:rsidP="00A1605B">
      <w:pPr>
        <w:pStyle w:val="Heading3"/>
      </w:pPr>
      <w:r>
        <w:t>3.2. Core molecular oscillator and clock-controlled transcriptional programs</w:t>
      </w:r>
    </w:p>
    <w:p w14:paraId="00156BC7" w14:textId="77777777" w:rsidR="00A1605B" w:rsidRDefault="00A1605B" w:rsidP="00A1605B">
      <w:pPr>
        <w:pStyle w:val="NormalWeb"/>
      </w:pPr>
      <w:r>
        <w:t xml:space="preserve">At the cellular level, circadian rhythms arise from interconnected transcription–translation feedback loops in which </w:t>
      </w:r>
      <w:proofErr w:type="gramStart"/>
      <w:r>
        <w:t>CLOCK:BMAL</w:t>
      </w:r>
      <w:proofErr w:type="gramEnd"/>
      <w:r>
        <w:t>1 drives rhythmic transcription of core repressors (PER and CRY proteins) that subsequently inhibit their own expression, generating near-24-hour oscillations (Takahashi, 2017). These core loops are stabilized and tuned by additional regulatory arms involving nuclear receptors and transcriptional repressors/activators that shape BMAL1 expression and amplitude. Importantly for pharmacology, the clock is not merely a “timer” for a small gene set; it imposes temporal structure on broad transcriptional programs that govern metabolism, redox state, proteostasis, membrane transport, inflammation, and cell cycle–related processes (Reinke &amp; Asher, 2019; Takahashi, 2017).</w:t>
      </w:r>
    </w:p>
    <w:p w14:paraId="50D46E6F" w14:textId="77777777" w:rsidR="00A1605B" w:rsidRDefault="00A1605B" w:rsidP="00A1605B">
      <w:pPr>
        <w:pStyle w:val="NormalWeb"/>
      </w:pPr>
      <w:r>
        <w:t>Mechanistic insights from genome-wide studies show that rhythmic gene expression is supported by time-dependent transcription factor occupancy, RNA polymerase II recruitment, and chromatin state transitions at thousands of loci (Koike et al., 2012; Takahashi, 2017). These chromatin-level rhythms matter because many pharmacologically relevant genes—encoding drug-metabolizing enzymes, transporters, receptors, and signaling intermediates—are embedded within this oscillatory transcriptional architecture. Thus, even without changing drug dose, the molecular “availability” of targets and the capacity for detoxification can change across the day through coordinated circadian regulation of transcriptional and epigenomic processes (Koike et al., 2012; Reinke &amp; Asher, 2019).</w:t>
      </w:r>
    </w:p>
    <w:p w14:paraId="009D7A90" w14:textId="77777777" w:rsidR="00A1605B" w:rsidRDefault="00A1605B" w:rsidP="00A1605B">
      <w:pPr>
        <w:pStyle w:val="Heading3"/>
      </w:pPr>
      <w:r>
        <w:t>3.3. Coupling between clocks, metabolism, and cellular stress responses</w:t>
      </w:r>
    </w:p>
    <w:p w14:paraId="34738615" w14:textId="77777777" w:rsidR="00A1605B" w:rsidRDefault="00A1605B" w:rsidP="00A1605B">
      <w:pPr>
        <w:pStyle w:val="NormalWeb"/>
      </w:pPr>
      <w:r>
        <w:t>Circadian clocks are tightly interwoven with metabolism: nutrients and energy state feed back onto the oscillator, while the oscillator schedules metabolic pathways to anticipate recurrent demands. Reviews integrating chronobiology with metabolic control emphasize that the clock partitions anabolic and catabolic processes, coordinates mitochondrial function and NAD+-dependent signaling, and times hormone secretion and substrate utilization (Asher &amp; Sassone-Corsi, 2015; Eckel-Mahan &amp; Sassone-Corsi, 2013; Reinke &amp; Asher, 2019). This coupling is directly relevant for pharmacology because many drugs interact with metabolic pathways (e.g., glucose handling, lipid synthesis, hepatic energy balance) and because biotransformation reactions depend on cofactors and cellular redox conditions that show daily variation. Consequently, identical drug exposure can yield different pharmacodynamic effects depending on whether tissues are in a metabolic “active/processing” phase versus a “rest/repair” phase (Bass &amp; Lazar, 2016; Eckel-Mahan &amp; Sassone-Corsi, 2013).</w:t>
      </w:r>
    </w:p>
    <w:p w14:paraId="4EEBAE11" w14:textId="77777777" w:rsidR="00A1605B" w:rsidRDefault="00A1605B" w:rsidP="00A1605B">
      <w:pPr>
        <w:pStyle w:val="NormalWeb"/>
      </w:pPr>
      <w:r>
        <w:t>Circadian control also intersects with cellular stress responses that influence drug efficacy and toxicity. A prominent example is rhythmic regulation of DNA damage responses and repair capacity, which has major implications for cytotoxic therapies and for toxicity arising from environmental and pharmaceutical genotoxins (Sancar et al., 2010). If DNA repair, checkpoint activation, or apoptotic priming is time gated, then drug-induced damage may be better tolerated at certain phases and more harmful at others, creating a biological basis for time-dependent therapeutic index even before considering drug concentration rhythms.</w:t>
      </w:r>
    </w:p>
    <w:p w14:paraId="4281B0BC" w14:textId="77777777" w:rsidR="00A1605B" w:rsidRDefault="00A1605B" w:rsidP="00A1605B">
      <w:pPr>
        <w:pStyle w:val="Heading3"/>
      </w:pPr>
      <w:r>
        <w:lastRenderedPageBreak/>
        <w:t>3.4. Tissue specificity and rhythmic “omics” landscapes shaping pharmacological phenotypes</w:t>
      </w:r>
    </w:p>
    <w:p w14:paraId="0465E355" w14:textId="77777777" w:rsidR="00A1605B" w:rsidRDefault="00A1605B" w:rsidP="00A1605B">
      <w:pPr>
        <w:pStyle w:val="NormalWeb"/>
      </w:pPr>
      <w:r>
        <w:t>A recurring finding across mammalian systems is that the set of rhythmic genes is strongly tissue specific: the same core clock can drive distinct output programs depending on local transcription factor networks, chromatin accessibility, and tissue function (Zhang et al., 2014; Takahashi, 2017). Large-scale atlases of rhythmic gene expression across organs demonstrate that a substantial fraction of the genome exhibits 24-hour regulation, but the identity and phase of rhythmic transcripts differ across tissues (Zhang et al., 2014). For pharmacology, this implies that time-of-day effects may originate in different layers of the ADME–target chain depending on drug class: for some drugs the dominant rhythm may be intestinal absorption, for others hepatic metabolism, and for others target pathway responsiveness.</w:t>
      </w:r>
    </w:p>
    <w:p w14:paraId="53CEEED9" w14:textId="77777777" w:rsidR="00A1605B" w:rsidRDefault="00A1605B" w:rsidP="00A1605B">
      <w:pPr>
        <w:pStyle w:val="NormalWeb"/>
      </w:pPr>
      <w:r>
        <w:t>Translation to humans requires moving beyond animal phase assumptions. A key barrier has been limited access to tissue-specific human rhythmicity; however, data-driven resources leveraging population transcriptomics and ordering algorithms have begun to map rhythmic expression across human tissues, explicitly aimed at circadian medicine applications (Ruben et al., 2018). Such resources support a more mechanistic approach to chrono-pharmacology: rather than treating time-of-day effects as empirical curiosities, they enable hypothesis-driven selection of dosing windows based on when targets and relevant pathways peak or trough in the relevant tissue context.</w:t>
      </w:r>
    </w:p>
    <w:p w14:paraId="44ADD2CC" w14:textId="77777777" w:rsidR="00A1605B" w:rsidRDefault="00A1605B" w:rsidP="00A1605B">
      <w:pPr>
        <w:pStyle w:val="Heading3"/>
      </w:pPr>
      <w:r>
        <w:t>3.5. Entrainment, circadian disruption, and inter-individual variability relevant to drug response</w:t>
      </w:r>
    </w:p>
    <w:p w14:paraId="5B7CBF63" w14:textId="77777777" w:rsidR="00A1605B" w:rsidRDefault="00A1605B" w:rsidP="00A1605B">
      <w:pPr>
        <w:pStyle w:val="NormalWeb"/>
      </w:pPr>
      <w:r>
        <w:t>Chronobiological foundations also include understanding how rhythms are perturbed in real-world conditions. Human studies demonstrate that circadian misalignment—when behavioral cycles such as sleep and meals are shifted relative to the endogenous clock—can acutely worsen metabolic and cardiovascular risk markers (Scheer et al., 2009). Because many patients live with shift work, insomnia, late-night light exposure, or irregular eating, pharmacological responses measured under “standard” schedules may not generalize. Importantly, disruption can alter both pharmacokinetics (via altered physiology and organ function) and pharmacodynamics (via altered immune tone, hormonal signaling, and tissue sensitivity), complicating dose optimization and safety assessment (Dallmann et al., 2014; Dallmann et al., 2016; Scheer et al., 2009).</w:t>
      </w:r>
    </w:p>
    <w:p w14:paraId="5BC72CA7" w14:textId="77777777" w:rsidR="00A1605B" w:rsidRDefault="00A1605B" w:rsidP="00A1605B">
      <w:pPr>
        <w:pStyle w:val="NormalWeb"/>
      </w:pPr>
      <w:r>
        <w:t>The immune system is a particularly salient example for therapeutics, as immune cell trafficking, cytokine responses, and inflammatory potential show circadian regulation. Contemporary syntheses in chrono-immunology argue that circadian timing influences susceptibility to inflammatory damage and responsiveness to immunomodulatory interventions, providing a biological rationale for time-aware vaccination strategies and for chrono-optimized immunotherapy (Scheiermann et al., 2018). Taken together, these chronobiological principles justify chrono-pharmacology as more than scheduling convenience: it is an attempt to align treatment with dynamic, clock-governed physiological states that influence exposure, efficacy, and toxicity.</w:t>
      </w:r>
    </w:p>
    <w:p w14:paraId="0308EDE5" w14:textId="77777777" w:rsidR="00A1605B" w:rsidRDefault="00A1605B" w:rsidP="00E52483">
      <w:pPr>
        <w:spacing w:before="100" w:beforeAutospacing="1" w:after="100" w:afterAutospacing="1" w:line="240" w:lineRule="auto"/>
        <w:ind w:left="0" w:right="0" w:firstLine="0"/>
        <w:jc w:val="left"/>
        <w:outlineLvl w:val="1"/>
        <w:rPr>
          <w:b/>
          <w:bCs/>
          <w:color w:val="auto"/>
          <w:kern w:val="0"/>
          <w:sz w:val="36"/>
          <w:szCs w:val="36"/>
          <w:lang w:val="en-US" w:eastAsia="en-US"/>
        </w:rPr>
      </w:pPr>
    </w:p>
    <w:p w14:paraId="089B1AE6" w14:textId="77777777" w:rsidR="004D7170" w:rsidRDefault="004D7170" w:rsidP="004D7170">
      <w:pPr>
        <w:pStyle w:val="Heading2"/>
      </w:pPr>
      <w:r>
        <w:lastRenderedPageBreak/>
        <w:t>4. Mechanistic basis of chrono-pharmacology</w:t>
      </w:r>
    </w:p>
    <w:p w14:paraId="41639F95" w14:textId="77777777" w:rsidR="004D7170" w:rsidRDefault="004D7170" w:rsidP="004D7170">
      <w:pPr>
        <w:pStyle w:val="Heading3"/>
      </w:pPr>
      <w:r>
        <w:t>4.1. From circadian biology to time-dependent drug response mechanisms</w:t>
      </w:r>
    </w:p>
    <w:p w14:paraId="25EDE02D" w14:textId="77777777" w:rsidR="004D7170" w:rsidRDefault="004D7170" w:rsidP="004D7170">
      <w:pPr>
        <w:pStyle w:val="NormalWeb"/>
      </w:pPr>
      <w:r>
        <w:t>Chrono-pharmacology is mechanistically grounded in the fact that drug exposure and drug effect are both “moving targets” across the 24-hour cycle. The molecular clockwork that generates circadian rhythms is embedded in most tissues and imposes daily structure on physiology that directly governs absorption, distribution, metabolism, and excretion (ADME), as well as on pharmacodynamic pathways that determine target engagement and downstream responses (Dallmann et al., 2014; Dallmann et al., 2016). Consequently, two patients receiving the same dose can experience meaningfully different systemic exposure or tissue exposure depending on administration time, even when conventional covariates (dose, formulation, renal function, liver enzymes) appear unchanged (Bicker et al., 2020). Mechanistically, this time dependence arises from coordinated oscillations in transporter abundance and activity, organ perfusion, barrier function, intracellular signaling, and detoxification capacity—features that can either widen or narrow the therapeutic window depending on when a drug is delivered (Ballesta et al., 2017; Dallmann et al., 2014).</w:t>
      </w:r>
    </w:p>
    <w:p w14:paraId="31BDECB9" w14:textId="77777777" w:rsidR="004D7170" w:rsidRDefault="004D7170" w:rsidP="004D7170">
      <w:pPr>
        <w:pStyle w:val="Heading3"/>
      </w:pPr>
      <w:r>
        <w:t>4.2. Circadian gating of absorption and presystemic handling</w:t>
      </w:r>
    </w:p>
    <w:p w14:paraId="5E2F4EE5" w14:textId="77777777" w:rsidR="004D7170" w:rsidRDefault="004D7170" w:rsidP="004D7170">
      <w:pPr>
        <w:pStyle w:val="NormalWeb"/>
      </w:pPr>
      <w:r>
        <w:t>Daily rhythms in gastrointestinal motility, gastric emptying, luminal pH, bile flow, and epithelial permeability can shift the rate and extent of absorption, particularly for drugs with dissolution-limited uptake or narrow absorption windows (Bicker et al., 2020). Beyond physiology, rhythmic expression of intestinal transporters provides a molecular lever for time-of-day differences in bioavailability. P-glycoprotein (P-gp/ABCB1), a major efflux transporter, exhibits circadian regulation in barrier tissues, which can alter the net absorption of its substrates and contribute to daily patterns in systemic exposure (Miller et al., 2010). Experimental pharmacokinetic evidence indicates that time-of-day changes in P-gp–mediated processes can translate into measurable differences in absorption and early disposition for transporter substrates, underscoring that “absorption” is not simply a passive process but a clock-modulated interface between the environment and systemic circulation (Bicker et al., 2020; Miller et al., 2010).</w:t>
      </w:r>
    </w:p>
    <w:p w14:paraId="57F2914A" w14:textId="77777777" w:rsidR="004D7170" w:rsidRDefault="004D7170" w:rsidP="004D7170">
      <w:pPr>
        <w:pStyle w:val="NormalWeb"/>
      </w:pPr>
      <w:r>
        <w:t>Presystemic hepatic handling is also time structured. Hepatic blood flow, sinusoidal exchange, and the rhythmic availability of cofactors that support oxidation and conjugation can vary across the day, shaping first-pass extraction and the fraction of parent drug reaching the systemic circulation (Dallmann et al., 2016; Lu &amp; Wu, 2020). These mechanisms are particularly important for high-extraction drugs and for compounds whose clinical profile is driven by active metabolites generated during first pass (Dallmann et al., 2016; Lu &amp; Wu, 2020).</w:t>
      </w:r>
    </w:p>
    <w:p w14:paraId="0FBCA585" w14:textId="77777777" w:rsidR="004D7170" w:rsidRDefault="004D7170" w:rsidP="004D7170">
      <w:pPr>
        <w:pStyle w:val="Heading3"/>
      </w:pPr>
      <w:r>
        <w:t>4.3. Rhythmic metabolism and clearance: circadian control of drug-processing networks</w:t>
      </w:r>
    </w:p>
    <w:p w14:paraId="5326866E" w14:textId="77777777" w:rsidR="004D7170" w:rsidRDefault="004D7170" w:rsidP="004D7170">
      <w:pPr>
        <w:pStyle w:val="NormalWeb"/>
      </w:pPr>
      <w:r>
        <w:t xml:space="preserve">A central mechanistic pillar of chrono-pharmacology is circadian transcriptional control of drug-processing genes, including phase I oxidation (notably cytochrome P450 enzymes), phase II conjugation, and phase III transport/export systems (Lu &amp; Wu, 2020; Zhang, Yeager, &amp; Klaassen, 2009). Genome-scale profiling in mammalian tissues demonstrates widespread rhythmicity among genes that encode enzymes and transporters relevant to drug handling, </w:t>
      </w:r>
      <w:r>
        <w:lastRenderedPageBreak/>
        <w:t xml:space="preserve">indicating that the capacity to metabolize or excrete xenobiotics is temporally patterned rather than constant (Zhang et al., 2014; Zhang, Yeager, &amp; Klaassen, 2009). Mechanistically, clock outputs interact with lineage-determining transcription factors and nuclear receptor signaling, producing tissue-specific waves of metabolic competence across the 24-hour day (Dallmann et al., 2014; </w:t>
      </w:r>
      <w:r w:rsidR="0014312B">
        <w:t>Green &amp; Takahashi, 2006</w:t>
      </w:r>
      <w:r>
        <w:t>).</w:t>
      </w:r>
    </w:p>
    <w:p w14:paraId="07FFFCC3" w14:textId="77777777" w:rsidR="004D7170" w:rsidRDefault="004D7170" w:rsidP="004D7170">
      <w:pPr>
        <w:pStyle w:val="NormalWeb"/>
      </w:pPr>
      <w:r>
        <w:t>Specific clock-controlled transcriptional interactions can directly program rhythmic expression of clinically relevant CYP pathways. For example, time-dependent protein–protein interactions among transcriptional regulators have been shown to underlie circadian expression of CYP enzymes, illustrating how the clock can “hard-wire” daily variation into biotransformation capacity (Matsunaga et al., 2012). Complementing this, experimental evidence links the core clock component BMAL1 to circadian regulation of Cyp3a11 expression and xenobiotic metabolism in vivo, providing a direct mechanistic bridge from canonical clock machinery to drug-metabolizing capacity (Lin et al., 2019). Such results matter clinically because CYP3A-family enzymes (and their human orthologs) contribute disproportionately to metabolism of many commonly prescribed medicines; rhythmic modulation of this pathway can therefore shift drug exposure, interaction liability, and metabolite-mediated toxicity risk depending on dosing time (Lu &amp; Wu, 2020; Lin et al., 2019).</w:t>
      </w:r>
    </w:p>
    <w:p w14:paraId="02906D4E" w14:textId="77777777" w:rsidR="004D7170" w:rsidRDefault="004D7170" w:rsidP="004D7170">
      <w:pPr>
        <w:pStyle w:val="NormalWeb"/>
      </w:pPr>
      <w:r>
        <w:t xml:space="preserve">Elimination processes show analogous circadian structure. Time-of-day rhythms in hepatic transporter activity (including efflux systems) and in renal filtration/secretion can reshape clearance and half-life, meaning that identical dosing can yield different concentration–time profiles across the day (Bicker et al., 2020; Dallmann et al., 2016). Because exposure metrics such as peak concentration and trough concentration often map to distinct efficacy or toxicity endpoints, these rhythmic shifts can alter not only “how much” drug is present, but also </w:t>
      </w:r>
      <w:r>
        <w:rPr>
          <w:rStyle w:val="Emphasis"/>
        </w:rPr>
        <w:t>when</w:t>
      </w:r>
      <w:r>
        <w:t xml:space="preserve"> exposure aligns with sensitive pharmacodynamic windows (Ballesta et al., 2017; Dallmann et al., 2014).</w:t>
      </w:r>
    </w:p>
    <w:p w14:paraId="79BE001B" w14:textId="77777777" w:rsidR="004D7170" w:rsidRDefault="004D7170" w:rsidP="004D7170">
      <w:pPr>
        <w:pStyle w:val="Heading3"/>
      </w:pPr>
      <w:r>
        <w:t>4.4. Pharmacodynamics: oscillating targets, pathways, and tissue sensitivity</w:t>
      </w:r>
    </w:p>
    <w:p w14:paraId="0917038D" w14:textId="77777777" w:rsidR="004D7170" w:rsidRDefault="004D7170" w:rsidP="004D7170">
      <w:pPr>
        <w:pStyle w:val="NormalWeb"/>
      </w:pPr>
      <w:r>
        <w:t>Chrono-pharmacology is not explained by pharmacokinetics alone. Many drug targets and downstream signaling pathways exhibit circadian oscillations in expression, activation state, trafficking, or coupling efficiency, which can amplify or dampen a drug’s effect even at the same concentration (Ballesta et al., 2017; Dallmann et al., 2014). Tissue-level rhythmicity is especially relevant when a drug’s effect depends on rapidly turning-over targets, receptor reserve, or pathway priming by endogenous hormones and immune mediators. Large-scale circadian atlases reveal that the “target landscape” across tissues changes throughout the day, helping explain why time-of-day can influence both therapeutic response and adverse effects for diverse drug classes (Zhang et al., 2014).</w:t>
      </w:r>
    </w:p>
    <w:p w14:paraId="52EFE674" w14:textId="77777777" w:rsidR="004D7170" w:rsidRDefault="004D7170" w:rsidP="004D7170">
      <w:pPr>
        <w:pStyle w:val="NormalWeb"/>
      </w:pPr>
      <w:r>
        <w:t>Immune pathways provide a prominent example of pharmacodynamic rhythmicity. Daily oscillations in leukocyte trafficking, cytokine responsiveness, and tissue immune tone can time-gate inflammation and host defense, thereby influencing the efficacy and toxicity of anti-inflammatory drugs, immunotherapies, and vaccines (Scheiermann et al., 2018). In such contexts, aligning drug delivery with predictable peaks in pathway activity—or avoiding times of heightened susceptibility—becomes a mechanistically rational strategy rather than a purely empirical scheduling choice (Scheiermann et al., 2018; Bicker et al., 2020).</w:t>
      </w:r>
    </w:p>
    <w:p w14:paraId="5868CCC0" w14:textId="77777777" w:rsidR="004D7170" w:rsidRDefault="004D7170" w:rsidP="004D7170">
      <w:pPr>
        <w:pStyle w:val="Heading3"/>
      </w:pPr>
      <w:r>
        <w:t>4.5. Chronotoxicity and therapeutic index: time as a safety variable</w:t>
      </w:r>
    </w:p>
    <w:p w14:paraId="4783CF12" w14:textId="77777777" w:rsidR="004D7170" w:rsidRDefault="004D7170" w:rsidP="004D7170">
      <w:pPr>
        <w:pStyle w:val="NormalWeb"/>
      </w:pPr>
      <w:r>
        <w:lastRenderedPageBreak/>
        <w:t xml:space="preserve">Mechanistic chrono-pharmacology also encompasses </w:t>
      </w:r>
      <w:r>
        <w:rPr>
          <w:rStyle w:val="Strong"/>
        </w:rPr>
        <w:t>chronotoxicity</w:t>
      </w:r>
      <w:r>
        <w:t>, where identical exposures can produce different injury risk because detoxification capacity, oxidative stress buffering, immune surveillance, and metabolic activation vary by time of day (Dallmann et al., 2016; Lu &amp; Wu, 2020). A compelling mechanistic illustration is acetaminophen-induced hepatotoxicity, which shows marked diurnal variation driven in part by gut microbiota–derived metabolites that influence hepatic glutathione depletion and susceptibility to oxidative damage, thereby modulating injury severity with dosing time (Gong et al., 2018). This model emphasizes that time-of-day effects can emerge from multi-organ interactions (gut–liver axis) and from rhythmic availability of protective buffers rather than from a single enzyme change (Gong et al., 2018; Dallmann et al., 2014).</w:t>
      </w:r>
    </w:p>
    <w:p w14:paraId="26ABBFE8" w14:textId="77777777" w:rsidR="004D7170" w:rsidRDefault="004D7170" w:rsidP="004D7170">
      <w:pPr>
        <w:pStyle w:val="NormalWeb"/>
      </w:pPr>
      <w:r>
        <w:t>In oncology, systems-level approaches similarly frame chrono-chemotherapy as an attempt to optimize the therapeutic index by synchronizing drug delivery with rhythms in cell-cycle regulation, DNA damage response capacity, and tissue regeneration, while also accounting for rhythmic drug metabolism and transport (Ballesta et al., 2017; Dallmann et al., 2016). The mechanistic implication is that “best time” is not universal: it emerges from the intersection of rhythmic PK processes with rhythmic PD vulnerability in the target tissue and in toxicity-limiting organs (Ballesta et al., 2017; Zhang et al., 2014).</w:t>
      </w:r>
    </w:p>
    <w:p w14:paraId="25EDDD02" w14:textId="77777777" w:rsidR="00E52483" w:rsidRPr="00E52483" w:rsidRDefault="00E52483" w:rsidP="00E52483">
      <w:pPr>
        <w:spacing w:after="0" w:line="240" w:lineRule="auto"/>
        <w:ind w:left="0" w:right="0" w:firstLine="0"/>
        <w:jc w:val="left"/>
        <w:rPr>
          <w:color w:val="auto"/>
          <w:kern w:val="0"/>
          <w:lang w:val="en-US" w:eastAsia="en-US"/>
        </w:rPr>
      </w:pPr>
    </w:p>
    <w:p w14:paraId="31445245" w14:textId="77777777" w:rsidR="002216D7" w:rsidRDefault="002216D7" w:rsidP="002216D7">
      <w:pPr>
        <w:pStyle w:val="Heading2"/>
      </w:pPr>
      <w:r>
        <w:t>5. Methodological approaches for chrono-pharmacology research and translation</w:t>
      </w:r>
    </w:p>
    <w:p w14:paraId="2514F1EA" w14:textId="77777777" w:rsidR="002216D7" w:rsidRDefault="002216D7" w:rsidP="002216D7">
      <w:pPr>
        <w:pStyle w:val="Heading3"/>
      </w:pPr>
      <w:r>
        <w:t>5.1. Treating “time” as an experimental variable: design, control, and documentation</w:t>
      </w:r>
    </w:p>
    <w:p w14:paraId="2F917779" w14:textId="77777777" w:rsidR="002216D7" w:rsidRDefault="002216D7" w:rsidP="002216D7">
      <w:pPr>
        <w:pStyle w:val="NormalWeb"/>
      </w:pPr>
      <w:r>
        <w:t>Methodological rigor in chrono-pharmacology begins with a deliberate decision to treat biological time as a causal variable rather than a nuisance source of variance. In both preclinical and clinical studies, dosing-time effects can be obscured or exaggerated if investigators do not explicitly define and control relevant temporal context, including the light–dark schedule, feeding–fasting pattern, sleep–wake timing, and habitual activity. Reviews that shaped current best practice emphasize that reproducible chronopharmacology requires carefully anchoring sampling and dosing to an organism’s circadian system and to the experimental zeitgebers used to entrain it (Dallmann et al., 2014; Dallmann et al., 2016). Translational frameworks similarly stress that reporting clock time alone is insufficient when internal circadian phase varies between individuals (Cederroth et al., 2019).</w:t>
      </w:r>
    </w:p>
    <w:p w14:paraId="7AA13226" w14:textId="77777777" w:rsidR="002216D7" w:rsidRDefault="002216D7" w:rsidP="002216D7">
      <w:pPr>
        <w:pStyle w:val="NormalWeb"/>
      </w:pPr>
      <w:r>
        <w:t>A practical methodological implication is that protocols should record both external time cues (e.g., scheduled lights on/off, local clock time, and timing of meals) and biological timing indicators when feasible. Circadian misalignment—common in shift work, irregular sleep, or hospital routines—can confound both pharmacokinetics and pharmacodynamics, making “same clock time” biologically non-equivalent across participants or study days (Scheer et al., 2009). Accordingly, high-quality translational chrono-pharmacology increasingly combines standardized external scheduling with biological phase phenotyping, especially in early-phase mechanistic trials (Cederroth et al., 2019; Dallmann et al., 2016).</w:t>
      </w:r>
    </w:p>
    <w:p w14:paraId="150DC9CD" w14:textId="77777777" w:rsidR="002216D7" w:rsidRDefault="002216D7" w:rsidP="002216D7">
      <w:pPr>
        <w:pStyle w:val="Heading3"/>
      </w:pPr>
      <w:r>
        <w:lastRenderedPageBreak/>
        <w:t>5.2. Human circadian phenotyping for chrono-pharmacology: phase, amplitude, and behavior</w:t>
      </w:r>
    </w:p>
    <w:p w14:paraId="4D0389D3" w14:textId="77777777" w:rsidR="002216D7" w:rsidRDefault="002216D7" w:rsidP="002216D7">
      <w:pPr>
        <w:pStyle w:val="NormalWeb"/>
      </w:pPr>
      <w:r>
        <w:t>Human translation requires methods that quantify internal timing with enough precision to guide dosing decisions. Dim-light melatonin onset (DLMO) remains a widely used phase marker, but it is sensitive to assay strategy and sampling schedule; methodological work shows that threshold choice and sampling rate meaningfully influence estimated onset time, directly affecting phase-based inference (Molina &amp; Burgess, 2011). These findings matter for chrono-pharmacology because phase errors of even one to two hours can reclassify a participant’s dosing as “optimal” versus “mis-timed” when drug targets or metabolic pathways show steep circadian slopes.</w:t>
      </w:r>
    </w:p>
    <w:p w14:paraId="1BCB4104" w14:textId="77777777" w:rsidR="002216D7" w:rsidRDefault="002216D7" w:rsidP="002216D7">
      <w:pPr>
        <w:pStyle w:val="NormalWeb"/>
      </w:pPr>
      <w:r>
        <w:t>Complementary approaches aim to improve feasibility for clinical translation. Wrist actigraphy is a pragmatic method for estimating sleep timing and rest–activity rhythms in naturalistic settings and is increasingly used to characterize circadian rhythm sleep–wake patterns relevant to medication timing (Martin &amp; Hakim, 2011). Clinical guidance further supports actigraphy’s role across sleep and circadian rhythm disorders, while also documenting limitations such as reduced specificity for wake during quiet rest and variable performance across phenotypes (Smith et al., 2018). Beyond wearables, passive digital phenotyping can provide high-frequency behavioral timing signals; smartphone touch interaction patterns (“tappigraphy”) have been used to infer sleep–wake timing and fragmentation, offering a scalable complement to actigraphy where device adherence is high (Borger et al., 2019).</w:t>
      </w:r>
    </w:p>
    <w:p w14:paraId="5F89F65E" w14:textId="77777777" w:rsidR="002216D7" w:rsidRDefault="002216D7" w:rsidP="002216D7">
      <w:pPr>
        <w:pStyle w:val="NormalWeb"/>
      </w:pPr>
      <w:r>
        <w:t>Biomarker-based phase estimation is another methodological frontier. A single-sample blood transcript biomarker approach (“BodyTime”) demonstrated high-accuracy estimation of internal circadian time, designed explicitly to support personalized timing of therapy when DLMO is impractical (Wittenbrink et al., 2018). In parallel, population-scale rhythmic gene resources enable investigators to map candidate drug targets and pathways onto tissue-specific rhythmicity, improving hypothesis generation and trial prioritization (Ruben et al., 2018). Methodologically, these tools encourage a shift from using time-of-day as a coarse covariate toward constructing mechanistic timing hypotheses grounded in tissue biology.</w:t>
      </w:r>
    </w:p>
    <w:p w14:paraId="4ABD4BAA" w14:textId="77777777" w:rsidR="002216D7" w:rsidRDefault="002216D7" w:rsidP="002216D7">
      <w:pPr>
        <w:pStyle w:val="Heading3"/>
      </w:pPr>
      <w:r>
        <w:t>5.3. Preclinical and experimental platforms: aligning models with translational questions</w:t>
      </w:r>
    </w:p>
    <w:p w14:paraId="5B0C9897" w14:textId="77777777" w:rsidR="002216D7" w:rsidRDefault="002216D7" w:rsidP="002216D7">
      <w:pPr>
        <w:pStyle w:val="NormalWeb"/>
      </w:pPr>
      <w:r>
        <w:t>Preclinical chrono-pharmacology hinges on matching experimental models to the translational timing question. Conceptual syntheses emphasize that daily rhythms influence ADME processes and target-pathway sensitivity, so timing effects observed in vivo can arise from oscillations in metabolism, transport, immune tone, or target engagement (Dallmann et al., 2014; Dallmann et al., 2016). For translation, the methodological challenge is to disentangle whether time dependence is primarily pharmacokinetic, pharmacodynamic, or jointly determined. Systems-level approaches argue that integrating rhythmic biology into model structure—rather than adding time-of-day post hoc—yields more transportable insights across species and settings (Ballesta et al., 2017).</w:t>
      </w:r>
    </w:p>
    <w:p w14:paraId="0D46BEE9" w14:textId="77777777" w:rsidR="002216D7" w:rsidRDefault="002216D7" w:rsidP="002216D7">
      <w:pPr>
        <w:pStyle w:val="NormalWeb"/>
      </w:pPr>
      <w:r>
        <w:t xml:space="preserve">A further translational issue is that experimental schedules (lighting, feeding, handling) can inadvertently reprogram rhythms and shift apparent optimal dosing. Therefore, protocols should treat husbandry and sampling as interventions with circadian effects, not merely </w:t>
      </w:r>
      <w:r>
        <w:lastRenderedPageBreak/>
        <w:t>background conditions (Cederroth et al., 2019; Dallmann et al., 2016). When moving from nocturnal rodent models to diurnal humans, explicit consideration of phase inversion is crucial; what is “morning” in a nocturnal animal’s active phase may correspond biologically to “evening” in humans. Methodologically, the safest translational path is to interpret animal dosing results relative to biological phase (active vs. rest) and measurable circadian markers rather than to absolute clock time.</w:t>
      </w:r>
    </w:p>
    <w:p w14:paraId="6E16B341" w14:textId="77777777" w:rsidR="002216D7" w:rsidRDefault="002216D7" w:rsidP="002216D7">
      <w:pPr>
        <w:pStyle w:val="Heading3"/>
      </w:pPr>
      <w:r>
        <w:t>5.4. From mechanistic studies to clinical trials: embedding timing into protocol architecture</w:t>
      </w:r>
    </w:p>
    <w:p w14:paraId="77E7B0CF" w14:textId="77777777" w:rsidR="002216D7" w:rsidRDefault="002216D7" w:rsidP="002216D7">
      <w:pPr>
        <w:pStyle w:val="NormalWeb"/>
      </w:pPr>
      <w:r>
        <w:t>Clinical translation requires trial designs that can detect timing effects without conflating them with adherence, behavior change, or differential exposure. Pragmatic timing interventions can be powerful when anchored in a plausible circadian mechanism and paired with adequate documentation of sleep, meals, and co-medication timing (Cederroth et al., 2019; Dallmann et al., 2016). Inflammatory diseases provide a classic example: modified-release prednisone formulated for nocturnal release was evaluated in rheumatoid arthritis with a clear rationale based on the early-morning inflammatory peak, illustrating how pharmaceutical design can operationalize chrono-pharmacology even when patient dosing occurs at convenient times (Buttgereit et al., 2008). Immunization timing trials similarly demonstrate feasible implementation of dosing-time interventions in routine care: morning influenza vaccination produced different antibody responses than afternoon vaccination in older adults, underscoring that chrono-therapeutic hypotheses can be tested with pragmatic workflows when timing is controlled (Long et al., 2016).</w:t>
      </w:r>
    </w:p>
    <w:p w14:paraId="0E76DA22" w14:textId="77777777" w:rsidR="002216D7" w:rsidRDefault="002216D7" w:rsidP="002216D7">
      <w:pPr>
        <w:pStyle w:val="NormalWeb"/>
      </w:pPr>
      <w:r>
        <w:t>Because timing trials can be sensitive to protocol deviations and reporting ambiguity, standardized trial guidance is methodologically important. CONSORT reporting guidance helps ensure transparent documentation of design, flow, and analysis choices that are especially consequential when timing subgroups or adherence patterns differ (Schulz et al., 2010). SPIRIT guidance supports complete protocol specification, which is critical when timing is part of the intervention definition (e.g., allowable dosing windows, phase assessment plan, and co-intervention timing restrictions) (Chan et al., 2013a, 2013b). In chrono-pharmacology, adopting these guidelines can reduce interpretability gaps that have historically limited replication and meta-analysis across timing studies.</w:t>
      </w:r>
    </w:p>
    <w:p w14:paraId="009AF13E" w14:textId="77777777" w:rsidR="002216D7" w:rsidRDefault="002216D7" w:rsidP="002216D7">
      <w:pPr>
        <w:pStyle w:val="Heading3"/>
      </w:pPr>
      <w:r>
        <w:t>5.5. Implementation and real-world translation: feasibility, personalization, and evidence synthesis</w:t>
      </w:r>
    </w:p>
    <w:p w14:paraId="5325956A" w14:textId="77777777" w:rsidR="002216D7" w:rsidRDefault="002216D7" w:rsidP="002216D7">
      <w:pPr>
        <w:pStyle w:val="NormalWeb"/>
      </w:pPr>
      <w:r>
        <w:t>The final methodological step is implementation—turning timing knowledge into actionable clinical routines. Broad translational reviews argue that “clock-aware” medicine requires methods that are scalable (wearables, digital signals, or minimal-burden biomarkers), interpretable, and integrated into clinical decision pathways (Ballesta et al., 2017; Cederroth et al., 2019). Actigraphy guidelines and clinical reviews can inform where objective timing measures are most beneficial and where simpler behavioral measures may suffice (Martin &amp; Hakim, 2011; Smith et al., 2018). Biomarker tools and rhythmic gene resources provide a pathway to personalization—selecting candidates for timing optimization, identifying likely responders, and tailoring schedules to internal time rather than social clock time (Ruben et al., 2018; Wittenbrink et al., 2018).</w:t>
      </w:r>
    </w:p>
    <w:p w14:paraId="63E1DEB2" w14:textId="77777777" w:rsidR="002216D7" w:rsidRDefault="002216D7" w:rsidP="002216D7">
      <w:pPr>
        <w:pStyle w:val="NormalWeb"/>
      </w:pPr>
      <w:r>
        <w:lastRenderedPageBreak/>
        <w:t>Methodologically, real-world translation should also anticipate circadian disruption in modern life. Shift work, irregular sleep, and hospital environments create misalignment states that can reshape metabolic and cardiovascular physiology, potentially altering drug response and toxicity profiles (Scheer et al., 2009). Thus, implementation research in chrono-pharmacology must evaluate not only “best” timing under ideal conditions but also robustness under misalignment and variability, using pragmatic measurement strategies and transparent protocol frameworks (Chan et al., 2013a, 2013b; Schulz et al., 2010).</w:t>
      </w:r>
    </w:p>
    <w:p w14:paraId="6B293A23" w14:textId="77777777" w:rsidR="00E52483" w:rsidRPr="00E52483" w:rsidRDefault="00E52483" w:rsidP="00E52483">
      <w:pPr>
        <w:spacing w:after="0" w:line="240" w:lineRule="auto"/>
        <w:ind w:left="0" w:right="0" w:firstLine="0"/>
        <w:jc w:val="left"/>
        <w:rPr>
          <w:color w:val="auto"/>
          <w:kern w:val="0"/>
          <w:lang w:val="en-US" w:eastAsia="en-US"/>
        </w:rPr>
      </w:pPr>
    </w:p>
    <w:p w14:paraId="27A84B00" w14:textId="77777777" w:rsidR="002E404D" w:rsidRPr="002E404D" w:rsidRDefault="002E404D" w:rsidP="002E404D">
      <w:pPr>
        <w:spacing w:before="100" w:beforeAutospacing="1" w:after="100" w:afterAutospacing="1" w:line="240" w:lineRule="auto"/>
        <w:ind w:left="0" w:right="0" w:firstLine="0"/>
        <w:jc w:val="left"/>
        <w:outlineLvl w:val="1"/>
        <w:rPr>
          <w:b/>
          <w:bCs/>
          <w:color w:val="auto"/>
          <w:kern w:val="0"/>
          <w:sz w:val="36"/>
          <w:szCs w:val="36"/>
          <w:lang w:val="en-US" w:eastAsia="en-US"/>
        </w:rPr>
      </w:pPr>
      <w:r w:rsidRPr="002E404D">
        <w:rPr>
          <w:b/>
          <w:bCs/>
          <w:color w:val="auto"/>
          <w:kern w:val="0"/>
          <w:sz w:val="36"/>
          <w:szCs w:val="36"/>
          <w:lang w:val="en-US" w:eastAsia="en-US"/>
        </w:rPr>
        <w:t>6. Evidence across therapeutic domains</w:t>
      </w:r>
    </w:p>
    <w:p w14:paraId="7E520342" w14:textId="77777777" w:rsidR="002E404D" w:rsidRPr="002E404D" w:rsidRDefault="002E404D" w:rsidP="002E404D">
      <w:pPr>
        <w:spacing w:before="100" w:beforeAutospacing="1" w:after="100" w:afterAutospacing="1" w:line="240" w:lineRule="auto"/>
        <w:ind w:left="0" w:right="0" w:firstLine="0"/>
        <w:jc w:val="left"/>
        <w:outlineLvl w:val="2"/>
        <w:rPr>
          <w:b/>
          <w:bCs/>
          <w:color w:val="auto"/>
          <w:kern w:val="0"/>
          <w:sz w:val="27"/>
          <w:szCs w:val="27"/>
          <w:lang w:val="en-US" w:eastAsia="en-US"/>
        </w:rPr>
      </w:pPr>
      <w:r w:rsidRPr="002E404D">
        <w:rPr>
          <w:b/>
          <w:bCs/>
          <w:color w:val="auto"/>
          <w:kern w:val="0"/>
          <w:sz w:val="27"/>
          <w:szCs w:val="27"/>
          <w:lang w:val="en-US" w:eastAsia="en-US"/>
        </w:rPr>
        <w:t>6.1 Cardiovascular therapeutics: antihypertensive, antiplatelet, and lipid-lowering chronotherapy</w:t>
      </w:r>
    </w:p>
    <w:p w14:paraId="2B53E706" w14:textId="77777777" w:rsidR="002E404D" w:rsidRPr="002E404D" w:rsidRDefault="002E404D" w:rsidP="002E404D">
      <w:pPr>
        <w:spacing w:before="100" w:beforeAutospacing="1" w:after="100" w:afterAutospacing="1" w:line="240" w:lineRule="auto"/>
        <w:ind w:left="0" w:right="0" w:firstLine="0"/>
        <w:jc w:val="left"/>
        <w:rPr>
          <w:color w:val="auto"/>
          <w:kern w:val="0"/>
          <w:lang w:val="en-US" w:eastAsia="en-US"/>
        </w:rPr>
      </w:pPr>
      <w:r w:rsidRPr="002E404D">
        <w:rPr>
          <w:color w:val="auto"/>
          <w:kern w:val="0"/>
          <w:lang w:val="en-US" w:eastAsia="en-US"/>
        </w:rPr>
        <w:t xml:space="preserve">Cardiovascular disease was among the earliest clinical arenas in which chrono-pharmacology moved from mechanistic plausibility to pragmatic clinical questions: does changing dosing time (without changing dose) measurably improve blood pressure control, vascular biology, and outcomes? Observational physiology supports the premise, because blood pressure, sympathetic tone, vascular stiffness, renin–angiotensin–aldosterone signaling, and platelet reactivity all show marked circadian patterning, with many adverse events clustering in the morning hours. This has driven bedtime-dosing strategies aimed at better sleep-period blood pressure control and reduction of the morning surge. Large pragmatic evidence, however, has made it clear that “one timing rule fits all” is not currently defensible. The TIME trial, a large randomized study comparing evening versus morning intake of usual antihypertensives, found no significant difference in major cardiovascular outcomes between strategies, supporting the view that routine switching of all antihypertensives to bedtime cannot be justified solely for event prevention (Mackenzie et al., 2022; Lim, 2023; Salah &amp; Mehta, 2022). </w:t>
      </w:r>
    </w:p>
    <w:p w14:paraId="4CD2A852" w14:textId="77777777" w:rsidR="002E404D" w:rsidRPr="002E404D" w:rsidRDefault="002E404D" w:rsidP="002E404D">
      <w:pPr>
        <w:spacing w:before="100" w:beforeAutospacing="1" w:after="100" w:afterAutospacing="1" w:line="240" w:lineRule="auto"/>
        <w:ind w:left="0" w:right="0" w:firstLine="0"/>
        <w:jc w:val="left"/>
        <w:rPr>
          <w:color w:val="auto"/>
          <w:kern w:val="0"/>
          <w:lang w:val="en-US" w:eastAsia="en-US"/>
        </w:rPr>
      </w:pPr>
      <w:r w:rsidRPr="002E404D">
        <w:rPr>
          <w:color w:val="auto"/>
          <w:kern w:val="0"/>
          <w:lang w:val="en-US" w:eastAsia="en-US"/>
        </w:rPr>
        <w:t xml:space="preserve">At the same time, smaller and more phenotype-targeted approaches continue to suggest that dosing time can matter for intermediate blood pressure endpoints. The MAPEC study reported substantial improvements in asleep blood pressure, dipping status, and event rates when at least one medication was moved to bedtime (Hermida et al., 2010). More recently, the OMAN randomized clinical trial tested a fixed single-pill combination (olmesartan/amlodipine) administered either in the morning or at bedtime and demonstrated greater nocturnal blood pressure reduction and improved circadian blood pressure patterning in the bedtime group over short-term follow-up, without an apparent signal for excess nocturnal hypotension (Ye et al., 2025). These data collectively imply that chrono-therapeutic benefit is likely to be enriched in patients with nocturnal hypertension, non-dipping patterns, or persistent morning hypertension, whereas broad population-wide bedtime dosing may dilute benefit and amplify adherence/logistical heterogeneity. Reflecting this nuance, a consensus document concluded that routine bedtime dosing is not recommended, but bedtime dosing may be considered selectively when nocturnal or early morning blood pressure remains uncontrolled despite use of long-acting therapy (Park et al., 2023). </w:t>
      </w:r>
    </w:p>
    <w:p w14:paraId="48903525" w14:textId="77777777" w:rsidR="002E404D" w:rsidRPr="002E404D" w:rsidRDefault="002E404D" w:rsidP="002E404D">
      <w:pPr>
        <w:spacing w:before="100" w:beforeAutospacing="1" w:after="100" w:afterAutospacing="1" w:line="240" w:lineRule="auto"/>
        <w:ind w:left="0" w:right="0" w:firstLine="0"/>
        <w:jc w:val="left"/>
        <w:rPr>
          <w:color w:val="auto"/>
          <w:kern w:val="0"/>
          <w:lang w:val="en-US" w:eastAsia="en-US"/>
        </w:rPr>
      </w:pPr>
      <w:r w:rsidRPr="002E404D">
        <w:rPr>
          <w:color w:val="auto"/>
          <w:kern w:val="0"/>
          <w:lang w:val="en-US" w:eastAsia="en-US"/>
        </w:rPr>
        <w:t xml:space="preserve">Chrono-pharmacologic principles also extend beyond antihypertensives to thrombosis and lipid biology. Platelet aggregation and thrombotic potential tend to peak in the morning, aligning with the timing of many acute coronary syndromes and ischemic strokes. In a </w:t>
      </w:r>
      <w:r w:rsidRPr="002E404D">
        <w:rPr>
          <w:color w:val="auto"/>
          <w:kern w:val="0"/>
          <w:lang w:val="en-US" w:eastAsia="en-US"/>
        </w:rPr>
        <w:lastRenderedPageBreak/>
        <w:t xml:space="preserve">randomized cross-over trial, aspirin administered at bedtime versus on awakening produced time-dependent effects on blood pressure and morning platelet reactivity, consistent with the hypothesis that aligning antiplatelet exposure with circadian vulnerability windows may improve surrogate markers (Bonten et al., 2015). However, this remains an area where mechanistic plausibility outpaces definitive outcomes evidence, and co-medications, bleeding risk, and patient routines are major confounders. For statins, hepatic cholesterol synthesis exhibits circadian rhythmicity, historically supporting evening dosing, particularly for short-acting agents. A systematic review and meta-analysis comparing morning versus evening administration found modestly greater LDL-C lowering with evening dosing overall, while emphasizing that for long-acting statins the clinical priority may reasonably shift toward adherence rather than strict timing (Awad et al., 2017). Collectively, the cardiovascular domain illustrates a core translational lesson for chrono-pharmacology: timing effects are real but often context-dependent, and the most credible clinical value may arise from phenotype-guided timing strategies rather than universal rules. </w:t>
      </w:r>
    </w:p>
    <w:p w14:paraId="5F53A0BC" w14:textId="77777777" w:rsidR="002E404D" w:rsidRPr="002E404D" w:rsidRDefault="002E404D" w:rsidP="002E404D">
      <w:pPr>
        <w:spacing w:before="100" w:beforeAutospacing="1" w:after="100" w:afterAutospacing="1" w:line="240" w:lineRule="auto"/>
        <w:ind w:left="0" w:right="0" w:firstLine="0"/>
        <w:jc w:val="left"/>
        <w:outlineLvl w:val="2"/>
        <w:rPr>
          <w:b/>
          <w:bCs/>
          <w:color w:val="auto"/>
          <w:kern w:val="0"/>
          <w:sz w:val="27"/>
          <w:szCs w:val="27"/>
          <w:lang w:val="en-US" w:eastAsia="en-US"/>
        </w:rPr>
      </w:pPr>
      <w:r w:rsidRPr="002E404D">
        <w:rPr>
          <w:b/>
          <w:bCs/>
          <w:color w:val="auto"/>
          <w:kern w:val="0"/>
          <w:sz w:val="27"/>
          <w:szCs w:val="27"/>
          <w:lang w:val="en-US" w:eastAsia="en-US"/>
        </w:rPr>
        <w:t>6.2 Endocrine replacement as “built-in” chronotherapy</w:t>
      </w:r>
    </w:p>
    <w:p w14:paraId="264A3366" w14:textId="77777777" w:rsidR="002E404D" w:rsidRPr="002E404D" w:rsidRDefault="002E404D" w:rsidP="002E404D">
      <w:pPr>
        <w:spacing w:before="100" w:beforeAutospacing="1" w:after="100" w:afterAutospacing="1" w:line="240" w:lineRule="auto"/>
        <w:ind w:left="0" w:right="0" w:firstLine="0"/>
        <w:jc w:val="left"/>
        <w:rPr>
          <w:color w:val="auto"/>
          <w:kern w:val="0"/>
          <w:lang w:val="en-US" w:eastAsia="en-US"/>
        </w:rPr>
      </w:pPr>
      <w:r w:rsidRPr="002E404D">
        <w:rPr>
          <w:color w:val="auto"/>
          <w:kern w:val="0"/>
          <w:lang w:val="en-US" w:eastAsia="en-US"/>
        </w:rPr>
        <w:t>Endocrinology offers unusually direct evidence for chrono-pharmacology because hormone secretion is inherently rhythmic and therapeutic success often depends on reproducing not just total exposure but also time-structured profiles. In adrenal insufficiency, conventional hydrocortisone regimens can produce non-physiologic cortisol exposure patterns that may contribute to cardiometabolic risk. A prospective randomized trial of a dual-release hydrocortisone formulation improved the cortisol exposure–time profile and was associated with better clinical and metabolic outcomes compared with standard regimens (Johannsson et al., 2012). This domain underscores that chrono-pharmacology is not merely “morning versus evening dosing,” but can also be implemented through formulation engineering that encodes circadian logic into drug release, thereby reducing the behavioral burden on patients while improving physiologic fidelity.</w:t>
      </w:r>
    </w:p>
    <w:p w14:paraId="07A2A780" w14:textId="77777777" w:rsidR="002E404D" w:rsidRPr="002E404D" w:rsidRDefault="002E404D" w:rsidP="002E404D">
      <w:pPr>
        <w:spacing w:before="100" w:beforeAutospacing="1" w:after="100" w:afterAutospacing="1" w:line="240" w:lineRule="auto"/>
        <w:ind w:left="0" w:right="0" w:firstLine="0"/>
        <w:jc w:val="left"/>
        <w:outlineLvl w:val="2"/>
        <w:rPr>
          <w:b/>
          <w:bCs/>
          <w:color w:val="auto"/>
          <w:kern w:val="0"/>
          <w:sz w:val="27"/>
          <w:szCs w:val="27"/>
          <w:lang w:val="en-US" w:eastAsia="en-US"/>
        </w:rPr>
      </w:pPr>
      <w:r w:rsidRPr="002E404D">
        <w:rPr>
          <w:b/>
          <w:bCs/>
          <w:color w:val="auto"/>
          <w:kern w:val="0"/>
          <w:sz w:val="27"/>
          <w:szCs w:val="27"/>
          <w:lang w:val="en-US" w:eastAsia="en-US"/>
        </w:rPr>
        <w:t>6.3 Rheumatology: targeting inflammatory symptom timing in rheumatoid arthritis</w:t>
      </w:r>
    </w:p>
    <w:p w14:paraId="06008C01" w14:textId="77777777" w:rsidR="002E404D" w:rsidRPr="002E404D" w:rsidRDefault="002E404D" w:rsidP="002E404D">
      <w:pPr>
        <w:spacing w:before="100" w:beforeAutospacing="1" w:after="100" w:afterAutospacing="1" w:line="240" w:lineRule="auto"/>
        <w:ind w:left="0" w:right="0" w:firstLine="0"/>
        <w:jc w:val="left"/>
        <w:rPr>
          <w:color w:val="auto"/>
          <w:kern w:val="0"/>
          <w:lang w:val="en-US" w:eastAsia="en-US"/>
        </w:rPr>
      </w:pPr>
      <w:r w:rsidRPr="002E404D">
        <w:rPr>
          <w:color w:val="auto"/>
          <w:kern w:val="0"/>
          <w:lang w:val="en-US" w:eastAsia="en-US"/>
        </w:rPr>
        <w:t>Inflammatory rheumatic diseases provide a compelling therapeutic rationale for chrono-pharmacology because symptom severity and inflammatory mediators often worsen in the late night/early morning period, producing characteristic morning stiffness and functional impairment. The CAPRA-1 randomized controlled trial evaluated modified-release prednisone designed for bedtime intake with delayed nocturnal release and demonstrated superiority over immediate-release prednisone in reducing the duration of morning joint stiffness, without major safety differences over the trial period (Buttgereit et al., 2008). These findings are frequently cited as a prototypical example of “disease-timed” glucocorticoid therapy: instead of simply increasing dose, therapeutic gain can be achieved by shifting exposure to the temporal window most aligned with symptom generation. In practice, this approach also illustrates the pragmatic advantage of timed-release formulations: the patient behavior remains simple (bedtime dosing), while the pharmacology is programmed to match circadian pathophysiology.</w:t>
      </w:r>
    </w:p>
    <w:p w14:paraId="5E07C62C" w14:textId="77777777" w:rsidR="002E404D" w:rsidRPr="002E404D" w:rsidRDefault="002E404D" w:rsidP="002E404D">
      <w:pPr>
        <w:spacing w:before="100" w:beforeAutospacing="1" w:after="100" w:afterAutospacing="1" w:line="240" w:lineRule="auto"/>
        <w:ind w:left="0" w:right="0" w:firstLine="0"/>
        <w:jc w:val="left"/>
        <w:outlineLvl w:val="2"/>
        <w:rPr>
          <w:b/>
          <w:bCs/>
          <w:color w:val="auto"/>
          <w:kern w:val="0"/>
          <w:sz w:val="27"/>
          <w:szCs w:val="27"/>
          <w:lang w:val="en-US" w:eastAsia="en-US"/>
        </w:rPr>
      </w:pPr>
      <w:r w:rsidRPr="002E404D">
        <w:rPr>
          <w:b/>
          <w:bCs/>
          <w:color w:val="auto"/>
          <w:kern w:val="0"/>
          <w:sz w:val="27"/>
          <w:szCs w:val="27"/>
          <w:lang w:val="en-US" w:eastAsia="en-US"/>
        </w:rPr>
        <w:t>6.4 Respiratory medicine: nocturnal asthma and the timing of controller therapy</w:t>
      </w:r>
    </w:p>
    <w:p w14:paraId="6B4A6E95" w14:textId="77777777" w:rsidR="002E404D" w:rsidRPr="002E404D" w:rsidRDefault="002E404D" w:rsidP="002E404D">
      <w:pPr>
        <w:spacing w:before="100" w:beforeAutospacing="1" w:after="100" w:afterAutospacing="1" w:line="240" w:lineRule="auto"/>
        <w:ind w:left="0" w:right="0" w:firstLine="0"/>
        <w:jc w:val="left"/>
        <w:rPr>
          <w:color w:val="auto"/>
          <w:kern w:val="0"/>
          <w:lang w:val="en-US" w:eastAsia="en-US"/>
        </w:rPr>
      </w:pPr>
      <w:r w:rsidRPr="002E404D">
        <w:rPr>
          <w:color w:val="auto"/>
          <w:kern w:val="0"/>
          <w:lang w:val="en-US" w:eastAsia="en-US"/>
        </w:rPr>
        <w:lastRenderedPageBreak/>
        <w:t>Asthma severity commonly worsens overnight, driven by interactions among sleep state, airway inflammation, autonomic balance, and circadian variation in bronchomotor tone. Reviews of nocturnal asthma highlight that chronotherapeutic approaches—such as ensuring that bronchodilator and inhaled corticosteroid activity adequately covers the night—can be clinically meaningful for symptom control in susceptible phenotypes (Greenberg &amp; Cohen, 2012). While modern asthma care emphasizes individualized step therapy and inhaler technique, the chronobiological frame remains relevant: symptom timing should be considered when selecting drug class, dosing schedule, and formulation, especially for patients reporting nighttime awakenings, early-morning rescue inhaler use, or peak expiratory flow nadirs during sleep.</w:t>
      </w:r>
    </w:p>
    <w:p w14:paraId="218139D9" w14:textId="77777777" w:rsidR="002E404D" w:rsidRPr="002E404D" w:rsidRDefault="002E404D" w:rsidP="002E404D">
      <w:pPr>
        <w:spacing w:before="100" w:beforeAutospacing="1" w:after="100" w:afterAutospacing="1" w:line="240" w:lineRule="auto"/>
        <w:ind w:left="0" w:right="0" w:firstLine="0"/>
        <w:jc w:val="left"/>
        <w:outlineLvl w:val="2"/>
        <w:rPr>
          <w:b/>
          <w:bCs/>
          <w:color w:val="auto"/>
          <w:kern w:val="0"/>
          <w:sz w:val="27"/>
          <w:szCs w:val="27"/>
          <w:lang w:val="en-US" w:eastAsia="en-US"/>
        </w:rPr>
      </w:pPr>
      <w:r w:rsidRPr="002E404D">
        <w:rPr>
          <w:b/>
          <w:bCs/>
          <w:color w:val="auto"/>
          <w:kern w:val="0"/>
          <w:sz w:val="27"/>
          <w:szCs w:val="27"/>
          <w:lang w:val="en-US" w:eastAsia="en-US"/>
        </w:rPr>
        <w:t>6.5 Vaccination and chrono-immunology: timing effects on immune priming</w:t>
      </w:r>
    </w:p>
    <w:p w14:paraId="75950D13" w14:textId="77777777" w:rsidR="002E404D" w:rsidRPr="002E404D" w:rsidRDefault="002E404D" w:rsidP="002E404D">
      <w:pPr>
        <w:spacing w:before="100" w:beforeAutospacing="1" w:after="100" w:afterAutospacing="1" w:line="240" w:lineRule="auto"/>
        <w:ind w:left="0" w:right="0" w:firstLine="0"/>
        <w:jc w:val="left"/>
        <w:rPr>
          <w:color w:val="auto"/>
          <w:kern w:val="0"/>
          <w:lang w:val="en-US" w:eastAsia="en-US"/>
        </w:rPr>
      </w:pPr>
      <w:r w:rsidRPr="002E404D">
        <w:rPr>
          <w:color w:val="auto"/>
          <w:kern w:val="0"/>
          <w:lang w:val="en-US" w:eastAsia="en-US"/>
        </w:rPr>
        <w:t>Immunology has recently reinvigorated chrono-pharmacology through evidence that immune cell trafficking, cytokine signaling, antigen presentation, and vaccine responsiveness vary across the circadian cycle. A cluster-randomized trial found that morning vaccination enhanced antibody responses compared with afternoon vaccination in adults, suggesting that the time of antigen exposure can shape the magnitude of adaptive immune priming (Long et al., 2016). Although the generalizability of time-of-day vaccine effects across platforms, ages, and comorbidities remains incompletely resolved, this line of evidence reinforces a broader conceptual shift: in some interventions, timing may act as a low-cost “adjuvant-like” variable, potentially improving effectiveness without changing antigen dose or formulation.</w:t>
      </w:r>
    </w:p>
    <w:p w14:paraId="72238A89" w14:textId="77777777" w:rsidR="002E404D" w:rsidRPr="002E404D" w:rsidRDefault="002E404D" w:rsidP="002E404D">
      <w:pPr>
        <w:spacing w:before="100" w:beforeAutospacing="1" w:after="100" w:afterAutospacing="1" w:line="240" w:lineRule="auto"/>
        <w:ind w:left="0" w:right="0" w:firstLine="0"/>
        <w:jc w:val="left"/>
        <w:outlineLvl w:val="2"/>
        <w:rPr>
          <w:b/>
          <w:bCs/>
          <w:color w:val="auto"/>
          <w:kern w:val="0"/>
          <w:sz w:val="27"/>
          <w:szCs w:val="27"/>
          <w:lang w:val="en-US" w:eastAsia="en-US"/>
        </w:rPr>
      </w:pPr>
      <w:r w:rsidRPr="002E404D">
        <w:rPr>
          <w:b/>
          <w:bCs/>
          <w:color w:val="auto"/>
          <w:kern w:val="0"/>
          <w:sz w:val="27"/>
          <w:szCs w:val="27"/>
          <w:lang w:val="en-US" w:eastAsia="en-US"/>
        </w:rPr>
        <w:t>6.6 Oncology: chronomodulated cytotoxic therapy and emerging chrono-immunotherapy</w:t>
      </w:r>
    </w:p>
    <w:p w14:paraId="588694B1" w14:textId="77777777" w:rsidR="002E404D" w:rsidRPr="002E404D" w:rsidRDefault="002E404D" w:rsidP="002E404D">
      <w:pPr>
        <w:spacing w:before="100" w:beforeAutospacing="1" w:after="100" w:afterAutospacing="1" w:line="240" w:lineRule="auto"/>
        <w:ind w:left="0" w:right="0" w:firstLine="0"/>
        <w:jc w:val="left"/>
        <w:rPr>
          <w:color w:val="auto"/>
          <w:kern w:val="0"/>
          <w:lang w:val="en-US" w:eastAsia="en-US"/>
        </w:rPr>
      </w:pPr>
      <w:r w:rsidRPr="002E404D">
        <w:rPr>
          <w:color w:val="auto"/>
          <w:kern w:val="0"/>
          <w:lang w:val="en-US" w:eastAsia="en-US"/>
        </w:rPr>
        <w:t>Cancer treatment is simultaneously a high-opportunity and high-complexity arena for chrono-pharmacology. Many cytotoxic agents have narrow therapeutic windows, and tolerability limits dose intensity and schedule adherence. Chronomodulated infusion protocols were developed to exploit circadian differences in host drug metabolism and tissue susceptibility, aiming to reduce toxicity while maintaining anticancer activity. In metastatic colorectal cancer, a large phase III trial compared a multi-day chronomodulated regimen versus conventional delivery of fluorouracil, leucovorin, and oxaliplatin, representing one of the most rigorous tests of chronochemotherapy in a common solid tumor (Giacchetti et al., 2006). The broader clinical uptake of such approaches has been constrained by logistical demands and heterogeneity in patient rhythms, but the oncology experience remains foundational for translation: when the therapeutic index is tight, timing may be as consequential as small dose changes, yet implementation feasibility must be addressed as seriously as biological plausibility.</w:t>
      </w:r>
    </w:p>
    <w:p w14:paraId="3E032BEF" w14:textId="77777777" w:rsidR="002E404D" w:rsidRPr="002E404D" w:rsidRDefault="002E404D" w:rsidP="002E404D">
      <w:pPr>
        <w:spacing w:before="100" w:beforeAutospacing="1" w:after="100" w:afterAutospacing="1" w:line="240" w:lineRule="auto"/>
        <w:ind w:left="0" w:right="0" w:firstLine="0"/>
        <w:jc w:val="left"/>
        <w:rPr>
          <w:color w:val="auto"/>
          <w:kern w:val="0"/>
          <w:lang w:val="en-US" w:eastAsia="en-US"/>
        </w:rPr>
      </w:pPr>
      <w:r w:rsidRPr="002E404D">
        <w:rPr>
          <w:color w:val="auto"/>
          <w:kern w:val="0"/>
          <w:lang w:val="en-US" w:eastAsia="en-US"/>
        </w:rPr>
        <w:t xml:space="preserve">More recently, immune checkpoint inhibitors have opened a new frontier for chrono-pharmacology because anti-tumor immunity itself is rhythmically regulated. Retrospective clinical studies in advanced non-small cell lung cancer and metastatic renal cell carcinoma have reported associations between later-day infusion patterns and poorer outcomes, though confounding by health-system scheduling and patient factors is difficult to exclude (Patel et al., 2024; Rousseau et al., 2023). A study-level meta-analysis integrating available reports found that earlier time-of-day ICI administration was associated with improved pooled overall survival and progression-free survival across several metastatic cancers, but it also emphasized the urgent need for prospective randomized validation before formal scheduling recommendations can be endorsed (Landré et al., 2024). Importantly, not all datasets align </w:t>
      </w:r>
      <w:r w:rsidRPr="002E404D">
        <w:rPr>
          <w:color w:val="auto"/>
          <w:kern w:val="0"/>
          <w:lang w:val="en-US" w:eastAsia="en-US"/>
        </w:rPr>
        <w:lastRenderedPageBreak/>
        <w:t xml:space="preserve">perfectly: a melanoma cohort analysis reported nuanced results dependent on how infusion timing was operationalized (e.g., early cycles versus cumulative late infusions), illustrating that exposure definitions and treatment-course dynamics materially influence conclusions (Fletcher et al., 2025). Taken together, oncology suggests a realistic near-term translation pathway: first, identify which cancers and treatment contexts show the strongest signal; second, standardize timing definitions and adjust for scheduling confounders; and third, test feasible “early-day preference” protocols in pragmatic randomized designs that preserve access and workflow while enabling biological inference. </w:t>
      </w:r>
    </w:p>
    <w:p w14:paraId="1AB93D4D" w14:textId="77777777" w:rsidR="002E404D" w:rsidRPr="002E404D" w:rsidRDefault="002E404D" w:rsidP="002E404D">
      <w:pPr>
        <w:spacing w:after="0" w:line="240" w:lineRule="auto"/>
        <w:ind w:left="0" w:right="0" w:firstLine="0"/>
        <w:jc w:val="left"/>
        <w:rPr>
          <w:color w:val="auto"/>
          <w:kern w:val="0"/>
          <w:lang w:val="en-US" w:eastAsia="en-US"/>
        </w:rPr>
      </w:pPr>
    </w:p>
    <w:p w14:paraId="4F7185C5" w14:textId="77777777" w:rsidR="00E52483" w:rsidRPr="00E52483" w:rsidRDefault="00E52483" w:rsidP="00E52483">
      <w:pPr>
        <w:spacing w:after="0" w:line="240" w:lineRule="auto"/>
        <w:ind w:left="0" w:right="0" w:firstLine="0"/>
        <w:jc w:val="left"/>
        <w:rPr>
          <w:color w:val="auto"/>
          <w:kern w:val="0"/>
          <w:lang w:val="en-US" w:eastAsia="en-US"/>
        </w:rPr>
      </w:pPr>
    </w:p>
    <w:p w14:paraId="5125A564" w14:textId="77777777" w:rsidR="007434EA" w:rsidRDefault="007434EA" w:rsidP="007434EA">
      <w:pPr>
        <w:pStyle w:val="Heading2"/>
      </w:pPr>
      <w:r>
        <w:t>7. Clinical implementation: from “clock time” to “biological time”</w:t>
      </w:r>
    </w:p>
    <w:p w14:paraId="2C46CA77" w14:textId="77777777" w:rsidR="007434EA" w:rsidRDefault="007434EA" w:rsidP="007434EA">
      <w:pPr>
        <w:pStyle w:val="Heading3"/>
      </w:pPr>
      <w:r>
        <w:t>7.1. Why “biological time” is the clinically relevant variable</w:t>
      </w:r>
    </w:p>
    <w:p w14:paraId="32D2089B" w14:textId="77777777" w:rsidR="007434EA" w:rsidRDefault="007434EA" w:rsidP="007434EA">
      <w:pPr>
        <w:pStyle w:val="NormalWeb"/>
      </w:pPr>
      <w:r>
        <w:t>A central barrier to routine chrono-pharmacology is that health systems prescribe by “clock time” while physiology responds to “biological time,” i.e., the internal circadian phase at which a drug is absorbed, distributed, metabolized, and engages its target. The gap between these two timescales is not trivial: individuals differ markedly in circadian phase relative to local time because of chronotype, age, light exposure, social schedules, and shift work. Consequently, the same 8:00 AM dose may reach peak concentration at very different internal phases across patients, potentially turning a timing-sensitive regimen into one that is effectively randomized with respect to circadian biology. Contemporary chronomedicine frameworks therefore argue that clinical translation should prioritize measurable patient-specific timing—especially when the therapeutic window is narrow, the target pathway is rhythmically regulated, or toxicity shows strong time-of-day dependence (Ballesta et al., 2017; Cederroth et al., 2019; Dallmann et al., 2014).</w:t>
      </w:r>
    </w:p>
    <w:p w14:paraId="3EA0DFD3" w14:textId="77777777" w:rsidR="007434EA" w:rsidRDefault="007434EA" w:rsidP="007434EA">
      <w:pPr>
        <w:pStyle w:val="NormalWeb"/>
      </w:pPr>
      <w:r>
        <w:t xml:space="preserve">Implementation also requires acknowledging a pragmatic truth: “convenient” dosing often wins unless timing changes are both feasible and demonstrably meaningful for outcomes patients care about. Large pragmatic trials can therefore be decisive. For example, in hypertension, the UK TIME trial tested evening versus morning dosing of usual antihypertensives and did not support a universal rule that one clock time is superior for cardiovascular outcomes, reinforcing the idea that blanket timing recommendations may fail when they ignore inter-individual circadian phase and heterogeneity of drug classes, comorbidity, and adherence (Mackenzie et al., 2022). Clinical translation should thus shift from simplistic clock-time rules toward identifying </w:t>
      </w:r>
      <w:r>
        <w:rPr>
          <w:rStyle w:val="Emphasis"/>
        </w:rPr>
        <w:t>who</w:t>
      </w:r>
      <w:r>
        <w:t xml:space="preserve"> benefits from timing, </w:t>
      </w:r>
      <w:r>
        <w:rPr>
          <w:rStyle w:val="Emphasis"/>
        </w:rPr>
        <w:t>which drugs</w:t>
      </w:r>
      <w:r>
        <w:t xml:space="preserve"> are timing-sensitive, and </w:t>
      </w:r>
      <w:r>
        <w:rPr>
          <w:rStyle w:val="Emphasis"/>
        </w:rPr>
        <w:t>how</w:t>
      </w:r>
      <w:r>
        <w:t xml:space="preserve"> to infer a patient’s internal phase with minimal burden.</w:t>
      </w:r>
    </w:p>
    <w:p w14:paraId="3CB7805D" w14:textId="77777777" w:rsidR="007434EA" w:rsidRDefault="007434EA" w:rsidP="007434EA">
      <w:pPr>
        <w:pStyle w:val="Heading3"/>
      </w:pPr>
      <w:r>
        <w:t>7.2. Operationalizing circadian phase in real-world care</w:t>
      </w:r>
    </w:p>
    <w:p w14:paraId="66C43A09" w14:textId="77777777" w:rsidR="007434EA" w:rsidRDefault="007434EA" w:rsidP="007434EA">
      <w:pPr>
        <w:pStyle w:val="NormalWeb"/>
      </w:pPr>
      <w:r>
        <w:t xml:space="preserve">In practice, internal phase can be estimated along a continuum from low-cost proxies to laboratory-grade biomarkers. Proxy measures include sleep diaries, habitual sleep timing, and validated chronotype assessments, which can triage whether a patient is likely phase-advanced or phase-delayed relative to local time. Objective rest–activity monitoring adds important resolution: wrist actigraphy can characterize sleep–wake timing and circadian regularity, with clear guidance on clinical use in circadian rhythm sleep–wake disorders </w:t>
      </w:r>
      <w:r>
        <w:lastRenderedPageBreak/>
        <w:t>(Martin &amp; Hakim, 2011; Smith et al., 2018). These tools do not directly read out the molecular clock, but they often capture enough phase information to support timing decisions in conditions where sleep timing is a major determinant of internal alignment.</w:t>
      </w:r>
    </w:p>
    <w:p w14:paraId="10F36BB3" w14:textId="77777777" w:rsidR="007434EA" w:rsidRDefault="007434EA" w:rsidP="007434EA">
      <w:pPr>
        <w:pStyle w:val="NormalWeb"/>
      </w:pPr>
      <w:r>
        <w:t>Where higher precision is needed, melatonin-based phase assessment remains a clinical reference standard, particularly the dim light melatonin onset (DLMO). However, translating DLMO to broader care requires protocols that are shorter, less costly, and robust to sampling constraints. Methodological work has shown that sampling rate and threshold method materially influence DLMO estimates, and that simplified sampling windows can still produce clinically usable phase estimates under defined conditions (Crowley et al., 2016; Molina &amp; Burgess, 2011). This evidence supports a translational strategy in which DLMO is reserved for high-stakes timing decisions or for calibrating lower-burden proxies in specific patient groups.</w:t>
      </w:r>
    </w:p>
    <w:p w14:paraId="6577723D" w14:textId="77777777" w:rsidR="007434EA" w:rsidRDefault="007434EA" w:rsidP="007434EA">
      <w:pPr>
        <w:pStyle w:val="NormalWeb"/>
      </w:pPr>
      <w:r>
        <w:t>A rapidly emerging approach is “blood-based circadian time,” where transcriptomic signatures from a single sample can infer internal circadian phase with high accuracy, offering a conceptual route to point-of-care circadian phenotyping in the future (Wittenbrink et al., 2018). While routine deployment will require standardization across platforms, comorbidities, and medications, the key translational insight is that biological time can be treated as a measurable clinical variable rather than an abstract concept. Finally, passive digital phenotyping may help scale biological-time estimation: day-to-day smartphone touchscreen interaction patterns can capture sleep–wake cycles and circadian regularity, suggesting a low-burden route to longitudinal phase tracking in ambulatory settings (Borger et al., 2019).</w:t>
      </w:r>
    </w:p>
    <w:p w14:paraId="3266818D" w14:textId="77777777" w:rsidR="007434EA" w:rsidRDefault="007434EA" w:rsidP="007434EA">
      <w:pPr>
        <w:pStyle w:val="Heading3"/>
      </w:pPr>
      <w:r>
        <w:t>7.3. When to translate timing into prescribing decisions</w:t>
      </w:r>
    </w:p>
    <w:p w14:paraId="2184CD93" w14:textId="77777777" w:rsidR="007434EA" w:rsidRDefault="007434EA" w:rsidP="007434EA">
      <w:pPr>
        <w:pStyle w:val="NormalWeb"/>
      </w:pPr>
      <w:r>
        <w:t xml:space="preserve">A clinically useful decision model is to treat dosing time as a modifiable exposure that must compete with adherence and safety. Timing is most likely to matter when the disease process has a predictable circadian pattern and when drug pharmacodynamics are coupled to that pattern. Rheumatoid arthritis illustrates this logic: symptoms and inflammatory mediators often worsen overnight and peak in the early morning, motivating regimens designed to deliver glucocorticoid activity before morning symptom escalation. In CAPRA-1, modified-release prednisone targeted nighttime delivery to reduce morning stiffness, representing a prototypical example of aligning drug availability with circadian symptom biology (Buttgereit et al., 2008). Here, the implementation lesson is not only that timing can improve outcomes, but that </w:t>
      </w:r>
      <w:r>
        <w:rPr>
          <w:rStyle w:val="Emphasis"/>
        </w:rPr>
        <w:t>formulation technology</w:t>
      </w:r>
      <w:r>
        <w:t xml:space="preserve"> can make biologically timed delivery feasible without asking patients to wake at inconvenient hours.</w:t>
      </w:r>
    </w:p>
    <w:p w14:paraId="7ECF4196" w14:textId="77777777" w:rsidR="007434EA" w:rsidRDefault="007434EA" w:rsidP="007434EA">
      <w:pPr>
        <w:pStyle w:val="NormalWeb"/>
      </w:pPr>
      <w:r>
        <w:t xml:space="preserve">Immune function is another timing-sensitive domain with translational relevance. In a cluster-randomized trial in older adults, morning influenza vaccination improved antibody responses for some strains compared with afternoon vaccination, demonstrating that even a “single-event” intervention can be timing-sensitive and operationally easy to implement if scheduling systems can accommodate it (Long et al., 2016). Oncology is more complex because infusion timing interacts with clinic logistics, comedications, and disease severity. Nonetheless, a study-level meta-analysis reported longer survival in groups receiving earlier time-of-day immune checkpoint inhibitor infusions, supporting the hypothesis that circadian variation in immune trafficking and function can influence treatment benefit (Landré et al., 2024). A multicenter cohort analysis in metastatic renal cell carcinoma similarly linked a higher proportion of morning infusions with favorable outcomes and immune correlates, while still </w:t>
      </w:r>
      <w:r>
        <w:lastRenderedPageBreak/>
        <w:t>underscoring the need for prospective randomized confirmation to separate biological causality from confounding by scheduling and patient factors (Patel et al., 2024). Taken together, these domains suggest a pragmatic translation pathway: prioritize timing in settings where (i) the biological rationale is strong, (ii) adherence impact is low or can be offset by formulation/infusion scheduling, and (iii) outcome signals justify prospective testing (Ballesta et al., 2017; Cederroth et al., 2019).</w:t>
      </w:r>
    </w:p>
    <w:p w14:paraId="701418BE" w14:textId="77777777" w:rsidR="007434EA" w:rsidRDefault="007434EA" w:rsidP="007434EA">
      <w:pPr>
        <w:pStyle w:val="Heading3"/>
      </w:pPr>
      <w:r>
        <w:t>7.4. Embedding chrono-pharmacology into workflows and trials</w:t>
      </w:r>
    </w:p>
    <w:p w14:paraId="4E06179A" w14:textId="77777777" w:rsidR="007434EA" w:rsidRDefault="007434EA" w:rsidP="007434EA">
      <w:pPr>
        <w:pStyle w:val="NormalWeb"/>
      </w:pPr>
      <w:r>
        <w:t>Moving from concept to routine care requires that “time” be treated as a structured clinical variable in both research and clinical operations. Pragmatic trials like TIME demonstrate the value of large-scale, real-world testing, but also highlight that clock-time randomization may dilute effects if participants differ widely in internal phase (Mackenzie et al., 2022). Future effectiveness studies can strengthen inference by capturing actigraphy-derived sleep timing, light exposure where feasible, and repeated measures of adherence timing, thereby enabling stratified analyses by circadian phenotype (Martin &amp; Hakim, 2011; Smith et al., 2018). In parallel, mechanistic sub-studies using DLMO or blood-based phase markers could identify responder endotypes and provide the evidence needed for precision timing recommendations (Crowley et al., 2016; Wittenbrink et al., 2018).</w:t>
      </w:r>
    </w:p>
    <w:p w14:paraId="5AC43C0C" w14:textId="77777777" w:rsidR="007434EA" w:rsidRDefault="007434EA" w:rsidP="007434EA">
      <w:pPr>
        <w:pStyle w:val="NormalWeb"/>
      </w:pPr>
      <w:r>
        <w:t>At the health-system level, implementation should be designed around feasibility and equity. Scheduling morning vaccination or morning infusions may advantage patients with flexible work, transport, or caregiving support; conversely, “bedtime dosing” may worsen adherence for some. Digital phenotyping tools that passively estimate sleep–wake timing may reduce patient burden and allow adaptive timing recommendations that fit individual routines, but they also raise issues of access, privacy, and algorithmic bias that must be explicitly addressed before scale-up (Borger et al., 2019). Ultimately, the translation target is not a rigid dosing clock, but an adaptive framework: estimate biological time with the least burdensome method that is “fit for purpose,” apply timing changes where the expected benefit exceeds adherence cost, and design trials that can distinguish true circadian effects from clinic logistics and selection biases (Dallmann et al., 2016; Landré et al., 2024; Patel et al., 2024).</w:t>
      </w:r>
    </w:p>
    <w:p w14:paraId="35406EAE" w14:textId="77777777" w:rsidR="007434EA" w:rsidRDefault="007434EA" w:rsidP="007434EA">
      <w:pPr>
        <w:pStyle w:val="Heading2"/>
      </w:pPr>
      <w:r>
        <w:t>8. Future directions</w:t>
      </w:r>
    </w:p>
    <w:p w14:paraId="03E2C648" w14:textId="77777777" w:rsidR="007434EA" w:rsidRDefault="007434EA" w:rsidP="007434EA">
      <w:pPr>
        <w:pStyle w:val="Heading3"/>
      </w:pPr>
      <w:r>
        <w:t>8.1. Precision circadian phenotyping to enable “phase-aware” therapeutics</w:t>
      </w:r>
    </w:p>
    <w:p w14:paraId="2DDD6D0F" w14:textId="77777777" w:rsidR="007434EA" w:rsidRDefault="007434EA" w:rsidP="007434EA">
      <w:pPr>
        <w:pStyle w:val="NormalWeb"/>
      </w:pPr>
      <w:r>
        <w:t xml:space="preserve">A decisive future direction for chrono-pharmacology is the transition from prescribing by local clock time to prescribing by </w:t>
      </w:r>
      <w:r>
        <w:rPr>
          <w:rStyle w:val="Emphasis"/>
        </w:rPr>
        <w:t>measured internal phase</w:t>
      </w:r>
      <w:r>
        <w:t xml:space="preserve">. Inter-individual variability in circadian phase, amplitude, and stability can blur true timing effects in trials and can undermine implementation when “morning” and “evening” do not map onto comparable biological states. The emerging solution is scalable circadian phenotyping that is accurate enough for the clinical question being asked. Single-sample transcriptomic phase estimation offers a compelling template for turning circadian time into a reportable clinical variable, enabling personalization without burdensome multi-hour melatonin sampling protocols (Wittenbrink et al., 2018). In parallel, human tissue rhythmicity resources provide a rational basis to prioritize timing-sensitive drug–target pairs by mapping targets and pathways onto tissue-specific rhythmic expression, thereby improving candidate selection and trial efficiency (Ruben et al., 2018). The next methodological leap is likely to combine these approaches—using compact biomarker assays to anchor internal time, while leveraging </w:t>
      </w:r>
      <w:r>
        <w:lastRenderedPageBreak/>
        <w:t>rhythmic atlases to decide which therapies are most likely to benefit from phase alignment (Cederroth et al., 2019).</w:t>
      </w:r>
    </w:p>
    <w:p w14:paraId="22AD9511" w14:textId="77777777" w:rsidR="007434EA" w:rsidRDefault="007434EA" w:rsidP="007434EA">
      <w:pPr>
        <w:pStyle w:val="Heading3"/>
      </w:pPr>
      <w:r>
        <w:t>8.2. Model-informed chronotherapy and mechanistic “digital twins” of dosing time</w:t>
      </w:r>
    </w:p>
    <w:p w14:paraId="783C84FD" w14:textId="77777777" w:rsidR="007434EA" w:rsidRDefault="007434EA" w:rsidP="007434EA">
      <w:pPr>
        <w:pStyle w:val="NormalWeb"/>
      </w:pPr>
      <w:r>
        <w:t xml:space="preserve">Future translation will increasingly rely on integrative modeling that unifies rhythmic pharmacokinetics, rhythmic target biology, and patient routines into actionable dosing policies. Systems chronotherapeutics explicitly argues that the most durable gains will come from mechanistic frameworks that predict </w:t>
      </w:r>
      <w:r>
        <w:rPr>
          <w:rStyle w:val="Emphasis"/>
        </w:rPr>
        <w:t>when</w:t>
      </w:r>
      <w:r>
        <w:t xml:space="preserve"> a patient’s therapeutic index is maximized, rather than relying on empirical scheduling rules that may not generalize across populations or care settings (Ballesta et al., 2017). As understanding of clock-controlled drug metabolism and transporter regulation becomes more detailed, model-informed strategies can embed validated circadian mechanisms (e.g., rhythmic CYP capacity, rhythmic transport) to predict time-dependent exposure and toxicity risk (Bicker et al., 2020; Lu et al., 2020). Clinically, this opens the door to “chronotherapeutic digital twins” that integrate sparse biomarker phase data, longitudinal behavior signals, and drug-specific PK/PD structure to recommend feasible dosing windows that are robust to real-world variability.</w:t>
      </w:r>
    </w:p>
    <w:p w14:paraId="44C6D99E" w14:textId="77777777" w:rsidR="007434EA" w:rsidRDefault="007434EA" w:rsidP="007434EA">
      <w:pPr>
        <w:pStyle w:val="Heading3"/>
      </w:pPr>
      <w:r>
        <w:t>8.3. Passive sensing, longitudinal behavior data, and learning health systems</w:t>
      </w:r>
    </w:p>
    <w:p w14:paraId="1B97580B" w14:textId="77777777" w:rsidR="007434EA" w:rsidRDefault="007434EA" w:rsidP="007434EA">
      <w:pPr>
        <w:pStyle w:val="NormalWeb"/>
      </w:pPr>
      <w:r>
        <w:t>A practical constraint in chronomedicine is that internal time is not fixed; it can drift with sleep debt, seasonal light, shift work, and illness. Passive sensing and digital phenotyping may therefore become central to maintaining alignment over time, not just at baseline. Smartphone-derived behavioral timing signals, such as touchscreen interaction patterns, demonstrate the feasibility of inferring sleep–wake cycles at scale and in naturalistic settings, offering a potential substrate for continuous circadian monitoring with minimal patient burden (Borger et al., 2019). The next step is clinical-grade validation: defining reliability across age groups, occupations, and disease states, and showing that digitally inferred timing markers can improve outcomes when used to guide dosing windows. When combined with periodic biomarker “re-anchoring” of internal phase, such data streams could support adaptive chronotherapy in a learning-health-system framework, where dosing recommendations are iteratively refined using real-world response and safety data (Cederroth et al., 2019; Ballesta et al., 2017).</w:t>
      </w:r>
    </w:p>
    <w:p w14:paraId="18196914" w14:textId="77777777" w:rsidR="007434EA" w:rsidRDefault="007434EA" w:rsidP="007434EA">
      <w:pPr>
        <w:pStyle w:val="Heading3"/>
      </w:pPr>
      <w:r>
        <w:t>8.4. Therapeutics that target the clock and drugs engineered for temporal control</w:t>
      </w:r>
    </w:p>
    <w:p w14:paraId="21E0D7E5" w14:textId="77777777" w:rsidR="007434EA" w:rsidRDefault="007434EA" w:rsidP="007434EA">
      <w:pPr>
        <w:pStyle w:val="NormalWeb"/>
      </w:pPr>
      <w:r>
        <w:t xml:space="preserve">Beyond optimizing timing of existing drugs, an important frontier is drug development that directly targets clock pathways or encodes circadian logic into formulations and delivery systems. Reviews of circadian–metabolic crosstalk suggest that clock circuitry is intertwined with fundamental disease biology, raising the possibility that selected clock components may be tractable therapeutic nodes in metabolic and inflammatory disorders, provided safety and pleiotropy are carefully managed (Reinke &amp; Asher, 2019). In parallel, formulation engineering and device-based delivery can operationalize chronotherapy without demanding inconvenient patient behavior. Mechanistically grounded development programs can therefore pursue two complementary paths: (i) </w:t>
      </w:r>
      <w:r>
        <w:rPr>
          <w:rStyle w:val="Emphasis"/>
        </w:rPr>
        <w:t>clock-targeting</w:t>
      </w:r>
      <w:r>
        <w:t xml:space="preserve"> interventions that reshape rhythmic physiology, and (ii) </w:t>
      </w:r>
      <w:r>
        <w:rPr>
          <w:rStyle w:val="Emphasis"/>
        </w:rPr>
        <w:t>clock-aware delivery</w:t>
      </w:r>
      <w:r>
        <w:t xml:space="preserve"> that aligns exposure to predictable windows of vulnerability or responsiveness (Lu et al., 2020; Ballesta et al., 2017).</w:t>
      </w:r>
    </w:p>
    <w:p w14:paraId="49C72570" w14:textId="77777777" w:rsidR="007434EA" w:rsidRDefault="007434EA" w:rsidP="007434EA">
      <w:pPr>
        <w:pStyle w:val="Heading3"/>
      </w:pPr>
      <w:r>
        <w:lastRenderedPageBreak/>
        <w:t>8.5. Implementation science, regulation, and equitable access to “biological time” medicine</w:t>
      </w:r>
    </w:p>
    <w:p w14:paraId="77F40AD5" w14:textId="77777777" w:rsidR="007434EA" w:rsidRDefault="007434EA" w:rsidP="007434EA">
      <w:pPr>
        <w:pStyle w:val="NormalWeb"/>
      </w:pPr>
      <w:r>
        <w:t>Finally, the field’s success will depend on implementation science as much as biology. Even when timing benefits exist, they must be deliverable without worsening adherence or amplifying health inequities. A near-term priority is to establish consensus standards for reporting dosing time, internal phase proxies, and zeitgeber context (sleep, meals, light exposure) in both trials and routine care so that evidence can accumulate comparably across studies (Cederroth et al., 2019; Bicker et al., 2020). Regulators and guideline bodies may also need to define when circadian evaluation is expected during drug development—particularly for drugs with narrow therapeutic windows, strong metabolism/transport dependence, or targets known to be rhythmically regulated. In this setting, scalable phase assessment tools and validated digital proxies will be essential to ensure that “biological time” medicine is not limited to highly resourced centers but can be deployed broadly and fairly (Wittenbrink et al., 2018; Borger et al., 2019).</w:t>
      </w:r>
    </w:p>
    <w:p w14:paraId="685082B7" w14:textId="77777777" w:rsidR="00E52483" w:rsidRPr="00E52483" w:rsidRDefault="00E52483" w:rsidP="00E52483">
      <w:pPr>
        <w:spacing w:after="0" w:line="240" w:lineRule="auto"/>
        <w:ind w:left="0" w:right="0" w:firstLine="0"/>
        <w:jc w:val="left"/>
        <w:rPr>
          <w:color w:val="auto"/>
          <w:kern w:val="0"/>
          <w:lang w:val="en-US" w:eastAsia="en-US"/>
        </w:rPr>
      </w:pPr>
    </w:p>
    <w:p w14:paraId="73B391B3" w14:textId="77777777" w:rsidR="00E52483" w:rsidRPr="00E52483" w:rsidRDefault="00E52483" w:rsidP="00E52483">
      <w:pPr>
        <w:spacing w:before="100" w:beforeAutospacing="1" w:after="100" w:afterAutospacing="1" w:line="240" w:lineRule="auto"/>
        <w:ind w:left="0" w:right="0" w:firstLine="0"/>
        <w:jc w:val="left"/>
        <w:outlineLvl w:val="1"/>
        <w:rPr>
          <w:b/>
          <w:bCs/>
          <w:color w:val="auto"/>
          <w:kern w:val="0"/>
          <w:sz w:val="36"/>
          <w:szCs w:val="36"/>
          <w:lang w:val="en-US" w:eastAsia="en-US"/>
        </w:rPr>
      </w:pPr>
      <w:r w:rsidRPr="00E52483">
        <w:rPr>
          <w:b/>
          <w:bCs/>
          <w:color w:val="auto"/>
          <w:kern w:val="0"/>
          <w:sz w:val="36"/>
          <w:szCs w:val="36"/>
          <w:lang w:val="en-US" w:eastAsia="en-US"/>
        </w:rPr>
        <w:t>9. Conclusions</w:t>
      </w:r>
    </w:p>
    <w:p w14:paraId="4AE97D75" w14:textId="77777777" w:rsidR="00E52483" w:rsidRPr="00E52483" w:rsidRDefault="00E52483" w:rsidP="00E52483">
      <w:pPr>
        <w:spacing w:before="100" w:beforeAutospacing="1" w:after="100" w:afterAutospacing="1" w:line="240" w:lineRule="auto"/>
        <w:ind w:left="0" w:right="0" w:firstLine="0"/>
        <w:jc w:val="left"/>
        <w:rPr>
          <w:color w:val="auto"/>
          <w:kern w:val="0"/>
          <w:lang w:val="en-US" w:eastAsia="en-US"/>
        </w:rPr>
      </w:pPr>
      <w:r w:rsidRPr="00E52483">
        <w:rPr>
          <w:color w:val="auto"/>
          <w:kern w:val="0"/>
          <w:lang w:val="en-US" w:eastAsia="en-US"/>
        </w:rPr>
        <w:t xml:space="preserve">Chrono-pharmacology reframes therapeutics as a time-aware intervention, grounded in the reality that human physiology is rhythmic and that both drug disposition and drug action vary across the day. Mechanistic advances in circadian biology have clarified how peripheral clocks regulate drug-processing pathways and how rhythmic targets and repair programs shape efficacy and toxicity. Clinical translation is most compelling where disease activity and drug response are strongly time-dependent, where tolerability limits dosing, or where target engagement depends on rhythmic biology. The maturation of wearable sensing, digital phenotyping, and systems pharmacology is positioned to make individualized chronotherapy more practical, allowing dosing strategies to be aligned with biological time rather than convenience alone. Ultimately, chrono-pharmacology offers an immediately actionable route to improve treatment outcomes by optimizing </w:t>
      </w:r>
      <w:r w:rsidRPr="00E52483">
        <w:rPr>
          <w:i/>
          <w:iCs/>
          <w:color w:val="auto"/>
          <w:kern w:val="0"/>
          <w:lang w:val="en-US" w:eastAsia="en-US"/>
        </w:rPr>
        <w:t>timing</w:t>
      </w:r>
      <w:r w:rsidRPr="00E52483">
        <w:rPr>
          <w:color w:val="auto"/>
          <w:kern w:val="0"/>
          <w:lang w:val="en-US" w:eastAsia="en-US"/>
        </w:rPr>
        <w:t>, often without needing new drug entities.</w:t>
      </w:r>
    </w:p>
    <w:p w14:paraId="7A7ECE09" w14:textId="77777777" w:rsidR="00E52483" w:rsidRPr="00E52483" w:rsidRDefault="00E52483" w:rsidP="00E52483">
      <w:pPr>
        <w:spacing w:after="0" w:line="240" w:lineRule="auto"/>
        <w:ind w:left="0" w:right="0" w:firstLine="0"/>
        <w:jc w:val="left"/>
        <w:rPr>
          <w:color w:val="auto"/>
          <w:kern w:val="0"/>
          <w:lang w:val="en-US" w:eastAsia="en-US"/>
        </w:rPr>
      </w:pPr>
    </w:p>
    <w:p w14:paraId="6DB33BFB" w14:textId="77777777" w:rsidR="00E52483" w:rsidRPr="00E52483" w:rsidRDefault="00E52483" w:rsidP="00E52483">
      <w:pPr>
        <w:spacing w:before="100" w:beforeAutospacing="1" w:after="100" w:afterAutospacing="1" w:line="240" w:lineRule="auto"/>
        <w:ind w:left="0" w:right="0" w:firstLine="0"/>
        <w:jc w:val="left"/>
        <w:outlineLvl w:val="1"/>
        <w:rPr>
          <w:b/>
          <w:bCs/>
          <w:color w:val="auto"/>
          <w:kern w:val="0"/>
          <w:sz w:val="36"/>
          <w:szCs w:val="36"/>
          <w:lang w:val="en-US" w:eastAsia="en-US"/>
        </w:rPr>
      </w:pPr>
      <w:r w:rsidRPr="00E52483">
        <w:rPr>
          <w:b/>
          <w:bCs/>
          <w:color w:val="auto"/>
          <w:kern w:val="0"/>
          <w:sz w:val="36"/>
          <w:szCs w:val="36"/>
          <w:lang w:val="en-US" w:eastAsia="en-US"/>
        </w:rPr>
        <w:t>10. Limitations</w:t>
      </w:r>
    </w:p>
    <w:p w14:paraId="1011112F" w14:textId="77777777" w:rsidR="00E52483" w:rsidRPr="00E52483" w:rsidRDefault="00E52483" w:rsidP="00E52483">
      <w:pPr>
        <w:spacing w:before="100" w:beforeAutospacing="1" w:after="100" w:afterAutospacing="1" w:line="240" w:lineRule="auto"/>
        <w:ind w:left="0" w:right="0" w:firstLine="0"/>
        <w:jc w:val="left"/>
        <w:rPr>
          <w:color w:val="auto"/>
          <w:kern w:val="0"/>
          <w:lang w:val="en-US" w:eastAsia="en-US"/>
        </w:rPr>
      </w:pPr>
      <w:r w:rsidRPr="00E52483">
        <w:rPr>
          <w:color w:val="auto"/>
          <w:kern w:val="0"/>
          <w:lang w:val="en-US" w:eastAsia="en-US"/>
        </w:rPr>
        <w:t>This review emphasizes circadian timing as the dominant rhythmic influence on pharmacology, but ultradian rhythms, sleep-stage effects, and longer cycles can also contribute to variability in drug response. The translational evidence base remains uneven across therapeutic areas, with strong mechanistic rationale not always matched by consistent clinical benefit. Many real-world factors—adherence, co-medications, irregular schedules, and comorbid circadian disruption—can dilute timing effects or complicate their detection. Finally, while the field is moving toward biological-phase-informed strategies, routine clinical measurement of circadian phase is not yet standardized across settings, and practical implementation requires balancing biological optimization against feasibility and patient-centered care.</w:t>
      </w:r>
    </w:p>
    <w:p w14:paraId="79CCFB6E" w14:textId="77777777" w:rsidR="00E52483" w:rsidRPr="00E52483" w:rsidRDefault="00E52483" w:rsidP="00E52483">
      <w:pPr>
        <w:spacing w:after="0" w:line="240" w:lineRule="auto"/>
        <w:ind w:left="0" w:right="0" w:firstLine="0"/>
        <w:jc w:val="left"/>
        <w:rPr>
          <w:color w:val="auto"/>
          <w:kern w:val="0"/>
          <w:lang w:val="en-US" w:eastAsia="en-US"/>
        </w:rPr>
      </w:pPr>
    </w:p>
    <w:p w14:paraId="47D6B67A" w14:textId="77777777" w:rsidR="00E52483" w:rsidRPr="00E52483" w:rsidRDefault="00E52483" w:rsidP="00E52483">
      <w:pPr>
        <w:spacing w:before="100" w:beforeAutospacing="1" w:after="100" w:afterAutospacing="1" w:line="240" w:lineRule="auto"/>
        <w:ind w:left="0" w:right="0" w:firstLine="0"/>
        <w:jc w:val="left"/>
        <w:outlineLvl w:val="0"/>
        <w:rPr>
          <w:b/>
          <w:bCs/>
          <w:color w:val="auto"/>
          <w:kern w:val="36"/>
          <w:sz w:val="48"/>
          <w:szCs w:val="48"/>
          <w:lang w:val="en-US" w:eastAsia="en-US"/>
        </w:rPr>
      </w:pPr>
      <w:r w:rsidRPr="00E52483">
        <w:rPr>
          <w:b/>
          <w:bCs/>
          <w:color w:val="auto"/>
          <w:kern w:val="36"/>
          <w:sz w:val="48"/>
          <w:szCs w:val="48"/>
          <w:lang w:val="en-US" w:eastAsia="en-US"/>
        </w:rPr>
        <w:lastRenderedPageBreak/>
        <w:t xml:space="preserve">References </w:t>
      </w:r>
    </w:p>
    <w:p w14:paraId="1323488E" w14:textId="77777777" w:rsidR="008D0444" w:rsidRPr="00B81AD0" w:rsidRDefault="008D0444" w:rsidP="00AE7CA1">
      <w:pPr>
        <w:pStyle w:val="NormalWeb"/>
        <w:spacing w:before="240" w:beforeAutospacing="0" w:after="240" w:afterAutospacing="0"/>
      </w:pPr>
      <w:r w:rsidRPr="00B81AD0">
        <w:rPr>
          <w:color w:val="222222"/>
          <w:shd w:val="clear" w:color="auto" w:fill="FFFFFF"/>
        </w:rPr>
        <w:t>Asher, G., &amp; Sassone-Corsi, P. (2015). Time for food: the intimate interplay between nutrition, metabolism, and the circadian clock. </w:t>
      </w:r>
      <w:r w:rsidRPr="00B81AD0">
        <w:rPr>
          <w:i/>
          <w:iCs/>
          <w:color w:val="222222"/>
          <w:shd w:val="clear" w:color="auto" w:fill="FFFFFF"/>
        </w:rPr>
        <w:t>Cell</w:t>
      </w:r>
      <w:r w:rsidRPr="00B81AD0">
        <w:rPr>
          <w:color w:val="222222"/>
          <w:shd w:val="clear" w:color="auto" w:fill="FFFFFF"/>
        </w:rPr>
        <w:t>, </w:t>
      </w:r>
      <w:r w:rsidRPr="00B81AD0">
        <w:rPr>
          <w:i/>
          <w:iCs/>
          <w:color w:val="222222"/>
          <w:shd w:val="clear" w:color="auto" w:fill="FFFFFF"/>
        </w:rPr>
        <w:t>161</w:t>
      </w:r>
      <w:r w:rsidRPr="00B81AD0">
        <w:rPr>
          <w:color w:val="222222"/>
          <w:shd w:val="clear" w:color="auto" w:fill="FFFFFF"/>
        </w:rPr>
        <w:t xml:space="preserve">(1), 84-92. </w:t>
      </w:r>
      <w:hyperlink r:id="rId8" w:history="1">
        <w:r w:rsidRPr="00B81AD0">
          <w:rPr>
            <w:rStyle w:val="Hyperlink"/>
          </w:rPr>
          <w:t>https://doi.org/10.1016/j.cell.2015.03.015</w:t>
        </w:r>
      </w:hyperlink>
      <w:r w:rsidRPr="00B81AD0">
        <w:t xml:space="preserve"> </w:t>
      </w:r>
    </w:p>
    <w:p w14:paraId="4BA32815" w14:textId="77777777" w:rsidR="008D0444" w:rsidRPr="00B81AD0" w:rsidRDefault="008D0444" w:rsidP="00AE7CA1">
      <w:pPr>
        <w:spacing w:before="240" w:after="240" w:line="240" w:lineRule="auto"/>
        <w:ind w:left="0" w:firstLine="0"/>
      </w:pPr>
      <w:r w:rsidRPr="008D0444">
        <w:rPr>
          <w:color w:val="222222"/>
          <w:shd w:val="clear" w:color="auto" w:fill="FFFFFF"/>
        </w:rPr>
        <w:t>Awad, K., Serban, M. C., Penson, P., Mikhailidis, D. P., Toth, P. P., Jones, S. R., ... &amp; Lipid and Blood Pressure Meta-</w:t>
      </w:r>
      <w:proofErr w:type="gramStart"/>
      <w:r w:rsidRPr="008D0444">
        <w:rPr>
          <w:color w:val="222222"/>
          <w:shd w:val="clear" w:color="auto" w:fill="FFFFFF"/>
        </w:rPr>
        <w:t>analysis</w:t>
      </w:r>
      <w:proofErr w:type="gramEnd"/>
      <w:r w:rsidRPr="008D0444">
        <w:rPr>
          <w:color w:val="222222"/>
          <w:shd w:val="clear" w:color="auto" w:fill="FFFFFF"/>
        </w:rPr>
        <w:t xml:space="preserve"> Collaboration. (2017). Effects of morning vs evening statin administration on lipid profile: a systematic review and meta-analysis. </w:t>
      </w:r>
      <w:r w:rsidRPr="008D0444">
        <w:rPr>
          <w:i/>
          <w:iCs/>
          <w:color w:val="222222"/>
          <w:shd w:val="clear" w:color="auto" w:fill="FFFFFF"/>
        </w:rPr>
        <w:t>Journal of Clinical Lipidology</w:t>
      </w:r>
      <w:r w:rsidRPr="008D0444">
        <w:rPr>
          <w:color w:val="222222"/>
          <w:shd w:val="clear" w:color="auto" w:fill="FFFFFF"/>
        </w:rPr>
        <w:t>, </w:t>
      </w:r>
      <w:r w:rsidRPr="008D0444">
        <w:rPr>
          <w:i/>
          <w:iCs/>
          <w:color w:val="222222"/>
          <w:shd w:val="clear" w:color="auto" w:fill="FFFFFF"/>
        </w:rPr>
        <w:t>11</w:t>
      </w:r>
      <w:r w:rsidRPr="008D0444">
        <w:rPr>
          <w:color w:val="222222"/>
          <w:shd w:val="clear" w:color="auto" w:fill="FFFFFF"/>
        </w:rPr>
        <w:t xml:space="preserve">(4), 972-985. </w:t>
      </w:r>
      <w:hyperlink r:id="rId9" w:history="1">
        <w:r w:rsidRPr="008D0444">
          <w:rPr>
            <w:rStyle w:val="Hyperlink"/>
            <w:kern w:val="0"/>
            <w:lang w:val="en-US" w:eastAsia="en-US"/>
          </w:rPr>
          <w:t>https://doi.org/10.1016/j.jacl.2017.06.001</w:t>
        </w:r>
      </w:hyperlink>
      <w:r w:rsidRPr="008D0444">
        <w:rPr>
          <w:color w:val="auto"/>
          <w:kern w:val="0"/>
          <w:lang w:val="en-US" w:eastAsia="en-US"/>
        </w:rPr>
        <w:t xml:space="preserve"> </w:t>
      </w:r>
    </w:p>
    <w:p w14:paraId="4D4585D2" w14:textId="77777777" w:rsidR="008D0444" w:rsidRPr="00B81AD0" w:rsidRDefault="008D0444" w:rsidP="00AE7CA1">
      <w:pPr>
        <w:pStyle w:val="NormalWeb"/>
        <w:spacing w:before="240" w:beforeAutospacing="0" w:after="240" w:afterAutospacing="0"/>
      </w:pPr>
      <w:r w:rsidRPr="00B81AD0">
        <w:rPr>
          <w:color w:val="222222"/>
          <w:shd w:val="clear" w:color="auto" w:fill="FFFFFF"/>
        </w:rPr>
        <w:t>Ballesta, A., Innominato, P. F., Dallmann, R., Rand, D. A., &amp; Lévi, F. A. (2017). Systems chronotherapeutics. </w:t>
      </w:r>
      <w:r w:rsidRPr="00B81AD0">
        <w:rPr>
          <w:i/>
          <w:iCs/>
          <w:color w:val="222222"/>
          <w:shd w:val="clear" w:color="auto" w:fill="FFFFFF"/>
        </w:rPr>
        <w:t>Pharmacological reviews</w:t>
      </w:r>
      <w:r w:rsidRPr="00B81AD0">
        <w:rPr>
          <w:color w:val="222222"/>
          <w:shd w:val="clear" w:color="auto" w:fill="FFFFFF"/>
        </w:rPr>
        <w:t>, </w:t>
      </w:r>
      <w:r w:rsidRPr="00B81AD0">
        <w:rPr>
          <w:i/>
          <w:iCs/>
          <w:color w:val="222222"/>
          <w:shd w:val="clear" w:color="auto" w:fill="FFFFFF"/>
        </w:rPr>
        <w:t>69</w:t>
      </w:r>
      <w:r w:rsidRPr="00B81AD0">
        <w:rPr>
          <w:color w:val="222222"/>
          <w:shd w:val="clear" w:color="auto" w:fill="FFFFFF"/>
        </w:rPr>
        <w:t xml:space="preserve">(2), 161-199. </w:t>
      </w:r>
      <w:hyperlink r:id="rId10" w:history="1">
        <w:r w:rsidRPr="00B81AD0">
          <w:rPr>
            <w:rStyle w:val="Hyperlink"/>
          </w:rPr>
          <w:t>https://doi.org/10.1124/pr.116.013441</w:t>
        </w:r>
      </w:hyperlink>
      <w:r w:rsidRPr="00B81AD0">
        <w:t xml:space="preserve"> </w:t>
      </w:r>
    </w:p>
    <w:p w14:paraId="7F2B9B1B" w14:textId="77777777" w:rsidR="008D0444" w:rsidRPr="00B81AD0" w:rsidRDefault="008D0444" w:rsidP="00AE7CA1">
      <w:pPr>
        <w:pStyle w:val="NormalWeb"/>
        <w:spacing w:before="240" w:beforeAutospacing="0" w:after="240" w:afterAutospacing="0"/>
      </w:pPr>
      <w:r w:rsidRPr="00B81AD0">
        <w:rPr>
          <w:color w:val="222222"/>
          <w:shd w:val="clear" w:color="auto" w:fill="FFFFFF"/>
        </w:rPr>
        <w:t>Bass, J., &amp; Lazar, M. A. (2016). Circadian time signatures of fitness and disease. </w:t>
      </w:r>
      <w:r w:rsidRPr="00B81AD0">
        <w:rPr>
          <w:i/>
          <w:iCs/>
          <w:color w:val="222222"/>
          <w:shd w:val="clear" w:color="auto" w:fill="FFFFFF"/>
        </w:rPr>
        <w:t>Science</w:t>
      </w:r>
      <w:r w:rsidRPr="00B81AD0">
        <w:rPr>
          <w:color w:val="222222"/>
          <w:shd w:val="clear" w:color="auto" w:fill="FFFFFF"/>
        </w:rPr>
        <w:t>, </w:t>
      </w:r>
      <w:r w:rsidRPr="00B81AD0">
        <w:rPr>
          <w:i/>
          <w:iCs/>
          <w:color w:val="222222"/>
          <w:shd w:val="clear" w:color="auto" w:fill="FFFFFF"/>
        </w:rPr>
        <w:t>354</w:t>
      </w:r>
      <w:r w:rsidRPr="00B81AD0">
        <w:rPr>
          <w:color w:val="222222"/>
          <w:shd w:val="clear" w:color="auto" w:fill="FFFFFF"/>
        </w:rPr>
        <w:t xml:space="preserve">(6315), 994-999. </w:t>
      </w:r>
      <w:hyperlink r:id="rId11" w:history="1">
        <w:r w:rsidRPr="00B81AD0">
          <w:rPr>
            <w:rStyle w:val="Hyperlink"/>
          </w:rPr>
          <w:t>https://doi.org/10.1126/science.aah4965</w:t>
        </w:r>
      </w:hyperlink>
      <w:r w:rsidRPr="00B81AD0">
        <w:t xml:space="preserve"> </w:t>
      </w:r>
    </w:p>
    <w:p w14:paraId="46EA687F" w14:textId="77777777" w:rsidR="008D0444" w:rsidRPr="00B81AD0" w:rsidRDefault="008D0444" w:rsidP="00AE7CA1">
      <w:pPr>
        <w:pStyle w:val="NormalWeb"/>
        <w:spacing w:before="240" w:beforeAutospacing="0" w:after="240" w:afterAutospacing="0"/>
      </w:pPr>
      <w:r w:rsidRPr="00B81AD0">
        <w:rPr>
          <w:color w:val="222222"/>
          <w:shd w:val="clear" w:color="auto" w:fill="FFFFFF"/>
        </w:rPr>
        <w:t>Bicker, J., Alves, G., Falcão, A., &amp; Fortuna, A. (2020). Timing in drug absorption and disposition: The past, present, and future of chronopharmacokinetics. </w:t>
      </w:r>
      <w:r w:rsidRPr="00B81AD0">
        <w:rPr>
          <w:i/>
          <w:iCs/>
          <w:color w:val="222222"/>
          <w:shd w:val="clear" w:color="auto" w:fill="FFFFFF"/>
        </w:rPr>
        <w:t>British journal of pharmacology</w:t>
      </w:r>
      <w:r w:rsidRPr="00B81AD0">
        <w:rPr>
          <w:color w:val="222222"/>
          <w:shd w:val="clear" w:color="auto" w:fill="FFFFFF"/>
        </w:rPr>
        <w:t>, </w:t>
      </w:r>
      <w:r w:rsidRPr="00B81AD0">
        <w:rPr>
          <w:i/>
          <w:iCs/>
          <w:color w:val="222222"/>
          <w:shd w:val="clear" w:color="auto" w:fill="FFFFFF"/>
        </w:rPr>
        <w:t>177</w:t>
      </w:r>
      <w:r w:rsidRPr="00B81AD0">
        <w:rPr>
          <w:color w:val="222222"/>
          <w:shd w:val="clear" w:color="auto" w:fill="FFFFFF"/>
        </w:rPr>
        <w:t xml:space="preserve">(10), 2215-2239. </w:t>
      </w:r>
      <w:hyperlink r:id="rId12" w:tgtFrame="_new" w:history="1">
        <w:r w:rsidRPr="00B81AD0">
          <w:rPr>
            <w:rStyle w:val="Hyperlink"/>
          </w:rPr>
          <w:t>https://doi.org/10.1111/bph.15017</w:t>
        </w:r>
      </w:hyperlink>
      <w:r w:rsidRPr="00B81AD0">
        <w:t xml:space="preserve"> </w:t>
      </w:r>
    </w:p>
    <w:p w14:paraId="29B7BC8F" w14:textId="77777777" w:rsidR="008D0444" w:rsidRPr="00B81AD0" w:rsidRDefault="008D0444" w:rsidP="00AE7CA1">
      <w:pPr>
        <w:spacing w:before="240" w:after="240" w:line="240" w:lineRule="auto"/>
        <w:ind w:left="0" w:firstLine="0"/>
      </w:pPr>
      <w:r w:rsidRPr="008D0444">
        <w:rPr>
          <w:color w:val="222222"/>
          <w:shd w:val="clear" w:color="auto" w:fill="FFFFFF"/>
        </w:rPr>
        <w:t>Bonten, T. N., Snoep, J. D., Assendelft, W. J., Zwaginga, J. J., Eikenboom, J., Huisman, M. V., ... &amp; van der Bom, J. G. (2015). Time-dependent effects of aspirin on blood pressure and morning platelet reactivity: a randomized cross-over trial. </w:t>
      </w:r>
      <w:r w:rsidRPr="008D0444">
        <w:rPr>
          <w:i/>
          <w:iCs/>
          <w:color w:val="222222"/>
          <w:shd w:val="clear" w:color="auto" w:fill="FFFFFF"/>
        </w:rPr>
        <w:t>Hypertension</w:t>
      </w:r>
      <w:r w:rsidRPr="008D0444">
        <w:rPr>
          <w:color w:val="222222"/>
          <w:shd w:val="clear" w:color="auto" w:fill="FFFFFF"/>
        </w:rPr>
        <w:t>, </w:t>
      </w:r>
      <w:r w:rsidRPr="008D0444">
        <w:rPr>
          <w:i/>
          <w:iCs/>
          <w:color w:val="222222"/>
          <w:shd w:val="clear" w:color="auto" w:fill="FFFFFF"/>
        </w:rPr>
        <w:t>65</w:t>
      </w:r>
      <w:r w:rsidRPr="008D0444">
        <w:rPr>
          <w:color w:val="222222"/>
          <w:shd w:val="clear" w:color="auto" w:fill="FFFFFF"/>
        </w:rPr>
        <w:t xml:space="preserve">(4), 743-750. </w:t>
      </w:r>
      <w:hyperlink r:id="rId13" w:history="1">
        <w:r w:rsidRPr="008D0444">
          <w:rPr>
            <w:rStyle w:val="Hyperlink"/>
            <w:kern w:val="0"/>
            <w:lang w:val="en-US" w:eastAsia="en-US"/>
          </w:rPr>
          <w:t>https://doi.org/10.1161/HYPERTENSIONAHA.114.04980</w:t>
        </w:r>
      </w:hyperlink>
      <w:r w:rsidRPr="008D0444">
        <w:rPr>
          <w:color w:val="auto"/>
          <w:kern w:val="0"/>
          <w:lang w:val="en-US" w:eastAsia="en-US"/>
        </w:rPr>
        <w:t xml:space="preserve"> </w:t>
      </w:r>
    </w:p>
    <w:p w14:paraId="08C98D6C" w14:textId="77777777" w:rsidR="008D0444" w:rsidRPr="00B81AD0" w:rsidRDefault="008D0444" w:rsidP="00AE7CA1">
      <w:pPr>
        <w:pStyle w:val="NormalWeb"/>
        <w:spacing w:before="240" w:beforeAutospacing="0" w:after="240" w:afterAutospacing="0"/>
      </w:pPr>
      <w:r w:rsidRPr="00B81AD0">
        <w:rPr>
          <w:color w:val="222222"/>
          <w:shd w:val="clear" w:color="auto" w:fill="FFFFFF"/>
        </w:rPr>
        <w:t>Borger, J. N., Huber, R., &amp; Ghosh, A. (2019). Capturing sleep–wake cycles by using day-to-day smartphone touchscreen interactions. </w:t>
      </w:r>
      <w:r w:rsidRPr="00B81AD0">
        <w:rPr>
          <w:i/>
          <w:iCs/>
          <w:color w:val="222222"/>
          <w:shd w:val="clear" w:color="auto" w:fill="FFFFFF"/>
        </w:rPr>
        <w:t>NPJ digital medicine</w:t>
      </w:r>
      <w:r w:rsidRPr="00B81AD0">
        <w:rPr>
          <w:color w:val="222222"/>
          <w:shd w:val="clear" w:color="auto" w:fill="FFFFFF"/>
        </w:rPr>
        <w:t>, </w:t>
      </w:r>
      <w:r w:rsidRPr="00B81AD0">
        <w:rPr>
          <w:i/>
          <w:iCs/>
          <w:color w:val="222222"/>
          <w:shd w:val="clear" w:color="auto" w:fill="FFFFFF"/>
        </w:rPr>
        <w:t>2</w:t>
      </w:r>
      <w:r w:rsidRPr="00B81AD0">
        <w:rPr>
          <w:color w:val="222222"/>
          <w:shd w:val="clear" w:color="auto" w:fill="FFFFFF"/>
        </w:rPr>
        <w:t xml:space="preserve">(1), 73. </w:t>
      </w:r>
      <w:hyperlink r:id="rId14" w:history="1">
        <w:r w:rsidRPr="00B81AD0">
          <w:rPr>
            <w:rStyle w:val="Hyperlink"/>
          </w:rPr>
          <w:t>https://doi.org/10.1038/s41746-019-0147-4</w:t>
        </w:r>
      </w:hyperlink>
      <w:r w:rsidRPr="00B81AD0">
        <w:t xml:space="preserve"> </w:t>
      </w:r>
    </w:p>
    <w:p w14:paraId="3743290C" w14:textId="77777777" w:rsidR="008D0444" w:rsidRPr="00B81AD0" w:rsidRDefault="008D0444" w:rsidP="00AE7CA1">
      <w:pPr>
        <w:pStyle w:val="NormalWeb"/>
        <w:spacing w:before="240" w:beforeAutospacing="0" w:after="240" w:afterAutospacing="0"/>
      </w:pPr>
      <w:r w:rsidRPr="00B81AD0">
        <w:rPr>
          <w:color w:val="222222"/>
          <w:shd w:val="clear" w:color="auto" w:fill="FFFFFF"/>
        </w:rPr>
        <w:t>Buttgereit, F., Doering, G., Schaeffler, A., Witte, S., Sierakowski, S., Gromnica-Ihle, E., ... &amp; Alten, R. (2008). Efficacy of modified-release versus standard prednisone to reduce duration of morning stiffness of the joints in rheumatoid arthritis (CAPRA-1): a double-blind, randomised controlled trial. </w:t>
      </w:r>
      <w:r w:rsidRPr="00B81AD0">
        <w:rPr>
          <w:i/>
          <w:iCs/>
          <w:color w:val="222222"/>
          <w:shd w:val="clear" w:color="auto" w:fill="FFFFFF"/>
        </w:rPr>
        <w:t>The Lancet</w:t>
      </w:r>
      <w:r w:rsidRPr="00B81AD0">
        <w:rPr>
          <w:color w:val="222222"/>
          <w:shd w:val="clear" w:color="auto" w:fill="FFFFFF"/>
        </w:rPr>
        <w:t>, </w:t>
      </w:r>
      <w:r w:rsidRPr="00B81AD0">
        <w:rPr>
          <w:i/>
          <w:iCs/>
          <w:color w:val="222222"/>
          <w:shd w:val="clear" w:color="auto" w:fill="FFFFFF"/>
        </w:rPr>
        <w:t>371</w:t>
      </w:r>
      <w:r w:rsidRPr="00B81AD0">
        <w:rPr>
          <w:color w:val="222222"/>
          <w:shd w:val="clear" w:color="auto" w:fill="FFFFFF"/>
        </w:rPr>
        <w:t xml:space="preserve">(9608), 205-214. </w:t>
      </w:r>
      <w:hyperlink r:id="rId15" w:history="1">
        <w:r w:rsidRPr="00B81AD0">
          <w:rPr>
            <w:rStyle w:val="Hyperlink"/>
          </w:rPr>
          <w:t>https://doi.org/10.1016/S0140-6736(08)60132-4</w:t>
        </w:r>
      </w:hyperlink>
      <w:r w:rsidRPr="00B81AD0">
        <w:t xml:space="preserve"> </w:t>
      </w:r>
    </w:p>
    <w:p w14:paraId="268A8FC5" w14:textId="77777777" w:rsidR="008D0444" w:rsidRPr="00B81AD0" w:rsidRDefault="008D0444" w:rsidP="00AE7CA1">
      <w:pPr>
        <w:pStyle w:val="NormalWeb"/>
        <w:spacing w:before="240" w:beforeAutospacing="0" w:after="240" w:afterAutospacing="0"/>
      </w:pPr>
      <w:r w:rsidRPr="00B81AD0">
        <w:rPr>
          <w:color w:val="222222"/>
          <w:shd w:val="clear" w:color="auto" w:fill="FFFFFF"/>
        </w:rPr>
        <w:t>Cederroth, C. R., Albrecht, U., Bass, J., Brown, S. A., Dyhrfjeld-Johnsen, J., Gachon, F., ... &amp; Canlon, B. (2019). Medicine in the fourth dimension. </w:t>
      </w:r>
      <w:r w:rsidRPr="00B81AD0">
        <w:rPr>
          <w:i/>
          <w:iCs/>
          <w:color w:val="222222"/>
          <w:shd w:val="clear" w:color="auto" w:fill="FFFFFF"/>
        </w:rPr>
        <w:t>Cell metabolism</w:t>
      </w:r>
      <w:r w:rsidRPr="00B81AD0">
        <w:rPr>
          <w:color w:val="222222"/>
          <w:shd w:val="clear" w:color="auto" w:fill="FFFFFF"/>
        </w:rPr>
        <w:t>, </w:t>
      </w:r>
      <w:r w:rsidRPr="00B81AD0">
        <w:rPr>
          <w:i/>
          <w:iCs/>
          <w:color w:val="222222"/>
          <w:shd w:val="clear" w:color="auto" w:fill="FFFFFF"/>
        </w:rPr>
        <w:t>30</w:t>
      </w:r>
      <w:r w:rsidRPr="00B81AD0">
        <w:rPr>
          <w:color w:val="222222"/>
          <w:shd w:val="clear" w:color="auto" w:fill="FFFFFF"/>
        </w:rPr>
        <w:t xml:space="preserve">(2), 238-250. </w:t>
      </w:r>
      <w:hyperlink r:id="rId16" w:tgtFrame="_new" w:history="1">
        <w:r w:rsidRPr="00B81AD0">
          <w:rPr>
            <w:rStyle w:val="Hyperlink"/>
          </w:rPr>
          <w:t>https://doi.org/10.1016/j.cmet.2019.06.019</w:t>
        </w:r>
      </w:hyperlink>
      <w:r w:rsidRPr="00B81AD0">
        <w:t xml:space="preserve"> </w:t>
      </w:r>
    </w:p>
    <w:p w14:paraId="2CBA4D50" w14:textId="77777777" w:rsidR="008D0444" w:rsidRPr="00B81AD0" w:rsidRDefault="008D0444" w:rsidP="00AE7CA1">
      <w:pPr>
        <w:pStyle w:val="NormalWeb"/>
        <w:spacing w:before="240" w:beforeAutospacing="0" w:after="240" w:afterAutospacing="0"/>
      </w:pPr>
      <w:r w:rsidRPr="00B81AD0">
        <w:rPr>
          <w:color w:val="222222"/>
          <w:shd w:val="clear" w:color="auto" w:fill="FFFFFF"/>
        </w:rPr>
        <w:t>Chan, A. W., Tetzlaff, J. M., Altman, D. G., Laupacis, A., Gøtzsche, P. C., Krleža-Jerić, K., ... &amp; Moher, D. (2013a). SPIRIT 2013 statement: defining standard protocol items for clinical trials. </w:t>
      </w:r>
      <w:r w:rsidRPr="00B81AD0">
        <w:rPr>
          <w:i/>
          <w:iCs/>
          <w:color w:val="222222"/>
          <w:shd w:val="clear" w:color="auto" w:fill="FFFFFF"/>
        </w:rPr>
        <w:t>Annals of internal medicine</w:t>
      </w:r>
      <w:r w:rsidRPr="00B81AD0">
        <w:rPr>
          <w:color w:val="222222"/>
          <w:shd w:val="clear" w:color="auto" w:fill="FFFFFF"/>
        </w:rPr>
        <w:t>, </w:t>
      </w:r>
      <w:r w:rsidRPr="00B81AD0">
        <w:rPr>
          <w:i/>
          <w:iCs/>
          <w:color w:val="222222"/>
          <w:shd w:val="clear" w:color="auto" w:fill="FFFFFF"/>
        </w:rPr>
        <w:t>158</w:t>
      </w:r>
      <w:r w:rsidRPr="00B81AD0">
        <w:rPr>
          <w:color w:val="222222"/>
          <w:shd w:val="clear" w:color="auto" w:fill="FFFFFF"/>
        </w:rPr>
        <w:t xml:space="preserve">(3), 200-207. </w:t>
      </w:r>
      <w:hyperlink r:id="rId17" w:tgtFrame="_new" w:history="1">
        <w:r w:rsidRPr="00B81AD0">
          <w:rPr>
            <w:rStyle w:val="Hyperlink"/>
          </w:rPr>
          <w:t>https://doi.org/10.7326/0003-4819-158-3-201302050-00583</w:t>
        </w:r>
      </w:hyperlink>
      <w:r w:rsidRPr="00B81AD0">
        <w:t xml:space="preserve"> </w:t>
      </w:r>
    </w:p>
    <w:p w14:paraId="0234BA40" w14:textId="77777777" w:rsidR="008D0444" w:rsidRPr="00B81AD0" w:rsidRDefault="008D0444" w:rsidP="00AE7CA1">
      <w:pPr>
        <w:pStyle w:val="NormalWeb"/>
        <w:spacing w:before="240" w:beforeAutospacing="0" w:after="240" w:afterAutospacing="0"/>
      </w:pPr>
      <w:r w:rsidRPr="00B81AD0">
        <w:rPr>
          <w:color w:val="222222"/>
          <w:shd w:val="clear" w:color="auto" w:fill="FFFFFF"/>
        </w:rPr>
        <w:t>Chan, A. W., Tetzlaff, J. M., Gøtzsche, P. C., Altman, D. G., Mann, H., Berlin, J. A., ... &amp; Moher, D. (2013b). SPIRIT 2013 explanation and elaboration: guidance for protocols of clinical trials. </w:t>
      </w:r>
      <w:r w:rsidRPr="00B81AD0">
        <w:rPr>
          <w:i/>
          <w:iCs/>
          <w:color w:val="222222"/>
          <w:shd w:val="clear" w:color="auto" w:fill="FFFFFF"/>
        </w:rPr>
        <w:t>Bmj</w:t>
      </w:r>
      <w:r w:rsidRPr="00B81AD0">
        <w:rPr>
          <w:color w:val="222222"/>
          <w:shd w:val="clear" w:color="auto" w:fill="FFFFFF"/>
        </w:rPr>
        <w:t>, </w:t>
      </w:r>
      <w:r w:rsidRPr="00B81AD0">
        <w:rPr>
          <w:i/>
          <w:iCs/>
          <w:color w:val="222222"/>
          <w:shd w:val="clear" w:color="auto" w:fill="FFFFFF"/>
        </w:rPr>
        <w:t>346</w:t>
      </w:r>
      <w:r w:rsidRPr="00B81AD0">
        <w:rPr>
          <w:color w:val="222222"/>
          <w:shd w:val="clear" w:color="auto" w:fill="FFFFFF"/>
        </w:rPr>
        <w:t xml:space="preserve">. </w:t>
      </w:r>
      <w:hyperlink r:id="rId18" w:tgtFrame="_new" w:history="1">
        <w:r w:rsidRPr="00B81AD0">
          <w:rPr>
            <w:rStyle w:val="Hyperlink"/>
          </w:rPr>
          <w:t>https://doi.org/10.1136/bmj.e7586</w:t>
        </w:r>
      </w:hyperlink>
      <w:r w:rsidRPr="00B81AD0">
        <w:t xml:space="preserve"> </w:t>
      </w:r>
    </w:p>
    <w:p w14:paraId="3BD9E7F7" w14:textId="77777777" w:rsidR="008D0444" w:rsidRPr="00B81AD0" w:rsidRDefault="008D0444" w:rsidP="00AE7CA1">
      <w:pPr>
        <w:pStyle w:val="NormalWeb"/>
        <w:spacing w:before="240" w:beforeAutospacing="0" w:after="240" w:afterAutospacing="0"/>
      </w:pPr>
      <w:r w:rsidRPr="00B81AD0">
        <w:rPr>
          <w:color w:val="222222"/>
          <w:shd w:val="clear" w:color="auto" w:fill="FFFFFF"/>
        </w:rPr>
        <w:lastRenderedPageBreak/>
        <w:t>Crowley, S. J., Suh, C., Molina, T. A., Fogg, L. F., Sharkey, K. M., &amp; Carskadon, M. A. (2016). Estimating the dim light melatonin onset of adolescents within a 6-h sampling window: the impact of sampling rate and threshold method. </w:t>
      </w:r>
      <w:r w:rsidRPr="00B81AD0">
        <w:rPr>
          <w:i/>
          <w:iCs/>
          <w:color w:val="222222"/>
          <w:shd w:val="clear" w:color="auto" w:fill="FFFFFF"/>
        </w:rPr>
        <w:t>Sleep medicine</w:t>
      </w:r>
      <w:r w:rsidRPr="00B81AD0">
        <w:rPr>
          <w:color w:val="222222"/>
          <w:shd w:val="clear" w:color="auto" w:fill="FFFFFF"/>
        </w:rPr>
        <w:t>, </w:t>
      </w:r>
      <w:r w:rsidRPr="00B81AD0">
        <w:rPr>
          <w:i/>
          <w:iCs/>
          <w:color w:val="222222"/>
          <w:shd w:val="clear" w:color="auto" w:fill="FFFFFF"/>
        </w:rPr>
        <w:t>20</w:t>
      </w:r>
      <w:r w:rsidRPr="00B81AD0">
        <w:rPr>
          <w:color w:val="222222"/>
          <w:shd w:val="clear" w:color="auto" w:fill="FFFFFF"/>
        </w:rPr>
        <w:t xml:space="preserve">, 59-66. </w:t>
      </w:r>
      <w:hyperlink r:id="rId19" w:history="1">
        <w:r w:rsidRPr="00B81AD0">
          <w:rPr>
            <w:rStyle w:val="Hyperlink"/>
          </w:rPr>
          <w:t>https://doi.org/10.1016/j.sleep.2015.11.019</w:t>
        </w:r>
      </w:hyperlink>
      <w:r w:rsidRPr="00B81AD0">
        <w:t xml:space="preserve"> </w:t>
      </w:r>
    </w:p>
    <w:p w14:paraId="31A4C9D9" w14:textId="77777777" w:rsidR="008D0444" w:rsidRPr="00B81AD0" w:rsidRDefault="008D0444" w:rsidP="00AE7CA1">
      <w:pPr>
        <w:pStyle w:val="NormalWeb"/>
        <w:spacing w:before="240" w:beforeAutospacing="0" w:after="240" w:afterAutospacing="0"/>
      </w:pPr>
      <w:r w:rsidRPr="00B81AD0">
        <w:rPr>
          <w:color w:val="222222"/>
          <w:shd w:val="clear" w:color="auto" w:fill="FFFFFF"/>
        </w:rPr>
        <w:t>Dallmann, R., Brown, S. A., &amp; Gachon, F. (2014). Chronopharmacology: new insights and therapeutic implications. </w:t>
      </w:r>
      <w:r w:rsidRPr="00B81AD0">
        <w:rPr>
          <w:i/>
          <w:iCs/>
          <w:color w:val="222222"/>
          <w:shd w:val="clear" w:color="auto" w:fill="FFFFFF"/>
        </w:rPr>
        <w:t>Annual review of pharmacology and toxicology</w:t>
      </w:r>
      <w:r w:rsidRPr="00B81AD0">
        <w:rPr>
          <w:color w:val="222222"/>
          <w:shd w:val="clear" w:color="auto" w:fill="FFFFFF"/>
        </w:rPr>
        <w:t>, </w:t>
      </w:r>
      <w:r w:rsidRPr="00B81AD0">
        <w:rPr>
          <w:i/>
          <w:iCs/>
          <w:color w:val="222222"/>
          <w:shd w:val="clear" w:color="auto" w:fill="FFFFFF"/>
        </w:rPr>
        <w:t>54</w:t>
      </w:r>
      <w:r w:rsidRPr="00B81AD0">
        <w:rPr>
          <w:color w:val="222222"/>
          <w:shd w:val="clear" w:color="auto" w:fill="FFFFFF"/>
        </w:rPr>
        <w:t xml:space="preserve">(1), 339-361. </w:t>
      </w:r>
      <w:hyperlink r:id="rId20" w:history="1">
        <w:r w:rsidRPr="00B81AD0">
          <w:rPr>
            <w:rStyle w:val="Hyperlink"/>
          </w:rPr>
          <w:t>https://doi.org/10.1146/annurev-pharmtox-011613-135923</w:t>
        </w:r>
      </w:hyperlink>
      <w:r w:rsidRPr="00B81AD0">
        <w:t xml:space="preserve"> </w:t>
      </w:r>
    </w:p>
    <w:p w14:paraId="19E04F85" w14:textId="77777777" w:rsidR="008D0444" w:rsidRPr="00B81AD0" w:rsidRDefault="008D0444" w:rsidP="00AE7CA1">
      <w:pPr>
        <w:pStyle w:val="NormalWeb"/>
        <w:spacing w:before="240" w:beforeAutospacing="0" w:after="240" w:afterAutospacing="0"/>
      </w:pPr>
      <w:r w:rsidRPr="00B81AD0">
        <w:rPr>
          <w:color w:val="222222"/>
          <w:shd w:val="clear" w:color="auto" w:fill="FFFFFF"/>
        </w:rPr>
        <w:t>Dallmann, R., Okyar, A., &amp; Lévi, F. (2016). Dosing-time makes the poison: circadian regulation and pharmacotherapy. </w:t>
      </w:r>
      <w:r w:rsidRPr="00B81AD0">
        <w:rPr>
          <w:i/>
          <w:iCs/>
          <w:color w:val="222222"/>
          <w:shd w:val="clear" w:color="auto" w:fill="FFFFFF"/>
        </w:rPr>
        <w:t>Trends in molecular medicine</w:t>
      </w:r>
      <w:r w:rsidRPr="00B81AD0">
        <w:rPr>
          <w:color w:val="222222"/>
          <w:shd w:val="clear" w:color="auto" w:fill="FFFFFF"/>
        </w:rPr>
        <w:t>, </w:t>
      </w:r>
      <w:r w:rsidRPr="00B81AD0">
        <w:rPr>
          <w:i/>
          <w:iCs/>
          <w:color w:val="222222"/>
          <w:shd w:val="clear" w:color="auto" w:fill="FFFFFF"/>
        </w:rPr>
        <w:t>22</w:t>
      </w:r>
      <w:r w:rsidRPr="00B81AD0">
        <w:rPr>
          <w:color w:val="222222"/>
          <w:shd w:val="clear" w:color="auto" w:fill="FFFFFF"/>
        </w:rPr>
        <w:t xml:space="preserve">(5), 430-445. </w:t>
      </w:r>
      <w:hyperlink r:id="rId21" w:history="1">
        <w:r w:rsidRPr="00B81AD0">
          <w:rPr>
            <w:rStyle w:val="Hyperlink"/>
          </w:rPr>
          <w:t>https://doi.org/10.1016/j.molmed.2016.03.004</w:t>
        </w:r>
      </w:hyperlink>
      <w:r w:rsidRPr="00B81AD0">
        <w:t xml:space="preserve"> </w:t>
      </w:r>
    </w:p>
    <w:p w14:paraId="4D5751F2" w14:textId="77777777" w:rsidR="008D0444" w:rsidRPr="00B81AD0" w:rsidRDefault="008D0444" w:rsidP="00AE7CA1">
      <w:pPr>
        <w:pStyle w:val="NormalWeb"/>
        <w:spacing w:before="240" w:beforeAutospacing="0" w:after="240" w:afterAutospacing="0"/>
      </w:pPr>
      <w:r w:rsidRPr="00B81AD0">
        <w:rPr>
          <w:color w:val="222222"/>
          <w:shd w:val="clear" w:color="auto" w:fill="FFFFFF"/>
        </w:rPr>
        <w:t>Dibner, C., Schibler, U., &amp; Albrecht, U. (2010). The mammalian circadian timing system: organization and coordination of central and peripheral clocks. </w:t>
      </w:r>
      <w:r w:rsidRPr="00B81AD0">
        <w:rPr>
          <w:i/>
          <w:iCs/>
          <w:color w:val="222222"/>
          <w:shd w:val="clear" w:color="auto" w:fill="FFFFFF"/>
        </w:rPr>
        <w:t>Annual review of physiology</w:t>
      </w:r>
      <w:r w:rsidRPr="00B81AD0">
        <w:rPr>
          <w:color w:val="222222"/>
          <w:shd w:val="clear" w:color="auto" w:fill="FFFFFF"/>
        </w:rPr>
        <w:t>, </w:t>
      </w:r>
      <w:r w:rsidRPr="00B81AD0">
        <w:rPr>
          <w:i/>
          <w:iCs/>
          <w:color w:val="222222"/>
          <w:shd w:val="clear" w:color="auto" w:fill="FFFFFF"/>
        </w:rPr>
        <w:t>72</w:t>
      </w:r>
      <w:r w:rsidRPr="00B81AD0">
        <w:rPr>
          <w:color w:val="222222"/>
          <w:shd w:val="clear" w:color="auto" w:fill="FFFFFF"/>
        </w:rPr>
        <w:t xml:space="preserve">(1), 517-549. </w:t>
      </w:r>
      <w:hyperlink r:id="rId22" w:history="1">
        <w:r w:rsidRPr="00B81AD0">
          <w:rPr>
            <w:rStyle w:val="Hyperlink"/>
          </w:rPr>
          <w:t>https://doi.org/10.1146/annurev-physiol-021909-135821</w:t>
        </w:r>
      </w:hyperlink>
      <w:r w:rsidRPr="00B81AD0">
        <w:t xml:space="preserve"> </w:t>
      </w:r>
    </w:p>
    <w:p w14:paraId="29EF8656" w14:textId="77777777" w:rsidR="008D0444" w:rsidRPr="00B81AD0" w:rsidRDefault="008D0444" w:rsidP="00AE7CA1">
      <w:pPr>
        <w:pStyle w:val="NormalWeb"/>
        <w:spacing w:before="240" w:beforeAutospacing="0" w:after="240" w:afterAutospacing="0"/>
      </w:pPr>
      <w:r w:rsidRPr="00B81AD0">
        <w:rPr>
          <w:color w:val="222222"/>
          <w:shd w:val="clear" w:color="auto" w:fill="FFFFFF"/>
        </w:rPr>
        <w:t>Eckel-Mahan, K., &amp; Sassone-Corsi, P. (2013). Metabolism and the circadian clock converge. </w:t>
      </w:r>
      <w:r w:rsidRPr="00B81AD0">
        <w:rPr>
          <w:i/>
          <w:iCs/>
          <w:color w:val="222222"/>
          <w:shd w:val="clear" w:color="auto" w:fill="FFFFFF"/>
        </w:rPr>
        <w:t>Physiological reviews</w:t>
      </w:r>
      <w:r w:rsidRPr="00B81AD0">
        <w:rPr>
          <w:color w:val="222222"/>
          <w:shd w:val="clear" w:color="auto" w:fill="FFFFFF"/>
        </w:rPr>
        <w:t>, </w:t>
      </w:r>
      <w:r w:rsidRPr="00B81AD0">
        <w:rPr>
          <w:i/>
          <w:iCs/>
          <w:color w:val="222222"/>
          <w:shd w:val="clear" w:color="auto" w:fill="FFFFFF"/>
        </w:rPr>
        <w:t>93</w:t>
      </w:r>
      <w:r w:rsidRPr="00B81AD0">
        <w:rPr>
          <w:color w:val="222222"/>
          <w:shd w:val="clear" w:color="auto" w:fill="FFFFFF"/>
        </w:rPr>
        <w:t xml:space="preserve">(1), 107-135. </w:t>
      </w:r>
      <w:hyperlink r:id="rId23" w:history="1">
        <w:r w:rsidRPr="00B81AD0">
          <w:rPr>
            <w:rStyle w:val="Hyperlink"/>
          </w:rPr>
          <w:t>https://doi.org/10.1152/physrev.00016.2012</w:t>
        </w:r>
      </w:hyperlink>
      <w:r w:rsidRPr="00B81AD0">
        <w:t xml:space="preserve"> </w:t>
      </w:r>
    </w:p>
    <w:p w14:paraId="6501476A" w14:textId="77777777" w:rsidR="008D0444" w:rsidRPr="00B81AD0" w:rsidRDefault="008D0444" w:rsidP="00AE7CA1">
      <w:pPr>
        <w:pStyle w:val="NormalWeb"/>
        <w:spacing w:before="240" w:beforeAutospacing="0" w:after="240" w:afterAutospacing="0"/>
      </w:pPr>
      <w:r w:rsidRPr="00B81AD0">
        <w:rPr>
          <w:color w:val="222222"/>
          <w:shd w:val="clear" w:color="auto" w:fill="FFFFFF"/>
        </w:rPr>
        <w:t>FitzGerald, G. A. (2014). Temporal targets of drug action. </w:t>
      </w:r>
      <w:r w:rsidRPr="00B81AD0">
        <w:rPr>
          <w:i/>
          <w:iCs/>
          <w:color w:val="222222"/>
          <w:shd w:val="clear" w:color="auto" w:fill="FFFFFF"/>
        </w:rPr>
        <w:t>Science</w:t>
      </w:r>
      <w:r w:rsidRPr="00B81AD0">
        <w:rPr>
          <w:color w:val="222222"/>
          <w:shd w:val="clear" w:color="auto" w:fill="FFFFFF"/>
        </w:rPr>
        <w:t>, </w:t>
      </w:r>
      <w:r w:rsidRPr="00B81AD0">
        <w:rPr>
          <w:i/>
          <w:iCs/>
          <w:color w:val="222222"/>
          <w:shd w:val="clear" w:color="auto" w:fill="FFFFFF"/>
        </w:rPr>
        <w:t>346</w:t>
      </w:r>
      <w:r w:rsidRPr="00B81AD0">
        <w:rPr>
          <w:color w:val="222222"/>
          <w:shd w:val="clear" w:color="auto" w:fill="FFFFFF"/>
        </w:rPr>
        <w:t xml:space="preserve">(6212), 921-922. </w:t>
      </w:r>
      <w:hyperlink r:id="rId24" w:history="1">
        <w:r w:rsidRPr="00B81AD0">
          <w:rPr>
            <w:rStyle w:val="Hyperlink"/>
          </w:rPr>
          <w:t>https://doi.org/10.1126/science.aaa2285</w:t>
        </w:r>
      </w:hyperlink>
      <w:r w:rsidRPr="00B81AD0">
        <w:t xml:space="preserve"> </w:t>
      </w:r>
    </w:p>
    <w:p w14:paraId="7D1D93DB" w14:textId="77777777" w:rsidR="008D0444" w:rsidRPr="00B81AD0" w:rsidRDefault="008D0444" w:rsidP="00AE7CA1">
      <w:pPr>
        <w:spacing w:before="240" w:after="240" w:line="240" w:lineRule="auto"/>
        <w:ind w:left="0" w:firstLine="0"/>
      </w:pPr>
      <w:r w:rsidRPr="008D0444">
        <w:rPr>
          <w:color w:val="222222"/>
          <w:shd w:val="clear" w:color="auto" w:fill="FFFFFF"/>
        </w:rPr>
        <w:t>Fletcher, K., Rehman, S., Irlmeier, R., Ye, F., &amp; Johnson, D. (2025). Immune checkpoint inhibitor infusion times and clinical outcomes in patients with melanoma. </w:t>
      </w:r>
      <w:r w:rsidRPr="008D0444">
        <w:rPr>
          <w:i/>
          <w:iCs/>
          <w:color w:val="222222"/>
          <w:shd w:val="clear" w:color="auto" w:fill="FFFFFF"/>
        </w:rPr>
        <w:t>The Oncologist</w:t>
      </w:r>
      <w:r w:rsidRPr="008D0444">
        <w:rPr>
          <w:color w:val="222222"/>
          <w:shd w:val="clear" w:color="auto" w:fill="FFFFFF"/>
        </w:rPr>
        <w:t>, </w:t>
      </w:r>
      <w:r w:rsidRPr="008D0444">
        <w:rPr>
          <w:i/>
          <w:iCs/>
          <w:color w:val="222222"/>
          <w:shd w:val="clear" w:color="auto" w:fill="FFFFFF"/>
        </w:rPr>
        <w:t>30</w:t>
      </w:r>
      <w:r w:rsidRPr="008D0444">
        <w:rPr>
          <w:color w:val="222222"/>
          <w:shd w:val="clear" w:color="auto" w:fill="FFFFFF"/>
        </w:rPr>
        <w:t xml:space="preserve">(1), oyae197. </w:t>
      </w:r>
      <w:hyperlink r:id="rId25" w:history="1">
        <w:r w:rsidRPr="008D0444">
          <w:rPr>
            <w:rStyle w:val="Hyperlink"/>
            <w:kern w:val="0"/>
            <w:lang w:val="en-US" w:eastAsia="en-US"/>
          </w:rPr>
          <w:t>https://doi.org/10.1093/oncolo/oyae197</w:t>
        </w:r>
      </w:hyperlink>
      <w:r w:rsidRPr="008D0444">
        <w:rPr>
          <w:color w:val="auto"/>
          <w:kern w:val="0"/>
          <w:lang w:val="en-US" w:eastAsia="en-US"/>
        </w:rPr>
        <w:t xml:space="preserve"> </w:t>
      </w:r>
    </w:p>
    <w:p w14:paraId="72BE3D67" w14:textId="77777777" w:rsidR="008D0444" w:rsidRPr="008D0444" w:rsidRDefault="008D0444" w:rsidP="00AE7CA1">
      <w:pPr>
        <w:spacing w:before="240" w:after="240" w:line="240" w:lineRule="auto"/>
        <w:ind w:left="0" w:firstLine="0"/>
        <w:rPr>
          <w:color w:val="auto"/>
          <w:kern w:val="0"/>
          <w:lang w:val="en-US" w:eastAsia="en-US"/>
        </w:rPr>
      </w:pPr>
      <w:r w:rsidRPr="008D0444">
        <w:rPr>
          <w:color w:val="222222"/>
          <w:shd w:val="clear" w:color="auto" w:fill="FFFFFF"/>
        </w:rPr>
        <w:t>Giacchetti, S., Bjarnason, G., Garufi, C., Genet, D., Iacobelli, S., Tampellini, M., ... &amp; Levi, F. (2006). Phase III trial comparing 4-day chronomodulated therapy versus 2-day conventional delivery of fluorouracil, leucovorin, and oxaliplatin as first-line chemotherapy of metastatic colorectal cancer: the European Organisation for Research and Treatment of Cancer Chronotherapy Group. </w:t>
      </w:r>
      <w:r w:rsidRPr="008D0444">
        <w:rPr>
          <w:i/>
          <w:iCs/>
          <w:color w:val="222222"/>
          <w:shd w:val="clear" w:color="auto" w:fill="FFFFFF"/>
        </w:rPr>
        <w:t>Journal of clinical oncology</w:t>
      </w:r>
      <w:r w:rsidRPr="008D0444">
        <w:rPr>
          <w:color w:val="222222"/>
          <w:shd w:val="clear" w:color="auto" w:fill="FFFFFF"/>
        </w:rPr>
        <w:t>, </w:t>
      </w:r>
      <w:r w:rsidRPr="008D0444">
        <w:rPr>
          <w:i/>
          <w:iCs/>
          <w:color w:val="222222"/>
          <w:shd w:val="clear" w:color="auto" w:fill="FFFFFF"/>
        </w:rPr>
        <w:t>24</w:t>
      </w:r>
      <w:r w:rsidRPr="008D0444">
        <w:rPr>
          <w:color w:val="222222"/>
          <w:shd w:val="clear" w:color="auto" w:fill="FFFFFF"/>
        </w:rPr>
        <w:t xml:space="preserve">(22), 3562-3569. </w:t>
      </w:r>
      <w:hyperlink r:id="rId26" w:history="1">
        <w:r w:rsidRPr="008D0444">
          <w:rPr>
            <w:rStyle w:val="Hyperlink"/>
            <w:kern w:val="0"/>
            <w:lang w:val="en-US" w:eastAsia="en-US"/>
          </w:rPr>
          <w:t>https://doi.org/10.1200/JCO.2006.06.1440</w:t>
        </w:r>
      </w:hyperlink>
      <w:r w:rsidRPr="008D0444">
        <w:rPr>
          <w:color w:val="auto"/>
          <w:kern w:val="0"/>
          <w:lang w:val="en-US" w:eastAsia="en-US"/>
        </w:rPr>
        <w:t xml:space="preserve"> </w:t>
      </w:r>
    </w:p>
    <w:p w14:paraId="07469A92" w14:textId="77777777" w:rsidR="008D0444" w:rsidRPr="00B81AD0" w:rsidRDefault="008D0444" w:rsidP="00AE7CA1">
      <w:pPr>
        <w:pStyle w:val="NormalWeb"/>
        <w:spacing w:before="240" w:beforeAutospacing="0" w:after="240" w:afterAutospacing="0"/>
      </w:pPr>
      <w:r w:rsidRPr="00B81AD0">
        <w:rPr>
          <w:color w:val="222222"/>
          <w:shd w:val="clear" w:color="auto" w:fill="FFFFFF"/>
        </w:rPr>
        <w:t xml:space="preserve">Giacchetti, S., Dugué, P. A., Innominato, P. F., Bjarnason, G. A., Focan, C., Garufi, C., ... &amp; Levi, F. (2012). Sex </w:t>
      </w:r>
      <w:proofErr w:type="gramStart"/>
      <w:r w:rsidRPr="00B81AD0">
        <w:rPr>
          <w:color w:val="222222"/>
          <w:shd w:val="clear" w:color="auto" w:fill="FFFFFF"/>
        </w:rPr>
        <w:t>moderates</w:t>
      </w:r>
      <w:proofErr w:type="gramEnd"/>
      <w:r w:rsidRPr="00B81AD0">
        <w:rPr>
          <w:color w:val="222222"/>
          <w:shd w:val="clear" w:color="auto" w:fill="FFFFFF"/>
        </w:rPr>
        <w:t xml:space="preserve"> circadian chemotherapy effects on survival of patients with metastatic colorectal cancer: a meta-analysis. </w:t>
      </w:r>
      <w:r w:rsidRPr="00B81AD0">
        <w:rPr>
          <w:i/>
          <w:iCs/>
          <w:color w:val="222222"/>
          <w:shd w:val="clear" w:color="auto" w:fill="FFFFFF"/>
        </w:rPr>
        <w:t>Annals of oncology</w:t>
      </w:r>
      <w:r w:rsidRPr="00B81AD0">
        <w:rPr>
          <w:color w:val="222222"/>
          <w:shd w:val="clear" w:color="auto" w:fill="FFFFFF"/>
        </w:rPr>
        <w:t>, </w:t>
      </w:r>
      <w:r w:rsidRPr="00B81AD0">
        <w:rPr>
          <w:i/>
          <w:iCs/>
          <w:color w:val="222222"/>
          <w:shd w:val="clear" w:color="auto" w:fill="FFFFFF"/>
        </w:rPr>
        <w:t>23</w:t>
      </w:r>
      <w:r w:rsidRPr="00B81AD0">
        <w:rPr>
          <w:color w:val="222222"/>
          <w:shd w:val="clear" w:color="auto" w:fill="FFFFFF"/>
        </w:rPr>
        <w:t xml:space="preserve">(12), 3110-3116. </w:t>
      </w:r>
      <w:hyperlink r:id="rId27" w:history="1">
        <w:r w:rsidRPr="00B81AD0">
          <w:rPr>
            <w:rStyle w:val="Hyperlink"/>
          </w:rPr>
          <w:t>https://doi.org/10.1093/annonc/mds148</w:t>
        </w:r>
      </w:hyperlink>
      <w:r w:rsidRPr="00B81AD0">
        <w:t xml:space="preserve"> </w:t>
      </w:r>
    </w:p>
    <w:p w14:paraId="3AA49A26" w14:textId="77777777" w:rsidR="008D0444" w:rsidRPr="00B81AD0" w:rsidRDefault="008D0444" w:rsidP="00AE7CA1">
      <w:pPr>
        <w:pStyle w:val="NormalWeb"/>
        <w:spacing w:before="240" w:beforeAutospacing="0" w:after="240" w:afterAutospacing="0"/>
      </w:pPr>
      <w:r w:rsidRPr="00B81AD0">
        <w:rPr>
          <w:color w:val="222222"/>
          <w:shd w:val="clear" w:color="auto" w:fill="FFFFFF"/>
        </w:rPr>
        <w:t>Gill, S., &amp; Panda, S. (2015). A smartphone app reveals erratic diurnal eating patterns in humans that can be modulated for health benefits. </w:t>
      </w:r>
      <w:r w:rsidRPr="00B81AD0">
        <w:rPr>
          <w:i/>
          <w:iCs/>
          <w:color w:val="222222"/>
          <w:shd w:val="clear" w:color="auto" w:fill="FFFFFF"/>
        </w:rPr>
        <w:t>Cell metabolism</w:t>
      </w:r>
      <w:r w:rsidRPr="00B81AD0">
        <w:rPr>
          <w:color w:val="222222"/>
          <w:shd w:val="clear" w:color="auto" w:fill="FFFFFF"/>
        </w:rPr>
        <w:t>, </w:t>
      </w:r>
      <w:r w:rsidRPr="00B81AD0">
        <w:rPr>
          <w:i/>
          <w:iCs/>
          <w:color w:val="222222"/>
          <w:shd w:val="clear" w:color="auto" w:fill="FFFFFF"/>
        </w:rPr>
        <w:t>22</w:t>
      </w:r>
      <w:r w:rsidRPr="00B81AD0">
        <w:rPr>
          <w:color w:val="222222"/>
          <w:shd w:val="clear" w:color="auto" w:fill="FFFFFF"/>
        </w:rPr>
        <w:t xml:space="preserve">(5), 789-798. </w:t>
      </w:r>
      <w:hyperlink r:id="rId28" w:history="1">
        <w:r w:rsidRPr="00B81AD0">
          <w:rPr>
            <w:rStyle w:val="Hyperlink"/>
          </w:rPr>
          <w:t>https://doi.org/10.1016/j.cmet.2015.09.005</w:t>
        </w:r>
      </w:hyperlink>
      <w:r w:rsidRPr="00B81AD0">
        <w:t xml:space="preserve"> </w:t>
      </w:r>
    </w:p>
    <w:p w14:paraId="57BA65BE" w14:textId="77777777" w:rsidR="008D0444" w:rsidRPr="00B81AD0" w:rsidRDefault="008D0444" w:rsidP="00AE7CA1">
      <w:pPr>
        <w:pStyle w:val="NormalWeb"/>
        <w:spacing w:before="240" w:beforeAutospacing="0" w:after="240" w:afterAutospacing="0"/>
      </w:pPr>
      <w:r w:rsidRPr="00B81AD0">
        <w:rPr>
          <w:color w:val="222222"/>
          <w:shd w:val="clear" w:color="auto" w:fill="FFFFFF"/>
        </w:rPr>
        <w:t>Gong, S., Lan, T., Zeng, L., Luo, H., Yang, X., Li, N. A., ... &amp; Chen, P. (2018). Gut microbiota mediates diurnal variation of acetaminophen induced acute liver injury in mice. </w:t>
      </w:r>
      <w:r w:rsidRPr="00B81AD0">
        <w:rPr>
          <w:i/>
          <w:iCs/>
          <w:color w:val="222222"/>
          <w:shd w:val="clear" w:color="auto" w:fill="FFFFFF"/>
        </w:rPr>
        <w:t>Journal of hepatology</w:t>
      </w:r>
      <w:r w:rsidRPr="00B81AD0">
        <w:rPr>
          <w:color w:val="222222"/>
          <w:shd w:val="clear" w:color="auto" w:fill="FFFFFF"/>
        </w:rPr>
        <w:t>, </w:t>
      </w:r>
      <w:r w:rsidRPr="00B81AD0">
        <w:rPr>
          <w:i/>
          <w:iCs/>
          <w:color w:val="222222"/>
          <w:shd w:val="clear" w:color="auto" w:fill="FFFFFF"/>
        </w:rPr>
        <w:t>69</w:t>
      </w:r>
      <w:r w:rsidRPr="00B81AD0">
        <w:rPr>
          <w:color w:val="222222"/>
          <w:shd w:val="clear" w:color="auto" w:fill="FFFFFF"/>
        </w:rPr>
        <w:t xml:space="preserve">(1), 51-59. </w:t>
      </w:r>
      <w:hyperlink r:id="rId29" w:history="1">
        <w:r w:rsidRPr="00B81AD0">
          <w:rPr>
            <w:rStyle w:val="Hyperlink"/>
          </w:rPr>
          <w:t>https://doi.org/10.1016/j.jhep.2018.02.024</w:t>
        </w:r>
      </w:hyperlink>
      <w:r w:rsidRPr="00B81AD0">
        <w:t xml:space="preserve"> </w:t>
      </w:r>
    </w:p>
    <w:p w14:paraId="24DDFDDF" w14:textId="77777777" w:rsidR="008D0444" w:rsidRPr="00B81AD0" w:rsidRDefault="008D0444" w:rsidP="00AE7CA1">
      <w:pPr>
        <w:pStyle w:val="NormalWeb"/>
        <w:spacing w:before="240" w:beforeAutospacing="0" w:after="240" w:afterAutospacing="0"/>
      </w:pPr>
      <w:r w:rsidRPr="00B81AD0">
        <w:rPr>
          <w:color w:val="222222"/>
          <w:shd w:val="clear" w:color="auto" w:fill="FFFFFF"/>
        </w:rPr>
        <w:t>Green, C. B., &amp; Takahashi, J. S. (2006). Xenobiotic metabolism in the fourth dimension: PARtners in time. </w:t>
      </w:r>
      <w:r w:rsidRPr="00B81AD0">
        <w:rPr>
          <w:i/>
          <w:iCs/>
          <w:color w:val="222222"/>
          <w:shd w:val="clear" w:color="auto" w:fill="FFFFFF"/>
        </w:rPr>
        <w:t>Cell metabolism</w:t>
      </w:r>
      <w:r w:rsidRPr="00B81AD0">
        <w:rPr>
          <w:color w:val="222222"/>
          <w:shd w:val="clear" w:color="auto" w:fill="FFFFFF"/>
        </w:rPr>
        <w:t>, </w:t>
      </w:r>
      <w:r w:rsidRPr="00B81AD0">
        <w:rPr>
          <w:i/>
          <w:iCs/>
          <w:color w:val="222222"/>
          <w:shd w:val="clear" w:color="auto" w:fill="FFFFFF"/>
        </w:rPr>
        <w:t>4</w:t>
      </w:r>
      <w:r w:rsidRPr="00B81AD0">
        <w:rPr>
          <w:color w:val="222222"/>
          <w:shd w:val="clear" w:color="auto" w:fill="FFFFFF"/>
        </w:rPr>
        <w:t xml:space="preserve">(1), 3-4. </w:t>
      </w:r>
      <w:hyperlink r:id="rId30" w:history="1">
        <w:r w:rsidRPr="00B81AD0">
          <w:rPr>
            <w:rStyle w:val="Hyperlink"/>
          </w:rPr>
          <w:t>https://doi.org/10.1016/j.cmet.2006.06.002</w:t>
        </w:r>
      </w:hyperlink>
      <w:r w:rsidRPr="00B81AD0">
        <w:t xml:space="preserve"> </w:t>
      </w:r>
    </w:p>
    <w:p w14:paraId="7361114D" w14:textId="77777777" w:rsidR="008D0444" w:rsidRPr="008D0444" w:rsidRDefault="008D0444" w:rsidP="00AE7CA1">
      <w:pPr>
        <w:spacing w:before="240" w:after="240" w:line="240" w:lineRule="auto"/>
        <w:ind w:left="0" w:firstLine="0"/>
        <w:rPr>
          <w:kern w:val="0"/>
          <w:lang w:val="en-US"/>
        </w:rPr>
      </w:pPr>
      <w:r w:rsidRPr="008D0444">
        <w:rPr>
          <w:kern w:val="0"/>
          <w:lang w:val="en-US"/>
        </w:rPr>
        <w:t xml:space="preserve">Greenberg, H., &amp; Cohen, R. I. (2012). Nocturnal asthma. </w:t>
      </w:r>
      <w:r w:rsidRPr="008D0444">
        <w:rPr>
          <w:i/>
          <w:iCs/>
          <w:kern w:val="0"/>
          <w:lang w:val="en-US"/>
        </w:rPr>
        <w:t>Current Opinion in Pulmonary Medicine, 18</w:t>
      </w:r>
      <w:r w:rsidRPr="008D0444">
        <w:rPr>
          <w:kern w:val="0"/>
          <w:lang w:val="en-US"/>
        </w:rPr>
        <w:t xml:space="preserve">(1), 57–62. </w:t>
      </w:r>
      <w:hyperlink r:id="rId31" w:history="1">
        <w:r w:rsidRPr="008D0444">
          <w:rPr>
            <w:rStyle w:val="Hyperlink"/>
            <w:kern w:val="0"/>
            <w:lang w:val="en-US" w:eastAsia="en-US"/>
          </w:rPr>
          <w:t>https://doi.org/10.1097/MCP.0b013e32834d098e</w:t>
        </w:r>
      </w:hyperlink>
      <w:r w:rsidRPr="008D0444">
        <w:rPr>
          <w:kern w:val="0"/>
          <w:lang w:val="en-US"/>
        </w:rPr>
        <w:t xml:space="preserve"> </w:t>
      </w:r>
    </w:p>
    <w:p w14:paraId="6DE1A723" w14:textId="77777777" w:rsidR="008D0444" w:rsidRPr="008D0444" w:rsidRDefault="008D0444" w:rsidP="00AE7CA1">
      <w:pPr>
        <w:spacing w:before="240" w:after="240" w:line="240" w:lineRule="auto"/>
        <w:ind w:left="0" w:firstLine="0"/>
        <w:rPr>
          <w:color w:val="auto"/>
          <w:kern w:val="0"/>
          <w:lang w:val="en-US" w:eastAsia="en-US"/>
        </w:rPr>
      </w:pPr>
      <w:r w:rsidRPr="008D0444">
        <w:rPr>
          <w:color w:val="222222"/>
          <w:shd w:val="clear" w:color="auto" w:fill="FFFFFF"/>
        </w:rPr>
        <w:lastRenderedPageBreak/>
        <w:t>Gumz, M. L., Shimbo, D., Abdalla, M., Balijepalli, R. C., Benedict, C., Chen, Y., ... &amp; Oh, Y. S. (2023). Toward precision medicine: circadian rhythm of blood pressure and chronotherapy for hypertension-2021 NHLBI workshop report. </w:t>
      </w:r>
      <w:r w:rsidRPr="008D0444">
        <w:rPr>
          <w:i/>
          <w:iCs/>
          <w:color w:val="222222"/>
          <w:shd w:val="clear" w:color="auto" w:fill="FFFFFF"/>
        </w:rPr>
        <w:t>Hypertension</w:t>
      </w:r>
      <w:r w:rsidRPr="008D0444">
        <w:rPr>
          <w:color w:val="222222"/>
          <w:shd w:val="clear" w:color="auto" w:fill="FFFFFF"/>
        </w:rPr>
        <w:t>, </w:t>
      </w:r>
      <w:r w:rsidRPr="008D0444">
        <w:rPr>
          <w:i/>
          <w:iCs/>
          <w:color w:val="222222"/>
          <w:shd w:val="clear" w:color="auto" w:fill="FFFFFF"/>
        </w:rPr>
        <w:t>80</w:t>
      </w:r>
      <w:r w:rsidRPr="008D0444">
        <w:rPr>
          <w:color w:val="222222"/>
          <w:shd w:val="clear" w:color="auto" w:fill="FFFFFF"/>
        </w:rPr>
        <w:t xml:space="preserve">(3), 503-522. </w:t>
      </w:r>
      <w:hyperlink r:id="rId32" w:history="1">
        <w:r w:rsidRPr="008D0444">
          <w:rPr>
            <w:rStyle w:val="Hyperlink"/>
            <w:kern w:val="0"/>
            <w:lang w:val="en-US" w:eastAsia="en-US"/>
          </w:rPr>
          <w:t>https://doi.org/10.1161/HYPERTENSIONAHA.122.19372</w:t>
        </w:r>
      </w:hyperlink>
      <w:r w:rsidRPr="008D0444">
        <w:rPr>
          <w:color w:val="auto"/>
          <w:kern w:val="0"/>
          <w:lang w:val="en-US" w:eastAsia="en-US"/>
        </w:rPr>
        <w:t xml:space="preserve"> </w:t>
      </w:r>
    </w:p>
    <w:p w14:paraId="04D5E6C6" w14:textId="77777777" w:rsidR="008D0444" w:rsidRPr="008D0444" w:rsidRDefault="008D0444" w:rsidP="00AE7CA1">
      <w:pPr>
        <w:spacing w:before="240" w:after="240" w:line="240" w:lineRule="auto"/>
        <w:ind w:left="0" w:firstLine="0"/>
        <w:rPr>
          <w:color w:val="auto"/>
          <w:kern w:val="0"/>
          <w:lang w:val="en-US" w:eastAsia="en-US"/>
        </w:rPr>
      </w:pPr>
      <w:r w:rsidRPr="008D0444">
        <w:rPr>
          <w:color w:val="222222"/>
          <w:shd w:val="clear" w:color="auto" w:fill="FFFFFF"/>
        </w:rPr>
        <w:t>Hermida, R. C., Ayala, D. E., Mojón, A., &amp; Fernández, J. R. (2010). Influence of circadian time of hypertension treatment on cardiovascular risk: results of the MAPEC study. </w:t>
      </w:r>
      <w:r w:rsidRPr="008D0444">
        <w:rPr>
          <w:i/>
          <w:iCs/>
          <w:color w:val="222222"/>
          <w:shd w:val="clear" w:color="auto" w:fill="FFFFFF"/>
        </w:rPr>
        <w:t>Chronobiology international</w:t>
      </w:r>
      <w:r w:rsidRPr="008D0444">
        <w:rPr>
          <w:color w:val="222222"/>
          <w:shd w:val="clear" w:color="auto" w:fill="FFFFFF"/>
        </w:rPr>
        <w:t>, </w:t>
      </w:r>
      <w:r w:rsidRPr="008D0444">
        <w:rPr>
          <w:i/>
          <w:iCs/>
          <w:color w:val="222222"/>
          <w:shd w:val="clear" w:color="auto" w:fill="FFFFFF"/>
        </w:rPr>
        <w:t>27</w:t>
      </w:r>
      <w:r w:rsidRPr="008D0444">
        <w:rPr>
          <w:color w:val="222222"/>
          <w:shd w:val="clear" w:color="auto" w:fill="FFFFFF"/>
        </w:rPr>
        <w:t xml:space="preserve">(8), 1629-1651. </w:t>
      </w:r>
      <w:hyperlink r:id="rId33" w:history="1">
        <w:r w:rsidRPr="008D0444">
          <w:rPr>
            <w:rStyle w:val="Hyperlink"/>
            <w:kern w:val="0"/>
            <w:lang w:val="en-US" w:eastAsia="en-US"/>
          </w:rPr>
          <w:t>https://doi.org/10.3109/07420528.2010.510230</w:t>
        </w:r>
      </w:hyperlink>
      <w:r w:rsidRPr="008D0444">
        <w:rPr>
          <w:color w:val="auto"/>
          <w:kern w:val="0"/>
          <w:lang w:val="en-US" w:eastAsia="en-US"/>
        </w:rPr>
        <w:t xml:space="preserve"> </w:t>
      </w:r>
    </w:p>
    <w:p w14:paraId="1D02F38D" w14:textId="77777777" w:rsidR="008D0444" w:rsidRPr="00B81AD0" w:rsidRDefault="008D0444" w:rsidP="00AE7CA1">
      <w:pPr>
        <w:spacing w:before="240" w:after="240" w:line="240" w:lineRule="auto"/>
        <w:ind w:left="0" w:firstLine="0"/>
      </w:pPr>
      <w:r w:rsidRPr="008D0444">
        <w:rPr>
          <w:color w:val="222222"/>
          <w:shd w:val="clear" w:color="auto" w:fill="FFFFFF"/>
        </w:rPr>
        <w:t>Johannsson, G., Nilsson, A. G., Bergthorsdottir, R., Burman, P., Dahlqvist, P., Ekman, B., ... &amp; Skrtic, S. (2012). Improved cortisol exposure-time profile and outcome in patients with adrenal insufficiency: a prospective randomized trial of a novel hydrocortisone dual-release formulation. </w:t>
      </w:r>
      <w:r w:rsidRPr="008D0444">
        <w:rPr>
          <w:i/>
          <w:iCs/>
          <w:color w:val="222222"/>
          <w:shd w:val="clear" w:color="auto" w:fill="FFFFFF"/>
        </w:rPr>
        <w:t>The Journal of Clinical Endocrinology &amp; Metabolism</w:t>
      </w:r>
      <w:r w:rsidRPr="008D0444">
        <w:rPr>
          <w:color w:val="222222"/>
          <w:shd w:val="clear" w:color="auto" w:fill="FFFFFF"/>
        </w:rPr>
        <w:t>, </w:t>
      </w:r>
      <w:r w:rsidRPr="008D0444">
        <w:rPr>
          <w:i/>
          <w:iCs/>
          <w:color w:val="222222"/>
          <w:shd w:val="clear" w:color="auto" w:fill="FFFFFF"/>
        </w:rPr>
        <w:t>97</w:t>
      </w:r>
      <w:r w:rsidRPr="008D0444">
        <w:rPr>
          <w:color w:val="222222"/>
          <w:shd w:val="clear" w:color="auto" w:fill="FFFFFF"/>
        </w:rPr>
        <w:t xml:space="preserve">(2), 473-481. </w:t>
      </w:r>
      <w:hyperlink r:id="rId34" w:history="1">
        <w:r w:rsidRPr="008D0444">
          <w:rPr>
            <w:rStyle w:val="Hyperlink"/>
            <w:kern w:val="0"/>
            <w:lang w:val="en-US" w:eastAsia="en-US"/>
          </w:rPr>
          <w:t>https://doi.org/10.1210/jc.2011-1926</w:t>
        </w:r>
      </w:hyperlink>
      <w:r w:rsidRPr="008D0444">
        <w:rPr>
          <w:color w:val="auto"/>
          <w:kern w:val="0"/>
          <w:lang w:val="en-US" w:eastAsia="en-US"/>
        </w:rPr>
        <w:t xml:space="preserve"> </w:t>
      </w:r>
    </w:p>
    <w:p w14:paraId="154635DA" w14:textId="77777777" w:rsidR="008D0444" w:rsidRPr="00B81AD0" w:rsidRDefault="008D0444" w:rsidP="00AE7CA1">
      <w:pPr>
        <w:pStyle w:val="NormalWeb"/>
        <w:spacing w:before="240" w:beforeAutospacing="0" w:after="240" w:afterAutospacing="0"/>
      </w:pPr>
      <w:r w:rsidRPr="00B81AD0">
        <w:rPr>
          <w:color w:val="222222"/>
          <w:shd w:val="clear" w:color="auto" w:fill="FFFFFF"/>
        </w:rPr>
        <w:t>Koike, N., Yoo, S. H., Huang, H. C., Kumar, V., Lee, C., Kim, T. K., &amp; Takahashi, J. S. (2012). Transcriptional architecture and chromatin landscape of the core circadian clock in mammals. </w:t>
      </w:r>
      <w:r w:rsidRPr="00B81AD0">
        <w:rPr>
          <w:i/>
          <w:iCs/>
          <w:color w:val="222222"/>
          <w:shd w:val="clear" w:color="auto" w:fill="FFFFFF"/>
        </w:rPr>
        <w:t>science</w:t>
      </w:r>
      <w:r w:rsidRPr="00B81AD0">
        <w:rPr>
          <w:color w:val="222222"/>
          <w:shd w:val="clear" w:color="auto" w:fill="FFFFFF"/>
        </w:rPr>
        <w:t>, </w:t>
      </w:r>
      <w:r w:rsidRPr="00B81AD0">
        <w:rPr>
          <w:i/>
          <w:iCs/>
          <w:color w:val="222222"/>
          <w:shd w:val="clear" w:color="auto" w:fill="FFFFFF"/>
        </w:rPr>
        <w:t>338</w:t>
      </w:r>
      <w:r w:rsidRPr="00B81AD0">
        <w:rPr>
          <w:color w:val="222222"/>
          <w:shd w:val="clear" w:color="auto" w:fill="FFFFFF"/>
        </w:rPr>
        <w:t xml:space="preserve">(6105), 349-354. </w:t>
      </w:r>
      <w:hyperlink r:id="rId35" w:history="1">
        <w:r w:rsidRPr="00B81AD0">
          <w:rPr>
            <w:rStyle w:val="Hyperlink"/>
          </w:rPr>
          <w:t>https://doi.org/10.1126/science.1226339</w:t>
        </w:r>
      </w:hyperlink>
      <w:r w:rsidRPr="00B81AD0">
        <w:t xml:space="preserve"> </w:t>
      </w:r>
    </w:p>
    <w:p w14:paraId="418CA691" w14:textId="77777777" w:rsidR="008D0444" w:rsidRPr="00B81AD0" w:rsidRDefault="008D0444" w:rsidP="00AE7CA1">
      <w:pPr>
        <w:spacing w:before="240" w:after="240" w:line="240" w:lineRule="auto"/>
        <w:ind w:left="0" w:firstLine="0"/>
      </w:pPr>
      <w:r w:rsidRPr="008D0444">
        <w:rPr>
          <w:color w:val="222222"/>
          <w:shd w:val="clear" w:color="auto" w:fill="FFFFFF"/>
        </w:rPr>
        <w:t>Landré, T., Karaboué, A., Buchwald, Z. S., Innominato, P. F., Qian, D. C., Assié, J. B., ... &amp; Duchemann, B. (2024). Effect of immunotherapy-infusion time of day on survival of patients with advanced cancers: a study-level meta-analysis. </w:t>
      </w:r>
      <w:r w:rsidRPr="008D0444">
        <w:rPr>
          <w:i/>
          <w:iCs/>
          <w:color w:val="222222"/>
          <w:shd w:val="clear" w:color="auto" w:fill="FFFFFF"/>
        </w:rPr>
        <w:t>ESMO open</w:t>
      </w:r>
      <w:r w:rsidRPr="008D0444">
        <w:rPr>
          <w:color w:val="222222"/>
          <w:shd w:val="clear" w:color="auto" w:fill="FFFFFF"/>
        </w:rPr>
        <w:t>, </w:t>
      </w:r>
      <w:r w:rsidRPr="008D0444">
        <w:rPr>
          <w:i/>
          <w:iCs/>
          <w:color w:val="222222"/>
          <w:shd w:val="clear" w:color="auto" w:fill="FFFFFF"/>
        </w:rPr>
        <w:t>9</w:t>
      </w:r>
      <w:r w:rsidRPr="008D0444">
        <w:rPr>
          <w:color w:val="222222"/>
          <w:shd w:val="clear" w:color="auto" w:fill="FFFFFF"/>
        </w:rPr>
        <w:t xml:space="preserve">(2), 102220. </w:t>
      </w:r>
      <w:hyperlink r:id="rId36" w:history="1">
        <w:r w:rsidRPr="008D0444">
          <w:rPr>
            <w:rStyle w:val="Hyperlink"/>
            <w:kern w:val="0"/>
            <w:lang w:val="en-US" w:eastAsia="en-US"/>
          </w:rPr>
          <w:t>https://doi.org/10.1016/j.esmoop.2023.102220</w:t>
        </w:r>
      </w:hyperlink>
      <w:r w:rsidRPr="008D0444">
        <w:rPr>
          <w:color w:val="auto"/>
          <w:kern w:val="0"/>
          <w:lang w:val="en-US" w:eastAsia="en-US"/>
        </w:rPr>
        <w:t xml:space="preserve"> </w:t>
      </w:r>
    </w:p>
    <w:p w14:paraId="4BDECF42" w14:textId="77777777" w:rsidR="008D0444" w:rsidRPr="00B81AD0" w:rsidRDefault="008D0444" w:rsidP="00AE7CA1">
      <w:pPr>
        <w:pStyle w:val="NormalWeb"/>
        <w:spacing w:before="240" w:beforeAutospacing="0" w:after="240" w:afterAutospacing="0"/>
      </w:pPr>
      <w:r w:rsidRPr="00B81AD0">
        <w:rPr>
          <w:color w:val="222222"/>
          <w:shd w:val="clear" w:color="auto" w:fill="FFFFFF"/>
        </w:rPr>
        <w:t>Landreé, T., Karaboué, A., Buchwald, Z. S., Innominato, P. F., Qian, D. C., Assié, J. B., ... &amp; Duchemann, B. (2024). Effect of immunotherapy-infusion time of day on survival of patients with advanced cancers: a study-level meta-analysis. </w:t>
      </w:r>
      <w:r w:rsidRPr="00B81AD0">
        <w:rPr>
          <w:i/>
          <w:iCs/>
          <w:color w:val="222222"/>
          <w:shd w:val="clear" w:color="auto" w:fill="FFFFFF"/>
        </w:rPr>
        <w:t>ESMO open</w:t>
      </w:r>
      <w:r w:rsidRPr="00B81AD0">
        <w:rPr>
          <w:color w:val="222222"/>
          <w:shd w:val="clear" w:color="auto" w:fill="FFFFFF"/>
        </w:rPr>
        <w:t>, </w:t>
      </w:r>
      <w:r w:rsidRPr="00B81AD0">
        <w:rPr>
          <w:i/>
          <w:iCs/>
          <w:color w:val="222222"/>
          <w:shd w:val="clear" w:color="auto" w:fill="FFFFFF"/>
        </w:rPr>
        <w:t>9</w:t>
      </w:r>
      <w:r w:rsidRPr="00B81AD0">
        <w:rPr>
          <w:color w:val="222222"/>
          <w:shd w:val="clear" w:color="auto" w:fill="FFFFFF"/>
        </w:rPr>
        <w:t xml:space="preserve">(2), 102220. </w:t>
      </w:r>
      <w:hyperlink r:id="rId37" w:history="1">
        <w:r w:rsidRPr="00B81AD0">
          <w:rPr>
            <w:rStyle w:val="Hyperlink"/>
          </w:rPr>
          <w:t>https://doi.org/10.1016/j.esmoop.2023.102220</w:t>
        </w:r>
      </w:hyperlink>
      <w:r w:rsidRPr="00B81AD0">
        <w:t xml:space="preserve"> </w:t>
      </w:r>
    </w:p>
    <w:p w14:paraId="3DC1F4DD" w14:textId="77777777" w:rsidR="008D0444" w:rsidRPr="008D0444" w:rsidRDefault="008D0444" w:rsidP="00AE7CA1">
      <w:pPr>
        <w:spacing w:before="240" w:after="240" w:line="240" w:lineRule="auto"/>
        <w:ind w:left="0" w:firstLine="0"/>
        <w:rPr>
          <w:color w:val="auto"/>
          <w:kern w:val="0"/>
          <w:lang w:val="en-US" w:eastAsia="en-US"/>
        </w:rPr>
      </w:pPr>
      <w:r w:rsidRPr="008D0444">
        <w:rPr>
          <w:color w:val="222222"/>
          <w:shd w:val="clear" w:color="auto" w:fill="FFFFFF"/>
        </w:rPr>
        <w:t>Lim, G. B. (2023). Antihypertensive drugs can be taken in the morning or evening. </w:t>
      </w:r>
      <w:r w:rsidRPr="008D0444">
        <w:rPr>
          <w:i/>
          <w:iCs/>
          <w:color w:val="222222"/>
          <w:shd w:val="clear" w:color="auto" w:fill="FFFFFF"/>
        </w:rPr>
        <w:t>Nature Reviews Cardiology</w:t>
      </w:r>
      <w:r w:rsidRPr="008D0444">
        <w:rPr>
          <w:color w:val="222222"/>
          <w:shd w:val="clear" w:color="auto" w:fill="FFFFFF"/>
        </w:rPr>
        <w:t>, </w:t>
      </w:r>
      <w:r w:rsidRPr="008D0444">
        <w:rPr>
          <w:i/>
          <w:iCs/>
          <w:color w:val="222222"/>
          <w:shd w:val="clear" w:color="auto" w:fill="FFFFFF"/>
        </w:rPr>
        <w:t>20</w:t>
      </w:r>
      <w:r w:rsidRPr="008D0444">
        <w:rPr>
          <w:color w:val="222222"/>
          <w:shd w:val="clear" w:color="auto" w:fill="FFFFFF"/>
        </w:rPr>
        <w:t>(1), 3-3.</w:t>
      </w:r>
      <w:r w:rsidRPr="008D0444">
        <w:rPr>
          <w:color w:val="auto"/>
          <w:kern w:val="0"/>
          <w:lang w:val="en-US" w:eastAsia="en-US"/>
        </w:rPr>
        <w:t xml:space="preserve">  </w:t>
      </w:r>
      <w:hyperlink r:id="rId38" w:history="1">
        <w:r w:rsidRPr="008D0444">
          <w:rPr>
            <w:rStyle w:val="Hyperlink"/>
            <w:kern w:val="0"/>
            <w:lang w:val="en-US" w:eastAsia="en-US"/>
          </w:rPr>
          <w:t>https://doi.org/10.1038/s41569-022-00801-x</w:t>
        </w:r>
      </w:hyperlink>
      <w:r w:rsidRPr="008D0444">
        <w:rPr>
          <w:color w:val="auto"/>
          <w:kern w:val="0"/>
          <w:lang w:val="en-US" w:eastAsia="en-US"/>
        </w:rPr>
        <w:t xml:space="preserve"> </w:t>
      </w:r>
    </w:p>
    <w:p w14:paraId="54DB8C9D" w14:textId="77777777" w:rsidR="008D0444" w:rsidRPr="00B81AD0" w:rsidRDefault="008D0444" w:rsidP="00AE7CA1">
      <w:pPr>
        <w:pStyle w:val="NormalWeb"/>
        <w:spacing w:before="240" w:beforeAutospacing="0" w:after="240" w:afterAutospacing="0"/>
      </w:pPr>
      <w:r w:rsidRPr="00B81AD0">
        <w:rPr>
          <w:color w:val="222222"/>
          <w:shd w:val="clear" w:color="auto" w:fill="FFFFFF"/>
        </w:rPr>
        <w:t>Lin, Y., Wang, S., Zhou, Z., Guo, L., Yu, F., &amp; Wu, B. (2019). Bmal1 regulates circadian expression of cytochrome P450 3a11 and drug metabolism in mice. </w:t>
      </w:r>
      <w:r w:rsidRPr="00B81AD0">
        <w:rPr>
          <w:i/>
          <w:iCs/>
          <w:color w:val="222222"/>
          <w:shd w:val="clear" w:color="auto" w:fill="FFFFFF"/>
        </w:rPr>
        <w:t>Communications Biology</w:t>
      </w:r>
      <w:r w:rsidRPr="00B81AD0">
        <w:rPr>
          <w:color w:val="222222"/>
          <w:shd w:val="clear" w:color="auto" w:fill="FFFFFF"/>
        </w:rPr>
        <w:t>, </w:t>
      </w:r>
      <w:r w:rsidRPr="00B81AD0">
        <w:rPr>
          <w:i/>
          <w:iCs/>
          <w:color w:val="222222"/>
          <w:shd w:val="clear" w:color="auto" w:fill="FFFFFF"/>
        </w:rPr>
        <w:t>2</w:t>
      </w:r>
      <w:r w:rsidRPr="00B81AD0">
        <w:rPr>
          <w:color w:val="222222"/>
          <w:shd w:val="clear" w:color="auto" w:fill="FFFFFF"/>
        </w:rPr>
        <w:t>(1), 378.</w:t>
      </w:r>
      <w:r w:rsidRPr="00B81AD0">
        <w:t xml:space="preserve">  </w:t>
      </w:r>
      <w:hyperlink r:id="rId39" w:history="1">
        <w:r w:rsidRPr="00B81AD0">
          <w:rPr>
            <w:rStyle w:val="Hyperlink"/>
          </w:rPr>
          <w:t>https://doi.org/10.1038/s42003-019-0607-z</w:t>
        </w:r>
      </w:hyperlink>
      <w:r w:rsidRPr="00B81AD0">
        <w:t xml:space="preserve"> </w:t>
      </w:r>
    </w:p>
    <w:p w14:paraId="05AE4412" w14:textId="77777777" w:rsidR="008D0444" w:rsidRPr="00B81AD0" w:rsidRDefault="008D0444" w:rsidP="00AE7CA1">
      <w:pPr>
        <w:pStyle w:val="NormalWeb"/>
        <w:spacing w:before="240" w:beforeAutospacing="0" w:after="240" w:afterAutospacing="0"/>
      </w:pPr>
      <w:r w:rsidRPr="00B81AD0">
        <w:rPr>
          <w:color w:val="222222"/>
          <w:shd w:val="clear" w:color="auto" w:fill="FFFFFF"/>
        </w:rPr>
        <w:t>Long, J. E., Drayson, M. T., Taylor, A. E., Toellner, K. M., Lord, J. M., &amp; Phillips, A. C. (2016). Morning vaccination enhances antibody response over afternoon vaccination: a cluster-randomised trial. </w:t>
      </w:r>
      <w:r w:rsidRPr="00B81AD0">
        <w:rPr>
          <w:i/>
          <w:iCs/>
          <w:color w:val="222222"/>
          <w:shd w:val="clear" w:color="auto" w:fill="FFFFFF"/>
        </w:rPr>
        <w:t>Vaccine</w:t>
      </w:r>
      <w:r w:rsidRPr="00B81AD0">
        <w:rPr>
          <w:color w:val="222222"/>
          <w:shd w:val="clear" w:color="auto" w:fill="FFFFFF"/>
        </w:rPr>
        <w:t>, </w:t>
      </w:r>
      <w:r w:rsidRPr="00B81AD0">
        <w:rPr>
          <w:i/>
          <w:iCs/>
          <w:color w:val="222222"/>
          <w:shd w:val="clear" w:color="auto" w:fill="FFFFFF"/>
        </w:rPr>
        <w:t>34</w:t>
      </w:r>
      <w:r w:rsidRPr="00B81AD0">
        <w:rPr>
          <w:color w:val="222222"/>
          <w:shd w:val="clear" w:color="auto" w:fill="FFFFFF"/>
        </w:rPr>
        <w:t xml:space="preserve">(24), 2679-2685. </w:t>
      </w:r>
      <w:hyperlink r:id="rId40" w:history="1">
        <w:r w:rsidRPr="00B81AD0">
          <w:rPr>
            <w:rStyle w:val="Hyperlink"/>
          </w:rPr>
          <w:t>https://doi.org/10.1016/j.vaccine.2016.04.032</w:t>
        </w:r>
      </w:hyperlink>
      <w:r w:rsidRPr="00B81AD0">
        <w:t xml:space="preserve"> </w:t>
      </w:r>
    </w:p>
    <w:p w14:paraId="097622A3" w14:textId="77777777" w:rsidR="008D0444" w:rsidRPr="00B81AD0" w:rsidRDefault="008D0444" w:rsidP="00AE7CA1">
      <w:pPr>
        <w:pStyle w:val="NormalWeb"/>
        <w:spacing w:before="240" w:beforeAutospacing="0" w:after="240" w:afterAutospacing="0"/>
      </w:pPr>
      <w:r w:rsidRPr="00B81AD0">
        <w:rPr>
          <w:color w:val="222222"/>
          <w:shd w:val="clear" w:color="auto" w:fill="FFFFFF"/>
        </w:rPr>
        <w:t>Lu, D., Zhao, M., Chen, M., &amp; Wu, B. (2020). Circadian clock–controlled drug metabolism: implications for Chronotherapeutics. </w:t>
      </w:r>
      <w:r w:rsidRPr="00B81AD0">
        <w:rPr>
          <w:i/>
          <w:iCs/>
          <w:color w:val="222222"/>
          <w:shd w:val="clear" w:color="auto" w:fill="FFFFFF"/>
        </w:rPr>
        <w:t>Drug Metabolism and Disposition</w:t>
      </w:r>
      <w:r w:rsidRPr="00B81AD0">
        <w:rPr>
          <w:color w:val="222222"/>
          <w:shd w:val="clear" w:color="auto" w:fill="FFFFFF"/>
        </w:rPr>
        <w:t>, </w:t>
      </w:r>
      <w:r w:rsidRPr="00B81AD0">
        <w:rPr>
          <w:i/>
          <w:iCs/>
          <w:color w:val="222222"/>
          <w:shd w:val="clear" w:color="auto" w:fill="FFFFFF"/>
        </w:rPr>
        <w:t>48</w:t>
      </w:r>
      <w:r w:rsidRPr="00B81AD0">
        <w:rPr>
          <w:color w:val="222222"/>
          <w:shd w:val="clear" w:color="auto" w:fill="FFFFFF"/>
        </w:rPr>
        <w:t xml:space="preserve">(5), 395-406. </w:t>
      </w:r>
      <w:hyperlink r:id="rId41" w:history="1">
        <w:r w:rsidRPr="00B81AD0">
          <w:rPr>
            <w:rStyle w:val="Hyperlink"/>
          </w:rPr>
          <w:t>https://doi.org/10.1124/dmd.120.090472</w:t>
        </w:r>
      </w:hyperlink>
      <w:r w:rsidRPr="00B81AD0">
        <w:t xml:space="preserve"> </w:t>
      </w:r>
    </w:p>
    <w:p w14:paraId="141B6E41" w14:textId="77777777" w:rsidR="008D0444" w:rsidRPr="00B81AD0" w:rsidRDefault="008D0444" w:rsidP="00AE7CA1">
      <w:pPr>
        <w:spacing w:before="240" w:after="240" w:line="240" w:lineRule="auto"/>
        <w:ind w:left="0" w:firstLine="0"/>
      </w:pPr>
      <w:r w:rsidRPr="008D0444">
        <w:rPr>
          <w:color w:val="222222"/>
          <w:shd w:val="clear" w:color="auto" w:fill="FFFFFF"/>
        </w:rPr>
        <w:t>Mackenzie, I. S., Rogers, A., Poulter, N. R., Williams, B., Brown, M. J., Webb, D. J., ... &amp; MacDonald, T. M. (2022). Cardiovascular outcomes in adults with hypertension with evening versus morning dosing of usual antihypertensives in the UK (TIME study): a prospective, randomised, open-label, blinded-endpoint clinical trial. </w:t>
      </w:r>
      <w:r w:rsidRPr="008D0444">
        <w:rPr>
          <w:i/>
          <w:iCs/>
          <w:color w:val="222222"/>
          <w:shd w:val="clear" w:color="auto" w:fill="FFFFFF"/>
        </w:rPr>
        <w:t>The Lancet</w:t>
      </w:r>
      <w:r w:rsidRPr="008D0444">
        <w:rPr>
          <w:color w:val="222222"/>
          <w:shd w:val="clear" w:color="auto" w:fill="FFFFFF"/>
        </w:rPr>
        <w:t>, </w:t>
      </w:r>
      <w:r w:rsidRPr="008D0444">
        <w:rPr>
          <w:i/>
          <w:iCs/>
          <w:color w:val="222222"/>
          <w:shd w:val="clear" w:color="auto" w:fill="FFFFFF"/>
        </w:rPr>
        <w:t>400</w:t>
      </w:r>
      <w:r w:rsidRPr="008D0444">
        <w:rPr>
          <w:color w:val="222222"/>
          <w:shd w:val="clear" w:color="auto" w:fill="FFFFFF"/>
        </w:rPr>
        <w:t xml:space="preserve">(10361), 1417-1425. </w:t>
      </w:r>
      <w:hyperlink r:id="rId42" w:history="1">
        <w:r w:rsidRPr="008D0444">
          <w:rPr>
            <w:rStyle w:val="Hyperlink"/>
            <w:kern w:val="0"/>
            <w:lang w:val="en-US" w:eastAsia="en-US"/>
          </w:rPr>
          <w:t>https://doi.org/10.1016/S0140-6736(22)01786-X</w:t>
        </w:r>
      </w:hyperlink>
      <w:r w:rsidRPr="008D0444">
        <w:rPr>
          <w:color w:val="auto"/>
          <w:kern w:val="0"/>
          <w:lang w:val="en-US" w:eastAsia="en-US"/>
        </w:rPr>
        <w:t xml:space="preserve"> </w:t>
      </w:r>
    </w:p>
    <w:p w14:paraId="7B617F70" w14:textId="77777777" w:rsidR="008D0444" w:rsidRPr="00B81AD0" w:rsidRDefault="008D0444" w:rsidP="00AE7CA1">
      <w:pPr>
        <w:pStyle w:val="NormalWeb"/>
        <w:spacing w:before="240" w:beforeAutospacing="0" w:after="240" w:afterAutospacing="0"/>
      </w:pPr>
      <w:r w:rsidRPr="00B81AD0">
        <w:rPr>
          <w:color w:val="222222"/>
          <w:shd w:val="clear" w:color="auto" w:fill="FFFFFF"/>
        </w:rPr>
        <w:lastRenderedPageBreak/>
        <w:t>Martin, J. L., &amp; Hakim, A. D. (2011). Wrist actigraphy. </w:t>
      </w:r>
      <w:r w:rsidRPr="00B81AD0">
        <w:rPr>
          <w:i/>
          <w:iCs/>
          <w:color w:val="222222"/>
          <w:shd w:val="clear" w:color="auto" w:fill="FFFFFF"/>
        </w:rPr>
        <w:t>Chest</w:t>
      </w:r>
      <w:r w:rsidRPr="00B81AD0">
        <w:rPr>
          <w:color w:val="222222"/>
          <w:shd w:val="clear" w:color="auto" w:fill="FFFFFF"/>
        </w:rPr>
        <w:t>, </w:t>
      </w:r>
      <w:r w:rsidRPr="00B81AD0">
        <w:rPr>
          <w:i/>
          <w:iCs/>
          <w:color w:val="222222"/>
          <w:shd w:val="clear" w:color="auto" w:fill="FFFFFF"/>
        </w:rPr>
        <w:t>139</w:t>
      </w:r>
      <w:r w:rsidRPr="00B81AD0">
        <w:rPr>
          <w:color w:val="222222"/>
          <w:shd w:val="clear" w:color="auto" w:fill="FFFFFF"/>
        </w:rPr>
        <w:t xml:space="preserve">(6), 1514-1527. </w:t>
      </w:r>
      <w:hyperlink r:id="rId43" w:history="1">
        <w:r w:rsidRPr="00B81AD0">
          <w:rPr>
            <w:rStyle w:val="Hyperlink"/>
          </w:rPr>
          <w:t>https://doi.org/10.1378/chest.10-1872</w:t>
        </w:r>
      </w:hyperlink>
      <w:r w:rsidRPr="00B81AD0">
        <w:t xml:space="preserve"> </w:t>
      </w:r>
    </w:p>
    <w:p w14:paraId="6662E4FF" w14:textId="77777777" w:rsidR="008D0444" w:rsidRPr="00B81AD0" w:rsidRDefault="008D0444" w:rsidP="00AE7CA1">
      <w:pPr>
        <w:pStyle w:val="NormalWeb"/>
        <w:spacing w:before="240" w:beforeAutospacing="0" w:after="240" w:afterAutospacing="0"/>
      </w:pPr>
      <w:r w:rsidRPr="00B81AD0">
        <w:rPr>
          <w:color w:val="222222"/>
          <w:shd w:val="clear" w:color="auto" w:fill="FFFFFF"/>
        </w:rPr>
        <w:t>Masri, S., Cervantes, M., &amp; Sassone-Corsi, P. (2013). The circadian clock and cell cycle: interconnected biological circuits. </w:t>
      </w:r>
      <w:r w:rsidRPr="00B81AD0">
        <w:rPr>
          <w:i/>
          <w:iCs/>
          <w:color w:val="222222"/>
          <w:shd w:val="clear" w:color="auto" w:fill="FFFFFF"/>
        </w:rPr>
        <w:t>Current opinion in cell biology</w:t>
      </w:r>
      <w:r w:rsidRPr="00B81AD0">
        <w:rPr>
          <w:color w:val="222222"/>
          <w:shd w:val="clear" w:color="auto" w:fill="FFFFFF"/>
        </w:rPr>
        <w:t>, </w:t>
      </w:r>
      <w:r w:rsidRPr="00B81AD0">
        <w:rPr>
          <w:i/>
          <w:iCs/>
          <w:color w:val="222222"/>
          <w:shd w:val="clear" w:color="auto" w:fill="FFFFFF"/>
        </w:rPr>
        <w:t>25</w:t>
      </w:r>
      <w:r w:rsidRPr="00B81AD0">
        <w:rPr>
          <w:color w:val="222222"/>
          <w:shd w:val="clear" w:color="auto" w:fill="FFFFFF"/>
        </w:rPr>
        <w:t xml:space="preserve">(6), 730-734. </w:t>
      </w:r>
      <w:hyperlink r:id="rId44" w:history="1">
        <w:r w:rsidRPr="00B81AD0">
          <w:rPr>
            <w:rStyle w:val="Hyperlink"/>
          </w:rPr>
          <w:t>https://doi.org/10.1016/j.ceb.2013.07.013</w:t>
        </w:r>
      </w:hyperlink>
      <w:r w:rsidRPr="00B81AD0">
        <w:t xml:space="preserve"> </w:t>
      </w:r>
    </w:p>
    <w:p w14:paraId="7AF7E778" w14:textId="77777777" w:rsidR="008D0444" w:rsidRPr="00B81AD0" w:rsidRDefault="008D0444" w:rsidP="00AE7CA1">
      <w:pPr>
        <w:pStyle w:val="NormalWeb"/>
        <w:spacing w:before="240" w:beforeAutospacing="0" w:after="240" w:afterAutospacing="0"/>
      </w:pPr>
      <w:r w:rsidRPr="00B81AD0">
        <w:rPr>
          <w:color w:val="222222"/>
          <w:shd w:val="clear" w:color="auto" w:fill="FFFFFF"/>
        </w:rPr>
        <w:t>Matsunaga, N., Inoue, M., Kusunose, N., Kakimoto, K., Hamamura, K., Hanada, Y., ... &amp; Ohdo, S. (2012). Time-dependent interaction between differentiated embryo chondrocyte-2 and CCAAT/enhancer-binding protein α underlies the circadian expression of CYP2D6 in serum-shocked HepG2 cells. </w:t>
      </w:r>
      <w:r w:rsidRPr="00B81AD0">
        <w:rPr>
          <w:i/>
          <w:iCs/>
          <w:color w:val="222222"/>
          <w:shd w:val="clear" w:color="auto" w:fill="FFFFFF"/>
        </w:rPr>
        <w:t>Molecular pharmacology</w:t>
      </w:r>
      <w:r w:rsidRPr="00B81AD0">
        <w:rPr>
          <w:color w:val="222222"/>
          <w:shd w:val="clear" w:color="auto" w:fill="FFFFFF"/>
        </w:rPr>
        <w:t>, </w:t>
      </w:r>
      <w:r w:rsidRPr="00B81AD0">
        <w:rPr>
          <w:i/>
          <w:iCs/>
          <w:color w:val="222222"/>
          <w:shd w:val="clear" w:color="auto" w:fill="FFFFFF"/>
        </w:rPr>
        <w:t>81</w:t>
      </w:r>
      <w:r w:rsidRPr="00B81AD0">
        <w:rPr>
          <w:color w:val="222222"/>
          <w:shd w:val="clear" w:color="auto" w:fill="FFFFFF"/>
        </w:rPr>
        <w:t xml:space="preserve">(5), 739-747. </w:t>
      </w:r>
      <w:hyperlink r:id="rId45" w:history="1">
        <w:r w:rsidRPr="00B81AD0">
          <w:rPr>
            <w:rStyle w:val="Hyperlink"/>
          </w:rPr>
          <w:t>https://doi.org/10.1124/mol.111.076406</w:t>
        </w:r>
      </w:hyperlink>
      <w:r w:rsidRPr="00B81AD0">
        <w:t xml:space="preserve"> </w:t>
      </w:r>
    </w:p>
    <w:p w14:paraId="1377E8D2" w14:textId="77777777" w:rsidR="008D0444" w:rsidRPr="00B81AD0" w:rsidRDefault="008D0444" w:rsidP="00AE7CA1">
      <w:pPr>
        <w:pStyle w:val="NormalWeb"/>
        <w:spacing w:before="240" w:beforeAutospacing="0" w:after="240" w:afterAutospacing="0"/>
      </w:pPr>
      <w:r w:rsidRPr="00B81AD0">
        <w:rPr>
          <w:color w:val="222222"/>
          <w:shd w:val="clear" w:color="auto" w:fill="FFFFFF"/>
        </w:rPr>
        <w:t>Miller, D. S. (2010). Regulation of P-glycoprotein and other ABC drug transporters at the blood–brain barrier. </w:t>
      </w:r>
      <w:r w:rsidRPr="00B81AD0">
        <w:rPr>
          <w:i/>
          <w:iCs/>
          <w:color w:val="222222"/>
          <w:shd w:val="clear" w:color="auto" w:fill="FFFFFF"/>
        </w:rPr>
        <w:t>Trends in pharmacological sciences</w:t>
      </w:r>
      <w:r w:rsidRPr="00B81AD0">
        <w:rPr>
          <w:color w:val="222222"/>
          <w:shd w:val="clear" w:color="auto" w:fill="FFFFFF"/>
        </w:rPr>
        <w:t>, </w:t>
      </w:r>
      <w:r w:rsidRPr="00B81AD0">
        <w:rPr>
          <w:i/>
          <w:iCs/>
          <w:color w:val="222222"/>
          <w:shd w:val="clear" w:color="auto" w:fill="FFFFFF"/>
        </w:rPr>
        <w:t>31</w:t>
      </w:r>
      <w:r w:rsidRPr="00B81AD0">
        <w:rPr>
          <w:color w:val="222222"/>
          <w:shd w:val="clear" w:color="auto" w:fill="FFFFFF"/>
        </w:rPr>
        <w:t xml:space="preserve">(6), 246-254. </w:t>
      </w:r>
      <w:hyperlink r:id="rId46" w:history="1">
        <w:r w:rsidRPr="00B81AD0">
          <w:rPr>
            <w:rStyle w:val="Hyperlink"/>
          </w:rPr>
          <w:t>https://doi.org/10.1016/j.tips.2010.03.003</w:t>
        </w:r>
      </w:hyperlink>
      <w:r w:rsidRPr="00B81AD0">
        <w:t xml:space="preserve"> </w:t>
      </w:r>
    </w:p>
    <w:p w14:paraId="7A2B8E70" w14:textId="77777777" w:rsidR="008D0444" w:rsidRPr="00B81AD0" w:rsidRDefault="008D0444" w:rsidP="00AE7CA1">
      <w:pPr>
        <w:pStyle w:val="NormalWeb"/>
        <w:spacing w:before="240" w:beforeAutospacing="0" w:after="240" w:afterAutospacing="0"/>
      </w:pPr>
      <w:r w:rsidRPr="00B81AD0">
        <w:rPr>
          <w:color w:val="222222"/>
          <w:shd w:val="clear" w:color="auto" w:fill="FFFFFF"/>
        </w:rPr>
        <w:t>Mohawk, J. A., Green, C. B., &amp; Takahashi, J. S. (2012). Central and peripheral circadian clocks in mammals. </w:t>
      </w:r>
      <w:r w:rsidRPr="00B81AD0">
        <w:rPr>
          <w:i/>
          <w:iCs/>
          <w:color w:val="222222"/>
          <w:shd w:val="clear" w:color="auto" w:fill="FFFFFF"/>
        </w:rPr>
        <w:t>Annual review of neuroscience</w:t>
      </w:r>
      <w:r w:rsidRPr="00B81AD0">
        <w:rPr>
          <w:color w:val="222222"/>
          <w:shd w:val="clear" w:color="auto" w:fill="FFFFFF"/>
        </w:rPr>
        <w:t>, </w:t>
      </w:r>
      <w:r w:rsidRPr="00B81AD0">
        <w:rPr>
          <w:i/>
          <w:iCs/>
          <w:color w:val="222222"/>
          <w:shd w:val="clear" w:color="auto" w:fill="FFFFFF"/>
        </w:rPr>
        <w:t>35</w:t>
      </w:r>
      <w:r w:rsidRPr="00B81AD0">
        <w:rPr>
          <w:color w:val="222222"/>
          <w:shd w:val="clear" w:color="auto" w:fill="FFFFFF"/>
        </w:rPr>
        <w:t xml:space="preserve">(1), 445-462. </w:t>
      </w:r>
      <w:hyperlink r:id="rId47" w:history="1">
        <w:r w:rsidRPr="00B81AD0">
          <w:rPr>
            <w:rStyle w:val="Hyperlink"/>
          </w:rPr>
          <w:t>https://doi.org/10.1146/annurev-neuro-060909-153128</w:t>
        </w:r>
      </w:hyperlink>
      <w:r w:rsidRPr="00B81AD0">
        <w:t xml:space="preserve"> </w:t>
      </w:r>
    </w:p>
    <w:p w14:paraId="740449D5" w14:textId="77777777" w:rsidR="008D0444" w:rsidRPr="00B81AD0" w:rsidRDefault="008D0444" w:rsidP="00AE7CA1">
      <w:pPr>
        <w:pStyle w:val="NormalWeb"/>
        <w:spacing w:before="240" w:beforeAutospacing="0" w:after="240" w:afterAutospacing="0"/>
      </w:pPr>
      <w:r w:rsidRPr="00B81AD0">
        <w:rPr>
          <w:color w:val="222222"/>
          <w:shd w:val="clear" w:color="auto" w:fill="FFFFFF"/>
        </w:rPr>
        <w:t>Molina, T. A., &amp; Burgess, H. J. (2011). Calculating the dim light melatonin onset: the impact of threshold and sampling rate. </w:t>
      </w:r>
      <w:r w:rsidRPr="00B81AD0">
        <w:rPr>
          <w:i/>
          <w:iCs/>
          <w:color w:val="222222"/>
          <w:shd w:val="clear" w:color="auto" w:fill="FFFFFF"/>
        </w:rPr>
        <w:t>Chronobiology international</w:t>
      </w:r>
      <w:r w:rsidRPr="00B81AD0">
        <w:rPr>
          <w:color w:val="222222"/>
          <w:shd w:val="clear" w:color="auto" w:fill="FFFFFF"/>
        </w:rPr>
        <w:t>, </w:t>
      </w:r>
      <w:r w:rsidRPr="00B81AD0">
        <w:rPr>
          <w:i/>
          <w:iCs/>
          <w:color w:val="222222"/>
          <w:shd w:val="clear" w:color="auto" w:fill="FFFFFF"/>
        </w:rPr>
        <w:t>28</w:t>
      </w:r>
      <w:r w:rsidRPr="00B81AD0">
        <w:rPr>
          <w:color w:val="222222"/>
          <w:shd w:val="clear" w:color="auto" w:fill="FFFFFF"/>
        </w:rPr>
        <w:t xml:space="preserve">(8), 714-718. </w:t>
      </w:r>
      <w:hyperlink r:id="rId48" w:history="1">
        <w:r w:rsidRPr="00B81AD0">
          <w:rPr>
            <w:rStyle w:val="Hyperlink"/>
          </w:rPr>
          <w:t>https://doi.org/10.3109/07420528.2011.597531</w:t>
        </w:r>
      </w:hyperlink>
      <w:r w:rsidRPr="00B81AD0">
        <w:t xml:space="preserve"> </w:t>
      </w:r>
    </w:p>
    <w:p w14:paraId="639166FD" w14:textId="77777777" w:rsidR="008D0444" w:rsidRPr="00B81AD0" w:rsidRDefault="008D0444" w:rsidP="00AE7CA1">
      <w:pPr>
        <w:pStyle w:val="NormalWeb"/>
        <w:spacing w:before="240" w:beforeAutospacing="0" w:after="240" w:afterAutospacing="0"/>
      </w:pPr>
      <w:r w:rsidRPr="00B81AD0">
        <w:rPr>
          <w:color w:val="222222"/>
          <w:shd w:val="clear" w:color="auto" w:fill="FFFFFF"/>
        </w:rPr>
        <w:t>Panda, S. (2016). Circadian physiology of metabolism. </w:t>
      </w:r>
      <w:r w:rsidRPr="00B81AD0">
        <w:rPr>
          <w:i/>
          <w:iCs/>
          <w:color w:val="222222"/>
          <w:shd w:val="clear" w:color="auto" w:fill="FFFFFF"/>
        </w:rPr>
        <w:t>Science</w:t>
      </w:r>
      <w:r w:rsidRPr="00B81AD0">
        <w:rPr>
          <w:color w:val="222222"/>
          <w:shd w:val="clear" w:color="auto" w:fill="FFFFFF"/>
        </w:rPr>
        <w:t>, </w:t>
      </w:r>
      <w:r w:rsidRPr="00B81AD0">
        <w:rPr>
          <w:i/>
          <w:iCs/>
          <w:color w:val="222222"/>
          <w:shd w:val="clear" w:color="auto" w:fill="FFFFFF"/>
        </w:rPr>
        <w:t>354</w:t>
      </w:r>
      <w:r w:rsidRPr="00B81AD0">
        <w:rPr>
          <w:color w:val="222222"/>
          <w:shd w:val="clear" w:color="auto" w:fill="FFFFFF"/>
        </w:rPr>
        <w:t xml:space="preserve">(6315), 1008-1015. </w:t>
      </w:r>
      <w:hyperlink r:id="rId49" w:history="1">
        <w:r w:rsidRPr="00B81AD0">
          <w:rPr>
            <w:rStyle w:val="Hyperlink"/>
          </w:rPr>
          <w:t>https://doi.org/10.1126/science.aah4967</w:t>
        </w:r>
      </w:hyperlink>
      <w:r w:rsidRPr="00B81AD0">
        <w:t xml:space="preserve"> </w:t>
      </w:r>
    </w:p>
    <w:p w14:paraId="5C28E66E" w14:textId="77777777" w:rsidR="008D0444" w:rsidRPr="008D0444" w:rsidRDefault="008D0444" w:rsidP="00AE7CA1">
      <w:pPr>
        <w:spacing w:before="240" w:after="240" w:line="240" w:lineRule="auto"/>
        <w:ind w:left="0" w:firstLine="0"/>
        <w:rPr>
          <w:color w:val="auto"/>
          <w:kern w:val="0"/>
          <w:lang w:val="en-US" w:eastAsia="en-US"/>
        </w:rPr>
      </w:pPr>
      <w:r w:rsidRPr="008D0444">
        <w:rPr>
          <w:color w:val="222222"/>
          <w:shd w:val="clear" w:color="auto" w:fill="FFFFFF"/>
        </w:rPr>
        <w:t>Park, S., Ihm, S. H., Cho, I. J., Kim, D. H., Park, J. H., Chung, W. B., ... &amp; Pyun, W. B. (2023). Statement on chronotherapy for the treatment of hypertension: consensus document from the Korean society of hypertension. </w:t>
      </w:r>
      <w:r w:rsidRPr="008D0444">
        <w:rPr>
          <w:i/>
          <w:iCs/>
          <w:color w:val="222222"/>
          <w:shd w:val="clear" w:color="auto" w:fill="FFFFFF"/>
        </w:rPr>
        <w:t>Clinical Hypertension</w:t>
      </w:r>
      <w:r w:rsidRPr="008D0444">
        <w:rPr>
          <w:color w:val="222222"/>
          <w:shd w:val="clear" w:color="auto" w:fill="FFFFFF"/>
        </w:rPr>
        <w:t>, </w:t>
      </w:r>
      <w:r w:rsidRPr="008D0444">
        <w:rPr>
          <w:i/>
          <w:iCs/>
          <w:color w:val="222222"/>
          <w:shd w:val="clear" w:color="auto" w:fill="FFFFFF"/>
        </w:rPr>
        <w:t>29</w:t>
      </w:r>
      <w:r w:rsidRPr="008D0444">
        <w:rPr>
          <w:color w:val="222222"/>
          <w:shd w:val="clear" w:color="auto" w:fill="FFFFFF"/>
        </w:rPr>
        <w:t xml:space="preserve">(1), 25. </w:t>
      </w:r>
      <w:hyperlink r:id="rId50" w:history="1">
        <w:r w:rsidRPr="008D0444">
          <w:rPr>
            <w:rStyle w:val="Hyperlink"/>
            <w:kern w:val="0"/>
            <w:lang w:val="en-US" w:eastAsia="en-US"/>
          </w:rPr>
          <w:t>https://doi.org/10.1186/s40885-023-00249-2</w:t>
        </w:r>
      </w:hyperlink>
      <w:r w:rsidRPr="008D0444">
        <w:rPr>
          <w:color w:val="auto"/>
          <w:kern w:val="0"/>
          <w:lang w:val="en-US" w:eastAsia="en-US"/>
        </w:rPr>
        <w:t xml:space="preserve"> </w:t>
      </w:r>
    </w:p>
    <w:p w14:paraId="281CE0BB" w14:textId="77777777" w:rsidR="008D0444" w:rsidRPr="00B81AD0" w:rsidRDefault="008D0444" w:rsidP="00AE7CA1">
      <w:pPr>
        <w:spacing w:before="240" w:after="240" w:line="240" w:lineRule="auto"/>
        <w:ind w:left="0" w:firstLine="0"/>
      </w:pPr>
      <w:r w:rsidRPr="008D0444">
        <w:rPr>
          <w:color w:val="222222"/>
          <w:shd w:val="clear" w:color="auto" w:fill="FFFFFF"/>
        </w:rPr>
        <w:t>Patel, J. S., Woo, Y., Draper, A., Jansen, C. S., Carlisle, J. W., Innominato, P. F., ... &amp; Qian, D. C. (2024). Impact of immunotherapy time-of-day infusion on survival and immunologic correlates in patients with metastatic renal cell carcinoma: a multicenter cohort analysis. </w:t>
      </w:r>
      <w:r w:rsidRPr="008D0444">
        <w:rPr>
          <w:i/>
          <w:iCs/>
          <w:color w:val="222222"/>
          <w:shd w:val="clear" w:color="auto" w:fill="FFFFFF"/>
        </w:rPr>
        <w:t>Journal for immunotherapy of cancer</w:t>
      </w:r>
      <w:r w:rsidRPr="008D0444">
        <w:rPr>
          <w:color w:val="222222"/>
          <w:shd w:val="clear" w:color="auto" w:fill="FFFFFF"/>
        </w:rPr>
        <w:t>, </w:t>
      </w:r>
      <w:r w:rsidRPr="008D0444">
        <w:rPr>
          <w:i/>
          <w:iCs/>
          <w:color w:val="222222"/>
          <w:shd w:val="clear" w:color="auto" w:fill="FFFFFF"/>
        </w:rPr>
        <w:t>12</w:t>
      </w:r>
      <w:r w:rsidRPr="008D0444">
        <w:rPr>
          <w:color w:val="222222"/>
          <w:shd w:val="clear" w:color="auto" w:fill="FFFFFF"/>
        </w:rPr>
        <w:t xml:space="preserve">(3), e008011. </w:t>
      </w:r>
      <w:hyperlink r:id="rId51" w:history="1">
        <w:r w:rsidRPr="008D0444">
          <w:rPr>
            <w:rStyle w:val="Hyperlink"/>
            <w:kern w:val="0"/>
            <w:lang w:val="en-US" w:eastAsia="en-US"/>
          </w:rPr>
          <w:t>https://doi.org/10.1136/jitc-2023-008011</w:t>
        </w:r>
      </w:hyperlink>
      <w:r w:rsidRPr="008D0444">
        <w:rPr>
          <w:color w:val="auto"/>
          <w:kern w:val="0"/>
          <w:lang w:val="en-US" w:eastAsia="en-US"/>
        </w:rPr>
        <w:t xml:space="preserve"> </w:t>
      </w:r>
    </w:p>
    <w:p w14:paraId="76E62672" w14:textId="77777777" w:rsidR="008D0444" w:rsidRPr="00B81AD0" w:rsidRDefault="008D0444" w:rsidP="00AE7CA1">
      <w:pPr>
        <w:pStyle w:val="NormalWeb"/>
        <w:spacing w:before="240" w:beforeAutospacing="0" w:after="240" w:afterAutospacing="0"/>
      </w:pPr>
      <w:r w:rsidRPr="00B81AD0">
        <w:rPr>
          <w:color w:val="222222"/>
          <w:shd w:val="clear" w:color="auto" w:fill="FFFFFF"/>
        </w:rPr>
        <w:t>Poggiogalle, E., Jamshed, H., &amp; Peterson, C. M. (2018). Circadian regulation of glucose, lipid, and energy metabolism in humans. </w:t>
      </w:r>
      <w:r w:rsidRPr="00B81AD0">
        <w:rPr>
          <w:i/>
          <w:iCs/>
          <w:color w:val="222222"/>
          <w:shd w:val="clear" w:color="auto" w:fill="FFFFFF"/>
        </w:rPr>
        <w:t>Metabolism</w:t>
      </w:r>
      <w:r w:rsidRPr="00B81AD0">
        <w:rPr>
          <w:color w:val="222222"/>
          <w:shd w:val="clear" w:color="auto" w:fill="FFFFFF"/>
        </w:rPr>
        <w:t>, </w:t>
      </w:r>
      <w:r w:rsidRPr="00B81AD0">
        <w:rPr>
          <w:i/>
          <w:iCs/>
          <w:color w:val="222222"/>
          <w:shd w:val="clear" w:color="auto" w:fill="FFFFFF"/>
        </w:rPr>
        <w:t>84</w:t>
      </w:r>
      <w:r w:rsidRPr="00B81AD0">
        <w:rPr>
          <w:color w:val="222222"/>
          <w:shd w:val="clear" w:color="auto" w:fill="FFFFFF"/>
        </w:rPr>
        <w:t xml:space="preserve">, 11-27. </w:t>
      </w:r>
      <w:hyperlink r:id="rId52" w:history="1">
        <w:r w:rsidRPr="00B81AD0">
          <w:rPr>
            <w:rStyle w:val="Hyperlink"/>
          </w:rPr>
          <w:t>https://doi.org/10.1016/j.metabol.2017.11.017</w:t>
        </w:r>
      </w:hyperlink>
      <w:r w:rsidRPr="00B81AD0">
        <w:t xml:space="preserve"> </w:t>
      </w:r>
    </w:p>
    <w:p w14:paraId="765DCC50" w14:textId="77777777" w:rsidR="008D0444" w:rsidRPr="00B81AD0" w:rsidRDefault="008D0444" w:rsidP="00AE7CA1">
      <w:pPr>
        <w:pStyle w:val="NormalWeb"/>
        <w:spacing w:before="240" w:beforeAutospacing="0" w:after="240" w:afterAutospacing="0"/>
      </w:pPr>
      <w:r w:rsidRPr="00B81AD0">
        <w:rPr>
          <w:color w:val="222222"/>
          <w:shd w:val="clear" w:color="auto" w:fill="FFFFFF"/>
        </w:rPr>
        <w:t>Reinke, H., &amp; Asher, G. (2019). Crosstalk between metabolism and circadian clocks. </w:t>
      </w:r>
      <w:r w:rsidRPr="00B81AD0">
        <w:rPr>
          <w:i/>
          <w:iCs/>
          <w:color w:val="222222"/>
          <w:shd w:val="clear" w:color="auto" w:fill="FFFFFF"/>
        </w:rPr>
        <w:t>Nature reviews Molecular cell biology</w:t>
      </w:r>
      <w:r w:rsidRPr="00B81AD0">
        <w:rPr>
          <w:color w:val="222222"/>
          <w:shd w:val="clear" w:color="auto" w:fill="FFFFFF"/>
        </w:rPr>
        <w:t>, </w:t>
      </w:r>
      <w:r w:rsidRPr="00B81AD0">
        <w:rPr>
          <w:i/>
          <w:iCs/>
          <w:color w:val="222222"/>
          <w:shd w:val="clear" w:color="auto" w:fill="FFFFFF"/>
        </w:rPr>
        <w:t>20</w:t>
      </w:r>
      <w:r w:rsidRPr="00B81AD0">
        <w:rPr>
          <w:color w:val="222222"/>
          <w:shd w:val="clear" w:color="auto" w:fill="FFFFFF"/>
        </w:rPr>
        <w:t xml:space="preserve">(4), 227-241. </w:t>
      </w:r>
      <w:hyperlink r:id="rId53" w:history="1">
        <w:r w:rsidRPr="00B81AD0">
          <w:rPr>
            <w:rStyle w:val="Hyperlink"/>
          </w:rPr>
          <w:t>https://doi.org/10.1038/s41580-018-0096-9</w:t>
        </w:r>
      </w:hyperlink>
      <w:r w:rsidRPr="00B81AD0">
        <w:t xml:space="preserve"> </w:t>
      </w:r>
    </w:p>
    <w:p w14:paraId="0773FE4B" w14:textId="77777777" w:rsidR="008D0444" w:rsidRPr="00B81AD0" w:rsidRDefault="008D0444" w:rsidP="00AE7CA1">
      <w:pPr>
        <w:pStyle w:val="NormalWeb"/>
        <w:spacing w:before="240" w:beforeAutospacing="0" w:after="240" w:afterAutospacing="0"/>
      </w:pPr>
      <w:r w:rsidRPr="00B81AD0">
        <w:rPr>
          <w:color w:val="222222"/>
          <w:shd w:val="clear" w:color="auto" w:fill="FFFFFF"/>
        </w:rPr>
        <w:t>Robles, M. S., Humphrey, S. J., &amp; Mann, M. (2017). Phosphorylation is a central mechanism for circadian control of metabolism and physiology. </w:t>
      </w:r>
      <w:r w:rsidRPr="00B81AD0">
        <w:rPr>
          <w:i/>
          <w:iCs/>
          <w:color w:val="222222"/>
          <w:shd w:val="clear" w:color="auto" w:fill="FFFFFF"/>
        </w:rPr>
        <w:t>Cell metabolism</w:t>
      </w:r>
      <w:r w:rsidRPr="00B81AD0">
        <w:rPr>
          <w:color w:val="222222"/>
          <w:shd w:val="clear" w:color="auto" w:fill="FFFFFF"/>
        </w:rPr>
        <w:t>, </w:t>
      </w:r>
      <w:r w:rsidRPr="00B81AD0">
        <w:rPr>
          <w:i/>
          <w:iCs/>
          <w:color w:val="222222"/>
          <w:shd w:val="clear" w:color="auto" w:fill="FFFFFF"/>
        </w:rPr>
        <w:t>25</w:t>
      </w:r>
      <w:r w:rsidRPr="00B81AD0">
        <w:rPr>
          <w:color w:val="222222"/>
          <w:shd w:val="clear" w:color="auto" w:fill="FFFFFF"/>
        </w:rPr>
        <w:t xml:space="preserve">(1), 118-127. </w:t>
      </w:r>
      <w:hyperlink r:id="rId54" w:history="1">
        <w:r w:rsidRPr="00B81AD0">
          <w:rPr>
            <w:rStyle w:val="Hyperlink"/>
          </w:rPr>
          <w:t>https://doi.org/10.1016/j.cmet.2016.10.004</w:t>
        </w:r>
      </w:hyperlink>
      <w:r w:rsidRPr="00B81AD0">
        <w:t xml:space="preserve"> </w:t>
      </w:r>
    </w:p>
    <w:p w14:paraId="07EF4603" w14:textId="77777777" w:rsidR="008D0444" w:rsidRPr="00B81AD0" w:rsidRDefault="008D0444" w:rsidP="00AE7CA1">
      <w:pPr>
        <w:spacing w:before="240" w:after="240" w:line="240" w:lineRule="auto"/>
        <w:ind w:left="0" w:firstLine="0"/>
      </w:pPr>
      <w:r w:rsidRPr="008D0444">
        <w:rPr>
          <w:color w:val="222222"/>
          <w:shd w:val="clear" w:color="auto" w:fill="FFFFFF"/>
        </w:rPr>
        <w:t xml:space="preserve">Rousseau, A., Tagliamento, M., Auclin, E., Aldea, M., Frelaut, M., Levy, A., ... &amp; Besse, B. (2023). Clinical outcomes by infusion timing of immune checkpoint inhibitors in patients </w:t>
      </w:r>
      <w:r w:rsidRPr="008D0444">
        <w:rPr>
          <w:color w:val="222222"/>
          <w:shd w:val="clear" w:color="auto" w:fill="FFFFFF"/>
        </w:rPr>
        <w:lastRenderedPageBreak/>
        <w:t>with advanced non-small cell lung cancer. </w:t>
      </w:r>
      <w:r w:rsidRPr="008D0444">
        <w:rPr>
          <w:i/>
          <w:iCs/>
          <w:color w:val="222222"/>
          <w:shd w:val="clear" w:color="auto" w:fill="FFFFFF"/>
        </w:rPr>
        <w:t>European Journal of Cancer</w:t>
      </w:r>
      <w:r w:rsidRPr="008D0444">
        <w:rPr>
          <w:color w:val="222222"/>
          <w:shd w:val="clear" w:color="auto" w:fill="FFFFFF"/>
        </w:rPr>
        <w:t>, </w:t>
      </w:r>
      <w:r w:rsidRPr="008D0444">
        <w:rPr>
          <w:i/>
          <w:iCs/>
          <w:color w:val="222222"/>
          <w:shd w:val="clear" w:color="auto" w:fill="FFFFFF"/>
        </w:rPr>
        <w:t>182</w:t>
      </w:r>
      <w:r w:rsidRPr="008D0444">
        <w:rPr>
          <w:color w:val="222222"/>
          <w:shd w:val="clear" w:color="auto" w:fill="FFFFFF"/>
        </w:rPr>
        <w:t xml:space="preserve">, 107-114. </w:t>
      </w:r>
      <w:hyperlink r:id="rId55" w:history="1">
        <w:r w:rsidRPr="008D0444">
          <w:rPr>
            <w:rStyle w:val="Hyperlink"/>
            <w:kern w:val="0"/>
            <w:lang w:val="en-US" w:eastAsia="en-US"/>
          </w:rPr>
          <w:t>https://doi.org/10.1016/j.ejca.2023.01.007</w:t>
        </w:r>
      </w:hyperlink>
      <w:r w:rsidRPr="008D0444">
        <w:rPr>
          <w:color w:val="auto"/>
          <w:kern w:val="0"/>
          <w:lang w:val="en-US" w:eastAsia="en-US"/>
        </w:rPr>
        <w:t xml:space="preserve"> </w:t>
      </w:r>
    </w:p>
    <w:p w14:paraId="015D8E80" w14:textId="77777777" w:rsidR="008D0444" w:rsidRPr="00B81AD0" w:rsidRDefault="008D0444" w:rsidP="00AE7CA1">
      <w:pPr>
        <w:pStyle w:val="NormalWeb"/>
        <w:spacing w:before="240" w:beforeAutospacing="0" w:after="240" w:afterAutospacing="0"/>
      </w:pPr>
      <w:r w:rsidRPr="00B81AD0">
        <w:rPr>
          <w:color w:val="222222"/>
          <w:shd w:val="clear" w:color="auto" w:fill="FFFFFF"/>
        </w:rPr>
        <w:t>Ruben, M. D., Wu, G., Smith, D. F., Schmidt, R. E., Francey, L. J., Lee, Y. Y., ... &amp; Hogenesch, J. B. (2018). A database of tissue-specific rhythmically expressed human genes has potential applications in circadian medicine. </w:t>
      </w:r>
      <w:r w:rsidRPr="00B81AD0">
        <w:rPr>
          <w:i/>
          <w:iCs/>
          <w:color w:val="222222"/>
          <w:shd w:val="clear" w:color="auto" w:fill="FFFFFF"/>
        </w:rPr>
        <w:t>Science translational medicine</w:t>
      </w:r>
      <w:r w:rsidRPr="00B81AD0">
        <w:rPr>
          <w:color w:val="222222"/>
          <w:shd w:val="clear" w:color="auto" w:fill="FFFFFF"/>
        </w:rPr>
        <w:t>, </w:t>
      </w:r>
      <w:r w:rsidRPr="00B81AD0">
        <w:rPr>
          <w:i/>
          <w:iCs/>
          <w:color w:val="222222"/>
          <w:shd w:val="clear" w:color="auto" w:fill="FFFFFF"/>
        </w:rPr>
        <w:t>10</w:t>
      </w:r>
      <w:r w:rsidRPr="00B81AD0">
        <w:rPr>
          <w:color w:val="222222"/>
          <w:shd w:val="clear" w:color="auto" w:fill="FFFFFF"/>
        </w:rPr>
        <w:t xml:space="preserve">(458), eaat8806. </w:t>
      </w:r>
      <w:hyperlink r:id="rId56" w:history="1">
        <w:r w:rsidRPr="006D4CB4">
          <w:rPr>
            <w:rStyle w:val="Hyperlink"/>
          </w:rPr>
          <w:t>https://doi.org/10.1126/scitranslmed.aat8806</w:t>
        </w:r>
      </w:hyperlink>
      <w:r>
        <w:t xml:space="preserve"> </w:t>
      </w:r>
    </w:p>
    <w:p w14:paraId="7D307AD2" w14:textId="77777777" w:rsidR="008D0444" w:rsidRPr="008D0444" w:rsidRDefault="008D0444" w:rsidP="00AE7CA1">
      <w:pPr>
        <w:spacing w:before="240" w:after="240" w:line="240" w:lineRule="auto"/>
        <w:ind w:left="0" w:firstLine="0"/>
        <w:rPr>
          <w:color w:val="auto"/>
          <w:kern w:val="0"/>
          <w:lang w:val="en-US" w:eastAsia="en-US"/>
        </w:rPr>
      </w:pPr>
      <w:r w:rsidRPr="008D0444">
        <w:rPr>
          <w:color w:val="222222"/>
          <w:shd w:val="clear" w:color="auto" w:fill="FFFFFF"/>
        </w:rPr>
        <w:t xml:space="preserve">Salah, H. M., &amp; Mehta, J. L. (2022). Best time for administration of antihypertensive medications: morning or </w:t>
      </w:r>
      <w:proofErr w:type="gramStart"/>
      <w:r w:rsidRPr="008D0444">
        <w:rPr>
          <w:color w:val="222222"/>
          <w:shd w:val="clear" w:color="auto" w:fill="FFFFFF"/>
        </w:rPr>
        <w:t>evening?.</w:t>
      </w:r>
      <w:proofErr w:type="gramEnd"/>
      <w:r w:rsidRPr="008D0444">
        <w:rPr>
          <w:color w:val="222222"/>
          <w:shd w:val="clear" w:color="auto" w:fill="FFFFFF"/>
        </w:rPr>
        <w:t> </w:t>
      </w:r>
      <w:r w:rsidRPr="008D0444">
        <w:rPr>
          <w:i/>
          <w:iCs/>
          <w:color w:val="222222"/>
          <w:shd w:val="clear" w:color="auto" w:fill="FFFFFF"/>
        </w:rPr>
        <w:t>The Lancet</w:t>
      </w:r>
      <w:r w:rsidRPr="008D0444">
        <w:rPr>
          <w:color w:val="222222"/>
          <w:shd w:val="clear" w:color="auto" w:fill="FFFFFF"/>
        </w:rPr>
        <w:t>, </w:t>
      </w:r>
      <w:r w:rsidRPr="008D0444">
        <w:rPr>
          <w:i/>
          <w:iCs/>
          <w:color w:val="222222"/>
          <w:shd w:val="clear" w:color="auto" w:fill="FFFFFF"/>
        </w:rPr>
        <w:t>400</w:t>
      </w:r>
      <w:r w:rsidRPr="008D0444">
        <w:rPr>
          <w:color w:val="222222"/>
          <w:shd w:val="clear" w:color="auto" w:fill="FFFFFF"/>
        </w:rPr>
        <w:t xml:space="preserve">(10361), 1383-1385. </w:t>
      </w:r>
      <w:hyperlink r:id="rId57" w:history="1">
        <w:r w:rsidRPr="008D0444">
          <w:rPr>
            <w:rStyle w:val="Hyperlink"/>
            <w:kern w:val="0"/>
            <w:lang w:val="en-US" w:eastAsia="en-US"/>
          </w:rPr>
          <w:t>https://doi.org/10.1016/S0140-6736(22)01900-6</w:t>
        </w:r>
      </w:hyperlink>
      <w:r w:rsidRPr="008D0444">
        <w:rPr>
          <w:color w:val="auto"/>
          <w:kern w:val="0"/>
          <w:lang w:val="en-US" w:eastAsia="en-US"/>
        </w:rPr>
        <w:t xml:space="preserve"> </w:t>
      </w:r>
    </w:p>
    <w:p w14:paraId="47E4BE94" w14:textId="77777777" w:rsidR="008D0444" w:rsidRPr="00B81AD0" w:rsidRDefault="008D0444" w:rsidP="00AE7CA1">
      <w:pPr>
        <w:pStyle w:val="NormalWeb"/>
        <w:spacing w:before="240" w:beforeAutospacing="0" w:after="240" w:afterAutospacing="0"/>
      </w:pPr>
      <w:r w:rsidRPr="00B81AD0">
        <w:rPr>
          <w:color w:val="222222"/>
          <w:shd w:val="clear" w:color="auto" w:fill="FFFFFF"/>
        </w:rPr>
        <w:t>Sancar, A., Lindsey-Boltz, L. A., Kang, T. H., Reardon, J. T., Lee, J. H., &amp; Ozturk, N. (2010). Circadian clock control of the cellular response to DNA damage. </w:t>
      </w:r>
      <w:r w:rsidRPr="00B81AD0">
        <w:rPr>
          <w:i/>
          <w:iCs/>
          <w:color w:val="222222"/>
          <w:shd w:val="clear" w:color="auto" w:fill="FFFFFF"/>
        </w:rPr>
        <w:t>FEBS letters</w:t>
      </w:r>
      <w:r w:rsidRPr="00B81AD0">
        <w:rPr>
          <w:color w:val="222222"/>
          <w:shd w:val="clear" w:color="auto" w:fill="FFFFFF"/>
        </w:rPr>
        <w:t>, </w:t>
      </w:r>
      <w:r w:rsidRPr="00B81AD0">
        <w:rPr>
          <w:i/>
          <w:iCs/>
          <w:color w:val="222222"/>
          <w:shd w:val="clear" w:color="auto" w:fill="FFFFFF"/>
        </w:rPr>
        <w:t>584</w:t>
      </w:r>
      <w:r w:rsidRPr="00B81AD0">
        <w:rPr>
          <w:color w:val="222222"/>
          <w:shd w:val="clear" w:color="auto" w:fill="FFFFFF"/>
        </w:rPr>
        <w:t xml:space="preserve">(12), 2618-2625. </w:t>
      </w:r>
      <w:r w:rsidRPr="00B81AD0">
        <w:t xml:space="preserve"> </w:t>
      </w:r>
      <w:hyperlink r:id="rId58" w:history="1">
        <w:r w:rsidRPr="006D4CB4">
          <w:rPr>
            <w:rStyle w:val="Hyperlink"/>
          </w:rPr>
          <w:t>https://doi.org/10.1016/j.febslet.2010.03.017</w:t>
        </w:r>
      </w:hyperlink>
      <w:r>
        <w:t xml:space="preserve"> </w:t>
      </w:r>
    </w:p>
    <w:p w14:paraId="2D70158C" w14:textId="77777777" w:rsidR="008D0444" w:rsidRPr="00B81AD0" w:rsidRDefault="008D0444" w:rsidP="00AE7CA1">
      <w:pPr>
        <w:pStyle w:val="NormalWeb"/>
        <w:spacing w:before="240" w:beforeAutospacing="0" w:after="240" w:afterAutospacing="0"/>
      </w:pPr>
      <w:r w:rsidRPr="00B81AD0">
        <w:rPr>
          <w:color w:val="222222"/>
          <w:shd w:val="clear" w:color="auto" w:fill="FFFFFF"/>
        </w:rPr>
        <w:t>Scheer, F. A., Hilton, M. F., Mantzoros, C. S., &amp; Shea, S. A. (2009). Adverse metabolic and cardiovascular consequences of circadian misalignment. </w:t>
      </w:r>
      <w:r w:rsidRPr="00B81AD0">
        <w:rPr>
          <w:i/>
          <w:iCs/>
          <w:color w:val="222222"/>
          <w:shd w:val="clear" w:color="auto" w:fill="FFFFFF"/>
        </w:rPr>
        <w:t>Proceedings of the National Academy of Sciences</w:t>
      </w:r>
      <w:r w:rsidRPr="00B81AD0">
        <w:rPr>
          <w:color w:val="222222"/>
          <w:shd w:val="clear" w:color="auto" w:fill="FFFFFF"/>
        </w:rPr>
        <w:t>, </w:t>
      </w:r>
      <w:r w:rsidRPr="00B81AD0">
        <w:rPr>
          <w:i/>
          <w:iCs/>
          <w:color w:val="222222"/>
          <w:shd w:val="clear" w:color="auto" w:fill="FFFFFF"/>
        </w:rPr>
        <w:t>106</w:t>
      </w:r>
      <w:r w:rsidRPr="00B81AD0">
        <w:rPr>
          <w:color w:val="222222"/>
          <w:shd w:val="clear" w:color="auto" w:fill="FFFFFF"/>
        </w:rPr>
        <w:t xml:space="preserve">(11), 4453-4458. </w:t>
      </w:r>
      <w:hyperlink r:id="rId59" w:tgtFrame="_new" w:history="1">
        <w:r w:rsidRPr="00B81AD0">
          <w:rPr>
            <w:rStyle w:val="Hyperlink"/>
          </w:rPr>
          <w:t>https://doi.org/10.1073/pnas.0808180106</w:t>
        </w:r>
      </w:hyperlink>
    </w:p>
    <w:p w14:paraId="3FF77746" w14:textId="77777777" w:rsidR="008D0444" w:rsidRPr="00B81AD0" w:rsidRDefault="008D0444" w:rsidP="00AE7CA1">
      <w:pPr>
        <w:pStyle w:val="NormalWeb"/>
        <w:spacing w:before="240" w:beforeAutospacing="0" w:after="240" w:afterAutospacing="0"/>
      </w:pPr>
      <w:r w:rsidRPr="00B81AD0">
        <w:rPr>
          <w:color w:val="222222"/>
          <w:shd w:val="clear" w:color="auto" w:fill="FFFFFF"/>
        </w:rPr>
        <w:t>Scheiermann, C., Gibbs, J., Ince, L., &amp; Loudon, A. (2018). Clocking in to immunity. </w:t>
      </w:r>
      <w:r w:rsidRPr="00B81AD0">
        <w:rPr>
          <w:i/>
          <w:iCs/>
          <w:color w:val="222222"/>
          <w:shd w:val="clear" w:color="auto" w:fill="FFFFFF"/>
        </w:rPr>
        <w:t>Nature Reviews Immunology</w:t>
      </w:r>
      <w:r w:rsidRPr="00B81AD0">
        <w:rPr>
          <w:color w:val="222222"/>
          <w:shd w:val="clear" w:color="auto" w:fill="FFFFFF"/>
        </w:rPr>
        <w:t>, </w:t>
      </w:r>
      <w:r w:rsidRPr="00B81AD0">
        <w:rPr>
          <w:i/>
          <w:iCs/>
          <w:color w:val="222222"/>
          <w:shd w:val="clear" w:color="auto" w:fill="FFFFFF"/>
        </w:rPr>
        <w:t>18</w:t>
      </w:r>
      <w:r w:rsidRPr="00B81AD0">
        <w:rPr>
          <w:color w:val="222222"/>
          <w:shd w:val="clear" w:color="auto" w:fill="FFFFFF"/>
        </w:rPr>
        <w:t xml:space="preserve">(7), 423-437. </w:t>
      </w:r>
      <w:hyperlink r:id="rId60" w:history="1">
        <w:r w:rsidRPr="006D4CB4">
          <w:rPr>
            <w:rStyle w:val="Hyperlink"/>
          </w:rPr>
          <w:t>https://doi.org/10.1038/s41577-018-0008-4</w:t>
        </w:r>
      </w:hyperlink>
      <w:r>
        <w:t xml:space="preserve"> </w:t>
      </w:r>
    </w:p>
    <w:p w14:paraId="13A782FD" w14:textId="77777777" w:rsidR="008D0444" w:rsidRPr="00B81AD0" w:rsidRDefault="008D0444" w:rsidP="00AE7CA1">
      <w:pPr>
        <w:pStyle w:val="NormalWeb"/>
        <w:spacing w:before="240" w:beforeAutospacing="0" w:after="240" w:afterAutospacing="0"/>
      </w:pPr>
      <w:r w:rsidRPr="00B81AD0">
        <w:rPr>
          <w:color w:val="222222"/>
          <w:shd w:val="clear" w:color="auto" w:fill="FFFFFF"/>
        </w:rPr>
        <w:t>Schulz, K. F., Altman, D. G., &amp; Moher, D. (2010). CONSORT 2010 statement: updated guidelines for reporting parallel group randomised trials. </w:t>
      </w:r>
      <w:r w:rsidRPr="00B81AD0">
        <w:rPr>
          <w:i/>
          <w:iCs/>
          <w:color w:val="222222"/>
          <w:shd w:val="clear" w:color="auto" w:fill="FFFFFF"/>
        </w:rPr>
        <w:t>BMC medicine</w:t>
      </w:r>
      <w:r w:rsidRPr="00B81AD0">
        <w:rPr>
          <w:color w:val="222222"/>
          <w:shd w:val="clear" w:color="auto" w:fill="FFFFFF"/>
        </w:rPr>
        <w:t>, </w:t>
      </w:r>
      <w:r w:rsidRPr="00B81AD0">
        <w:rPr>
          <w:i/>
          <w:iCs/>
          <w:color w:val="222222"/>
          <w:shd w:val="clear" w:color="auto" w:fill="FFFFFF"/>
        </w:rPr>
        <w:t>8</w:t>
      </w:r>
      <w:r w:rsidRPr="00B81AD0">
        <w:rPr>
          <w:color w:val="222222"/>
          <w:shd w:val="clear" w:color="auto" w:fill="FFFFFF"/>
        </w:rPr>
        <w:t xml:space="preserve">(1), 18. </w:t>
      </w:r>
      <w:hyperlink r:id="rId61" w:tgtFrame="_new" w:history="1">
        <w:r w:rsidRPr="00B81AD0">
          <w:rPr>
            <w:rStyle w:val="Hyperlink"/>
          </w:rPr>
          <w:t>https://doi.org/10.1136/bmj.c332</w:t>
        </w:r>
      </w:hyperlink>
    </w:p>
    <w:p w14:paraId="1C58CD20" w14:textId="77777777" w:rsidR="008D0444" w:rsidRPr="00B81AD0" w:rsidRDefault="008D0444" w:rsidP="00AE7CA1">
      <w:pPr>
        <w:pStyle w:val="NormalWeb"/>
        <w:spacing w:before="240" w:beforeAutospacing="0" w:after="240" w:afterAutospacing="0"/>
      </w:pPr>
      <w:r w:rsidRPr="00B81AD0">
        <w:rPr>
          <w:color w:val="222222"/>
          <w:shd w:val="clear" w:color="auto" w:fill="FFFFFF"/>
        </w:rPr>
        <w:t>Smith, M. T., McCrae, C. S., Cheung, J., Martin, J. L., Harrod, C. G., Heald, J. L., &amp; Carden, K. A. (2018). Use of actigraphy for the evaluation of sleep disorders and circadian rhythm sleep-wake disorders: an American Academy of Sleep Medicine systematic review, meta-analysis, and GRADE assessment. </w:t>
      </w:r>
      <w:r w:rsidRPr="00B81AD0">
        <w:rPr>
          <w:i/>
          <w:iCs/>
          <w:color w:val="222222"/>
          <w:shd w:val="clear" w:color="auto" w:fill="FFFFFF"/>
        </w:rPr>
        <w:t>Journal of clinical sleep medicine</w:t>
      </w:r>
      <w:r w:rsidRPr="00B81AD0">
        <w:rPr>
          <w:color w:val="222222"/>
          <w:shd w:val="clear" w:color="auto" w:fill="FFFFFF"/>
        </w:rPr>
        <w:t>, </w:t>
      </w:r>
      <w:r w:rsidRPr="00B81AD0">
        <w:rPr>
          <w:i/>
          <w:iCs/>
          <w:color w:val="222222"/>
          <w:shd w:val="clear" w:color="auto" w:fill="FFFFFF"/>
        </w:rPr>
        <w:t>14</w:t>
      </w:r>
      <w:r w:rsidRPr="00B81AD0">
        <w:rPr>
          <w:color w:val="222222"/>
          <w:shd w:val="clear" w:color="auto" w:fill="FFFFFF"/>
        </w:rPr>
        <w:t xml:space="preserve">(7), 1209-1230. </w:t>
      </w:r>
      <w:hyperlink r:id="rId62" w:tgtFrame="_new" w:history="1">
        <w:r w:rsidRPr="00B81AD0">
          <w:rPr>
            <w:rStyle w:val="Hyperlink"/>
          </w:rPr>
          <w:t>https://doi.org/10.5664/jcsm.7228</w:t>
        </w:r>
      </w:hyperlink>
    </w:p>
    <w:p w14:paraId="15C1F45B" w14:textId="77777777" w:rsidR="008D0444" w:rsidRPr="00B81AD0" w:rsidRDefault="008D0444" w:rsidP="00AE7CA1">
      <w:pPr>
        <w:pStyle w:val="NormalWeb"/>
        <w:spacing w:before="240" w:beforeAutospacing="0" w:after="240" w:afterAutospacing="0"/>
      </w:pPr>
      <w:r w:rsidRPr="00B81AD0">
        <w:rPr>
          <w:color w:val="222222"/>
          <w:shd w:val="clear" w:color="auto" w:fill="FFFFFF"/>
        </w:rPr>
        <w:t>Sulli, G., Rommel, A., Wang, X., Kolar, M. J., Puca, F., Saghatelian, A., ... &amp; Panda, S. (2018). Pharmacological activation of REV-ERBs is lethal in cancer and oncogene-induced senescence. </w:t>
      </w:r>
      <w:r w:rsidRPr="00B81AD0">
        <w:rPr>
          <w:i/>
          <w:iCs/>
          <w:color w:val="222222"/>
          <w:shd w:val="clear" w:color="auto" w:fill="FFFFFF"/>
        </w:rPr>
        <w:t>Nature</w:t>
      </w:r>
      <w:r w:rsidRPr="00B81AD0">
        <w:rPr>
          <w:color w:val="222222"/>
          <w:shd w:val="clear" w:color="auto" w:fill="FFFFFF"/>
        </w:rPr>
        <w:t>, </w:t>
      </w:r>
      <w:r w:rsidRPr="00B81AD0">
        <w:rPr>
          <w:i/>
          <w:iCs/>
          <w:color w:val="222222"/>
          <w:shd w:val="clear" w:color="auto" w:fill="FFFFFF"/>
        </w:rPr>
        <w:t>553</w:t>
      </w:r>
      <w:r w:rsidRPr="00B81AD0">
        <w:rPr>
          <w:color w:val="222222"/>
          <w:shd w:val="clear" w:color="auto" w:fill="FFFFFF"/>
        </w:rPr>
        <w:t xml:space="preserve">(7688), 351-355. </w:t>
      </w:r>
      <w:hyperlink r:id="rId63" w:history="1">
        <w:r w:rsidRPr="00B81AD0">
          <w:rPr>
            <w:rStyle w:val="Hyperlink"/>
          </w:rPr>
          <w:t>https://doi.org/10.1038/nature25170</w:t>
        </w:r>
      </w:hyperlink>
    </w:p>
    <w:p w14:paraId="4CC81595" w14:textId="77777777" w:rsidR="008D0444" w:rsidRPr="00B81AD0" w:rsidRDefault="008D0444" w:rsidP="00AE7CA1">
      <w:pPr>
        <w:pStyle w:val="NormalWeb"/>
        <w:spacing w:before="240" w:beforeAutospacing="0" w:after="240" w:afterAutospacing="0"/>
      </w:pPr>
      <w:r w:rsidRPr="00B81AD0">
        <w:rPr>
          <w:color w:val="222222"/>
          <w:shd w:val="clear" w:color="auto" w:fill="FFFFFF"/>
        </w:rPr>
        <w:t>Takahashi, J. S. (2017). Transcriptional architecture of the mammalian circadian clock. </w:t>
      </w:r>
      <w:r w:rsidRPr="00B81AD0">
        <w:rPr>
          <w:i/>
          <w:iCs/>
          <w:color w:val="222222"/>
          <w:shd w:val="clear" w:color="auto" w:fill="FFFFFF"/>
        </w:rPr>
        <w:t>Nature Reviews Genetics</w:t>
      </w:r>
      <w:r w:rsidRPr="00B81AD0">
        <w:rPr>
          <w:color w:val="222222"/>
          <w:shd w:val="clear" w:color="auto" w:fill="FFFFFF"/>
        </w:rPr>
        <w:t>, </w:t>
      </w:r>
      <w:r w:rsidRPr="00B81AD0">
        <w:rPr>
          <w:i/>
          <w:iCs/>
          <w:color w:val="222222"/>
          <w:shd w:val="clear" w:color="auto" w:fill="FFFFFF"/>
        </w:rPr>
        <w:t>18</w:t>
      </w:r>
      <w:r w:rsidRPr="00B81AD0">
        <w:rPr>
          <w:color w:val="222222"/>
          <w:shd w:val="clear" w:color="auto" w:fill="FFFFFF"/>
        </w:rPr>
        <w:t xml:space="preserve">(3), 164-179. </w:t>
      </w:r>
      <w:hyperlink r:id="rId64" w:history="1">
        <w:r w:rsidRPr="006D4CB4">
          <w:rPr>
            <w:rStyle w:val="Hyperlink"/>
          </w:rPr>
          <w:t>https://doi.org/10.1038/nrg.2016.150</w:t>
        </w:r>
      </w:hyperlink>
      <w:r>
        <w:t xml:space="preserve"> </w:t>
      </w:r>
    </w:p>
    <w:p w14:paraId="32F0DCC1" w14:textId="77777777" w:rsidR="008D0444" w:rsidRPr="00B81AD0" w:rsidRDefault="008D0444" w:rsidP="00AE7CA1">
      <w:pPr>
        <w:pStyle w:val="NormalWeb"/>
        <w:spacing w:before="240" w:beforeAutospacing="0" w:after="240" w:afterAutospacing="0"/>
      </w:pPr>
      <w:r w:rsidRPr="00B81AD0">
        <w:rPr>
          <w:color w:val="222222"/>
          <w:shd w:val="clear" w:color="auto" w:fill="FFFFFF"/>
        </w:rPr>
        <w:t>Wittenbrink, N., Ananthasubramaniam, B., Münch, M., Koller, B., Maier, B., Weschke, C., ... &amp; Kramer, A. (2018). High-accuracy determination of internal circadian time from a single blood sample. </w:t>
      </w:r>
      <w:r w:rsidRPr="00B81AD0">
        <w:rPr>
          <w:i/>
          <w:iCs/>
          <w:color w:val="222222"/>
          <w:shd w:val="clear" w:color="auto" w:fill="FFFFFF"/>
        </w:rPr>
        <w:t>The Journal of clinical investigation</w:t>
      </w:r>
      <w:r w:rsidRPr="00B81AD0">
        <w:rPr>
          <w:color w:val="222222"/>
          <w:shd w:val="clear" w:color="auto" w:fill="FFFFFF"/>
        </w:rPr>
        <w:t>, </w:t>
      </w:r>
      <w:r w:rsidRPr="00B81AD0">
        <w:rPr>
          <w:i/>
          <w:iCs/>
          <w:color w:val="222222"/>
          <w:shd w:val="clear" w:color="auto" w:fill="FFFFFF"/>
        </w:rPr>
        <w:t>128</w:t>
      </w:r>
      <w:r w:rsidRPr="00B81AD0">
        <w:rPr>
          <w:color w:val="222222"/>
          <w:shd w:val="clear" w:color="auto" w:fill="FFFFFF"/>
        </w:rPr>
        <w:t xml:space="preserve">(9), 3826-3839. </w:t>
      </w:r>
      <w:hyperlink r:id="rId65" w:history="1">
        <w:r w:rsidRPr="006D4CB4">
          <w:rPr>
            <w:rStyle w:val="Hyperlink"/>
          </w:rPr>
          <w:t>https://doi.org/10.1172/JCI120874</w:t>
        </w:r>
      </w:hyperlink>
      <w:r>
        <w:t xml:space="preserve"> </w:t>
      </w:r>
    </w:p>
    <w:p w14:paraId="5D51B9F8" w14:textId="77777777" w:rsidR="008D0444" w:rsidRPr="008D0444" w:rsidRDefault="008D0444" w:rsidP="00AE7CA1">
      <w:pPr>
        <w:spacing w:before="240" w:after="240" w:line="240" w:lineRule="auto"/>
        <w:ind w:left="0" w:firstLine="0"/>
        <w:rPr>
          <w:color w:val="auto"/>
          <w:kern w:val="0"/>
          <w:lang w:val="en-US" w:eastAsia="en-US"/>
        </w:rPr>
      </w:pPr>
      <w:r w:rsidRPr="008D0444">
        <w:rPr>
          <w:color w:val="222222"/>
          <w:shd w:val="clear" w:color="auto" w:fill="FFFFFF"/>
        </w:rPr>
        <w:t>Ye, R., Yang, X., Zhang, X., Zuo, X., Li, Y., Jia, S., ... &amp; Chen, X. (2025). Morning vs bedtime dosing and nocturnal blood pressure reduction in patients with hypertension: the OMAN randomized clinical trial. </w:t>
      </w:r>
      <w:r w:rsidRPr="008D0444">
        <w:rPr>
          <w:i/>
          <w:iCs/>
          <w:color w:val="222222"/>
          <w:shd w:val="clear" w:color="auto" w:fill="FFFFFF"/>
        </w:rPr>
        <w:t>JAMA Network Open</w:t>
      </w:r>
      <w:r w:rsidRPr="008D0444">
        <w:rPr>
          <w:color w:val="222222"/>
          <w:shd w:val="clear" w:color="auto" w:fill="FFFFFF"/>
        </w:rPr>
        <w:t>, </w:t>
      </w:r>
      <w:r w:rsidRPr="008D0444">
        <w:rPr>
          <w:i/>
          <w:iCs/>
          <w:color w:val="222222"/>
          <w:shd w:val="clear" w:color="auto" w:fill="FFFFFF"/>
        </w:rPr>
        <w:t>8</w:t>
      </w:r>
      <w:r w:rsidRPr="008D0444">
        <w:rPr>
          <w:color w:val="222222"/>
          <w:shd w:val="clear" w:color="auto" w:fill="FFFFFF"/>
        </w:rPr>
        <w:t xml:space="preserve">(7), e2519354. </w:t>
      </w:r>
      <w:hyperlink r:id="rId66" w:history="1">
        <w:r w:rsidRPr="008D0444">
          <w:rPr>
            <w:rStyle w:val="Hyperlink"/>
            <w:kern w:val="0"/>
            <w:lang w:val="en-US" w:eastAsia="en-US"/>
          </w:rPr>
          <w:t>https://doi.org/10.1001/jamanetworkopen.2025.19354</w:t>
        </w:r>
      </w:hyperlink>
      <w:r w:rsidRPr="008D0444">
        <w:rPr>
          <w:color w:val="auto"/>
          <w:kern w:val="0"/>
          <w:lang w:val="en-US" w:eastAsia="en-US"/>
        </w:rPr>
        <w:t xml:space="preserve"> </w:t>
      </w:r>
    </w:p>
    <w:p w14:paraId="2358417A" w14:textId="77777777" w:rsidR="008D0444" w:rsidRPr="00B81AD0" w:rsidRDefault="008D0444" w:rsidP="00AE7CA1">
      <w:pPr>
        <w:pStyle w:val="NormalWeb"/>
        <w:spacing w:before="240" w:beforeAutospacing="0" w:after="240" w:afterAutospacing="0"/>
      </w:pPr>
      <w:r w:rsidRPr="00B81AD0">
        <w:rPr>
          <w:color w:val="222222"/>
          <w:shd w:val="clear" w:color="auto" w:fill="FFFFFF"/>
        </w:rPr>
        <w:t xml:space="preserve">Zhang, R., Lahens, N. F., Ballance, H. I., Hughes, M. E., &amp; Hogenesch, J. B. (2014). A circadian gene expression atlas in mammals: implications for biology and </w:t>
      </w:r>
      <w:r w:rsidRPr="00B81AD0">
        <w:rPr>
          <w:color w:val="222222"/>
          <w:shd w:val="clear" w:color="auto" w:fill="FFFFFF"/>
        </w:rPr>
        <w:lastRenderedPageBreak/>
        <w:t>medicine. </w:t>
      </w:r>
      <w:r w:rsidRPr="00B81AD0">
        <w:rPr>
          <w:i/>
          <w:iCs/>
          <w:color w:val="222222"/>
          <w:shd w:val="clear" w:color="auto" w:fill="FFFFFF"/>
        </w:rPr>
        <w:t>Proceedings of the National Academy of Sciences</w:t>
      </w:r>
      <w:r w:rsidRPr="00B81AD0">
        <w:rPr>
          <w:color w:val="222222"/>
          <w:shd w:val="clear" w:color="auto" w:fill="FFFFFF"/>
        </w:rPr>
        <w:t>, </w:t>
      </w:r>
      <w:r w:rsidRPr="00B81AD0">
        <w:rPr>
          <w:i/>
          <w:iCs/>
          <w:color w:val="222222"/>
          <w:shd w:val="clear" w:color="auto" w:fill="FFFFFF"/>
        </w:rPr>
        <w:t>111</w:t>
      </w:r>
      <w:r w:rsidRPr="00B81AD0">
        <w:rPr>
          <w:color w:val="222222"/>
          <w:shd w:val="clear" w:color="auto" w:fill="FFFFFF"/>
        </w:rPr>
        <w:t xml:space="preserve">(45), 16219-16224. </w:t>
      </w:r>
      <w:hyperlink r:id="rId67" w:history="1">
        <w:r w:rsidRPr="006D4CB4">
          <w:rPr>
            <w:rStyle w:val="Hyperlink"/>
          </w:rPr>
          <w:t>https://doi.org/10.1073/pnas.1408886111</w:t>
        </w:r>
      </w:hyperlink>
      <w:r>
        <w:t xml:space="preserve"> </w:t>
      </w:r>
    </w:p>
    <w:p w14:paraId="0BD4ABC2" w14:textId="77777777" w:rsidR="008D0444" w:rsidRPr="00B81AD0" w:rsidRDefault="008D0444" w:rsidP="00AE7CA1">
      <w:pPr>
        <w:pStyle w:val="NormalWeb"/>
        <w:spacing w:before="240" w:beforeAutospacing="0" w:after="240" w:afterAutospacing="0"/>
      </w:pPr>
      <w:r w:rsidRPr="00B81AD0">
        <w:rPr>
          <w:color w:val="222222"/>
          <w:shd w:val="clear" w:color="auto" w:fill="FFFFFF"/>
        </w:rPr>
        <w:t>Zhang, Y. K. J., Yeager, R. L., &amp; Klaassen, C. D. (2009). Circadian expression profiles of drug-processing genes and transcription factors in mouse liver. </w:t>
      </w:r>
      <w:r w:rsidRPr="00B81AD0">
        <w:rPr>
          <w:i/>
          <w:iCs/>
          <w:color w:val="222222"/>
          <w:shd w:val="clear" w:color="auto" w:fill="FFFFFF"/>
        </w:rPr>
        <w:t>Drug Metabolism and Disposition</w:t>
      </w:r>
      <w:r w:rsidRPr="00B81AD0">
        <w:rPr>
          <w:color w:val="222222"/>
          <w:shd w:val="clear" w:color="auto" w:fill="FFFFFF"/>
        </w:rPr>
        <w:t>, </w:t>
      </w:r>
      <w:r w:rsidRPr="00B81AD0">
        <w:rPr>
          <w:i/>
          <w:iCs/>
          <w:color w:val="222222"/>
          <w:shd w:val="clear" w:color="auto" w:fill="FFFFFF"/>
        </w:rPr>
        <w:t>37</w:t>
      </w:r>
      <w:r w:rsidRPr="00B81AD0">
        <w:rPr>
          <w:color w:val="222222"/>
          <w:shd w:val="clear" w:color="auto" w:fill="FFFFFF"/>
        </w:rPr>
        <w:t xml:space="preserve">(1), 106-115. </w:t>
      </w:r>
      <w:hyperlink r:id="rId68" w:history="1">
        <w:r w:rsidRPr="006D4CB4">
          <w:rPr>
            <w:rStyle w:val="Hyperlink"/>
          </w:rPr>
          <w:t>https://doi.org/10.1124/dmd.108.024174</w:t>
        </w:r>
      </w:hyperlink>
      <w:r>
        <w:t xml:space="preserve"> </w:t>
      </w:r>
    </w:p>
    <w:p w14:paraId="78CDDB0F" w14:textId="77777777" w:rsidR="00317E7E" w:rsidRPr="000E33DE" w:rsidRDefault="00317E7E" w:rsidP="000E33DE"/>
    <w:sectPr w:rsidR="00317E7E" w:rsidRPr="000E33DE" w:rsidSect="00CB6EB6">
      <w:headerReference w:type="even" r:id="rId69"/>
      <w:headerReference w:type="default" r:id="rId70"/>
      <w:footerReference w:type="even" r:id="rId71"/>
      <w:footerReference w:type="default" r:id="rId72"/>
      <w:headerReference w:type="first" r:id="rId73"/>
      <w:footerReference w:type="firs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FE03" w14:textId="77777777" w:rsidR="00B26D03" w:rsidRDefault="00B26D03" w:rsidP="0084420F">
      <w:pPr>
        <w:spacing w:after="0" w:line="240" w:lineRule="auto"/>
      </w:pPr>
      <w:r>
        <w:separator/>
      </w:r>
    </w:p>
  </w:endnote>
  <w:endnote w:type="continuationSeparator" w:id="0">
    <w:p w14:paraId="7E58568A" w14:textId="77777777" w:rsidR="00B26D03" w:rsidRDefault="00B26D03" w:rsidP="0084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780C" w14:textId="77777777" w:rsidR="0084420F" w:rsidRDefault="0084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2181" w14:textId="77777777" w:rsidR="0084420F" w:rsidRDefault="00844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8470E" w14:textId="77777777" w:rsidR="0084420F" w:rsidRDefault="00844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9F381" w14:textId="77777777" w:rsidR="00B26D03" w:rsidRDefault="00B26D03" w:rsidP="0084420F">
      <w:pPr>
        <w:spacing w:after="0" w:line="240" w:lineRule="auto"/>
      </w:pPr>
      <w:r>
        <w:separator/>
      </w:r>
    </w:p>
  </w:footnote>
  <w:footnote w:type="continuationSeparator" w:id="0">
    <w:p w14:paraId="4A19BE18" w14:textId="77777777" w:rsidR="00B26D03" w:rsidRDefault="00B26D03" w:rsidP="00844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01DE" w14:textId="5DCE3E23" w:rsidR="0084420F" w:rsidRDefault="0084420F">
    <w:pPr>
      <w:pStyle w:val="Header"/>
    </w:pPr>
    <w:r>
      <w:rPr>
        <w:noProof/>
      </w:rPr>
      <w:pict w14:anchorId="3E910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B674" w14:textId="08EB8911" w:rsidR="0084420F" w:rsidRDefault="0084420F">
    <w:pPr>
      <w:pStyle w:val="Header"/>
    </w:pPr>
    <w:r>
      <w:rPr>
        <w:noProof/>
      </w:rPr>
      <w:pict w14:anchorId="06B5D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7249" w14:textId="20DF5A19" w:rsidR="0084420F" w:rsidRDefault="0084420F">
    <w:pPr>
      <w:pStyle w:val="Header"/>
    </w:pPr>
    <w:r>
      <w:rPr>
        <w:noProof/>
      </w:rPr>
      <w:pict w14:anchorId="10297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2042D"/>
    <w:rsid w:val="002216D7"/>
    <w:rsid w:val="002312EA"/>
    <w:rsid w:val="0024324D"/>
    <w:rsid w:val="00246BC3"/>
    <w:rsid w:val="00257AC1"/>
    <w:rsid w:val="00260455"/>
    <w:rsid w:val="00260B1D"/>
    <w:rsid w:val="002673C8"/>
    <w:rsid w:val="00267B17"/>
    <w:rsid w:val="00271A26"/>
    <w:rsid w:val="002778DD"/>
    <w:rsid w:val="00284F1F"/>
    <w:rsid w:val="0029252A"/>
    <w:rsid w:val="00294D81"/>
    <w:rsid w:val="002A01F2"/>
    <w:rsid w:val="002A4C47"/>
    <w:rsid w:val="002B76E6"/>
    <w:rsid w:val="002C0DF9"/>
    <w:rsid w:val="002C48BB"/>
    <w:rsid w:val="002D0FD7"/>
    <w:rsid w:val="002D6FFA"/>
    <w:rsid w:val="002E0776"/>
    <w:rsid w:val="002E404D"/>
    <w:rsid w:val="002F0434"/>
    <w:rsid w:val="002F3625"/>
    <w:rsid w:val="002F3AC7"/>
    <w:rsid w:val="002F4C0C"/>
    <w:rsid w:val="00307595"/>
    <w:rsid w:val="0031286E"/>
    <w:rsid w:val="003160FA"/>
    <w:rsid w:val="00316D75"/>
    <w:rsid w:val="00317E7E"/>
    <w:rsid w:val="00324164"/>
    <w:rsid w:val="00332243"/>
    <w:rsid w:val="0033735F"/>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D7170"/>
    <w:rsid w:val="004E1999"/>
    <w:rsid w:val="004E7311"/>
    <w:rsid w:val="004F07D5"/>
    <w:rsid w:val="004F2BB5"/>
    <w:rsid w:val="004F5E1D"/>
    <w:rsid w:val="004F7DFC"/>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E9E"/>
    <w:rsid w:val="00786C67"/>
    <w:rsid w:val="00796571"/>
    <w:rsid w:val="007A25E7"/>
    <w:rsid w:val="007A5BAB"/>
    <w:rsid w:val="007B0E74"/>
    <w:rsid w:val="007B437D"/>
    <w:rsid w:val="007C5F8A"/>
    <w:rsid w:val="007C7951"/>
    <w:rsid w:val="007D03BC"/>
    <w:rsid w:val="007D38FC"/>
    <w:rsid w:val="007D6740"/>
    <w:rsid w:val="007E249F"/>
    <w:rsid w:val="007F1928"/>
    <w:rsid w:val="008017C0"/>
    <w:rsid w:val="00804929"/>
    <w:rsid w:val="008107F6"/>
    <w:rsid w:val="00812006"/>
    <w:rsid w:val="008132DB"/>
    <w:rsid w:val="00820C75"/>
    <w:rsid w:val="00831623"/>
    <w:rsid w:val="0083179B"/>
    <w:rsid w:val="008374C4"/>
    <w:rsid w:val="008426E2"/>
    <w:rsid w:val="0084420F"/>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D0444"/>
    <w:rsid w:val="008E71C6"/>
    <w:rsid w:val="008F3850"/>
    <w:rsid w:val="00904403"/>
    <w:rsid w:val="00916DED"/>
    <w:rsid w:val="00921557"/>
    <w:rsid w:val="00925CAF"/>
    <w:rsid w:val="00926AE1"/>
    <w:rsid w:val="009302A6"/>
    <w:rsid w:val="00935182"/>
    <w:rsid w:val="00944906"/>
    <w:rsid w:val="00951A3D"/>
    <w:rsid w:val="009536DC"/>
    <w:rsid w:val="009551E6"/>
    <w:rsid w:val="00960579"/>
    <w:rsid w:val="00975E52"/>
    <w:rsid w:val="009851F5"/>
    <w:rsid w:val="009903E9"/>
    <w:rsid w:val="009918F3"/>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1605B"/>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72C19"/>
    <w:rsid w:val="00A8506E"/>
    <w:rsid w:val="00A94050"/>
    <w:rsid w:val="00A95D31"/>
    <w:rsid w:val="00A97AEF"/>
    <w:rsid w:val="00AA06F7"/>
    <w:rsid w:val="00AA2B64"/>
    <w:rsid w:val="00AA4644"/>
    <w:rsid w:val="00AA4B35"/>
    <w:rsid w:val="00AB0C7A"/>
    <w:rsid w:val="00AB1103"/>
    <w:rsid w:val="00AD7B8B"/>
    <w:rsid w:val="00AE13A7"/>
    <w:rsid w:val="00AE651D"/>
    <w:rsid w:val="00AE79C2"/>
    <w:rsid w:val="00AE7CA1"/>
    <w:rsid w:val="00AF279A"/>
    <w:rsid w:val="00AF7425"/>
    <w:rsid w:val="00B06888"/>
    <w:rsid w:val="00B1065D"/>
    <w:rsid w:val="00B26D03"/>
    <w:rsid w:val="00B451DB"/>
    <w:rsid w:val="00B567DD"/>
    <w:rsid w:val="00B6043D"/>
    <w:rsid w:val="00B74506"/>
    <w:rsid w:val="00B81562"/>
    <w:rsid w:val="00B84C19"/>
    <w:rsid w:val="00B928B4"/>
    <w:rsid w:val="00BA3C57"/>
    <w:rsid w:val="00BB0BE1"/>
    <w:rsid w:val="00BB4C3B"/>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50CE"/>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66880"/>
    <w:rsid w:val="00D71250"/>
    <w:rsid w:val="00D75C9D"/>
    <w:rsid w:val="00D879A1"/>
    <w:rsid w:val="00D90471"/>
    <w:rsid w:val="00D9293B"/>
    <w:rsid w:val="00D95D20"/>
    <w:rsid w:val="00DA02EE"/>
    <w:rsid w:val="00DA3203"/>
    <w:rsid w:val="00DB7756"/>
    <w:rsid w:val="00DC3E34"/>
    <w:rsid w:val="00DC5FB9"/>
    <w:rsid w:val="00DC6BC2"/>
    <w:rsid w:val="00DC6E1F"/>
    <w:rsid w:val="00DC74C9"/>
    <w:rsid w:val="00DD02B6"/>
    <w:rsid w:val="00DD451C"/>
    <w:rsid w:val="00DD62DF"/>
    <w:rsid w:val="00DE0A9F"/>
    <w:rsid w:val="00DE544F"/>
    <w:rsid w:val="00DF20BB"/>
    <w:rsid w:val="00DF5AB4"/>
    <w:rsid w:val="00DF6AF0"/>
    <w:rsid w:val="00E125DA"/>
    <w:rsid w:val="00E16C81"/>
    <w:rsid w:val="00E20962"/>
    <w:rsid w:val="00E22310"/>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A82D21"/>
  <w15:docId w15:val="{73CB0F8E-D6AC-4EA1-A36A-9B2AFB88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844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20F"/>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844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20F"/>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00/JCO.2006.06.1440" TargetMode="External"/><Relationship Id="rId21" Type="http://schemas.openxmlformats.org/officeDocument/2006/relationships/hyperlink" Target="https://doi.org/10.1016/j.molmed.2016.03.004" TargetMode="External"/><Relationship Id="rId42" Type="http://schemas.openxmlformats.org/officeDocument/2006/relationships/hyperlink" Target="https://doi.org/10.1016/S0140-6736(22)01786-X" TargetMode="External"/><Relationship Id="rId47" Type="http://schemas.openxmlformats.org/officeDocument/2006/relationships/hyperlink" Target="https://doi.org/10.1146/annurev-neuro-060909-153128" TargetMode="External"/><Relationship Id="rId63" Type="http://schemas.openxmlformats.org/officeDocument/2006/relationships/hyperlink" Target="https://doi.org/10.1038/nature25170" TargetMode="External"/><Relationship Id="rId68" Type="http://schemas.openxmlformats.org/officeDocument/2006/relationships/hyperlink" Target="https://doi.org/10.1124/dmd.108.024174" TargetMode="External"/><Relationship Id="rId2" Type="http://schemas.openxmlformats.org/officeDocument/2006/relationships/numbering" Target="numbering.xml"/><Relationship Id="rId16" Type="http://schemas.openxmlformats.org/officeDocument/2006/relationships/hyperlink" Target="https://doi.org/10.1016/j.cmet.2019.06.019" TargetMode="External"/><Relationship Id="rId29" Type="http://schemas.openxmlformats.org/officeDocument/2006/relationships/hyperlink" Target="https://doi.org/10.1016/j.jhep.2018.02.024" TargetMode="External"/><Relationship Id="rId11" Type="http://schemas.openxmlformats.org/officeDocument/2006/relationships/hyperlink" Target="https://doi.org/10.1126/science.aah4965" TargetMode="External"/><Relationship Id="rId24" Type="http://schemas.openxmlformats.org/officeDocument/2006/relationships/hyperlink" Target="https://doi.org/10.1126/science.aaa2285" TargetMode="External"/><Relationship Id="rId32" Type="http://schemas.openxmlformats.org/officeDocument/2006/relationships/hyperlink" Target="https://doi.org/10.1161/HYPERTENSIONAHA.122.19372" TargetMode="External"/><Relationship Id="rId37" Type="http://schemas.openxmlformats.org/officeDocument/2006/relationships/hyperlink" Target="https://doi.org/10.1016/j.esmoop.2023.102220" TargetMode="External"/><Relationship Id="rId40" Type="http://schemas.openxmlformats.org/officeDocument/2006/relationships/hyperlink" Target="https://doi.org/10.1016/j.vaccine.2016.04.032" TargetMode="External"/><Relationship Id="rId45" Type="http://schemas.openxmlformats.org/officeDocument/2006/relationships/hyperlink" Target="https://doi.org/10.1124/mol.111.076406" TargetMode="External"/><Relationship Id="rId53" Type="http://schemas.openxmlformats.org/officeDocument/2006/relationships/hyperlink" Target="https://doi.org/10.1038/s41580-018-0096-9" TargetMode="External"/><Relationship Id="rId58" Type="http://schemas.openxmlformats.org/officeDocument/2006/relationships/hyperlink" Target="https://doi.org/10.1016/j.febslet.2010.03.017" TargetMode="External"/><Relationship Id="rId66" Type="http://schemas.openxmlformats.org/officeDocument/2006/relationships/hyperlink" Target="https://doi.org/10.1001/jamanetworkopen.2025.19354"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1136/bmj.c332" TargetMode="External"/><Relationship Id="rId19" Type="http://schemas.openxmlformats.org/officeDocument/2006/relationships/hyperlink" Target="https://doi.org/10.1016/j.sleep.2015.11.019" TargetMode="External"/><Relationship Id="rId14" Type="http://schemas.openxmlformats.org/officeDocument/2006/relationships/hyperlink" Target="https://doi.org/10.1038/s41746-019-0147-4" TargetMode="External"/><Relationship Id="rId22" Type="http://schemas.openxmlformats.org/officeDocument/2006/relationships/hyperlink" Target="https://doi.org/10.1146/annurev-physiol-021909-135821" TargetMode="External"/><Relationship Id="rId27" Type="http://schemas.openxmlformats.org/officeDocument/2006/relationships/hyperlink" Target="https://doi.org/10.1093/annonc/mds148" TargetMode="External"/><Relationship Id="rId30" Type="http://schemas.openxmlformats.org/officeDocument/2006/relationships/hyperlink" Target="https://doi.org/10.1016/j.cmet.2006.06.002" TargetMode="External"/><Relationship Id="rId35" Type="http://schemas.openxmlformats.org/officeDocument/2006/relationships/hyperlink" Target="https://doi.org/10.1126/science.1226339" TargetMode="External"/><Relationship Id="rId43" Type="http://schemas.openxmlformats.org/officeDocument/2006/relationships/hyperlink" Target="https://doi.org/10.1378/chest.10-1872" TargetMode="External"/><Relationship Id="rId48" Type="http://schemas.openxmlformats.org/officeDocument/2006/relationships/hyperlink" Target="https://doi.org/10.3109/07420528.2011.597531" TargetMode="External"/><Relationship Id="rId56" Type="http://schemas.openxmlformats.org/officeDocument/2006/relationships/hyperlink" Target="https://doi.org/10.1126/scitranslmed.aat8806" TargetMode="External"/><Relationship Id="rId64" Type="http://schemas.openxmlformats.org/officeDocument/2006/relationships/hyperlink" Target="https://doi.org/10.1038/nrg.2016.150" TargetMode="External"/><Relationship Id="rId69" Type="http://schemas.openxmlformats.org/officeDocument/2006/relationships/header" Target="header1.xml"/><Relationship Id="rId8" Type="http://schemas.openxmlformats.org/officeDocument/2006/relationships/hyperlink" Target="https://doi.org/10.1016/j.cell.2015.03.015" TargetMode="External"/><Relationship Id="rId51" Type="http://schemas.openxmlformats.org/officeDocument/2006/relationships/hyperlink" Target="https://doi.org/10.1136/jitc-2023-008011"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1111/bph.15017" TargetMode="External"/><Relationship Id="rId17" Type="http://schemas.openxmlformats.org/officeDocument/2006/relationships/hyperlink" Target="https://doi.org/10.7326/0003-4819-158-3-201302050-00583" TargetMode="External"/><Relationship Id="rId25" Type="http://schemas.openxmlformats.org/officeDocument/2006/relationships/hyperlink" Target="https://doi.org/10.1093/oncolo/oyae197" TargetMode="External"/><Relationship Id="rId33" Type="http://schemas.openxmlformats.org/officeDocument/2006/relationships/hyperlink" Target="https://doi.org/10.3109/07420528.2010.510230" TargetMode="External"/><Relationship Id="rId38" Type="http://schemas.openxmlformats.org/officeDocument/2006/relationships/hyperlink" Target="https://doi.org/10.1038/s41569-022-00801-x" TargetMode="External"/><Relationship Id="rId46" Type="http://schemas.openxmlformats.org/officeDocument/2006/relationships/hyperlink" Target="https://doi.org/10.1016/j.tips.2010.03.003" TargetMode="External"/><Relationship Id="rId59" Type="http://schemas.openxmlformats.org/officeDocument/2006/relationships/hyperlink" Target="https://doi.org/10.1073/pnas.0808180106" TargetMode="External"/><Relationship Id="rId67" Type="http://schemas.openxmlformats.org/officeDocument/2006/relationships/hyperlink" Target="https://doi.org/10.1073/pnas.1408886111" TargetMode="External"/><Relationship Id="rId20" Type="http://schemas.openxmlformats.org/officeDocument/2006/relationships/hyperlink" Target="https://doi.org/10.1146/annurev-pharmtox-011613-135923" TargetMode="External"/><Relationship Id="rId41" Type="http://schemas.openxmlformats.org/officeDocument/2006/relationships/hyperlink" Target="https://doi.org/10.1124/dmd.120.090472" TargetMode="External"/><Relationship Id="rId54" Type="http://schemas.openxmlformats.org/officeDocument/2006/relationships/hyperlink" Target="https://doi.org/10.1016/j.cmet.2016.10.004" TargetMode="External"/><Relationship Id="rId62" Type="http://schemas.openxmlformats.org/officeDocument/2006/relationships/hyperlink" Target="https://doi.org/10.5664/jcsm.7228"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S0140-6736(08)60132-4" TargetMode="External"/><Relationship Id="rId23" Type="http://schemas.openxmlformats.org/officeDocument/2006/relationships/hyperlink" Target="https://doi.org/10.1152/physrev.00016.2012" TargetMode="External"/><Relationship Id="rId28" Type="http://schemas.openxmlformats.org/officeDocument/2006/relationships/hyperlink" Target="https://doi.org/10.1016/j.cmet.2015.09.005" TargetMode="External"/><Relationship Id="rId36" Type="http://schemas.openxmlformats.org/officeDocument/2006/relationships/hyperlink" Target="https://doi.org/10.1016/j.esmoop.2023.102220" TargetMode="External"/><Relationship Id="rId49" Type="http://schemas.openxmlformats.org/officeDocument/2006/relationships/hyperlink" Target="https://doi.org/10.1126/science.aah4967" TargetMode="External"/><Relationship Id="rId57" Type="http://schemas.openxmlformats.org/officeDocument/2006/relationships/hyperlink" Target="https://doi.org/10.1016/S0140-6736(22)01900-6" TargetMode="External"/><Relationship Id="rId10" Type="http://schemas.openxmlformats.org/officeDocument/2006/relationships/hyperlink" Target="https://doi.org/10.1124/pr.116.013441" TargetMode="External"/><Relationship Id="rId31" Type="http://schemas.openxmlformats.org/officeDocument/2006/relationships/hyperlink" Target="https://doi.org/10.1097/MCP.0b013e32834d098e" TargetMode="External"/><Relationship Id="rId44" Type="http://schemas.openxmlformats.org/officeDocument/2006/relationships/hyperlink" Target="https://doi.org/10.1016/j.ceb.2013.07.013" TargetMode="External"/><Relationship Id="rId52" Type="http://schemas.openxmlformats.org/officeDocument/2006/relationships/hyperlink" Target="https://doi.org/10.1016/j.metabol.2017.11.017" TargetMode="External"/><Relationship Id="rId60" Type="http://schemas.openxmlformats.org/officeDocument/2006/relationships/hyperlink" Target="https://doi.org/10.1038/s41577-018-0008-4" TargetMode="External"/><Relationship Id="rId65" Type="http://schemas.openxmlformats.org/officeDocument/2006/relationships/hyperlink" Target="https://doi.org/10.1172/JCI120874"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jacl.2017.06.001" TargetMode="External"/><Relationship Id="rId13" Type="http://schemas.openxmlformats.org/officeDocument/2006/relationships/hyperlink" Target="https://doi.org/10.1161/HYPERTENSIONAHA.114.04980" TargetMode="External"/><Relationship Id="rId18" Type="http://schemas.openxmlformats.org/officeDocument/2006/relationships/hyperlink" Target="https://doi.org/10.1136/bmj.e7586" TargetMode="External"/><Relationship Id="rId39" Type="http://schemas.openxmlformats.org/officeDocument/2006/relationships/hyperlink" Target="https://doi.org/10.1038/s42003-019-0607-z" TargetMode="External"/><Relationship Id="rId34" Type="http://schemas.openxmlformats.org/officeDocument/2006/relationships/hyperlink" Target="https://doi.org/10.1210/jc.2011-1926" TargetMode="External"/><Relationship Id="rId50" Type="http://schemas.openxmlformats.org/officeDocument/2006/relationships/hyperlink" Target="https://doi.org/10.1186/s40885-023-00249-2" TargetMode="External"/><Relationship Id="rId55" Type="http://schemas.openxmlformats.org/officeDocument/2006/relationships/hyperlink" Target="https://doi.org/10.1016/j.ejca.2023.01.007"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6122F-0532-49BE-B872-AFD659FA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9919</TotalTime>
  <Pages>27</Pages>
  <Words>13423</Words>
  <Characters>76516</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119</cp:revision>
  <cp:lastPrinted>2025-12-13T07:14:00Z</cp:lastPrinted>
  <dcterms:created xsi:type="dcterms:W3CDTF">2025-09-24T12:44:00Z</dcterms:created>
  <dcterms:modified xsi:type="dcterms:W3CDTF">2026-02-14T08:04:00Z</dcterms:modified>
</cp:coreProperties>
</file>