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62932" w14:textId="77777777" w:rsidR="00100C0E" w:rsidRDefault="00100C0E" w:rsidP="00403E23">
      <w:pPr>
        <w:spacing w:line="240" w:lineRule="auto"/>
        <w:jc w:val="both"/>
        <w:rPr>
          <w:rFonts w:ascii="Times New Roman" w:hAnsi="Times New Roman" w:cs="Times New Roman"/>
          <w:b/>
          <w:bCs/>
        </w:rPr>
      </w:pPr>
      <w:r w:rsidRPr="00100C0E">
        <w:rPr>
          <w:rFonts w:ascii="Times New Roman" w:hAnsi="Times New Roman" w:cs="Times New Roman"/>
          <w:b/>
          <w:bCs/>
        </w:rPr>
        <w:t xml:space="preserve">Review Article </w:t>
      </w:r>
    </w:p>
    <w:p w14:paraId="5CA7B112" w14:textId="77777777" w:rsidR="00100C0E" w:rsidRDefault="00100C0E" w:rsidP="00403E23">
      <w:pPr>
        <w:spacing w:line="240" w:lineRule="auto"/>
        <w:jc w:val="both"/>
        <w:rPr>
          <w:rFonts w:ascii="Times New Roman" w:hAnsi="Times New Roman" w:cs="Times New Roman"/>
          <w:b/>
          <w:bCs/>
        </w:rPr>
      </w:pPr>
    </w:p>
    <w:p w14:paraId="7AC66069" w14:textId="6D9733B6" w:rsidR="00E60793" w:rsidRPr="00403E23" w:rsidRDefault="00E60793" w:rsidP="00403E23">
      <w:pPr>
        <w:spacing w:line="240" w:lineRule="auto"/>
        <w:jc w:val="both"/>
        <w:rPr>
          <w:rFonts w:ascii="Times New Roman" w:hAnsi="Times New Roman" w:cs="Times New Roman"/>
          <w:b/>
          <w:bCs/>
        </w:rPr>
      </w:pPr>
      <w:r w:rsidRPr="00403E23">
        <w:rPr>
          <w:rFonts w:ascii="Times New Roman" w:hAnsi="Times New Roman" w:cs="Times New Roman"/>
          <w:b/>
          <w:bCs/>
        </w:rPr>
        <w:t>Unlocking opportunities in horticultural value chains in India: challenges, innovations and strategic interventions</w:t>
      </w:r>
    </w:p>
    <w:p w14:paraId="4820AE7F" w14:textId="77777777" w:rsidR="00A7757C" w:rsidRDefault="00A7757C" w:rsidP="00403E23">
      <w:pPr>
        <w:spacing w:line="240" w:lineRule="auto"/>
        <w:jc w:val="both"/>
        <w:rPr>
          <w:rFonts w:ascii="Times New Roman" w:hAnsi="Times New Roman" w:cs="Times New Roman"/>
          <w:b/>
          <w:bCs/>
        </w:rPr>
      </w:pPr>
    </w:p>
    <w:p w14:paraId="6EAC0E8C" w14:textId="1F24215D" w:rsidR="00EA7246" w:rsidRPr="00403E23" w:rsidRDefault="00EA7246" w:rsidP="00403E23">
      <w:pPr>
        <w:spacing w:line="240" w:lineRule="auto"/>
        <w:jc w:val="both"/>
        <w:rPr>
          <w:rFonts w:ascii="Times New Roman" w:hAnsi="Times New Roman" w:cs="Times New Roman"/>
        </w:rPr>
      </w:pPr>
      <w:r w:rsidRPr="00403E23">
        <w:rPr>
          <w:rFonts w:ascii="Times New Roman" w:hAnsi="Times New Roman" w:cs="Times New Roman"/>
          <w:b/>
          <w:bCs/>
        </w:rPr>
        <w:t>A</w:t>
      </w:r>
      <w:r w:rsidR="00E146A5" w:rsidRPr="00403E23">
        <w:rPr>
          <w:rFonts w:ascii="Times New Roman" w:hAnsi="Times New Roman" w:cs="Times New Roman"/>
          <w:b/>
          <w:bCs/>
        </w:rPr>
        <w:t>BSTRACT</w:t>
      </w:r>
    </w:p>
    <w:p w14:paraId="367032E6" w14:textId="77777777" w:rsidR="002029F5" w:rsidRPr="00403E23" w:rsidRDefault="002029F5" w:rsidP="00403E23">
      <w:pPr>
        <w:spacing w:line="240" w:lineRule="auto"/>
        <w:jc w:val="both"/>
        <w:rPr>
          <w:rFonts w:ascii="Times New Roman" w:hAnsi="Times New Roman" w:cs="Times New Roman"/>
        </w:rPr>
      </w:pPr>
      <w:r w:rsidRPr="00403E23">
        <w:rPr>
          <w:rFonts w:ascii="Times New Roman" w:hAnsi="Times New Roman" w:cs="Times New Roman"/>
        </w:rPr>
        <w:t xml:space="preserve">Horticulture has emerged as one of the most dynamic segments of Indian agriculture, contributing significantly to income generation, employment and nutritional security; however, the potential of the sector remains underutilized due to persistent inefficiencies across horticultural value chains. The present study critically </w:t>
      </w:r>
      <w:proofErr w:type="spellStart"/>
      <w:r w:rsidRPr="00403E23">
        <w:rPr>
          <w:rFonts w:ascii="Times New Roman" w:hAnsi="Times New Roman" w:cs="Times New Roman"/>
        </w:rPr>
        <w:t>analyzes</w:t>
      </w:r>
      <w:proofErr w:type="spellEnd"/>
      <w:r w:rsidRPr="00403E23">
        <w:rPr>
          <w:rFonts w:ascii="Times New Roman" w:hAnsi="Times New Roman" w:cs="Times New Roman"/>
        </w:rPr>
        <w:t xml:space="preserve"> the structure and performance of horticultural value chains in India with a focus on identifying key challenges, emerging opportunities, technological innovations and strategic interventions for strengthening value chain efficiency. The paper is based on a comprehensive review and synthesis of secondary information compiled from published research articles, government reports and institutional publications related to horticultural production, post-harvest management, value addition, market integration and policy initiatives. The analysis indicates that Indian horticultural value chains are constrained by fragmented production systems, high post-harvest losses, inadequate cold chain and processing infrastructure, weak farmer–market linkages and limited participation of farmers in high-value segments. At the same time, significant opportunities exist in post-harvest management, cold chain development, decentralized processing, farmer aggregation models and digital market platforms. Emerging innovations such as precision agriculture tools, ICT-based advisory services and blockchain-enabled traceability systems are increasingly contributing to improved efficiency, transparency and market access across horticultural value chains. The study concludes that unlocking opportunities in Indian horticulture requires an integrated strategy combining technological innovation, infrastructure development, institutional strengthening and supportive policy frameworks. A coordinated value chain approach is essential for reducing losses, enhancing farmers’ income and improving the competitiveness and sustainability of Indian horticulture.</w:t>
      </w:r>
    </w:p>
    <w:p w14:paraId="014CFF4D" w14:textId="77777777" w:rsidR="005B2706" w:rsidRPr="00403E23" w:rsidRDefault="00EA7246" w:rsidP="00403E23">
      <w:pPr>
        <w:spacing w:line="240" w:lineRule="auto"/>
        <w:jc w:val="both"/>
        <w:rPr>
          <w:rFonts w:ascii="Times New Roman" w:hAnsi="Times New Roman" w:cs="Times New Roman"/>
          <w:i/>
          <w:iCs/>
        </w:rPr>
      </w:pPr>
      <w:r w:rsidRPr="00403E23">
        <w:rPr>
          <w:rFonts w:ascii="Times New Roman" w:hAnsi="Times New Roman" w:cs="Times New Roman"/>
          <w:b/>
          <w:bCs/>
        </w:rPr>
        <w:t>Keywords:</w:t>
      </w:r>
      <w:r w:rsidRPr="00403E23">
        <w:rPr>
          <w:rFonts w:ascii="Times New Roman" w:hAnsi="Times New Roman" w:cs="Times New Roman"/>
        </w:rPr>
        <w:t xml:space="preserve"> </w:t>
      </w:r>
      <w:r w:rsidR="005B2706" w:rsidRPr="00403E23">
        <w:rPr>
          <w:rFonts w:ascii="Times New Roman" w:hAnsi="Times New Roman" w:cs="Times New Roman"/>
          <w:i/>
          <w:iCs/>
        </w:rPr>
        <w:t>horticultural value chains; agribusiness; post-harvest management; value addition; agricultural innovations; policy interventions</w:t>
      </w:r>
    </w:p>
    <w:p w14:paraId="53FF9629" w14:textId="1FB06CBB" w:rsidR="00394AB1" w:rsidRPr="00403E23" w:rsidRDefault="00394AB1" w:rsidP="00403E23">
      <w:pPr>
        <w:spacing w:line="240" w:lineRule="auto"/>
        <w:jc w:val="both"/>
        <w:rPr>
          <w:rFonts w:ascii="Times New Roman" w:hAnsi="Times New Roman" w:cs="Times New Roman"/>
          <w:b/>
          <w:bCs/>
        </w:rPr>
      </w:pPr>
      <w:r w:rsidRPr="00403E23">
        <w:rPr>
          <w:rFonts w:ascii="Times New Roman" w:hAnsi="Times New Roman" w:cs="Times New Roman"/>
          <w:b/>
          <w:bCs/>
        </w:rPr>
        <w:t>I</w:t>
      </w:r>
      <w:r w:rsidR="00E146A5" w:rsidRPr="00403E23">
        <w:rPr>
          <w:rFonts w:ascii="Times New Roman" w:hAnsi="Times New Roman" w:cs="Times New Roman"/>
          <w:b/>
          <w:bCs/>
        </w:rPr>
        <w:t>NTRODUCTION</w:t>
      </w:r>
    </w:p>
    <w:p w14:paraId="7EDDB4F5" w14:textId="77777777" w:rsidR="00824388" w:rsidRPr="00403E23" w:rsidRDefault="00824388" w:rsidP="00403E23">
      <w:pPr>
        <w:pStyle w:val="NormalWeb"/>
        <w:spacing w:after="160" w:afterAutospacing="0"/>
        <w:jc w:val="both"/>
      </w:pPr>
      <w:r w:rsidRPr="00403E23">
        <w:t xml:space="preserve">Horticulture has emerged as one of the most dynamic and high-value segments of Indian agriculture, playing a critical role in agricultural diversification, income generation, employment creation and nutritional security. India is among the leading producers of fruits and vegetables globally, supported by diverse </w:t>
      </w:r>
      <w:proofErr w:type="spellStart"/>
      <w:r w:rsidRPr="00403E23">
        <w:t>agro</w:t>
      </w:r>
      <w:proofErr w:type="spellEnd"/>
      <w:r w:rsidRPr="00403E23">
        <w:t>-climatic conditions, expanding irrigation coverage and increasing technological interventions. Over the past two decades, the horticulture sector has recorded consistent growth and now contributes a substantial share to the total agricultural output. Rising urbanization, changing dietary patterns and increasing health consciousness have further accelerated domestic demand for fresh and processed horticultural produce, while export markets are also expanding steadily.</w:t>
      </w:r>
    </w:p>
    <w:p w14:paraId="1A741EBB" w14:textId="77777777" w:rsidR="00824388" w:rsidRPr="00403E23" w:rsidRDefault="00824388" w:rsidP="00403E23">
      <w:pPr>
        <w:pStyle w:val="NormalWeb"/>
        <w:spacing w:after="160" w:afterAutospacing="0"/>
        <w:jc w:val="both"/>
      </w:pPr>
      <w:r w:rsidRPr="00403E23">
        <w:t xml:space="preserve">Despite these impressive achievements in production, the economic potential of Indian horticulture remains far from fully realized. Unlike cereals, horticultural commodities are highly perishable and extremely sensitive to harvesting, handling, storage and transportation conditions. A considerable proportion of fruits and vegetables is lost annually due to inadequate </w:t>
      </w:r>
      <w:r w:rsidRPr="00403E23">
        <w:lastRenderedPageBreak/>
        <w:t>post-harvest management systems, insufficient cold chain infrastructure, limited processing facilities and inefficient logistics networks. These post-harvest losses not only reduce the marketable surplus but also result in severe quality deterioration, price instability and weakened export competitiveness. Consequently, farmers often fail to receive remunerative prices despite rising consumer demand, highlighting the urgent need for strengthening horticultural value chains beyond the farm gate.</w:t>
      </w:r>
    </w:p>
    <w:p w14:paraId="73CBABFF" w14:textId="77777777" w:rsidR="00824388" w:rsidRPr="00403E23" w:rsidRDefault="00824388" w:rsidP="00403E23">
      <w:pPr>
        <w:pStyle w:val="NormalWeb"/>
        <w:spacing w:after="160" w:afterAutospacing="0"/>
        <w:jc w:val="both"/>
      </w:pPr>
      <w:r w:rsidRPr="00403E23">
        <w:t>The horticultural value chain encompasses a complex set of interlinked activities and stakeholders, including input suppliers, producers, aggregators, processors, wholesalers, retailers and exporters. In India, these value chains are largely characterized by fragmented landholdings, dispersed production systems and the predominance of traditional marketing channels. The involvement of multiple intermediaries, limited farmer aggregation platforms and weak vertical linkages between producers and organized markets contribute to high transaction costs and an uneven distribution of value along the chain. As a result, farmers remain confined to low-value segments, while a significant share of value addition and profit accrues at downstream stages. Strengthening horticultural value chains has therefore become central to national efforts aimed at enhancing farmers’ income, reducing wastage and promoting agribusiness development.</w:t>
      </w:r>
    </w:p>
    <w:p w14:paraId="67923B16" w14:textId="77777777" w:rsidR="00824388" w:rsidRPr="00403E23" w:rsidRDefault="00824388" w:rsidP="00403E23">
      <w:pPr>
        <w:pStyle w:val="NormalWeb"/>
        <w:spacing w:after="160" w:afterAutospacing="0"/>
        <w:jc w:val="both"/>
      </w:pPr>
      <w:r w:rsidRPr="00403E23">
        <w:t xml:space="preserve">In recent years, several technological, institutional and policy-driven interventions have attempted to address these long-standing bottlenecks. The emergence of Farmer Producer Organizations, </w:t>
      </w:r>
      <w:proofErr w:type="spellStart"/>
      <w:r w:rsidRPr="00403E23">
        <w:t>agri</w:t>
      </w:r>
      <w:proofErr w:type="spellEnd"/>
      <w:r w:rsidRPr="00403E23">
        <w:t>-entrepreneurship initiatives and digital marketing platforms has improved aggregation, market access and bargaining power of smallholders in certain regions. Government programmes focusing on horticulture development, irrigation expansion, post-harvest infrastructure creation and food processing promotion have also contributed to improving the enabling environment. Simultaneously, technological innovations such as precision agriculture tools, ICT-based advisory services, artificial intelligence applications and blockchain-enabled traceability systems are increasingly being explored to enhance production efficiency, supply chain transparency and market responsiveness.</w:t>
      </w:r>
    </w:p>
    <w:p w14:paraId="45CAC93D" w14:textId="2949B934" w:rsidR="000C48DA" w:rsidRPr="00403E23" w:rsidRDefault="000C48DA" w:rsidP="00403E23">
      <w:pPr>
        <w:pStyle w:val="NormalWeb"/>
        <w:spacing w:after="160" w:afterAutospacing="0"/>
        <w:jc w:val="both"/>
      </w:pPr>
      <w:r w:rsidRPr="00403E23">
        <w:t xml:space="preserve">Horticultural development is increasingly recognized not only as a pathway for income enhancement but also as a strategic lever for strengthening food systems and nutritional security. Fruits and vegetables constitute major sources of micronutrients, antioxidants and dietary </w:t>
      </w:r>
      <w:proofErr w:type="spellStart"/>
      <w:r w:rsidRPr="00403E23">
        <w:t>fiber</w:t>
      </w:r>
      <w:proofErr w:type="spellEnd"/>
      <w:r w:rsidRPr="00403E23">
        <w:t>, making them essential components of balanced and healthy diets. However, the nutritional and economic benefits of horticultural expansion can only be fully realized when value chains are capable of delivering safe, affordable and quality produce to consumers. Inefficient value chains often result in high levels of wastage, inconsistent availability, price volatility and compromised quality, which undermine both producer incentives and consumer welfare. Strengthening horticultural value chains is therefore central not only to agribusiness development but also to broader national goals related to food and nutrition security, public health and sustainable rural livelihoods.</w:t>
      </w:r>
      <w:r w:rsidR="00F57B63" w:rsidRPr="00403E23">
        <w:t xml:space="preserve"> Furthermore, the rapid transformation of agri-food markets at both domestic and global levels has intensified the importance of competitiveness, quality assurance and traceability in horticultural trade. Urban consumers increasingly demand standardized, branded, residue-safe and conveniently packaged horticultural products, while international markets require strict compliance with sanitary and phytosanitary standards, certification protocols and traceability mechanisms. These evolving market requirements place new demands on production practices, post-harvest management, logistics systems and institutional coordination. Without functional value chains that integrate quality management, information flows and risk-mitigation mechanisms across stages, smallholder farmers face growing risks of exclusion from high-value markets. Consequently, value chain upgrading has </w:t>
      </w:r>
      <w:r w:rsidR="00F57B63" w:rsidRPr="00403E23">
        <w:lastRenderedPageBreak/>
        <w:t>emerged as a critical policy and research priority for integrating Indian horticulture into modern, demand-driven agri-food systems.</w:t>
      </w:r>
    </w:p>
    <w:p w14:paraId="6FF1B918" w14:textId="77777777" w:rsidR="00824388" w:rsidRPr="00403E23" w:rsidRDefault="00824388" w:rsidP="00403E23">
      <w:pPr>
        <w:pStyle w:val="NormalWeb"/>
        <w:spacing w:after="160" w:afterAutospacing="0"/>
        <w:jc w:val="both"/>
      </w:pPr>
      <w:r w:rsidRPr="00403E23">
        <w:t>Although a growing body of literature has examined specific components of horticultural production, post-harvest management and marketing systems, integrated strategy-oriented analyses that conceptualize horticultural value chains as complete and interconnected systems remain limited. Most existing studies focus on isolated segments rather than the dynamic interactions among production, post-harvest handling, technological innovation, institutional support and market integration. There is therefore a clear need for a comprehensive synthesis that connects these components within a unified value chain framework.</w:t>
      </w:r>
    </w:p>
    <w:p w14:paraId="2756C275" w14:textId="77777777" w:rsidR="00824388" w:rsidRPr="00403E23" w:rsidRDefault="00824388" w:rsidP="00403E23">
      <w:pPr>
        <w:pStyle w:val="NormalWeb"/>
        <w:spacing w:after="160" w:afterAutospacing="0"/>
        <w:jc w:val="both"/>
      </w:pPr>
      <w:r w:rsidRPr="00403E23">
        <w:t xml:space="preserve">Against this background, the present study aims to critically </w:t>
      </w:r>
      <w:proofErr w:type="spellStart"/>
      <w:r w:rsidRPr="00403E23">
        <w:t>analyze</w:t>
      </w:r>
      <w:proofErr w:type="spellEnd"/>
      <w:r w:rsidRPr="00403E23">
        <w:t xml:space="preserve"> the major challenges affecting horticultural value chains in India and to identify strategic interventions for unlocking value chain opportunities. By integrating insights on production systems, post-harvest management, technological innovations and policy initiatives, the paper seeks to provide a holistic perspective on strengthening horticultural value chains for sustainable agricultural development, improved farm incomes and enhanced competitiveness of Indian horticulture.</w:t>
      </w:r>
    </w:p>
    <w:p w14:paraId="7BFB786F" w14:textId="02B2D5E9" w:rsidR="005751AC" w:rsidRPr="00403E23" w:rsidRDefault="005751AC" w:rsidP="00403E23">
      <w:pPr>
        <w:spacing w:line="240" w:lineRule="auto"/>
        <w:jc w:val="both"/>
        <w:rPr>
          <w:rFonts w:ascii="Times New Roman" w:hAnsi="Times New Roman" w:cs="Times New Roman"/>
          <w:b/>
          <w:bCs/>
        </w:rPr>
      </w:pPr>
      <w:r w:rsidRPr="00403E23">
        <w:rPr>
          <w:rFonts w:ascii="Times New Roman" w:hAnsi="Times New Roman" w:cs="Times New Roman"/>
          <w:b/>
          <w:bCs/>
        </w:rPr>
        <w:t>MATERIALS AND METHODS</w:t>
      </w:r>
    </w:p>
    <w:p w14:paraId="7ACA281A" w14:textId="77777777" w:rsidR="00932942" w:rsidRPr="00403E23" w:rsidRDefault="00932942" w:rsidP="00403E23">
      <w:pPr>
        <w:pStyle w:val="NormalWeb"/>
        <w:spacing w:after="160" w:afterAutospacing="0"/>
        <w:jc w:val="both"/>
      </w:pPr>
      <w:r w:rsidRPr="00403E23">
        <w:t>The present study is based on a comprehensive review and critical synthesis of secondary information related to horticultural value chains in India. Data for the study were compiled from published research articles, review papers, government publications and reports of national and international institutions focusing on horticultural production systems, post-harvest management, value addition, agribusiness development, technological innovations and policy initiatives.</w:t>
      </w:r>
    </w:p>
    <w:p w14:paraId="387164E2" w14:textId="77777777" w:rsidR="00932942" w:rsidRPr="00403E23" w:rsidRDefault="00932942" w:rsidP="00403E23">
      <w:pPr>
        <w:pStyle w:val="NormalWeb"/>
        <w:spacing w:after="160" w:afterAutospacing="0"/>
        <w:jc w:val="both"/>
      </w:pPr>
      <w:r w:rsidRPr="00403E23">
        <w:t>Relevant literature was collected from scientific databases such as Google Scholar, Scopus and ResearchGate. In addition, official reports and statistical publications from the Ministry of Agriculture and Farmers’ Welfare, National Horticulture Board, Agricultural and Processed Food Products Export Development Authority and the Food and Agriculture Organization were consulted to ensure the inclusion of updated and policy-relevant information. Priority was given to studies published during the last ten years, along with selected earlier landmark studies on value chain development.</w:t>
      </w:r>
    </w:p>
    <w:p w14:paraId="7137FA41" w14:textId="77777777" w:rsidR="00932942" w:rsidRPr="00403E23" w:rsidRDefault="00932942" w:rsidP="00403E23">
      <w:pPr>
        <w:pStyle w:val="NormalWeb"/>
        <w:spacing w:after="160" w:afterAutospacing="0"/>
        <w:jc w:val="both"/>
      </w:pPr>
      <w:r w:rsidRPr="00403E23">
        <w:t>The collected literature was systematically screened to identify studies addressing major constraints, emerging opportunities, technological interventions and institutional mechanisms across horticultural value chains. Information was then categorized and synthesized under thematic areas including production systems, post-harvest management, infrastructure development, market integration, farmer aggregation and innovation-driven value chain models. This qualitative synthesis formed the basis for the analysis and interpretation presented in the results and discussion sections</w:t>
      </w:r>
    </w:p>
    <w:p w14:paraId="181FD863" w14:textId="65149D82" w:rsidR="005751AC" w:rsidRPr="00403E23" w:rsidRDefault="005751AC" w:rsidP="00403E23">
      <w:pPr>
        <w:spacing w:line="240" w:lineRule="auto"/>
        <w:jc w:val="both"/>
        <w:rPr>
          <w:rFonts w:ascii="Times New Roman" w:hAnsi="Times New Roman" w:cs="Times New Roman"/>
          <w:b/>
          <w:bCs/>
        </w:rPr>
      </w:pPr>
      <w:r w:rsidRPr="00403E23">
        <w:rPr>
          <w:rFonts w:ascii="Times New Roman" w:hAnsi="Times New Roman" w:cs="Times New Roman"/>
          <w:b/>
          <w:bCs/>
        </w:rPr>
        <w:t xml:space="preserve">RESULTS </w:t>
      </w:r>
    </w:p>
    <w:p w14:paraId="45BDCADC" w14:textId="77777777" w:rsidR="002233EE" w:rsidRPr="00403E23" w:rsidRDefault="002233EE"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The synthesis of reviewed literature indicates that horticulture has become one of the fastest growing segments of Indian agriculture, contributing substantially to agricultural diversification, employment generation and income enhancement. India occupies a leading position in global fruit and vegetable production, and the area under horticultural crops has expanded steadily over the past two decades. However, despite impressive growth in production, the overall performance of horticultural value chains remains suboptimal, with </w:t>
      </w:r>
      <w:r w:rsidRPr="00403E23">
        <w:rPr>
          <w:rFonts w:ascii="Times New Roman" w:eastAsia="Times New Roman" w:hAnsi="Times New Roman" w:cs="Times New Roman"/>
          <w:kern w:val="0"/>
          <w:lang w:eastAsia="en-IN"/>
          <w14:ligatures w14:val="none"/>
        </w:rPr>
        <w:lastRenderedPageBreak/>
        <w:t>major inefficiencies persisting across production, post-harvest, processing and marketing stages.</w:t>
      </w:r>
    </w:p>
    <w:p w14:paraId="1D1C3BEF" w14:textId="77777777" w:rsidR="002233EE" w:rsidRPr="00403E23" w:rsidRDefault="002233EE"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A consistent finding across studies is the fragmented nature of horticultural production systems. The predominance of small and marginal landholdings results in dispersed production, limited marketable surplus at the individual farm level and weak bargaining power of farmers. This fragmentation restricts the adoption of modern technologies, standardization of produce and participation in organized markets. Limited access to quality planting material, imbalanced input use and inadequate extension support further constrain productivity and quality consistency across horticultural crops.</w:t>
      </w:r>
    </w:p>
    <w:p w14:paraId="5F33EEE1" w14:textId="77777777" w:rsidR="002233EE" w:rsidRPr="00403E23" w:rsidRDefault="002233EE"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Post-harvest management emerged as one of the most critical bottlenecks in horticultural value chains. The reviewed literature highlights substantial quantitative and qualitative losses occurring during harvesting, grading, packaging, storage and transportation. Inadequate availability of pack houses, cold storage facilities, refrigerated transport and ripening chambers continues to affect produce quality and shelf life. The lack of decentralized processing units in major production clusters further exacerbates wastage, particularly during peak harvesting seasons when market gluts are common. These post-harvest constraints significantly reduce the proportion of produce entering high-value domestic and export markets.</w:t>
      </w:r>
    </w:p>
    <w:p w14:paraId="66600A46" w14:textId="77777777" w:rsidR="002233EE" w:rsidRPr="00403E23" w:rsidRDefault="002233EE"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Market-related inefficiencies were also widely reported. Traditional marketing channels dominate horticultural trade in many regions, characterized by multiple intermediaries, limited transparency and high transaction costs. Farmers often rely on local traders and commission agents due to immediate cash needs, lack of storage facilities and inadequate market information. As a result, farmers’ share in consumer prices remains low, while price volatility and seasonal fluctuations expose them to considerable income risks. Weak integration with organized retail, food processing industries and export-oriented supply chains further restricts opportunities for value addition and market diversification.</w:t>
      </w:r>
    </w:p>
    <w:p w14:paraId="0D7705C9" w14:textId="77777777" w:rsidR="002233EE" w:rsidRPr="00403E23" w:rsidRDefault="002233EE"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The analysis further indicates that value addition in Indian horticulture remains limited in relation to the volume of production. Although the processing sector has expanded in recent years, only a small proportion of fruits and vegetables is currently processed. Constraints such as high capital requirements, inconsistent raw material supply, quality issues and limited technical expertise hinder the growth of decentralized processing enterprises. Nevertheless, the reviewed studies document increasing investments in grading, sorting, packaging and minimal processing, reflecting growing recognition of value addition as a key pathway for enhancing horticultural value chains.</w:t>
      </w:r>
    </w:p>
    <w:p w14:paraId="2A25A824" w14:textId="77777777" w:rsidR="002233EE" w:rsidRPr="00403E23" w:rsidRDefault="002233EE"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Institutional factors were found to play a significant role in shaping value chain outcomes. The emergence of Farmer Producer Organizations has improved aggregation, input procurement, access to credit and direct market linkages in several regions. Evidence suggests that farmers associated with organized groups demonstrate better adoption of improved practices, enhanced price realization and greater participation in high-value markets. However, the coverage of such institutional models remains uneven, and capacity constraints continue to limit their effectiveness in many production clusters.</w:t>
      </w:r>
    </w:p>
    <w:p w14:paraId="01B048CB" w14:textId="77777777" w:rsidR="002233EE" w:rsidRPr="00403E23" w:rsidRDefault="002233EE"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Technological innovations are increasingly influencing horticultural value chains. The reviewed literature reports growing adoption of ICT-based advisory services, mobile applications for pest and disease management, digital marketing platforms and remote sensing tools for crop monitoring. Precision agriculture technologies are being used to improve </w:t>
      </w:r>
      <w:r w:rsidRPr="00403E23">
        <w:rPr>
          <w:rFonts w:ascii="Times New Roman" w:eastAsia="Times New Roman" w:hAnsi="Times New Roman" w:cs="Times New Roman"/>
          <w:kern w:val="0"/>
          <w:lang w:eastAsia="en-IN"/>
          <w14:ligatures w14:val="none"/>
        </w:rPr>
        <w:lastRenderedPageBreak/>
        <w:t>resource-use efficiency and production planning, while blockchain-based traceability systems are being piloted to enhance transparency, quality assurance and food safety compliance in selected value chains. These developments indicate a gradual transition towards more data-driven and market-responsive horticultural systems.</w:t>
      </w:r>
    </w:p>
    <w:p w14:paraId="62E553CF" w14:textId="77777777" w:rsidR="002233EE" w:rsidRPr="00403E23" w:rsidRDefault="002233EE"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Several Indian experiences illustrate the evolving nature of horticultural value chains. Strengthening of apple value chains in Jammu and Kashmir highlights the importance of cold chain development, grading and organized marketing in improving returns to farmers. Similarly, horticultural processing clusters in Maharashtra and Gujarat demonstrate how coordinated investments in production, processing and market integration can enhance value addition and employment generation. Emerging </w:t>
      </w:r>
      <w:proofErr w:type="spellStart"/>
      <w:r w:rsidRPr="00403E23">
        <w:rPr>
          <w:rFonts w:ascii="Times New Roman" w:eastAsia="Times New Roman" w:hAnsi="Times New Roman" w:cs="Times New Roman"/>
          <w:kern w:val="0"/>
          <w:lang w:eastAsia="en-IN"/>
          <w14:ligatures w14:val="none"/>
        </w:rPr>
        <w:t>agri-startups</w:t>
      </w:r>
      <w:proofErr w:type="spellEnd"/>
      <w:r w:rsidRPr="00403E23">
        <w:rPr>
          <w:rFonts w:ascii="Times New Roman" w:eastAsia="Times New Roman" w:hAnsi="Times New Roman" w:cs="Times New Roman"/>
          <w:kern w:val="0"/>
          <w:lang w:eastAsia="en-IN"/>
          <w14:ligatures w14:val="none"/>
        </w:rPr>
        <w:t xml:space="preserve"> and farmer-led enterprises engaged in value-added horticultural products further reflect the growing diversification of value chain models.</w:t>
      </w:r>
    </w:p>
    <w:p w14:paraId="3AD0EE19" w14:textId="77777777" w:rsidR="00822874" w:rsidRPr="00403E23" w:rsidRDefault="00822874"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The reviewed studies further indicate that regional heterogeneity plays a significant role in shaping horticultural value chain performance across India. States with relatively better-developed infrastructure, institutional support mechanisms and private sector participation demonstrate more integrated value chains and higher levels of value addition. In contrast, many horticulture-dominated regions continue to depend heavily on informal market channels, limited storage facilities and rudimentary post-harvest practices. Such spatial disparities contribute to uneven income distribution, differential adoption of innovations and varied levels of market participation among horticultural producers.</w:t>
      </w:r>
    </w:p>
    <w:p w14:paraId="7C4AFEBC" w14:textId="77777777" w:rsidR="00822874" w:rsidRPr="00403E23" w:rsidRDefault="00822874"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Another important observation emerging from the literature relates to the seasonality of horticultural production and its implications for value chain efficiency. Peak harvesting periods often result in market gluts, price crashes and distress sales, while lean seasons are characterized by shortages and price volatility. The absence of adequate storage, processing and market diversification mechanisms restricts the capacity of value chains to absorb supply shocks and stabilize prices. Several studies highlight that investments in controlled atmosphere storage, on-farm primary processing units and contract-based marketing arrangements can significantly mitigate seasonal imbalances and improve price realization for farmers.</w:t>
      </w:r>
    </w:p>
    <w:p w14:paraId="641B6157" w14:textId="77777777" w:rsidR="00822874" w:rsidRPr="00403E23" w:rsidRDefault="00822874"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The results also indicate a growing role of private investment and public–private partnerships in horticultural value chain development. Organized retailers, food processing firms and export-oriented enterprises are increasingly engaging with horticultural producers through direct procurement models, backward linkages and technical support arrangements. These emerging linkages have contributed to improved quality compliance, reduced intermediation and enhanced traceability in selected value chains. However, the scale of such initiatives remains limited, and their benefits are often concentrated in specific crops and regions.</w:t>
      </w:r>
    </w:p>
    <w:p w14:paraId="424A33E9" w14:textId="4469B622" w:rsidR="00822874" w:rsidRPr="00403E23" w:rsidRDefault="00822874"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Evidence from recent studies further suggests that consumer demand patterns are increasingly influencing horticultural value chains. Rising preference for convenience foods, ready-to-eat products, organic produce and residue-free fruits and vegetables is driving diversification of value-added horticultural products. This shift has encouraged investments in minimal processing, packaging innovation and cold chain logistics. Such demand-driven transformations are gradually redefining relationships among producers, processors and retailers, </w:t>
      </w:r>
      <w:proofErr w:type="spellStart"/>
      <w:r w:rsidRPr="00403E23">
        <w:rPr>
          <w:rFonts w:ascii="Times New Roman" w:eastAsia="Times New Roman" w:hAnsi="Times New Roman" w:cs="Times New Roman"/>
          <w:kern w:val="0"/>
          <w:lang w:eastAsia="en-IN"/>
          <w14:ligatures w14:val="none"/>
        </w:rPr>
        <w:t>signaling</w:t>
      </w:r>
      <w:proofErr w:type="spellEnd"/>
      <w:r w:rsidRPr="00403E23">
        <w:rPr>
          <w:rFonts w:ascii="Times New Roman" w:eastAsia="Times New Roman" w:hAnsi="Times New Roman" w:cs="Times New Roman"/>
          <w:kern w:val="0"/>
          <w:lang w:eastAsia="en-IN"/>
          <w14:ligatures w14:val="none"/>
        </w:rPr>
        <w:t xml:space="preserve"> a transition from supply-driven to market-oriented horticultural value chains.</w:t>
      </w:r>
    </w:p>
    <w:p w14:paraId="12CD11A8" w14:textId="77777777" w:rsidR="002233EE" w:rsidRPr="00403E23" w:rsidRDefault="002233EE"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lastRenderedPageBreak/>
        <w:t>Overall, the results indicate that Indian horticultural value chains are undergoing gradual transformation, driven by technological advancements, institutional innovations and supportive policy initiatives. However, structural constraints related to post-harvest management, infrastructure deficits, fragmented production systems and weak market integration continue to limit the full realization of value chain opportunities.</w:t>
      </w:r>
    </w:p>
    <w:p w14:paraId="505D17E0" w14:textId="77777777" w:rsidR="0032191E" w:rsidRPr="00403E23" w:rsidRDefault="0032191E" w:rsidP="00403E23">
      <w:pPr>
        <w:spacing w:before="100" w:beforeAutospacing="1" w:line="240" w:lineRule="auto"/>
        <w:jc w:val="both"/>
        <w:rPr>
          <w:rFonts w:ascii="Times New Roman" w:eastAsia="Times New Roman" w:hAnsi="Times New Roman" w:cs="Times New Roman"/>
          <w:b/>
          <w:bCs/>
          <w:kern w:val="0"/>
          <w:lang w:eastAsia="en-IN"/>
          <w14:ligatures w14:val="none"/>
        </w:rPr>
      </w:pPr>
      <w:r w:rsidRPr="00403E23">
        <w:rPr>
          <w:rFonts w:ascii="Times New Roman" w:eastAsia="Times New Roman" w:hAnsi="Times New Roman" w:cs="Times New Roman"/>
          <w:b/>
          <w:bCs/>
          <w:kern w:val="0"/>
          <w:lang w:eastAsia="en-IN"/>
          <w14:ligatures w14:val="none"/>
        </w:rPr>
        <w:t>DISCUSSION</w:t>
      </w:r>
    </w:p>
    <w:p w14:paraId="15D8078C" w14:textId="132011F1"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The results of the present review clearly demonstrate that inefficiencies in Indian horticultural value chains are systemic in nature rather than confined to any single stage. Fragmented production systems, high perishability of produce and weak vertical coordination collectively limit the ability of horticultural chains to respond effectively to market demand. The predominance of small and marginal farmers restricts economies of scale, complicates standardization and reduces bargaining power. These structural characteristics explain why productivity gains at the farm level have not translated proportionately into higher incomes or improved competitiveness.</w:t>
      </w:r>
    </w:p>
    <w:p w14:paraId="1BA64F97" w14:textId="77777777"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Post-harvest losses remain one of the most significant constraints undermining the performance of horticultural value chains. Unlike food grains, fruits and vegetables require specialized handling, temperature management and rapid movement from farms to markets. Inadequate harvesting practices, absence of primary processing facilities and insufficient cold chain infrastructure expose produce to mechanical damage, microbial spoilage and physiological deterioration. These losses represent not only a direct economic cost but also an opportunity cost, as a large proportion of horticultural output fails to reach high-value domestic and export markets. Strengthening post-harvest systems through the development of pack houses, cold storage facilities, refrigerated transport and decentralized processing units therefore emerges as a critical entry point for value chain upgrading.</w:t>
      </w:r>
    </w:p>
    <w:p w14:paraId="56482381" w14:textId="77777777"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Market inefficiencies further compound these challenges. The dominance of traditional marketing channels characterized by multiple intermediaries reduces price transparency and increases transaction costs. Farmers often engage in distress sales due to limited storage capacity, immediate cash needs and inadequate access to market information. As a result, farmers’ share in consumer prices remains low despite rising retail prices. Improving market integration through organized retail linkages, contract farming arrangements, electronic trading platforms and direct farmer–consumer interfaces can enhance price realization and reduce marketing risks. However, the effectiveness of such mechanisms depends on the availability of supportive infrastructure, reliable quality standards and strong institutional arrangements.</w:t>
      </w:r>
    </w:p>
    <w:p w14:paraId="2886E8ED" w14:textId="77777777"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Value addition constitutes another critical dimension of horticultural value chain development. The limited share of processed fruits and vegetables in India reflects constraints related to capital intensity, inconsistent raw material supply, quality variations and limited technical expertise. Nonetheless, expanding minimal processing, packaging, grading and branding can substantially enhance shelf life, product differentiation and marketability. Development of decentralized processing units within production clusters can create local employment, reduce transportation losses and stabilize farm-gate prices. Such interventions are particularly relevant for integrating smallholders into high-value chains and promoting rural </w:t>
      </w:r>
      <w:proofErr w:type="spellStart"/>
      <w:r w:rsidRPr="00403E23">
        <w:rPr>
          <w:rFonts w:ascii="Times New Roman" w:eastAsia="Times New Roman" w:hAnsi="Times New Roman" w:cs="Times New Roman"/>
          <w:kern w:val="0"/>
          <w:lang w:eastAsia="en-IN"/>
          <w14:ligatures w14:val="none"/>
        </w:rPr>
        <w:t>agro</w:t>
      </w:r>
      <w:proofErr w:type="spellEnd"/>
      <w:r w:rsidRPr="00403E23">
        <w:rPr>
          <w:rFonts w:ascii="Times New Roman" w:eastAsia="Times New Roman" w:hAnsi="Times New Roman" w:cs="Times New Roman"/>
          <w:kern w:val="0"/>
          <w:lang w:eastAsia="en-IN"/>
          <w14:ligatures w14:val="none"/>
        </w:rPr>
        <w:t>-industrialization.</w:t>
      </w:r>
    </w:p>
    <w:p w14:paraId="5AA29680" w14:textId="77777777"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Technological innovations are increasingly emerging as transformative instruments for horticultural value chains. Precision agriculture tools, remote sensing applications and mobile-based advisory services enable improved crop monitoring, resource-use efficiency and timely </w:t>
      </w:r>
      <w:r w:rsidRPr="00403E23">
        <w:rPr>
          <w:rFonts w:ascii="Times New Roman" w:eastAsia="Times New Roman" w:hAnsi="Times New Roman" w:cs="Times New Roman"/>
          <w:kern w:val="0"/>
          <w:lang w:eastAsia="en-IN"/>
          <w14:ligatures w14:val="none"/>
        </w:rPr>
        <w:lastRenderedPageBreak/>
        <w:t>decision-making. These technologies can support production planning, pest and disease management and quality consistency, which are essential for linking farmers with organized markets and processors. Digital platforms facilitate real-time price discovery, market access and logistics coordination, thereby reducing information asymmetry and transaction costs. Furthermore, blockchain-enabled traceability systems hold considerable promise for enhancing transparency, food safety compliance and consumer trust, particularly in export-oriented horticultural chains. However, the diffusion of such technologies remains uneven, constrained by digital literacy gaps, infrastructure deficits and limited institutional support.</w:t>
      </w:r>
    </w:p>
    <w:p w14:paraId="2A749481" w14:textId="77777777"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Institutional innovations play a pivotal role in mediating the impact of technological and infrastructural interventions. Farmer Producer Organizations have emerged as critical platforms for aggregation, collective input procurement, access to finance and direct market linkages. Evidence suggests that organized farmers are better positioned to adopt improved practices, negotiate with buyers and participate in value-added activities. FPOs also serve as important conduits for capacity building, technology transfer and entrepreneurial development. Nevertheless, many producer organizations continue to face challenges related to managerial capacity, financial sustainability and market access. Strengthening governance structures, professional management and policy support mechanisms is therefore essential for enhancing their effectiveness within horticultural value chains.</w:t>
      </w:r>
    </w:p>
    <w:p w14:paraId="5571D0D5" w14:textId="77777777"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Public policy has a central role in shaping the trajectory of horticultural value chain development. Government initiatives focusing on horticulture expansion, irrigation infrastructure, post-harvest management and food processing promotion have contributed to creating an enabling environment. Investments in cold chains, pack houses, </w:t>
      </w:r>
      <w:proofErr w:type="spellStart"/>
      <w:r w:rsidRPr="00403E23">
        <w:rPr>
          <w:rFonts w:ascii="Times New Roman" w:eastAsia="Times New Roman" w:hAnsi="Times New Roman" w:cs="Times New Roman"/>
          <w:kern w:val="0"/>
          <w:lang w:eastAsia="en-IN"/>
          <w14:ligatures w14:val="none"/>
        </w:rPr>
        <w:t>agro</w:t>
      </w:r>
      <w:proofErr w:type="spellEnd"/>
      <w:r w:rsidRPr="00403E23">
        <w:rPr>
          <w:rFonts w:ascii="Times New Roman" w:eastAsia="Times New Roman" w:hAnsi="Times New Roman" w:cs="Times New Roman"/>
          <w:kern w:val="0"/>
          <w:lang w:eastAsia="en-IN"/>
          <w14:ligatures w14:val="none"/>
        </w:rPr>
        <w:t>-processing clusters and rural logistics are gradually addressing long-standing infrastructure deficits. Financial support mechanisms, credit facilitation and entrepreneurship promotion programmes have further stimulated private investment in horticulture-based enterprises. However, greater convergence among production, processing, marketing and innovation policies is required to build cohesive and resilient value chains.</w:t>
      </w:r>
    </w:p>
    <w:p w14:paraId="0A656F85" w14:textId="77777777"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Indian experiences provide valuable insights into the dynamics of horticultural value chain transformation. The strengthening of apple value chains in Jammu and Kashmir illustrates how investments in cold storage, grading and organized marketing can significantly enhance farm incomes and reduce post-harvest losses. Similarly, the development of horticultural processing clusters in western and southern India demonstrates the importance of coordinated interventions across production, processing and market integration. Emerging </w:t>
      </w:r>
      <w:proofErr w:type="spellStart"/>
      <w:r w:rsidRPr="00403E23">
        <w:rPr>
          <w:rFonts w:ascii="Times New Roman" w:eastAsia="Times New Roman" w:hAnsi="Times New Roman" w:cs="Times New Roman"/>
          <w:kern w:val="0"/>
          <w:lang w:eastAsia="en-IN"/>
          <w14:ligatures w14:val="none"/>
        </w:rPr>
        <w:t>agri-startups</w:t>
      </w:r>
      <w:proofErr w:type="spellEnd"/>
      <w:r w:rsidRPr="00403E23">
        <w:rPr>
          <w:rFonts w:ascii="Times New Roman" w:eastAsia="Times New Roman" w:hAnsi="Times New Roman" w:cs="Times New Roman"/>
          <w:kern w:val="0"/>
          <w:lang w:eastAsia="en-IN"/>
          <w14:ligatures w14:val="none"/>
        </w:rPr>
        <w:t xml:space="preserve"> engaged in value-added horticultural products and digital services further highlight the growing diversification of value chain models. These experiences underscore the importance of region-specific strategies that align technological solutions with institutional capacities and market opportunities.</w:t>
      </w:r>
    </w:p>
    <w:p w14:paraId="7074099F" w14:textId="77777777"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From a strategic perspective, horticultural value chain development must move beyond isolated interventions and adopt an integrated systems approach. This involves synchronizing investments in production modernization, post-harvest infrastructure, technological innovation and institutional strengthening. Capacity building, extension support and skill development are critical for ensuring that farmers and rural entrepreneurs can effectively participate in evolving value chains. Emphasis on quality standards, certification systems and market intelligence can further enhance competitiveness and facilitate integration with high-value domestic and international markets.</w:t>
      </w:r>
    </w:p>
    <w:p w14:paraId="47999563" w14:textId="1B8DFA06" w:rsidR="009F1763" w:rsidRPr="00403E23" w:rsidRDefault="009F1763"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lastRenderedPageBreak/>
        <w:t>Overall, the discussion reinforces the view that unlocking opportunities in horticultural value chains is fundamental to the sustainable growth of Indian horticulture. Integrated value chain strategies can simultaneously address issues of wastage, income instability, nutritional security and environmental sustainability. By linking farmers more effectively with markets, processors and consumers, horticultural value chains can serve as powerful instruments for inclusive agricultural development.</w:t>
      </w:r>
      <w:r w:rsidR="00911B65" w:rsidRPr="00403E23">
        <w:rPr>
          <w:rFonts w:ascii="Times New Roman" w:eastAsia="Times New Roman" w:hAnsi="Times New Roman" w:cs="Times New Roman"/>
          <w:kern w:val="0"/>
          <w:lang w:eastAsia="en-IN"/>
          <w14:ligatures w14:val="none"/>
        </w:rPr>
        <w:t xml:space="preserve"> </w:t>
      </w:r>
    </w:p>
    <w:p w14:paraId="5F878CA6" w14:textId="09A323BF" w:rsidR="00911B65" w:rsidRPr="00403E23" w:rsidRDefault="00911B65" w:rsidP="00403E23">
      <w:pPr>
        <w:spacing w:before="100" w:beforeAutospacing="1" w:line="240" w:lineRule="auto"/>
        <w:jc w:val="both"/>
        <w:rPr>
          <w:rFonts w:ascii="Times New Roman" w:eastAsia="Times New Roman" w:hAnsi="Times New Roman" w:cs="Times New Roman"/>
          <w:b/>
          <w:bCs/>
          <w:kern w:val="0"/>
          <w:lang w:eastAsia="en-IN"/>
          <w14:ligatures w14:val="none"/>
        </w:rPr>
      </w:pPr>
      <w:r w:rsidRPr="00403E23">
        <w:rPr>
          <w:rFonts w:ascii="Times New Roman" w:eastAsia="Times New Roman" w:hAnsi="Times New Roman" w:cs="Times New Roman"/>
          <w:b/>
          <w:bCs/>
          <w:kern w:val="0"/>
          <w:lang w:eastAsia="en-IN"/>
          <w14:ligatures w14:val="none"/>
        </w:rPr>
        <w:t>P</w:t>
      </w:r>
      <w:r w:rsidR="00E146A5" w:rsidRPr="00403E23">
        <w:rPr>
          <w:rFonts w:ascii="Times New Roman" w:eastAsia="Times New Roman" w:hAnsi="Times New Roman" w:cs="Times New Roman"/>
          <w:b/>
          <w:bCs/>
          <w:kern w:val="0"/>
          <w:lang w:eastAsia="en-IN"/>
          <w14:ligatures w14:val="none"/>
        </w:rPr>
        <w:t>OLICY</w:t>
      </w:r>
      <w:r w:rsidRPr="00403E23">
        <w:rPr>
          <w:rFonts w:ascii="Times New Roman" w:eastAsia="Times New Roman" w:hAnsi="Times New Roman" w:cs="Times New Roman"/>
          <w:b/>
          <w:bCs/>
          <w:kern w:val="0"/>
          <w:lang w:eastAsia="en-IN"/>
          <w14:ligatures w14:val="none"/>
        </w:rPr>
        <w:t xml:space="preserve">, </w:t>
      </w:r>
      <w:r w:rsidR="00E146A5" w:rsidRPr="00403E23">
        <w:rPr>
          <w:rFonts w:ascii="Times New Roman" w:eastAsia="Times New Roman" w:hAnsi="Times New Roman" w:cs="Times New Roman"/>
          <w:b/>
          <w:bCs/>
          <w:kern w:val="0"/>
          <w:lang w:eastAsia="en-IN"/>
          <w14:ligatures w14:val="none"/>
        </w:rPr>
        <w:t>SUSTAINABILTY</w:t>
      </w:r>
      <w:r w:rsidRPr="00403E23">
        <w:rPr>
          <w:rFonts w:ascii="Times New Roman" w:eastAsia="Times New Roman" w:hAnsi="Times New Roman" w:cs="Times New Roman"/>
          <w:b/>
          <w:bCs/>
          <w:kern w:val="0"/>
          <w:lang w:eastAsia="en-IN"/>
          <w14:ligatures w14:val="none"/>
        </w:rPr>
        <w:t xml:space="preserve"> </w:t>
      </w:r>
      <w:r w:rsidR="00B44015" w:rsidRPr="00403E23">
        <w:rPr>
          <w:rFonts w:ascii="Times New Roman" w:eastAsia="Times New Roman" w:hAnsi="Times New Roman" w:cs="Times New Roman"/>
          <w:b/>
          <w:bCs/>
          <w:kern w:val="0"/>
          <w:lang w:eastAsia="en-IN"/>
          <w14:ligatures w14:val="none"/>
        </w:rPr>
        <w:t>AND</w:t>
      </w:r>
      <w:r w:rsidRPr="00403E23">
        <w:rPr>
          <w:rFonts w:ascii="Times New Roman" w:eastAsia="Times New Roman" w:hAnsi="Times New Roman" w:cs="Times New Roman"/>
          <w:b/>
          <w:bCs/>
          <w:kern w:val="0"/>
          <w:lang w:eastAsia="en-IN"/>
          <w14:ligatures w14:val="none"/>
        </w:rPr>
        <w:t xml:space="preserve"> </w:t>
      </w:r>
      <w:r w:rsidR="00B44015" w:rsidRPr="00403E23">
        <w:rPr>
          <w:rFonts w:ascii="Times New Roman" w:eastAsia="Times New Roman" w:hAnsi="Times New Roman" w:cs="Times New Roman"/>
          <w:b/>
          <w:bCs/>
          <w:kern w:val="0"/>
          <w:lang w:eastAsia="en-IN"/>
          <w14:ligatures w14:val="none"/>
        </w:rPr>
        <w:t>FUTURE</w:t>
      </w:r>
      <w:r w:rsidRPr="00403E23">
        <w:rPr>
          <w:rFonts w:ascii="Times New Roman" w:eastAsia="Times New Roman" w:hAnsi="Times New Roman" w:cs="Times New Roman"/>
          <w:b/>
          <w:bCs/>
          <w:kern w:val="0"/>
          <w:lang w:eastAsia="en-IN"/>
          <w14:ligatures w14:val="none"/>
        </w:rPr>
        <w:t xml:space="preserve"> </w:t>
      </w:r>
      <w:r w:rsidR="00B44015" w:rsidRPr="00403E23">
        <w:rPr>
          <w:rFonts w:ascii="Times New Roman" w:eastAsia="Times New Roman" w:hAnsi="Times New Roman" w:cs="Times New Roman"/>
          <w:b/>
          <w:bCs/>
          <w:kern w:val="0"/>
          <w:lang w:eastAsia="en-IN"/>
          <w14:ligatures w14:val="none"/>
        </w:rPr>
        <w:t>PATHWAYS</w:t>
      </w:r>
    </w:p>
    <w:p w14:paraId="71B03B09" w14:textId="77777777" w:rsidR="002C3595" w:rsidRPr="00403E23" w:rsidRDefault="002C3595"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The development of horticultural value chains must also be viewed through the broader lens of sustainability and inclusive growth. Strengthening value chains is not only an economic imperative but also a critical strategy for addressing environmental challenges, nutritional security and rural livelihood diversification. Efficient post-harvest systems reduce food losses, thereby lowering pressure on natural resources and minimizing the environmental footprint of horticultural production. Improved storage, transportation and processing also enable year-round availability of fruits and vegetables, contributing to dietary diversity and public health outcomes.</w:t>
      </w:r>
    </w:p>
    <w:p w14:paraId="10D5AFE6" w14:textId="77777777" w:rsidR="002C3595" w:rsidRPr="00403E23" w:rsidRDefault="002C3595"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Climate variability further underscores the importance of resilient horticultural value chains. Temperature fluctuations, erratic rainfall and increasing incidence of pests and diseases disproportionately affect perishable crops. Integrating climate-smart practices, protected cultivation systems and digital climate advisory services into horticultural value chains can enhance adaptive capacity. Precision irrigation technologies, sensor-based monitoring and data-driven decision support systems offer promising avenues for improving water-use efficiency, optimizing input application and stabilizing production under changing climatic conditions. Embedding such innovations within value chains ensures that productivity gains are complemented by improved market integration and risk mitigation mechanisms.</w:t>
      </w:r>
    </w:p>
    <w:p w14:paraId="70C9C61F" w14:textId="77777777" w:rsidR="002C3595" w:rsidRPr="00403E23" w:rsidRDefault="002C3595"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The role of policy frameworks in facilitating horticultural value chain development cannot be overstated. Coherent and coordinated policies linking production, post-harvest management, food processing, logistics and market development are essential for building functional and competitive value chains. Incentivizing private investment in cold chain infrastructure, </w:t>
      </w:r>
      <w:proofErr w:type="spellStart"/>
      <w:r w:rsidRPr="00403E23">
        <w:rPr>
          <w:rFonts w:ascii="Times New Roman" w:eastAsia="Times New Roman" w:hAnsi="Times New Roman" w:cs="Times New Roman"/>
          <w:kern w:val="0"/>
          <w:lang w:eastAsia="en-IN"/>
          <w14:ligatures w14:val="none"/>
        </w:rPr>
        <w:t>agro</w:t>
      </w:r>
      <w:proofErr w:type="spellEnd"/>
      <w:r w:rsidRPr="00403E23">
        <w:rPr>
          <w:rFonts w:ascii="Times New Roman" w:eastAsia="Times New Roman" w:hAnsi="Times New Roman" w:cs="Times New Roman"/>
          <w:kern w:val="0"/>
          <w:lang w:eastAsia="en-IN"/>
          <w14:ligatures w14:val="none"/>
        </w:rPr>
        <w:t>-processing enterprises and rural logistics can accelerate value chain upgrading. At the same time, regulatory reforms aimed at improving market transparency, simplifying licensing procedures and promoting digital trading platforms can enhance market access and competition. Strengthening quality standards, certification systems and traceability protocols is particularly important for positioning Indian horticulture in premium domestic and international markets.</w:t>
      </w:r>
    </w:p>
    <w:p w14:paraId="07C27C9D" w14:textId="77777777" w:rsidR="002C3595" w:rsidRPr="00403E23" w:rsidRDefault="002C3595"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Capacity building and human resource development represent another critical dimension. The transition towards innovation-driven horticultural value chains requires skilled manpower across production, processing, quality management and agribusiness management functions. Targeted training programmes for farmers, rural youth and women entrepreneurs can promote technology adoption, enterprise development and inclusive participation in value-added activities. Collaboration among research institutions, extension agencies, private firms and farmer organizations can facilitate knowledge transfer and co-creation of locally relevant solutions.</w:t>
      </w:r>
    </w:p>
    <w:p w14:paraId="6C67CB87" w14:textId="6C4D57B7" w:rsidR="00911B65" w:rsidRPr="00403E23" w:rsidRDefault="002C3595" w:rsidP="00403E23">
      <w:pPr>
        <w:spacing w:before="100" w:beforeAutospacing="1" w:line="240" w:lineRule="auto"/>
        <w:jc w:val="both"/>
        <w:rPr>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Looking ahead, future horticultural value chains in India are likely to become increasingly differentiated, demand-driven and technology-enabled. Consumer preferences for quality, </w:t>
      </w:r>
      <w:r w:rsidRPr="00403E23">
        <w:rPr>
          <w:rFonts w:ascii="Times New Roman" w:eastAsia="Times New Roman" w:hAnsi="Times New Roman" w:cs="Times New Roman"/>
          <w:kern w:val="0"/>
          <w:lang w:eastAsia="en-IN"/>
          <w14:ligatures w14:val="none"/>
        </w:rPr>
        <w:lastRenderedPageBreak/>
        <w:t xml:space="preserve">safety, convenience and sustainability will continue to reshape production and marketing systems. This creates opportunities for niche products, organic and functional foods, traceable supply chains and digitally integrated platforms. Strategic alignment of technological innovation with institutional strengthening and market development will be central to realizing these opportunities. A proactive approach that anticipates market trends, invests in infrastructure and empowers primary producers can transform horticultural value chains into engines of rural prosperity and </w:t>
      </w:r>
      <w:proofErr w:type="spellStart"/>
      <w:r w:rsidRPr="00403E23">
        <w:rPr>
          <w:rFonts w:ascii="Times New Roman" w:eastAsia="Times New Roman" w:hAnsi="Times New Roman" w:cs="Times New Roman"/>
          <w:kern w:val="0"/>
          <w:lang w:eastAsia="en-IN"/>
          <w14:ligatures w14:val="none"/>
        </w:rPr>
        <w:t>agri</w:t>
      </w:r>
      <w:proofErr w:type="spellEnd"/>
      <w:r w:rsidRPr="00403E23">
        <w:rPr>
          <w:rFonts w:ascii="Times New Roman" w:eastAsia="Times New Roman" w:hAnsi="Times New Roman" w:cs="Times New Roman"/>
          <w:kern w:val="0"/>
          <w:lang w:eastAsia="en-IN"/>
          <w14:ligatures w14:val="none"/>
        </w:rPr>
        <w:t>-entrepreneurship.</w:t>
      </w:r>
    </w:p>
    <w:p w14:paraId="47036FB5" w14:textId="77777777" w:rsidR="00A7757C" w:rsidRDefault="00A7757C" w:rsidP="00403E23">
      <w:pPr>
        <w:spacing w:line="240" w:lineRule="auto"/>
        <w:jc w:val="both"/>
        <w:rPr>
          <w:rFonts w:ascii="Times New Roman" w:hAnsi="Times New Roman" w:cs="Times New Roman"/>
          <w:b/>
          <w:bCs/>
        </w:rPr>
      </w:pPr>
    </w:p>
    <w:p w14:paraId="7749295A" w14:textId="28D32371" w:rsidR="005751AC" w:rsidRPr="00403E23" w:rsidRDefault="005751AC" w:rsidP="00403E23">
      <w:pPr>
        <w:spacing w:line="240" w:lineRule="auto"/>
        <w:jc w:val="both"/>
        <w:rPr>
          <w:rFonts w:ascii="Times New Roman" w:hAnsi="Times New Roman" w:cs="Times New Roman"/>
          <w:b/>
          <w:bCs/>
        </w:rPr>
      </w:pPr>
      <w:bookmarkStart w:id="0" w:name="_GoBack"/>
      <w:bookmarkEnd w:id="0"/>
      <w:r w:rsidRPr="00403E23">
        <w:rPr>
          <w:rFonts w:ascii="Times New Roman" w:hAnsi="Times New Roman" w:cs="Times New Roman"/>
          <w:b/>
          <w:bCs/>
        </w:rPr>
        <w:t xml:space="preserve">REFERENCES </w:t>
      </w:r>
    </w:p>
    <w:p w14:paraId="4CC44832"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Abbasi, H. 2017. Porter’s industry analysis and value chain model. </w:t>
      </w:r>
      <w:r w:rsidRPr="00403E23">
        <w:rPr>
          <w:rFonts w:ascii="Times New Roman" w:hAnsi="Times New Roman" w:cs="Times New Roman"/>
          <w:i/>
          <w:iCs/>
        </w:rPr>
        <w:t>Int. J. Adv. Res.</w:t>
      </w:r>
      <w:r w:rsidRPr="00403E23">
        <w:rPr>
          <w:rFonts w:ascii="Times New Roman" w:hAnsi="Times New Roman" w:cs="Times New Roman"/>
        </w:rPr>
        <w:t xml:space="preserve"> </w:t>
      </w:r>
      <w:r w:rsidRPr="00403E23">
        <w:rPr>
          <w:rFonts w:ascii="Times New Roman" w:hAnsi="Times New Roman" w:cs="Times New Roman"/>
          <w:b/>
          <w:bCs/>
        </w:rPr>
        <w:t>5</w:t>
      </w:r>
      <w:r w:rsidRPr="00403E23">
        <w:rPr>
          <w:rFonts w:ascii="Times New Roman" w:hAnsi="Times New Roman" w:cs="Times New Roman"/>
        </w:rPr>
        <w:t>(5): 990–1003.</w:t>
      </w:r>
    </w:p>
    <w:p w14:paraId="21129296"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Agricultural and Processed Food Products Export Development Authority (APEDA). 2023. Retrieved from </w:t>
      </w:r>
      <w:hyperlink r:id="rId7" w:tgtFrame="_new" w:history="1">
        <w:r w:rsidRPr="00403E23">
          <w:rPr>
            <w:rStyle w:val="Hyperlink"/>
            <w:rFonts w:ascii="Times New Roman" w:hAnsi="Times New Roman" w:cs="Times New Roman"/>
          </w:rPr>
          <w:t>https://www.apeda.gov.in/</w:t>
        </w:r>
      </w:hyperlink>
    </w:p>
    <w:p w14:paraId="608E57F6" w14:textId="77777777" w:rsidR="005751AC" w:rsidRPr="00403E23" w:rsidRDefault="005751AC" w:rsidP="00403E23">
      <w:pPr>
        <w:numPr>
          <w:ilvl w:val="0"/>
          <w:numId w:val="1"/>
        </w:numPr>
        <w:spacing w:line="240" w:lineRule="auto"/>
        <w:jc w:val="both"/>
        <w:rPr>
          <w:rFonts w:ascii="Times New Roman" w:hAnsi="Times New Roman" w:cs="Times New Roman"/>
        </w:rPr>
      </w:pPr>
      <w:proofErr w:type="spellStart"/>
      <w:r w:rsidRPr="00403E23">
        <w:rPr>
          <w:rFonts w:ascii="Times New Roman" w:hAnsi="Times New Roman" w:cs="Times New Roman"/>
        </w:rPr>
        <w:t>Anandajayasekeram</w:t>
      </w:r>
      <w:proofErr w:type="spellEnd"/>
      <w:r w:rsidRPr="00403E23">
        <w:rPr>
          <w:rFonts w:ascii="Times New Roman" w:hAnsi="Times New Roman" w:cs="Times New Roman"/>
        </w:rPr>
        <w:t>, P. and Gebremedhin, B. 2009. Integrating innovation systems perspective and value chain analysis in agricultural research for development: Implications and challenges. ILRI, Nairobi, Kenya.</w:t>
      </w:r>
    </w:p>
    <w:p w14:paraId="4FD15F8B"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Armstrong, L.J., </w:t>
      </w:r>
      <w:proofErr w:type="spellStart"/>
      <w:r w:rsidRPr="00403E23">
        <w:rPr>
          <w:rFonts w:ascii="Times New Roman" w:hAnsi="Times New Roman" w:cs="Times New Roman"/>
        </w:rPr>
        <w:t>Diepeveen</w:t>
      </w:r>
      <w:proofErr w:type="spellEnd"/>
      <w:r w:rsidRPr="00403E23">
        <w:rPr>
          <w:rFonts w:ascii="Times New Roman" w:hAnsi="Times New Roman" w:cs="Times New Roman"/>
        </w:rPr>
        <w:t xml:space="preserve">, D.A. and Gandhi, N. 2011. Effective ICTs in agricultural value chains to improve food security: An international perspective. In: </w:t>
      </w:r>
      <w:r w:rsidRPr="00403E23">
        <w:rPr>
          <w:rFonts w:ascii="Times New Roman" w:hAnsi="Times New Roman" w:cs="Times New Roman"/>
          <w:i/>
          <w:iCs/>
        </w:rPr>
        <w:t>Proc. World Congress on Information and Communication Technologies</w:t>
      </w:r>
      <w:r w:rsidRPr="00403E23">
        <w:rPr>
          <w:rFonts w:ascii="Times New Roman" w:hAnsi="Times New Roman" w:cs="Times New Roman"/>
        </w:rPr>
        <w:t>, pp. 1217–1222.</w:t>
      </w:r>
    </w:p>
    <w:p w14:paraId="2E4B35E8"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Barrett, C.B., Bachke, M.E., Bellemare, M.F., Michelson, H.C., Narayanan, S. and Walker, T.F. 2010. Smallholder participation in agricultural value chains: Comparative evidence from three continents. </w:t>
      </w:r>
      <w:r w:rsidRPr="00403E23">
        <w:rPr>
          <w:rFonts w:ascii="Times New Roman" w:hAnsi="Times New Roman" w:cs="Times New Roman"/>
          <w:i/>
          <w:iCs/>
        </w:rPr>
        <w:t>World Dev.</w:t>
      </w:r>
      <w:r w:rsidRPr="00403E23">
        <w:rPr>
          <w:rFonts w:ascii="Times New Roman" w:hAnsi="Times New Roman" w:cs="Times New Roman"/>
        </w:rPr>
        <w:t xml:space="preserve"> </w:t>
      </w:r>
      <w:r w:rsidRPr="00403E23">
        <w:rPr>
          <w:rFonts w:ascii="Times New Roman" w:hAnsi="Times New Roman" w:cs="Times New Roman"/>
          <w:b/>
          <w:bCs/>
        </w:rPr>
        <w:t>38</w:t>
      </w:r>
      <w:r w:rsidRPr="00403E23">
        <w:rPr>
          <w:rFonts w:ascii="Times New Roman" w:hAnsi="Times New Roman" w:cs="Times New Roman"/>
        </w:rPr>
        <w:t>: 715–726.</w:t>
      </w:r>
    </w:p>
    <w:p w14:paraId="165FDA07"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Dubey, S., Singh, R., Singh, S.P., Mishra, A.H. and Singh, N.V. 2020. A brief study of value chain and supply chain. In: </w:t>
      </w:r>
      <w:r w:rsidRPr="00403E23">
        <w:rPr>
          <w:rFonts w:ascii="Times New Roman" w:hAnsi="Times New Roman" w:cs="Times New Roman"/>
          <w:i/>
          <w:iCs/>
        </w:rPr>
        <w:t>Agriculture Development and Economic Transformation in Global Scenario</w:t>
      </w:r>
      <w:r w:rsidRPr="00403E23">
        <w:rPr>
          <w:rFonts w:ascii="Times New Roman" w:hAnsi="Times New Roman" w:cs="Times New Roman"/>
        </w:rPr>
        <w:t>, pp. 177–183.</w:t>
      </w:r>
    </w:p>
    <w:p w14:paraId="763C02BA"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Fernandez-Stark, K., Bamber, P. and Gereffi, G. 2011. Workforce development in the fruit and vegetable global value chain. In: </w:t>
      </w:r>
      <w:r w:rsidRPr="00403E23">
        <w:rPr>
          <w:rFonts w:ascii="Times New Roman" w:hAnsi="Times New Roman" w:cs="Times New Roman"/>
          <w:i/>
          <w:iCs/>
        </w:rPr>
        <w:t>Skills for Upgrading: Workforce Development and Global Value Chains in Developing Countries</w:t>
      </w:r>
      <w:r w:rsidRPr="00403E23">
        <w:rPr>
          <w:rFonts w:ascii="Times New Roman" w:hAnsi="Times New Roman" w:cs="Times New Roman"/>
        </w:rPr>
        <w:t xml:space="preserve">. </w:t>
      </w:r>
      <w:proofErr w:type="spellStart"/>
      <w:r w:rsidRPr="00403E23">
        <w:rPr>
          <w:rFonts w:ascii="Times New Roman" w:hAnsi="Times New Roman" w:cs="Times New Roman"/>
        </w:rPr>
        <w:t>Center</w:t>
      </w:r>
      <w:proofErr w:type="spellEnd"/>
      <w:r w:rsidRPr="00403E23">
        <w:rPr>
          <w:rFonts w:ascii="Times New Roman" w:hAnsi="Times New Roman" w:cs="Times New Roman"/>
        </w:rPr>
        <w:t xml:space="preserve"> on Globalization, Governance and Competitiveness, Duke University, USA.</w:t>
      </w:r>
    </w:p>
    <w:p w14:paraId="77417EA5"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Food and Agriculture Organization of the United Nations (FAO). 2022. Retrieved from </w:t>
      </w:r>
      <w:hyperlink r:id="rId8" w:tgtFrame="_new" w:history="1">
        <w:r w:rsidRPr="00403E23">
          <w:rPr>
            <w:rStyle w:val="Hyperlink"/>
            <w:rFonts w:ascii="Times New Roman" w:hAnsi="Times New Roman" w:cs="Times New Roman"/>
          </w:rPr>
          <w:t>https://www.fao.org/home/en</w:t>
        </w:r>
      </w:hyperlink>
    </w:p>
    <w:p w14:paraId="26A4817F"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Golini, R., </w:t>
      </w:r>
      <w:proofErr w:type="spellStart"/>
      <w:r w:rsidRPr="00403E23">
        <w:rPr>
          <w:rFonts w:ascii="Times New Roman" w:hAnsi="Times New Roman" w:cs="Times New Roman"/>
        </w:rPr>
        <w:t>Caniato</w:t>
      </w:r>
      <w:proofErr w:type="spellEnd"/>
      <w:r w:rsidRPr="00403E23">
        <w:rPr>
          <w:rFonts w:ascii="Times New Roman" w:hAnsi="Times New Roman" w:cs="Times New Roman"/>
        </w:rPr>
        <w:t xml:space="preserve">, F. and </w:t>
      </w:r>
      <w:proofErr w:type="spellStart"/>
      <w:r w:rsidRPr="00403E23">
        <w:rPr>
          <w:rFonts w:ascii="Times New Roman" w:hAnsi="Times New Roman" w:cs="Times New Roman"/>
        </w:rPr>
        <w:t>Kalchschmidt</w:t>
      </w:r>
      <w:proofErr w:type="spellEnd"/>
      <w:r w:rsidRPr="00403E23">
        <w:rPr>
          <w:rFonts w:ascii="Times New Roman" w:hAnsi="Times New Roman" w:cs="Times New Roman"/>
        </w:rPr>
        <w:t xml:space="preserve">, M. 2016. Linking global value chains and supply chain management: Evidence from the electric motors industry. </w:t>
      </w:r>
      <w:r w:rsidRPr="00403E23">
        <w:rPr>
          <w:rFonts w:ascii="Times New Roman" w:hAnsi="Times New Roman" w:cs="Times New Roman"/>
          <w:i/>
          <w:iCs/>
        </w:rPr>
        <w:t xml:space="preserve">Prod. </w:t>
      </w:r>
      <w:proofErr w:type="spellStart"/>
      <w:r w:rsidRPr="00403E23">
        <w:rPr>
          <w:rFonts w:ascii="Times New Roman" w:hAnsi="Times New Roman" w:cs="Times New Roman"/>
          <w:i/>
          <w:iCs/>
        </w:rPr>
        <w:t>Plann</w:t>
      </w:r>
      <w:proofErr w:type="spellEnd"/>
      <w:r w:rsidRPr="00403E23">
        <w:rPr>
          <w:rFonts w:ascii="Times New Roman" w:hAnsi="Times New Roman" w:cs="Times New Roman"/>
          <w:i/>
          <w:iCs/>
        </w:rPr>
        <w:t>. Control</w:t>
      </w:r>
      <w:r w:rsidRPr="00403E23">
        <w:rPr>
          <w:rFonts w:ascii="Times New Roman" w:hAnsi="Times New Roman" w:cs="Times New Roman"/>
        </w:rPr>
        <w:t xml:space="preserve"> </w:t>
      </w:r>
      <w:r w:rsidRPr="00403E23">
        <w:rPr>
          <w:rFonts w:ascii="Times New Roman" w:hAnsi="Times New Roman" w:cs="Times New Roman"/>
          <w:b/>
          <w:bCs/>
        </w:rPr>
        <w:t>27</w:t>
      </w:r>
      <w:r w:rsidRPr="00403E23">
        <w:rPr>
          <w:rFonts w:ascii="Times New Roman" w:hAnsi="Times New Roman" w:cs="Times New Roman"/>
        </w:rPr>
        <w:t>(11): 934–951.</w:t>
      </w:r>
    </w:p>
    <w:p w14:paraId="10089ADD"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Hassan, B., Bhattacharjee, D.M. and Wani, D.S. 2020. Value chain analysis of horticultural crops – regional analysis in Indian horticultural scenario. </w:t>
      </w:r>
      <w:r w:rsidRPr="00403E23">
        <w:rPr>
          <w:rFonts w:ascii="Times New Roman" w:hAnsi="Times New Roman" w:cs="Times New Roman"/>
          <w:i/>
          <w:iCs/>
        </w:rPr>
        <w:t>Int. J. Appl. Res.</w:t>
      </w:r>
      <w:r w:rsidRPr="00403E23">
        <w:rPr>
          <w:rFonts w:ascii="Times New Roman" w:hAnsi="Times New Roman" w:cs="Times New Roman"/>
        </w:rPr>
        <w:t xml:space="preserve"> </w:t>
      </w:r>
      <w:r w:rsidRPr="00403E23">
        <w:rPr>
          <w:rFonts w:ascii="Times New Roman" w:hAnsi="Times New Roman" w:cs="Times New Roman"/>
          <w:b/>
          <w:bCs/>
        </w:rPr>
        <w:t>6</w:t>
      </w:r>
      <w:r w:rsidRPr="00403E23">
        <w:rPr>
          <w:rFonts w:ascii="Times New Roman" w:hAnsi="Times New Roman" w:cs="Times New Roman"/>
        </w:rPr>
        <w:t>(12): 367–373.</w:t>
      </w:r>
    </w:p>
    <w:p w14:paraId="3529CCD4"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Hernandez, J.E., Kacprzyk, J., </w:t>
      </w:r>
      <w:proofErr w:type="spellStart"/>
      <w:r w:rsidRPr="00403E23">
        <w:rPr>
          <w:rFonts w:ascii="Times New Roman" w:hAnsi="Times New Roman" w:cs="Times New Roman"/>
        </w:rPr>
        <w:t>Panetto</w:t>
      </w:r>
      <w:proofErr w:type="spellEnd"/>
      <w:r w:rsidRPr="00403E23">
        <w:rPr>
          <w:rFonts w:ascii="Times New Roman" w:hAnsi="Times New Roman" w:cs="Times New Roman"/>
        </w:rPr>
        <w:t xml:space="preserve">, H., Fernandez, A., Liu, S., Ortiz, A. and De-Angelis, M. 2017. Challenges and solutions for enhancing agriculture value chain decision-making. In: </w:t>
      </w:r>
      <w:r w:rsidRPr="00403E23">
        <w:rPr>
          <w:rFonts w:ascii="Times New Roman" w:hAnsi="Times New Roman" w:cs="Times New Roman"/>
          <w:i/>
          <w:iCs/>
        </w:rPr>
        <w:t>Collaboration in a Data-Rich World</w:t>
      </w:r>
      <w:r w:rsidRPr="00403E23">
        <w:rPr>
          <w:rFonts w:ascii="Times New Roman" w:hAnsi="Times New Roman" w:cs="Times New Roman"/>
        </w:rPr>
        <w:t>. IFIP AICT 506, Springer, pp. 761–774.</w:t>
      </w:r>
    </w:p>
    <w:p w14:paraId="1FA3B1DE"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lastRenderedPageBreak/>
        <w:t xml:space="preserve">Jasnoor, A.K. 2024. Value chain assessment of horticultural crops in the Vidarbha region of Maharashtra. </w:t>
      </w:r>
      <w:r w:rsidRPr="00403E23">
        <w:rPr>
          <w:rFonts w:ascii="Times New Roman" w:hAnsi="Times New Roman" w:cs="Times New Roman"/>
          <w:i/>
          <w:iCs/>
        </w:rPr>
        <w:t>Agric. Sci. Dig.</w:t>
      </w:r>
      <w:r w:rsidRPr="00403E23">
        <w:rPr>
          <w:rFonts w:ascii="Times New Roman" w:hAnsi="Times New Roman" w:cs="Times New Roman"/>
        </w:rPr>
        <w:t xml:space="preserve"> </w:t>
      </w:r>
      <w:r w:rsidRPr="00403E23">
        <w:rPr>
          <w:rFonts w:ascii="Times New Roman" w:hAnsi="Times New Roman" w:cs="Times New Roman"/>
          <w:b/>
          <w:bCs/>
        </w:rPr>
        <w:t>44</w:t>
      </w:r>
      <w:r w:rsidRPr="00403E23">
        <w:rPr>
          <w:rFonts w:ascii="Times New Roman" w:hAnsi="Times New Roman" w:cs="Times New Roman"/>
        </w:rPr>
        <w:t>(4): 663–668.</w:t>
      </w:r>
    </w:p>
    <w:p w14:paraId="65EB44BF" w14:textId="77777777" w:rsidR="005751AC" w:rsidRPr="00403E23" w:rsidRDefault="005751AC" w:rsidP="00403E23">
      <w:pPr>
        <w:numPr>
          <w:ilvl w:val="0"/>
          <w:numId w:val="1"/>
        </w:numPr>
        <w:spacing w:line="240" w:lineRule="auto"/>
        <w:jc w:val="both"/>
        <w:rPr>
          <w:rFonts w:ascii="Times New Roman" w:hAnsi="Times New Roman" w:cs="Times New Roman"/>
        </w:rPr>
      </w:pPr>
      <w:proofErr w:type="spellStart"/>
      <w:r w:rsidRPr="00403E23">
        <w:rPr>
          <w:rFonts w:ascii="Times New Roman" w:hAnsi="Times New Roman" w:cs="Times New Roman"/>
        </w:rPr>
        <w:t>Kamilaris</w:t>
      </w:r>
      <w:proofErr w:type="spellEnd"/>
      <w:r w:rsidRPr="00403E23">
        <w:rPr>
          <w:rFonts w:ascii="Times New Roman" w:hAnsi="Times New Roman" w:cs="Times New Roman"/>
        </w:rPr>
        <w:t xml:space="preserve">, A., Fonts, A. and </w:t>
      </w:r>
      <w:proofErr w:type="spellStart"/>
      <w:r w:rsidRPr="00403E23">
        <w:rPr>
          <w:rFonts w:ascii="Times New Roman" w:hAnsi="Times New Roman" w:cs="Times New Roman"/>
        </w:rPr>
        <w:t>Prenafeta-Boldú</w:t>
      </w:r>
      <w:proofErr w:type="spellEnd"/>
      <w:r w:rsidRPr="00403E23">
        <w:rPr>
          <w:rFonts w:ascii="Times New Roman" w:hAnsi="Times New Roman" w:cs="Times New Roman"/>
        </w:rPr>
        <w:t xml:space="preserve">, F.X. 2019. The rise of blockchain technology in agriculture and food supply chains. </w:t>
      </w:r>
      <w:r w:rsidRPr="00403E23">
        <w:rPr>
          <w:rFonts w:ascii="Times New Roman" w:hAnsi="Times New Roman" w:cs="Times New Roman"/>
          <w:i/>
          <w:iCs/>
        </w:rPr>
        <w:t>Trends Food Sci. Technol.</w:t>
      </w:r>
      <w:r w:rsidRPr="00403E23">
        <w:rPr>
          <w:rFonts w:ascii="Times New Roman" w:hAnsi="Times New Roman" w:cs="Times New Roman"/>
        </w:rPr>
        <w:t xml:space="preserve"> </w:t>
      </w:r>
      <w:r w:rsidRPr="00403E23">
        <w:rPr>
          <w:rFonts w:ascii="Times New Roman" w:hAnsi="Times New Roman" w:cs="Times New Roman"/>
          <w:b/>
          <w:bCs/>
        </w:rPr>
        <w:t>91</w:t>
      </w:r>
      <w:r w:rsidRPr="00403E23">
        <w:rPr>
          <w:rFonts w:ascii="Times New Roman" w:hAnsi="Times New Roman" w:cs="Times New Roman"/>
        </w:rPr>
        <w:t>: 640–652.</w:t>
      </w:r>
    </w:p>
    <w:p w14:paraId="0DB94EF2"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Knorr, D. and Augustin, M.A. 2020. Food processing needs, advantages and misconceptions. </w:t>
      </w:r>
      <w:r w:rsidRPr="00403E23">
        <w:rPr>
          <w:rFonts w:ascii="Times New Roman" w:hAnsi="Times New Roman" w:cs="Times New Roman"/>
          <w:i/>
          <w:iCs/>
        </w:rPr>
        <w:t>Trends Food Sci. Technol.</w:t>
      </w:r>
      <w:r w:rsidRPr="00403E23">
        <w:rPr>
          <w:rFonts w:ascii="Times New Roman" w:hAnsi="Times New Roman" w:cs="Times New Roman"/>
        </w:rPr>
        <w:t xml:space="preserve"> </w:t>
      </w:r>
      <w:r w:rsidRPr="00403E23">
        <w:rPr>
          <w:rFonts w:ascii="Times New Roman" w:hAnsi="Times New Roman" w:cs="Times New Roman"/>
          <w:b/>
          <w:bCs/>
        </w:rPr>
        <w:t>108</w:t>
      </w:r>
      <w:r w:rsidRPr="00403E23">
        <w:rPr>
          <w:rFonts w:ascii="Times New Roman" w:hAnsi="Times New Roman" w:cs="Times New Roman"/>
        </w:rPr>
        <w:t>: 103–112.</w:t>
      </w:r>
    </w:p>
    <w:p w14:paraId="1916618C"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Ministry of Agriculture and Farmers’ Welfare. 2023. Retrieved from </w:t>
      </w:r>
      <w:hyperlink r:id="rId9" w:tgtFrame="_new" w:history="1">
        <w:r w:rsidRPr="00403E23">
          <w:rPr>
            <w:rStyle w:val="Hyperlink"/>
            <w:rFonts w:ascii="Times New Roman" w:hAnsi="Times New Roman" w:cs="Times New Roman"/>
          </w:rPr>
          <w:t>https://agriwelfare.gov.in/</w:t>
        </w:r>
      </w:hyperlink>
    </w:p>
    <w:p w14:paraId="0AA90437"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Mudgal, D. and Kumar, V. 2023. Status of vegetable processing and value addition. </w:t>
      </w:r>
      <w:r w:rsidRPr="00403E23">
        <w:rPr>
          <w:rFonts w:ascii="Times New Roman" w:hAnsi="Times New Roman" w:cs="Times New Roman"/>
          <w:i/>
          <w:iCs/>
        </w:rPr>
        <w:t>J. Curr. Res. Food Sci.</w:t>
      </w:r>
      <w:r w:rsidRPr="00403E23">
        <w:rPr>
          <w:rFonts w:ascii="Times New Roman" w:hAnsi="Times New Roman" w:cs="Times New Roman"/>
        </w:rPr>
        <w:t xml:space="preserve"> </w:t>
      </w:r>
      <w:r w:rsidRPr="00403E23">
        <w:rPr>
          <w:rFonts w:ascii="Times New Roman" w:hAnsi="Times New Roman" w:cs="Times New Roman"/>
          <w:b/>
          <w:bCs/>
        </w:rPr>
        <w:t>4</w:t>
      </w:r>
      <w:r w:rsidRPr="00403E23">
        <w:rPr>
          <w:rFonts w:ascii="Times New Roman" w:hAnsi="Times New Roman" w:cs="Times New Roman"/>
        </w:rPr>
        <w:t>(1): 40–48.</w:t>
      </w:r>
    </w:p>
    <w:p w14:paraId="111368FB"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Mukherjee, A., Roy, S., Yadav, V.K., Pradhan, K., Shubha, K., Singh, D.K. and Kumar, U. 2022. Problems faced by vegetable-based Farmers Producer Companies: A descriptive analysis. </w:t>
      </w:r>
      <w:r w:rsidRPr="00403E23">
        <w:rPr>
          <w:rFonts w:ascii="Times New Roman" w:hAnsi="Times New Roman" w:cs="Times New Roman"/>
          <w:i/>
          <w:iCs/>
        </w:rPr>
        <w:t>Veg. Sci.</w:t>
      </w:r>
      <w:r w:rsidRPr="00403E23">
        <w:rPr>
          <w:rFonts w:ascii="Times New Roman" w:hAnsi="Times New Roman" w:cs="Times New Roman"/>
        </w:rPr>
        <w:t xml:space="preserve"> </w:t>
      </w:r>
      <w:r w:rsidRPr="00403E23">
        <w:rPr>
          <w:rFonts w:ascii="Times New Roman" w:hAnsi="Times New Roman" w:cs="Times New Roman"/>
          <w:b/>
          <w:bCs/>
        </w:rPr>
        <w:t>49</w:t>
      </w:r>
      <w:r w:rsidRPr="00403E23">
        <w:rPr>
          <w:rFonts w:ascii="Times New Roman" w:hAnsi="Times New Roman" w:cs="Times New Roman"/>
        </w:rPr>
        <w:t>(1): 96–100.</w:t>
      </w:r>
    </w:p>
    <w:p w14:paraId="30AF2519"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Naqash, F. and Wani, S.A. 2018. A value chain analysis of apple in Kashmir valley: An overview. </w:t>
      </w:r>
      <w:r w:rsidRPr="00403E23">
        <w:rPr>
          <w:rFonts w:ascii="Times New Roman" w:hAnsi="Times New Roman" w:cs="Times New Roman"/>
          <w:i/>
          <w:iCs/>
        </w:rPr>
        <w:t xml:space="preserve">Int. J. </w:t>
      </w:r>
      <w:proofErr w:type="spellStart"/>
      <w:r w:rsidRPr="00403E23">
        <w:rPr>
          <w:rFonts w:ascii="Times New Roman" w:hAnsi="Times New Roman" w:cs="Times New Roman"/>
          <w:i/>
          <w:iCs/>
        </w:rPr>
        <w:t>Enhanc</w:t>
      </w:r>
      <w:proofErr w:type="spellEnd"/>
      <w:r w:rsidRPr="00403E23">
        <w:rPr>
          <w:rFonts w:ascii="Times New Roman" w:hAnsi="Times New Roman" w:cs="Times New Roman"/>
          <w:i/>
          <w:iCs/>
        </w:rPr>
        <w:t xml:space="preserve">. Res. Manag. </w:t>
      </w:r>
      <w:proofErr w:type="spellStart"/>
      <w:r w:rsidRPr="00403E23">
        <w:rPr>
          <w:rFonts w:ascii="Times New Roman" w:hAnsi="Times New Roman" w:cs="Times New Roman"/>
          <w:i/>
          <w:iCs/>
        </w:rPr>
        <w:t>Comput</w:t>
      </w:r>
      <w:proofErr w:type="spellEnd"/>
      <w:r w:rsidRPr="00403E23">
        <w:rPr>
          <w:rFonts w:ascii="Times New Roman" w:hAnsi="Times New Roman" w:cs="Times New Roman"/>
          <w:i/>
          <w:iCs/>
        </w:rPr>
        <w:t>. Appl.</w:t>
      </w:r>
      <w:r w:rsidRPr="00403E23">
        <w:rPr>
          <w:rFonts w:ascii="Times New Roman" w:hAnsi="Times New Roman" w:cs="Times New Roman"/>
        </w:rPr>
        <w:t xml:space="preserve"> </w:t>
      </w:r>
      <w:r w:rsidRPr="00403E23">
        <w:rPr>
          <w:rFonts w:ascii="Times New Roman" w:hAnsi="Times New Roman" w:cs="Times New Roman"/>
          <w:b/>
          <w:bCs/>
        </w:rPr>
        <w:t>7</w:t>
      </w:r>
      <w:r w:rsidRPr="00403E23">
        <w:rPr>
          <w:rFonts w:ascii="Times New Roman" w:hAnsi="Times New Roman" w:cs="Times New Roman"/>
        </w:rPr>
        <w:t>(3): 2319–7471.</w:t>
      </w:r>
    </w:p>
    <w:p w14:paraId="4A2F0799"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Nicola, S. and Fontana, E. 2010. Global horticulture: Challenges and opportunities. </w:t>
      </w:r>
      <w:r w:rsidRPr="00403E23">
        <w:rPr>
          <w:rFonts w:ascii="Times New Roman" w:hAnsi="Times New Roman" w:cs="Times New Roman"/>
          <w:i/>
          <w:iCs/>
        </w:rPr>
        <w:t xml:space="preserve">Acta </w:t>
      </w:r>
      <w:proofErr w:type="spellStart"/>
      <w:r w:rsidRPr="00403E23">
        <w:rPr>
          <w:rFonts w:ascii="Times New Roman" w:hAnsi="Times New Roman" w:cs="Times New Roman"/>
          <w:i/>
          <w:iCs/>
        </w:rPr>
        <w:t>Hortic</w:t>
      </w:r>
      <w:proofErr w:type="spellEnd"/>
      <w:r w:rsidRPr="00403E23">
        <w:rPr>
          <w:rFonts w:ascii="Times New Roman" w:hAnsi="Times New Roman" w:cs="Times New Roman"/>
          <w:i/>
          <w:iCs/>
        </w:rPr>
        <w:t>.</w:t>
      </w:r>
      <w:r w:rsidRPr="00403E23">
        <w:rPr>
          <w:rFonts w:ascii="Times New Roman" w:hAnsi="Times New Roman" w:cs="Times New Roman"/>
        </w:rPr>
        <w:t xml:space="preserve"> </w:t>
      </w:r>
      <w:r w:rsidRPr="00403E23">
        <w:rPr>
          <w:rFonts w:ascii="Times New Roman" w:hAnsi="Times New Roman" w:cs="Times New Roman"/>
          <w:b/>
          <w:bCs/>
        </w:rPr>
        <w:t>856</w:t>
      </w:r>
      <w:r w:rsidRPr="00403E23">
        <w:rPr>
          <w:rFonts w:ascii="Times New Roman" w:hAnsi="Times New Roman" w:cs="Times New Roman"/>
        </w:rPr>
        <w:t>: 49–54.</w:t>
      </w:r>
    </w:p>
    <w:p w14:paraId="0943586B"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Okello, J.J., </w:t>
      </w:r>
      <w:proofErr w:type="spellStart"/>
      <w:r w:rsidRPr="00403E23">
        <w:rPr>
          <w:rFonts w:ascii="Times New Roman" w:hAnsi="Times New Roman" w:cs="Times New Roman"/>
        </w:rPr>
        <w:t>Ofwona</w:t>
      </w:r>
      <w:proofErr w:type="spellEnd"/>
      <w:r w:rsidRPr="00403E23">
        <w:rPr>
          <w:rFonts w:ascii="Times New Roman" w:hAnsi="Times New Roman" w:cs="Times New Roman"/>
        </w:rPr>
        <w:t xml:space="preserve">-Adera, E., </w:t>
      </w:r>
      <w:proofErr w:type="spellStart"/>
      <w:r w:rsidRPr="00403E23">
        <w:rPr>
          <w:rFonts w:ascii="Times New Roman" w:hAnsi="Times New Roman" w:cs="Times New Roman"/>
        </w:rPr>
        <w:t>Mbatia</w:t>
      </w:r>
      <w:proofErr w:type="spellEnd"/>
      <w:r w:rsidRPr="00403E23">
        <w:rPr>
          <w:rFonts w:ascii="Times New Roman" w:hAnsi="Times New Roman" w:cs="Times New Roman"/>
        </w:rPr>
        <w:t xml:space="preserve">, O.L. and Okello, R.M. 2013. Using ICT to integrate smallholder farmers into agricultural value chains: The case of </w:t>
      </w:r>
      <w:proofErr w:type="spellStart"/>
      <w:r w:rsidRPr="00403E23">
        <w:rPr>
          <w:rFonts w:ascii="Times New Roman" w:hAnsi="Times New Roman" w:cs="Times New Roman"/>
        </w:rPr>
        <w:t>DrumNet</w:t>
      </w:r>
      <w:proofErr w:type="spellEnd"/>
      <w:r w:rsidRPr="00403E23">
        <w:rPr>
          <w:rFonts w:ascii="Times New Roman" w:hAnsi="Times New Roman" w:cs="Times New Roman"/>
        </w:rPr>
        <w:t xml:space="preserve"> project in Kenya. In: </w:t>
      </w:r>
      <w:r w:rsidRPr="00403E23">
        <w:rPr>
          <w:rFonts w:ascii="Times New Roman" w:hAnsi="Times New Roman" w:cs="Times New Roman"/>
          <w:i/>
          <w:iCs/>
        </w:rPr>
        <w:t>Technology, Sustainability and Rural Development in Africa</w:t>
      </w:r>
      <w:r w:rsidRPr="00403E23">
        <w:rPr>
          <w:rFonts w:ascii="Times New Roman" w:hAnsi="Times New Roman" w:cs="Times New Roman"/>
        </w:rPr>
        <w:t>. IGI Global, pp. 44–58.</w:t>
      </w:r>
    </w:p>
    <w:p w14:paraId="79063A22" w14:textId="77777777" w:rsidR="00EA7246" w:rsidRPr="00403E23" w:rsidRDefault="00EA7246" w:rsidP="00403E23">
      <w:pPr>
        <w:spacing w:line="240" w:lineRule="auto"/>
        <w:jc w:val="both"/>
        <w:rPr>
          <w:rFonts w:ascii="Times New Roman" w:hAnsi="Times New Roman" w:cs="Times New Roman"/>
        </w:rPr>
      </w:pPr>
    </w:p>
    <w:sectPr w:rsidR="00EA7246" w:rsidRPr="00403E23" w:rsidSect="00E6079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93291" w14:textId="77777777" w:rsidR="00D61A53" w:rsidRDefault="00D61A53" w:rsidP="00971E46">
      <w:pPr>
        <w:spacing w:after="0" w:line="240" w:lineRule="auto"/>
      </w:pPr>
      <w:r>
        <w:separator/>
      </w:r>
    </w:p>
  </w:endnote>
  <w:endnote w:type="continuationSeparator" w:id="0">
    <w:p w14:paraId="1BCB17C1" w14:textId="77777777" w:rsidR="00D61A53" w:rsidRDefault="00D61A53" w:rsidP="0097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705D" w14:textId="77777777" w:rsidR="00A7757C" w:rsidRDefault="00A77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178558"/>
      <w:docPartObj>
        <w:docPartGallery w:val="Page Numbers (Bottom of Page)"/>
        <w:docPartUnique/>
      </w:docPartObj>
    </w:sdtPr>
    <w:sdtEndPr>
      <w:rPr>
        <w:noProof/>
      </w:rPr>
    </w:sdtEndPr>
    <w:sdtContent>
      <w:p w14:paraId="61FA234D" w14:textId="1BF72704" w:rsidR="00971E46" w:rsidRDefault="00971E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1AEB" w14:textId="77777777" w:rsidR="00971E46" w:rsidRDefault="00971E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30EB5" w14:textId="77777777" w:rsidR="00A7757C" w:rsidRDefault="00A77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DA395" w14:textId="77777777" w:rsidR="00D61A53" w:rsidRDefault="00D61A53" w:rsidP="00971E46">
      <w:pPr>
        <w:spacing w:after="0" w:line="240" w:lineRule="auto"/>
      </w:pPr>
      <w:r>
        <w:separator/>
      </w:r>
    </w:p>
  </w:footnote>
  <w:footnote w:type="continuationSeparator" w:id="0">
    <w:p w14:paraId="44FC50CD" w14:textId="77777777" w:rsidR="00D61A53" w:rsidRDefault="00D61A53" w:rsidP="00971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F283" w14:textId="6F6A646C" w:rsidR="00A7757C" w:rsidRDefault="00A7757C">
    <w:pPr>
      <w:pStyle w:val="Header"/>
    </w:pPr>
    <w:r>
      <w:rPr>
        <w:noProof/>
      </w:rPr>
      <w:pict w14:anchorId="03550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163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EBC23" w14:textId="478B22FE" w:rsidR="00A7757C" w:rsidRDefault="00A7757C">
    <w:pPr>
      <w:pStyle w:val="Header"/>
    </w:pPr>
    <w:r>
      <w:rPr>
        <w:noProof/>
      </w:rPr>
      <w:pict w14:anchorId="220F7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163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49D83" w14:textId="2F660333" w:rsidR="00A7757C" w:rsidRDefault="00A7757C">
    <w:pPr>
      <w:pStyle w:val="Header"/>
    </w:pPr>
    <w:r>
      <w:rPr>
        <w:noProof/>
      </w:rPr>
      <w:pict w14:anchorId="28932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163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704FC6"/>
    <w:multiLevelType w:val="multilevel"/>
    <w:tmpl w:val="3F286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EC22CF"/>
    <w:multiLevelType w:val="hybridMultilevel"/>
    <w:tmpl w:val="80B29264"/>
    <w:lvl w:ilvl="0" w:tplc="0ECAB3F6">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46"/>
    <w:rsid w:val="000A174D"/>
    <w:rsid w:val="000C48DA"/>
    <w:rsid w:val="00100C0E"/>
    <w:rsid w:val="00116755"/>
    <w:rsid w:val="0014182A"/>
    <w:rsid w:val="002029F5"/>
    <w:rsid w:val="002221CF"/>
    <w:rsid w:val="002233EE"/>
    <w:rsid w:val="00275C1C"/>
    <w:rsid w:val="002C3595"/>
    <w:rsid w:val="002E09C5"/>
    <w:rsid w:val="0032191E"/>
    <w:rsid w:val="00330CC0"/>
    <w:rsid w:val="00394AB1"/>
    <w:rsid w:val="003C237C"/>
    <w:rsid w:val="00403E23"/>
    <w:rsid w:val="004A56D8"/>
    <w:rsid w:val="005005C8"/>
    <w:rsid w:val="00516FE8"/>
    <w:rsid w:val="0053175A"/>
    <w:rsid w:val="00550EE5"/>
    <w:rsid w:val="005751AC"/>
    <w:rsid w:val="00577ADA"/>
    <w:rsid w:val="005A3BBC"/>
    <w:rsid w:val="005B2706"/>
    <w:rsid w:val="005F5A5E"/>
    <w:rsid w:val="00721A95"/>
    <w:rsid w:val="0079264B"/>
    <w:rsid w:val="007D6BD9"/>
    <w:rsid w:val="00822874"/>
    <w:rsid w:val="00824388"/>
    <w:rsid w:val="00832F2E"/>
    <w:rsid w:val="008A6C19"/>
    <w:rsid w:val="00911B65"/>
    <w:rsid w:val="00932942"/>
    <w:rsid w:val="00971E46"/>
    <w:rsid w:val="009A71F2"/>
    <w:rsid w:val="009F1763"/>
    <w:rsid w:val="00A7757C"/>
    <w:rsid w:val="00B44015"/>
    <w:rsid w:val="00CB38DD"/>
    <w:rsid w:val="00D61A53"/>
    <w:rsid w:val="00E146A5"/>
    <w:rsid w:val="00E25E31"/>
    <w:rsid w:val="00E34DFF"/>
    <w:rsid w:val="00E60793"/>
    <w:rsid w:val="00E80E49"/>
    <w:rsid w:val="00EA7246"/>
    <w:rsid w:val="00F57B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31B241"/>
  <w15:chartTrackingRefBased/>
  <w15:docId w15:val="{F1879F2F-2DAA-4C0F-9072-0277A99E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2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A72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72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72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72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7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2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A72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72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72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72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7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246"/>
    <w:rPr>
      <w:rFonts w:eastAsiaTheme="majorEastAsia" w:cstheme="majorBidi"/>
      <w:color w:val="272727" w:themeColor="text1" w:themeTint="D8"/>
    </w:rPr>
  </w:style>
  <w:style w:type="paragraph" w:styleId="Title">
    <w:name w:val="Title"/>
    <w:basedOn w:val="Normal"/>
    <w:next w:val="Normal"/>
    <w:link w:val="TitleChar"/>
    <w:uiPriority w:val="10"/>
    <w:qFormat/>
    <w:rsid w:val="00EA7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246"/>
    <w:pPr>
      <w:spacing w:before="160"/>
      <w:jc w:val="center"/>
    </w:pPr>
    <w:rPr>
      <w:i/>
      <w:iCs/>
      <w:color w:val="404040" w:themeColor="text1" w:themeTint="BF"/>
    </w:rPr>
  </w:style>
  <w:style w:type="character" w:customStyle="1" w:styleId="QuoteChar">
    <w:name w:val="Quote Char"/>
    <w:basedOn w:val="DefaultParagraphFont"/>
    <w:link w:val="Quote"/>
    <w:uiPriority w:val="29"/>
    <w:rsid w:val="00EA7246"/>
    <w:rPr>
      <w:i/>
      <w:iCs/>
      <w:color w:val="404040" w:themeColor="text1" w:themeTint="BF"/>
    </w:rPr>
  </w:style>
  <w:style w:type="paragraph" w:styleId="ListParagraph">
    <w:name w:val="List Paragraph"/>
    <w:basedOn w:val="Normal"/>
    <w:uiPriority w:val="34"/>
    <w:qFormat/>
    <w:rsid w:val="00EA7246"/>
    <w:pPr>
      <w:ind w:left="720"/>
      <w:contextualSpacing/>
    </w:pPr>
  </w:style>
  <w:style w:type="character" w:styleId="IntenseEmphasis">
    <w:name w:val="Intense Emphasis"/>
    <w:basedOn w:val="DefaultParagraphFont"/>
    <w:uiPriority w:val="21"/>
    <w:qFormat/>
    <w:rsid w:val="00EA7246"/>
    <w:rPr>
      <w:i/>
      <w:iCs/>
      <w:color w:val="2F5496" w:themeColor="accent1" w:themeShade="BF"/>
    </w:rPr>
  </w:style>
  <w:style w:type="paragraph" w:styleId="IntenseQuote">
    <w:name w:val="Intense Quote"/>
    <w:basedOn w:val="Normal"/>
    <w:next w:val="Normal"/>
    <w:link w:val="IntenseQuoteChar"/>
    <w:uiPriority w:val="30"/>
    <w:qFormat/>
    <w:rsid w:val="00EA7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7246"/>
    <w:rPr>
      <w:i/>
      <w:iCs/>
      <w:color w:val="2F5496" w:themeColor="accent1" w:themeShade="BF"/>
    </w:rPr>
  </w:style>
  <w:style w:type="character" w:styleId="IntenseReference">
    <w:name w:val="Intense Reference"/>
    <w:basedOn w:val="DefaultParagraphFont"/>
    <w:uiPriority w:val="32"/>
    <w:qFormat/>
    <w:rsid w:val="00EA7246"/>
    <w:rPr>
      <w:b/>
      <w:bCs/>
      <w:smallCaps/>
      <w:color w:val="2F5496" w:themeColor="accent1" w:themeShade="BF"/>
      <w:spacing w:val="5"/>
    </w:rPr>
  </w:style>
  <w:style w:type="character" w:styleId="Hyperlink">
    <w:name w:val="Hyperlink"/>
    <w:basedOn w:val="DefaultParagraphFont"/>
    <w:uiPriority w:val="99"/>
    <w:unhideWhenUsed/>
    <w:rsid w:val="005751AC"/>
    <w:rPr>
      <w:color w:val="0563C1" w:themeColor="hyperlink"/>
      <w:u w:val="single"/>
    </w:rPr>
  </w:style>
  <w:style w:type="character" w:styleId="UnresolvedMention">
    <w:name w:val="Unresolved Mention"/>
    <w:basedOn w:val="DefaultParagraphFont"/>
    <w:uiPriority w:val="99"/>
    <w:semiHidden/>
    <w:unhideWhenUsed/>
    <w:rsid w:val="005751AC"/>
    <w:rPr>
      <w:color w:val="605E5C"/>
      <w:shd w:val="clear" w:color="auto" w:fill="E1DFDD"/>
    </w:rPr>
  </w:style>
  <w:style w:type="character" w:styleId="Strong">
    <w:name w:val="Strong"/>
    <w:basedOn w:val="DefaultParagraphFont"/>
    <w:uiPriority w:val="22"/>
    <w:qFormat/>
    <w:rsid w:val="0079264B"/>
    <w:rPr>
      <w:b/>
      <w:bCs/>
    </w:rPr>
  </w:style>
  <w:style w:type="paragraph" w:styleId="NormalWeb">
    <w:name w:val="Normal (Web)"/>
    <w:basedOn w:val="Normal"/>
    <w:uiPriority w:val="99"/>
    <w:semiHidden/>
    <w:unhideWhenUsed/>
    <w:rsid w:val="0079264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eader">
    <w:name w:val="header"/>
    <w:basedOn w:val="Normal"/>
    <w:link w:val="HeaderChar"/>
    <w:uiPriority w:val="99"/>
    <w:unhideWhenUsed/>
    <w:rsid w:val="00971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E46"/>
  </w:style>
  <w:style w:type="paragraph" w:styleId="Footer">
    <w:name w:val="footer"/>
    <w:basedOn w:val="Normal"/>
    <w:link w:val="FooterChar"/>
    <w:uiPriority w:val="99"/>
    <w:unhideWhenUsed/>
    <w:rsid w:val="00971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E46"/>
  </w:style>
  <w:style w:type="character" w:styleId="LineNumber">
    <w:name w:val="line number"/>
    <w:basedOn w:val="DefaultParagraphFont"/>
    <w:uiPriority w:val="99"/>
    <w:semiHidden/>
    <w:unhideWhenUsed/>
    <w:rsid w:val="009A7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home/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peda.gov.i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griwelfare.gov.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5110</Words>
  <Characters>29128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Vandna Thakur</dc:creator>
  <cp:keywords/>
  <dc:description/>
  <cp:lastModifiedBy>SDI 1084</cp:lastModifiedBy>
  <cp:revision>32</cp:revision>
  <dcterms:created xsi:type="dcterms:W3CDTF">2026-01-29T03:45:00Z</dcterms:created>
  <dcterms:modified xsi:type="dcterms:W3CDTF">2026-01-30T10:24:00Z</dcterms:modified>
</cp:coreProperties>
</file>