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7C03F" w14:textId="77777777" w:rsidR="00694E0B" w:rsidRPr="006D641C" w:rsidRDefault="00694E0B" w:rsidP="00694E0B">
      <w:pPr>
        <w:pStyle w:val="Author"/>
        <w:spacing w:line="240" w:lineRule="auto"/>
        <w:jc w:val="left"/>
        <w:outlineLvl w:val="0"/>
        <w:rPr>
          <w:rFonts w:ascii="Arial" w:hAnsi="Arial" w:cs="Arial"/>
          <w:bCs/>
          <w:i/>
          <w:iCs/>
          <w:kern w:val="28"/>
          <w:sz w:val="36"/>
          <w:u w:val="single"/>
        </w:rPr>
      </w:pPr>
      <w:bookmarkStart w:id="0" w:name="_Hlk203394571"/>
      <w:r>
        <w:rPr>
          <w:rFonts w:ascii="Arial" w:hAnsi="Arial" w:cs="Arial"/>
          <w:bCs/>
          <w:i/>
          <w:iCs/>
          <w:kern w:val="28"/>
          <w:sz w:val="36"/>
          <w:u w:val="single"/>
        </w:rPr>
        <w:t>Short Research Article</w:t>
      </w:r>
    </w:p>
    <w:p w14:paraId="2567FC89" w14:textId="77777777" w:rsidR="00694E0B" w:rsidRDefault="00694E0B" w:rsidP="00F672E3">
      <w:pPr>
        <w:spacing w:after="0" w:line="360" w:lineRule="auto"/>
        <w:ind w:left="284" w:right="184" w:firstLine="270"/>
        <w:jc w:val="center"/>
        <w:rPr>
          <w:rFonts w:ascii="Times New Roman" w:hAnsi="Times New Roman" w:cs="Times New Roman"/>
          <w:b/>
          <w:sz w:val="32"/>
          <w:szCs w:val="24"/>
        </w:rPr>
      </w:pPr>
    </w:p>
    <w:p w14:paraId="10EE3BC5" w14:textId="77777777" w:rsidR="00694E0B" w:rsidRDefault="00694E0B" w:rsidP="00F672E3">
      <w:pPr>
        <w:spacing w:after="0" w:line="360" w:lineRule="auto"/>
        <w:ind w:left="284" w:right="184" w:firstLine="270"/>
        <w:jc w:val="center"/>
        <w:rPr>
          <w:rFonts w:ascii="Times New Roman" w:hAnsi="Times New Roman" w:cs="Times New Roman"/>
          <w:b/>
          <w:sz w:val="32"/>
          <w:szCs w:val="24"/>
        </w:rPr>
      </w:pPr>
    </w:p>
    <w:p w14:paraId="3685DB89" w14:textId="214FE418" w:rsidR="00F672E3" w:rsidRDefault="00F672E3" w:rsidP="00F672E3">
      <w:pPr>
        <w:spacing w:after="0" w:line="360" w:lineRule="auto"/>
        <w:ind w:left="284" w:right="184" w:firstLine="270"/>
        <w:jc w:val="center"/>
        <w:rPr>
          <w:rFonts w:ascii="Times New Roman" w:hAnsi="Times New Roman" w:cs="Times New Roman"/>
          <w:b/>
          <w:bCs/>
          <w:sz w:val="32"/>
          <w:szCs w:val="28"/>
        </w:rPr>
      </w:pPr>
      <w:r>
        <w:rPr>
          <w:rFonts w:ascii="Times New Roman" w:hAnsi="Times New Roman" w:cs="Times New Roman"/>
          <w:b/>
          <w:sz w:val="32"/>
          <w:szCs w:val="24"/>
        </w:rPr>
        <w:t>Services</w:t>
      </w:r>
      <w:r w:rsidRPr="00BD4908">
        <w:rPr>
          <w:rFonts w:ascii="Times New Roman" w:hAnsi="Times New Roman" w:cs="Times New Roman"/>
          <w:b/>
          <w:sz w:val="32"/>
          <w:szCs w:val="24"/>
        </w:rPr>
        <w:t xml:space="preserve"> p</w:t>
      </w:r>
      <w:r>
        <w:rPr>
          <w:rFonts w:ascii="Times New Roman" w:hAnsi="Times New Roman" w:cs="Times New Roman"/>
          <w:b/>
          <w:sz w:val="32"/>
          <w:szCs w:val="24"/>
        </w:rPr>
        <w:t xml:space="preserve">rovided </w:t>
      </w:r>
      <w:r w:rsidRPr="00BD4908">
        <w:rPr>
          <w:rFonts w:ascii="Times New Roman" w:hAnsi="Times New Roman" w:cs="Times New Roman"/>
          <w:b/>
          <w:sz w:val="32"/>
          <w:szCs w:val="24"/>
        </w:rPr>
        <w:t xml:space="preserve">by the farmer </w:t>
      </w:r>
      <w:r>
        <w:rPr>
          <w:rFonts w:ascii="Times New Roman" w:hAnsi="Times New Roman" w:cs="Times New Roman"/>
          <w:b/>
          <w:sz w:val="32"/>
          <w:szCs w:val="24"/>
        </w:rPr>
        <w:t>producer</w:t>
      </w:r>
      <w:r w:rsidRPr="00BD4908">
        <w:rPr>
          <w:rFonts w:ascii="Times New Roman" w:hAnsi="Times New Roman" w:cs="Times New Roman"/>
          <w:b/>
          <w:sz w:val="32"/>
          <w:szCs w:val="24"/>
        </w:rPr>
        <w:t xml:space="preserve"> o</w:t>
      </w:r>
      <w:r>
        <w:rPr>
          <w:rFonts w:ascii="Times New Roman" w:hAnsi="Times New Roman" w:cs="Times New Roman"/>
          <w:b/>
          <w:sz w:val="32"/>
          <w:szCs w:val="24"/>
        </w:rPr>
        <w:t>rganization</w:t>
      </w:r>
      <w:r w:rsidR="00C52AF8">
        <w:rPr>
          <w:rFonts w:ascii="Times New Roman" w:hAnsi="Times New Roman" w:cs="Times New Roman"/>
          <w:b/>
          <w:sz w:val="32"/>
          <w:szCs w:val="24"/>
        </w:rPr>
        <w:t>s</w:t>
      </w:r>
      <w:r>
        <w:rPr>
          <w:rFonts w:ascii="Times New Roman" w:hAnsi="Times New Roman" w:cs="Times New Roman"/>
          <w:b/>
          <w:sz w:val="32"/>
          <w:szCs w:val="24"/>
        </w:rPr>
        <w:t xml:space="preserve"> </w:t>
      </w:r>
      <w:r w:rsidRPr="00BD4908">
        <w:rPr>
          <w:rFonts w:ascii="Times New Roman" w:hAnsi="Times New Roman" w:cs="Times New Roman"/>
          <w:b/>
          <w:sz w:val="32"/>
          <w:szCs w:val="24"/>
        </w:rPr>
        <w:t>in</w:t>
      </w:r>
      <w:r>
        <w:rPr>
          <w:rFonts w:ascii="Times New Roman" w:hAnsi="Times New Roman" w:cs="Times New Roman"/>
          <w:b/>
          <w:sz w:val="32"/>
          <w:szCs w:val="24"/>
        </w:rPr>
        <w:t xml:space="preserve"> Marathwada region of Maharashtra</w:t>
      </w:r>
    </w:p>
    <w:bookmarkEnd w:id="0"/>
    <w:p w14:paraId="4843D7A8" w14:textId="77777777" w:rsidR="00F672E3" w:rsidRPr="0025671E" w:rsidRDefault="00F672E3" w:rsidP="00F672E3">
      <w:pPr>
        <w:spacing w:after="0" w:line="360" w:lineRule="auto"/>
        <w:ind w:left="-270" w:firstLine="270"/>
        <w:jc w:val="center"/>
        <w:rPr>
          <w:rFonts w:ascii="Times New Roman" w:hAnsi="Times New Roman" w:cs="Times New Roman"/>
          <w:b/>
          <w:bCs/>
          <w:sz w:val="32"/>
          <w:szCs w:val="28"/>
        </w:rPr>
      </w:pPr>
    </w:p>
    <w:p w14:paraId="72B0D65A" w14:textId="016AF7A9" w:rsidR="00D7794C" w:rsidRPr="0096788D" w:rsidRDefault="00D7794C" w:rsidP="00F672E3">
      <w:pPr>
        <w:spacing w:after="0" w:line="360" w:lineRule="auto"/>
        <w:ind w:left="-270" w:right="-540" w:firstLine="90"/>
        <w:jc w:val="center"/>
        <w:rPr>
          <w:rFonts w:ascii="Times New Roman" w:hAnsi="Times New Roman" w:cs="Times New Roman"/>
          <w:b/>
          <w:bCs/>
          <w:sz w:val="24"/>
          <w:szCs w:val="28"/>
        </w:rPr>
      </w:pPr>
      <w:bookmarkStart w:id="1" w:name="_GoBack"/>
      <w:bookmarkEnd w:id="1"/>
      <w:r>
        <w:rPr>
          <w:rFonts w:ascii="Calibri" w:hAnsi="Calibri" w:cs="Calibri"/>
        </w:rPr>
        <w:t xml:space="preserve"> </w:t>
      </w:r>
    </w:p>
    <w:p w14:paraId="30F2768A" w14:textId="77777777" w:rsidR="00F672E3" w:rsidRPr="006B43AE" w:rsidRDefault="00F672E3" w:rsidP="00F672E3">
      <w:pPr>
        <w:spacing w:before="240" w:after="0" w:line="360" w:lineRule="auto"/>
        <w:ind w:left="2880" w:right="-450" w:firstLine="720"/>
        <w:rPr>
          <w:rFonts w:ascii="Times New Roman" w:hAnsi="Times New Roman" w:cs="Times New Roman"/>
          <w:b/>
          <w:bCs/>
          <w:i/>
          <w:sz w:val="28"/>
          <w:szCs w:val="28"/>
        </w:rPr>
      </w:pPr>
      <w:r>
        <w:rPr>
          <w:rFonts w:ascii="Times New Roman" w:hAnsi="Times New Roman" w:cs="Times New Roman"/>
          <w:b/>
          <w:bCs/>
          <w:sz w:val="28"/>
          <w:szCs w:val="28"/>
        </w:rPr>
        <w:t xml:space="preserve">     </w:t>
      </w:r>
      <w:r w:rsidRPr="00EE1FC5">
        <w:rPr>
          <w:rFonts w:ascii="Times New Roman" w:hAnsi="Times New Roman" w:cs="Times New Roman"/>
          <w:b/>
          <w:bCs/>
          <w:sz w:val="28"/>
          <w:szCs w:val="28"/>
        </w:rPr>
        <w:t xml:space="preserve"> </w:t>
      </w:r>
      <w:r w:rsidRPr="006B43AE">
        <w:rPr>
          <w:rFonts w:ascii="Times New Roman" w:hAnsi="Times New Roman" w:cs="Times New Roman"/>
          <w:b/>
          <w:bCs/>
          <w:i/>
          <w:sz w:val="28"/>
          <w:szCs w:val="28"/>
        </w:rPr>
        <w:t>Abstract</w:t>
      </w:r>
    </w:p>
    <w:p w14:paraId="76B7C8D3" w14:textId="372C0804" w:rsidR="00C52AF8" w:rsidRPr="00C52AF8" w:rsidRDefault="00F672E3" w:rsidP="00282FC1">
      <w:pPr>
        <w:ind w:firstLine="720"/>
        <w:jc w:val="both"/>
        <w:rPr>
          <w:rFonts w:ascii="Times New Roman" w:eastAsia="Times New Roman" w:hAnsi="Times New Roman" w:cs="Times New Roman"/>
          <w:color w:val="252525"/>
          <w:sz w:val="24"/>
          <w:szCs w:val="24"/>
          <w:lang w:val="en-GB" w:eastAsia="en-GB"/>
        </w:rPr>
      </w:pPr>
      <w:r w:rsidRPr="001E0967">
        <w:rPr>
          <w:rFonts w:ascii="Times New Roman" w:eastAsia="Times New Roman" w:hAnsi="Times New Roman" w:cs="Times New Roman"/>
          <w:color w:val="252525"/>
          <w:sz w:val="24"/>
          <w:szCs w:val="24"/>
          <w:lang w:val="en-GB" w:eastAsia="en-GB"/>
        </w:rPr>
        <w:t xml:space="preserve">This research article discussed about the </w:t>
      </w:r>
      <w:r w:rsidR="00C52AF8" w:rsidRPr="00C52AF8">
        <w:rPr>
          <w:rFonts w:ascii="Times New Roman" w:eastAsia="Times New Roman" w:hAnsi="Times New Roman" w:cs="Times New Roman"/>
          <w:color w:val="252525"/>
          <w:sz w:val="24"/>
          <w:szCs w:val="24"/>
          <w:lang w:val="en-GB" w:eastAsia="en-GB"/>
        </w:rPr>
        <w:t>Services provided by the farmer producer organization</w:t>
      </w:r>
      <w:r w:rsidR="00C52AF8">
        <w:rPr>
          <w:rFonts w:ascii="Times New Roman" w:eastAsia="Times New Roman" w:hAnsi="Times New Roman" w:cs="Times New Roman"/>
          <w:color w:val="252525"/>
          <w:sz w:val="24"/>
          <w:szCs w:val="24"/>
          <w:lang w:val="en-GB" w:eastAsia="en-GB"/>
        </w:rPr>
        <w:t>s</w:t>
      </w:r>
      <w:r w:rsidR="00C52AF8" w:rsidRPr="00C52AF8">
        <w:rPr>
          <w:rFonts w:ascii="Times New Roman" w:eastAsia="Times New Roman" w:hAnsi="Times New Roman" w:cs="Times New Roman"/>
          <w:color w:val="252525"/>
          <w:sz w:val="24"/>
          <w:szCs w:val="24"/>
          <w:lang w:val="en-GB" w:eastAsia="en-GB"/>
        </w:rPr>
        <w:t xml:space="preserve"> in Marathwada region of Maharashtra</w:t>
      </w:r>
      <w:r w:rsidRPr="001E0967">
        <w:rPr>
          <w:rFonts w:ascii="Times New Roman" w:eastAsia="Times New Roman" w:hAnsi="Times New Roman" w:cs="Times New Roman"/>
          <w:color w:val="252525"/>
          <w:sz w:val="24"/>
          <w:szCs w:val="24"/>
          <w:lang w:val="en-GB" w:eastAsia="en-GB"/>
        </w:rPr>
        <w:t xml:space="preserve">. </w:t>
      </w:r>
      <w:r w:rsidR="00C52AF8" w:rsidRPr="00C52AF8">
        <w:rPr>
          <w:rFonts w:ascii="Times New Roman" w:eastAsia="Times New Roman" w:hAnsi="Times New Roman" w:cs="Times New Roman"/>
          <w:color w:val="252525"/>
          <w:sz w:val="24"/>
          <w:szCs w:val="24"/>
          <w:lang w:val="en-GB" w:eastAsia="en-GB"/>
        </w:rPr>
        <w:t>An FPO is a specific type of PO where the members are farmers. It brings together small and marginal farmers and other small producers to create their own business enterprise managed by professionals. The Small Farmers' Agribusiness Consortium (SFAC) supports the promotion of FPOs. An FPO, also known as a Farmers’ Producer Company (FPC), is a general term for an organization of producers who produce agricultural products</w:t>
      </w:r>
      <w:r w:rsidRPr="001E0967">
        <w:rPr>
          <w:rFonts w:ascii="Times New Roman" w:eastAsia="Times New Roman" w:hAnsi="Times New Roman" w:cs="Times New Roman"/>
          <w:color w:val="252525"/>
          <w:sz w:val="24"/>
          <w:szCs w:val="24"/>
          <w:lang w:val="en-GB" w:eastAsia="en-GB"/>
        </w:rPr>
        <w:t xml:space="preserve">. </w:t>
      </w:r>
      <w:r w:rsidR="00C52AF8" w:rsidRPr="00C52AF8">
        <w:rPr>
          <w:rFonts w:ascii="Times New Roman" w:eastAsia="Times New Roman" w:hAnsi="Times New Roman" w:cs="Times New Roman"/>
          <w:color w:val="252525"/>
          <w:sz w:val="24"/>
          <w:szCs w:val="24"/>
          <w:lang w:val="en-GB" w:eastAsia="en-GB"/>
        </w:rPr>
        <w:t>The table presents a ranking of various service types essential for supporting farmers, using Garrett Mean Scores (GMS) as a prioritization tool. Among the eight identified service categories, Organizational Services ranked highest (GMS: 147.85), highlighting the importance of organizing farmers, promoting collective action, and capacity building. Production Services (GMS: 136.42) and Marketing Services (GMS: 121.34) followed as the second and third priorities, emphasizing the need for input facilitation, output marketing, and market intelligence. Financial Services ranked fourth (GMS: 112.29), indicating farmers' reliance on credit and financial management support. Lower-ranked services included Technology Services (V), Education Services (VI), Management of Resources (VII), and Welfare Services (VIII), suggesting comparatively less perceived urgency but still essential roles. The findings underscore the critical need for structured organizational support, production facilitation, and market access mechanisms in strengthening farmer resilience and productivity.</w:t>
      </w:r>
    </w:p>
    <w:p w14:paraId="6560673F" w14:textId="4197A06C" w:rsidR="00F672E3" w:rsidRDefault="00F672E3" w:rsidP="00282FC1">
      <w:pPr>
        <w:jc w:val="both"/>
        <w:rPr>
          <w:rFonts w:ascii="Times New Roman" w:hAnsi="Times New Roman" w:cs="Times New Roman"/>
          <w:color w:val="000000"/>
          <w:sz w:val="24"/>
          <w:szCs w:val="28"/>
        </w:rPr>
      </w:pPr>
      <w:r w:rsidRPr="005F7C19">
        <w:rPr>
          <w:rFonts w:ascii="Times New Roman" w:hAnsi="Times New Roman" w:cs="Times New Roman"/>
          <w:b/>
          <w:color w:val="000000"/>
          <w:sz w:val="24"/>
          <w:szCs w:val="28"/>
        </w:rPr>
        <w:t>Keywords:</w:t>
      </w:r>
      <w:r>
        <w:rPr>
          <w:rFonts w:ascii="Times New Roman" w:hAnsi="Times New Roman" w:cs="Times New Roman"/>
          <w:color w:val="000000"/>
          <w:sz w:val="24"/>
          <w:szCs w:val="28"/>
        </w:rPr>
        <w:t xml:space="preserve"> </w:t>
      </w:r>
      <w:r w:rsidR="00C52AF8">
        <w:rPr>
          <w:rFonts w:ascii="Times New Roman" w:hAnsi="Times New Roman" w:cs="Times New Roman"/>
          <w:color w:val="000000"/>
          <w:sz w:val="24"/>
          <w:szCs w:val="28"/>
        </w:rPr>
        <w:t xml:space="preserve">Services, Farmer producer </w:t>
      </w:r>
      <w:r w:rsidR="00C24131">
        <w:rPr>
          <w:rFonts w:ascii="Times New Roman" w:hAnsi="Times New Roman" w:cs="Times New Roman"/>
          <w:color w:val="000000"/>
          <w:sz w:val="24"/>
          <w:szCs w:val="28"/>
        </w:rPr>
        <w:t>organizations,</w:t>
      </w:r>
      <w:r>
        <w:rPr>
          <w:rFonts w:ascii="Times New Roman" w:hAnsi="Times New Roman" w:cs="Times New Roman"/>
          <w:color w:val="000000"/>
          <w:sz w:val="24"/>
          <w:szCs w:val="28"/>
        </w:rPr>
        <w:t xml:space="preserve"> Garret ranking.</w:t>
      </w:r>
    </w:p>
    <w:p w14:paraId="3E65C071" w14:textId="77777777" w:rsidR="00F672E3" w:rsidRPr="006B43AE" w:rsidRDefault="00F672E3" w:rsidP="00F672E3">
      <w:pPr>
        <w:jc w:val="both"/>
        <w:rPr>
          <w:rFonts w:ascii="Times New Roman" w:hAnsi="Times New Roman" w:cs="Times New Roman"/>
          <w:b/>
          <w:bCs/>
          <w:sz w:val="24"/>
          <w:szCs w:val="28"/>
        </w:rPr>
      </w:pPr>
    </w:p>
    <w:p w14:paraId="60947FBF" w14:textId="77777777" w:rsidR="00F672E3" w:rsidRPr="007B5A14" w:rsidRDefault="00F672E3" w:rsidP="00F672E3">
      <w:pPr>
        <w:pStyle w:val="ListParagraph"/>
        <w:numPr>
          <w:ilvl w:val="0"/>
          <w:numId w:val="1"/>
        </w:numPr>
        <w:spacing w:after="0"/>
        <w:ind w:left="180" w:right="-450" w:firstLine="0"/>
        <w:jc w:val="center"/>
        <w:rPr>
          <w:rFonts w:ascii="Times New Roman" w:hAnsi="Times New Roman" w:cs="Times New Roman"/>
          <w:b/>
          <w:bCs/>
          <w:sz w:val="28"/>
          <w:szCs w:val="28"/>
        </w:rPr>
      </w:pPr>
      <w:r w:rsidRPr="007B5A14">
        <w:rPr>
          <w:rFonts w:ascii="Times New Roman" w:hAnsi="Times New Roman" w:cs="Times New Roman"/>
          <w:b/>
          <w:bCs/>
          <w:sz w:val="28"/>
          <w:szCs w:val="28"/>
        </w:rPr>
        <w:t>INTRODUCTION</w:t>
      </w:r>
    </w:p>
    <w:p w14:paraId="49A089E8" w14:textId="44348545" w:rsidR="00215CB0" w:rsidRPr="00215CB0" w:rsidRDefault="00215CB0" w:rsidP="00215CB0">
      <w:pPr>
        <w:spacing w:after="0"/>
        <w:ind w:right="375" w:firstLine="720"/>
        <w:jc w:val="both"/>
        <w:rPr>
          <w:rFonts w:ascii="Times New Roman" w:hAnsi="Times New Roman" w:cs="Times New Roman"/>
          <w:sz w:val="24"/>
          <w:szCs w:val="24"/>
          <w:lang w:val="en-IN"/>
        </w:rPr>
      </w:pPr>
      <w:r w:rsidRPr="00215CB0">
        <w:rPr>
          <w:rFonts w:ascii="Times New Roman" w:hAnsi="Times New Roman" w:cs="Times New Roman"/>
          <w:sz w:val="24"/>
          <w:szCs w:val="24"/>
          <w:lang w:val="en-IN"/>
        </w:rPr>
        <w:t xml:space="preserve">Agriculture significantly influences every aspect of economic life in India. The sector is characterized by a large number of dispersed and fragmented small holdings. Small and marginal farmers dominate the agricultural landscape, comprising about 75% of the total farming community. To address land fragmentation and achieve economies of scale, it is essential to aggregate these farmers (Asha, 2018). Organizing producers into formal management entities facilitates collective decision-making, optimizes market intelligence use, </w:t>
      </w:r>
      <w:r w:rsidRPr="00215CB0">
        <w:rPr>
          <w:rFonts w:ascii="Times New Roman" w:hAnsi="Times New Roman" w:cs="Times New Roman"/>
          <w:sz w:val="24"/>
          <w:szCs w:val="24"/>
          <w:lang w:val="en-IN"/>
        </w:rPr>
        <w:lastRenderedPageBreak/>
        <w:t>and creates opportunities for farmers to engage in value-added activities like input supply, credit, pre-cooling, processing, marketing, and distribution (Kumar et al., 2021</w:t>
      </w:r>
      <w:r w:rsidR="0054241C" w:rsidRPr="00215CB0">
        <w:rPr>
          <w:rFonts w:ascii="Times New Roman" w:hAnsi="Times New Roman" w:cs="Times New Roman"/>
          <w:sz w:val="24"/>
          <w:szCs w:val="24"/>
          <w:lang w:val="en-IN"/>
        </w:rPr>
        <w:t>). The</w:t>
      </w:r>
      <w:r w:rsidRPr="00215CB0">
        <w:rPr>
          <w:rFonts w:ascii="Times New Roman" w:hAnsi="Times New Roman" w:cs="Times New Roman"/>
          <w:sz w:val="24"/>
          <w:szCs w:val="24"/>
          <w:lang w:val="en-IN"/>
        </w:rPr>
        <w:t xml:space="preserve"> majority of farmers in India are small and marginal, with 85% of operated holdings being smaller than or about two hectares, and 66% of these being less than one hectare (Singh, 2012). Over 90% of these farmers depend on rain for their crops. Approximately 90-100 million small and marginal farmers in India rely on agriculture for their income and </w:t>
      </w:r>
      <w:r w:rsidR="0054241C" w:rsidRPr="00215CB0">
        <w:rPr>
          <w:rFonts w:ascii="Times New Roman" w:hAnsi="Times New Roman" w:cs="Times New Roman"/>
          <w:sz w:val="24"/>
          <w:szCs w:val="24"/>
          <w:lang w:val="en-IN"/>
        </w:rPr>
        <w:t>employment. Due</w:t>
      </w:r>
      <w:r w:rsidRPr="00215CB0">
        <w:rPr>
          <w:rFonts w:ascii="Times New Roman" w:hAnsi="Times New Roman" w:cs="Times New Roman"/>
          <w:sz w:val="24"/>
          <w:szCs w:val="24"/>
          <w:lang w:val="en-IN"/>
        </w:rPr>
        <w:t xml:space="preserve"> to fragmentation and disorganization, it is economically unviable for farmers to adopt the latest technology, use high-yielding variety seeds, and procure inputs like fertilizers and agrochemicals. They also struggle to realize good value from their marketable surplus when selling individually.</w:t>
      </w:r>
    </w:p>
    <w:p w14:paraId="5C11E53A" w14:textId="4069A420" w:rsidR="00F672E3" w:rsidRDefault="00215CB0" w:rsidP="00215CB0">
      <w:pPr>
        <w:spacing w:after="0"/>
        <w:ind w:right="375" w:firstLine="720"/>
        <w:jc w:val="both"/>
        <w:rPr>
          <w:rFonts w:ascii="Times New Roman" w:hAnsi="Times New Roman" w:cs="Times New Roman"/>
          <w:sz w:val="24"/>
          <w:szCs w:val="24"/>
          <w:lang w:val="en-IN"/>
        </w:rPr>
      </w:pPr>
      <w:r w:rsidRPr="00215CB0">
        <w:rPr>
          <w:rFonts w:ascii="Times New Roman" w:hAnsi="Times New Roman" w:cs="Times New Roman"/>
          <w:sz w:val="24"/>
          <w:szCs w:val="24"/>
          <w:lang w:val="en-IN"/>
        </w:rPr>
        <w:t>The agricultural marketing process in India is complex; farmers often lack market access and sell their produce to intermediaries, reducing their profit margins and making farming non-viable. The increasing number of agricultural suicides among small and marginal farmers (National Crime Records Bureau, 2011) highlights their struggle. Indebtedness is often cited as the immediate cause of distress (Reserve Bank of India, 2006; Satish, 2007), but deeper issues include vulnerability and risks in agricultural production, lower scale of operation, lack of timely inputs, lack of information, poor communication with wider markets, and exploitation by intermediaries. Additionally, challenges include access to and cost of credit, and aggressive loan recovery practices (Dev, 2005).</w:t>
      </w:r>
      <w:r>
        <w:rPr>
          <w:rFonts w:ascii="Times New Roman" w:hAnsi="Times New Roman" w:cs="Times New Roman"/>
          <w:sz w:val="24"/>
          <w:szCs w:val="24"/>
          <w:lang w:val="en-IN"/>
        </w:rPr>
        <w:t xml:space="preserve"> </w:t>
      </w:r>
      <w:r w:rsidRPr="00215CB0">
        <w:rPr>
          <w:rFonts w:ascii="Times New Roman" w:hAnsi="Times New Roman" w:cs="Times New Roman"/>
          <w:sz w:val="24"/>
          <w:szCs w:val="24"/>
          <w:lang w:val="en-IN"/>
        </w:rPr>
        <w:t>Improving farmers</w:t>
      </w:r>
      <w:r>
        <w:rPr>
          <w:rFonts w:ascii="Times New Roman" w:hAnsi="Times New Roman" w:cs="Times New Roman"/>
          <w:sz w:val="24"/>
          <w:szCs w:val="24"/>
          <w:lang w:val="en-IN"/>
        </w:rPr>
        <w:t xml:space="preserve"> </w:t>
      </w:r>
      <w:r w:rsidRPr="00215CB0">
        <w:rPr>
          <w:rFonts w:ascii="Times New Roman" w:hAnsi="Times New Roman" w:cs="Times New Roman"/>
          <w:sz w:val="24"/>
          <w:szCs w:val="24"/>
          <w:lang w:val="en-IN"/>
        </w:rPr>
        <w:t>status is possible through diversification and commercialization of their activities. This can be achieved by collectivizing small and marginal farmers into producer organizations. These organizations effectively address many agricultural challenges, particularly improving access to investments, technology, inputs, and markets. The Department of Agriculture and Cooperation, Ministry of Agriculture, Government of India, has identified farmer producer organizations registered under the special provisions of the Companies Act, 1956, as the most suitable institutional form to mobilize farmers and build their capacity to leverage their production and marketing strength collectively.</w:t>
      </w:r>
      <w:r w:rsidR="00F672E3" w:rsidRPr="00B1299C">
        <w:rPr>
          <w:rFonts w:ascii="Times New Roman" w:hAnsi="Times New Roman" w:cs="Times New Roman"/>
          <w:sz w:val="24"/>
          <w:szCs w:val="24"/>
          <w:lang w:val="en-IN"/>
        </w:rPr>
        <w:t xml:space="preserve"> As such, Garrett’s Ranking Technique is used to </w:t>
      </w:r>
      <w:r w:rsidRPr="00215CB0">
        <w:rPr>
          <w:rFonts w:ascii="Times New Roman" w:hAnsi="Times New Roman" w:cs="Times New Roman"/>
          <w:sz w:val="24"/>
          <w:szCs w:val="24"/>
          <w:lang w:val="en-IN"/>
        </w:rPr>
        <w:t>Services provided by the farmer producer organizations in Marathwada region of Maharashtra</w:t>
      </w:r>
      <w:r w:rsidR="00F672E3" w:rsidRPr="00B1299C">
        <w:rPr>
          <w:rFonts w:ascii="Times New Roman" w:hAnsi="Times New Roman" w:cs="Times New Roman"/>
          <w:sz w:val="24"/>
          <w:szCs w:val="24"/>
          <w:lang w:val="en-IN"/>
        </w:rPr>
        <w:t>.</w:t>
      </w:r>
      <w:r w:rsidR="00F672E3">
        <w:rPr>
          <w:rFonts w:ascii="Times New Roman" w:hAnsi="Times New Roman" w:cs="Times New Roman"/>
          <w:sz w:val="24"/>
          <w:szCs w:val="24"/>
          <w:lang w:val="en-IN"/>
        </w:rPr>
        <w:t xml:space="preserve"> </w:t>
      </w:r>
      <w:r w:rsidR="00F672E3" w:rsidRPr="00297912">
        <w:rPr>
          <w:rFonts w:ascii="Times New Roman" w:hAnsi="Times New Roman" w:cs="Times New Roman"/>
          <w:sz w:val="24"/>
          <w:szCs w:val="24"/>
          <w:lang w:val="en-IN"/>
        </w:rPr>
        <w:t>Garre</w:t>
      </w:r>
      <w:r w:rsidR="00F672E3">
        <w:rPr>
          <w:rFonts w:ascii="Times New Roman" w:hAnsi="Times New Roman" w:cs="Times New Roman"/>
          <w:sz w:val="24"/>
          <w:szCs w:val="24"/>
          <w:lang w:val="en-IN"/>
        </w:rPr>
        <w:t xml:space="preserve">tt’s ranking technique was used </w:t>
      </w:r>
      <w:r w:rsidR="00F672E3" w:rsidRPr="00297912">
        <w:rPr>
          <w:rFonts w:ascii="Times New Roman" w:hAnsi="Times New Roman" w:cs="Times New Roman"/>
          <w:sz w:val="24"/>
          <w:szCs w:val="24"/>
          <w:lang w:val="en-IN"/>
        </w:rPr>
        <w:t>to rank the preference indicated by the</w:t>
      </w:r>
      <w:r w:rsidR="00F672E3">
        <w:rPr>
          <w:rFonts w:ascii="Times New Roman" w:hAnsi="Times New Roman" w:cs="Times New Roman"/>
          <w:sz w:val="24"/>
          <w:szCs w:val="24"/>
          <w:lang w:val="en-IN"/>
        </w:rPr>
        <w:t xml:space="preserve"> </w:t>
      </w:r>
      <w:r w:rsidR="00F672E3" w:rsidRPr="00297912">
        <w:rPr>
          <w:rFonts w:ascii="Times New Roman" w:hAnsi="Times New Roman" w:cs="Times New Roman"/>
          <w:sz w:val="24"/>
          <w:szCs w:val="24"/>
          <w:lang w:val="en-IN"/>
        </w:rPr>
        <w:t>respondents on different factors. As per this method, respondents have been asked to</w:t>
      </w:r>
      <w:r w:rsidR="00F672E3">
        <w:rPr>
          <w:rFonts w:ascii="Times New Roman" w:hAnsi="Times New Roman" w:cs="Times New Roman"/>
          <w:sz w:val="24"/>
          <w:szCs w:val="24"/>
          <w:lang w:val="en-IN"/>
        </w:rPr>
        <w:t xml:space="preserve"> </w:t>
      </w:r>
      <w:r w:rsidR="00F672E3" w:rsidRPr="00297912">
        <w:rPr>
          <w:rFonts w:ascii="Times New Roman" w:hAnsi="Times New Roman" w:cs="Times New Roman"/>
          <w:sz w:val="24"/>
          <w:szCs w:val="24"/>
          <w:lang w:val="en-IN"/>
        </w:rPr>
        <w:t>assign the rank for all factors and the outcomes of such ranking have been converted into</w:t>
      </w:r>
      <w:r w:rsidR="00F672E3">
        <w:rPr>
          <w:rFonts w:ascii="Times New Roman" w:hAnsi="Times New Roman" w:cs="Times New Roman"/>
          <w:sz w:val="24"/>
          <w:szCs w:val="24"/>
          <w:lang w:val="en-IN"/>
        </w:rPr>
        <w:t xml:space="preserve"> </w:t>
      </w:r>
      <w:r w:rsidR="00F672E3" w:rsidRPr="00297912">
        <w:rPr>
          <w:rFonts w:ascii="Times New Roman" w:hAnsi="Times New Roman" w:cs="Times New Roman"/>
          <w:sz w:val="24"/>
          <w:szCs w:val="24"/>
          <w:lang w:val="en-IN"/>
        </w:rPr>
        <w:t>score value</w:t>
      </w:r>
      <w:r w:rsidR="00F672E3">
        <w:rPr>
          <w:rFonts w:ascii="Times New Roman" w:hAnsi="Times New Roman" w:cs="Times New Roman"/>
          <w:sz w:val="24"/>
          <w:szCs w:val="24"/>
          <w:lang w:val="en-IN"/>
        </w:rPr>
        <w:t>.</w:t>
      </w:r>
    </w:p>
    <w:p w14:paraId="3593CF51" w14:textId="5470BF18" w:rsidR="00F672E3" w:rsidRPr="00282FC1" w:rsidRDefault="00F672E3" w:rsidP="00282FC1">
      <w:pPr>
        <w:pStyle w:val="ListParagraph"/>
        <w:numPr>
          <w:ilvl w:val="0"/>
          <w:numId w:val="1"/>
        </w:numPr>
        <w:spacing w:before="240"/>
        <w:ind w:right="375"/>
        <w:jc w:val="center"/>
        <w:rPr>
          <w:rFonts w:ascii="Times New Roman" w:hAnsi="Times New Roman" w:cs="Times New Roman"/>
          <w:b/>
          <w:bCs/>
          <w:sz w:val="28"/>
          <w:szCs w:val="20"/>
          <w:lang w:bidi="hi-IN"/>
        </w:rPr>
      </w:pPr>
      <w:r w:rsidRPr="00282FC1">
        <w:rPr>
          <w:rFonts w:ascii="Times New Roman" w:hAnsi="Times New Roman" w:cs="Times New Roman"/>
          <w:b/>
          <w:bCs/>
          <w:sz w:val="28"/>
          <w:szCs w:val="20"/>
          <w:lang w:bidi="hi-IN"/>
        </w:rPr>
        <w:t>METHODOLOGY</w:t>
      </w:r>
    </w:p>
    <w:p w14:paraId="028529D3" w14:textId="0B432176" w:rsidR="00F672E3" w:rsidRDefault="00215CB0" w:rsidP="00215CB0">
      <w:pPr>
        <w:ind w:right="270" w:firstLine="360"/>
        <w:jc w:val="both"/>
        <w:rPr>
          <w:rFonts w:ascii="Times New Roman" w:hAnsi="Times New Roman" w:cs="Times New Roman"/>
          <w:sz w:val="24"/>
          <w:szCs w:val="24"/>
          <w:lang w:bidi="hi-IN"/>
        </w:rPr>
      </w:pPr>
      <w:r w:rsidRPr="00215CB0">
        <w:rPr>
          <w:rFonts w:ascii="Times New Roman" w:hAnsi="Times New Roman" w:cs="Times New Roman"/>
          <w:sz w:val="24"/>
          <w:szCs w:val="24"/>
          <w:lang w:bidi="hi-IN"/>
        </w:rPr>
        <w:t xml:space="preserve">The present study was conducted in the Latur district of Marathwada division in Maharashtra state, which was selected purposively because Maharashtra has the largest number of Farmer Producer Organizations (FPOs) in India. Within Maharashtra, Latur district was chosen due to its significant concentration of FPOs—approximately 90—making it convenient for the researcher to obtain factual data from farmers. All nine development blocks of Latur district, namely </w:t>
      </w:r>
      <w:proofErr w:type="spellStart"/>
      <w:r w:rsidRPr="00215CB0">
        <w:rPr>
          <w:rFonts w:ascii="Times New Roman" w:hAnsi="Times New Roman" w:cs="Times New Roman"/>
          <w:sz w:val="24"/>
          <w:szCs w:val="24"/>
          <w:lang w:bidi="hi-IN"/>
        </w:rPr>
        <w:t>Ahmadpur</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Ausa</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Udgir</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Chakur</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Jalkot</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Nilanga</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Devani</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Shirur</w:t>
      </w:r>
      <w:proofErr w:type="spellEnd"/>
      <w:r w:rsidRPr="00215CB0">
        <w:rPr>
          <w:rFonts w:ascii="Times New Roman" w:hAnsi="Times New Roman" w:cs="Times New Roman"/>
          <w:sz w:val="24"/>
          <w:szCs w:val="24"/>
          <w:lang w:bidi="hi-IN"/>
        </w:rPr>
        <w:t xml:space="preserve"> </w:t>
      </w:r>
      <w:proofErr w:type="spellStart"/>
      <w:r w:rsidRPr="00215CB0">
        <w:rPr>
          <w:rFonts w:ascii="Times New Roman" w:hAnsi="Times New Roman" w:cs="Times New Roman"/>
          <w:sz w:val="24"/>
          <w:szCs w:val="24"/>
          <w:lang w:bidi="hi-IN"/>
        </w:rPr>
        <w:t>Anantpal</w:t>
      </w:r>
      <w:proofErr w:type="spellEnd"/>
      <w:r w:rsidRPr="00215CB0">
        <w:rPr>
          <w:rFonts w:ascii="Times New Roman" w:hAnsi="Times New Roman" w:cs="Times New Roman"/>
          <w:sz w:val="24"/>
          <w:szCs w:val="24"/>
          <w:lang w:bidi="hi-IN"/>
        </w:rPr>
        <w:t xml:space="preserve">, and </w:t>
      </w:r>
      <w:proofErr w:type="spellStart"/>
      <w:r w:rsidRPr="00215CB0">
        <w:rPr>
          <w:rFonts w:ascii="Times New Roman" w:hAnsi="Times New Roman" w:cs="Times New Roman"/>
          <w:sz w:val="24"/>
          <w:szCs w:val="24"/>
          <w:lang w:bidi="hi-IN"/>
        </w:rPr>
        <w:t>Renapur</w:t>
      </w:r>
      <w:proofErr w:type="spellEnd"/>
      <w:r w:rsidRPr="00215CB0">
        <w:rPr>
          <w:rFonts w:ascii="Times New Roman" w:hAnsi="Times New Roman" w:cs="Times New Roman"/>
          <w:sz w:val="24"/>
          <w:szCs w:val="24"/>
          <w:lang w:bidi="hi-IN"/>
        </w:rPr>
        <w:t xml:space="preserve">, were selected purposively for the study. From each block, a list of existing FPOs was procured from the block headquarters. From this list, one FPO was randomly selected from each block. Thus, a total of nine FPOs were selected for the study. A separate list of farmers was </w:t>
      </w:r>
      <w:r w:rsidRPr="00215CB0">
        <w:rPr>
          <w:rFonts w:ascii="Times New Roman" w:hAnsi="Times New Roman" w:cs="Times New Roman"/>
          <w:sz w:val="24"/>
          <w:szCs w:val="24"/>
          <w:lang w:bidi="hi-IN"/>
        </w:rPr>
        <w:lastRenderedPageBreak/>
        <w:t>prepared from each selected FPO. From each FPO, 20 farmers were selected randomly, resulting in a total sample size of 180 farmers for the study. The simple random sampling technique was used to ensure fair representation from each FPO.A semi-structured interview schedule was used to collect primary data from the farmers. The study focused on gathering information regarding the services provided by FPOs and the constraints faced by farmers associated with these organizations. Farmers were asked to express the type of services they avail and the challenges they face according to their own experiences. Garrett’s Ranking Technique was used to convert the farmers' preferences, constraint ordering, and service rankings into numerical scores for further analysis and interpretation.</w:t>
      </w:r>
      <w:r w:rsidR="005A79A5">
        <w:rPr>
          <w:rFonts w:ascii="Times New Roman" w:hAnsi="Times New Roman" w:cs="Times New Roman"/>
          <w:sz w:val="24"/>
          <w:szCs w:val="24"/>
          <w:lang w:bidi="hi-IN"/>
        </w:rPr>
        <w:t xml:space="preserve"> </w:t>
      </w:r>
      <w:r w:rsidR="00F672E3" w:rsidRPr="000C3869">
        <w:rPr>
          <w:rFonts w:ascii="Times New Roman" w:hAnsi="Times New Roman" w:cs="Times New Roman"/>
          <w:sz w:val="24"/>
          <w:szCs w:val="24"/>
          <w:lang w:bidi="hi-IN"/>
        </w:rPr>
        <w:t>Garrett's Ranking Technique was used to convert preferences, changes in constraint ordering, and benefits into numerical scores.</w:t>
      </w:r>
    </w:p>
    <w:p w14:paraId="49A23D7F" w14:textId="170DEBB9" w:rsidR="00F672E3" w:rsidRDefault="00F672E3" w:rsidP="00282FC1">
      <w:pPr>
        <w:ind w:right="270" w:firstLine="360"/>
        <w:jc w:val="center"/>
        <w:rPr>
          <w:rFonts w:ascii="Times New Roman" w:hAnsi="Times New Roman" w:cs="Times New Roman"/>
          <w:sz w:val="24"/>
          <w:szCs w:val="24"/>
          <w:lang w:bidi="hi-IN"/>
        </w:rPr>
      </w:pPr>
      <w:r>
        <w:rPr>
          <w:rFonts w:ascii="Times New Roman" w:hAnsi="Times New Roman" w:cs="Times New Roman"/>
          <w:b/>
          <w:noProof/>
          <w:sz w:val="28"/>
          <w:szCs w:val="28"/>
          <w:lang w:val="en-IN" w:eastAsia="en-IN" w:bidi="hi-IN"/>
        </w:rPr>
        <mc:AlternateContent>
          <mc:Choice Requires="wps">
            <w:drawing>
              <wp:anchor distT="0" distB="0" distL="114300" distR="114300" simplePos="0" relativeHeight="251659264" behindDoc="0" locked="0" layoutInCell="1" allowOverlap="1" wp14:anchorId="30D8D627" wp14:editId="11328A21">
                <wp:simplePos x="0" y="0"/>
                <wp:positionH relativeFrom="column">
                  <wp:posOffset>341630</wp:posOffset>
                </wp:positionH>
                <wp:positionV relativeFrom="paragraph">
                  <wp:posOffset>3281680</wp:posOffset>
                </wp:positionV>
                <wp:extent cx="5845323" cy="358923"/>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5845323" cy="3589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9ACBB" w14:textId="6BC7D964" w:rsidR="00F672E3" w:rsidRPr="00FC7DDF" w:rsidRDefault="00F672E3" w:rsidP="00F672E3">
                            <w:pPr>
                              <w:rPr>
                                <w:rFonts w:ascii="Times New Roman" w:hAnsi="Times New Roman" w:cs="Times New Roman"/>
                                <w:b/>
                                <w:sz w:val="24"/>
                              </w:rPr>
                            </w:pPr>
                            <w:r w:rsidRPr="00FC7DDF">
                              <w:rPr>
                                <w:rFonts w:ascii="Times New Roman" w:hAnsi="Times New Roman" w:cs="Times New Roman"/>
                                <w:b/>
                                <w:sz w:val="24"/>
                              </w:rPr>
                              <w:t xml:space="preserve">Figure 1. Sampling procedure of selection of </w:t>
                            </w:r>
                            <w:r w:rsidR="00ED037C">
                              <w:rPr>
                                <w:rFonts w:ascii="Times New Roman" w:hAnsi="Times New Roman" w:cs="Times New Roman"/>
                                <w:b/>
                                <w:sz w:val="24"/>
                              </w:rPr>
                              <w:t>State, Zone, Districts and</w:t>
                            </w:r>
                            <w:r w:rsidRPr="00FC7DDF">
                              <w:rPr>
                                <w:rFonts w:ascii="Times New Roman" w:hAnsi="Times New Roman" w:cs="Times New Roman"/>
                                <w:b/>
                                <w:sz w:val="24"/>
                              </w:rPr>
                              <w:t xml:space="preserve"> Blocks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8D627" id="_x0000_t202" coordsize="21600,21600" o:spt="202" path="m,l,21600r21600,l21600,xe">
                <v:stroke joinstyle="miter"/>
                <v:path gradientshapeok="t" o:connecttype="rect"/>
              </v:shapetype>
              <v:shape id="Text Box 5" o:spid="_x0000_s1026" type="#_x0000_t202" style="position:absolute;left:0;text-align:left;margin-left:26.9pt;margin-top:258.4pt;width:460.25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" filled="f" stroked="f" strokeweight=".5pt">
                <v:textbox>
                  <w:txbxContent>
                    <w:p w14:paraId="6C19ACBB" w14:textId="6BC7D964" w:rsidR="00F672E3" w:rsidRPr="00FC7DDF" w:rsidRDefault="00F672E3" w:rsidP="00F672E3">
                      <w:pPr>
                        <w:rPr>
                          <w:rFonts w:ascii="Times New Roman" w:hAnsi="Times New Roman" w:cs="Times New Roman"/>
                          <w:b/>
                          <w:sz w:val="24"/>
                        </w:rPr>
                      </w:pPr>
                      <w:r w:rsidRPr="00FC7DDF">
                        <w:rPr>
                          <w:rFonts w:ascii="Times New Roman" w:hAnsi="Times New Roman" w:cs="Times New Roman"/>
                          <w:b/>
                          <w:sz w:val="24"/>
                        </w:rPr>
                        <w:t xml:space="preserve">Figure 1. Sampling procedure of selection of </w:t>
                      </w:r>
                      <w:r w:rsidR="00ED037C">
                        <w:rPr>
                          <w:rFonts w:ascii="Times New Roman" w:hAnsi="Times New Roman" w:cs="Times New Roman"/>
                          <w:b/>
                          <w:sz w:val="24"/>
                        </w:rPr>
                        <w:t>State, Zone, Districts and</w:t>
                      </w:r>
                      <w:r w:rsidRPr="00FC7DDF">
                        <w:rPr>
                          <w:rFonts w:ascii="Times New Roman" w:hAnsi="Times New Roman" w:cs="Times New Roman"/>
                          <w:b/>
                          <w:sz w:val="24"/>
                        </w:rPr>
                        <w:t xml:space="preserve"> Blocks</w:t>
                      </w:r>
                    </w:p>
                  </w:txbxContent>
                </v:textbox>
              </v:shape>
            </w:pict>
          </mc:Fallback>
        </mc:AlternateContent>
      </w:r>
      <w:r w:rsidR="00ED037C">
        <w:rPr>
          <w:noProof/>
          <w:lang w:val="en-IN" w:eastAsia="en-IN" w:bidi="hi-IN"/>
        </w:rPr>
        <w:drawing>
          <wp:inline distT="0" distB="0" distL="0" distR="0" wp14:anchorId="751AFF38" wp14:editId="1E4EF626">
            <wp:extent cx="3331791" cy="3331791"/>
            <wp:effectExtent l="0" t="0" r="2540" b="2540"/>
            <wp:docPr id="1682018821"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5835" cy="3335835"/>
                    </a:xfrm>
                    <a:prstGeom prst="rect">
                      <a:avLst/>
                    </a:prstGeom>
                    <a:noFill/>
                    <a:ln>
                      <a:noFill/>
                    </a:ln>
                  </pic:spPr>
                </pic:pic>
              </a:graphicData>
            </a:graphic>
          </wp:inline>
        </w:drawing>
      </w:r>
    </w:p>
    <w:p w14:paraId="701E13AB" w14:textId="77777777" w:rsidR="00F672E3" w:rsidRDefault="00F672E3" w:rsidP="00F672E3">
      <w:pPr>
        <w:ind w:right="270" w:firstLine="360"/>
        <w:jc w:val="both"/>
        <w:rPr>
          <w:rFonts w:ascii="Times New Roman" w:hAnsi="Times New Roman" w:cs="Times New Roman"/>
          <w:sz w:val="24"/>
          <w:szCs w:val="24"/>
          <w:lang w:bidi="hi-IN"/>
        </w:rPr>
      </w:pPr>
    </w:p>
    <w:p w14:paraId="4CE5727E" w14:textId="2BB0AF36" w:rsidR="00F672E3" w:rsidRPr="00282FC1" w:rsidRDefault="00F672E3" w:rsidP="00282FC1">
      <w:pPr>
        <w:pStyle w:val="ListParagraph"/>
        <w:numPr>
          <w:ilvl w:val="0"/>
          <w:numId w:val="1"/>
        </w:numPr>
        <w:jc w:val="center"/>
        <w:rPr>
          <w:rFonts w:ascii="Times New Roman" w:hAnsi="Times New Roman" w:cs="Times New Roman"/>
          <w:b/>
          <w:sz w:val="28"/>
          <w:szCs w:val="28"/>
        </w:rPr>
      </w:pPr>
      <w:r w:rsidRPr="00282FC1">
        <w:rPr>
          <w:rFonts w:ascii="Times New Roman" w:hAnsi="Times New Roman" w:cs="Times New Roman"/>
          <w:b/>
          <w:sz w:val="28"/>
          <w:szCs w:val="28"/>
        </w:rPr>
        <w:t>RESULTS AND DISCUSSION</w:t>
      </w:r>
    </w:p>
    <w:p w14:paraId="196630DB" w14:textId="13655686" w:rsidR="00F672E3" w:rsidRDefault="00282FC1" w:rsidP="00F672E3">
      <w:pPr>
        <w:tabs>
          <w:tab w:val="num" w:pos="450"/>
        </w:tabs>
        <w:spacing w:after="0"/>
        <w:jc w:val="both"/>
        <w:rPr>
          <w:rFonts w:ascii="Times New Roman" w:hAnsi="Times New Roman" w:cs="Times New Roman"/>
          <w:b/>
          <w:bCs/>
          <w:sz w:val="28"/>
          <w:szCs w:val="24"/>
        </w:rPr>
      </w:pPr>
      <w:r>
        <w:rPr>
          <w:rFonts w:ascii="Times New Roman" w:hAnsi="Times New Roman" w:cs="Times New Roman"/>
          <w:b/>
          <w:bCs/>
          <w:sz w:val="28"/>
          <w:szCs w:val="24"/>
        </w:rPr>
        <w:t>3</w:t>
      </w:r>
      <w:r w:rsidR="00F672E3">
        <w:rPr>
          <w:rFonts w:ascii="Times New Roman" w:hAnsi="Times New Roman" w:cs="Times New Roman"/>
          <w:b/>
          <w:bCs/>
          <w:sz w:val="28"/>
          <w:szCs w:val="24"/>
        </w:rPr>
        <w:t>.1</w:t>
      </w:r>
      <w:r>
        <w:rPr>
          <w:rFonts w:ascii="Times New Roman" w:hAnsi="Times New Roman" w:cs="Times New Roman"/>
          <w:b/>
          <w:bCs/>
          <w:sz w:val="28"/>
          <w:szCs w:val="24"/>
        </w:rPr>
        <w:t xml:space="preserve"> </w:t>
      </w:r>
      <w:bookmarkStart w:id="2" w:name="_Hlk203394590"/>
      <w:r w:rsidR="00545FCA" w:rsidRPr="00545FCA">
        <w:rPr>
          <w:rFonts w:ascii="Times New Roman" w:hAnsi="Times New Roman" w:cs="Times New Roman"/>
          <w:b/>
          <w:bCs/>
          <w:sz w:val="28"/>
          <w:szCs w:val="24"/>
        </w:rPr>
        <w:t>Services provided by the farmer producer organizations in Marathwada region of Maharashtra</w:t>
      </w:r>
    </w:p>
    <w:bookmarkEnd w:id="2"/>
    <w:p w14:paraId="006CF650" w14:textId="16C5E418" w:rsidR="00F672E3" w:rsidRPr="00545FCA" w:rsidRDefault="00545FCA" w:rsidP="00545FCA">
      <w:pPr>
        <w:pStyle w:val="NormalWeb"/>
        <w:tabs>
          <w:tab w:val="left" w:pos="9270"/>
        </w:tabs>
        <w:ind w:firstLine="720"/>
        <w:jc w:val="both"/>
        <w:rPr>
          <w:lang w:val="en-US"/>
        </w:rPr>
      </w:pPr>
      <w:r w:rsidRPr="00545FCA">
        <w:rPr>
          <w:lang w:val="en-US"/>
        </w:rPr>
        <w:t xml:space="preserve">Farmers' organizations provide a variety of essential services aimed at improving members' livelihoods and promoting sustainable farming practices. These include organizational services such as uniting farmers, encouraging collective action, capacity building, and establishing monitoring systems. Production services focus on supplying inputs and coordinating collective production activities. Marketing services help farmers with transport, storage, output marketing, processing, market information, branding, and certification. Financial services offer savings, loans, credit facilities, and financial management support. Technology services provide education, extension, and research for better farming methods. Education services enhance farmers' business </w:t>
      </w:r>
      <w:r w:rsidRPr="00545FCA">
        <w:rPr>
          <w:lang w:val="en-US"/>
        </w:rPr>
        <w:lastRenderedPageBreak/>
        <w:t>skills, health knowledge, and production-related training. Welfare services cover health initiatives and social safety nets. Lastly, management of resources ensures the conservation and sustainable use of water, soil, forests, pastures, and fisheries.</w:t>
      </w:r>
      <w:r w:rsidR="00F672E3" w:rsidRPr="00B1299C">
        <w:t xml:space="preserve"> </w:t>
      </w:r>
      <w:proofErr w:type="gramStart"/>
      <w:r w:rsidR="00F672E3" w:rsidRPr="00B1299C">
        <w:t>So</w:t>
      </w:r>
      <w:proofErr w:type="gramEnd"/>
      <w:r w:rsidR="00F672E3" w:rsidRPr="00B1299C">
        <w:t xml:space="preserve"> they ranked the </w:t>
      </w:r>
      <w:r>
        <w:t>services</w:t>
      </w:r>
      <w:r w:rsidR="00F672E3" w:rsidRPr="00B1299C">
        <w:t xml:space="preserve"> according to their </w:t>
      </w:r>
      <w:r>
        <w:t>availability</w:t>
      </w:r>
      <w:r w:rsidR="00F672E3" w:rsidRPr="00B1299C">
        <w:t xml:space="preserve">. Table 1 shows </w:t>
      </w:r>
      <w:r w:rsidRPr="00545FCA">
        <w:t>Services provided by the farmer producer organizations in Marathwada region of Maharashtra</w:t>
      </w:r>
      <w:r>
        <w:t xml:space="preserve"> </w:t>
      </w:r>
      <w:r w:rsidR="00F672E3" w:rsidRPr="00B1299C">
        <w:t xml:space="preserve">and the rank given by the farmers to </w:t>
      </w:r>
      <w:r>
        <w:t>Service</w:t>
      </w:r>
      <w:r w:rsidR="00F672E3" w:rsidRPr="00B1299C">
        <w:t>. This data was recorded by the field survey.</w:t>
      </w:r>
    </w:p>
    <w:p w14:paraId="2C6F28B1" w14:textId="31B51D76" w:rsidR="006F1955" w:rsidRDefault="00F672E3" w:rsidP="00F672E3">
      <w:pPr>
        <w:tabs>
          <w:tab w:val="num" w:pos="450"/>
        </w:tabs>
        <w:jc w:val="both"/>
        <w:rPr>
          <w:rFonts w:ascii="Times New Roman" w:hAnsi="Times New Roman" w:cs="Times New Roman"/>
          <w:b/>
          <w:bCs/>
          <w:sz w:val="28"/>
          <w:szCs w:val="28"/>
        </w:rPr>
      </w:pPr>
      <w:r>
        <w:rPr>
          <w:rFonts w:ascii="Times New Roman" w:hAnsi="Times New Roman" w:cs="Times New Roman"/>
          <w:b/>
          <w:sz w:val="28"/>
          <w:szCs w:val="28"/>
        </w:rPr>
        <w:t>Table 1</w:t>
      </w:r>
      <w:r w:rsidRPr="00DD4029">
        <w:rPr>
          <w:rFonts w:ascii="Times New Roman" w:hAnsi="Times New Roman" w:cs="Times New Roman"/>
          <w:b/>
          <w:sz w:val="28"/>
          <w:szCs w:val="28"/>
        </w:rPr>
        <w:t xml:space="preserve">: </w:t>
      </w:r>
      <w:r w:rsidR="00545FCA" w:rsidRPr="00545FCA">
        <w:rPr>
          <w:rFonts w:ascii="Times New Roman" w:hAnsi="Times New Roman" w:cs="Times New Roman"/>
          <w:b/>
          <w:bCs/>
          <w:sz w:val="28"/>
          <w:szCs w:val="28"/>
        </w:rPr>
        <w:t>Services provided by the farmer producer organizations in Marathwada region of Maharashtra</w:t>
      </w:r>
    </w:p>
    <w:tbl>
      <w:tblPr>
        <w:tblW w:w="5000" w:type="pct"/>
        <w:tblLook w:val="04A0" w:firstRow="1" w:lastRow="0" w:firstColumn="1" w:lastColumn="0" w:noHBand="0" w:noVBand="1"/>
      </w:tblPr>
      <w:tblGrid>
        <w:gridCol w:w="838"/>
        <w:gridCol w:w="2230"/>
        <w:gridCol w:w="837"/>
        <w:gridCol w:w="837"/>
        <w:gridCol w:w="837"/>
        <w:gridCol w:w="837"/>
        <w:gridCol w:w="837"/>
        <w:gridCol w:w="837"/>
        <w:gridCol w:w="837"/>
        <w:gridCol w:w="829"/>
      </w:tblGrid>
      <w:tr w:rsidR="006F1955" w:rsidRPr="006F1955" w14:paraId="608673F1" w14:textId="77777777" w:rsidTr="006F1955">
        <w:trPr>
          <w:trHeight w:val="290"/>
        </w:trPr>
        <w:tc>
          <w:tcPr>
            <w:tcW w:w="4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16161" w14:textId="77777777" w:rsidR="006F1955" w:rsidRPr="006F1955" w:rsidRDefault="006F1955" w:rsidP="006F1955">
            <w:pPr>
              <w:spacing w:after="0" w:line="240" w:lineRule="auto"/>
              <w:jc w:val="center"/>
              <w:rPr>
                <w:rFonts w:ascii="Calibri" w:eastAsia="Times New Roman" w:hAnsi="Calibri" w:cs="Calibri"/>
                <w:b/>
                <w:bCs/>
                <w:color w:val="000000"/>
              </w:rPr>
            </w:pPr>
            <w:proofErr w:type="spellStart"/>
            <w:r w:rsidRPr="006F1955">
              <w:rPr>
                <w:rFonts w:ascii="Calibri" w:eastAsia="Times New Roman" w:hAnsi="Calibri" w:cs="Calibri"/>
                <w:b/>
                <w:bCs/>
                <w:color w:val="000000"/>
              </w:rPr>
              <w:t>S.No</w:t>
            </w:r>
            <w:proofErr w:type="spellEnd"/>
            <w:r w:rsidRPr="006F1955">
              <w:rPr>
                <w:rFonts w:ascii="Calibri" w:eastAsia="Times New Roman" w:hAnsi="Calibri" w:cs="Calibri"/>
                <w:b/>
                <w:bCs/>
                <w:color w:val="000000"/>
              </w:rPr>
              <w:t>.</w:t>
            </w:r>
          </w:p>
        </w:tc>
        <w:tc>
          <w:tcPr>
            <w:tcW w:w="1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16DCE"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 xml:space="preserve"> Services provide to the farmers </w:t>
            </w:r>
          </w:p>
        </w:tc>
        <w:tc>
          <w:tcPr>
            <w:tcW w:w="3429" w:type="pct"/>
            <w:gridSpan w:val="8"/>
            <w:tcBorders>
              <w:top w:val="single" w:sz="4" w:space="0" w:color="auto"/>
              <w:left w:val="nil"/>
              <w:bottom w:val="single" w:sz="4" w:space="0" w:color="auto"/>
              <w:right w:val="single" w:sz="4" w:space="0" w:color="auto"/>
            </w:tcBorders>
            <w:shd w:val="clear" w:color="auto" w:fill="auto"/>
            <w:noWrap/>
            <w:vAlign w:val="bottom"/>
            <w:hideMark/>
          </w:tcPr>
          <w:p w14:paraId="793E27B6" w14:textId="77777777" w:rsidR="006F1955" w:rsidRPr="006F1955" w:rsidRDefault="006F1955" w:rsidP="006F1955">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szCs w:val="28"/>
              </w:rPr>
              <w:t>Rank given by the respondents</w:t>
            </w:r>
          </w:p>
        </w:tc>
      </w:tr>
      <w:tr w:rsidR="006F1955" w:rsidRPr="006F1955" w14:paraId="4CF19DA1" w14:textId="77777777" w:rsidTr="009432BE">
        <w:trPr>
          <w:trHeight w:val="290"/>
        </w:trPr>
        <w:tc>
          <w:tcPr>
            <w:tcW w:w="429" w:type="pct"/>
            <w:vMerge/>
            <w:tcBorders>
              <w:top w:val="single" w:sz="4" w:space="0" w:color="auto"/>
              <w:left w:val="single" w:sz="4" w:space="0" w:color="auto"/>
              <w:bottom w:val="single" w:sz="4" w:space="0" w:color="auto"/>
              <w:right w:val="single" w:sz="4" w:space="0" w:color="auto"/>
            </w:tcBorders>
            <w:vAlign w:val="center"/>
            <w:hideMark/>
          </w:tcPr>
          <w:p w14:paraId="211AC416" w14:textId="77777777" w:rsidR="006F1955" w:rsidRPr="006F1955" w:rsidRDefault="006F1955" w:rsidP="006F1955">
            <w:pPr>
              <w:spacing w:after="0" w:line="240" w:lineRule="auto"/>
              <w:rPr>
                <w:rFonts w:ascii="Calibri" w:eastAsia="Times New Roman" w:hAnsi="Calibri" w:cs="Calibri"/>
                <w:b/>
                <w:bCs/>
                <w:color w:val="000000"/>
              </w:rPr>
            </w:pPr>
          </w:p>
        </w:tc>
        <w:tc>
          <w:tcPr>
            <w:tcW w:w="1143" w:type="pct"/>
            <w:vMerge/>
            <w:tcBorders>
              <w:top w:val="single" w:sz="4" w:space="0" w:color="auto"/>
              <w:left w:val="single" w:sz="4" w:space="0" w:color="auto"/>
              <w:bottom w:val="single" w:sz="4" w:space="0" w:color="auto"/>
              <w:right w:val="single" w:sz="4" w:space="0" w:color="auto"/>
            </w:tcBorders>
            <w:vAlign w:val="center"/>
            <w:hideMark/>
          </w:tcPr>
          <w:p w14:paraId="1AE14A2C" w14:textId="77777777" w:rsidR="006F1955" w:rsidRPr="006F1955" w:rsidRDefault="006F1955" w:rsidP="006F1955">
            <w:pPr>
              <w:spacing w:after="0" w:line="240" w:lineRule="auto"/>
              <w:rPr>
                <w:rFonts w:ascii="Calibri" w:eastAsia="Times New Roman" w:hAnsi="Calibri" w:cs="Calibri"/>
                <w:b/>
                <w:bCs/>
                <w:color w:val="000000"/>
              </w:rPr>
            </w:pPr>
          </w:p>
        </w:tc>
        <w:tc>
          <w:tcPr>
            <w:tcW w:w="429" w:type="pct"/>
            <w:tcBorders>
              <w:top w:val="nil"/>
              <w:left w:val="nil"/>
              <w:bottom w:val="single" w:sz="4" w:space="0" w:color="auto"/>
              <w:right w:val="single" w:sz="4" w:space="0" w:color="auto"/>
            </w:tcBorders>
            <w:shd w:val="clear" w:color="auto" w:fill="auto"/>
            <w:vAlign w:val="center"/>
            <w:hideMark/>
          </w:tcPr>
          <w:p w14:paraId="4FE74D14"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w:t>
            </w:r>
          </w:p>
        </w:tc>
        <w:tc>
          <w:tcPr>
            <w:tcW w:w="429" w:type="pct"/>
            <w:tcBorders>
              <w:top w:val="nil"/>
              <w:left w:val="nil"/>
              <w:bottom w:val="single" w:sz="4" w:space="0" w:color="auto"/>
              <w:right w:val="single" w:sz="4" w:space="0" w:color="auto"/>
            </w:tcBorders>
            <w:shd w:val="clear" w:color="auto" w:fill="auto"/>
            <w:vAlign w:val="center"/>
            <w:hideMark/>
          </w:tcPr>
          <w:p w14:paraId="7784E2F6"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II</w:t>
            </w:r>
          </w:p>
        </w:tc>
        <w:tc>
          <w:tcPr>
            <w:tcW w:w="429" w:type="pct"/>
            <w:tcBorders>
              <w:top w:val="nil"/>
              <w:left w:val="nil"/>
              <w:bottom w:val="single" w:sz="4" w:space="0" w:color="auto"/>
              <w:right w:val="single" w:sz="4" w:space="0" w:color="auto"/>
            </w:tcBorders>
            <w:shd w:val="clear" w:color="auto" w:fill="auto"/>
            <w:vAlign w:val="center"/>
            <w:hideMark/>
          </w:tcPr>
          <w:p w14:paraId="4003EA62"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III</w:t>
            </w:r>
          </w:p>
        </w:tc>
        <w:tc>
          <w:tcPr>
            <w:tcW w:w="429" w:type="pct"/>
            <w:tcBorders>
              <w:top w:val="nil"/>
              <w:left w:val="nil"/>
              <w:bottom w:val="single" w:sz="4" w:space="0" w:color="auto"/>
              <w:right w:val="single" w:sz="4" w:space="0" w:color="auto"/>
            </w:tcBorders>
            <w:shd w:val="clear" w:color="auto" w:fill="auto"/>
            <w:vAlign w:val="center"/>
            <w:hideMark/>
          </w:tcPr>
          <w:p w14:paraId="7143848B"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IV</w:t>
            </w:r>
          </w:p>
        </w:tc>
        <w:tc>
          <w:tcPr>
            <w:tcW w:w="429" w:type="pct"/>
            <w:tcBorders>
              <w:top w:val="nil"/>
              <w:left w:val="nil"/>
              <w:bottom w:val="single" w:sz="4" w:space="0" w:color="auto"/>
              <w:right w:val="single" w:sz="4" w:space="0" w:color="auto"/>
            </w:tcBorders>
            <w:shd w:val="clear" w:color="auto" w:fill="auto"/>
            <w:vAlign w:val="center"/>
            <w:hideMark/>
          </w:tcPr>
          <w:p w14:paraId="4640CB9F"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w:t>
            </w:r>
          </w:p>
        </w:tc>
        <w:tc>
          <w:tcPr>
            <w:tcW w:w="429" w:type="pct"/>
            <w:tcBorders>
              <w:top w:val="nil"/>
              <w:left w:val="nil"/>
              <w:bottom w:val="single" w:sz="4" w:space="0" w:color="auto"/>
              <w:right w:val="single" w:sz="4" w:space="0" w:color="auto"/>
            </w:tcBorders>
            <w:shd w:val="clear" w:color="auto" w:fill="auto"/>
            <w:vAlign w:val="center"/>
            <w:hideMark/>
          </w:tcPr>
          <w:p w14:paraId="3ED067CE"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VI</w:t>
            </w:r>
          </w:p>
        </w:tc>
        <w:tc>
          <w:tcPr>
            <w:tcW w:w="429" w:type="pct"/>
            <w:tcBorders>
              <w:top w:val="nil"/>
              <w:left w:val="nil"/>
              <w:bottom w:val="single" w:sz="4" w:space="0" w:color="auto"/>
              <w:right w:val="single" w:sz="4" w:space="0" w:color="auto"/>
            </w:tcBorders>
            <w:shd w:val="clear" w:color="auto" w:fill="auto"/>
            <w:vAlign w:val="center"/>
            <w:hideMark/>
          </w:tcPr>
          <w:p w14:paraId="5C2B29E5"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VII</w:t>
            </w:r>
          </w:p>
        </w:tc>
        <w:tc>
          <w:tcPr>
            <w:tcW w:w="425" w:type="pct"/>
            <w:tcBorders>
              <w:top w:val="nil"/>
              <w:left w:val="nil"/>
              <w:bottom w:val="single" w:sz="4" w:space="0" w:color="auto"/>
              <w:right w:val="single" w:sz="4" w:space="0" w:color="auto"/>
            </w:tcBorders>
            <w:shd w:val="clear" w:color="auto" w:fill="auto"/>
            <w:vAlign w:val="center"/>
            <w:hideMark/>
          </w:tcPr>
          <w:p w14:paraId="7EF30AC8" w14:textId="77777777" w:rsidR="006F1955" w:rsidRPr="006F1955" w:rsidRDefault="006F1955" w:rsidP="006F1955">
            <w:pPr>
              <w:spacing w:after="0" w:line="240" w:lineRule="auto"/>
              <w:jc w:val="center"/>
              <w:rPr>
                <w:rFonts w:ascii="Calibri" w:eastAsia="Times New Roman" w:hAnsi="Calibri" w:cs="Calibri"/>
                <w:b/>
                <w:bCs/>
                <w:color w:val="000000"/>
              </w:rPr>
            </w:pPr>
            <w:r w:rsidRPr="006F1955">
              <w:rPr>
                <w:rFonts w:ascii="Calibri" w:eastAsia="Times New Roman" w:hAnsi="Calibri" w:cs="Calibri"/>
                <w:b/>
                <w:bCs/>
                <w:color w:val="000000"/>
              </w:rPr>
              <w:t>VIII</w:t>
            </w:r>
          </w:p>
        </w:tc>
      </w:tr>
      <w:tr w:rsidR="009432BE" w:rsidRPr="006F1955" w14:paraId="64EE957B"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6C3916CE"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1</w:t>
            </w:r>
          </w:p>
        </w:tc>
        <w:tc>
          <w:tcPr>
            <w:tcW w:w="1143" w:type="pct"/>
            <w:tcBorders>
              <w:top w:val="nil"/>
              <w:left w:val="nil"/>
              <w:bottom w:val="single" w:sz="4" w:space="0" w:color="auto"/>
              <w:right w:val="single" w:sz="4" w:space="0" w:color="auto"/>
            </w:tcBorders>
            <w:shd w:val="clear" w:color="auto" w:fill="auto"/>
            <w:vAlign w:val="center"/>
            <w:hideMark/>
          </w:tcPr>
          <w:p w14:paraId="652CDD90" w14:textId="3350E5E3"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Production Services</w:t>
            </w:r>
          </w:p>
        </w:tc>
        <w:tc>
          <w:tcPr>
            <w:tcW w:w="429" w:type="pct"/>
            <w:tcBorders>
              <w:top w:val="nil"/>
              <w:left w:val="nil"/>
              <w:bottom w:val="single" w:sz="4" w:space="0" w:color="auto"/>
              <w:right w:val="single" w:sz="4" w:space="0" w:color="auto"/>
            </w:tcBorders>
            <w:shd w:val="clear" w:color="auto" w:fill="auto"/>
            <w:vAlign w:val="center"/>
            <w:hideMark/>
          </w:tcPr>
          <w:p w14:paraId="053CB98E" w14:textId="4BDC353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35</w:t>
            </w:r>
          </w:p>
        </w:tc>
        <w:tc>
          <w:tcPr>
            <w:tcW w:w="429" w:type="pct"/>
            <w:tcBorders>
              <w:top w:val="nil"/>
              <w:left w:val="nil"/>
              <w:bottom w:val="single" w:sz="4" w:space="0" w:color="auto"/>
              <w:right w:val="single" w:sz="4" w:space="0" w:color="auto"/>
            </w:tcBorders>
            <w:shd w:val="clear" w:color="auto" w:fill="auto"/>
            <w:vAlign w:val="center"/>
            <w:hideMark/>
          </w:tcPr>
          <w:p w14:paraId="05A720B5" w14:textId="3A0275A3"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28</w:t>
            </w:r>
          </w:p>
        </w:tc>
        <w:tc>
          <w:tcPr>
            <w:tcW w:w="429" w:type="pct"/>
            <w:tcBorders>
              <w:top w:val="nil"/>
              <w:left w:val="nil"/>
              <w:bottom w:val="single" w:sz="4" w:space="0" w:color="auto"/>
              <w:right w:val="single" w:sz="4" w:space="0" w:color="auto"/>
            </w:tcBorders>
            <w:shd w:val="clear" w:color="auto" w:fill="auto"/>
            <w:vAlign w:val="center"/>
            <w:hideMark/>
          </w:tcPr>
          <w:p w14:paraId="779E61FE" w14:textId="24845484"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28</w:t>
            </w:r>
          </w:p>
        </w:tc>
        <w:tc>
          <w:tcPr>
            <w:tcW w:w="429" w:type="pct"/>
            <w:tcBorders>
              <w:top w:val="nil"/>
              <w:left w:val="nil"/>
              <w:bottom w:val="single" w:sz="4" w:space="0" w:color="auto"/>
              <w:right w:val="single" w:sz="4" w:space="0" w:color="auto"/>
            </w:tcBorders>
            <w:shd w:val="clear" w:color="auto" w:fill="auto"/>
            <w:vAlign w:val="center"/>
            <w:hideMark/>
          </w:tcPr>
          <w:p w14:paraId="12224DDA" w14:textId="523B4EF3"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49117258" w14:textId="5A9C3B6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3D5C851E" w14:textId="0E349BA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216BA000" w14:textId="1095DB6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5" w:type="pct"/>
            <w:tcBorders>
              <w:top w:val="nil"/>
              <w:left w:val="nil"/>
              <w:bottom w:val="single" w:sz="4" w:space="0" w:color="auto"/>
              <w:right w:val="single" w:sz="4" w:space="0" w:color="auto"/>
            </w:tcBorders>
            <w:shd w:val="clear" w:color="auto" w:fill="auto"/>
            <w:vAlign w:val="center"/>
            <w:hideMark/>
          </w:tcPr>
          <w:p w14:paraId="38E5DA25" w14:textId="5CA9BF9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14</w:t>
            </w:r>
          </w:p>
        </w:tc>
      </w:tr>
      <w:tr w:rsidR="009432BE" w:rsidRPr="006F1955" w14:paraId="081BA94D"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2FE979EF"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2</w:t>
            </w:r>
          </w:p>
        </w:tc>
        <w:tc>
          <w:tcPr>
            <w:tcW w:w="1143" w:type="pct"/>
            <w:tcBorders>
              <w:top w:val="nil"/>
              <w:left w:val="nil"/>
              <w:bottom w:val="single" w:sz="4" w:space="0" w:color="auto"/>
              <w:right w:val="single" w:sz="4" w:space="0" w:color="auto"/>
            </w:tcBorders>
            <w:shd w:val="clear" w:color="auto" w:fill="auto"/>
            <w:vAlign w:val="center"/>
            <w:hideMark/>
          </w:tcPr>
          <w:p w14:paraId="2AF78F08" w14:textId="2DEC696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Financial Services</w:t>
            </w:r>
          </w:p>
        </w:tc>
        <w:tc>
          <w:tcPr>
            <w:tcW w:w="429" w:type="pct"/>
            <w:tcBorders>
              <w:top w:val="nil"/>
              <w:left w:val="nil"/>
              <w:bottom w:val="single" w:sz="4" w:space="0" w:color="auto"/>
              <w:right w:val="single" w:sz="4" w:space="0" w:color="auto"/>
            </w:tcBorders>
            <w:shd w:val="clear" w:color="auto" w:fill="auto"/>
            <w:vAlign w:val="center"/>
            <w:hideMark/>
          </w:tcPr>
          <w:p w14:paraId="7636EB23" w14:textId="6C0D52B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33E797A0" w14:textId="27F9175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6B09CFB" w14:textId="4584A85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0832A71" w14:textId="2A2A91C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300020C" w14:textId="0D0814A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22</w:t>
            </w:r>
          </w:p>
        </w:tc>
        <w:tc>
          <w:tcPr>
            <w:tcW w:w="429" w:type="pct"/>
            <w:tcBorders>
              <w:top w:val="nil"/>
              <w:left w:val="nil"/>
              <w:bottom w:val="single" w:sz="4" w:space="0" w:color="auto"/>
              <w:right w:val="single" w:sz="4" w:space="0" w:color="auto"/>
            </w:tcBorders>
            <w:shd w:val="clear" w:color="auto" w:fill="auto"/>
            <w:vAlign w:val="center"/>
            <w:hideMark/>
          </w:tcPr>
          <w:p w14:paraId="425B6DC3" w14:textId="4202ADD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488E9ECA" w14:textId="220AB8B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5" w:type="pct"/>
            <w:tcBorders>
              <w:top w:val="nil"/>
              <w:left w:val="nil"/>
              <w:bottom w:val="single" w:sz="4" w:space="0" w:color="auto"/>
              <w:right w:val="single" w:sz="4" w:space="0" w:color="auto"/>
            </w:tcBorders>
            <w:shd w:val="clear" w:color="auto" w:fill="auto"/>
            <w:vAlign w:val="center"/>
            <w:hideMark/>
          </w:tcPr>
          <w:p w14:paraId="226E9A21" w14:textId="32E441D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r>
      <w:tr w:rsidR="009432BE" w:rsidRPr="006F1955" w14:paraId="25188FE8"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283AA320"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3</w:t>
            </w:r>
          </w:p>
        </w:tc>
        <w:tc>
          <w:tcPr>
            <w:tcW w:w="1143" w:type="pct"/>
            <w:tcBorders>
              <w:top w:val="nil"/>
              <w:left w:val="nil"/>
              <w:bottom w:val="single" w:sz="4" w:space="0" w:color="auto"/>
              <w:right w:val="single" w:sz="4" w:space="0" w:color="auto"/>
            </w:tcBorders>
            <w:shd w:val="clear" w:color="auto" w:fill="auto"/>
            <w:vAlign w:val="center"/>
            <w:hideMark/>
          </w:tcPr>
          <w:p w14:paraId="6C90C648" w14:textId="32339FD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Organizational Services</w:t>
            </w:r>
          </w:p>
        </w:tc>
        <w:tc>
          <w:tcPr>
            <w:tcW w:w="429" w:type="pct"/>
            <w:tcBorders>
              <w:top w:val="nil"/>
              <w:left w:val="nil"/>
              <w:bottom w:val="single" w:sz="4" w:space="0" w:color="auto"/>
              <w:right w:val="single" w:sz="4" w:space="0" w:color="auto"/>
            </w:tcBorders>
            <w:shd w:val="clear" w:color="auto" w:fill="auto"/>
            <w:vAlign w:val="center"/>
            <w:hideMark/>
          </w:tcPr>
          <w:p w14:paraId="0913B930" w14:textId="54EF835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43</w:t>
            </w:r>
          </w:p>
        </w:tc>
        <w:tc>
          <w:tcPr>
            <w:tcW w:w="429" w:type="pct"/>
            <w:tcBorders>
              <w:top w:val="nil"/>
              <w:left w:val="nil"/>
              <w:bottom w:val="single" w:sz="4" w:space="0" w:color="auto"/>
              <w:right w:val="single" w:sz="4" w:space="0" w:color="auto"/>
            </w:tcBorders>
            <w:shd w:val="clear" w:color="auto" w:fill="auto"/>
            <w:vAlign w:val="center"/>
            <w:hideMark/>
          </w:tcPr>
          <w:p w14:paraId="54B411D2" w14:textId="0EED62A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9" w:type="pct"/>
            <w:tcBorders>
              <w:top w:val="nil"/>
              <w:left w:val="nil"/>
              <w:bottom w:val="single" w:sz="4" w:space="0" w:color="auto"/>
              <w:right w:val="single" w:sz="4" w:space="0" w:color="auto"/>
            </w:tcBorders>
            <w:shd w:val="clear" w:color="auto" w:fill="auto"/>
            <w:vAlign w:val="center"/>
            <w:hideMark/>
          </w:tcPr>
          <w:p w14:paraId="1B1C85A6" w14:textId="43C40E3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303FFB69" w14:textId="0474397E"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219CB746" w14:textId="78DB383D"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9" w:type="pct"/>
            <w:tcBorders>
              <w:top w:val="nil"/>
              <w:left w:val="nil"/>
              <w:bottom w:val="single" w:sz="4" w:space="0" w:color="auto"/>
              <w:right w:val="single" w:sz="4" w:space="0" w:color="auto"/>
            </w:tcBorders>
            <w:shd w:val="clear" w:color="auto" w:fill="auto"/>
            <w:vAlign w:val="center"/>
            <w:hideMark/>
          </w:tcPr>
          <w:p w14:paraId="142FC0E3" w14:textId="404549E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070790BF" w14:textId="27CB80FD"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5" w:type="pct"/>
            <w:tcBorders>
              <w:top w:val="nil"/>
              <w:left w:val="nil"/>
              <w:bottom w:val="single" w:sz="4" w:space="0" w:color="auto"/>
              <w:right w:val="single" w:sz="4" w:space="0" w:color="auto"/>
            </w:tcBorders>
            <w:shd w:val="clear" w:color="auto" w:fill="auto"/>
            <w:vAlign w:val="center"/>
            <w:hideMark/>
          </w:tcPr>
          <w:p w14:paraId="48489F6A" w14:textId="7C7E8BD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14</w:t>
            </w:r>
          </w:p>
        </w:tc>
      </w:tr>
      <w:tr w:rsidR="009432BE" w:rsidRPr="006F1955" w14:paraId="245406A9"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3A558E6C"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4</w:t>
            </w:r>
          </w:p>
        </w:tc>
        <w:tc>
          <w:tcPr>
            <w:tcW w:w="1143" w:type="pct"/>
            <w:tcBorders>
              <w:top w:val="nil"/>
              <w:left w:val="nil"/>
              <w:bottom w:val="single" w:sz="4" w:space="0" w:color="auto"/>
              <w:right w:val="single" w:sz="4" w:space="0" w:color="auto"/>
            </w:tcBorders>
            <w:shd w:val="clear" w:color="auto" w:fill="auto"/>
            <w:vAlign w:val="center"/>
            <w:hideMark/>
          </w:tcPr>
          <w:p w14:paraId="7F45A896" w14:textId="1D63BE3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Marketing Services</w:t>
            </w:r>
          </w:p>
        </w:tc>
        <w:tc>
          <w:tcPr>
            <w:tcW w:w="429" w:type="pct"/>
            <w:tcBorders>
              <w:top w:val="nil"/>
              <w:left w:val="nil"/>
              <w:bottom w:val="single" w:sz="4" w:space="0" w:color="auto"/>
              <w:right w:val="single" w:sz="4" w:space="0" w:color="auto"/>
            </w:tcBorders>
            <w:shd w:val="clear" w:color="auto" w:fill="auto"/>
            <w:vAlign w:val="center"/>
            <w:hideMark/>
          </w:tcPr>
          <w:p w14:paraId="2E617D27" w14:textId="614A5CF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9" w:type="pct"/>
            <w:tcBorders>
              <w:top w:val="nil"/>
              <w:left w:val="nil"/>
              <w:bottom w:val="single" w:sz="4" w:space="0" w:color="auto"/>
              <w:right w:val="single" w:sz="4" w:space="0" w:color="auto"/>
            </w:tcBorders>
            <w:shd w:val="clear" w:color="auto" w:fill="auto"/>
            <w:vAlign w:val="center"/>
            <w:hideMark/>
          </w:tcPr>
          <w:p w14:paraId="6D0B01FB" w14:textId="61A9D06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28</w:t>
            </w:r>
          </w:p>
        </w:tc>
        <w:tc>
          <w:tcPr>
            <w:tcW w:w="429" w:type="pct"/>
            <w:tcBorders>
              <w:top w:val="nil"/>
              <w:left w:val="nil"/>
              <w:bottom w:val="single" w:sz="4" w:space="0" w:color="auto"/>
              <w:right w:val="single" w:sz="4" w:space="0" w:color="auto"/>
            </w:tcBorders>
            <w:shd w:val="clear" w:color="auto" w:fill="auto"/>
            <w:vAlign w:val="center"/>
            <w:hideMark/>
          </w:tcPr>
          <w:p w14:paraId="5A57D898" w14:textId="7DB163C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771D13F6" w14:textId="5E595845"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3193AEEB" w14:textId="18D3DBA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09AA2C3D" w14:textId="0E664DDE"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9" w:type="pct"/>
            <w:tcBorders>
              <w:top w:val="nil"/>
              <w:left w:val="nil"/>
              <w:bottom w:val="single" w:sz="4" w:space="0" w:color="auto"/>
              <w:right w:val="single" w:sz="4" w:space="0" w:color="auto"/>
            </w:tcBorders>
            <w:shd w:val="clear" w:color="auto" w:fill="auto"/>
            <w:vAlign w:val="center"/>
            <w:hideMark/>
          </w:tcPr>
          <w:p w14:paraId="606FE2D8" w14:textId="178375F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5" w:type="pct"/>
            <w:tcBorders>
              <w:top w:val="nil"/>
              <w:left w:val="nil"/>
              <w:bottom w:val="single" w:sz="4" w:space="0" w:color="auto"/>
              <w:right w:val="single" w:sz="4" w:space="0" w:color="auto"/>
            </w:tcBorders>
            <w:shd w:val="clear" w:color="auto" w:fill="auto"/>
            <w:vAlign w:val="center"/>
            <w:hideMark/>
          </w:tcPr>
          <w:p w14:paraId="3F5E6BA2" w14:textId="5A99210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r>
      <w:tr w:rsidR="009432BE" w:rsidRPr="006F1955" w14:paraId="472DA597"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46904EF2"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5</w:t>
            </w:r>
          </w:p>
        </w:tc>
        <w:tc>
          <w:tcPr>
            <w:tcW w:w="1143" w:type="pct"/>
            <w:tcBorders>
              <w:top w:val="nil"/>
              <w:left w:val="nil"/>
              <w:bottom w:val="single" w:sz="4" w:space="0" w:color="auto"/>
              <w:right w:val="single" w:sz="4" w:space="0" w:color="auto"/>
            </w:tcBorders>
            <w:shd w:val="clear" w:color="auto" w:fill="auto"/>
            <w:vAlign w:val="center"/>
            <w:hideMark/>
          </w:tcPr>
          <w:p w14:paraId="293173AE" w14:textId="7D26B7F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Technology Services</w:t>
            </w:r>
          </w:p>
        </w:tc>
        <w:tc>
          <w:tcPr>
            <w:tcW w:w="429" w:type="pct"/>
            <w:tcBorders>
              <w:top w:val="nil"/>
              <w:left w:val="nil"/>
              <w:bottom w:val="single" w:sz="4" w:space="0" w:color="auto"/>
              <w:right w:val="single" w:sz="4" w:space="0" w:color="auto"/>
            </w:tcBorders>
            <w:shd w:val="clear" w:color="auto" w:fill="auto"/>
            <w:vAlign w:val="center"/>
            <w:hideMark/>
          </w:tcPr>
          <w:p w14:paraId="692FA4EA" w14:textId="2132E21C"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63D68284" w14:textId="35A94BB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22</w:t>
            </w:r>
          </w:p>
        </w:tc>
        <w:tc>
          <w:tcPr>
            <w:tcW w:w="429" w:type="pct"/>
            <w:tcBorders>
              <w:top w:val="nil"/>
              <w:left w:val="nil"/>
              <w:bottom w:val="single" w:sz="4" w:space="0" w:color="auto"/>
              <w:right w:val="single" w:sz="4" w:space="0" w:color="auto"/>
            </w:tcBorders>
            <w:shd w:val="clear" w:color="auto" w:fill="auto"/>
            <w:vAlign w:val="center"/>
            <w:hideMark/>
          </w:tcPr>
          <w:p w14:paraId="3759F62B" w14:textId="104DDA8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11459EE6" w14:textId="487FE8D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36ED97C6" w14:textId="1C69DA7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3E465F0" w14:textId="47A6644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7C278E50" w14:textId="06E71CC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22</w:t>
            </w:r>
          </w:p>
        </w:tc>
        <w:tc>
          <w:tcPr>
            <w:tcW w:w="425" w:type="pct"/>
            <w:tcBorders>
              <w:top w:val="nil"/>
              <w:left w:val="nil"/>
              <w:bottom w:val="single" w:sz="4" w:space="0" w:color="auto"/>
              <w:right w:val="single" w:sz="4" w:space="0" w:color="auto"/>
            </w:tcBorders>
            <w:shd w:val="clear" w:color="auto" w:fill="auto"/>
            <w:vAlign w:val="center"/>
            <w:hideMark/>
          </w:tcPr>
          <w:p w14:paraId="148B8302" w14:textId="1C3B69A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r>
      <w:tr w:rsidR="009432BE" w:rsidRPr="006F1955" w14:paraId="57D7D6E4"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3D365EBB"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6</w:t>
            </w:r>
          </w:p>
        </w:tc>
        <w:tc>
          <w:tcPr>
            <w:tcW w:w="1143" w:type="pct"/>
            <w:tcBorders>
              <w:top w:val="nil"/>
              <w:left w:val="nil"/>
              <w:bottom w:val="single" w:sz="4" w:space="0" w:color="auto"/>
              <w:right w:val="single" w:sz="4" w:space="0" w:color="auto"/>
            </w:tcBorders>
            <w:shd w:val="clear" w:color="auto" w:fill="auto"/>
            <w:vAlign w:val="center"/>
            <w:hideMark/>
          </w:tcPr>
          <w:p w14:paraId="69DD13B5" w14:textId="48D61E0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Welfare Services</w:t>
            </w:r>
          </w:p>
        </w:tc>
        <w:tc>
          <w:tcPr>
            <w:tcW w:w="429" w:type="pct"/>
            <w:tcBorders>
              <w:top w:val="nil"/>
              <w:left w:val="nil"/>
              <w:bottom w:val="single" w:sz="4" w:space="0" w:color="auto"/>
              <w:right w:val="single" w:sz="4" w:space="0" w:color="auto"/>
            </w:tcBorders>
            <w:shd w:val="clear" w:color="auto" w:fill="auto"/>
            <w:vAlign w:val="center"/>
            <w:hideMark/>
          </w:tcPr>
          <w:p w14:paraId="6149F68C" w14:textId="27BD443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w:t>
            </w:r>
          </w:p>
        </w:tc>
        <w:tc>
          <w:tcPr>
            <w:tcW w:w="429" w:type="pct"/>
            <w:tcBorders>
              <w:top w:val="nil"/>
              <w:left w:val="nil"/>
              <w:bottom w:val="single" w:sz="4" w:space="0" w:color="auto"/>
              <w:right w:val="single" w:sz="4" w:space="0" w:color="auto"/>
            </w:tcBorders>
            <w:shd w:val="clear" w:color="auto" w:fill="auto"/>
            <w:vAlign w:val="center"/>
            <w:hideMark/>
          </w:tcPr>
          <w:p w14:paraId="6D8432FF" w14:textId="10EA90D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03A54E30" w14:textId="1FCDD795"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17</w:t>
            </w:r>
          </w:p>
        </w:tc>
        <w:tc>
          <w:tcPr>
            <w:tcW w:w="429" w:type="pct"/>
            <w:tcBorders>
              <w:top w:val="nil"/>
              <w:left w:val="nil"/>
              <w:bottom w:val="single" w:sz="4" w:space="0" w:color="auto"/>
              <w:right w:val="single" w:sz="4" w:space="0" w:color="auto"/>
            </w:tcBorders>
            <w:shd w:val="clear" w:color="auto" w:fill="auto"/>
            <w:vAlign w:val="center"/>
            <w:hideMark/>
          </w:tcPr>
          <w:p w14:paraId="77B52A20" w14:textId="07063A8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19</w:t>
            </w:r>
          </w:p>
        </w:tc>
        <w:tc>
          <w:tcPr>
            <w:tcW w:w="429" w:type="pct"/>
            <w:tcBorders>
              <w:top w:val="nil"/>
              <w:left w:val="nil"/>
              <w:bottom w:val="single" w:sz="4" w:space="0" w:color="auto"/>
              <w:right w:val="single" w:sz="4" w:space="0" w:color="auto"/>
            </w:tcBorders>
            <w:shd w:val="clear" w:color="auto" w:fill="auto"/>
            <w:vAlign w:val="center"/>
            <w:hideMark/>
          </w:tcPr>
          <w:p w14:paraId="7C1E11A5" w14:textId="414544C2"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2897E93E" w14:textId="4FBBA310"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34</w:t>
            </w:r>
          </w:p>
        </w:tc>
        <w:tc>
          <w:tcPr>
            <w:tcW w:w="429" w:type="pct"/>
            <w:tcBorders>
              <w:top w:val="nil"/>
              <w:left w:val="nil"/>
              <w:bottom w:val="single" w:sz="4" w:space="0" w:color="auto"/>
              <w:right w:val="single" w:sz="4" w:space="0" w:color="auto"/>
            </w:tcBorders>
            <w:shd w:val="clear" w:color="auto" w:fill="auto"/>
            <w:vAlign w:val="center"/>
            <w:hideMark/>
          </w:tcPr>
          <w:p w14:paraId="66DBC491" w14:textId="7517CF4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5" w:type="pct"/>
            <w:tcBorders>
              <w:top w:val="nil"/>
              <w:left w:val="nil"/>
              <w:bottom w:val="single" w:sz="4" w:space="0" w:color="auto"/>
              <w:right w:val="single" w:sz="4" w:space="0" w:color="auto"/>
            </w:tcBorders>
            <w:shd w:val="clear" w:color="auto" w:fill="auto"/>
            <w:vAlign w:val="center"/>
            <w:hideMark/>
          </w:tcPr>
          <w:p w14:paraId="1810CEBD" w14:textId="6CA4A22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37</w:t>
            </w:r>
          </w:p>
        </w:tc>
      </w:tr>
      <w:tr w:rsidR="009432BE" w:rsidRPr="006F1955" w14:paraId="73C56249"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0E5BC571"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7</w:t>
            </w:r>
          </w:p>
        </w:tc>
        <w:tc>
          <w:tcPr>
            <w:tcW w:w="1143" w:type="pct"/>
            <w:tcBorders>
              <w:top w:val="nil"/>
              <w:left w:val="nil"/>
              <w:bottom w:val="single" w:sz="4" w:space="0" w:color="auto"/>
              <w:right w:val="single" w:sz="4" w:space="0" w:color="auto"/>
            </w:tcBorders>
            <w:shd w:val="clear" w:color="auto" w:fill="auto"/>
            <w:vAlign w:val="center"/>
            <w:hideMark/>
          </w:tcPr>
          <w:p w14:paraId="71B24701" w14:textId="0B66C96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Education Services</w:t>
            </w:r>
          </w:p>
        </w:tc>
        <w:tc>
          <w:tcPr>
            <w:tcW w:w="429" w:type="pct"/>
            <w:tcBorders>
              <w:top w:val="nil"/>
              <w:left w:val="nil"/>
              <w:bottom w:val="single" w:sz="4" w:space="0" w:color="auto"/>
              <w:right w:val="single" w:sz="4" w:space="0" w:color="auto"/>
            </w:tcBorders>
            <w:shd w:val="clear" w:color="auto" w:fill="auto"/>
            <w:vAlign w:val="center"/>
            <w:hideMark/>
          </w:tcPr>
          <w:p w14:paraId="5F5AF217" w14:textId="6A8A330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15</w:t>
            </w:r>
          </w:p>
        </w:tc>
        <w:tc>
          <w:tcPr>
            <w:tcW w:w="429" w:type="pct"/>
            <w:tcBorders>
              <w:top w:val="nil"/>
              <w:left w:val="nil"/>
              <w:bottom w:val="single" w:sz="4" w:space="0" w:color="auto"/>
              <w:right w:val="single" w:sz="4" w:space="0" w:color="auto"/>
            </w:tcBorders>
            <w:shd w:val="clear" w:color="auto" w:fill="auto"/>
            <w:vAlign w:val="center"/>
            <w:hideMark/>
          </w:tcPr>
          <w:p w14:paraId="3F063898" w14:textId="38C14D5B"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18</w:t>
            </w:r>
          </w:p>
        </w:tc>
        <w:tc>
          <w:tcPr>
            <w:tcW w:w="429" w:type="pct"/>
            <w:tcBorders>
              <w:top w:val="nil"/>
              <w:left w:val="nil"/>
              <w:bottom w:val="single" w:sz="4" w:space="0" w:color="auto"/>
              <w:right w:val="single" w:sz="4" w:space="0" w:color="auto"/>
            </w:tcBorders>
            <w:shd w:val="clear" w:color="auto" w:fill="auto"/>
            <w:vAlign w:val="center"/>
            <w:hideMark/>
          </w:tcPr>
          <w:p w14:paraId="6CB5E9B2" w14:textId="1B590448"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19D340A3" w14:textId="1C58A26C"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23</w:t>
            </w:r>
          </w:p>
        </w:tc>
        <w:tc>
          <w:tcPr>
            <w:tcW w:w="429" w:type="pct"/>
            <w:tcBorders>
              <w:top w:val="nil"/>
              <w:left w:val="nil"/>
              <w:bottom w:val="single" w:sz="4" w:space="0" w:color="auto"/>
              <w:right w:val="single" w:sz="4" w:space="0" w:color="auto"/>
            </w:tcBorders>
            <w:shd w:val="clear" w:color="auto" w:fill="auto"/>
            <w:vAlign w:val="center"/>
            <w:hideMark/>
          </w:tcPr>
          <w:p w14:paraId="58636124" w14:textId="4FBF08A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77927732" w14:textId="1501E5BD"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48F3A031" w14:textId="517BF397"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27</w:t>
            </w:r>
          </w:p>
        </w:tc>
        <w:tc>
          <w:tcPr>
            <w:tcW w:w="425" w:type="pct"/>
            <w:tcBorders>
              <w:top w:val="nil"/>
              <w:left w:val="nil"/>
              <w:bottom w:val="single" w:sz="4" w:space="0" w:color="auto"/>
              <w:right w:val="single" w:sz="4" w:space="0" w:color="auto"/>
            </w:tcBorders>
            <w:shd w:val="clear" w:color="auto" w:fill="auto"/>
            <w:vAlign w:val="center"/>
            <w:hideMark/>
          </w:tcPr>
          <w:p w14:paraId="45554859" w14:textId="06274C9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27</w:t>
            </w:r>
          </w:p>
        </w:tc>
      </w:tr>
      <w:tr w:rsidR="009432BE" w:rsidRPr="006F1955" w14:paraId="16B169D1" w14:textId="77777777" w:rsidTr="009432BE">
        <w:trPr>
          <w:trHeight w:val="290"/>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76587032" w14:textId="77777777" w:rsidR="009432BE" w:rsidRPr="006F1955" w:rsidRDefault="009432BE" w:rsidP="009432BE">
            <w:pPr>
              <w:spacing w:after="0" w:line="240" w:lineRule="auto"/>
              <w:jc w:val="center"/>
              <w:rPr>
                <w:rFonts w:ascii="Calibri" w:eastAsia="Times New Roman" w:hAnsi="Calibri" w:cs="Calibri"/>
                <w:color w:val="000000"/>
              </w:rPr>
            </w:pPr>
            <w:r w:rsidRPr="006F1955">
              <w:rPr>
                <w:rFonts w:ascii="Calibri" w:eastAsia="Times New Roman" w:hAnsi="Calibri" w:cs="Calibri"/>
                <w:color w:val="000000"/>
              </w:rPr>
              <w:t>8</w:t>
            </w:r>
          </w:p>
        </w:tc>
        <w:tc>
          <w:tcPr>
            <w:tcW w:w="1143" w:type="pct"/>
            <w:tcBorders>
              <w:top w:val="nil"/>
              <w:left w:val="nil"/>
              <w:bottom w:val="single" w:sz="4" w:space="0" w:color="auto"/>
              <w:right w:val="single" w:sz="4" w:space="0" w:color="auto"/>
            </w:tcBorders>
            <w:shd w:val="clear" w:color="auto" w:fill="auto"/>
            <w:vAlign w:val="center"/>
            <w:hideMark/>
          </w:tcPr>
          <w:p w14:paraId="39D51ABC" w14:textId="4B61CB3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Management of Resources</w:t>
            </w:r>
          </w:p>
        </w:tc>
        <w:tc>
          <w:tcPr>
            <w:tcW w:w="429" w:type="pct"/>
            <w:tcBorders>
              <w:top w:val="nil"/>
              <w:left w:val="nil"/>
              <w:bottom w:val="single" w:sz="4" w:space="0" w:color="auto"/>
              <w:right w:val="single" w:sz="4" w:space="0" w:color="auto"/>
            </w:tcBorders>
            <w:shd w:val="clear" w:color="auto" w:fill="auto"/>
            <w:vAlign w:val="center"/>
            <w:hideMark/>
          </w:tcPr>
          <w:p w14:paraId="3F6F7FC7" w14:textId="495FCA21"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9</w:t>
            </w:r>
          </w:p>
        </w:tc>
        <w:tc>
          <w:tcPr>
            <w:tcW w:w="429" w:type="pct"/>
            <w:tcBorders>
              <w:top w:val="nil"/>
              <w:left w:val="nil"/>
              <w:bottom w:val="single" w:sz="4" w:space="0" w:color="auto"/>
              <w:right w:val="single" w:sz="4" w:space="0" w:color="auto"/>
            </w:tcBorders>
            <w:shd w:val="clear" w:color="auto" w:fill="auto"/>
            <w:vAlign w:val="center"/>
            <w:hideMark/>
          </w:tcPr>
          <w:p w14:paraId="3385DB32" w14:textId="1DAD173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14</w:t>
            </w:r>
          </w:p>
        </w:tc>
        <w:tc>
          <w:tcPr>
            <w:tcW w:w="429" w:type="pct"/>
            <w:tcBorders>
              <w:top w:val="nil"/>
              <w:left w:val="nil"/>
              <w:bottom w:val="single" w:sz="4" w:space="0" w:color="auto"/>
              <w:right w:val="single" w:sz="4" w:space="0" w:color="auto"/>
            </w:tcBorders>
            <w:shd w:val="clear" w:color="auto" w:fill="auto"/>
            <w:vAlign w:val="center"/>
            <w:hideMark/>
          </w:tcPr>
          <w:p w14:paraId="3136E834" w14:textId="7E458316"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17</w:t>
            </w:r>
          </w:p>
        </w:tc>
        <w:tc>
          <w:tcPr>
            <w:tcW w:w="429" w:type="pct"/>
            <w:tcBorders>
              <w:top w:val="nil"/>
              <w:left w:val="nil"/>
              <w:bottom w:val="single" w:sz="4" w:space="0" w:color="auto"/>
              <w:right w:val="single" w:sz="4" w:space="0" w:color="auto"/>
            </w:tcBorders>
            <w:shd w:val="clear" w:color="auto" w:fill="auto"/>
            <w:vAlign w:val="center"/>
            <w:hideMark/>
          </w:tcPr>
          <w:p w14:paraId="2276E0F8" w14:textId="102534C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20</w:t>
            </w:r>
          </w:p>
        </w:tc>
        <w:tc>
          <w:tcPr>
            <w:tcW w:w="429" w:type="pct"/>
            <w:tcBorders>
              <w:top w:val="nil"/>
              <w:left w:val="nil"/>
              <w:bottom w:val="single" w:sz="4" w:space="0" w:color="auto"/>
              <w:right w:val="single" w:sz="4" w:space="0" w:color="auto"/>
            </w:tcBorders>
            <w:shd w:val="clear" w:color="auto" w:fill="auto"/>
            <w:vAlign w:val="center"/>
            <w:hideMark/>
          </w:tcPr>
          <w:p w14:paraId="45A147E9" w14:textId="68B301D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25</w:t>
            </w:r>
          </w:p>
        </w:tc>
        <w:tc>
          <w:tcPr>
            <w:tcW w:w="429" w:type="pct"/>
            <w:tcBorders>
              <w:top w:val="nil"/>
              <w:left w:val="nil"/>
              <w:bottom w:val="single" w:sz="4" w:space="0" w:color="auto"/>
              <w:right w:val="single" w:sz="4" w:space="0" w:color="auto"/>
            </w:tcBorders>
            <w:shd w:val="clear" w:color="auto" w:fill="auto"/>
            <w:vAlign w:val="center"/>
            <w:hideMark/>
          </w:tcPr>
          <w:p w14:paraId="575089DD" w14:textId="5C2D506F"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30</w:t>
            </w:r>
          </w:p>
        </w:tc>
        <w:tc>
          <w:tcPr>
            <w:tcW w:w="429" w:type="pct"/>
            <w:tcBorders>
              <w:top w:val="nil"/>
              <w:left w:val="nil"/>
              <w:bottom w:val="single" w:sz="4" w:space="0" w:color="auto"/>
              <w:right w:val="single" w:sz="4" w:space="0" w:color="auto"/>
            </w:tcBorders>
            <w:shd w:val="clear" w:color="auto" w:fill="auto"/>
            <w:vAlign w:val="center"/>
            <w:hideMark/>
          </w:tcPr>
          <w:p w14:paraId="47C5C36B" w14:textId="5AFCE019"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33</w:t>
            </w:r>
          </w:p>
        </w:tc>
        <w:tc>
          <w:tcPr>
            <w:tcW w:w="425" w:type="pct"/>
            <w:tcBorders>
              <w:top w:val="nil"/>
              <w:left w:val="nil"/>
              <w:bottom w:val="single" w:sz="4" w:space="0" w:color="auto"/>
              <w:right w:val="single" w:sz="4" w:space="0" w:color="auto"/>
            </w:tcBorders>
            <w:shd w:val="clear" w:color="auto" w:fill="auto"/>
            <w:vAlign w:val="center"/>
            <w:hideMark/>
          </w:tcPr>
          <w:p w14:paraId="08E6BB70" w14:textId="2AC9EF5A" w:rsidR="009432BE" w:rsidRPr="006F1955" w:rsidRDefault="009432BE" w:rsidP="009432BE">
            <w:pPr>
              <w:spacing w:after="0" w:line="240" w:lineRule="auto"/>
              <w:jc w:val="center"/>
              <w:rPr>
                <w:rFonts w:ascii="Calibri" w:eastAsia="Times New Roman" w:hAnsi="Calibri" w:cs="Calibri"/>
                <w:color w:val="000000"/>
              </w:rPr>
            </w:pPr>
            <w:r>
              <w:rPr>
                <w:rFonts w:ascii="Calibri" w:hAnsi="Calibri" w:cs="Calibri"/>
                <w:color w:val="000000"/>
              </w:rPr>
              <w:t>32</w:t>
            </w:r>
          </w:p>
        </w:tc>
      </w:tr>
    </w:tbl>
    <w:p w14:paraId="1943E339" w14:textId="77777777" w:rsidR="006F1955" w:rsidRPr="0096788D" w:rsidRDefault="006F1955" w:rsidP="00F672E3">
      <w:pPr>
        <w:tabs>
          <w:tab w:val="num" w:pos="450"/>
        </w:tabs>
        <w:jc w:val="both"/>
        <w:rPr>
          <w:rFonts w:ascii="Times New Roman" w:hAnsi="Times New Roman" w:cs="Times New Roman"/>
          <w:bCs/>
          <w:sz w:val="28"/>
          <w:szCs w:val="24"/>
        </w:rPr>
      </w:pPr>
    </w:p>
    <w:p w14:paraId="5D0D5A75" w14:textId="59E48E46" w:rsidR="00F672E3" w:rsidRPr="005F1697" w:rsidRDefault="00282FC1" w:rsidP="00F672E3">
      <w:pPr>
        <w:tabs>
          <w:tab w:val="num" w:pos="450"/>
        </w:tabs>
        <w:spacing w:before="240"/>
        <w:ind w:right="375"/>
        <w:rPr>
          <w:rFonts w:ascii="Times New Roman" w:hAnsi="Times New Roman" w:cs="Times New Roman"/>
          <w:b/>
          <w:sz w:val="28"/>
        </w:rPr>
      </w:pPr>
      <w:r>
        <w:rPr>
          <w:rFonts w:ascii="Times New Roman" w:hAnsi="Times New Roman" w:cs="Times New Roman"/>
          <w:b/>
          <w:sz w:val="28"/>
        </w:rPr>
        <w:t>3</w:t>
      </w:r>
      <w:r w:rsidR="00F672E3">
        <w:rPr>
          <w:rFonts w:ascii="Times New Roman" w:hAnsi="Times New Roman" w:cs="Times New Roman"/>
          <w:b/>
          <w:sz w:val="28"/>
        </w:rPr>
        <w:t xml:space="preserve">.2 </w:t>
      </w:r>
      <w:r w:rsidR="00F672E3" w:rsidRPr="0081425C">
        <w:rPr>
          <w:rFonts w:ascii="Times New Roman" w:hAnsi="Times New Roman" w:cs="Times New Roman"/>
          <w:b/>
          <w:sz w:val="28"/>
        </w:rPr>
        <w:t>The Percent Positions and Garret Values</w:t>
      </w:r>
    </w:p>
    <w:p w14:paraId="6454226D" w14:textId="77777777" w:rsidR="00F672E3" w:rsidRDefault="00F672E3" w:rsidP="00F672E3">
      <w:pPr>
        <w:tabs>
          <w:tab w:val="num" w:pos="450"/>
        </w:tabs>
        <w:ind w:right="375"/>
        <w:jc w:val="both"/>
        <w:rPr>
          <w:rFonts w:ascii="Times New Roman" w:hAnsi="Times New Roman" w:cs="Times New Roman"/>
          <w:sz w:val="24"/>
        </w:rPr>
      </w:pPr>
      <w:r w:rsidRPr="005F1697">
        <w:rPr>
          <w:rFonts w:ascii="Times New Roman" w:hAnsi="Times New Roman" w:cs="Times New Roman"/>
          <w:sz w:val="24"/>
        </w:rPr>
        <w:t>The Garret ranks had been calculated through the usage of suitable Garret Ranking formula. The based on the Garret ranks, the garret value was calculated through Garret Ranking Table.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0AB9AD55" w14:textId="77777777" w:rsidR="00F672E3" w:rsidRDefault="00F672E3" w:rsidP="00F672E3">
      <w:pPr>
        <w:tabs>
          <w:tab w:val="num" w:pos="450"/>
        </w:tabs>
        <w:ind w:right="375"/>
        <w:jc w:val="both"/>
        <w:rPr>
          <w:rFonts w:ascii="Times New Roman" w:eastAsiaTheme="minorEastAsia" w:hAnsi="Times New Roman" w:cs="Times New Roman"/>
          <w:sz w:val="28"/>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1425C">
        <w:rPr>
          <w:rFonts w:ascii="Times New Roman" w:hAnsi="Times New Roman" w:cs="Times New Roman"/>
          <w:sz w:val="24"/>
        </w:rPr>
        <w:t xml:space="preserve">Percent position = </w:t>
      </w:r>
      <m:oMath>
        <m:f>
          <m:fPr>
            <m:ctrlPr>
              <w:rPr>
                <w:rFonts w:ascii="Cambria Math" w:hAnsi="Cambria Math" w:cs="Times New Roman"/>
                <w:sz w:val="28"/>
              </w:rPr>
            </m:ctrlPr>
          </m:fPr>
          <m:num>
            <m:r>
              <m:rPr>
                <m:sty m:val="p"/>
              </m:rPr>
              <w:rPr>
                <w:rFonts w:ascii="Cambria Math" w:hAnsi="Cambria Math" w:cs="Times New Roman"/>
                <w:sz w:val="28"/>
              </w:rPr>
              <m:t>100(R</m:t>
            </m:r>
            <m:r>
              <w:rPr>
                <w:rFonts w:ascii="Cambria Math" w:hAnsi="Cambria Math" w:cs="Times New Roman"/>
                <w:sz w:val="28"/>
              </w:rPr>
              <m:t>ij-0.5)</m:t>
            </m:r>
          </m:num>
          <m:den>
            <m:r>
              <m:rPr>
                <m:sty m:val="p"/>
              </m:rPr>
              <w:rPr>
                <w:rFonts w:ascii="Cambria Math" w:hAnsi="Cambria Math" w:cs="Times New Roman"/>
                <w:sz w:val="28"/>
              </w:rPr>
              <m:t>Nj</m:t>
            </m:r>
          </m:den>
        </m:f>
      </m:oMath>
    </w:p>
    <w:p w14:paraId="103B416A" w14:textId="77777777" w:rsidR="00F672E3" w:rsidRDefault="00F672E3" w:rsidP="00F672E3">
      <w:pPr>
        <w:tabs>
          <w:tab w:val="num" w:pos="450"/>
        </w:tabs>
        <w:ind w:right="375"/>
        <w:jc w:val="both"/>
        <w:rPr>
          <w:rFonts w:ascii="Times New Roman" w:hAnsi="Times New Roman" w:cs="Times New Roman"/>
          <w:sz w:val="24"/>
        </w:rPr>
      </w:pPr>
      <w:r>
        <w:rPr>
          <w:rFonts w:ascii="Times New Roman" w:hAnsi="Times New Roman" w:cs="Times New Roman"/>
          <w:sz w:val="24"/>
        </w:rPr>
        <w:t>Where,</w:t>
      </w:r>
    </w:p>
    <w:p w14:paraId="4C494770" w14:textId="77777777" w:rsidR="00F672E3" w:rsidRDefault="00F672E3" w:rsidP="00F672E3">
      <w:pPr>
        <w:tabs>
          <w:tab w:val="num" w:pos="450"/>
        </w:tabs>
        <w:ind w:right="375"/>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roofErr w:type="spellStart"/>
      <w:r w:rsidRPr="0029079A">
        <w:rPr>
          <w:rFonts w:ascii="Times New Roman" w:hAnsi="Times New Roman" w:cs="Times New Roman"/>
          <w:sz w:val="24"/>
        </w:rPr>
        <w:t>Rij</w:t>
      </w:r>
      <w:proofErr w:type="spellEnd"/>
      <w:r w:rsidRPr="0029079A">
        <w:rPr>
          <w:rFonts w:ascii="Times New Roman" w:hAnsi="Times New Roman" w:cs="Times New Roman"/>
          <w:sz w:val="24"/>
        </w:rPr>
        <w:t xml:space="preserve"> = Rank given for the </w:t>
      </w:r>
      <w:proofErr w:type="spellStart"/>
      <w:r w:rsidRPr="0029079A">
        <w:rPr>
          <w:rFonts w:ascii="Times New Roman" w:hAnsi="Times New Roman" w:cs="Times New Roman"/>
          <w:sz w:val="24"/>
        </w:rPr>
        <w:t>i</w:t>
      </w:r>
      <w:r w:rsidRPr="0029079A">
        <w:rPr>
          <w:rFonts w:ascii="Times New Roman" w:hAnsi="Times New Roman" w:cs="Times New Roman"/>
          <w:sz w:val="24"/>
          <w:vertAlign w:val="superscript"/>
        </w:rPr>
        <w:t>th</w:t>
      </w:r>
      <w:proofErr w:type="spellEnd"/>
      <w:r w:rsidRPr="0029079A">
        <w:rPr>
          <w:rFonts w:ascii="Times New Roman" w:hAnsi="Times New Roman" w:cs="Times New Roman"/>
          <w:sz w:val="24"/>
        </w:rPr>
        <w:t xml:space="preserve"> variable by </w:t>
      </w:r>
      <w:proofErr w:type="spellStart"/>
      <w:r w:rsidRPr="0029079A">
        <w:rPr>
          <w:rFonts w:ascii="Times New Roman" w:hAnsi="Times New Roman" w:cs="Times New Roman"/>
          <w:sz w:val="24"/>
        </w:rPr>
        <w:t>j</w:t>
      </w:r>
      <w:r w:rsidRPr="0029079A">
        <w:rPr>
          <w:rFonts w:ascii="Times New Roman" w:hAnsi="Times New Roman" w:cs="Times New Roman"/>
          <w:sz w:val="24"/>
          <w:vertAlign w:val="superscript"/>
        </w:rPr>
        <w:t>th</w:t>
      </w:r>
      <w:proofErr w:type="spellEnd"/>
      <w:r w:rsidRPr="0029079A">
        <w:rPr>
          <w:rFonts w:ascii="Times New Roman" w:hAnsi="Times New Roman" w:cs="Times New Roman"/>
          <w:sz w:val="24"/>
        </w:rPr>
        <w:t xml:space="preserve"> respondents </w:t>
      </w:r>
    </w:p>
    <w:p w14:paraId="32467BEA" w14:textId="77777777" w:rsidR="00F672E3" w:rsidRDefault="00F672E3" w:rsidP="00F672E3">
      <w:pPr>
        <w:tabs>
          <w:tab w:val="num" w:pos="450"/>
        </w:tabs>
        <w:ind w:right="375"/>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29079A">
        <w:rPr>
          <w:rFonts w:ascii="Times New Roman" w:hAnsi="Times New Roman" w:cs="Times New Roman"/>
          <w:sz w:val="24"/>
        </w:rPr>
        <w:t xml:space="preserve">Nj = Number of </w:t>
      </w:r>
      <w:proofErr w:type="gramStart"/>
      <w:r w:rsidRPr="0029079A">
        <w:rPr>
          <w:rFonts w:ascii="Times New Roman" w:hAnsi="Times New Roman" w:cs="Times New Roman"/>
          <w:sz w:val="24"/>
        </w:rPr>
        <w:t>variable</w:t>
      </w:r>
      <w:proofErr w:type="gramEnd"/>
    </w:p>
    <w:p w14:paraId="550C8CE2" w14:textId="77777777" w:rsidR="00F672E3" w:rsidRPr="00DD4029" w:rsidRDefault="00F672E3" w:rsidP="00F672E3">
      <w:pPr>
        <w:tabs>
          <w:tab w:val="num" w:pos="450"/>
        </w:tabs>
        <w:ind w:right="375"/>
        <w:rPr>
          <w:rFonts w:ascii="Times New Roman" w:hAnsi="Times New Roman" w:cs="Times New Roman"/>
          <w:b/>
          <w:snapToGrid w:val="0"/>
          <w:color w:val="000000"/>
          <w:sz w:val="28"/>
          <w:szCs w:val="26"/>
        </w:rPr>
      </w:pPr>
      <w:r>
        <w:rPr>
          <w:rFonts w:ascii="Times New Roman" w:hAnsi="Times New Roman" w:cs="Times New Roman"/>
          <w:b/>
          <w:snapToGrid w:val="0"/>
          <w:color w:val="000000"/>
          <w:sz w:val="28"/>
          <w:szCs w:val="26"/>
        </w:rPr>
        <w:t>Table 2</w:t>
      </w:r>
      <w:r w:rsidRPr="00DD4029">
        <w:rPr>
          <w:rFonts w:ascii="Times New Roman" w:hAnsi="Times New Roman" w:cs="Times New Roman"/>
          <w:b/>
          <w:snapToGrid w:val="0"/>
          <w:color w:val="000000"/>
          <w:sz w:val="28"/>
          <w:szCs w:val="26"/>
        </w:rPr>
        <w:t>: Percent positions and Garret Values</w:t>
      </w:r>
    </w:p>
    <w:tbl>
      <w:tblPr>
        <w:tblStyle w:val="TableGrid"/>
        <w:tblW w:w="0" w:type="auto"/>
        <w:tblInd w:w="675" w:type="dxa"/>
        <w:tblLook w:val="04A0" w:firstRow="1" w:lastRow="0" w:firstColumn="1" w:lastColumn="0" w:noHBand="0" w:noVBand="1"/>
      </w:tblPr>
      <w:tblGrid>
        <w:gridCol w:w="903"/>
        <w:gridCol w:w="3150"/>
        <w:gridCol w:w="1899"/>
        <w:gridCol w:w="1881"/>
      </w:tblGrid>
      <w:tr w:rsidR="00F672E3" w14:paraId="18648816" w14:textId="77777777" w:rsidTr="00AD1C0D">
        <w:tc>
          <w:tcPr>
            <w:tcW w:w="903" w:type="dxa"/>
          </w:tcPr>
          <w:p w14:paraId="5D85A1E0" w14:textId="77777777" w:rsidR="00F672E3" w:rsidRDefault="00F672E3" w:rsidP="00AD1C0D">
            <w:pPr>
              <w:ind w:right="-450"/>
              <w:rPr>
                <w:rFonts w:ascii="Times New Roman" w:hAnsi="Times New Roman" w:cs="Times New Roman"/>
                <w:b/>
                <w:bCs/>
                <w:sz w:val="28"/>
                <w:szCs w:val="28"/>
              </w:rPr>
            </w:pPr>
            <w:r>
              <w:rPr>
                <w:rFonts w:ascii="Times New Roman" w:hAnsi="Times New Roman" w:cs="Times New Roman"/>
                <w:b/>
                <w:bCs/>
                <w:sz w:val="28"/>
                <w:szCs w:val="28"/>
              </w:rPr>
              <w:t xml:space="preserve">S. No. </w:t>
            </w:r>
          </w:p>
        </w:tc>
        <w:tc>
          <w:tcPr>
            <w:tcW w:w="3150" w:type="dxa"/>
          </w:tcPr>
          <w:p w14:paraId="6A9FFE2A" w14:textId="77777777" w:rsidR="00F672E3" w:rsidRPr="00B85E78" w:rsidRDefault="00F672E3" w:rsidP="00AD1C0D">
            <w:pPr>
              <w:ind w:right="-450"/>
              <w:jc w:val="center"/>
              <w:rPr>
                <w:rFonts w:ascii="Times New Roman" w:hAnsi="Times New Roman" w:cs="Times New Roman"/>
                <w:b/>
                <w:bCs/>
                <w:sz w:val="24"/>
                <w:szCs w:val="24"/>
              </w:rPr>
            </w:pPr>
            <w:r w:rsidRPr="00B85E78">
              <w:rPr>
                <w:rFonts w:ascii="Times New Roman" w:hAnsi="Times New Roman" w:cs="Times New Roman"/>
                <w:b/>
                <w:sz w:val="24"/>
                <w:szCs w:val="24"/>
              </w:rPr>
              <w:t>100(Rij-0.5)/ Nj</w:t>
            </w:r>
          </w:p>
        </w:tc>
        <w:tc>
          <w:tcPr>
            <w:tcW w:w="1899" w:type="dxa"/>
          </w:tcPr>
          <w:p w14:paraId="16E691C3" w14:textId="77777777" w:rsidR="00F672E3" w:rsidRPr="00B85E78" w:rsidRDefault="00F672E3" w:rsidP="00AD1C0D">
            <w:pPr>
              <w:ind w:right="-450"/>
              <w:rPr>
                <w:rFonts w:ascii="Times New Roman" w:hAnsi="Times New Roman" w:cs="Times New Roman"/>
                <w:b/>
                <w:bCs/>
                <w:sz w:val="24"/>
                <w:szCs w:val="24"/>
              </w:rPr>
            </w:pPr>
            <w:r w:rsidRPr="00B85E78">
              <w:rPr>
                <w:rFonts w:ascii="Times New Roman" w:hAnsi="Times New Roman" w:cs="Times New Roman"/>
                <w:b/>
                <w:sz w:val="24"/>
                <w:szCs w:val="24"/>
              </w:rPr>
              <w:t>Calculated Value</w:t>
            </w:r>
          </w:p>
        </w:tc>
        <w:tc>
          <w:tcPr>
            <w:tcW w:w="1881" w:type="dxa"/>
          </w:tcPr>
          <w:p w14:paraId="2672AD06" w14:textId="77777777" w:rsidR="00F672E3" w:rsidRPr="00B85E78" w:rsidRDefault="00F672E3" w:rsidP="00AD1C0D">
            <w:pPr>
              <w:ind w:right="-450"/>
              <w:rPr>
                <w:rFonts w:ascii="Times New Roman" w:hAnsi="Times New Roman" w:cs="Times New Roman"/>
                <w:b/>
                <w:bCs/>
                <w:sz w:val="24"/>
                <w:szCs w:val="24"/>
              </w:rPr>
            </w:pPr>
            <w:r w:rsidRPr="00B85E78">
              <w:rPr>
                <w:rFonts w:ascii="Times New Roman" w:hAnsi="Times New Roman" w:cs="Times New Roman"/>
                <w:b/>
                <w:sz w:val="24"/>
                <w:szCs w:val="24"/>
              </w:rPr>
              <w:t>Garret Value</w:t>
            </w:r>
          </w:p>
        </w:tc>
      </w:tr>
      <w:tr w:rsidR="00F672E3" w14:paraId="2EFC39C8" w14:textId="77777777" w:rsidTr="00AD1C0D">
        <w:tc>
          <w:tcPr>
            <w:tcW w:w="903" w:type="dxa"/>
          </w:tcPr>
          <w:p w14:paraId="63C583B7"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3150" w:type="dxa"/>
          </w:tcPr>
          <w:p w14:paraId="2B5AE783" w14:textId="5B7738E2" w:rsidR="00F672E3" w:rsidRDefault="00F672E3" w:rsidP="00AD1C0D">
            <w:pPr>
              <w:ind w:right="-450"/>
              <w:jc w:val="center"/>
              <w:rPr>
                <w:rFonts w:ascii="Times New Roman" w:hAnsi="Times New Roman" w:cs="Times New Roman"/>
                <w:b/>
                <w:bCs/>
                <w:sz w:val="28"/>
                <w:szCs w:val="28"/>
              </w:rPr>
            </w:pPr>
            <w:r>
              <w:t>100(1-0.5)/</w:t>
            </w:r>
            <w:r w:rsidR="006F1955">
              <w:t>8</w:t>
            </w:r>
          </w:p>
        </w:tc>
        <w:tc>
          <w:tcPr>
            <w:tcW w:w="1899" w:type="dxa"/>
            <w:vAlign w:val="bottom"/>
          </w:tcPr>
          <w:p w14:paraId="597052DF" w14:textId="1321C369"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6.25</w:t>
            </w:r>
          </w:p>
        </w:tc>
        <w:tc>
          <w:tcPr>
            <w:tcW w:w="1881" w:type="dxa"/>
            <w:vAlign w:val="bottom"/>
          </w:tcPr>
          <w:p w14:paraId="45281D63" w14:textId="1AD6C5AC" w:rsidR="00F672E3" w:rsidRPr="00B85E78" w:rsidRDefault="00F672E3" w:rsidP="00AD1C0D">
            <w:pPr>
              <w:jc w:val="center"/>
              <w:rPr>
                <w:rFonts w:ascii="Times New Roman" w:hAnsi="Times New Roman" w:cs="Times New Roman"/>
                <w:color w:val="000000"/>
                <w:sz w:val="24"/>
              </w:rPr>
            </w:pPr>
            <w:r w:rsidRPr="00B85E78">
              <w:rPr>
                <w:rFonts w:ascii="Times New Roman" w:hAnsi="Times New Roman" w:cs="Times New Roman"/>
                <w:color w:val="000000"/>
                <w:sz w:val="24"/>
              </w:rPr>
              <w:t>8</w:t>
            </w:r>
            <w:r w:rsidR="006F1955">
              <w:rPr>
                <w:rFonts w:ascii="Times New Roman" w:hAnsi="Times New Roman" w:cs="Times New Roman"/>
                <w:color w:val="000000"/>
                <w:sz w:val="24"/>
              </w:rPr>
              <w:t>0</w:t>
            </w:r>
          </w:p>
        </w:tc>
      </w:tr>
      <w:tr w:rsidR="00F672E3" w14:paraId="2DCC1972" w14:textId="77777777" w:rsidTr="00AD1C0D">
        <w:tc>
          <w:tcPr>
            <w:tcW w:w="903" w:type="dxa"/>
          </w:tcPr>
          <w:p w14:paraId="1D4166D4"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3150" w:type="dxa"/>
          </w:tcPr>
          <w:p w14:paraId="71129D31" w14:textId="21C4BA85" w:rsidR="00F672E3" w:rsidRDefault="00F672E3" w:rsidP="00AD1C0D">
            <w:pPr>
              <w:ind w:right="-450"/>
              <w:jc w:val="center"/>
              <w:rPr>
                <w:rFonts w:ascii="Times New Roman" w:hAnsi="Times New Roman" w:cs="Times New Roman"/>
                <w:b/>
                <w:bCs/>
                <w:sz w:val="28"/>
                <w:szCs w:val="28"/>
              </w:rPr>
            </w:pPr>
            <w:r>
              <w:t>100(2-0.5)/</w:t>
            </w:r>
            <w:r w:rsidR="006F1955">
              <w:t>8</w:t>
            </w:r>
          </w:p>
        </w:tc>
        <w:tc>
          <w:tcPr>
            <w:tcW w:w="1899" w:type="dxa"/>
            <w:vAlign w:val="bottom"/>
          </w:tcPr>
          <w:p w14:paraId="72255A42" w14:textId="506A47FE" w:rsidR="00F672E3" w:rsidRPr="00B85E78" w:rsidRDefault="00F672E3" w:rsidP="00AD1C0D">
            <w:pPr>
              <w:jc w:val="center"/>
              <w:rPr>
                <w:rFonts w:ascii="Times New Roman" w:hAnsi="Times New Roman" w:cs="Times New Roman"/>
                <w:color w:val="000000"/>
                <w:sz w:val="24"/>
              </w:rPr>
            </w:pPr>
            <w:r w:rsidRPr="00B85E78">
              <w:rPr>
                <w:rFonts w:ascii="Times New Roman" w:hAnsi="Times New Roman" w:cs="Times New Roman"/>
                <w:color w:val="000000"/>
                <w:sz w:val="24"/>
              </w:rPr>
              <w:t>1</w:t>
            </w:r>
            <w:r w:rsidR="006F1955">
              <w:rPr>
                <w:rFonts w:ascii="Times New Roman" w:hAnsi="Times New Roman" w:cs="Times New Roman"/>
                <w:color w:val="000000"/>
                <w:sz w:val="24"/>
              </w:rPr>
              <w:t>8.75</w:t>
            </w:r>
          </w:p>
        </w:tc>
        <w:tc>
          <w:tcPr>
            <w:tcW w:w="1881" w:type="dxa"/>
            <w:vAlign w:val="bottom"/>
          </w:tcPr>
          <w:p w14:paraId="1E0480C0" w14:textId="108B2930"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68</w:t>
            </w:r>
          </w:p>
        </w:tc>
      </w:tr>
      <w:tr w:rsidR="00F672E3" w14:paraId="4968A978" w14:textId="77777777" w:rsidTr="00AD1C0D">
        <w:tc>
          <w:tcPr>
            <w:tcW w:w="903" w:type="dxa"/>
          </w:tcPr>
          <w:p w14:paraId="09F90023"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lastRenderedPageBreak/>
              <w:t>3.</w:t>
            </w:r>
          </w:p>
        </w:tc>
        <w:tc>
          <w:tcPr>
            <w:tcW w:w="3150" w:type="dxa"/>
          </w:tcPr>
          <w:p w14:paraId="3086EA66" w14:textId="523E4F40" w:rsidR="00F672E3" w:rsidRDefault="00F672E3" w:rsidP="00AD1C0D">
            <w:pPr>
              <w:ind w:right="-450"/>
              <w:jc w:val="center"/>
              <w:rPr>
                <w:rFonts w:ascii="Times New Roman" w:hAnsi="Times New Roman" w:cs="Times New Roman"/>
                <w:b/>
                <w:bCs/>
                <w:sz w:val="28"/>
                <w:szCs w:val="28"/>
              </w:rPr>
            </w:pPr>
            <w:r>
              <w:t>100(3-0.5)/</w:t>
            </w:r>
            <w:r w:rsidR="006F1955">
              <w:t>8</w:t>
            </w:r>
          </w:p>
        </w:tc>
        <w:tc>
          <w:tcPr>
            <w:tcW w:w="1899" w:type="dxa"/>
            <w:vAlign w:val="bottom"/>
          </w:tcPr>
          <w:p w14:paraId="42DB20EC" w14:textId="2487048D"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31.25</w:t>
            </w:r>
          </w:p>
        </w:tc>
        <w:tc>
          <w:tcPr>
            <w:tcW w:w="1881" w:type="dxa"/>
            <w:vAlign w:val="bottom"/>
          </w:tcPr>
          <w:p w14:paraId="6B8ADDB7" w14:textId="56FC08E0" w:rsidR="00F672E3" w:rsidRPr="00B85E78" w:rsidRDefault="00F672E3" w:rsidP="00AD1C0D">
            <w:pPr>
              <w:jc w:val="center"/>
              <w:rPr>
                <w:rFonts w:ascii="Times New Roman" w:hAnsi="Times New Roman" w:cs="Times New Roman"/>
                <w:color w:val="000000"/>
                <w:sz w:val="24"/>
              </w:rPr>
            </w:pPr>
            <w:r w:rsidRPr="00B85E78">
              <w:rPr>
                <w:rFonts w:ascii="Times New Roman" w:hAnsi="Times New Roman" w:cs="Times New Roman"/>
                <w:color w:val="000000"/>
                <w:sz w:val="24"/>
              </w:rPr>
              <w:t>6</w:t>
            </w:r>
            <w:r w:rsidR="006F1955">
              <w:rPr>
                <w:rFonts w:ascii="Times New Roman" w:hAnsi="Times New Roman" w:cs="Times New Roman"/>
                <w:color w:val="000000"/>
                <w:sz w:val="24"/>
              </w:rPr>
              <w:t>0</w:t>
            </w:r>
          </w:p>
        </w:tc>
      </w:tr>
      <w:tr w:rsidR="00F672E3" w14:paraId="0B8E1245" w14:textId="77777777" w:rsidTr="00AD1C0D">
        <w:tc>
          <w:tcPr>
            <w:tcW w:w="903" w:type="dxa"/>
          </w:tcPr>
          <w:p w14:paraId="4F3A4153"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3150" w:type="dxa"/>
          </w:tcPr>
          <w:p w14:paraId="08E8FA1A" w14:textId="613C15CE" w:rsidR="00F672E3" w:rsidRDefault="00F672E3" w:rsidP="00AD1C0D">
            <w:pPr>
              <w:ind w:right="-450"/>
              <w:jc w:val="center"/>
              <w:rPr>
                <w:rFonts w:ascii="Times New Roman" w:hAnsi="Times New Roman" w:cs="Times New Roman"/>
                <w:b/>
                <w:bCs/>
                <w:sz w:val="28"/>
                <w:szCs w:val="28"/>
              </w:rPr>
            </w:pPr>
            <w:r>
              <w:t>100(4-0.5)/</w:t>
            </w:r>
            <w:r w:rsidR="006F1955">
              <w:t>8</w:t>
            </w:r>
          </w:p>
        </w:tc>
        <w:tc>
          <w:tcPr>
            <w:tcW w:w="1899" w:type="dxa"/>
            <w:vAlign w:val="bottom"/>
          </w:tcPr>
          <w:p w14:paraId="6CCF6EF7" w14:textId="2CE9EB27"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43.75</w:t>
            </w:r>
          </w:p>
        </w:tc>
        <w:tc>
          <w:tcPr>
            <w:tcW w:w="1881" w:type="dxa"/>
            <w:vAlign w:val="bottom"/>
          </w:tcPr>
          <w:p w14:paraId="6CE0EA6C" w14:textId="02B15A23"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54</w:t>
            </w:r>
          </w:p>
        </w:tc>
      </w:tr>
      <w:tr w:rsidR="00F672E3" w14:paraId="66E217FB" w14:textId="77777777" w:rsidTr="00AD1C0D">
        <w:tc>
          <w:tcPr>
            <w:tcW w:w="903" w:type="dxa"/>
          </w:tcPr>
          <w:p w14:paraId="645F9D3B"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3150" w:type="dxa"/>
          </w:tcPr>
          <w:p w14:paraId="431FDB2B" w14:textId="77547108" w:rsidR="00F672E3" w:rsidRDefault="00F672E3" w:rsidP="00AD1C0D">
            <w:pPr>
              <w:ind w:right="-450"/>
              <w:jc w:val="center"/>
              <w:rPr>
                <w:rFonts w:ascii="Times New Roman" w:hAnsi="Times New Roman" w:cs="Times New Roman"/>
                <w:b/>
                <w:bCs/>
                <w:sz w:val="28"/>
                <w:szCs w:val="28"/>
              </w:rPr>
            </w:pPr>
            <w:r>
              <w:t>100(5-0.5)/</w:t>
            </w:r>
            <w:r w:rsidR="006F1955">
              <w:t>8</w:t>
            </w:r>
          </w:p>
        </w:tc>
        <w:tc>
          <w:tcPr>
            <w:tcW w:w="1899" w:type="dxa"/>
            <w:vAlign w:val="bottom"/>
          </w:tcPr>
          <w:p w14:paraId="3827C854" w14:textId="6854FAA6"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56.25</w:t>
            </w:r>
          </w:p>
        </w:tc>
        <w:tc>
          <w:tcPr>
            <w:tcW w:w="1881" w:type="dxa"/>
            <w:vAlign w:val="bottom"/>
          </w:tcPr>
          <w:p w14:paraId="693D11D5" w14:textId="58FE4B4F"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47</w:t>
            </w:r>
          </w:p>
        </w:tc>
      </w:tr>
      <w:tr w:rsidR="00F672E3" w14:paraId="6DCE0BB1" w14:textId="77777777" w:rsidTr="00AD1C0D">
        <w:tc>
          <w:tcPr>
            <w:tcW w:w="903" w:type="dxa"/>
          </w:tcPr>
          <w:p w14:paraId="0ABEDED7"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3150" w:type="dxa"/>
          </w:tcPr>
          <w:p w14:paraId="57778BBC" w14:textId="72C91D63" w:rsidR="00F672E3" w:rsidRDefault="00F672E3" w:rsidP="00AD1C0D">
            <w:pPr>
              <w:ind w:right="-450"/>
              <w:jc w:val="center"/>
              <w:rPr>
                <w:rFonts w:ascii="Times New Roman" w:hAnsi="Times New Roman" w:cs="Times New Roman"/>
                <w:b/>
                <w:bCs/>
                <w:sz w:val="28"/>
                <w:szCs w:val="28"/>
              </w:rPr>
            </w:pPr>
            <w:r>
              <w:t>100(6-0.5)/</w:t>
            </w:r>
            <w:r w:rsidR="006F1955">
              <w:t>8</w:t>
            </w:r>
          </w:p>
        </w:tc>
        <w:tc>
          <w:tcPr>
            <w:tcW w:w="1899" w:type="dxa"/>
            <w:vAlign w:val="bottom"/>
          </w:tcPr>
          <w:p w14:paraId="20389CE4" w14:textId="25819A51"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68.75</w:t>
            </w:r>
          </w:p>
        </w:tc>
        <w:tc>
          <w:tcPr>
            <w:tcW w:w="1881" w:type="dxa"/>
            <w:vAlign w:val="bottom"/>
          </w:tcPr>
          <w:p w14:paraId="36E79864" w14:textId="589200D9"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40</w:t>
            </w:r>
          </w:p>
        </w:tc>
      </w:tr>
      <w:tr w:rsidR="00F672E3" w14:paraId="11DE571B" w14:textId="77777777" w:rsidTr="00AD1C0D">
        <w:tc>
          <w:tcPr>
            <w:tcW w:w="903" w:type="dxa"/>
          </w:tcPr>
          <w:p w14:paraId="14A37D90"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3150" w:type="dxa"/>
          </w:tcPr>
          <w:p w14:paraId="5F14C551" w14:textId="1E259868" w:rsidR="00F672E3" w:rsidRDefault="00F672E3" w:rsidP="00AD1C0D">
            <w:pPr>
              <w:ind w:right="-450"/>
              <w:jc w:val="center"/>
              <w:rPr>
                <w:rFonts w:ascii="Times New Roman" w:hAnsi="Times New Roman" w:cs="Times New Roman"/>
                <w:b/>
                <w:bCs/>
                <w:sz w:val="28"/>
                <w:szCs w:val="28"/>
              </w:rPr>
            </w:pPr>
            <w:r>
              <w:t>100(7-0.5)/</w:t>
            </w:r>
            <w:r w:rsidR="006F1955">
              <w:t>8</w:t>
            </w:r>
          </w:p>
        </w:tc>
        <w:tc>
          <w:tcPr>
            <w:tcW w:w="1899" w:type="dxa"/>
            <w:vAlign w:val="bottom"/>
          </w:tcPr>
          <w:p w14:paraId="3AE2A39F" w14:textId="4C35A6DC"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81.25</w:t>
            </w:r>
          </w:p>
        </w:tc>
        <w:tc>
          <w:tcPr>
            <w:tcW w:w="1881" w:type="dxa"/>
            <w:vAlign w:val="bottom"/>
          </w:tcPr>
          <w:p w14:paraId="23ABD385" w14:textId="4BA802A6"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32</w:t>
            </w:r>
          </w:p>
        </w:tc>
      </w:tr>
      <w:tr w:rsidR="00F672E3" w14:paraId="2EE05812" w14:textId="77777777" w:rsidTr="00AD1C0D">
        <w:tc>
          <w:tcPr>
            <w:tcW w:w="903" w:type="dxa"/>
          </w:tcPr>
          <w:p w14:paraId="19C06CB8" w14:textId="77777777" w:rsidR="00F672E3" w:rsidRDefault="00F672E3" w:rsidP="00AD1C0D">
            <w:pPr>
              <w:ind w:right="-198"/>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3150" w:type="dxa"/>
          </w:tcPr>
          <w:p w14:paraId="06179462" w14:textId="309B897B" w:rsidR="00F672E3" w:rsidRDefault="00F672E3" w:rsidP="00AD1C0D">
            <w:pPr>
              <w:ind w:right="-450"/>
              <w:jc w:val="center"/>
              <w:rPr>
                <w:rFonts w:ascii="Times New Roman" w:hAnsi="Times New Roman" w:cs="Times New Roman"/>
                <w:b/>
                <w:bCs/>
                <w:sz w:val="28"/>
                <w:szCs w:val="28"/>
              </w:rPr>
            </w:pPr>
            <w:r>
              <w:t>100(8-0.5)/</w:t>
            </w:r>
            <w:r w:rsidR="006F1955">
              <w:t>8</w:t>
            </w:r>
          </w:p>
        </w:tc>
        <w:tc>
          <w:tcPr>
            <w:tcW w:w="1899" w:type="dxa"/>
            <w:vAlign w:val="bottom"/>
          </w:tcPr>
          <w:p w14:paraId="51A4164B" w14:textId="5AE9B2CB"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93.75</w:t>
            </w:r>
          </w:p>
        </w:tc>
        <w:tc>
          <w:tcPr>
            <w:tcW w:w="1881" w:type="dxa"/>
            <w:vAlign w:val="bottom"/>
          </w:tcPr>
          <w:p w14:paraId="1EF818E9" w14:textId="7BE3A820" w:rsidR="00F672E3" w:rsidRPr="00B85E78" w:rsidRDefault="006F1955" w:rsidP="00AD1C0D">
            <w:pPr>
              <w:jc w:val="center"/>
              <w:rPr>
                <w:rFonts w:ascii="Times New Roman" w:hAnsi="Times New Roman" w:cs="Times New Roman"/>
                <w:color w:val="000000"/>
                <w:sz w:val="24"/>
              </w:rPr>
            </w:pPr>
            <w:r>
              <w:rPr>
                <w:rFonts w:ascii="Times New Roman" w:hAnsi="Times New Roman" w:cs="Times New Roman"/>
                <w:color w:val="000000"/>
                <w:sz w:val="24"/>
              </w:rPr>
              <w:t>20</w:t>
            </w:r>
          </w:p>
        </w:tc>
      </w:tr>
    </w:tbl>
    <w:p w14:paraId="2CA19B15" w14:textId="77777777" w:rsidR="00F672E3" w:rsidRDefault="00F672E3" w:rsidP="00F672E3">
      <w:pPr>
        <w:ind w:right="-450" w:hanging="810"/>
      </w:pPr>
    </w:p>
    <w:p w14:paraId="4EC74194" w14:textId="30FE111D" w:rsidR="00F672E3" w:rsidRPr="00867848" w:rsidRDefault="00282FC1" w:rsidP="00F672E3">
      <w:pPr>
        <w:tabs>
          <w:tab w:val="num" w:pos="450"/>
        </w:tabs>
        <w:ind w:right="375"/>
        <w:jc w:val="both"/>
        <w:rPr>
          <w:rFonts w:ascii="Times New Roman" w:hAnsi="Times New Roman" w:cs="Times New Roman"/>
          <w:b/>
          <w:sz w:val="28"/>
        </w:rPr>
      </w:pPr>
      <w:r>
        <w:rPr>
          <w:rFonts w:ascii="Times New Roman" w:hAnsi="Times New Roman" w:cs="Times New Roman"/>
          <w:b/>
          <w:sz w:val="28"/>
        </w:rPr>
        <w:t>3</w:t>
      </w:r>
      <w:r w:rsidR="00F672E3">
        <w:rPr>
          <w:rFonts w:ascii="Times New Roman" w:hAnsi="Times New Roman" w:cs="Times New Roman"/>
          <w:b/>
          <w:sz w:val="28"/>
        </w:rPr>
        <w:t xml:space="preserve">.3 </w:t>
      </w:r>
      <w:r w:rsidR="00F672E3" w:rsidRPr="00867848">
        <w:rPr>
          <w:rFonts w:ascii="Times New Roman" w:hAnsi="Times New Roman" w:cs="Times New Roman"/>
          <w:b/>
          <w:sz w:val="28"/>
        </w:rPr>
        <w:t xml:space="preserve">Calculation of Garret Value and Ranking </w:t>
      </w:r>
    </w:p>
    <w:p w14:paraId="4D2BB982" w14:textId="08C4B38F" w:rsidR="00F672E3" w:rsidRPr="001D4CEA" w:rsidRDefault="00F672E3" w:rsidP="00F672E3">
      <w:pPr>
        <w:pStyle w:val="NormalWeb"/>
        <w:ind w:firstLine="720"/>
        <w:jc w:val="both"/>
      </w:pPr>
      <w:r w:rsidRPr="001D4CEA">
        <w:t xml:space="preserve">The Garret tables and scores of each problem in Table </w:t>
      </w:r>
      <w:r>
        <w:t>1</w:t>
      </w:r>
      <w:r w:rsidRPr="001D4CEA">
        <w:t xml:space="preserve"> were multiplied by the Garret value to record scores for eac</w:t>
      </w:r>
      <w:r>
        <w:t>h rank and constraint in Table 3</w:t>
      </w:r>
      <w:r w:rsidRPr="001D4CEA">
        <w:t>, and finally, by adding each row, the total Garret score was obtained. Total Garret scores were divided by th</w:t>
      </w:r>
      <w:r>
        <w:t xml:space="preserve">e number of respondents, i.e., </w:t>
      </w:r>
      <w:r w:rsidR="006F1955">
        <w:t>180</w:t>
      </w:r>
      <w:r w:rsidRPr="001D4CEA">
        <w:t xml:space="preserve">, to calculate the average, and the ranking was given on the basis of the average value. The Garret value calculation and ranking of problems encountered by farmers when adopting </w:t>
      </w:r>
      <w:r>
        <w:t xml:space="preserve">climate smart agriculture </w:t>
      </w:r>
      <w:r w:rsidRPr="001D4CEA">
        <w:t>are shown below. </w:t>
      </w:r>
    </w:p>
    <w:p w14:paraId="21789BE7" w14:textId="333FA396" w:rsidR="00F672E3" w:rsidRDefault="00F672E3" w:rsidP="00282FC1">
      <w:pPr>
        <w:ind w:right="-450"/>
        <w:rPr>
          <w:rFonts w:ascii="Times New Roman" w:hAnsi="Times New Roman" w:cs="Times New Roman"/>
          <w:b/>
          <w:sz w:val="28"/>
        </w:rPr>
      </w:pPr>
      <w:r>
        <w:rPr>
          <w:rFonts w:ascii="Times New Roman" w:hAnsi="Times New Roman" w:cs="Times New Roman"/>
          <w:b/>
          <w:sz w:val="28"/>
        </w:rPr>
        <w:t>Table 3</w:t>
      </w:r>
      <w:r w:rsidRPr="00F5052A">
        <w:rPr>
          <w:rFonts w:ascii="Times New Roman" w:hAnsi="Times New Roman" w:cs="Times New Roman"/>
          <w:b/>
          <w:sz w:val="28"/>
        </w:rPr>
        <w:t>: The calculation</w:t>
      </w:r>
      <w:r w:rsidR="00282FC1">
        <w:rPr>
          <w:rFonts w:ascii="Times New Roman" w:hAnsi="Times New Roman" w:cs="Times New Roman"/>
          <w:b/>
          <w:sz w:val="28"/>
        </w:rPr>
        <w:t xml:space="preserve"> of r</w:t>
      </w:r>
      <w:r w:rsidR="00282FC1" w:rsidRPr="00867848">
        <w:rPr>
          <w:rFonts w:ascii="Times New Roman" w:hAnsi="Times New Roman" w:cs="Times New Roman"/>
          <w:b/>
          <w:sz w:val="28"/>
        </w:rPr>
        <w:t>anking</w:t>
      </w:r>
    </w:p>
    <w:tbl>
      <w:tblPr>
        <w:tblW w:w="10014" w:type="dxa"/>
        <w:tblLook w:val="04A0" w:firstRow="1" w:lastRow="0" w:firstColumn="1" w:lastColumn="0" w:noHBand="0" w:noVBand="1"/>
      </w:tblPr>
      <w:tblGrid>
        <w:gridCol w:w="715"/>
        <w:gridCol w:w="1518"/>
        <w:gridCol w:w="663"/>
        <w:gridCol w:w="663"/>
        <w:gridCol w:w="663"/>
        <w:gridCol w:w="663"/>
        <w:gridCol w:w="663"/>
        <w:gridCol w:w="663"/>
        <w:gridCol w:w="663"/>
        <w:gridCol w:w="551"/>
        <w:gridCol w:w="774"/>
        <w:gridCol w:w="967"/>
        <w:gridCol w:w="1025"/>
      </w:tblGrid>
      <w:tr w:rsidR="009432BE" w:rsidRPr="009432BE" w14:paraId="06F569FF" w14:textId="77777777" w:rsidTr="009432BE">
        <w:trPr>
          <w:trHeight w:val="580"/>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453355"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S. No.</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F2FC7"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Services Provide to the Farmers</w:t>
            </w:r>
          </w:p>
        </w:tc>
        <w:tc>
          <w:tcPr>
            <w:tcW w:w="7958" w:type="dxa"/>
            <w:gridSpan w:val="11"/>
            <w:tcBorders>
              <w:top w:val="single" w:sz="4" w:space="0" w:color="auto"/>
              <w:left w:val="nil"/>
              <w:bottom w:val="single" w:sz="4" w:space="0" w:color="auto"/>
              <w:right w:val="single" w:sz="4" w:space="0" w:color="auto"/>
            </w:tcBorders>
            <w:shd w:val="clear" w:color="auto" w:fill="auto"/>
            <w:noWrap/>
            <w:vAlign w:val="bottom"/>
            <w:hideMark/>
          </w:tcPr>
          <w:p w14:paraId="6C68AE5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szCs w:val="28"/>
              </w:rPr>
              <w:t>Rank given by the respondents</w:t>
            </w:r>
          </w:p>
        </w:tc>
      </w:tr>
      <w:tr w:rsidR="009432BE" w:rsidRPr="009432BE" w14:paraId="4B846ED2" w14:textId="77777777" w:rsidTr="009432BE">
        <w:trPr>
          <w:trHeight w:val="58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FF01137" w14:textId="77777777" w:rsidR="009432BE" w:rsidRPr="009432BE" w:rsidRDefault="009432BE" w:rsidP="009432BE">
            <w:pPr>
              <w:spacing w:after="0" w:line="240" w:lineRule="auto"/>
              <w:rPr>
                <w:rFonts w:ascii="Calibri" w:eastAsia="Times New Roman" w:hAnsi="Calibri" w:cs="Calibri"/>
                <w:b/>
                <w:bCs/>
                <w:color w:val="000000"/>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07D11997" w14:textId="77777777" w:rsidR="009432BE" w:rsidRPr="009432BE" w:rsidRDefault="009432BE" w:rsidP="009432BE">
            <w:pPr>
              <w:spacing w:after="0" w:line="240" w:lineRule="auto"/>
              <w:rPr>
                <w:rFonts w:ascii="Calibri" w:eastAsia="Times New Roman" w:hAnsi="Calibri" w:cs="Calibri"/>
                <w:b/>
                <w:bCs/>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7BCF6894"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w:t>
            </w:r>
          </w:p>
        </w:tc>
        <w:tc>
          <w:tcPr>
            <w:tcW w:w="0" w:type="auto"/>
            <w:tcBorders>
              <w:top w:val="nil"/>
              <w:left w:val="nil"/>
              <w:bottom w:val="single" w:sz="4" w:space="0" w:color="auto"/>
              <w:right w:val="single" w:sz="4" w:space="0" w:color="auto"/>
            </w:tcBorders>
            <w:shd w:val="clear" w:color="auto" w:fill="auto"/>
            <w:vAlign w:val="center"/>
            <w:hideMark/>
          </w:tcPr>
          <w:p w14:paraId="5EEBF4D8"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II</w:t>
            </w:r>
          </w:p>
        </w:tc>
        <w:tc>
          <w:tcPr>
            <w:tcW w:w="0" w:type="auto"/>
            <w:tcBorders>
              <w:top w:val="nil"/>
              <w:left w:val="nil"/>
              <w:bottom w:val="single" w:sz="4" w:space="0" w:color="auto"/>
              <w:right w:val="single" w:sz="4" w:space="0" w:color="auto"/>
            </w:tcBorders>
            <w:shd w:val="clear" w:color="auto" w:fill="auto"/>
            <w:vAlign w:val="center"/>
            <w:hideMark/>
          </w:tcPr>
          <w:p w14:paraId="1D1CDEB5"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III</w:t>
            </w:r>
          </w:p>
        </w:tc>
        <w:tc>
          <w:tcPr>
            <w:tcW w:w="0" w:type="auto"/>
            <w:tcBorders>
              <w:top w:val="nil"/>
              <w:left w:val="nil"/>
              <w:bottom w:val="single" w:sz="4" w:space="0" w:color="auto"/>
              <w:right w:val="single" w:sz="4" w:space="0" w:color="auto"/>
            </w:tcBorders>
            <w:shd w:val="clear" w:color="auto" w:fill="auto"/>
            <w:vAlign w:val="center"/>
            <w:hideMark/>
          </w:tcPr>
          <w:p w14:paraId="7798903B"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IV</w:t>
            </w:r>
          </w:p>
        </w:tc>
        <w:tc>
          <w:tcPr>
            <w:tcW w:w="0" w:type="auto"/>
            <w:tcBorders>
              <w:top w:val="nil"/>
              <w:left w:val="nil"/>
              <w:bottom w:val="single" w:sz="4" w:space="0" w:color="auto"/>
              <w:right w:val="single" w:sz="4" w:space="0" w:color="auto"/>
            </w:tcBorders>
            <w:shd w:val="clear" w:color="auto" w:fill="auto"/>
            <w:vAlign w:val="center"/>
            <w:hideMark/>
          </w:tcPr>
          <w:p w14:paraId="32E21667"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w:t>
            </w:r>
          </w:p>
        </w:tc>
        <w:tc>
          <w:tcPr>
            <w:tcW w:w="0" w:type="auto"/>
            <w:tcBorders>
              <w:top w:val="nil"/>
              <w:left w:val="nil"/>
              <w:bottom w:val="single" w:sz="4" w:space="0" w:color="auto"/>
              <w:right w:val="single" w:sz="4" w:space="0" w:color="auto"/>
            </w:tcBorders>
            <w:shd w:val="clear" w:color="auto" w:fill="auto"/>
            <w:vAlign w:val="center"/>
            <w:hideMark/>
          </w:tcPr>
          <w:p w14:paraId="268247B5"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VI</w:t>
            </w:r>
          </w:p>
        </w:tc>
        <w:tc>
          <w:tcPr>
            <w:tcW w:w="0" w:type="auto"/>
            <w:tcBorders>
              <w:top w:val="nil"/>
              <w:left w:val="nil"/>
              <w:bottom w:val="single" w:sz="4" w:space="0" w:color="auto"/>
              <w:right w:val="single" w:sz="4" w:space="0" w:color="auto"/>
            </w:tcBorders>
            <w:shd w:val="clear" w:color="auto" w:fill="auto"/>
            <w:vAlign w:val="center"/>
            <w:hideMark/>
          </w:tcPr>
          <w:p w14:paraId="6F05BFDF"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VII</w:t>
            </w:r>
          </w:p>
        </w:tc>
        <w:tc>
          <w:tcPr>
            <w:tcW w:w="0" w:type="auto"/>
            <w:tcBorders>
              <w:top w:val="nil"/>
              <w:left w:val="nil"/>
              <w:bottom w:val="single" w:sz="4" w:space="0" w:color="auto"/>
              <w:right w:val="single" w:sz="4" w:space="0" w:color="auto"/>
            </w:tcBorders>
            <w:shd w:val="clear" w:color="auto" w:fill="auto"/>
            <w:vAlign w:val="center"/>
            <w:hideMark/>
          </w:tcPr>
          <w:p w14:paraId="4A9EB50A"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VIII</w:t>
            </w:r>
          </w:p>
        </w:tc>
        <w:tc>
          <w:tcPr>
            <w:tcW w:w="0" w:type="auto"/>
            <w:tcBorders>
              <w:top w:val="nil"/>
              <w:left w:val="nil"/>
              <w:bottom w:val="single" w:sz="4" w:space="0" w:color="auto"/>
              <w:right w:val="single" w:sz="4" w:space="0" w:color="auto"/>
            </w:tcBorders>
            <w:shd w:val="clear" w:color="auto" w:fill="auto"/>
            <w:vAlign w:val="center"/>
            <w:hideMark/>
          </w:tcPr>
          <w:p w14:paraId="4594112E"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Total</w:t>
            </w:r>
          </w:p>
        </w:tc>
        <w:tc>
          <w:tcPr>
            <w:tcW w:w="0" w:type="auto"/>
            <w:tcBorders>
              <w:top w:val="nil"/>
              <w:left w:val="nil"/>
              <w:bottom w:val="single" w:sz="4" w:space="0" w:color="auto"/>
              <w:right w:val="single" w:sz="4" w:space="0" w:color="auto"/>
            </w:tcBorders>
            <w:shd w:val="clear" w:color="auto" w:fill="auto"/>
            <w:vAlign w:val="center"/>
            <w:hideMark/>
          </w:tcPr>
          <w:p w14:paraId="5C63F5AA"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Average</w:t>
            </w:r>
          </w:p>
        </w:tc>
        <w:tc>
          <w:tcPr>
            <w:tcW w:w="1025" w:type="dxa"/>
            <w:tcBorders>
              <w:top w:val="nil"/>
              <w:left w:val="nil"/>
              <w:bottom w:val="single" w:sz="4" w:space="0" w:color="auto"/>
              <w:right w:val="single" w:sz="4" w:space="0" w:color="auto"/>
            </w:tcBorders>
            <w:shd w:val="clear" w:color="auto" w:fill="auto"/>
            <w:vAlign w:val="center"/>
            <w:hideMark/>
          </w:tcPr>
          <w:p w14:paraId="01D46071" w14:textId="77777777" w:rsidR="009432BE" w:rsidRPr="009432BE" w:rsidRDefault="009432BE" w:rsidP="009432BE">
            <w:pPr>
              <w:spacing w:after="0" w:line="240" w:lineRule="auto"/>
              <w:jc w:val="center"/>
              <w:rPr>
                <w:rFonts w:ascii="Calibri" w:eastAsia="Times New Roman" w:hAnsi="Calibri" w:cs="Calibri"/>
                <w:b/>
                <w:bCs/>
                <w:color w:val="000000"/>
              </w:rPr>
            </w:pPr>
            <w:r w:rsidRPr="009432BE">
              <w:rPr>
                <w:rFonts w:ascii="Calibri" w:eastAsia="Times New Roman" w:hAnsi="Calibri" w:cs="Calibri"/>
                <w:b/>
                <w:bCs/>
                <w:color w:val="000000"/>
              </w:rPr>
              <w:t>Rank</w:t>
            </w:r>
          </w:p>
        </w:tc>
      </w:tr>
      <w:tr w:rsidR="009432BE" w:rsidRPr="009432BE" w14:paraId="27AD863F"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29C48B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w:t>
            </w:r>
          </w:p>
        </w:tc>
        <w:tc>
          <w:tcPr>
            <w:tcW w:w="1341" w:type="dxa"/>
            <w:tcBorders>
              <w:top w:val="nil"/>
              <w:left w:val="nil"/>
              <w:bottom w:val="single" w:sz="4" w:space="0" w:color="auto"/>
              <w:right w:val="single" w:sz="4" w:space="0" w:color="auto"/>
            </w:tcBorders>
            <w:shd w:val="clear" w:color="auto" w:fill="auto"/>
            <w:vAlign w:val="center"/>
            <w:hideMark/>
          </w:tcPr>
          <w:p w14:paraId="309F01A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Production Services</w:t>
            </w:r>
          </w:p>
        </w:tc>
        <w:tc>
          <w:tcPr>
            <w:tcW w:w="0" w:type="auto"/>
            <w:tcBorders>
              <w:top w:val="nil"/>
              <w:left w:val="nil"/>
              <w:bottom w:val="single" w:sz="4" w:space="0" w:color="auto"/>
              <w:right w:val="single" w:sz="4" w:space="0" w:color="auto"/>
            </w:tcBorders>
            <w:shd w:val="clear" w:color="auto" w:fill="auto"/>
            <w:vAlign w:val="center"/>
            <w:hideMark/>
          </w:tcPr>
          <w:p w14:paraId="5F0E533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2800</w:t>
            </w:r>
          </w:p>
        </w:tc>
        <w:tc>
          <w:tcPr>
            <w:tcW w:w="0" w:type="auto"/>
            <w:tcBorders>
              <w:top w:val="nil"/>
              <w:left w:val="nil"/>
              <w:bottom w:val="single" w:sz="4" w:space="0" w:color="auto"/>
              <w:right w:val="single" w:sz="4" w:space="0" w:color="auto"/>
            </w:tcBorders>
            <w:shd w:val="clear" w:color="auto" w:fill="auto"/>
            <w:vAlign w:val="center"/>
            <w:hideMark/>
          </w:tcPr>
          <w:p w14:paraId="439AEA4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1400</w:t>
            </w:r>
          </w:p>
        </w:tc>
        <w:tc>
          <w:tcPr>
            <w:tcW w:w="0" w:type="auto"/>
            <w:tcBorders>
              <w:top w:val="nil"/>
              <w:left w:val="nil"/>
              <w:bottom w:val="single" w:sz="4" w:space="0" w:color="auto"/>
              <w:right w:val="single" w:sz="4" w:space="0" w:color="auto"/>
            </w:tcBorders>
            <w:shd w:val="clear" w:color="auto" w:fill="auto"/>
            <w:vAlign w:val="center"/>
            <w:hideMark/>
          </w:tcPr>
          <w:p w14:paraId="291B61D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1680</w:t>
            </w:r>
          </w:p>
        </w:tc>
        <w:tc>
          <w:tcPr>
            <w:tcW w:w="0" w:type="auto"/>
            <w:tcBorders>
              <w:top w:val="nil"/>
              <w:left w:val="nil"/>
              <w:bottom w:val="single" w:sz="4" w:space="0" w:color="auto"/>
              <w:right w:val="single" w:sz="4" w:space="0" w:color="auto"/>
            </w:tcBorders>
            <w:shd w:val="clear" w:color="auto" w:fill="auto"/>
            <w:vAlign w:val="center"/>
            <w:hideMark/>
          </w:tcPr>
          <w:p w14:paraId="1A85551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081E20F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06E41DE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14:paraId="785C86F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480</w:t>
            </w:r>
          </w:p>
        </w:tc>
        <w:tc>
          <w:tcPr>
            <w:tcW w:w="0" w:type="auto"/>
            <w:tcBorders>
              <w:top w:val="nil"/>
              <w:left w:val="nil"/>
              <w:bottom w:val="single" w:sz="4" w:space="0" w:color="auto"/>
              <w:right w:val="single" w:sz="4" w:space="0" w:color="auto"/>
            </w:tcBorders>
            <w:shd w:val="clear" w:color="auto" w:fill="auto"/>
            <w:vAlign w:val="center"/>
            <w:hideMark/>
          </w:tcPr>
          <w:p w14:paraId="10B21C8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280</w:t>
            </w:r>
          </w:p>
        </w:tc>
        <w:tc>
          <w:tcPr>
            <w:tcW w:w="0" w:type="auto"/>
            <w:tcBorders>
              <w:top w:val="nil"/>
              <w:left w:val="nil"/>
              <w:bottom w:val="single" w:sz="4" w:space="0" w:color="auto"/>
              <w:right w:val="single" w:sz="4" w:space="0" w:color="auto"/>
            </w:tcBorders>
            <w:shd w:val="clear" w:color="auto" w:fill="auto"/>
            <w:vAlign w:val="center"/>
            <w:hideMark/>
          </w:tcPr>
          <w:p w14:paraId="1BFD317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9740</w:t>
            </w:r>
          </w:p>
        </w:tc>
        <w:tc>
          <w:tcPr>
            <w:tcW w:w="0" w:type="auto"/>
            <w:tcBorders>
              <w:top w:val="nil"/>
              <w:left w:val="nil"/>
              <w:bottom w:val="single" w:sz="4" w:space="0" w:color="auto"/>
              <w:right w:val="single" w:sz="4" w:space="0" w:color="auto"/>
            </w:tcBorders>
            <w:shd w:val="clear" w:color="auto" w:fill="auto"/>
            <w:vAlign w:val="center"/>
            <w:hideMark/>
          </w:tcPr>
          <w:p w14:paraId="5B5ECA6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1217.5</w:t>
            </w:r>
          </w:p>
        </w:tc>
        <w:tc>
          <w:tcPr>
            <w:tcW w:w="1025" w:type="dxa"/>
            <w:tcBorders>
              <w:top w:val="nil"/>
              <w:left w:val="nil"/>
              <w:bottom w:val="single" w:sz="4" w:space="0" w:color="auto"/>
              <w:right w:val="single" w:sz="4" w:space="0" w:color="auto"/>
            </w:tcBorders>
            <w:shd w:val="clear" w:color="auto" w:fill="auto"/>
            <w:vAlign w:val="center"/>
            <w:hideMark/>
          </w:tcPr>
          <w:p w14:paraId="5E8822D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II</w:t>
            </w:r>
          </w:p>
        </w:tc>
      </w:tr>
      <w:tr w:rsidR="009432BE" w:rsidRPr="009432BE" w14:paraId="25AE87BA"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703E73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w:t>
            </w:r>
          </w:p>
        </w:tc>
        <w:tc>
          <w:tcPr>
            <w:tcW w:w="1341" w:type="dxa"/>
            <w:tcBorders>
              <w:top w:val="nil"/>
              <w:left w:val="nil"/>
              <w:bottom w:val="single" w:sz="4" w:space="0" w:color="auto"/>
              <w:right w:val="single" w:sz="4" w:space="0" w:color="auto"/>
            </w:tcBorders>
            <w:shd w:val="clear" w:color="auto" w:fill="auto"/>
            <w:vAlign w:val="center"/>
            <w:hideMark/>
          </w:tcPr>
          <w:p w14:paraId="7BC9278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Financial Services</w:t>
            </w:r>
          </w:p>
        </w:tc>
        <w:tc>
          <w:tcPr>
            <w:tcW w:w="0" w:type="auto"/>
            <w:tcBorders>
              <w:top w:val="nil"/>
              <w:left w:val="nil"/>
              <w:bottom w:val="single" w:sz="4" w:space="0" w:color="auto"/>
              <w:right w:val="single" w:sz="4" w:space="0" w:color="auto"/>
            </w:tcBorders>
            <w:shd w:val="clear" w:color="auto" w:fill="auto"/>
            <w:vAlign w:val="center"/>
            <w:hideMark/>
          </w:tcPr>
          <w:p w14:paraId="6EFD5E7F"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2000</w:t>
            </w:r>
          </w:p>
        </w:tc>
        <w:tc>
          <w:tcPr>
            <w:tcW w:w="0" w:type="auto"/>
            <w:tcBorders>
              <w:top w:val="nil"/>
              <w:left w:val="nil"/>
              <w:bottom w:val="single" w:sz="4" w:space="0" w:color="auto"/>
              <w:right w:val="single" w:sz="4" w:space="0" w:color="auto"/>
            </w:tcBorders>
            <w:shd w:val="clear" w:color="auto" w:fill="auto"/>
            <w:vAlign w:val="center"/>
            <w:hideMark/>
          </w:tcPr>
          <w:p w14:paraId="091F17D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08E3382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0FEDF2D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1800</w:t>
            </w:r>
          </w:p>
        </w:tc>
        <w:tc>
          <w:tcPr>
            <w:tcW w:w="0" w:type="auto"/>
            <w:tcBorders>
              <w:top w:val="nil"/>
              <w:left w:val="nil"/>
              <w:bottom w:val="single" w:sz="4" w:space="0" w:color="auto"/>
              <w:right w:val="single" w:sz="4" w:space="0" w:color="auto"/>
            </w:tcBorders>
            <w:shd w:val="clear" w:color="auto" w:fill="auto"/>
            <w:vAlign w:val="center"/>
            <w:hideMark/>
          </w:tcPr>
          <w:p w14:paraId="368A885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7B9E123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720</w:t>
            </w:r>
          </w:p>
        </w:tc>
        <w:tc>
          <w:tcPr>
            <w:tcW w:w="0" w:type="auto"/>
            <w:tcBorders>
              <w:top w:val="nil"/>
              <w:left w:val="nil"/>
              <w:bottom w:val="single" w:sz="4" w:space="0" w:color="auto"/>
              <w:right w:val="single" w:sz="4" w:space="0" w:color="auto"/>
            </w:tcBorders>
            <w:shd w:val="clear" w:color="auto" w:fill="auto"/>
            <w:vAlign w:val="center"/>
            <w:hideMark/>
          </w:tcPr>
          <w:p w14:paraId="7A2E2EF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640</w:t>
            </w:r>
          </w:p>
        </w:tc>
        <w:tc>
          <w:tcPr>
            <w:tcW w:w="0" w:type="auto"/>
            <w:tcBorders>
              <w:top w:val="nil"/>
              <w:left w:val="nil"/>
              <w:bottom w:val="single" w:sz="4" w:space="0" w:color="auto"/>
              <w:right w:val="single" w:sz="4" w:space="0" w:color="auto"/>
            </w:tcBorders>
            <w:shd w:val="clear" w:color="auto" w:fill="auto"/>
            <w:vAlign w:val="center"/>
            <w:hideMark/>
          </w:tcPr>
          <w:p w14:paraId="58CD536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440</w:t>
            </w:r>
          </w:p>
        </w:tc>
        <w:tc>
          <w:tcPr>
            <w:tcW w:w="0" w:type="auto"/>
            <w:tcBorders>
              <w:top w:val="nil"/>
              <w:left w:val="nil"/>
              <w:bottom w:val="single" w:sz="4" w:space="0" w:color="auto"/>
              <w:right w:val="single" w:sz="4" w:space="0" w:color="auto"/>
            </w:tcBorders>
            <w:shd w:val="clear" w:color="auto" w:fill="auto"/>
            <w:vAlign w:val="center"/>
            <w:hideMark/>
          </w:tcPr>
          <w:p w14:paraId="5804CEB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9300</w:t>
            </w:r>
          </w:p>
        </w:tc>
        <w:tc>
          <w:tcPr>
            <w:tcW w:w="0" w:type="auto"/>
            <w:tcBorders>
              <w:top w:val="nil"/>
              <w:left w:val="nil"/>
              <w:bottom w:val="single" w:sz="4" w:space="0" w:color="auto"/>
              <w:right w:val="single" w:sz="4" w:space="0" w:color="auto"/>
            </w:tcBorders>
            <w:shd w:val="clear" w:color="auto" w:fill="auto"/>
            <w:vAlign w:val="center"/>
            <w:hideMark/>
          </w:tcPr>
          <w:p w14:paraId="4B7AFC79"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1162.5</w:t>
            </w:r>
          </w:p>
        </w:tc>
        <w:tc>
          <w:tcPr>
            <w:tcW w:w="1025" w:type="dxa"/>
            <w:tcBorders>
              <w:top w:val="nil"/>
              <w:left w:val="nil"/>
              <w:bottom w:val="single" w:sz="4" w:space="0" w:color="auto"/>
              <w:right w:val="single" w:sz="4" w:space="0" w:color="auto"/>
            </w:tcBorders>
            <w:shd w:val="clear" w:color="auto" w:fill="auto"/>
            <w:vAlign w:val="center"/>
            <w:hideMark/>
          </w:tcPr>
          <w:p w14:paraId="48349E6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IV</w:t>
            </w:r>
          </w:p>
        </w:tc>
      </w:tr>
      <w:tr w:rsidR="009432BE" w:rsidRPr="009432BE" w14:paraId="76206786"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399B30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3</w:t>
            </w:r>
          </w:p>
        </w:tc>
        <w:tc>
          <w:tcPr>
            <w:tcW w:w="1341" w:type="dxa"/>
            <w:tcBorders>
              <w:top w:val="nil"/>
              <w:left w:val="nil"/>
              <w:bottom w:val="single" w:sz="4" w:space="0" w:color="auto"/>
              <w:right w:val="single" w:sz="4" w:space="0" w:color="auto"/>
            </w:tcBorders>
            <w:shd w:val="clear" w:color="auto" w:fill="auto"/>
            <w:vAlign w:val="center"/>
            <w:hideMark/>
          </w:tcPr>
          <w:p w14:paraId="2A75DFD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Organizational Services</w:t>
            </w:r>
          </w:p>
        </w:tc>
        <w:tc>
          <w:tcPr>
            <w:tcW w:w="0" w:type="auto"/>
            <w:tcBorders>
              <w:top w:val="nil"/>
              <w:left w:val="nil"/>
              <w:bottom w:val="single" w:sz="4" w:space="0" w:color="auto"/>
              <w:right w:val="single" w:sz="4" w:space="0" w:color="auto"/>
            </w:tcBorders>
            <w:shd w:val="clear" w:color="auto" w:fill="auto"/>
            <w:vAlign w:val="center"/>
            <w:hideMark/>
          </w:tcPr>
          <w:p w14:paraId="071851AF"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3440</w:t>
            </w:r>
          </w:p>
        </w:tc>
        <w:tc>
          <w:tcPr>
            <w:tcW w:w="0" w:type="auto"/>
            <w:tcBorders>
              <w:top w:val="nil"/>
              <w:left w:val="nil"/>
              <w:bottom w:val="single" w:sz="4" w:space="0" w:color="auto"/>
              <w:right w:val="single" w:sz="4" w:space="0" w:color="auto"/>
            </w:tcBorders>
            <w:shd w:val="clear" w:color="auto" w:fill="auto"/>
            <w:vAlign w:val="center"/>
            <w:hideMark/>
          </w:tcPr>
          <w:p w14:paraId="4B026A9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1700</w:t>
            </w:r>
          </w:p>
        </w:tc>
        <w:tc>
          <w:tcPr>
            <w:tcW w:w="0" w:type="auto"/>
            <w:tcBorders>
              <w:top w:val="nil"/>
              <w:left w:val="nil"/>
              <w:bottom w:val="single" w:sz="4" w:space="0" w:color="auto"/>
              <w:right w:val="single" w:sz="4" w:space="0" w:color="auto"/>
            </w:tcBorders>
            <w:shd w:val="clear" w:color="auto" w:fill="auto"/>
            <w:vAlign w:val="center"/>
            <w:hideMark/>
          </w:tcPr>
          <w:p w14:paraId="36C0B9D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1AA543E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512B62A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800</w:t>
            </w:r>
          </w:p>
        </w:tc>
        <w:tc>
          <w:tcPr>
            <w:tcW w:w="0" w:type="auto"/>
            <w:tcBorders>
              <w:top w:val="nil"/>
              <w:left w:val="nil"/>
              <w:bottom w:val="single" w:sz="4" w:space="0" w:color="auto"/>
              <w:right w:val="single" w:sz="4" w:space="0" w:color="auto"/>
            </w:tcBorders>
            <w:shd w:val="clear" w:color="auto" w:fill="auto"/>
            <w:vAlign w:val="center"/>
            <w:hideMark/>
          </w:tcPr>
          <w:p w14:paraId="0874FAD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600</w:t>
            </w:r>
          </w:p>
        </w:tc>
        <w:tc>
          <w:tcPr>
            <w:tcW w:w="0" w:type="auto"/>
            <w:tcBorders>
              <w:top w:val="nil"/>
              <w:left w:val="nil"/>
              <w:bottom w:val="single" w:sz="4" w:space="0" w:color="auto"/>
              <w:right w:val="single" w:sz="4" w:space="0" w:color="auto"/>
            </w:tcBorders>
            <w:shd w:val="clear" w:color="auto" w:fill="auto"/>
            <w:vAlign w:val="center"/>
            <w:hideMark/>
          </w:tcPr>
          <w:p w14:paraId="0AC8A15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480</w:t>
            </w:r>
          </w:p>
        </w:tc>
        <w:tc>
          <w:tcPr>
            <w:tcW w:w="0" w:type="auto"/>
            <w:tcBorders>
              <w:top w:val="nil"/>
              <w:left w:val="nil"/>
              <w:bottom w:val="single" w:sz="4" w:space="0" w:color="auto"/>
              <w:right w:val="single" w:sz="4" w:space="0" w:color="auto"/>
            </w:tcBorders>
            <w:shd w:val="clear" w:color="auto" w:fill="auto"/>
            <w:vAlign w:val="center"/>
            <w:hideMark/>
          </w:tcPr>
          <w:p w14:paraId="4DE345A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280</w:t>
            </w:r>
          </w:p>
        </w:tc>
        <w:tc>
          <w:tcPr>
            <w:tcW w:w="0" w:type="auto"/>
            <w:tcBorders>
              <w:top w:val="nil"/>
              <w:left w:val="nil"/>
              <w:bottom w:val="single" w:sz="4" w:space="0" w:color="auto"/>
              <w:right w:val="single" w:sz="4" w:space="0" w:color="auto"/>
            </w:tcBorders>
            <w:shd w:val="clear" w:color="auto" w:fill="auto"/>
            <w:vAlign w:val="center"/>
            <w:hideMark/>
          </w:tcPr>
          <w:p w14:paraId="22F3DB7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10000</w:t>
            </w:r>
          </w:p>
        </w:tc>
        <w:tc>
          <w:tcPr>
            <w:tcW w:w="0" w:type="auto"/>
            <w:tcBorders>
              <w:top w:val="nil"/>
              <w:left w:val="nil"/>
              <w:bottom w:val="single" w:sz="4" w:space="0" w:color="auto"/>
              <w:right w:val="single" w:sz="4" w:space="0" w:color="auto"/>
            </w:tcBorders>
            <w:shd w:val="clear" w:color="auto" w:fill="auto"/>
            <w:vAlign w:val="center"/>
            <w:hideMark/>
          </w:tcPr>
          <w:p w14:paraId="0037BFE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1250</w:t>
            </w:r>
          </w:p>
        </w:tc>
        <w:tc>
          <w:tcPr>
            <w:tcW w:w="1025" w:type="dxa"/>
            <w:tcBorders>
              <w:top w:val="nil"/>
              <w:left w:val="nil"/>
              <w:bottom w:val="single" w:sz="4" w:space="0" w:color="auto"/>
              <w:right w:val="single" w:sz="4" w:space="0" w:color="auto"/>
            </w:tcBorders>
            <w:shd w:val="clear" w:color="auto" w:fill="auto"/>
            <w:vAlign w:val="center"/>
            <w:hideMark/>
          </w:tcPr>
          <w:p w14:paraId="75CA8A1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w:t>
            </w:r>
          </w:p>
        </w:tc>
      </w:tr>
      <w:tr w:rsidR="009432BE" w:rsidRPr="009432BE" w14:paraId="1CB8D9C5"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4307FB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w:t>
            </w:r>
          </w:p>
        </w:tc>
        <w:tc>
          <w:tcPr>
            <w:tcW w:w="1341" w:type="dxa"/>
            <w:tcBorders>
              <w:top w:val="nil"/>
              <w:left w:val="nil"/>
              <w:bottom w:val="single" w:sz="4" w:space="0" w:color="auto"/>
              <w:right w:val="single" w:sz="4" w:space="0" w:color="auto"/>
            </w:tcBorders>
            <w:shd w:val="clear" w:color="auto" w:fill="auto"/>
            <w:vAlign w:val="center"/>
            <w:hideMark/>
          </w:tcPr>
          <w:p w14:paraId="63A1131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Marketing Services</w:t>
            </w:r>
          </w:p>
        </w:tc>
        <w:tc>
          <w:tcPr>
            <w:tcW w:w="0" w:type="auto"/>
            <w:tcBorders>
              <w:top w:val="nil"/>
              <w:left w:val="nil"/>
              <w:bottom w:val="single" w:sz="4" w:space="0" w:color="auto"/>
              <w:right w:val="single" w:sz="4" w:space="0" w:color="auto"/>
            </w:tcBorders>
            <w:shd w:val="clear" w:color="auto" w:fill="auto"/>
            <w:vAlign w:val="center"/>
            <w:hideMark/>
          </w:tcPr>
          <w:p w14:paraId="3566DB69"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2400</w:t>
            </w:r>
          </w:p>
        </w:tc>
        <w:tc>
          <w:tcPr>
            <w:tcW w:w="0" w:type="auto"/>
            <w:tcBorders>
              <w:top w:val="nil"/>
              <w:left w:val="nil"/>
              <w:bottom w:val="single" w:sz="4" w:space="0" w:color="auto"/>
              <w:right w:val="single" w:sz="4" w:space="0" w:color="auto"/>
            </w:tcBorders>
            <w:shd w:val="clear" w:color="auto" w:fill="auto"/>
            <w:vAlign w:val="center"/>
            <w:hideMark/>
          </w:tcPr>
          <w:p w14:paraId="45FC148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72AB45A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2F9CA2C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271DE7F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4159AF2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720</w:t>
            </w:r>
          </w:p>
        </w:tc>
        <w:tc>
          <w:tcPr>
            <w:tcW w:w="0" w:type="auto"/>
            <w:tcBorders>
              <w:top w:val="nil"/>
              <w:left w:val="nil"/>
              <w:bottom w:val="single" w:sz="4" w:space="0" w:color="auto"/>
              <w:right w:val="single" w:sz="4" w:space="0" w:color="auto"/>
            </w:tcBorders>
            <w:shd w:val="clear" w:color="auto" w:fill="auto"/>
            <w:vAlign w:val="center"/>
            <w:hideMark/>
          </w:tcPr>
          <w:p w14:paraId="28A02CC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576</w:t>
            </w:r>
          </w:p>
        </w:tc>
        <w:tc>
          <w:tcPr>
            <w:tcW w:w="0" w:type="auto"/>
            <w:tcBorders>
              <w:top w:val="nil"/>
              <w:left w:val="nil"/>
              <w:bottom w:val="single" w:sz="4" w:space="0" w:color="auto"/>
              <w:right w:val="single" w:sz="4" w:space="0" w:color="auto"/>
            </w:tcBorders>
            <w:shd w:val="clear" w:color="auto" w:fill="auto"/>
            <w:vAlign w:val="center"/>
            <w:hideMark/>
          </w:tcPr>
          <w:p w14:paraId="23E2931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360</w:t>
            </w:r>
          </w:p>
        </w:tc>
        <w:tc>
          <w:tcPr>
            <w:tcW w:w="0" w:type="auto"/>
            <w:tcBorders>
              <w:top w:val="nil"/>
              <w:left w:val="nil"/>
              <w:bottom w:val="single" w:sz="4" w:space="0" w:color="auto"/>
              <w:right w:val="single" w:sz="4" w:space="0" w:color="auto"/>
            </w:tcBorders>
            <w:shd w:val="clear" w:color="auto" w:fill="auto"/>
            <w:vAlign w:val="center"/>
            <w:hideMark/>
          </w:tcPr>
          <w:p w14:paraId="4631365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9256</w:t>
            </w:r>
          </w:p>
        </w:tc>
        <w:tc>
          <w:tcPr>
            <w:tcW w:w="0" w:type="auto"/>
            <w:tcBorders>
              <w:top w:val="nil"/>
              <w:left w:val="nil"/>
              <w:bottom w:val="single" w:sz="4" w:space="0" w:color="auto"/>
              <w:right w:val="single" w:sz="4" w:space="0" w:color="auto"/>
            </w:tcBorders>
            <w:shd w:val="clear" w:color="auto" w:fill="auto"/>
            <w:vAlign w:val="center"/>
            <w:hideMark/>
          </w:tcPr>
          <w:p w14:paraId="68FF6E4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1157</w:t>
            </w:r>
          </w:p>
        </w:tc>
        <w:tc>
          <w:tcPr>
            <w:tcW w:w="1025" w:type="dxa"/>
            <w:tcBorders>
              <w:top w:val="nil"/>
              <w:left w:val="nil"/>
              <w:bottom w:val="single" w:sz="4" w:space="0" w:color="auto"/>
              <w:right w:val="single" w:sz="4" w:space="0" w:color="auto"/>
            </w:tcBorders>
            <w:shd w:val="clear" w:color="auto" w:fill="auto"/>
            <w:vAlign w:val="center"/>
            <w:hideMark/>
          </w:tcPr>
          <w:p w14:paraId="2A370B4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III</w:t>
            </w:r>
          </w:p>
        </w:tc>
      </w:tr>
      <w:tr w:rsidR="009432BE" w:rsidRPr="009432BE" w14:paraId="4CF8340E"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A8723C5"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5</w:t>
            </w:r>
          </w:p>
        </w:tc>
        <w:tc>
          <w:tcPr>
            <w:tcW w:w="1341" w:type="dxa"/>
            <w:tcBorders>
              <w:top w:val="nil"/>
              <w:left w:val="nil"/>
              <w:bottom w:val="single" w:sz="4" w:space="0" w:color="auto"/>
              <w:right w:val="single" w:sz="4" w:space="0" w:color="auto"/>
            </w:tcBorders>
            <w:shd w:val="clear" w:color="auto" w:fill="auto"/>
            <w:vAlign w:val="center"/>
            <w:hideMark/>
          </w:tcPr>
          <w:p w14:paraId="2D74282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Technology Services</w:t>
            </w:r>
          </w:p>
        </w:tc>
        <w:tc>
          <w:tcPr>
            <w:tcW w:w="0" w:type="auto"/>
            <w:tcBorders>
              <w:top w:val="nil"/>
              <w:left w:val="nil"/>
              <w:bottom w:val="single" w:sz="4" w:space="0" w:color="auto"/>
              <w:right w:val="single" w:sz="4" w:space="0" w:color="auto"/>
            </w:tcBorders>
            <w:shd w:val="clear" w:color="auto" w:fill="auto"/>
            <w:vAlign w:val="center"/>
            <w:hideMark/>
          </w:tcPr>
          <w:p w14:paraId="5C35A6C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1600</w:t>
            </w:r>
          </w:p>
        </w:tc>
        <w:tc>
          <w:tcPr>
            <w:tcW w:w="0" w:type="auto"/>
            <w:tcBorders>
              <w:top w:val="nil"/>
              <w:left w:val="nil"/>
              <w:bottom w:val="single" w:sz="4" w:space="0" w:color="auto"/>
              <w:right w:val="single" w:sz="4" w:space="0" w:color="auto"/>
            </w:tcBorders>
            <w:shd w:val="clear" w:color="auto" w:fill="auto"/>
            <w:vAlign w:val="center"/>
            <w:hideMark/>
          </w:tcPr>
          <w:p w14:paraId="114CF49F"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880</w:t>
            </w:r>
          </w:p>
        </w:tc>
        <w:tc>
          <w:tcPr>
            <w:tcW w:w="0" w:type="auto"/>
            <w:tcBorders>
              <w:top w:val="nil"/>
              <w:left w:val="nil"/>
              <w:bottom w:val="single" w:sz="4" w:space="0" w:color="auto"/>
              <w:right w:val="single" w:sz="4" w:space="0" w:color="auto"/>
            </w:tcBorders>
            <w:shd w:val="clear" w:color="auto" w:fill="auto"/>
            <w:vAlign w:val="center"/>
            <w:hideMark/>
          </w:tcPr>
          <w:p w14:paraId="50512BB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1380</w:t>
            </w:r>
          </w:p>
        </w:tc>
        <w:tc>
          <w:tcPr>
            <w:tcW w:w="0" w:type="auto"/>
            <w:tcBorders>
              <w:top w:val="nil"/>
              <w:left w:val="nil"/>
              <w:bottom w:val="single" w:sz="4" w:space="0" w:color="auto"/>
              <w:right w:val="single" w:sz="4" w:space="0" w:color="auto"/>
            </w:tcBorders>
            <w:shd w:val="clear" w:color="auto" w:fill="auto"/>
            <w:vAlign w:val="center"/>
            <w:hideMark/>
          </w:tcPr>
          <w:p w14:paraId="5505D40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5BA5041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649B9D0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880</w:t>
            </w:r>
          </w:p>
        </w:tc>
        <w:tc>
          <w:tcPr>
            <w:tcW w:w="0" w:type="auto"/>
            <w:tcBorders>
              <w:top w:val="nil"/>
              <w:left w:val="nil"/>
              <w:bottom w:val="single" w:sz="4" w:space="0" w:color="auto"/>
              <w:right w:val="single" w:sz="4" w:space="0" w:color="auto"/>
            </w:tcBorders>
            <w:shd w:val="clear" w:color="auto" w:fill="auto"/>
            <w:vAlign w:val="center"/>
            <w:hideMark/>
          </w:tcPr>
          <w:p w14:paraId="40E332B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704</w:t>
            </w:r>
          </w:p>
        </w:tc>
        <w:tc>
          <w:tcPr>
            <w:tcW w:w="0" w:type="auto"/>
            <w:tcBorders>
              <w:top w:val="nil"/>
              <w:left w:val="nil"/>
              <w:bottom w:val="single" w:sz="4" w:space="0" w:color="auto"/>
              <w:right w:val="single" w:sz="4" w:space="0" w:color="auto"/>
            </w:tcBorders>
            <w:shd w:val="clear" w:color="auto" w:fill="auto"/>
            <w:vAlign w:val="center"/>
            <w:hideMark/>
          </w:tcPr>
          <w:p w14:paraId="671D59E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440</w:t>
            </w:r>
          </w:p>
        </w:tc>
        <w:tc>
          <w:tcPr>
            <w:tcW w:w="0" w:type="auto"/>
            <w:tcBorders>
              <w:top w:val="nil"/>
              <w:left w:val="nil"/>
              <w:bottom w:val="single" w:sz="4" w:space="0" w:color="auto"/>
              <w:right w:val="single" w:sz="4" w:space="0" w:color="auto"/>
            </w:tcBorders>
            <w:shd w:val="clear" w:color="auto" w:fill="auto"/>
            <w:vAlign w:val="center"/>
            <w:hideMark/>
          </w:tcPr>
          <w:p w14:paraId="6C0F522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8584</w:t>
            </w:r>
          </w:p>
        </w:tc>
        <w:tc>
          <w:tcPr>
            <w:tcW w:w="0" w:type="auto"/>
            <w:tcBorders>
              <w:top w:val="nil"/>
              <w:left w:val="nil"/>
              <w:bottom w:val="single" w:sz="4" w:space="0" w:color="auto"/>
              <w:right w:val="single" w:sz="4" w:space="0" w:color="auto"/>
            </w:tcBorders>
            <w:shd w:val="clear" w:color="auto" w:fill="auto"/>
            <w:vAlign w:val="center"/>
            <w:hideMark/>
          </w:tcPr>
          <w:p w14:paraId="22CE99F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1073</w:t>
            </w:r>
          </w:p>
        </w:tc>
        <w:tc>
          <w:tcPr>
            <w:tcW w:w="1025" w:type="dxa"/>
            <w:tcBorders>
              <w:top w:val="nil"/>
              <w:left w:val="nil"/>
              <w:bottom w:val="single" w:sz="4" w:space="0" w:color="auto"/>
              <w:right w:val="single" w:sz="4" w:space="0" w:color="auto"/>
            </w:tcBorders>
            <w:shd w:val="clear" w:color="auto" w:fill="auto"/>
            <w:vAlign w:val="center"/>
            <w:hideMark/>
          </w:tcPr>
          <w:p w14:paraId="6AF4D0B9"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VI</w:t>
            </w:r>
          </w:p>
        </w:tc>
      </w:tr>
      <w:tr w:rsidR="009432BE" w:rsidRPr="009432BE" w14:paraId="14172806"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8F1D7D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w:t>
            </w:r>
          </w:p>
        </w:tc>
        <w:tc>
          <w:tcPr>
            <w:tcW w:w="1341" w:type="dxa"/>
            <w:tcBorders>
              <w:top w:val="nil"/>
              <w:left w:val="nil"/>
              <w:bottom w:val="single" w:sz="4" w:space="0" w:color="auto"/>
              <w:right w:val="single" w:sz="4" w:space="0" w:color="auto"/>
            </w:tcBorders>
            <w:shd w:val="clear" w:color="auto" w:fill="auto"/>
            <w:vAlign w:val="center"/>
            <w:hideMark/>
          </w:tcPr>
          <w:p w14:paraId="20F1923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Welfare Services</w:t>
            </w:r>
          </w:p>
        </w:tc>
        <w:tc>
          <w:tcPr>
            <w:tcW w:w="0" w:type="auto"/>
            <w:tcBorders>
              <w:top w:val="nil"/>
              <w:left w:val="nil"/>
              <w:bottom w:val="single" w:sz="4" w:space="0" w:color="auto"/>
              <w:right w:val="single" w:sz="4" w:space="0" w:color="auto"/>
            </w:tcBorders>
            <w:shd w:val="clear" w:color="auto" w:fill="auto"/>
            <w:vAlign w:val="center"/>
            <w:hideMark/>
          </w:tcPr>
          <w:p w14:paraId="6E833CA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240</w:t>
            </w:r>
          </w:p>
        </w:tc>
        <w:tc>
          <w:tcPr>
            <w:tcW w:w="0" w:type="auto"/>
            <w:tcBorders>
              <w:top w:val="nil"/>
              <w:left w:val="nil"/>
              <w:bottom w:val="single" w:sz="4" w:space="0" w:color="auto"/>
              <w:right w:val="single" w:sz="4" w:space="0" w:color="auto"/>
            </w:tcBorders>
            <w:shd w:val="clear" w:color="auto" w:fill="auto"/>
            <w:vAlign w:val="center"/>
            <w:hideMark/>
          </w:tcPr>
          <w:p w14:paraId="3BBA58A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440</w:t>
            </w:r>
          </w:p>
        </w:tc>
        <w:tc>
          <w:tcPr>
            <w:tcW w:w="0" w:type="auto"/>
            <w:tcBorders>
              <w:top w:val="nil"/>
              <w:left w:val="nil"/>
              <w:bottom w:val="single" w:sz="4" w:space="0" w:color="auto"/>
              <w:right w:val="single" w:sz="4" w:space="0" w:color="auto"/>
            </w:tcBorders>
            <w:shd w:val="clear" w:color="auto" w:fill="auto"/>
            <w:vAlign w:val="center"/>
            <w:hideMark/>
          </w:tcPr>
          <w:p w14:paraId="76E8399C"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1020</w:t>
            </w:r>
          </w:p>
        </w:tc>
        <w:tc>
          <w:tcPr>
            <w:tcW w:w="0" w:type="auto"/>
            <w:tcBorders>
              <w:top w:val="nil"/>
              <w:left w:val="nil"/>
              <w:bottom w:val="single" w:sz="4" w:space="0" w:color="auto"/>
              <w:right w:val="single" w:sz="4" w:space="0" w:color="auto"/>
            </w:tcBorders>
            <w:shd w:val="clear" w:color="auto" w:fill="auto"/>
            <w:vAlign w:val="center"/>
            <w:hideMark/>
          </w:tcPr>
          <w:p w14:paraId="45F71D4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1140</w:t>
            </w:r>
          </w:p>
        </w:tc>
        <w:tc>
          <w:tcPr>
            <w:tcW w:w="0" w:type="auto"/>
            <w:tcBorders>
              <w:top w:val="nil"/>
              <w:left w:val="nil"/>
              <w:bottom w:val="single" w:sz="4" w:space="0" w:color="auto"/>
              <w:right w:val="single" w:sz="4" w:space="0" w:color="auto"/>
            </w:tcBorders>
            <w:shd w:val="clear" w:color="auto" w:fill="auto"/>
            <w:vAlign w:val="center"/>
            <w:hideMark/>
          </w:tcPr>
          <w:p w14:paraId="342B9765"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075BCCA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1360</w:t>
            </w:r>
          </w:p>
        </w:tc>
        <w:tc>
          <w:tcPr>
            <w:tcW w:w="0" w:type="auto"/>
            <w:tcBorders>
              <w:top w:val="nil"/>
              <w:left w:val="nil"/>
              <w:bottom w:val="single" w:sz="4" w:space="0" w:color="auto"/>
              <w:right w:val="single" w:sz="4" w:space="0" w:color="auto"/>
            </w:tcBorders>
            <w:shd w:val="clear" w:color="auto" w:fill="auto"/>
            <w:vAlign w:val="center"/>
            <w:hideMark/>
          </w:tcPr>
          <w:p w14:paraId="67C780D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1184</w:t>
            </w:r>
          </w:p>
        </w:tc>
        <w:tc>
          <w:tcPr>
            <w:tcW w:w="0" w:type="auto"/>
            <w:tcBorders>
              <w:top w:val="nil"/>
              <w:left w:val="nil"/>
              <w:bottom w:val="single" w:sz="4" w:space="0" w:color="auto"/>
              <w:right w:val="single" w:sz="4" w:space="0" w:color="auto"/>
            </w:tcBorders>
            <w:shd w:val="clear" w:color="auto" w:fill="auto"/>
            <w:vAlign w:val="center"/>
            <w:hideMark/>
          </w:tcPr>
          <w:p w14:paraId="6BA63482"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740</w:t>
            </w:r>
          </w:p>
        </w:tc>
        <w:tc>
          <w:tcPr>
            <w:tcW w:w="0" w:type="auto"/>
            <w:tcBorders>
              <w:top w:val="nil"/>
              <w:left w:val="nil"/>
              <w:bottom w:val="single" w:sz="4" w:space="0" w:color="auto"/>
              <w:right w:val="single" w:sz="4" w:space="0" w:color="auto"/>
            </w:tcBorders>
            <w:shd w:val="clear" w:color="auto" w:fill="auto"/>
            <w:vAlign w:val="center"/>
            <w:hideMark/>
          </w:tcPr>
          <w:p w14:paraId="623943D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8128</w:t>
            </w:r>
          </w:p>
        </w:tc>
        <w:tc>
          <w:tcPr>
            <w:tcW w:w="0" w:type="auto"/>
            <w:tcBorders>
              <w:top w:val="nil"/>
              <w:left w:val="nil"/>
              <w:bottom w:val="single" w:sz="4" w:space="0" w:color="auto"/>
              <w:right w:val="single" w:sz="4" w:space="0" w:color="auto"/>
            </w:tcBorders>
            <w:shd w:val="clear" w:color="auto" w:fill="auto"/>
            <w:vAlign w:val="center"/>
            <w:hideMark/>
          </w:tcPr>
          <w:p w14:paraId="49ED004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1016</w:t>
            </w:r>
          </w:p>
        </w:tc>
        <w:tc>
          <w:tcPr>
            <w:tcW w:w="1025" w:type="dxa"/>
            <w:tcBorders>
              <w:top w:val="nil"/>
              <w:left w:val="nil"/>
              <w:bottom w:val="single" w:sz="4" w:space="0" w:color="auto"/>
              <w:right w:val="single" w:sz="4" w:space="0" w:color="auto"/>
            </w:tcBorders>
            <w:shd w:val="clear" w:color="auto" w:fill="auto"/>
            <w:vAlign w:val="center"/>
            <w:hideMark/>
          </w:tcPr>
          <w:p w14:paraId="2431585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VIII</w:t>
            </w:r>
          </w:p>
        </w:tc>
      </w:tr>
      <w:tr w:rsidR="009432BE" w:rsidRPr="009432BE" w14:paraId="28B81719"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76731E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w:t>
            </w:r>
          </w:p>
        </w:tc>
        <w:tc>
          <w:tcPr>
            <w:tcW w:w="1341" w:type="dxa"/>
            <w:tcBorders>
              <w:top w:val="nil"/>
              <w:left w:val="nil"/>
              <w:bottom w:val="single" w:sz="4" w:space="0" w:color="auto"/>
              <w:right w:val="single" w:sz="4" w:space="0" w:color="auto"/>
            </w:tcBorders>
            <w:shd w:val="clear" w:color="auto" w:fill="auto"/>
            <w:vAlign w:val="center"/>
            <w:hideMark/>
          </w:tcPr>
          <w:p w14:paraId="2CF2BFA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Education Services</w:t>
            </w:r>
          </w:p>
        </w:tc>
        <w:tc>
          <w:tcPr>
            <w:tcW w:w="0" w:type="auto"/>
            <w:tcBorders>
              <w:top w:val="nil"/>
              <w:left w:val="nil"/>
              <w:bottom w:val="single" w:sz="4" w:space="0" w:color="auto"/>
              <w:right w:val="single" w:sz="4" w:space="0" w:color="auto"/>
            </w:tcBorders>
            <w:shd w:val="clear" w:color="auto" w:fill="auto"/>
            <w:vAlign w:val="center"/>
            <w:hideMark/>
          </w:tcPr>
          <w:p w14:paraId="77AEC40D"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06A41FE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1320</w:t>
            </w:r>
          </w:p>
        </w:tc>
        <w:tc>
          <w:tcPr>
            <w:tcW w:w="0" w:type="auto"/>
            <w:tcBorders>
              <w:top w:val="nil"/>
              <w:left w:val="nil"/>
              <w:bottom w:val="single" w:sz="4" w:space="0" w:color="auto"/>
              <w:right w:val="single" w:sz="4" w:space="0" w:color="auto"/>
            </w:tcBorders>
            <w:shd w:val="clear" w:color="auto" w:fill="auto"/>
            <w:vAlign w:val="center"/>
            <w:hideMark/>
          </w:tcPr>
          <w:p w14:paraId="6167F00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6B6F141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1800</w:t>
            </w:r>
          </w:p>
        </w:tc>
        <w:tc>
          <w:tcPr>
            <w:tcW w:w="0" w:type="auto"/>
            <w:tcBorders>
              <w:top w:val="nil"/>
              <w:left w:val="nil"/>
              <w:bottom w:val="single" w:sz="4" w:space="0" w:color="auto"/>
              <w:right w:val="single" w:sz="4" w:space="0" w:color="auto"/>
            </w:tcBorders>
            <w:shd w:val="clear" w:color="auto" w:fill="auto"/>
            <w:vAlign w:val="center"/>
            <w:hideMark/>
          </w:tcPr>
          <w:p w14:paraId="1F631D10"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385EACC7"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auto" w:fill="auto"/>
            <w:vAlign w:val="center"/>
            <w:hideMark/>
          </w:tcPr>
          <w:p w14:paraId="2317307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864</w:t>
            </w:r>
          </w:p>
        </w:tc>
        <w:tc>
          <w:tcPr>
            <w:tcW w:w="0" w:type="auto"/>
            <w:tcBorders>
              <w:top w:val="nil"/>
              <w:left w:val="nil"/>
              <w:bottom w:val="single" w:sz="4" w:space="0" w:color="auto"/>
              <w:right w:val="single" w:sz="4" w:space="0" w:color="auto"/>
            </w:tcBorders>
            <w:shd w:val="clear" w:color="auto" w:fill="auto"/>
            <w:vAlign w:val="center"/>
            <w:hideMark/>
          </w:tcPr>
          <w:p w14:paraId="4BAA83A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540</w:t>
            </w:r>
          </w:p>
        </w:tc>
        <w:tc>
          <w:tcPr>
            <w:tcW w:w="0" w:type="auto"/>
            <w:tcBorders>
              <w:top w:val="nil"/>
              <w:left w:val="nil"/>
              <w:bottom w:val="single" w:sz="4" w:space="0" w:color="auto"/>
              <w:right w:val="single" w:sz="4" w:space="0" w:color="auto"/>
            </w:tcBorders>
            <w:shd w:val="clear" w:color="auto" w:fill="auto"/>
            <w:vAlign w:val="center"/>
            <w:hideMark/>
          </w:tcPr>
          <w:p w14:paraId="678A136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9424</w:t>
            </w:r>
          </w:p>
        </w:tc>
        <w:tc>
          <w:tcPr>
            <w:tcW w:w="0" w:type="auto"/>
            <w:tcBorders>
              <w:top w:val="nil"/>
              <w:left w:val="nil"/>
              <w:bottom w:val="single" w:sz="4" w:space="0" w:color="auto"/>
              <w:right w:val="single" w:sz="4" w:space="0" w:color="auto"/>
            </w:tcBorders>
            <w:shd w:val="clear" w:color="auto" w:fill="auto"/>
            <w:vAlign w:val="center"/>
            <w:hideMark/>
          </w:tcPr>
          <w:p w14:paraId="37185AC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1178</w:t>
            </w:r>
          </w:p>
        </w:tc>
        <w:tc>
          <w:tcPr>
            <w:tcW w:w="1025" w:type="dxa"/>
            <w:tcBorders>
              <w:top w:val="nil"/>
              <w:left w:val="nil"/>
              <w:bottom w:val="single" w:sz="4" w:space="0" w:color="auto"/>
              <w:right w:val="single" w:sz="4" w:space="0" w:color="auto"/>
            </w:tcBorders>
            <w:shd w:val="clear" w:color="auto" w:fill="auto"/>
            <w:vAlign w:val="center"/>
            <w:hideMark/>
          </w:tcPr>
          <w:p w14:paraId="3C5F226A"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w:t>
            </w:r>
          </w:p>
        </w:tc>
      </w:tr>
      <w:tr w:rsidR="009432BE" w:rsidRPr="009432BE" w14:paraId="4A46321C" w14:textId="77777777" w:rsidTr="009432BE">
        <w:trPr>
          <w:trHeight w:val="29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95AE4B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8</w:t>
            </w:r>
          </w:p>
        </w:tc>
        <w:tc>
          <w:tcPr>
            <w:tcW w:w="1341" w:type="dxa"/>
            <w:tcBorders>
              <w:top w:val="nil"/>
              <w:left w:val="nil"/>
              <w:bottom w:val="single" w:sz="4" w:space="0" w:color="auto"/>
              <w:right w:val="single" w:sz="4" w:space="0" w:color="auto"/>
            </w:tcBorders>
            <w:shd w:val="clear" w:color="auto" w:fill="auto"/>
            <w:vAlign w:val="center"/>
            <w:hideMark/>
          </w:tcPr>
          <w:p w14:paraId="6F04F0A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Management of Resources</w:t>
            </w:r>
          </w:p>
        </w:tc>
        <w:tc>
          <w:tcPr>
            <w:tcW w:w="0" w:type="auto"/>
            <w:tcBorders>
              <w:top w:val="nil"/>
              <w:left w:val="nil"/>
              <w:bottom w:val="single" w:sz="4" w:space="0" w:color="auto"/>
              <w:right w:val="single" w:sz="4" w:space="0" w:color="auto"/>
            </w:tcBorders>
            <w:shd w:val="clear" w:color="auto" w:fill="auto"/>
            <w:vAlign w:val="center"/>
            <w:hideMark/>
          </w:tcPr>
          <w:p w14:paraId="2B91555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720</w:t>
            </w:r>
          </w:p>
        </w:tc>
        <w:tc>
          <w:tcPr>
            <w:tcW w:w="0" w:type="auto"/>
            <w:tcBorders>
              <w:top w:val="nil"/>
              <w:left w:val="nil"/>
              <w:bottom w:val="single" w:sz="4" w:space="0" w:color="auto"/>
              <w:right w:val="single" w:sz="4" w:space="0" w:color="auto"/>
            </w:tcBorders>
            <w:shd w:val="clear" w:color="auto" w:fill="auto"/>
            <w:vAlign w:val="center"/>
            <w:hideMark/>
          </w:tcPr>
          <w:p w14:paraId="0184C63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660</w:t>
            </w:r>
          </w:p>
        </w:tc>
        <w:tc>
          <w:tcPr>
            <w:tcW w:w="0" w:type="auto"/>
            <w:tcBorders>
              <w:top w:val="nil"/>
              <w:left w:val="nil"/>
              <w:bottom w:val="single" w:sz="4" w:space="0" w:color="auto"/>
              <w:right w:val="single" w:sz="4" w:space="0" w:color="auto"/>
            </w:tcBorders>
            <w:shd w:val="clear" w:color="auto" w:fill="auto"/>
            <w:vAlign w:val="center"/>
            <w:hideMark/>
          </w:tcPr>
          <w:p w14:paraId="5DB45E3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1020</w:t>
            </w:r>
          </w:p>
        </w:tc>
        <w:tc>
          <w:tcPr>
            <w:tcW w:w="0" w:type="auto"/>
            <w:tcBorders>
              <w:top w:val="nil"/>
              <w:left w:val="nil"/>
              <w:bottom w:val="single" w:sz="4" w:space="0" w:color="auto"/>
              <w:right w:val="single" w:sz="4" w:space="0" w:color="auto"/>
            </w:tcBorders>
            <w:shd w:val="clear" w:color="auto" w:fill="auto"/>
            <w:vAlign w:val="center"/>
            <w:hideMark/>
          </w:tcPr>
          <w:p w14:paraId="6B8EDC43"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62A4E6CE"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1500</w:t>
            </w:r>
          </w:p>
        </w:tc>
        <w:tc>
          <w:tcPr>
            <w:tcW w:w="0" w:type="auto"/>
            <w:tcBorders>
              <w:top w:val="nil"/>
              <w:left w:val="nil"/>
              <w:bottom w:val="single" w:sz="4" w:space="0" w:color="auto"/>
              <w:right w:val="single" w:sz="4" w:space="0" w:color="auto"/>
            </w:tcBorders>
            <w:shd w:val="clear" w:color="auto" w:fill="auto"/>
            <w:vAlign w:val="center"/>
            <w:hideMark/>
          </w:tcPr>
          <w:p w14:paraId="6B375F66"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1200</w:t>
            </w:r>
          </w:p>
        </w:tc>
        <w:tc>
          <w:tcPr>
            <w:tcW w:w="0" w:type="auto"/>
            <w:tcBorders>
              <w:top w:val="nil"/>
              <w:left w:val="nil"/>
              <w:bottom w:val="single" w:sz="4" w:space="0" w:color="auto"/>
              <w:right w:val="single" w:sz="4" w:space="0" w:color="auto"/>
            </w:tcBorders>
            <w:shd w:val="clear" w:color="auto" w:fill="auto"/>
            <w:vAlign w:val="center"/>
            <w:hideMark/>
          </w:tcPr>
          <w:p w14:paraId="4653C1D8"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1056</w:t>
            </w:r>
          </w:p>
        </w:tc>
        <w:tc>
          <w:tcPr>
            <w:tcW w:w="0" w:type="auto"/>
            <w:tcBorders>
              <w:top w:val="nil"/>
              <w:left w:val="nil"/>
              <w:bottom w:val="single" w:sz="4" w:space="0" w:color="auto"/>
              <w:right w:val="single" w:sz="4" w:space="0" w:color="auto"/>
            </w:tcBorders>
            <w:shd w:val="clear" w:color="auto" w:fill="auto"/>
            <w:vAlign w:val="center"/>
            <w:hideMark/>
          </w:tcPr>
          <w:p w14:paraId="164043A1"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640</w:t>
            </w:r>
          </w:p>
        </w:tc>
        <w:tc>
          <w:tcPr>
            <w:tcW w:w="0" w:type="auto"/>
            <w:tcBorders>
              <w:top w:val="nil"/>
              <w:left w:val="nil"/>
              <w:bottom w:val="single" w:sz="4" w:space="0" w:color="auto"/>
              <w:right w:val="single" w:sz="4" w:space="0" w:color="auto"/>
            </w:tcBorders>
            <w:shd w:val="clear" w:color="auto" w:fill="auto"/>
            <w:vAlign w:val="center"/>
            <w:hideMark/>
          </w:tcPr>
          <w:p w14:paraId="3A6F27E5"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7996</w:t>
            </w:r>
          </w:p>
        </w:tc>
        <w:tc>
          <w:tcPr>
            <w:tcW w:w="0" w:type="auto"/>
            <w:tcBorders>
              <w:top w:val="nil"/>
              <w:left w:val="nil"/>
              <w:bottom w:val="single" w:sz="4" w:space="0" w:color="auto"/>
              <w:right w:val="single" w:sz="4" w:space="0" w:color="auto"/>
            </w:tcBorders>
            <w:shd w:val="clear" w:color="auto" w:fill="auto"/>
            <w:vAlign w:val="center"/>
            <w:hideMark/>
          </w:tcPr>
          <w:p w14:paraId="555A3CB4"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999.5</w:t>
            </w:r>
          </w:p>
        </w:tc>
        <w:tc>
          <w:tcPr>
            <w:tcW w:w="1025" w:type="dxa"/>
            <w:tcBorders>
              <w:top w:val="nil"/>
              <w:left w:val="nil"/>
              <w:bottom w:val="single" w:sz="4" w:space="0" w:color="auto"/>
              <w:right w:val="single" w:sz="4" w:space="0" w:color="auto"/>
            </w:tcBorders>
            <w:shd w:val="clear" w:color="auto" w:fill="auto"/>
            <w:vAlign w:val="center"/>
            <w:hideMark/>
          </w:tcPr>
          <w:p w14:paraId="01D7AE4B" w14:textId="77777777" w:rsidR="009432BE" w:rsidRPr="009432BE" w:rsidRDefault="009432BE" w:rsidP="009432BE">
            <w:pPr>
              <w:spacing w:after="0" w:line="240" w:lineRule="auto"/>
              <w:jc w:val="center"/>
              <w:rPr>
                <w:rFonts w:ascii="Calibri" w:eastAsia="Times New Roman" w:hAnsi="Calibri" w:cs="Calibri"/>
                <w:color w:val="000000"/>
              </w:rPr>
            </w:pPr>
            <w:r w:rsidRPr="009432BE">
              <w:rPr>
                <w:rFonts w:ascii="Calibri" w:eastAsia="Times New Roman" w:hAnsi="Calibri" w:cs="Calibri"/>
                <w:color w:val="000000"/>
              </w:rPr>
              <w:t>VII</w:t>
            </w:r>
          </w:p>
        </w:tc>
      </w:tr>
    </w:tbl>
    <w:p w14:paraId="1608A05E" w14:textId="77777777" w:rsidR="00F672E3" w:rsidRDefault="00F672E3" w:rsidP="00F672E3">
      <w:pPr>
        <w:jc w:val="both"/>
        <w:rPr>
          <w:szCs w:val="28"/>
        </w:rPr>
      </w:pPr>
    </w:p>
    <w:p w14:paraId="0ACB91DC" w14:textId="29559D15" w:rsidR="001F45F4" w:rsidRPr="001F45F4" w:rsidRDefault="00F672E3" w:rsidP="001F45F4">
      <w:pPr>
        <w:jc w:val="both"/>
        <w:rPr>
          <w:rFonts w:ascii="Times New Roman" w:eastAsia="Times New Roman" w:hAnsi="Times New Roman" w:cs="Times New Roman"/>
          <w:color w:val="000000" w:themeColor="text1"/>
          <w:sz w:val="24"/>
          <w:szCs w:val="24"/>
          <w:lang w:val="en-GB" w:eastAsia="en-GB"/>
        </w:rPr>
      </w:pPr>
      <w:r w:rsidRPr="00B25D88">
        <w:rPr>
          <w:rFonts w:ascii="Times New Roman" w:eastAsia="Times New Roman" w:hAnsi="Times New Roman" w:cs="Times New Roman"/>
          <w:color w:val="000000" w:themeColor="text1"/>
          <w:sz w:val="24"/>
          <w:szCs w:val="24"/>
          <w:lang w:val="en-GB" w:eastAsia="en-GB"/>
        </w:rPr>
        <w:lastRenderedPageBreak/>
        <w:t xml:space="preserve">It was observed from Table 3 that, based on Garret’s Ranking Technique, </w:t>
      </w:r>
      <w:r w:rsidR="001F45F4" w:rsidRPr="001F45F4">
        <w:rPr>
          <w:rFonts w:ascii="Times New Roman" w:eastAsia="Times New Roman" w:hAnsi="Times New Roman" w:cs="Times New Roman"/>
          <w:color w:val="000000" w:themeColor="text1"/>
          <w:sz w:val="24"/>
          <w:szCs w:val="24"/>
          <w:lang w:val="en-GB" w:eastAsia="en-GB"/>
        </w:rPr>
        <w:t xml:space="preserve">farmers ranked ‘Organizational Services’ as the most important service. This category received the highest Garrett score (10,000) and an average of 1250, placing it in the first rank. These services include farmer cooperatives, producer organizations, and self-help groups, which enhance collective bargaining and streamline service access. This finding aligns with </w:t>
      </w:r>
      <w:r w:rsidR="001F45F4" w:rsidRPr="001F45F4">
        <w:rPr>
          <w:rFonts w:ascii="Times New Roman" w:eastAsia="Times New Roman" w:hAnsi="Times New Roman" w:cs="Times New Roman"/>
          <w:i/>
          <w:iCs/>
          <w:color w:val="000000" w:themeColor="text1"/>
          <w:sz w:val="24"/>
          <w:szCs w:val="24"/>
          <w:lang w:val="en-GB" w:eastAsia="en-GB"/>
        </w:rPr>
        <w:t>Singh et al. (2021)</w:t>
      </w:r>
      <w:r w:rsidR="001F45F4" w:rsidRPr="001F45F4">
        <w:rPr>
          <w:rFonts w:ascii="Times New Roman" w:eastAsia="Times New Roman" w:hAnsi="Times New Roman" w:cs="Times New Roman"/>
          <w:color w:val="000000" w:themeColor="text1"/>
          <w:sz w:val="24"/>
          <w:szCs w:val="24"/>
          <w:lang w:val="en-GB" w:eastAsia="en-GB"/>
        </w:rPr>
        <w:t xml:space="preserve"> and corroborates earlier observations by </w:t>
      </w:r>
      <w:r w:rsidR="001F45F4" w:rsidRPr="001F45F4">
        <w:rPr>
          <w:rFonts w:ascii="Times New Roman" w:eastAsia="Times New Roman" w:hAnsi="Times New Roman" w:cs="Times New Roman"/>
          <w:i/>
          <w:iCs/>
          <w:color w:val="000000" w:themeColor="text1"/>
          <w:sz w:val="24"/>
          <w:szCs w:val="24"/>
          <w:lang w:val="en-GB" w:eastAsia="en-GB"/>
        </w:rPr>
        <w:t>FAO (2014)</w:t>
      </w:r>
      <w:r w:rsidR="001F45F4" w:rsidRPr="001F45F4">
        <w:rPr>
          <w:rFonts w:ascii="Times New Roman" w:eastAsia="Times New Roman" w:hAnsi="Times New Roman" w:cs="Times New Roman"/>
          <w:color w:val="000000" w:themeColor="text1"/>
          <w:sz w:val="24"/>
          <w:szCs w:val="24"/>
          <w:lang w:val="en-GB" w:eastAsia="en-GB"/>
        </w:rPr>
        <w:t xml:space="preserve"> in their global review of farmer organizations’ role in sustainable agriculture.</w:t>
      </w:r>
      <w:r w:rsidR="001F45F4">
        <w:rPr>
          <w:rFonts w:ascii="Times New Roman" w:eastAsia="Times New Roman" w:hAnsi="Times New Roman" w:cs="Times New Roman"/>
          <w:color w:val="000000" w:themeColor="text1"/>
          <w:sz w:val="24"/>
          <w:szCs w:val="24"/>
          <w:lang w:val="en-GB" w:eastAsia="en-GB"/>
        </w:rPr>
        <w:t xml:space="preserve"> </w:t>
      </w:r>
      <w:r w:rsidR="001F45F4" w:rsidRPr="001F45F4">
        <w:rPr>
          <w:rFonts w:ascii="Times New Roman" w:eastAsia="Times New Roman" w:hAnsi="Times New Roman" w:cs="Times New Roman"/>
          <w:color w:val="000000" w:themeColor="text1"/>
          <w:sz w:val="24"/>
          <w:szCs w:val="24"/>
          <w:lang w:val="en-GB" w:eastAsia="en-GB"/>
        </w:rPr>
        <w:t xml:space="preserve">Following this, ‘Production Services’ ranked second with a score of 9,740 and an average of 1217.5. These include seed distribution, fertilizer supply, and input services. Similar patterns were observed by </w:t>
      </w:r>
      <w:r w:rsidR="001F45F4" w:rsidRPr="001F45F4">
        <w:rPr>
          <w:rFonts w:ascii="Times New Roman" w:eastAsia="Times New Roman" w:hAnsi="Times New Roman" w:cs="Times New Roman"/>
          <w:i/>
          <w:iCs/>
          <w:color w:val="000000" w:themeColor="text1"/>
          <w:sz w:val="24"/>
          <w:szCs w:val="24"/>
          <w:lang w:val="en-GB" w:eastAsia="en-GB"/>
        </w:rPr>
        <w:t>Babu et al. (2012),</w:t>
      </w:r>
      <w:r w:rsidR="001F45F4" w:rsidRPr="001F45F4">
        <w:rPr>
          <w:rFonts w:ascii="Times New Roman" w:eastAsia="Times New Roman" w:hAnsi="Times New Roman" w:cs="Times New Roman"/>
          <w:color w:val="000000" w:themeColor="text1"/>
          <w:sz w:val="24"/>
          <w:szCs w:val="24"/>
          <w:lang w:val="en-GB" w:eastAsia="en-GB"/>
        </w:rPr>
        <w:t xml:space="preserve"> who reported that production inputs are core priorities for smallholder farmers across Asia and Africa. The third highest-ranked service was ‘Marketing Services’ with a score of 9,256 and an average of 1157. This reflects the importance of market linkages, fair pricing mechanisms, and supply chain services. The observation is supported by </w:t>
      </w:r>
      <w:r w:rsidR="001F45F4" w:rsidRPr="001F45F4">
        <w:rPr>
          <w:rFonts w:ascii="Times New Roman" w:eastAsia="Times New Roman" w:hAnsi="Times New Roman" w:cs="Times New Roman"/>
          <w:i/>
          <w:iCs/>
          <w:color w:val="000000" w:themeColor="text1"/>
          <w:sz w:val="24"/>
          <w:szCs w:val="24"/>
          <w:lang w:val="en-GB" w:eastAsia="en-GB"/>
        </w:rPr>
        <w:t xml:space="preserve">Chand et al. (2011) </w:t>
      </w:r>
      <w:r w:rsidR="001F45F4" w:rsidRPr="001F45F4">
        <w:rPr>
          <w:rFonts w:ascii="Times New Roman" w:eastAsia="Times New Roman" w:hAnsi="Times New Roman" w:cs="Times New Roman"/>
          <w:color w:val="000000" w:themeColor="text1"/>
          <w:sz w:val="24"/>
          <w:szCs w:val="24"/>
          <w:lang w:val="en-GB" w:eastAsia="en-GB"/>
        </w:rPr>
        <w:t xml:space="preserve">who emphasized the need for reforming agricultural marketing systems in India for inclusive growth. Ranked fourth was ‘Financial Services’ with a score of 9,300 and an average of 1162.5. Farmers rely on credit, insurance, and subsidies to manage financial risks. The importance of these services was highlighted </w:t>
      </w:r>
      <w:r w:rsidR="001F45F4" w:rsidRPr="001F45F4">
        <w:rPr>
          <w:rFonts w:ascii="Times New Roman" w:eastAsia="Times New Roman" w:hAnsi="Times New Roman" w:cs="Times New Roman"/>
          <w:i/>
          <w:iCs/>
          <w:color w:val="000000" w:themeColor="text1"/>
          <w:sz w:val="24"/>
          <w:szCs w:val="24"/>
          <w:lang w:val="en-GB" w:eastAsia="en-GB"/>
        </w:rPr>
        <w:t>by Sharma (2016),</w:t>
      </w:r>
      <w:r w:rsidR="001F45F4" w:rsidRPr="001F45F4">
        <w:rPr>
          <w:rFonts w:ascii="Times New Roman" w:eastAsia="Times New Roman" w:hAnsi="Times New Roman" w:cs="Times New Roman"/>
          <w:color w:val="000000" w:themeColor="text1"/>
          <w:sz w:val="24"/>
          <w:szCs w:val="24"/>
          <w:lang w:val="en-GB" w:eastAsia="en-GB"/>
        </w:rPr>
        <w:t xml:space="preserve"> who discussed the critical role of rural financial institutions in farm sustainability.</w:t>
      </w:r>
      <w:r w:rsidR="001F45F4">
        <w:rPr>
          <w:rFonts w:ascii="Times New Roman" w:eastAsia="Times New Roman" w:hAnsi="Times New Roman" w:cs="Times New Roman"/>
          <w:color w:val="000000" w:themeColor="text1"/>
          <w:sz w:val="24"/>
          <w:szCs w:val="24"/>
          <w:lang w:val="en-GB" w:eastAsia="en-GB"/>
        </w:rPr>
        <w:t xml:space="preserve"> </w:t>
      </w:r>
      <w:r w:rsidR="001F45F4" w:rsidRPr="001F45F4">
        <w:rPr>
          <w:rFonts w:ascii="Times New Roman" w:eastAsia="Times New Roman" w:hAnsi="Times New Roman" w:cs="Times New Roman"/>
          <w:color w:val="000000" w:themeColor="text1"/>
          <w:sz w:val="24"/>
          <w:szCs w:val="24"/>
          <w:lang w:val="en-GB" w:eastAsia="en-GB"/>
        </w:rPr>
        <w:t xml:space="preserve">‘Education Services’ occupied the fifth rank with a score of 9,424 and an average of 1178. Training and awareness-building programs help farmers adopt new technologies and best practices. The result is in line with findings from the World Bank (2020) report on agricultural extension systems globally. ‘Technology Services’ ranked sixth, scoring 8,584 and averaging 1073. Although essential, farmers perceived gaps in access and affordability of modern agricultural technologies. </w:t>
      </w:r>
      <w:r w:rsidR="001F45F4" w:rsidRPr="001F45F4">
        <w:rPr>
          <w:rFonts w:ascii="Times New Roman" w:eastAsia="Times New Roman" w:hAnsi="Times New Roman" w:cs="Times New Roman"/>
          <w:i/>
          <w:iCs/>
          <w:color w:val="000000" w:themeColor="text1"/>
          <w:sz w:val="24"/>
          <w:szCs w:val="24"/>
          <w:lang w:val="en-GB" w:eastAsia="en-GB"/>
        </w:rPr>
        <w:t>Manjunath (2018) and IFPRI (2019)</w:t>
      </w:r>
      <w:r w:rsidR="001F45F4" w:rsidRPr="001F45F4">
        <w:rPr>
          <w:rFonts w:ascii="Times New Roman" w:eastAsia="Times New Roman" w:hAnsi="Times New Roman" w:cs="Times New Roman"/>
          <w:color w:val="000000" w:themeColor="text1"/>
          <w:sz w:val="24"/>
          <w:szCs w:val="24"/>
          <w:lang w:val="en-GB" w:eastAsia="en-GB"/>
        </w:rPr>
        <w:t xml:space="preserve"> both reported similar constraints.</w:t>
      </w:r>
      <w:r w:rsidR="001F45F4">
        <w:rPr>
          <w:rFonts w:ascii="Times New Roman" w:eastAsia="Times New Roman" w:hAnsi="Times New Roman" w:cs="Times New Roman"/>
          <w:color w:val="000000" w:themeColor="text1"/>
          <w:sz w:val="24"/>
          <w:szCs w:val="24"/>
          <w:lang w:val="en-GB" w:eastAsia="en-GB"/>
        </w:rPr>
        <w:t xml:space="preserve"> </w:t>
      </w:r>
      <w:r w:rsidR="001F45F4" w:rsidRPr="001F45F4">
        <w:rPr>
          <w:rFonts w:ascii="Times New Roman" w:eastAsia="Times New Roman" w:hAnsi="Times New Roman" w:cs="Times New Roman"/>
          <w:color w:val="000000" w:themeColor="text1"/>
          <w:sz w:val="24"/>
          <w:szCs w:val="24"/>
          <w:lang w:val="en-GB" w:eastAsia="en-GB"/>
        </w:rPr>
        <w:t>‘Management of Resources’ took the seventh rank with a score of 7,996 and an average of 999.5. This service category includes efficient use of land, water, fertilizers, and energy. FAO (2021) emphasized this area as a critical lever for climate-smart agriculture. Finally, ‘Welfare Services’ were ranked the lowest (eighth), with a score of 8,128 and an average of 1016. While vital for social security and farmer well-being, these services tend to receive lower priority in rural service structures, as noted by IFAD (2015) in its rural development assessments.</w:t>
      </w:r>
    </w:p>
    <w:p w14:paraId="7A1C9F77" w14:textId="3EA74C2F" w:rsidR="00F672E3" w:rsidRPr="00114B9A" w:rsidRDefault="00F672E3" w:rsidP="001F45F4">
      <w:pPr>
        <w:jc w:val="both"/>
        <w:rPr>
          <w:rFonts w:ascii="Times New Roman" w:hAnsi="Times New Roman" w:cs="Times New Roman"/>
          <w:b/>
          <w:sz w:val="28"/>
        </w:rPr>
      </w:pPr>
      <w:r w:rsidRPr="00114B9A">
        <w:rPr>
          <w:rFonts w:ascii="Times New Roman" w:hAnsi="Times New Roman" w:cs="Times New Roman"/>
          <w:b/>
          <w:sz w:val="28"/>
        </w:rPr>
        <w:t>CONCLUSION</w:t>
      </w:r>
    </w:p>
    <w:p w14:paraId="1B33C1E4" w14:textId="4B76F86A" w:rsidR="00DF2F94" w:rsidRDefault="00DF2F94" w:rsidP="00DF2F94">
      <w:pPr>
        <w:ind w:right="-450" w:hanging="810"/>
        <w:jc w:val="both"/>
        <w:rPr>
          <w:rFonts w:ascii="Times New Roman" w:eastAsia="Times New Roman" w:hAnsi="Times New Roman" w:cs="Times New Roman"/>
          <w:color w:val="252525"/>
          <w:sz w:val="24"/>
          <w:szCs w:val="24"/>
          <w:lang w:val="en-GB" w:eastAsia="en-GB"/>
        </w:rPr>
      </w:pPr>
      <w:r>
        <w:rPr>
          <w:rFonts w:ascii="Times New Roman" w:eastAsia="Times New Roman" w:hAnsi="Times New Roman" w:cs="Times New Roman"/>
          <w:color w:val="252525"/>
          <w:sz w:val="24"/>
          <w:szCs w:val="24"/>
          <w:lang w:val="en-GB" w:eastAsia="en-GB"/>
        </w:rPr>
        <w:t xml:space="preserve">             </w:t>
      </w:r>
      <w:r w:rsidRPr="00DF2F94">
        <w:rPr>
          <w:rFonts w:ascii="Times New Roman" w:eastAsia="Times New Roman" w:hAnsi="Times New Roman" w:cs="Times New Roman"/>
          <w:color w:val="252525"/>
          <w:sz w:val="24"/>
          <w:szCs w:val="24"/>
          <w:lang w:val="en-GB" w:eastAsia="en-GB"/>
        </w:rPr>
        <w:t>The study concludes that among services provided by Farmer Producer Organizations (FPOs) in Marathwada, Organizational Services rank as the top priority, highlighting the importance of collective action for small and marginal farmers. Production Services, Marketing Services, and Financial Services follow as key support areas essential for improving productivity, market access, and financial security. Lower-ranked services like Technology, Education, Resource Management, and Welfare are important but perceived as less urgent by farmers. Strengthening FPOs with a focus on organizational, production, and marketing services is crucial for enhancing farmer resilience and economic stability.</w:t>
      </w:r>
    </w:p>
    <w:p w14:paraId="1F435E7D" w14:textId="77777777" w:rsidR="00B423E3" w:rsidRDefault="00B423E3" w:rsidP="00DF2F94">
      <w:pPr>
        <w:ind w:right="-450" w:hanging="810"/>
        <w:jc w:val="both"/>
        <w:rPr>
          <w:rFonts w:ascii="Times New Roman" w:eastAsia="Times New Roman" w:hAnsi="Times New Roman" w:cs="Times New Roman"/>
          <w:color w:val="252525"/>
          <w:sz w:val="24"/>
          <w:szCs w:val="24"/>
          <w:lang w:val="en-GB" w:eastAsia="en-GB"/>
        </w:rPr>
      </w:pPr>
    </w:p>
    <w:p w14:paraId="2DEED9DD" w14:textId="77777777" w:rsidR="00B423E3" w:rsidRPr="00B423E3" w:rsidRDefault="00B423E3" w:rsidP="00B423E3">
      <w:pPr>
        <w:jc w:val="both"/>
        <w:outlineLvl w:val="0"/>
        <w:rPr>
          <w:rFonts w:ascii="Arial" w:eastAsia="Times New Roman" w:hAnsi="Arial" w:cs="Arial"/>
          <w:lang w:val="en-GB" w:eastAsia="en-GB"/>
        </w:rPr>
      </w:pPr>
      <w:r w:rsidRPr="00B423E3">
        <w:rPr>
          <w:rFonts w:ascii="Arial" w:eastAsia="Times New Roman" w:hAnsi="Arial" w:cs="Arial"/>
          <w:b/>
          <w:bCs/>
          <w:lang w:val="en-GB" w:eastAsia="en-GB"/>
        </w:rPr>
        <w:t>COMPETING INTERESTS DISCLAIMER:</w:t>
      </w:r>
    </w:p>
    <w:p w14:paraId="3F28CF4C" w14:textId="77777777" w:rsidR="00B423E3" w:rsidRPr="00B423E3" w:rsidRDefault="00B423E3" w:rsidP="00B423E3">
      <w:pPr>
        <w:rPr>
          <w:rFonts w:ascii="Calibri" w:eastAsia="Times New Roman" w:hAnsi="Calibri" w:cs="Times New Roman"/>
          <w:lang w:val="en-GB" w:eastAsia="en-GB"/>
        </w:rPr>
      </w:pPr>
      <w:r w:rsidRPr="00B423E3">
        <w:rPr>
          <w:rFonts w:ascii="Calibri" w:eastAsia="Times New Roman" w:hAnsi="Calibri" w:cs="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0F1B01E2" w14:textId="77777777" w:rsidR="00B423E3" w:rsidRPr="00DF2F94" w:rsidRDefault="00B423E3" w:rsidP="00DF2F94">
      <w:pPr>
        <w:ind w:right="-450" w:hanging="810"/>
        <w:jc w:val="both"/>
        <w:rPr>
          <w:rFonts w:ascii="Times New Roman" w:eastAsia="Times New Roman" w:hAnsi="Times New Roman" w:cs="Times New Roman"/>
          <w:color w:val="252525"/>
          <w:sz w:val="24"/>
          <w:szCs w:val="24"/>
          <w:lang w:val="en-GB" w:eastAsia="en-GB"/>
        </w:rPr>
      </w:pPr>
    </w:p>
    <w:p w14:paraId="7CA42C34" w14:textId="77777777" w:rsidR="006D21A0" w:rsidRDefault="006D21A0" w:rsidP="006D21A0">
      <w:pPr>
        <w:ind w:right="-450" w:hanging="810"/>
        <w:jc w:val="center"/>
        <w:rPr>
          <w:rFonts w:ascii="Times New Roman" w:hAnsi="Times New Roman" w:cs="Times New Roman"/>
          <w:b/>
          <w:sz w:val="28"/>
        </w:rPr>
      </w:pPr>
    </w:p>
    <w:p w14:paraId="49BAF052" w14:textId="0842903D" w:rsidR="00DF2F94" w:rsidRDefault="00F672E3" w:rsidP="006D21A0">
      <w:pPr>
        <w:ind w:right="-450" w:hanging="810"/>
        <w:jc w:val="center"/>
        <w:rPr>
          <w:rFonts w:ascii="Times New Roman" w:hAnsi="Times New Roman" w:cs="Times New Roman"/>
          <w:b/>
          <w:sz w:val="28"/>
        </w:rPr>
      </w:pPr>
      <w:r w:rsidRPr="00CC5F1A">
        <w:rPr>
          <w:rFonts w:ascii="Times New Roman" w:hAnsi="Times New Roman" w:cs="Times New Roman"/>
          <w:b/>
          <w:sz w:val="28"/>
        </w:rPr>
        <w:t>REFERENCES</w:t>
      </w:r>
    </w:p>
    <w:p w14:paraId="4A7BBE5B" w14:textId="77777777" w:rsidR="006D21A0"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Autio, E. et al. (2021).</w:t>
      </w:r>
      <w:r w:rsidRPr="00DF2F94">
        <w:rPr>
          <w:rFonts w:ascii="Times New Roman" w:hAnsi="Times New Roman" w:cs="Times New Roman"/>
          <w:bCs/>
          <w:sz w:val="28"/>
        </w:rPr>
        <w:t xml:space="preserve"> Agricultural Extension Services and Adoption of Climate Smart Agriculture. </w:t>
      </w:r>
      <w:r w:rsidRPr="00DF2F94">
        <w:rPr>
          <w:rFonts w:ascii="Times New Roman" w:hAnsi="Times New Roman" w:cs="Times New Roman"/>
          <w:bCs/>
          <w:i/>
          <w:iCs/>
          <w:sz w:val="28"/>
        </w:rPr>
        <w:t>Global Food Security</w:t>
      </w:r>
      <w:r w:rsidRPr="00DF2F94">
        <w:rPr>
          <w:rFonts w:ascii="Times New Roman" w:hAnsi="Times New Roman" w:cs="Times New Roman"/>
          <w:bCs/>
          <w:sz w:val="28"/>
        </w:rPr>
        <w:t>.</w:t>
      </w:r>
    </w:p>
    <w:p w14:paraId="1A5AC62D" w14:textId="77777777" w:rsidR="006D21A0" w:rsidRPr="00DF2F94"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Babu, S. C., Glendenni</w:t>
      </w:r>
      <w:r>
        <w:rPr>
          <w:rFonts w:ascii="Times New Roman" w:hAnsi="Times New Roman" w:cs="Times New Roman"/>
          <w:b/>
          <w:sz w:val="28"/>
        </w:rPr>
        <w:t>ng, C. J., Asenso-Okyere, K. and</w:t>
      </w:r>
      <w:r w:rsidRPr="00DF2F94">
        <w:rPr>
          <w:rFonts w:ascii="Times New Roman" w:hAnsi="Times New Roman" w:cs="Times New Roman"/>
          <w:b/>
          <w:sz w:val="28"/>
        </w:rPr>
        <w:t xml:space="preserve"> Govindarajan, S. K. (2012).</w:t>
      </w:r>
      <w:r w:rsidRPr="00DF2F94">
        <w:rPr>
          <w:rFonts w:ascii="Times New Roman" w:hAnsi="Times New Roman" w:cs="Times New Roman"/>
          <w:bCs/>
          <w:sz w:val="28"/>
        </w:rPr>
        <w:t xml:space="preserve"> </w:t>
      </w:r>
      <w:r w:rsidRPr="00282FC1">
        <w:rPr>
          <w:rFonts w:ascii="Times New Roman" w:hAnsi="Times New Roman" w:cs="Times New Roman"/>
          <w:bCs/>
          <w:sz w:val="28"/>
        </w:rPr>
        <w:t xml:space="preserve">Farmer Information Services and ICT: Global Experiences and Lessons Learned. IFPRI </w:t>
      </w:r>
      <w:r w:rsidRPr="00DF2F94">
        <w:rPr>
          <w:rFonts w:ascii="Times New Roman" w:hAnsi="Times New Roman" w:cs="Times New Roman"/>
          <w:bCs/>
          <w:sz w:val="28"/>
        </w:rPr>
        <w:t>Discussion Paper.</w:t>
      </w:r>
    </w:p>
    <w:p w14:paraId="5551853E" w14:textId="2DC7BF5F" w:rsidR="006D21A0" w:rsidRDefault="006D21A0" w:rsidP="006D21A0">
      <w:pPr>
        <w:ind w:right="-450" w:hanging="810"/>
        <w:rPr>
          <w:rFonts w:ascii="Times New Roman" w:hAnsi="Times New Roman" w:cs="Times New Roman"/>
          <w:bCs/>
          <w:sz w:val="28"/>
        </w:rPr>
      </w:pPr>
      <w:r w:rsidRPr="00282FC1">
        <w:rPr>
          <w:rFonts w:ascii="Times New Roman" w:hAnsi="Times New Roman" w:cs="Times New Roman"/>
          <w:b/>
          <w:sz w:val="28"/>
        </w:rPr>
        <w:t xml:space="preserve">Chand, R., Prasanna, P. L., &amp; Singh, A. (2011). </w:t>
      </w:r>
      <w:r w:rsidRPr="00282FC1">
        <w:rPr>
          <w:rFonts w:ascii="Times New Roman" w:hAnsi="Times New Roman" w:cs="Times New Roman"/>
          <w:bCs/>
          <w:sz w:val="28"/>
        </w:rPr>
        <w:t>Farm size and productivity: Understanding the strengths of smallholders and improving their livelihoods. Economic and Political Weekly, 5-11.</w:t>
      </w:r>
    </w:p>
    <w:p w14:paraId="447186B2" w14:textId="7D784862" w:rsidR="00DF2F94"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FAO. (2014).</w:t>
      </w:r>
      <w:r w:rsidRPr="00DF2F94">
        <w:rPr>
          <w:rFonts w:ascii="Times New Roman" w:hAnsi="Times New Roman" w:cs="Times New Roman"/>
          <w:bCs/>
          <w:sz w:val="28"/>
        </w:rPr>
        <w:t xml:space="preserve"> </w:t>
      </w:r>
      <w:r w:rsidRPr="00AA4D8B">
        <w:rPr>
          <w:rFonts w:ascii="Times New Roman" w:hAnsi="Times New Roman" w:cs="Times New Roman"/>
          <w:bCs/>
          <w:sz w:val="28"/>
        </w:rPr>
        <w:t>The State of Food and Agriculture: Innovation in Family Farming.</w:t>
      </w:r>
      <w:r w:rsidRPr="00DF2F94">
        <w:rPr>
          <w:rFonts w:ascii="Times New Roman" w:hAnsi="Times New Roman" w:cs="Times New Roman"/>
          <w:bCs/>
          <w:sz w:val="28"/>
        </w:rPr>
        <w:t xml:space="preserve"> Rome: Food and Agriculture Organization of the United Nations.</w:t>
      </w:r>
    </w:p>
    <w:p w14:paraId="6CE45FB6" w14:textId="689F5970" w:rsidR="006D21A0" w:rsidRDefault="006D21A0" w:rsidP="006D21A0">
      <w:pPr>
        <w:ind w:right="-450" w:hanging="810"/>
        <w:rPr>
          <w:rFonts w:ascii="Times New Roman" w:hAnsi="Times New Roman" w:cs="Times New Roman"/>
          <w:bCs/>
          <w:i/>
          <w:iCs/>
          <w:sz w:val="28"/>
        </w:rPr>
      </w:pPr>
      <w:r w:rsidRPr="00DF2F94">
        <w:rPr>
          <w:rFonts w:ascii="Times New Roman" w:hAnsi="Times New Roman" w:cs="Times New Roman"/>
          <w:b/>
          <w:sz w:val="28"/>
        </w:rPr>
        <w:t>IFAD. (2015).</w:t>
      </w:r>
      <w:r w:rsidRPr="00DF2F94">
        <w:rPr>
          <w:rFonts w:ascii="Times New Roman" w:hAnsi="Times New Roman" w:cs="Times New Roman"/>
          <w:bCs/>
          <w:sz w:val="28"/>
        </w:rPr>
        <w:t xml:space="preserve"> </w:t>
      </w:r>
      <w:r w:rsidRPr="006D21A0">
        <w:rPr>
          <w:rFonts w:ascii="Times New Roman" w:hAnsi="Times New Roman" w:cs="Times New Roman"/>
          <w:bCs/>
          <w:sz w:val="28"/>
        </w:rPr>
        <w:t>Rural Development Report 2015: Inclusive Rural Transformation</w:t>
      </w:r>
      <w:r w:rsidRPr="00DF2F94">
        <w:rPr>
          <w:rFonts w:ascii="Times New Roman" w:hAnsi="Times New Roman" w:cs="Times New Roman"/>
          <w:bCs/>
          <w:sz w:val="28"/>
        </w:rPr>
        <w:t xml:space="preserve">. </w:t>
      </w:r>
      <w:r w:rsidRPr="006D21A0">
        <w:rPr>
          <w:rFonts w:ascii="Times New Roman" w:hAnsi="Times New Roman" w:cs="Times New Roman"/>
          <w:bCs/>
          <w:i/>
          <w:iCs/>
          <w:sz w:val="28"/>
        </w:rPr>
        <w:t>International Fund for Agricultural Development.</w:t>
      </w:r>
    </w:p>
    <w:p w14:paraId="630572D5" w14:textId="63132E9E" w:rsidR="006D21A0" w:rsidRPr="006D21A0" w:rsidRDefault="006D21A0" w:rsidP="006D21A0">
      <w:pPr>
        <w:ind w:right="-450" w:hanging="810"/>
        <w:rPr>
          <w:rFonts w:ascii="Times New Roman" w:hAnsi="Times New Roman" w:cs="Times New Roman"/>
          <w:bCs/>
          <w:i/>
          <w:iCs/>
          <w:sz w:val="28"/>
        </w:rPr>
      </w:pPr>
      <w:r w:rsidRPr="00DF2F94">
        <w:rPr>
          <w:rFonts w:ascii="Times New Roman" w:hAnsi="Times New Roman" w:cs="Times New Roman"/>
          <w:b/>
          <w:sz w:val="28"/>
        </w:rPr>
        <w:t>FAO. (2021).</w:t>
      </w:r>
      <w:r w:rsidRPr="00DF2F94">
        <w:rPr>
          <w:rFonts w:ascii="Times New Roman" w:hAnsi="Times New Roman" w:cs="Times New Roman"/>
          <w:bCs/>
          <w:sz w:val="28"/>
        </w:rPr>
        <w:t xml:space="preserve"> </w:t>
      </w:r>
      <w:r w:rsidRPr="006D21A0">
        <w:rPr>
          <w:rFonts w:ascii="Times New Roman" w:hAnsi="Times New Roman" w:cs="Times New Roman"/>
          <w:bCs/>
          <w:sz w:val="28"/>
        </w:rPr>
        <w:t>Climate Smart Agriculture Sourcebook.</w:t>
      </w:r>
      <w:r w:rsidRPr="00DF2F94">
        <w:rPr>
          <w:rFonts w:ascii="Times New Roman" w:hAnsi="Times New Roman" w:cs="Times New Roman"/>
          <w:bCs/>
          <w:sz w:val="28"/>
        </w:rPr>
        <w:t xml:space="preserve"> Rome: Food and Agriculture Organization of the United Nations.</w:t>
      </w:r>
    </w:p>
    <w:p w14:paraId="6D98DB2D" w14:textId="4437083C" w:rsidR="006D21A0" w:rsidRPr="006D21A0"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IFPRI. (2019).</w:t>
      </w:r>
      <w:r w:rsidRPr="00DF2F94">
        <w:rPr>
          <w:rFonts w:ascii="Times New Roman" w:hAnsi="Times New Roman" w:cs="Times New Roman"/>
          <w:bCs/>
          <w:sz w:val="28"/>
        </w:rPr>
        <w:t xml:space="preserve"> </w:t>
      </w:r>
      <w:r w:rsidRPr="00DF2F94">
        <w:rPr>
          <w:rFonts w:ascii="Times New Roman" w:hAnsi="Times New Roman" w:cs="Times New Roman"/>
          <w:bCs/>
          <w:i/>
          <w:iCs/>
          <w:sz w:val="28"/>
        </w:rPr>
        <w:t>Digital Agriculture and Extension: Current Trends and Future Directions</w:t>
      </w:r>
      <w:r w:rsidRPr="00DF2F94">
        <w:rPr>
          <w:rFonts w:ascii="Times New Roman" w:hAnsi="Times New Roman" w:cs="Times New Roman"/>
          <w:bCs/>
          <w:sz w:val="28"/>
        </w:rPr>
        <w:t>. IFPRI Report.</w:t>
      </w:r>
    </w:p>
    <w:p w14:paraId="7EC4FB51" w14:textId="77777777" w:rsidR="006D21A0"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 xml:space="preserve">  Kumar, V. et al. (2020). Role</w:t>
      </w:r>
      <w:r w:rsidRPr="00DF2F94">
        <w:rPr>
          <w:rFonts w:ascii="Times New Roman" w:hAnsi="Times New Roman" w:cs="Times New Roman"/>
          <w:bCs/>
          <w:sz w:val="28"/>
        </w:rPr>
        <w:t xml:space="preserve"> of Farm Service Centers in Farmer Welfare. </w:t>
      </w:r>
      <w:r w:rsidRPr="00DF2F94">
        <w:rPr>
          <w:rFonts w:ascii="Times New Roman" w:hAnsi="Times New Roman" w:cs="Times New Roman"/>
          <w:bCs/>
          <w:i/>
          <w:iCs/>
          <w:sz w:val="28"/>
        </w:rPr>
        <w:t>International Journal of Agricultural Research</w:t>
      </w:r>
      <w:r w:rsidRPr="00DF2F94">
        <w:rPr>
          <w:rFonts w:ascii="Times New Roman" w:hAnsi="Times New Roman" w:cs="Times New Roman"/>
          <w:bCs/>
          <w:sz w:val="28"/>
        </w:rPr>
        <w:t>.</w:t>
      </w:r>
    </w:p>
    <w:p w14:paraId="632D63CD" w14:textId="77777777" w:rsidR="006D21A0" w:rsidRPr="00DF2F94"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Manjunath, B. (2018).</w:t>
      </w:r>
      <w:r w:rsidRPr="00DF2F94">
        <w:rPr>
          <w:rFonts w:ascii="Times New Roman" w:hAnsi="Times New Roman" w:cs="Times New Roman"/>
          <w:bCs/>
          <w:sz w:val="28"/>
        </w:rPr>
        <w:t xml:space="preserve"> Constraints in Agricultural Technology Adoption. </w:t>
      </w:r>
      <w:r w:rsidRPr="00DF2F94">
        <w:rPr>
          <w:rFonts w:ascii="Times New Roman" w:hAnsi="Times New Roman" w:cs="Times New Roman"/>
          <w:bCs/>
          <w:i/>
          <w:iCs/>
          <w:sz w:val="28"/>
        </w:rPr>
        <w:t>Karnataka Journal of Agricultural Sciences</w:t>
      </w:r>
      <w:r w:rsidRPr="00DF2F94">
        <w:rPr>
          <w:rFonts w:ascii="Times New Roman" w:hAnsi="Times New Roman" w:cs="Times New Roman"/>
          <w:bCs/>
          <w:sz w:val="28"/>
        </w:rPr>
        <w:t>.</w:t>
      </w:r>
    </w:p>
    <w:p w14:paraId="2AF063B2" w14:textId="0E43CAE1" w:rsidR="006D21A0" w:rsidRPr="00DF2F94"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t>Meena, R. et al. (2019).</w:t>
      </w:r>
      <w:r w:rsidRPr="00DF2F94">
        <w:rPr>
          <w:rFonts w:ascii="Times New Roman" w:hAnsi="Times New Roman" w:cs="Times New Roman"/>
          <w:bCs/>
          <w:sz w:val="28"/>
        </w:rPr>
        <w:t xml:space="preserve"> Accessibility of Agricultural Credit: Challenges in Rural India. </w:t>
      </w:r>
      <w:r w:rsidRPr="00DF2F94">
        <w:rPr>
          <w:rFonts w:ascii="Times New Roman" w:hAnsi="Times New Roman" w:cs="Times New Roman"/>
          <w:bCs/>
          <w:i/>
          <w:iCs/>
          <w:sz w:val="28"/>
        </w:rPr>
        <w:t>Journal of Rural Development</w:t>
      </w:r>
      <w:r w:rsidRPr="00DF2F94">
        <w:rPr>
          <w:rFonts w:ascii="Times New Roman" w:hAnsi="Times New Roman" w:cs="Times New Roman"/>
          <w:bCs/>
          <w:sz w:val="28"/>
        </w:rPr>
        <w:t>.</w:t>
      </w:r>
    </w:p>
    <w:p w14:paraId="59E39223" w14:textId="77777777" w:rsidR="006D21A0" w:rsidRPr="00DF2F94" w:rsidRDefault="00DF2F94" w:rsidP="006D21A0">
      <w:pPr>
        <w:ind w:right="-450" w:hanging="810"/>
        <w:rPr>
          <w:rFonts w:ascii="Times New Roman" w:hAnsi="Times New Roman" w:cs="Times New Roman"/>
          <w:bCs/>
          <w:sz w:val="28"/>
        </w:rPr>
      </w:pPr>
      <w:r w:rsidRPr="00DF2F94">
        <w:rPr>
          <w:rFonts w:ascii="Times New Roman" w:hAnsi="Times New Roman" w:cs="Times New Roman"/>
          <w:b/>
          <w:sz w:val="28"/>
        </w:rPr>
        <w:t xml:space="preserve"> </w:t>
      </w:r>
      <w:r w:rsidR="006D21A0" w:rsidRPr="00DF2F94">
        <w:rPr>
          <w:rFonts w:ascii="Times New Roman" w:hAnsi="Times New Roman" w:cs="Times New Roman"/>
          <w:b/>
          <w:sz w:val="28"/>
        </w:rPr>
        <w:t>Panda, S. (2017).</w:t>
      </w:r>
      <w:r w:rsidR="006D21A0" w:rsidRPr="00DF2F94">
        <w:rPr>
          <w:rFonts w:ascii="Times New Roman" w:hAnsi="Times New Roman" w:cs="Times New Roman"/>
          <w:bCs/>
          <w:sz w:val="28"/>
        </w:rPr>
        <w:t xml:space="preserve"> Agricultural Marketing in India: A Review. </w:t>
      </w:r>
      <w:r w:rsidR="006D21A0" w:rsidRPr="00DF2F94">
        <w:rPr>
          <w:rFonts w:ascii="Times New Roman" w:hAnsi="Times New Roman" w:cs="Times New Roman"/>
          <w:bCs/>
          <w:i/>
          <w:iCs/>
          <w:sz w:val="28"/>
        </w:rPr>
        <w:t>Indian Journal of Agricultural Sciences</w:t>
      </w:r>
      <w:r w:rsidR="006D21A0" w:rsidRPr="00DF2F94">
        <w:rPr>
          <w:rFonts w:ascii="Times New Roman" w:hAnsi="Times New Roman" w:cs="Times New Roman"/>
          <w:bCs/>
          <w:sz w:val="28"/>
        </w:rPr>
        <w:t>.</w:t>
      </w:r>
    </w:p>
    <w:p w14:paraId="6C5F3E42" w14:textId="174E4D89" w:rsidR="006D21A0" w:rsidRPr="006D21A0" w:rsidRDefault="006D21A0" w:rsidP="006D21A0">
      <w:pPr>
        <w:ind w:right="-450" w:hanging="810"/>
        <w:rPr>
          <w:rFonts w:ascii="Times New Roman" w:hAnsi="Times New Roman" w:cs="Times New Roman"/>
          <w:bCs/>
          <w:sz w:val="28"/>
        </w:rPr>
      </w:pPr>
      <w:r w:rsidRPr="00DF2F94">
        <w:rPr>
          <w:rFonts w:ascii="Times New Roman" w:hAnsi="Times New Roman" w:cs="Times New Roman"/>
          <w:b/>
          <w:sz w:val="28"/>
        </w:rPr>
        <w:lastRenderedPageBreak/>
        <w:t>Sharma, A. (2016).</w:t>
      </w:r>
      <w:r w:rsidRPr="00DF2F94">
        <w:rPr>
          <w:rFonts w:ascii="Times New Roman" w:hAnsi="Times New Roman" w:cs="Times New Roman"/>
          <w:bCs/>
          <w:sz w:val="28"/>
        </w:rPr>
        <w:t xml:space="preserve"> </w:t>
      </w:r>
      <w:r w:rsidRPr="00AA4D8B">
        <w:rPr>
          <w:rFonts w:ascii="Times New Roman" w:hAnsi="Times New Roman" w:cs="Times New Roman"/>
          <w:bCs/>
          <w:sz w:val="28"/>
        </w:rPr>
        <w:t>Rural Credit in India: Status and Challenges.</w:t>
      </w:r>
      <w:r w:rsidRPr="00DF2F94">
        <w:rPr>
          <w:rFonts w:ascii="Times New Roman" w:hAnsi="Times New Roman" w:cs="Times New Roman"/>
          <w:bCs/>
          <w:sz w:val="28"/>
        </w:rPr>
        <w:t xml:space="preserve"> NABARD Occasional Paper Series.</w:t>
      </w:r>
    </w:p>
    <w:p w14:paraId="2F0C8A46" w14:textId="77DC891E" w:rsidR="00DF2F94" w:rsidRPr="00DF2F94" w:rsidRDefault="00DF2F94" w:rsidP="006D21A0">
      <w:pPr>
        <w:ind w:right="-450" w:hanging="810"/>
        <w:rPr>
          <w:rFonts w:ascii="Times New Roman" w:hAnsi="Times New Roman" w:cs="Times New Roman"/>
          <w:bCs/>
          <w:sz w:val="28"/>
        </w:rPr>
      </w:pPr>
      <w:r w:rsidRPr="00DF2F94">
        <w:rPr>
          <w:rFonts w:ascii="Times New Roman" w:hAnsi="Times New Roman" w:cs="Times New Roman"/>
          <w:b/>
          <w:sz w:val="28"/>
        </w:rPr>
        <w:t>Singh, R. et al. (2021).</w:t>
      </w:r>
      <w:r w:rsidRPr="00DF2F94">
        <w:rPr>
          <w:rFonts w:ascii="Times New Roman" w:hAnsi="Times New Roman" w:cs="Times New Roman"/>
          <w:bCs/>
          <w:sz w:val="28"/>
        </w:rPr>
        <w:t xml:space="preserve"> Farmer Producer Organizations in India: Challenges and Opportunities. </w:t>
      </w:r>
      <w:r w:rsidRPr="00DF2F94">
        <w:rPr>
          <w:rFonts w:ascii="Times New Roman" w:hAnsi="Times New Roman" w:cs="Times New Roman"/>
          <w:bCs/>
          <w:i/>
          <w:iCs/>
          <w:sz w:val="28"/>
        </w:rPr>
        <w:t>Agricultural Economics Research Review</w:t>
      </w:r>
      <w:r w:rsidRPr="00DF2F94">
        <w:rPr>
          <w:rFonts w:ascii="Times New Roman" w:hAnsi="Times New Roman" w:cs="Times New Roman"/>
          <w:bCs/>
          <w:sz w:val="28"/>
        </w:rPr>
        <w:t>.</w:t>
      </w:r>
    </w:p>
    <w:p w14:paraId="0F21700F" w14:textId="726BC58D" w:rsidR="00DF2F94" w:rsidRPr="00DF2F94" w:rsidRDefault="00DF2F94" w:rsidP="00DF2F94">
      <w:pPr>
        <w:ind w:right="-450" w:hanging="810"/>
        <w:rPr>
          <w:rFonts w:ascii="Times New Roman" w:hAnsi="Times New Roman" w:cs="Times New Roman"/>
          <w:bCs/>
          <w:sz w:val="28"/>
        </w:rPr>
      </w:pPr>
      <w:r w:rsidRPr="00DF2F94">
        <w:rPr>
          <w:rFonts w:ascii="Times New Roman" w:hAnsi="Times New Roman" w:cs="Times New Roman"/>
          <w:bCs/>
          <w:sz w:val="28"/>
        </w:rPr>
        <w:t xml:space="preserve"> </w:t>
      </w:r>
      <w:r w:rsidRPr="00DF2F94">
        <w:rPr>
          <w:rFonts w:ascii="Times New Roman" w:hAnsi="Times New Roman" w:cs="Times New Roman"/>
          <w:b/>
          <w:sz w:val="28"/>
        </w:rPr>
        <w:t>Warner, K. et al. (2022).</w:t>
      </w:r>
      <w:r w:rsidRPr="00DF2F94">
        <w:rPr>
          <w:rFonts w:ascii="Times New Roman" w:hAnsi="Times New Roman" w:cs="Times New Roman"/>
          <w:bCs/>
          <w:sz w:val="28"/>
        </w:rPr>
        <w:t xml:space="preserve"> Climate Information Services and Smallholder Agriculture. </w:t>
      </w:r>
      <w:r w:rsidRPr="00DF2F94">
        <w:rPr>
          <w:rFonts w:ascii="Times New Roman" w:hAnsi="Times New Roman" w:cs="Times New Roman"/>
          <w:bCs/>
          <w:i/>
          <w:iCs/>
          <w:sz w:val="28"/>
        </w:rPr>
        <w:t>Climate and Development Journal</w:t>
      </w:r>
      <w:r w:rsidRPr="00DF2F94">
        <w:rPr>
          <w:rFonts w:ascii="Times New Roman" w:hAnsi="Times New Roman" w:cs="Times New Roman"/>
          <w:bCs/>
          <w:sz w:val="28"/>
        </w:rPr>
        <w:t>.</w:t>
      </w:r>
    </w:p>
    <w:p w14:paraId="169E5379" w14:textId="642922CC" w:rsidR="00DF2F94" w:rsidRPr="00DF2F94" w:rsidRDefault="00DF2F94" w:rsidP="00DF2F94">
      <w:pPr>
        <w:ind w:right="-450" w:hanging="810"/>
        <w:rPr>
          <w:rFonts w:ascii="Times New Roman" w:hAnsi="Times New Roman" w:cs="Times New Roman"/>
          <w:bCs/>
          <w:sz w:val="28"/>
        </w:rPr>
      </w:pPr>
      <w:r w:rsidRPr="00DF2F94">
        <w:rPr>
          <w:rFonts w:ascii="Times New Roman" w:hAnsi="Times New Roman" w:cs="Times New Roman"/>
          <w:b/>
          <w:sz w:val="28"/>
        </w:rPr>
        <w:t>World Bank. (2020).</w:t>
      </w:r>
      <w:r w:rsidRPr="00DF2F94">
        <w:rPr>
          <w:rFonts w:ascii="Times New Roman" w:hAnsi="Times New Roman" w:cs="Times New Roman"/>
          <w:bCs/>
          <w:sz w:val="28"/>
        </w:rPr>
        <w:t xml:space="preserve"> </w:t>
      </w:r>
      <w:r w:rsidRPr="00DF2F94">
        <w:rPr>
          <w:rFonts w:ascii="Times New Roman" w:hAnsi="Times New Roman" w:cs="Times New Roman"/>
          <w:bCs/>
          <w:i/>
          <w:iCs/>
          <w:sz w:val="28"/>
        </w:rPr>
        <w:t>Agricultural Extension Services: Global Review and Recommendations</w:t>
      </w:r>
      <w:r w:rsidRPr="00DF2F94">
        <w:rPr>
          <w:rFonts w:ascii="Times New Roman" w:hAnsi="Times New Roman" w:cs="Times New Roman"/>
          <w:bCs/>
          <w:sz w:val="28"/>
        </w:rPr>
        <w:t>. Washington DC: World Bank Publications.</w:t>
      </w:r>
    </w:p>
    <w:p w14:paraId="52F50712" w14:textId="723B7232" w:rsidR="00DF2F94" w:rsidRPr="00DF2F94" w:rsidRDefault="00DF2F94" w:rsidP="00DF2F94">
      <w:pPr>
        <w:ind w:right="-450" w:hanging="810"/>
        <w:rPr>
          <w:rFonts w:ascii="Times New Roman" w:hAnsi="Times New Roman" w:cs="Times New Roman"/>
          <w:bCs/>
          <w:sz w:val="28"/>
        </w:rPr>
      </w:pPr>
      <w:r w:rsidRPr="00DF2F94">
        <w:rPr>
          <w:rFonts w:ascii="Times New Roman" w:hAnsi="Times New Roman" w:cs="Times New Roman"/>
          <w:bCs/>
          <w:sz w:val="28"/>
        </w:rPr>
        <w:t xml:space="preserve"> </w:t>
      </w:r>
    </w:p>
    <w:p w14:paraId="1D1D2DA2" w14:textId="2DFCC655" w:rsidR="00DF2F94" w:rsidRPr="00DF2F94" w:rsidRDefault="00DF2F94" w:rsidP="00DF2F94">
      <w:pPr>
        <w:ind w:right="-450" w:hanging="810"/>
        <w:rPr>
          <w:rFonts w:ascii="Times New Roman" w:hAnsi="Times New Roman" w:cs="Times New Roman"/>
          <w:bCs/>
          <w:sz w:val="28"/>
        </w:rPr>
      </w:pPr>
      <w:r w:rsidRPr="00DF2F94">
        <w:rPr>
          <w:rFonts w:ascii="Times New Roman" w:hAnsi="Times New Roman" w:cs="Times New Roman"/>
          <w:b/>
          <w:sz w:val="28"/>
        </w:rPr>
        <w:t xml:space="preserve"> </w:t>
      </w:r>
    </w:p>
    <w:p w14:paraId="3539A971" w14:textId="77777777" w:rsidR="00DF2F94" w:rsidRPr="00DF2F94" w:rsidRDefault="00DF2F94" w:rsidP="00DF2F94">
      <w:pPr>
        <w:ind w:right="-450" w:hanging="810"/>
        <w:rPr>
          <w:rFonts w:ascii="Times New Roman" w:hAnsi="Times New Roman" w:cs="Times New Roman"/>
          <w:bCs/>
          <w:sz w:val="28"/>
        </w:rPr>
      </w:pPr>
    </w:p>
    <w:sectPr w:rsidR="00DF2F94" w:rsidRPr="00DF2F94" w:rsidSect="00F672E3">
      <w:headerReference w:type="even" r:id="rId8"/>
      <w:headerReference w:type="default" r:id="rId9"/>
      <w:footerReference w:type="even" r:id="rId10"/>
      <w:footerReference w:type="default" r:id="rId11"/>
      <w:headerReference w:type="first" r:id="rId12"/>
      <w:footerReference w:type="first" r:id="rId13"/>
      <w:pgSz w:w="12240" w:h="15840"/>
      <w:pgMar w:top="810" w:right="126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1B9E8" w14:textId="77777777" w:rsidR="00AA33F7" w:rsidRDefault="00AA33F7" w:rsidP="002E1745">
      <w:pPr>
        <w:spacing w:after="0" w:line="240" w:lineRule="auto"/>
      </w:pPr>
      <w:r>
        <w:separator/>
      </w:r>
    </w:p>
  </w:endnote>
  <w:endnote w:type="continuationSeparator" w:id="0">
    <w:p w14:paraId="4D950B84" w14:textId="77777777" w:rsidR="00AA33F7" w:rsidRDefault="00AA33F7" w:rsidP="002E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FB5E" w14:textId="77777777" w:rsidR="002E1745" w:rsidRDefault="002E1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2C81" w14:textId="77777777" w:rsidR="002E1745" w:rsidRDefault="002E1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5B2F" w14:textId="77777777" w:rsidR="002E1745" w:rsidRDefault="002E1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0057C" w14:textId="77777777" w:rsidR="00AA33F7" w:rsidRDefault="00AA33F7" w:rsidP="002E1745">
      <w:pPr>
        <w:spacing w:after="0" w:line="240" w:lineRule="auto"/>
      </w:pPr>
      <w:r>
        <w:separator/>
      </w:r>
    </w:p>
  </w:footnote>
  <w:footnote w:type="continuationSeparator" w:id="0">
    <w:p w14:paraId="77715EF4" w14:textId="77777777" w:rsidR="00AA33F7" w:rsidRDefault="00AA33F7" w:rsidP="002E1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4808" w14:textId="515DE99D" w:rsidR="002E1745" w:rsidRDefault="002E1745">
    <w:pPr>
      <w:pStyle w:val="Header"/>
    </w:pPr>
    <w:r>
      <w:rPr>
        <w:noProof/>
      </w:rPr>
      <w:pict w14:anchorId="3664B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256938"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297D" w14:textId="7D39FBDA" w:rsidR="002E1745" w:rsidRDefault="002E1745">
    <w:pPr>
      <w:pStyle w:val="Header"/>
    </w:pPr>
    <w:r>
      <w:rPr>
        <w:noProof/>
      </w:rPr>
      <w:pict w14:anchorId="61C5D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256939"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6F78" w14:textId="3781391F" w:rsidR="002E1745" w:rsidRDefault="002E1745">
    <w:pPr>
      <w:pStyle w:val="Header"/>
    </w:pPr>
    <w:r>
      <w:rPr>
        <w:noProof/>
      </w:rPr>
      <w:pict w14:anchorId="2E817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256937"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4548B"/>
    <w:multiLevelType w:val="hybridMultilevel"/>
    <w:tmpl w:val="C00ADCEC"/>
    <w:lvl w:ilvl="0" w:tplc="25882D7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AA7E1D"/>
    <w:multiLevelType w:val="multilevel"/>
    <w:tmpl w:val="DC8696D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34E3ECD"/>
    <w:multiLevelType w:val="hybridMultilevel"/>
    <w:tmpl w:val="01DE0CB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2E3"/>
    <w:rsid w:val="0008612D"/>
    <w:rsid w:val="001F45F4"/>
    <w:rsid w:val="00215CB0"/>
    <w:rsid w:val="00282FC1"/>
    <w:rsid w:val="002E1745"/>
    <w:rsid w:val="004455CB"/>
    <w:rsid w:val="004630D0"/>
    <w:rsid w:val="0054241C"/>
    <w:rsid w:val="00545FCA"/>
    <w:rsid w:val="005A79A5"/>
    <w:rsid w:val="00694E0B"/>
    <w:rsid w:val="006D21A0"/>
    <w:rsid w:val="006F1955"/>
    <w:rsid w:val="009432BE"/>
    <w:rsid w:val="00AA33F7"/>
    <w:rsid w:val="00AA4D8B"/>
    <w:rsid w:val="00AE3B11"/>
    <w:rsid w:val="00B423E3"/>
    <w:rsid w:val="00B958BA"/>
    <w:rsid w:val="00C24131"/>
    <w:rsid w:val="00C52AF8"/>
    <w:rsid w:val="00D7794C"/>
    <w:rsid w:val="00D77C94"/>
    <w:rsid w:val="00DF2F94"/>
    <w:rsid w:val="00EC4A89"/>
    <w:rsid w:val="00ED037C"/>
    <w:rsid w:val="00F672E3"/>
    <w:rsid w:val="00F7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272F5"/>
  <w15:docId w15:val="{11F66ECA-0910-4BF7-BB89-E594581B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2E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67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2E3"/>
    <w:rPr>
      <w:rFonts w:eastAsiaTheme="majorEastAsia" w:cstheme="majorBidi"/>
      <w:color w:val="272727" w:themeColor="text1" w:themeTint="D8"/>
    </w:rPr>
  </w:style>
  <w:style w:type="paragraph" w:styleId="Title">
    <w:name w:val="Title"/>
    <w:basedOn w:val="Normal"/>
    <w:next w:val="Normal"/>
    <w:link w:val="TitleChar"/>
    <w:uiPriority w:val="10"/>
    <w:qFormat/>
    <w:rsid w:val="00F67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2E3"/>
    <w:pPr>
      <w:spacing w:before="160"/>
      <w:jc w:val="center"/>
    </w:pPr>
    <w:rPr>
      <w:i/>
      <w:iCs/>
      <w:color w:val="404040" w:themeColor="text1" w:themeTint="BF"/>
    </w:rPr>
  </w:style>
  <w:style w:type="character" w:customStyle="1" w:styleId="QuoteChar">
    <w:name w:val="Quote Char"/>
    <w:basedOn w:val="DefaultParagraphFont"/>
    <w:link w:val="Quote"/>
    <w:uiPriority w:val="29"/>
    <w:rsid w:val="00F672E3"/>
    <w:rPr>
      <w:i/>
      <w:iCs/>
      <w:color w:val="404040" w:themeColor="text1" w:themeTint="BF"/>
    </w:rPr>
  </w:style>
  <w:style w:type="paragraph" w:styleId="ListParagraph">
    <w:name w:val="List Paragraph"/>
    <w:basedOn w:val="Normal"/>
    <w:uiPriority w:val="34"/>
    <w:qFormat/>
    <w:rsid w:val="00F672E3"/>
    <w:pPr>
      <w:ind w:left="720"/>
      <w:contextualSpacing/>
    </w:pPr>
  </w:style>
  <w:style w:type="character" w:styleId="IntenseEmphasis">
    <w:name w:val="Intense Emphasis"/>
    <w:basedOn w:val="DefaultParagraphFont"/>
    <w:uiPriority w:val="21"/>
    <w:qFormat/>
    <w:rsid w:val="00F672E3"/>
    <w:rPr>
      <w:i/>
      <w:iCs/>
      <w:color w:val="2F5496" w:themeColor="accent1" w:themeShade="BF"/>
    </w:rPr>
  </w:style>
  <w:style w:type="paragraph" w:styleId="IntenseQuote">
    <w:name w:val="Intense Quote"/>
    <w:basedOn w:val="Normal"/>
    <w:next w:val="Normal"/>
    <w:link w:val="IntenseQuoteChar"/>
    <w:uiPriority w:val="30"/>
    <w:qFormat/>
    <w:rsid w:val="00F67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2E3"/>
    <w:rPr>
      <w:i/>
      <w:iCs/>
      <w:color w:val="2F5496" w:themeColor="accent1" w:themeShade="BF"/>
    </w:rPr>
  </w:style>
  <w:style w:type="character" w:styleId="IntenseReference">
    <w:name w:val="Intense Reference"/>
    <w:basedOn w:val="DefaultParagraphFont"/>
    <w:uiPriority w:val="32"/>
    <w:qFormat/>
    <w:rsid w:val="00F672E3"/>
    <w:rPr>
      <w:b/>
      <w:bCs/>
      <w:smallCaps/>
      <w:color w:val="2F5496" w:themeColor="accent1" w:themeShade="BF"/>
      <w:spacing w:val="5"/>
    </w:rPr>
  </w:style>
  <w:style w:type="table" w:styleId="TableGrid">
    <w:name w:val="Table Grid"/>
    <w:basedOn w:val="TableNormal"/>
    <w:uiPriority w:val="39"/>
    <w:rsid w:val="00F672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72E3"/>
    <w:pPr>
      <w:spacing w:after="0" w:line="240" w:lineRule="auto"/>
    </w:pPr>
    <w:rPr>
      <w:kern w:val="0"/>
      <w:sz w:val="22"/>
      <w:szCs w:val="22"/>
      <w14:ligatures w14:val="none"/>
    </w:rPr>
  </w:style>
  <w:style w:type="paragraph" w:styleId="NormalWeb">
    <w:name w:val="Normal (Web)"/>
    <w:basedOn w:val="Normal"/>
    <w:uiPriority w:val="99"/>
    <w:unhideWhenUsed/>
    <w:rsid w:val="00F672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8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FC1"/>
    <w:rPr>
      <w:rFonts w:ascii="Tahoma" w:hAnsi="Tahoma" w:cs="Tahoma"/>
      <w:kern w:val="0"/>
      <w:sz w:val="16"/>
      <w:szCs w:val="16"/>
      <w14:ligatures w14:val="none"/>
    </w:rPr>
  </w:style>
  <w:style w:type="paragraph" w:customStyle="1" w:styleId="Author">
    <w:name w:val="Author"/>
    <w:basedOn w:val="Normal"/>
    <w:rsid w:val="00694E0B"/>
    <w:pPr>
      <w:spacing w:after="0" w:line="280" w:lineRule="exact"/>
      <w:jc w:val="right"/>
    </w:pPr>
    <w:rPr>
      <w:rFonts w:ascii="Helvetica" w:eastAsia="Times New Roman" w:hAnsi="Helvetica" w:cs="Times New Roman"/>
      <w:b/>
      <w:sz w:val="24"/>
      <w:szCs w:val="20"/>
    </w:rPr>
  </w:style>
  <w:style w:type="character" w:styleId="Hyperlink">
    <w:name w:val="Hyperlink"/>
    <w:basedOn w:val="DefaultParagraphFont"/>
    <w:uiPriority w:val="99"/>
    <w:unhideWhenUsed/>
    <w:rsid w:val="00D7794C"/>
    <w:rPr>
      <w:color w:val="0563C1" w:themeColor="hyperlink"/>
      <w:u w:val="single"/>
    </w:rPr>
  </w:style>
  <w:style w:type="character" w:styleId="UnresolvedMention">
    <w:name w:val="Unresolved Mention"/>
    <w:basedOn w:val="DefaultParagraphFont"/>
    <w:uiPriority w:val="99"/>
    <w:semiHidden/>
    <w:unhideWhenUsed/>
    <w:rsid w:val="00D7794C"/>
    <w:rPr>
      <w:color w:val="605E5C"/>
      <w:shd w:val="clear" w:color="auto" w:fill="E1DFDD"/>
    </w:rPr>
  </w:style>
  <w:style w:type="paragraph" w:styleId="Header">
    <w:name w:val="header"/>
    <w:basedOn w:val="Normal"/>
    <w:link w:val="HeaderChar"/>
    <w:uiPriority w:val="99"/>
    <w:unhideWhenUsed/>
    <w:rsid w:val="002E1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745"/>
    <w:rPr>
      <w:kern w:val="0"/>
      <w:sz w:val="22"/>
      <w:szCs w:val="22"/>
      <w14:ligatures w14:val="none"/>
    </w:rPr>
  </w:style>
  <w:style w:type="paragraph" w:styleId="Footer">
    <w:name w:val="footer"/>
    <w:basedOn w:val="Normal"/>
    <w:link w:val="FooterChar"/>
    <w:uiPriority w:val="99"/>
    <w:unhideWhenUsed/>
    <w:rsid w:val="002E1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74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1980">
      <w:bodyDiv w:val="1"/>
      <w:marLeft w:val="0"/>
      <w:marRight w:val="0"/>
      <w:marTop w:val="0"/>
      <w:marBottom w:val="0"/>
      <w:divBdr>
        <w:top w:val="none" w:sz="0" w:space="0" w:color="auto"/>
        <w:left w:val="none" w:sz="0" w:space="0" w:color="auto"/>
        <w:bottom w:val="none" w:sz="0" w:space="0" w:color="auto"/>
        <w:right w:val="none" w:sz="0" w:space="0" w:color="auto"/>
      </w:divBdr>
      <w:divsChild>
        <w:div w:id="1996715870">
          <w:marLeft w:val="0"/>
          <w:marRight w:val="0"/>
          <w:marTop w:val="0"/>
          <w:marBottom w:val="0"/>
          <w:divBdr>
            <w:top w:val="none" w:sz="0" w:space="0" w:color="auto"/>
            <w:left w:val="none" w:sz="0" w:space="0" w:color="auto"/>
            <w:bottom w:val="none" w:sz="0" w:space="0" w:color="auto"/>
            <w:right w:val="none" w:sz="0" w:space="0" w:color="auto"/>
          </w:divBdr>
          <w:divsChild>
            <w:div w:id="668869170">
              <w:marLeft w:val="0"/>
              <w:marRight w:val="0"/>
              <w:marTop w:val="0"/>
              <w:marBottom w:val="0"/>
              <w:divBdr>
                <w:top w:val="none" w:sz="0" w:space="0" w:color="auto"/>
                <w:left w:val="none" w:sz="0" w:space="0" w:color="auto"/>
                <w:bottom w:val="none" w:sz="0" w:space="0" w:color="auto"/>
                <w:right w:val="none" w:sz="0" w:space="0" w:color="auto"/>
              </w:divBdr>
              <w:divsChild>
                <w:div w:id="856700763">
                  <w:marLeft w:val="0"/>
                  <w:marRight w:val="0"/>
                  <w:marTop w:val="0"/>
                  <w:marBottom w:val="0"/>
                  <w:divBdr>
                    <w:top w:val="none" w:sz="0" w:space="0" w:color="auto"/>
                    <w:left w:val="none" w:sz="0" w:space="0" w:color="auto"/>
                    <w:bottom w:val="none" w:sz="0" w:space="0" w:color="auto"/>
                    <w:right w:val="none" w:sz="0" w:space="0" w:color="auto"/>
                  </w:divBdr>
                  <w:divsChild>
                    <w:div w:id="7696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2045">
      <w:bodyDiv w:val="1"/>
      <w:marLeft w:val="0"/>
      <w:marRight w:val="0"/>
      <w:marTop w:val="0"/>
      <w:marBottom w:val="0"/>
      <w:divBdr>
        <w:top w:val="none" w:sz="0" w:space="0" w:color="auto"/>
        <w:left w:val="none" w:sz="0" w:space="0" w:color="auto"/>
        <w:bottom w:val="none" w:sz="0" w:space="0" w:color="auto"/>
        <w:right w:val="none" w:sz="0" w:space="0" w:color="auto"/>
      </w:divBdr>
    </w:div>
    <w:div w:id="216742417">
      <w:bodyDiv w:val="1"/>
      <w:marLeft w:val="0"/>
      <w:marRight w:val="0"/>
      <w:marTop w:val="0"/>
      <w:marBottom w:val="0"/>
      <w:divBdr>
        <w:top w:val="none" w:sz="0" w:space="0" w:color="auto"/>
        <w:left w:val="none" w:sz="0" w:space="0" w:color="auto"/>
        <w:bottom w:val="none" w:sz="0" w:space="0" w:color="auto"/>
        <w:right w:val="none" w:sz="0" w:space="0" w:color="auto"/>
      </w:divBdr>
    </w:div>
    <w:div w:id="332728626">
      <w:bodyDiv w:val="1"/>
      <w:marLeft w:val="0"/>
      <w:marRight w:val="0"/>
      <w:marTop w:val="0"/>
      <w:marBottom w:val="0"/>
      <w:divBdr>
        <w:top w:val="none" w:sz="0" w:space="0" w:color="auto"/>
        <w:left w:val="none" w:sz="0" w:space="0" w:color="auto"/>
        <w:bottom w:val="none" w:sz="0" w:space="0" w:color="auto"/>
        <w:right w:val="none" w:sz="0" w:space="0" w:color="auto"/>
      </w:divBdr>
    </w:div>
    <w:div w:id="376055395">
      <w:bodyDiv w:val="1"/>
      <w:marLeft w:val="0"/>
      <w:marRight w:val="0"/>
      <w:marTop w:val="0"/>
      <w:marBottom w:val="0"/>
      <w:divBdr>
        <w:top w:val="none" w:sz="0" w:space="0" w:color="auto"/>
        <w:left w:val="none" w:sz="0" w:space="0" w:color="auto"/>
        <w:bottom w:val="none" w:sz="0" w:space="0" w:color="auto"/>
        <w:right w:val="none" w:sz="0" w:space="0" w:color="auto"/>
      </w:divBdr>
    </w:div>
    <w:div w:id="578289788">
      <w:bodyDiv w:val="1"/>
      <w:marLeft w:val="0"/>
      <w:marRight w:val="0"/>
      <w:marTop w:val="0"/>
      <w:marBottom w:val="0"/>
      <w:divBdr>
        <w:top w:val="none" w:sz="0" w:space="0" w:color="auto"/>
        <w:left w:val="none" w:sz="0" w:space="0" w:color="auto"/>
        <w:bottom w:val="none" w:sz="0" w:space="0" w:color="auto"/>
        <w:right w:val="none" w:sz="0" w:space="0" w:color="auto"/>
      </w:divBdr>
    </w:div>
    <w:div w:id="625357756">
      <w:bodyDiv w:val="1"/>
      <w:marLeft w:val="0"/>
      <w:marRight w:val="0"/>
      <w:marTop w:val="0"/>
      <w:marBottom w:val="0"/>
      <w:divBdr>
        <w:top w:val="none" w:sz="0" w:space="0" w:color="auto"/>
        <w:left w:val="none" w:sz="0" w:space="0" w:color="auto"/>
        <w:bottom w:val="none" w:sz="0" w:space="0" w:color="auto"/>
        <w:right w:val="none" w:sz="0" w:space="0" w:color="auto"/>
      </w:divBdr>
    </w:div>
    <w:div w:id="683173781">
      <w:bodyDiv w:val="1"/>
      <w:marLeft w:val="0"/>
      <w:marRight w:val="0"/>
      <w:marTop w:val="0"/>
      <w:marBottom w:val="0"/>
      <w:divBdr>
        <w:top w:val="none" w:sz="0" w:space="0" w:color="auto"/>
        <w:left w:val="none" w:sz="0" w:space="0" w:color="auto"/>
        <w:bottom w:val="none" w:sz="0" w:space="0" w:color="auto"/>
        <w:right w:val="none" w:sz="0" w:space="0" w:color="auto"/>
      </w:divBdr>
      <w:divsChild>
        <w:div w:id="957834161">
          <w:marLeft w:val="0"/>
          <w:marRight w:val="0"/>
          <w:marTop w:val="0"/>
          <w:marBottom w:val="0"/>
          <w:divBdr>
            <w:top w:val="none" w:sz="0" w:space="0" w:color="auto"/>
            <w:left w:val="none" w:sz="0" w:space="0" w:color="auto"/>
            <w:bottom w:val="none" w:sz="0" w:space="0" w:color="auto"/>
            <w:right w:val="none" w:sz="0" w:space="0" w:color="auto"/>
          </w:divBdr>
          <w:divsChild>
            <w:div w:id="903880230">
              <w:marLeft w:val="0"/>
              <w:marRight w:val="0"/>
              <w:marTop w:val="0"/>
              <w:marBottom w:val="0"/>
              <w:divBdr>
                <w:top w:val="none" w:sz="0" w:space="0" w:color="auto"/>
                <w:left w:val="none" w:sz="0" w:space="0" w:color="auto"/>
                <w:bottom w:val="none" w:sz="0" w:space="0" w:color="auto"/>
                <w:right w:val="none" w:sz="0" w:space="0" w:color="auto"/>
              </w:divBdr>
              <w:divsChild>
                <w:div w:id="1213733821">
                  <w:marLeft w:val="0"/>
                  <w:marRight w:val="0"/>
                  <w:marTop w:val="0"/>
                  <w:marBottom w:val="0"/>
                  <w:divBdr>
                    <w:top w:val="none" w:sz="0" w:space="0" w:color="auto"/>
                    <w:left w:val="none" w:sz="0" w:space="0" w:color="auto"/>
                    <w:bottom w:val="none" w:sz="0" w:space="0" w:color="auto"/>
                    <w:right w:val="none" w:sz="0" w:space="0" w:color="auto"/>
                  </w:divBdr>
                  <w:divsChild>
                    <w:div w:id="53361053">
                      <w:marLeft w:val="0"/>
                      <w:marRight w:val="0"/>
                      <w:marTop w:val="0"/>
                      <w:marBottom w:val="0"/>
                      <w:divBdr>
                        <w:top w:val="none" w:sz="0" w:space="0" w:color="auto"/>
                        <w:left w:val="none" w:sz="0" w:space="0" w:color="auto"/>
                        <w:bottom w:val="none" w:sz="0" w:space="0" w:color="auto"/>
                        <w:right w:val="none" w:sz="0" w:space="0" w:color="auto"/>
                      </w:divBdr>
                      <w:divsChild>
                        <w:div w:id="1275674682">
                          <w:marLeft w:val="0"/>
                          <w:marRight w:val="0"/>
                          <w:marTop w:val="0"/>
                          <w:marBottom w:val="0"/>
                          <w:divBdr>
                            <w:top w:val="none" w:sz="0" w:space="0" w:color="auto"/>
                            <w:left w:val="none" w:sz="0" w:space="0" w:color="auto"/>
                            <w:bottom w:val="none" w:sz="0" w:space="0" w:color="auto"/>
                            <w:right w:val="none" w:sz="0" w:space="0" w:color="auto"/>
                          </w:divBdr>
                          <w:divsChild>
                            <w:div w:id="314533297">
                              <w:marLeft w:val="0"/>
                              <w:marRight w:val="0"/>
                              <w:marTop w:val="0"/>
                              <w:marBottom w:val="0"/>
                              <w:divBdr>
                                <w:top w:val="none" w:sz="0" w:space="0" w:color="auto"/>
                                <w:left w:val="none" w:sz="0" w:space="0" w:color="auto"/>
                                <w:bottom w:val="none" w:sz="0" w:space="0" w:color="auto"/>
                                <w:right w:val="none" w:sz="0" w:space="0" w:color="auto"/>
                              </w:divBdr>
                              <w:divsChild>
                                <w:div w:id="127012852">
                                  <w:marLeft w:val="0"/>
                                  <w:marRight w:val="0"/>
                                  <w:marTop w:val="0"/>
                                  <w:marBottom w:val="0"/>
                                  <w:divBdr>
                                    <w:top w:val="none" w:sz="0" w:space="0" w:color="auto"/>
                                    <w:left w:val="none" w:sz="0" w:space="0" w:color="auto"/>
                                    <w:bottom w:val="none" w:sz="0" w:space="0" w:color="auto"/>
                                    <w:right w:val="none" w:sz="0" w:space="0" w:color="auto"/>
                                  </w:divBdr>
                                  <w:divsChild>
                                    <w:div w:id="10557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90928">
                      <w:marLeft w:val="0"/>
                      <w:marRight w:val="0"/>
                      <w:marTop w:val="0"/>
                      <w:marBottom w:val="0"/>
                      <w:divBdr>
                        <w:top w:val="none" w:sz="0" w:space="0" w:color="auto"/>
                        <w:left w:val="none" w:sz="0" w:space="0" w:color="auto"/>
                        <w:bottom w:val="none" w:sz="0" w:space="0" w:color="auto"/>
                        <w:right w:val="none" w:sz="0" w:space="0" w:color="auto"/>
                      </w:divBdr>
                      <w:divsChild>
                        <w:div w:id="14436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887699">
      <w:bodyDiv w:val="1"/>
      <w:marLeft w:val="0"/>
      <w:marRight w:val="0"/>
      <w:marTop w:val="0"/>
      <w:marBottom w:val="0"/>
      <w:divBdr>
        <w:top w:val="none" w:sz="0" w:space="0" w:color="auto"/>
        <w:left w:val="none" w:sz="0" w:space="0" w:color="auto"/>
        <w:bottom w:val="none" w:sz="0" w:space="0" w:color="auto"/>
        <w:right w:val="none" w:sz="0" w:space="0" w:color="auto"/>
      </w:divBdr>
    </w:div>
    <w:div w:id="755907418">
      <w:bodyDiv w:val="1"/>
      <w:marLeft w:val="0"/>
      <w:marRight w:val="0"/>
      <w:marTop w:val="0"/>
      <w:marBottom w:val="0"/>
      <w:divBdr>
        <w:top w:val="none" w:sz="0" w:space="0" w:color="auto"/>
        <w:left w:val="none" w:sz="0" w:space="0" w:color="auto"/>
        <w:bottom w:val="none" w:sz="0" w:space="0" w:color="auto"/>
        <w:right w:val="none" w:sz="0" w:space="0" w:color="auto"/>
      </w:divBdr>
    </w:div>
    <w:div w:id="869948805">
      <w:bodyDiv w:val="1"/>
      <w:marLeft w:val="0"/>
      <w:marRight w:val="0"/>
      <w:marTop w:val="0"/>
      <w:marBottom w:val="0"/>
      <w:divBdr>
        <w:top w:val="none" w:sz="0" w:space="0" w:color="auto"/>
        <w:left w:val="none" w:sz="0" w:space="0" w:color="auto"/>
        <w:bottom w:val="none" w:sz="0" w:space="0" w:color="auto"/>
        <w:right w:val="none" w:sz="0" w:space="0" w:color="auto"/>
      </w:divBdr>
    </w:div>
    <w:div w:id="985008023">
      <w:bodyDiv w:val="1"/>
      <w:marLeft w:val="0"/>
      <w:marRight w:val="0"/>
      <w:marTop w:val="0"/>
      <w:marBottom w:val="0"/>
      <w:divBdr>
        <w:top w:val="none" w:sz="0" w:space="0" w:color="auto"/>
        <w:left w:val="none" w:sz="0" w:space="0" w:color="auto"/>
        <w:bottom w:val="none" w:sz="0" w:space="0" w:color="auto"/>
        <w:right w:val="none" w:sz="0" w:space="0" w:color="auto"/>
      </w:divBdr>
      <w:divsChild>
        <w:div w:id="1017318132">
          <w:marLeft w:val="0"/>
          <w:marRight w:val="0"/>
          <w:marTop w:val="0"/>
          <w:marBottom w:val="0"/>
          <w:divBdr>
            <w:top w:val="none" w:sz="0" w:space="0" w:color="auto"/>
            <w:left w:val="none" w:sz="0" w:space="0" w:color="auto"/>
            <w:bottom w:val="none" w:sz="0" w:space="0" w:color="auto"/>
            <w:right w:val="none" w:sz="0" w:space="0" w:color="auto"/>
          </w:divBdr>
          <w:divsChild>
            <w:div w:id="467161982">
              <w:marLeft w:val="0"/>
              <w:marRight w:val="0"/>
              <w:marTop w:val="0"/>
              <w:marBottom w:val="0"/>
              <w:divBdr>
                <w:top w:val="none" w:sz="0" w:space="0" w:color="auto"/>
                <w:left w:val="none" w:sz="0" w:space="0" w:color="auto"/>
                <w:bottom w:val="none" w:sz="0" w:space="0" w:color="auto"/>
                <w:right w:val="none" w:sz="0" w:space="0" w:color="auto"/>
              </w:divBdr>
              <w:divsChild>
                <w:div w:id="1036733199">
                  <w:marLeft w:val="0"/>
                  <w:marRight w:val="0"/>
                  <w:marTop w:val="0"/>
                  <w:marBottom w:val="0"/>
                  <w:divBdr>
                    <w:top w:val="none" w:sz="0" w:space="0" w:color="auto"/>
                    <w:left w:val="none" w:sz="0" w:space="0" w:color="auto"/>
                    <w:bottom w:val="none" w:sz="0" w:space="0" w:color="auto"/>
                    <w:right w:val="none" w:sz="0" w:space="0" w:color="auto"/>
                  </w:divBdr>
                  <w:divsChild>
                    <w:div w:id="1199008554">
                      <w:marLeft w:val="0"/>
                      <w:marRight w:val="0"/>
                      <w:marTop w:val="0"/>
                      <w:marBottom w:val="0"/>
                      <w:divBdr>
                        <w:top w:val="none" w:sz="0" w:space="0" w:color="auto"/>
                        <w:left w:val="none" w:sz="0" w:space="0" w:color="auto"/>
                        <w:bottom w:val="none" w:sz="0" w:space="0" w:color="auto"/>
                        <w:right w:val="none" w:sz="0" w:space="0" w:color="auto"/>
                      </w:divBdr>
                      <w:divsChild>
                        <w:div w:id="77605299">
                          <w:marLeft w:val="0"/>
                          <w:marRight w:val="0"/>
                          <w:marTop w:val="0"/>
                          <w:marBottom w:val="0"/>
                          <w:divBdr>
                            <w:top w:val="none" w:sz="0" w:space="0" w:color="auto"/>
                            <w:left w:val="none" w:sz="0" w:space="0" w:color="auto"/>
                            <w:bottom w:val="none" w:sz="0" w:space="0" w:color="auto"/>
                            <w:right w:val="none" w:sz="0" w:space="0" w:color="auto"/>
                          </w:divBdr>
                          <w:divsChild>
                            <w:div w:id="682125990">
                              <w:marLeft w:val="0"/>
                              <w:marRight w:val="0"/>
                              <w:marTop w:val="0"/>
                              <w:marBottom w:val="0"/>
                              <w:divBdr>
                                <w:top w:val="none" w:sz="0" w:space="0" w:color="auto"/>
                                <w:left w:val="none" w:sz="0" w:space="0" w:color="auto"/>
                                <w:bottom w:val="none" w:sz="0" w:space="0" w:color="auto"/>
                                <w:right w:val="none" w:sz="0" w:space="0" w:color="auto"/>
                              </w:divBdr>
                              <w:divsChild>
                                <w:div w:id="1349451837">
                                  <w:marLeft w:val="0"/>
                                  <w:marRight w:val="0"/>
                                  <w:marTop w:val="0"/>
                                  <w:marBottom w:val="0"/>
                                  <w:divBdr>
                                    <w:top w:val="none" w:sz="0" w:space="0" w:color="auto"/>
                                    <w:left w:val="none" w:sz="0" w:space="0" w:color="auto"/>
                                    <w:bottom w:val="none" w:sz="0" w:space="0" w:color="auto"/>
                                    <w:right w:val="none" w:sz="0" w:space="0" w:color="auto"/>
                                  </w:divBdr>
                                  <w:divsChild>
                                    <w:div w:id="15205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3166">
                      <w:marLeft w:val="0"/>
                      <w:marRight w:val="0"/>
                      <w:marTop w:val="0"/>
                      <w:marBottom w:val="0"/>
                      <w:divBdr>
                        <w:top w:val="none" w:sz="0" w:space="0" w:color="auto"/>
                        <w:left w:val="none" w:sz="0" w:space="0" w:color="auto"/>
                        <w:bottom w:val="none" w:sz="0" w:space="0" w:color="auto"/>
                        <w:right w:val="none" w:sz="0" w:space="0" w:color="auto"/>
                      </w:divBdr>
                      <w:divsChild>
                        <w:div w:id="13028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86637">
      <w:bodyDiv w:val="1"/>
      <w:marLeft w:val="0"/>
      <w:marRight w:val="0"/>
      <w:marTop w:val="0"/>
      <w:marBottom w:val="0"/>
      <w:divBdr>
        <w:top w:val="none" w:sz="0" w:space="0" w:color="auto"/>
        <w:left w:val="none" w:sz="0" w:space="0" w:color="auto"/>
        <w:bottom w:val="none" w:sz="0" w:space="0" w:color="auto"/>
        <w:right w:val="none" w:sz="0" w:space="0" w:color="auto"/>
      </w:divBdr>
      <w:divsChild>
        <w:div w:id="1191992645">
          <w:marLeft w:val="0"/>
          <w:marRight w:val="0"/>
          <w:marTop w:val="0"/>
          <w:marBottom w:val="0"/>
          <w:divBdr>
            <w:top w:val="none" w:sz="0" w:space="0" w:color="auto"/>
            <w:left w:val="none" w:sz="0" w:space="0" w:color="auto"/>
            <w:bottom w:val="none" w:sz="0" w:space="0" w:color="auto"/>
            <w:right w:val="none" w:sz="0" w:space="0" w:color="auto"/>
          </w:divBdr>
          <w:divsChild>
            <w:div w:id="514224428">
              <w:marLeft w:val="0"/>
              <w:marRight w:val="0"/>
              <w:marTop w:val="0"/>
              <w:marBottom w:val="0"/>
              <w:divBdr>
                <w:top w:val="none" w:sz="0" w:space="0" w:color="auto"/>
                <w:left w:val="none" w:sz="0" w:space="0" w:color="auto"/>
                <w:bottom w:val="none" w:sz="0" w:space="0" w:color="auto"/>
                <w:right w:val="none" w:sz="0" w:space="0" w:color="auto"/>
              </w:divBdr>
              <w:divsChild>
                <w:div w:id="1343511582">
                  <w:marLeft w:val="0"/>
                  <w:marRight w:val="0"/>
                  <w:marTop w:val="0"/>
                  <w:marBottom w:val="0"/>
                  <w:divBdr>
                    <w:top w:val="none" w:sz="0" w:space="0" w:color="auto"/>
                    <w:left w:val="none" w:sz="0" w:space="0" w:color="auto"/>
                    <w:bottom w:val="none" w:sz="0" w:space="0" w:color="auto"/>
                    <w:right w:val="none" w:sz="0" w:space="0" w:color="auto"/>
                  </w:divBdr>
                  <w:divsChild>
                    <w:div w:id="1341857830">
                      <w:marLeft w:val="0"/>
                      <w:marRight w:val="0"/>
                      <w:marTop w:val="0"/>
                      <w:marBottom w:val="0"/>
                      <w:divBdr>
                        <w:top w:val="none" w:sz="0" w:space="0" w:color="auto"/>
                        <w:left w:val="none" w:sz="0" w:space="0" w:color="auto"/>
                        <w:bottom w:val="none" w:sz="0" w:space="0" w:color="auto"/>
                        <w:right w:val="none" w:sz="0" w:space="0" w:color="auto"/>
                      </w:divBdr>
                      <w:divsChild>
                        <w:div w:id="1798185318">
                          <w:marLeft w:val="0"/>
                          <w:marRight w:val="0"/>
                          <w:marTop w:val="0"/>
                          <w:marBottom w:val="0"/>
                          <w:divBdr>
                            <w:top w:val="none" w:sz="0" w:space="0" w:color="auto"/>
                            <w:left w:val="none" w:sz="0" w:space="0" w:color="auto"/>
                            <w:bottom w:val="none" w:sz="0" w:space="0" w:color="auto"/>
                            <w:right w:val="none" w:sz="0" w:space="0" w:color="auto"/>
                          </w:divBdr>
                          <w:divsChild>
                            <w:div w:id="543447940">
                              <w:marLeft w:val="0"/>
                              <w:marRight w:val="0"/>
                              <w:marTop w:val="0"/>
                              <w:marBottom w:val="0"/>
                              <w:divBdr>
                                <w:top w:val="none" w:sz="0" w:space="0" w:color="auto"/>
                                <w:left w:val="none" w:sz="0" w:space="0" w:color="auto"/>
                                <w:bottom w:val="none" w:sz="0" w:space="0" w:color="auto"/>
                                <w:right w:val="none" w:sz="0" w:space="0" w:color="auto"/>
                              </w:divBdr>
                              <w:divsChild>
                                <w:div w:id="202713695">
                                  <w:marLeft w:val="0"/>
                                  <w:marRight w:val="0"/>
                                  <w:marTop w:val="0"/>
                                  <w:marBottom w:val="0"/>
                                  <w:divBdr>
                                    <w:top w:val="none" w:sz="0" w:space="0" w:color="auto"/>
                                    <w:left w:val="none" w:sz="0" w:space="0" w:color="auto"/>
                                    <w:bottom w:val="none" w:sz="0" w:space="0" w:color="auto"/>
                                    <w:right w:val="none" w:sz="0" w:space="0" w:color="auto"/>
                                  </w:divBdr>
                                  <w:divsChild>
                                    <w:div w:id="14083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5594">
                      <w:marLeft w:val="0"/>
                      <w:marRight w:val="0"/>
                      <w:marTop w:val="0"/>
                      <w:marBottom w:val="0"/>
                      <w:divBdr>
                        <w:top w:val="none" w:sz="0" w:space="0" w:color="auto"/>
                        <w:left w:val="none" w:sz="0" w:space="0" w:color="auto"/>
                        <w:bottom w:val="none" w:sz="0" w:space="0" w:color="auto"/>
                        <w:right w:val="none" w:sz="0" w:space="0" w:color="auto"/>
                      </w:divBdr>
                      <w:divsChild>
                        <w:div w:id="19843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501405">
      <w:bodyDiv w:val="1"/>
      <w:marLeft w:val="0"/>
      <w:marRight w:val="0"/>
      <w:marTop w:val="0"/>
      <w:marBottom w:val="0"/>
      <w:divBdr>
        <w:top w:val="none" w:sz="0" w:space="0" w:color="auto"/>
        <w:left w:val="none" w:sz="0" w:space="0" w:color="auto"/>
        <w:bottom w:val="none" w:sz="0" w:space="0" w:color="auto"/>
        <w:right w:val="none" w:sz="0" w:space="0" w:color="auto"/>
      </w:divBdr>
    </w:div>
    <w:div w:id="1086346188">
      <w:bodyDiv w:val="1"/>
      <w:marLeft w:val="0"/>
      <w:marRight w:val="0"/>
      <w:marTop w:val="0"/>
      <w:marBottom w:val="0"/>
      <w:divBdr>
        <w:top w:val="none" w:sz="0" w:space="0" w:color="auto"/>
        <w:left w:val="none" w:sz="0" w:space="0" w:color="auto"/>
        <w:bottom w:val="none" w:sz="0" w:space="0" w:color="auto"/>
        <w:right w:val="none" w:sz="0" w:space="0" w:color="auto"/>
      </w:divBdr>
    </w:div>
    <w:div w:id="1168712759">
      <w:bodyDiv w:val="1"/>
      <w:marLeft w:val="0"/>
      <w:marRight w:val="0"/>
      <w:marTop w:val="0"/>
      <w:marBottom w:val="0"/>
      <w:divBdr>
        <w:top w:val="none" w:sz="0" w:space="0" w:color="auto"/>
        <w:left w:val="none" w:sz="0" w:space="0" w:color="auto"/>
        <w:bottom w:val="none" w:sz="0" w:space="0" w:color="auto"/>
        <w:right w:val="none" w:sz="0" w:space="0" w:color="auto"/>
      </w:divBdr>
      <w:divsChild>
        <w:div w:id="631179500">
          <w:marLeft w:val="0"/>
          <w:marRight w:val="0"/>
          <w:marTop w:val="0"/>
          <w:marBottom w:val="0"/>
          <w:divBdr>
            <w:top w:val="none" w:sz="0" w:space="0" w:color="auto"/>
            <w:left w:val="none" w:sz="0" w:space="0" w:color="auto"/>
            <w:bottom w:val="none" w:sz="0" w:space="0" w:color="auto"/>
            <w:right w:val="none" w:sz="0" w:space="0" w:color="auto"/>
          </w:divBdr>
          <w:divsChild>
            <w:div w:id="1716351235">
              <w:marLeft w:val="0"/>
              <w:marRight w:val="0"/>
              <w:marTop w:val="0"/>
              <w:marBottom w:val="0"/>
              <w:divBdr>
                <w:top w:val="none" w:sz="0" w:space="0" w:color="auto"/>
                <w:left w:val="none" w:sz="0" w:space="0" w:color="auto"/>
                <w:bottom w:val="none" w:sz="0" w:space="0" w:color="auto"/>
                <w:right w:val="none" w:sz="0" w:space="0" w:color="auto"/>
              </w:divBdr>
              <w:divsChild>
                <w:div w:id="176508626">
                  <w:marLeft w:val="0"/>
                  <w:marRight w:val="0"/>
                  <w:marTop w:val="0"/>
                  <w:marBottom w:val="0"/>
                  <w:divBdr>
                    <w:top w:val="none" w:sz="0" w:space="0" w:color="auto"/>
                    <w:left w:val="none" w:sz="0" w:space="0" w:color="auto"/>
                    <w:bottom w:val="none" w:sz="0" w:space="0" w:color="auto"/>
                    <w:right w:val="none" w:sz="0" w:space="0" w:color="auto"/>
                  </w:divBdr>
                  <w:divsChild>
                    <w:div w:id="4171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45117">
      <w:bodyDiv w:val="1"/>
      <w:marLeft w:val="0"/>
      <w:marRight w:val="0"/>
      <w:marTop w:val="0"/>
      <w:marBottom w:val="0"/>
      <w:divBdr>
        <w:top w:val="none" w:sz="0" w:space="0" w:color="auto"/>
        <w:left w:val="none" w:sz="0" w:space="0" w:color="auto"/>
        <w:bottom w:val="none" w:sz="0" w:space="0" w:color="auto"/>
        <w:right w:val="none" w:sz="0" w:space="0" w:color="auto"/>
      </w:divBdr>
    </w:div>
    <w:div w:id="1237395151">
      <w:bodyDiv w:val="1"/>
      <w:marLeft w:val="0"/>
      <w:marRight w:val="0"/>
      <w:marTop w:val="0"/>
      <w:marBottom w:val="0"/>
      <w:divBdr>
        <w:top w:val="none" w:sz="0" w:space="0" w:color="auto"/>
        <w:left w:val="none" w:sz="0" w:space="0" w:color="auto"/>
        <w:bottom w:val="none" w:sz="0" w:space="0" w:color="auto"/>
        <w:right w:val="none" w:sz="0" w:space="0" w:color="auto"/>
      </w:divBdr>
    </w:div>
    <w:div w:id="1260412608">
      <w:bodyDiv w:val="1"/>
      <w:marLeft w:val="0"/>
      <w:marRight w:val="0"/>
      <w:marTop w:val="0"/>
      <w:marBottom w:val="0"/>
      <w:divBdr>
        <w:top w:val="none" w:sz="0" w:space="0" w:color="auto"/>
        <w:left w:val="none" w:sz="0" w:space="0" w:color="auto"/>
        <w:bottom w:val="none" w:sz="0" w:space="0" w:color="auto"/>
        <w:right w:val="none" w:sz="0" w:space="0" w:color="auto"/>
      </w:divBdr>
    </w:div>
    <w:div w:id="1307007575">
      <w:bodyDiv w:val="1"/>
      <w:marLeft w:val="0"/>
      <w:marRight w:val="0"/>
      <w:marTop w:val="0"/>
      <w:marBottom w:val="0"/>
      <w:divBdr>
        <w:top w:val="none" w:sz="0" w:space="0" w:color="auto"/>
        <w:left w:val="none" w:sz="0" w:space="0" w:color="auto"/>
        <w:bottom w:val="none" w:sz="0" w:space="0" w:color="auto"/>
        <w:right w:val="none" w:sz="0" w:space="0" w:color="auto"/>
      </w:divBdr>
    </w:div>
    <w:div w:id="1570848374">
      <w:bodyDiv w:val="1"/>
      <w:marLeft w:val="0"/>
      <w:marRight w:val="0"/>
      <w:marTop w:val="0"/>
      <w:marBottom w:val="0"/>
      <w:divBdr>
        <w:top w:val="none" w:sz="0" w:space="0" w:color="auto"/>
        <w:left w:val="none" w:sz="0" w:space="0" w:color="auto"/>
        <w:bottom w:val="none" w:sz="0" w:space="0" w:color="auto"/>
        <w:right w:val="none" w:sz="0" w:space="0" w:color="auto"/>
      </w:divBdr>
    </w:div>
    <w:div w:id="1596597618">
      <w:bodyDiv w:val="1"/>
      <w:marLeft w:val="0"/>
      <w:marRight w:val="0"/>
      <w:marTop w:val="0"/>
      <w:marBottom w:val="0"/>
      <w:divBdr>
        <w:top w:val="none" w:sz="0" w:space="0" w:color="auto"/>
        <w:left w:val="none" w:sz="0" w:space="0" w:color="auto"/>
        <w:bottom w:val="none" w:sz="0" w:space="0" w:color="auto"/>
        <w:right w:val="none" w:sz="0" w:space="0" w:color="auto"/>
      </w:divBdr>
    </w:div>
    <w:div w:id="1674524703">
      <w:bodyDiv w:val="1"/>
      <w:marLeft w:val="0"/>
      <w:marRight w:val="0"/>
      <w:marTop w:val="0"/>
      <w:marBottom w:val="0"/>
      <w:divBdr>
        <w:top w:val="none" w:sz="0" w:space="0" w:color="auto"/>
        <w:left w:val="none" w:sz="0" w:space="0" w:color="auto"/>
        <w:bottom w:val="none" w:sz="0" w:space="0" w:color="auto"/>
        <w:right w:val="none" w:sz="0" w:space="0" w:color="auto"/>
      </w:divBdr>
    </w:div>
    <w:div w:id="1692340409">
      <w:bodyDiv w:val="1"/>
      <w:marLeft w:val="0"/>
      <w:marRight w:val="0"/>
      <w:marTop w:val="0"/>
      <w:marBottom w:val="0"/>
      <w:divBdr>
        <w:top w:val="none" w:sz="0" w:space="0" w:color="auto"/>
        <w:left w:val="none" w:sz="0" w:space="0" w:color="auto"/>
        <w:bottom w:val="none" w:sz="0" w:space="0" w:color="auto"/>
        <w:right w:val="none" w:sz="0" w:space="0" w:color="auto"/>
      </w:divBdr>
    </w:div>
    <w:div w:id="1716739614">
      <w:bodyDiv w:val="1"/>
      <w:marLeft w:val="0"/>
      <w:marRight w:val="0"/>
      <w:marTop w:val="0"/>
      <w:marBottom w:val="0"/>
      <w:divBdr>
        <w:top w:val="none" w:sz="0" w:space="0" w:color="auto"/>
        <w:left w:val="none" w:sz="0" w:space="0" w:color="auto"/>
        <w:bottom w:val="none" w:sz="0" w:space="0" w:color="auto"/>
        <w:right w:val="none" w:sz="0" w:space="0" w:color="auto"/>
      </w:divBdr>
    </w:div>
    <w:div w:id="1813135369">
      <w:bodyDiv w:val="1"/>
      <w:marLeft w:val="0"/>
      <w:marRight w:val="0"/>
      <w:marTop w:val="0"/>
      <w:marBottom w:val="0"/>
      <w:divBdr>
        <w:top w:val="none" w:sz="0" w:space="0" w:color="auto"/>
        <w:left w:val="none" w:sz="0" w:space="0" w:color="auto"/>
        <w:bottom w:val="none" w:sz="0" w:space="0" w:color="auto"/>
        <w:right w:val="none" w:sz="0" w:space="0" w:color="auto"/>
      </w:divBdr>
    </w:div>
    <w:div w:id="1880435699">
      <w:bodyDiv w:val="1"/>
      <w:marLeft w:val="0"/>
      <w:marRight w:val="0"/>
      <w:marTop w:val="0"/>
      <w:marBottom w:val="0"/>
      <w:divBdr>
        <w:top w:val="none" w:sz="0" w:space="0" w:color="auto"/>
        <w:left w:val="none" w:sz="0" w:space="0" w:color="auto"/>
        <w:bottom w:val="none" w:sz="0" w:space="0" w:color="auto"/>
        <w:right w:val="none" w:sz="0" w:space="0" w:color="auto"/>
      </w:divBdr>
    </w:div>
    <w:div w:id="1893999973">
      <w:bodyDiv w:val="1"/>
      <w:marLeft w:val="0"/>
      <w:marRight w:val="0"/>
      <w:marTop w:val="0"/>
      <w:marBottom w:val="0"/>
      <w:divBdr>
        <w:top w:val="none" w:sz="0" w:space="0" w:color="auto"/>
        <w:left w:val="none" w:sz="0" w:space="0" w:color="auto"/>
        <w:bottom w:val="none" w:sz="0" w:space="0" w:color="auto"/>
        <w:right w:val="none" w:sz="0" w:space="0" w:color="auto"/>
      </w:divBdr>
    </w:div>
    <w:div w:id="2037347630">
      <w:bodyDiv w:val="1"/>
      <w:marLeft w:val="0"/>
      <w:marRight w:val="0"/>
      <w:marTop w:val="0"/>
      <w:marBottom w:val="0"/>
      <w:divBdr>
        <w:top w:val="none" w:sz="0" w:space="0" w:color="auto"/>
        <w:left w:val="none" w:sz="0" w:space="0" w:color="auto"/>
        <w:bottom w:val="none" w:sz="0" w:space="0" w:color="auto"/>
        <w:right w:val="none" w:sz="0" w:space="0" w:color="auto"/>
      </w:divBdr>
      <w:divsChild>
        <w:div w:id="691688457">
          <w:marLeft w:val="0"/>
          <w:marRight w:val="0"/>
          <w:marTop w:val="0"/>
          <w:marBottom w:val="0"/>
          <w:divBdr>
            <w:top w:val="none" w:sz="0" w:space="0" w:color="auto"/>
            <w:left w:val="none" w:sz="0" w:space="0" w:color="auto"/>
            <w:bottom w:val="none" w:sz="0" w:space="0" w:color="auto"/>
            <w:right w:val="none" w:sz="0" w:space="0" w:color="auto"/>
          </w:divBdr>
          <w:divsChild>
            <w:div w:id="73014292">
              <w:marLeft w:val="0"/>
              <w:marRight w:val="0"/>
              <w:marTop w:val="0"/>
              <w:marBottom w:val="0"/>
              <w:divBdr>
                <w:top w:val="none" w:sz="0" w:space="0" w:color="auto"/>
                <w:left w:val="none" w:sz="0" w:space="0" w:color="auto"/>
                <w:bottom w:val="none" w:sz="0" w:space="0" w:color="auto"/>
                <w:right w:val="none" w:sz="0" w:space="0" w:color="auto"/>
              </w:divBdr>
              <w:divsChild>
                <w:div w:id="68355506">
                  <w:marLeft w:val="0"/>
                  <w:marRight w:val="0"/>
                  <w:marTop w:val="0"/>
                  <w:marBottom w:val="0"/>
                  <w:divBdr>
                    <w:top w:val="none" w:sz="0" w:space="0" w:color="auto"/>
                    <w:left w:val="none" w:sz="0" w:space="0" w:color="auto"/>
                    <w:bottom w:val="none" w:sz="0" w:space="0" w:color="auto"/>
                    <w:right w:val="none" w:sz="0" w:space="0" w:color="auto"/>
                  </w:divBdr>
                  <w:divsChild>
                    <w:div w:id="1811554765">
                      <w:marLeft w:val="0"/>
                      <w:marRight w:val="0"/>
                      <w:marTop w:val="0"/>
                      <w:marBottom w:val="0"/>
                      <w:divBdr>
                        <w:top w:val="none" w:sz="0" w:space="0" w:color="auto"/>
                        <w:left w:val="none" w:sz="0" w:space="0" w:color="auto"/>
                        <w:bottom w:val="none" w:sz="0" w:space="0" w:color="auto"/>
                        <w:right w:val="none" w:sz="0" w:space="0" w:color="auto"/>
                      </w:divBdr>
                      <w:divsChild>
                        <w:div w:id="1113596246">
                          <w:marLeft w:val="0"/>
                          <w:marRight w:val="0"/>
                          <w:marTop w:val="0"/>
                          <w:marBottom w:val="0"/>
                          <w:divBdr>
                            <w:top w:val="none" w:sz="0" w:space="0" w:color="auto"/>
                            <w:left w:val="none" w:sz="0" w:space="0" w:color="auto"/>
                            <w:bottom w:val="none" w:sz="0" w:space="0" w:color="auto"/>
                            <w:right w:val="none" w:sz="0" w:space="0" w:color="auto"/>
                          </w:divBdr>
                          <w:divsChild>
                            <w:div w:id="1403986388">
                              <w:marLeft w:val="0"/>
                              <w:marRight w:val="0"/>
                              <w:marTop w:val="0"/>
                              <w:marBottom w:val="0"/>
                              <w:divBdr>
                                <w:top w:val="none" w:sz="0" w:space="0" w:color="auto"/>
                                <w:left w:val="none" w:sz="0" w:space="0" w:color="auto"/>
                                <w:bottom w:val="none" w:sz="0" w:space="0" w:color="auto"/>
                                <w:right w:val="none" w:sz="0" w:space="0" w:color="auto"/>
                              </w:divBdr>
                              <w:divsChild>
                                <w:div w:id="1201892121">
                                  <w:marLeft w:val="0"/>
                                  <w:marRight w:val="0"/>
                                  <w:marTop w:val="0"/>
                                  <w:marBottom w:val="0"/>
                                  <w:divBdr>
                                    <w:top w:val="none" w:sz="0" w:space="0" w:color="auto"/>
                                    <w:left w:val="none" w:sz="0" w:space="0" w:color="auto"/>
                                    <w:bottom w:val="none" w:sz="0" w:space="0" w:color="auto"/>
                                    <w:right w:val="none" w:sz="0" w:space="0" w:color="auto"/>
                                  </w:divBdr>
                                  <w:divsChild>
                                    <w:div w:id="1793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75325">
                      <w:marLeft w:val="0"/>
                      <w:marRight w:val="0"/>
                      <w:marTop w:val="0"/>
                      <w:marBottom w:val="0"/>
                      <w:divBdr>
                        <w:top w:val="none" w:sz="0" w:space="0" w:color="auto"/>
                        <w:left w:val="none" w:sz="0" w:space="0" w:color="auto"/>
                        <w:bottom w:val="none" w:sz="0" w:space="0" w:color="auto"/>
                        <w:right w:val="none" w:sz="0" w:space="0" w:color="auto"/>
                      </w:divBdr>
                      <w:divsChild>
                        <w:div w:id="12956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40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8</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22</cp:revision>
  <dcterms:created xsi:type="dcterms:W3CDTF">2025-07-14T05:31:00Z</dcterms:created>
  <dcterms:modified xsi:type="dcterms:W3CDTF">2025-07-25T08:14:00Z</dcterms:modified>
</cp:coreProperties>
</file>