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6931" w:rsidRDefault="008C693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3"/>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C6931">
        <w:trPr>
          <w:trHeight w:val="290"/>
        </w:trPr>
        <w:tc>
          <w:tcPr>
            <w:tcW w:w="20934" w:type="dxa"/>
            <w:gridSpan w:val="2"/>
            <w:tcBorders>
              <w:top w:val="nil"/>
              <w:left w:val="nil"/>
              <w:right w:val="nil"/>
            </w:tcBorders>
          </w:tcPr>
          <w:p w:rsidR="008C6931" w:rsidRDefault="008C6931">
            <w:pPr>
              <w:pStyle w:val="Heading2"/>
              <w:jc w:val="left"/>
              <w:rPr>
                <w:rFonts w:ascii="Arial" w:eastAsia="Arial" w:hAnsi="Arial" w:cs="Arial"/>
                <w:b w:val="0"/>
                <w:bCs w:val="0"/>
                <w:sz w:val="28"/>
                <w:szCs w:val="28"/>
              </w:rPr>
            </w:pPr>
          </w:p>
        </w:tc>
      </w:tr>
      <w:tr w:rsidR="008C6931">
        <w:trPr>
          <w:trHeight w:val="290"/>
        </w:trPr>
        <w:tc>
          <w:tcPr>
            <w:tcW w:w="5167" w:type="dxa"/>
          </w:tcPr>
          <w:p w:rsidR="008C6931" w:rsidRDefault="006B04A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C6931" w:rsidRDefault="006B04AC">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Geography, Environment and Earth Science International</w:t>
              </w:r>
            </w:hyperlink>
            <w:r>
              <w:rPr>
                <w:rFonts w:ascii="Arial" w:eastAsia="Arial" w:hAnsi="Arial" w:cs="Arial"/>
                <w:b/>
                <w:bCs/>
                <w:color w:val="0000FF"/>
                <w:sz w:val="20"/>
                <w:szCs w:val="20"/>
              </w:rPr>
              <w:t xml:space="preserve"> </w:t>
            </w:r>
          </w:p>
        </w:tc>
      </w:tr>
      <w:tr w:rsidR="008C6931">
        <w:trPr>
          <w:trHeight w:val="290"/>
        </w:trPr>
        <w:tc>
          <w:tcPr>
            <w:tcW w:w="5167" w:type="dxa"/>
          </w:tcPr>
          <w:p w:rsidR="008C6931" w:rsidRDefault="006B04A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C6931" w:rsidRDefault="006B04A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Ms_JGEESI_152471</w:t>
            </w:r>
          </w:p>
        </w:tc>
      </w:tr>
      <w:tr w:rsidR="008C6931">
        <w:trPr>
          <w:trHeight w:val="650"/>
        </w:trPr>
        <w:tc>
          <w:tcPr>
            <w:tcW w:w="5167" w:type="dxa"/>
          </w:tcPr>
          <w:p w:rsidR="008C6931" w:rsidRDefault="006B04A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C6931" w:rsidRDefault="006B04A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ASSESSMENT OF THE SPATIOTEMPORAL VARIATIONS OF TURBIDITY FLOW IN LAKE PONTCHARTRAIN USING REMOTE SENSING (NDTI METHOD)</w:t>
            </w:r>
          </w:p>
        </w:tc>
      </w:tr>
      <w:tr w:rsidR="008C6931">
        <w:trPr>
          <w:trHeight w:val="332"/>
        </w:trPr>
        <w:tc>
          <w:tcPr>
            <w:tcW w:w="5167" w:type="dxa"/>
          </w:tcPr>
          <w:p w:rsidR="008C6931" w:rsidRDefault="006B04A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C6931" w:rsidRDefault="006B04A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8C6931" w:rsidRDefault="008C6931">
      <w:pPr>
        <w:pBdr>
          <w:top w:val="nil"/>
          <w:left w:val="nil"/>
          <w:bottom w:val="nil"/>
          <w:right w:val="nil"/>
          <w:between w:val="nil"/>
        </w:pBdr>
        <w:jc w:val="both"/>
        <w:rPr>
          <w:rFonts w:ascii="Arial" w:eastAsia="Arial" w:hAnsi="Arial" w:cs="Arial"/>
          <w:color w:val="000000"/>
          <w:sz w:val="20"/>
          <w:szCs w:val="20"/>
          <w:u w:val="single"/>
        </w:rPr>
      </w:pPr>
    </w:p>
    <w:p w:rsidR="008C6931" w:rsidRDefault="008C6931">
      <w:pPr>
        <w:pBdr>
          <w:top w:val="nil"/>
          <w:left w:val="nil"/>
          <w:bottom w:val="nil"/>
          <w:right w:val="nil"/>
          <w:between w:val="nil"/>
        </w:pBdr>
        <w:jc w:val="both"/>
        <w:rPr>
          <w:rFonts w:ascii="Arial" w:eastAsia="Arial" w:hAnsi="Arial" w:cs="Arial"/>
          <w:color w:val="000000"/>
          <w:sz w:val="20"/>
          <w:szCs w:val="20"/>
          <w:u w:val="single"/>
        </w:rPr>
      </w:pPr>
      <w:bookmarkStart w:id="0" w:name="_heading=h.8gv9x3xi2etw" w:colFirst="0" w:colLast="0"/>
      <w:bookmarkEnd w:id="0"/>
    </w:p>
    <w:p w:rsidR="008C6931" w:rsidRDefault="008C6931">
      <w:pPr>
        <w:rPr>
          <w:sz w:val="20"/>
          <w:szCs w:val="20"/>
        </w:rPr>
      </w:pPr>
    </w:p>
    <w:tbl>
      <w:tblPr>
        <w:tblStyle w:val="a4"/>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C6931">
        <w:tc>
          <w:tcPr>
            <w:tcW w:w="21150" w:type="dxa"/>
            <w:gridSpan w:val="3"/>
            <w:tcBorders>
              <w:top w:val="nil"/>
              <w:left w:val="nil"/>
              <w:right w:val="nil"/>
            </w:tcBorders>
          </w:tcPr>
          <w:p w:rsidR="008C6931" w:rsidRDefault="006B04A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8C6931" w:rsidRDefault="008C6931">
            <w:pPr>
              <w:rPr>
                <w:sz w:val="20"/>
                <w:szCs w:val="20"/>
              </w:rPr>
            </w:pPr>
          </w:p>
        </w:tc>
      </w:tr>
      <w:tr w:rsidR="008C6931">
        <w:tc>
          <w:tcPr>
            <w:tcW w:w="5351" w:type="dxa"/>
          </w:tcPr>
          <w:p w:rsidR="008C6931" w:rsidRDefault="008C6931">
            <w:pPr>
              <w:pStyle w:val="Heading2"/>
              <w:jc w:val="left"/>
              <w:rPr>
                <w:rFonts w:ascii="Times New Roman" w:eastAsia="Times New Roman" w:hAnsi="Times New Roman" w:cs="Times New Roman"/>
              </w:rPr>
            </w:pPr>
          </w:p>
        </w:tc>
        <w:tc>
          <w:tcPr>
            <w:tcW w:w="9357" w:type="dxa"/>
          </w:tcPr>
          <w:p w:rsidR="008C6931" w:rsidRDefault="006B04A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8C6931" w:rsidRDefault="006B04AC">
            <w:pPr>
              <w:rPr>
                <w:sz w:val="20"/>
                <w:szCs w:val="20"/>
              </w:rPr>
            </w:pPr>
            <w:r>
              <w:rPr>
                <w:b/>
                <w:bCs/>
                <w:sz w:val="20"/>
                <w:szCs w:val="20"/>
                <w:highlight w:val="yellow"/>
              </w:rPr>
              <w:t>Artificial Intelligence (AI) generated or assisted review comments are strictly prohibited during peer review.</w:t>
            </w:r>
          </w:p>
          <w:p w:rsidR="008C6931" w:rsidRDefault="008C6931"/>
        </w:tc>
        <w:tc>
          <w:tcPr>
            <w:tcW w:w="6442" w:type="dxa"/>
          </w:tcPr>
          <w:p w:rsidR="008C6931" w:rsidRDefault="006B04A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8C6931" w:rsidRDefault="008C6931">
            <w:pPr>
              <w:pStyle w:val="Heading2"/>
              <w:jc w:val="left"/>
              <w:rPr>
                <w:rFonts w:ascii="Times New Roman" w:eastAsia="Times New Roman" w:hAnsi="Times New Roman" w:cs="Times New Roman"/>
                <w:b w:val="0"/>
                <w:bCs w:val="0"/>
              </w:rPr>
            </w:pPr>
          </w:p>
        </w:tc>
      </w:tr>
      <w:tr w:rsidR="008C6931">
        <w:trPr>
          <w:trHeight w:val="1264"/>
        </w:trPr>
        <w:tc>
          <w:tcPr>
            <w:tcW w:w="5351" w:type="dxa"/>
          </w:tcPr>
          <w:p w:rsidR="008C6931" w:rsidRDefault="006B04AC">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8C6931" w:rsidRDefault="008C6931">
            <w:pPr>
              <w:ind w:left="360"/>
              <w:rPr>
                <w:sz w:val="20"/>
                <w:szCs w:val="20"/>
              </w:rPr>
            </w:pPr>
          </w:p>
        </w:tc>
        <w:tc>
          <w:tcPr>
            <w:tcW w:w="9357" w:type="dxa"/>
          </w:tcPr>
          <w:p w:rsidR="008C6931" w:rsidRDefault="006B04AC">
            <w:pPr>
              <w:pBdr>
                <w:top w:val="nil"/>
                <w:left w:val="nil"/>
                <w:bottom w:val="nil"/>
                <w:right w:val="nil"/>
                <w:between w:val="nil"/>
              </w:pBdr>
              <w:spacing w:line="276" w:lineRule="auto"/>
              <w:rPr>
                <w:color w:val="000000"/>
                <w:sz w:val="22"/>
                <w:szCs w:val="22"/>
              </w:rPr>
            </w:pPr>
            <w:r>
              <w:rPr>
                <w:sz w:val="22"/>
                <w:szCs w:val="22"/>
              </w:rPr>
              <w:t>St</w:t>
            </w:r>
            <w:r>
              <w:rPr>
                <w:color w:val="000000"/>
                <w:sz w:val="22"/>
                <w:szCs w:val="22"/>
              </w:rPr>
              <w:t>udy uses Sentinel-2 satellite data and the Normalized Difference Turbidity Index (NDTI) to m</w:t>
            </w:r>
            <w:r>
              <w:rPr>
                <w:color w:val="000000"/>
                <w:sz w:val="22"/>
                <w:szCs w:val="22"/>
              </w:rPr>
              <w:t>onitor turbidity patterns in Lake Pontchartrain. The research demonstrates how freely available remote sensing can enhance the monitoring and management of dynamic, environmentally stressed estuarine systems.</w:t>
            </w:r>
          </w:p>
        </w:tc>
        <w:tc>
          <w:tcPr>
            <w:tcW w:w="6442"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study truly contributes to the scientific c</w:t>
            </w:r>
            <w:r>
              <w:rPr>
                <w:rFonts w:ascii="Times New Roman" w:eastAsia="Times New Roman" w:hAnsi="Times New Roman" w:cs="Times New Roman"/>
                <w:b w:val="0"/>
                <w:bCs w:val="0"/>
              </w:rPr>
              <w:t xml:space="preserve">ommunity by demonstrating the applicability of Sentinel-2 multispectral imagery and the Normalized Difference Turbidity Index (NDTI) for high resolution spatiotemporal monitoring of turbidity in a large, shallow coastal lake system.  </w:t>
            </w:r>
          </w:p>
        </w:tc>
      </w:tr>
      <w:tr w:rsidR="008C6931">
        <w:trPr>
          <w:trHeight w:val="1262"/>
        </w:trPr>
        <w:tc>
          <w:tcPr>
            <w:tcW w:w="5351" w:type="dxa"/>
          </w:tcPr>
          <w:p w:rsidR="008C6931" w:rsidRDefault="006B04AC">
            <w:pPr>
              <w:ind w:left="360"/>
              <w:rPr>
                <w:sz w:val="20"/>
                <w:szCs w:val="20"/>
              </w:rPr>
            </w:pPr>
            <w:r>
              <w:rPr>
                <w:b/>
                <w:bCs/>
                <w:sz w:val="20"/>
                <w:szCs w:val="20"/>
              </w:rPr>
              <w:t xml:space="preserve">Is the title of the </w:t>
            </w:r>
            <w:r>
              <w:rPr>
                <w:b/>
                <w:bCs/>
                <w:sz w:val="20"/>
                <w:szCs w:val="20"/>
              </w:rPr>
              <w:t>article suitable?</w:t>
            </w:r>
          </w:p>
          <w:p w:rsidR="008C6931" w:rsidRDefault="006B04AC">
            <w:pPr>
              <w:ind w:left="360"/>
              <w:rPr>
                <w:sz w:val="20"/>
                <w:szCs w:val="20"/>
              </w:rPr>
            </w:pPr>
            <w:r>
              <w:rPr>
                <w:b/>
                <w:bCs/>
                <w:sz w:val="20"/>
                <w:szCs w:val="20"/>
              </w:rPr>
              <w:t>(If not please suggest an alternative title)</w:t>
            </w:r>
          </w:p>
          <w:p w:rsidR="008C6931" w:rsidRDefault="008C6931">
            <w:pPr>
              <w:pStyle w:val="Heading2"/>
              <w:jc w:val="left"/>
              <w:rPr>
                <w:rFonts w:ascii="Times New Roman" w:eastAsia="Times New Roman" w:hAnsi="Times New Roman" w:cs="Times New Roman"/>
                <w:u w:val="single"/>
              </w:rPr>
            </w:pPr>
          </w:p>
        </w:tc>
        <w:tc>
          <w:tcPr>
            <w:tcW w:w="9357" w:type="dxa"/>
          </w:tcPr>
          <w:p w:rsidR="008C6931" w:rsidRDefault="006B04AC">
            <w:pPr>
              <w:spacing w:line="276" w:lineRule="auto"/>
              <w:rPr>
                <w:sz w:val="22"/>
                <w:szCs w:val="22"/>
              </w:rPr>
            </w:pPr>
            <w:r>
              <w:rPr>
                <w:sz w:val="22"/>
                <w:szCs w:val="22"/>
              </w:rPr>
              <w:t>Yes, the title is appropriate and accurately reflects the content of the manuscript.</w:t>
            </w:r>
          </w:p>
        </w:tc>
        <w:tc>
          <w:tcPr>
            <w:tcW w:w="6442"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authors agree that the title is suitable. No change was made.</w:t>
            </w:r>
          </w:p>
        </w:tc>
      </w:tr>
      <w:tr w:rsidR="008C6931">
        <w:trPr>
          <w:trHeight w:val="1262"/>
        </w:trPr>
        <w:tc>
          <w:tcPr>
            <w:tcW w:w="5351" w:type="dxa"/>
          </w:tcPr>
          <w:p w:rsidR="008C6931" w:rsidRDefault="006B04A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8C6931" w:rsidRDefault="008C6931">
            <w:pPr>
              <w:pStyle w:val="Heading2"/>
              <w:jc w:val="left"/>
              <w:rPr>
                <w:rFonts w:ascii="Times New Roman" w:eastAsia="Times New Roman" w:hAnsi="Times New Roman" w:cs="Times New Roman"/>
                <w:u w:val="single"/>
              </w:rPr>
            </w:pPr>
          </w:p>
        </w:tc>
        <w:tc>
          <w:tcPr>
            <w:tcW w:w="9357" w:type="dxa"/>
          </w:tcPr>
          <w:p w:rsidR="008C6931" w:rsidRDefault="006B04AC">
            <w:pPr>
              <w:spacing w:line="276" w:lineRule="auto"/>
              <w:rPr>
                <w:sz w:val="22"/>
                <w:szCs w:val="22"/>
              </w:rPr>
            </w:pPr>
            <w:r>
              <w:rPr>
                <w:sz w:val="22"/>
                <w:szCs w:val="22"/>
              </w:rPr>
              <w:t>The abstract provides a clear summary of the study objectives, methodology, and main findings. Over</w:t>
            </w:r>
            <w:r>
              <w:rPr>
                <w:sz w:val="22"/>
                <w:szCs w:val="22"/>
              </w:rPr>
              <w:t>all, it is well structured and informative. However, it could be improved by briefly acknowledging key limitations of the study, such as the absence of in-situ turbidity measurements for validation.</w:t>
            </w:r>
          </w:p>
        </w:tc>
        <w:tc>
          <w:tcPr>
            <w:tcW w:w="6442"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authors agree that the abstract is comprehensive. No </w:t>
            </w:r>
            <w:r>
              <w:rPr>
                <w:rFonts w:ascii="Times New Roman" w:eastAsia="Times New Roman" w:hAnsi="Times New Roman" w:cs="Times New Roman"/>
                <w:b w:val="0"/>
                <w:bCs w:val="0"/>
              </w:rPr>
              <w:t>change was made</w:t>
            </w:r>
          </w:p>
          <w:p w:rsidR="008C6931" w:rsidRDefault="006B04AC">
            <w:r>
              <w:t>The absence of in-situ turbidity measurement has been acknowledged in the limitation section.</w:t>
            </w:r>
          </w:p>
        </w:tc>
      </w:tr>
      <w:tr w:rsidR="008C6931">
        <w:trPr>
          <w:trHeight w:val="704"/>
        </w:trPr>
        <w:tc>
          <w:tcPr>
            <w:tcW w:w="5351" w:type="dxa"/>
          </w:tcPr>
          <w:p w:rsidR="008C6931" w:rsidRDefault="006B04A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8C6931" w:rsidRDefault="006B04AC">
            <w:pPr>
              <w:pBdr>
                <w:top w:val="nil"/>
                <w:left w:val="nil"/>
                <w:bottom w:val="nil"/>
                <w:right w:val="nil"/>
                <w:between w:val="nil"/>
              </w:pBdr>
              <w:rPr>
                <w:color w:val="000000"/>
                <w:sz w:val="20"/>
                <w:szCs w:val="20"/>
              </w:rPr>
            </w:pPr>
            <w:r>
              <w:rPr>
                <w:color w:val="000000"/>
              </w:rPr>
              <w:t>The manuscript is scientifically sound and based on established remote sensing methods for water quality analysis. The use of NDWI for water masking and NDTI for turbidity assessment is appropriate and well supported by the literature. The interpretation o</w:t>
            </w:r>
            <w:r>
              <w:rPr>
                <w:color w:val="000000"/>
              </w:rPr>
              <w:t xml:space="preserve">f seasonal and spatial turbidity patterns is consistent with known hydrodynamic processes in Lake Pontchartrain and similar estuarine systems. </w:t>
            </w:r>
          </w:p>
        </w:tc>
        <w:tc>
          <w:tcPr>
            <w:tcW w:w="6442"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manuscript is scientifically sound and is based on established and widely accepted remote sensing methods fo</w:t>
            </w:r>
            <w:r>
              <w:rPr>
                <w:rFonts w:ascii="Times New Roman" w:eastAsia="Times New Roman" w:hAnsi="Times New Roman" w:cs="Times New Roman"/>
                <w:b w:val="0"/>
                <w:bCs w:val="0"/>
              </w:rPr>
              <w:t>r water quality assessment.</w:t>
            </w:r>
          </w:p>
        </w:tc>
      </w:tr>
      <w:tr w:rsidR="008C6931">
        <w:trPr>
          <w:trHeight w:val="703"/>
        </w:trPr>
        <w:tc>
          <w:tcPr>
            <w:tcW w:w="5351" w:type="dxa"/>
          </w:tcPr>
          <w:p w:rsidR="008C6931" w:rsidRDefault="006B04A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8C6931" w:rsidRDefault="006B04AC">
            <w:pPr>
              <w:pBdr>
                <w:top w:val="nil"/>
                <w:left w:val="nil"/>
                <w:bottom w:val="nil"/>
                <w:right w:val="nil"/>
                <w:between w:val="nil"/>
              </w:pBdr>
              <w:rPr>
                <w:color w:val="000000"/>
                <w:sz w:val="20"/>
                <w:szCs w:val="20"/>
              </w:rPr>
            </w:pPr>
            <w:r>
              <w:rPr>
                <w:color w:val="000000"/>
              </w:rPr>
              <w:t>The reference list is adequate and includes both classical and recent studies relevant to turbi</w:t>
            </w:r>
            <w:r>
              <w:rPr>
                <w:color w:val="000000"/>
              </w:rPr>
              <w:t>dity monitoring, sediment dynamics, and remote sensing applications. Several recent publications (2024–2025) are cited, indicating that the authors are aware of current developments in the field.</w:t>
            </w:r>
          </w:p>
        </w:tc>
        <w:tc>
          <w:tcPr>
            <w:tcW w:w="6442"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reference list has been carefully revised to ensure temp</w:t>
            </w:r>
            <w:r>
              <w:rPr>
                <w:rFonts w:ascii="Times New Roman" w:eastAsia="Times New Roman" w:hAnsi="Times New Roman" w:cs="Times New Roman"/>
                <w:b w:val="0"/>
                <w:bCs w:val="0"/>
              </w:rPr>
              <w:t>oral consistency with the study period while retaining recent literature that reflects current developments in turbidity monitoring,</w:t>
            </w:r>
          </w:p>
        </w:tc>
      </w:tr>
      <w:tr w:rsidR="008C6931">
        <w:trPr>
          <w:trHeight w:val="386"/>
        </w:trPr>
        <w:tc>
          <w:tcPr>
            <w:tcW w:w="5351" w:type="dxa"/>
          </w:tcPr>
          <w:p w:rsidR="008C6931" w:rsidRDefault="006B04A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8C6931" w:rsidRDefault="008C6931">
            <w:pPr>
              <w:rPr>
                <w:sz w:val="20"/>
                <w:szCs w:val="20"/>
              </w:rPr>
            </w:pPr>
          </w:p>
        </w:tc>
        <w:tc>
          <w:tcPr>
            <w:tcW w:w="9357" w:type="dxa"/>
          </w:tcPr>
          <w:p w:rsidR="008C6931" w:rsidRDefault="006B04AC">
            <w:pPr>
              <w:rPr>
                <w:sz w:val="20"/>
                <w:szCs w:val="20"/>
              </w:rPr>
            </w:pPr>
            <w:r>
              <w:t>The manuscript is generally understandable and suitable for academic communication. Nonetheless, there are minor grammatical issues, some repetition, and occasional overly long sentences.</w:t>
            </w:r>
          </w:p>
        </w:tc>
        <w:tc>
          <w:tcPr>
            <w:tcW w:w="6442" w:type="dxa"/>
          </w:tcPr>
          <w:p w:rsidR="008C6931" w:rsidRDefault="006B04AC">
            <w:pPr>
              <w:rPr>
                <w:sz w:val="20"/>
                <w:szCs w:val="20"/>
              </w:rPr>
            </w:pPr>
            <w:r>
              <w:rPr>
                <w:sz w:val="20"/>
                <w:szCs w:val="20"/>
              </w:rPr>
              <w:t>The manuscript is generally clear and suitable for scholarly communi</w:t>
            </w:r>
            <w:r>
              <w:rPr>
                <w:sz w:val="20"/>
                <w:szCs w:val="20"/>
              </w:rPr>
              <w:t>cation. Minor grammatical issues, repetition and overly long sentences have been revised to improve clarity, conciseness, and overall readability</w:t>
            </w:r>
          </w:p>
        </w:tc>
      </w:tr>
      <w:tr w:rsidR="008C6931">
        <w:trPr>
          <w:trHeight w:val="1178"/>
        </w:trPr>
        <w:tc>
          <w:tcPr>
            <w:tcW w:w="5351" w:type="dxa"/>
          </w:tcPr>
          <w:p w:rsidR="008C6931" w:rsidRDefault="006B04A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8C6931" w:rsidRDefault="008C6931">
            <w:pPr>
              <w:pStyle w:val="Heading2"/>
              <w:jc w:val="left"/>
              <w:rPr>
                <w:rFonts w:ascii="Times New Roman" w:eastAsia="Times New Roman" w:hAnsi="Times New Roman" w:cs="Times New Roman"/>
                <w:b w:val="0"/>
                <w:bCs w:val="0"/>
              </w:rPr>
            </w:pPr>
          </w:p>
        </w:tc>
        <w:tc>
          <w:tcPr>
            <w:tcW w:w="9357" w:type="dxa"/>
          </w:tcPr>
          <w:p w:rsidR="008C6931" w:rsidRDefault="006B04AC">
            <w:pPr>
              <w:spacing w:after="280"/>
            </w:pPr>
            <w:r>
              <w:t>The figures effectively illustrate the spatial distribution of turbidity, but figure captions could be more descriptive to aid interpretation.</w:t>
            </w:r>
          </w:p>
          <w:p w:rsidR="008C6931" w:rsidRDefault="006B04AC">
            <w:pPr>
              <w:spacing w:before="280" w:after="280"/>
            </w:pPr>
            <w:r>
              <w:t>The discussion would benefit from a clearer linkage between observed turbidity patterns and specific drivers such</w:t>
            </w:r>
            <w:r>
              <w:t xml:space="preserve"> as rainfall, wind events, and freshwater inflow.</w:t>
            </w:r>
          </w:p>
          <w:p w:rsidR="008C6931" w:rsidRDefault="008C6931">
            <w:pPr>
              <w:spacing w:before="280"/>
            </w:pPr>
          </w:p>
        </w:tc>
        <w:tc>
          <w:tcPr>
            <w:tcW w:w="6442" w:type="dxa"/>
          </w:tcPr>
          <w:p w:rsidR="008C6931" w:rsidRDefault="006B04AC">
            <w:pPr>
              <w:rPr>
                <w:sz w:val="20"/>
                <w:szCs w:val="20"/>
              </w:rPr>
            </w:pPr>
            <w:r>
              <w:rPr>
                <w:sz w:val="20"/>
                <w:szCs w:val="20"/>
              </w:rPr>
              <w:t xml:space="preserve">Figure captions have been revised to provide more detailed explanations and improve interpretability. The discussion section has also been strengthened by explicitly linking observed turbidity patterns to </w:t>
            </w:r>
            <w:r>
              <w:rPr>
                <w:sz w:val="20"/>
                <w:szCs w:val="20"/>
              </w:rPr>
              <w:t xml:space="preserve">key driving factors such as rainfall variability, wind induced </w:t>
            </w:r>
            <w:proofErr w:type="gramStart"/>
            <w:r>
              <w:rPr>
                <w:sz w:val="20"/>
                <w:szCs w:val="20"/>
              </w:rPr>
              <w:t>resuspension ,</w:t>
            </w:r>
            <w:proofErr w:type="gramEnd"/>
            <w:r>
              <w:rPr>
                <w:sz w:val="20"/>
                <w:szCs w:val="20"/>
              </w:rPr>
              <w:t xml:space="preserve"> and fresh water inflow dynamics.</w:t>
            </w:r>
          </w:p>
        </w:tc>
      </w:tr>
    </w:tbl>
    <w:p w:rsidR="008C6931" w:rsidRDefault="008C6931">
      <w:pPr>
        <w:pBdr>
          <w:top w:val="nil"/>
          <w:left w:val="nil"/>
          <w:bottom w:val="nil"/>
          <w:right w:val="nil"/>
          <w:between w:val="nil"/>
        </w:pBdr>
        <w:jc w:val="both"/>
        <w:rPr>
          <w:color w:val="000000"/>
          <w:sz w:val="20"/>
          <w:szCs w:val="20"/>
          <w:u w:val="single"/>
        </w:rPr>
      </w:pPr>
    </w:p>
    <w:p w:rsidR="008C6931" w:rsidRDefault="008C6931">
      <w:pPr>
        <w:pBdr>
          <w:top w:val="nil"/>
          <w:left w:val="nil"/>
          <w:bottom w:val="nil"/>
          <w:right w:val="nil"/>
          <w:between w:val="nil"/>
        </w:pBdr>
        <w:jc w:val="both"/>
        <w:rPr>
          <w:color w:val="000000"/>
          <w:sz w:val="20"/>
          <w:szCs w:val="20"/>
          <w:u w:val="single"/>
        </w:rPr>
      </w:pPr>
      <w:bookmarkStart w:id="1" w:name="_GoBack"/>
      <w:bookmarkEnd w:id="1"/>
    </w:p>
    <w:p w:rsidR="008C6931" w:rsidRDefault="008C6931">
      <w:pPr>
        <w:pBdr>
          <w:top w:val="nil"/>
          <w:left w:val="nil"/>
          <w:bottom w:val="nil"/>
          <w:right w:val="nil"/>
          <w:between w:val="nil"/>
        </w:pBdr>
        <w:jc w:val="both"/>
        <w:rPr>
          <w:color w:val="000000"/>
          <w:sz w:val="20"/>
          <w:szCs w:val="20"/>
          <w:u w:val="single"/>
        </w:rPr>
      </w:pPr>
    </w:p>
    <w:tbl>
      <w:tblPr>
        <w:tblStyle w:val="a6"/>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C6931">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8C6931" w:rsidRDefault="006B04AC">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8C6931" w:rsidRDefault="008C6931">
            <w:pPr>
              <w:spacing w:line="276" w:lineRule="auto"/>
              <w:rPr>
                <w:rFonts w:ascii="Arial" w:eastAsia="Arial" w:hAnsi="Arial" w:cs="Arial"/>
                <w:sz w:val="20"/>
                <w:szCs w:val="20"/>
                <w:u w:val="single"/>
              </w:rPr>
            </w:pPr>
          </w:p>
        </w:tc>
      </w:tr>
      <w:tr w:rsidR="008C6931">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C6931" w:rsidRDefault="008C6931">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8C6931" w:rsidRDefault="006B04AC">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8C6931" w:rsidRDefault="006B04AC">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8C6931" w:rsidRDefault="008C6931">
            <w:pPr>
              <w:keepNext/>
              <w:spacing w:line="276" w:lineRule="auto"/>
              <w:rPr>
                <w:rFonts w:ascii="Arial" w:eastAsia="Arial" w:hAnsi="Arial" w:cs="Arial"/>
                <w:sz w:val="20"/>
                <w:szCs w:val="20"/>
              </w:rPr>
            </w:pPr>
          </w:p>
        </w:tc>
      </w:tr>
      <w:tr w:rsidR="008C6931">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C6931" w:rsidRDefault="006B04AC">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8C6931" w:rsidRDefault="008C6931">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8C6931" w:rsidRDefault="006B04AC">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8C6931" w:rsidRDefault="008C6931">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8C6931" w:rsidRDefault="008C6931">
            <w:pPr>
              <w:spacing w:line="276" w:lineRule="auto"/>
              <w:rPr>
                <w:rFonts w:ascii="Arial" w:eastAsia="Arial" w:hAnsi="Arial" w:cs="Arial"/>
                <w:sz w:val="20"/>
                <w:szCs w:val="20"/>
              </w:rPr>
            </w:pPr>
          </w:p>
          <w:p w:rsidR="008C6931" w:rsidRDefault="006B04AC">
            <w:pPr>
              <w:spacing w:line="276" w:lineRule="auto"/>
              <w:rPr>
                <w:rFonts w:ascii="Arial" w:eastAsia="Arial" w:hAnsi="Arial" w:cs="Arial"/>
                <w:sz w:val="20"/>
                <w:szCs w:val="20"/>
              </w:rPr>
            </w:pPr>
            <w:r>
              <w:rPr>
                <w:rFonts w:ascii="Arial" w:eastAsia="Arial" w:hAnsi="Arial" w:cs="Arial"/>
                <w:sz w:val="20"/>
                <w:szCs w:val="20"/>
              </w:rPr>
              <w:t>There are no ethical issues associated with this study. The research relied exclusively on openly accessible satellite data (Setinel-2) and did not involve human or animal subjects.</w:t>
            </w:r>
          </w:p>
          <w:p w:rsidR="008C6931" w:rsidRDefault="008C6931">
            <w:pPr>
              <w:spacing w:line="276" w:lineRule="auto"/>
              <w:rPr>
                <w:rFonts w:ascii="Arial" w:eastAsia="Arial" w:hAnsi="Arial" w:cs="Arial"/>
                <w:sz w:val="20"/>
                <w:szCs w:val="20"/>
              </w:rPr>
            </w:pPr>
          </w:p>
          <w:p w:rsidR="008C6931" w:rsidRDefault="008C6931">
            <w:pPr>
              <w:spacing w:line="276" w:lineRule="auto"/>
              <w:rPr>
                <w:rFonts w:ascii="Arial" w:eastAsia="Arial" w:hAnsi="Arial" w:cs="Arial"/>
                <w:sz w:val="20"/>
                <w:szCs w:val="20"/>
              </w:rPr>
            </w:pPr>
          </w:p>
        </w:tc>
      </w:tr>
    </w:tbl>
    <w:p w:rsidR="008C6931" w:rsidRDefault="008C6931"/>
    <w:p w:rsidR="008C6931" w:rsidRDefault="008C6931"/>
    <w:p w:rsidR="008C6931" w:rsidRDefault="008C6931">
      <w:pPr>
        <w:rPr>
          <w:u w:val="single"/>
        </w:rPr>
      </w:pPr>
    </w:p>
    <w:p w:rsidR="008C6931" w:rsidRDefault="008C6931"/>
    <w:p w:rsidR="008C6931" w:rsidRDefault="008C6931"/>
    <w:p w:rsidR="008C6931" w:rsidRDefault="008C6931">
      <w:pPr>
        <w:pBdr>
          <w:top w:val="nil"/>
          <w:left w:val="nil"/>
          <w:bottom w:val="nil"/>
          <w:right w:val="nil"/>
          <w:between w:val="nil"/>
        </w:pBdr>
        <w:jc w:val="both"/>
        <w:rPr>
          <w:color w:val="000000"/>
          <w:sz w:val="20"/>
          <w:szCs w:val="20"/>
          <w:u w:val="single"/>
        </w:rPr>
      </w:pPr>
    </w:p>
    <w:sectPr w:rsidR="008C693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04AC" w:rsidRDefault="006B04AC">
      <w:r>
        <w:separator/>
      </w:r>
    </w:p>
  </w:endnote>
  <w:endnote w:type="continuationSeparator" w:id="0">
    <w:p w:rsidR="006B04AC" w:rsidRDefault="006B0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86DA45A6-91D3-4790-A139-D0D2FD9CC12B}"/>
    <w:embedBold r:id="rId2" w:fontKey="{C93BB7DC-1783-4E27-8066-4DB93B671F84}"/>
  </w:font>
  <w:font w:name="Arimo">
    <w:charset w:val="00"/>
    <w:family w:val="auto"/>
    <w:pitch w:val="default"/>
    <w:embedBold r:id="rId3" w:fontKey="{0B1A182D-B6DE-4C97-9E79-121C53562313}"/>
  </w:font>
  <w:font w:name="Georgia">
    <w:panose1 w:val="02040502050405020303"/>
    <w:charset w:val="00"/>
    <w:family w:val="roman"/>
    <w:pitch w:val="variable"/>
    <w:sig w:usb0="00000287" w:usb1="00000000" w:usb2="00000000" w:usb3="00000000" w:csb0="0000009F" w:csb1="00000000"/>
    <w:embedItalic r:id="rId4" w:fontKey="{CCD96404-7F39-43F0-AC57-702240B3829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AA2599BF-1EF2-467A-9E48-3EC120FC4EF2}"/>
  </w:font>
  <w:font w:name="Cambria">
    <w:panose1 w:val="02040503050406030204"/>
    <w:charset w:val="00"/>
    <w:family w:val="roman"/>
    <w:pitch w:val="variable"/>
    <w:sig w:usb0="E00006FF" w:usb1="420024FF" w:usb2="02000000" w:usb3="00000000" w:csb0="0000019F" w:csb1="00000000"/>
    <w:embedRegular r:id="rId6" w:fontKey="{1BFE715E-F2B7-47A4-BD3E-18AEFE947B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6931" w:rsidRDefault="006B04A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04AC" w:rsidRDefault="006B04AC">
      <w:r>
        <w:separator/>
      </w:r>
    </w:p>
  </w:footnote>
  <w:footnote w:type="continuationSeparator" w:id="0">
    <w:p w:rsidR="006B04AC" w:rsidRDefault="006B0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6931" w:rsidRDefault="008C6931">
    <w:pPr>
      <w:spacing w:after="280"/>
      <w:jc w:val="center"/>
      <w:rPr>
        <w:rFonts w:ascii="Arial" w:eastAsia="Arial" w:hAnsi="Arial" w:cs="Arial"/>
        <w:color w:val="003399"/>
        <w:u w:val="single"/>
      </w:rPr>
    </w:pPr>
  </w:p>
  <w:p w:rsidR="008C6931" w:rsidRDefault="006B04A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931"/>
    <w:rsid w:val="0022125C"/>
    <w:rsid w:val="006B04AC"/>
    <w:rsid w:val="008C693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B65870"/>
  <w15:docId w15:val="{53B27656-4506-413C-95F5-147FDD349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108" w:type="dxa"/>
        <w:bottom w:w="0" w:type="dxa"/>
        <w:right w:w="108" w:type="dxa"/>
      </w:tblCellMar>
    </w:tblPr>
  </w:style>
  <w:style w:type="table" w:customStyle="1" w:styleId="a5">
    <w:basedOn w:val="TableNormal1"/>
    <w:tblPr>
      <w:tblStyleRowBandSize w:val="1"/>
      <w:tblStyleColBandSize w:val="1"/>
      <w:tblCellMar>
        <w:top w:w="0" w:type="dxa"/>
        <w:left w:w="0" w:type="dxa"/>
        <w:bottom w:w="0" w:type="dxa"/>
        <w:right w:w="0" w:type="dxa"/>
      </w:tblCellMar>
    </w:tblPr>
  </w:style>
  <w:style w:type="table" w:customStyle="1" w:styleId="a6">
    <w:basedOn w:val="TableNormal1"/>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geesi.com/index.php/JGEES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iySPZAMO3wRm2OuaqvW5KXXFw==">CgMxLjAyDmguOGd2OXgzeGkyZXR3Mg5oLmczc2dxaW5oY28wNjIOaC56MXU0bW03OW91NHY4AHIhMTRVTms3ZUJaVGlhdTNndy02eHQ1SUFESktJWjZHZjUt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748</Words>
  <Characters>4269</Characters>
  <Application>Microsoft Office Word</Application>
  <DocSecurity>0</DocSecurity>
  <Lines>35</Lines>
  <Paragraphs>10</Paragraphs>
  <ScaleCrop>false</ScaleCrop>
  <Company/>
  <LinksUpToDate>false</LinksUpToDate>
  <CharactersWithSpaces>5007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cp:revision>
  <dcterms:created xsi:type="dcterms:W3CDTF">2026-02-04T06:43:00Z</dcterms:created>
  <dcterms:modified xsi:type="dcterms:W3CDTF">2026-02-04T06:44:00Z</dcterms:modified>
</cp:coreProperties>
</file>