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Layout w:type="fixed"/>
        <w:tblCellMar>
          <w:left w:w="0" w:type="dxa"/>
          <w:right w:w="0" w:type="dxa"/>
        </w:tblCellMar>
        <w:tblLook w:val="04A0" w:firstRow="1" w:lastRow="0" w:firstColumn="1" w:lastColumn="0" w:noHBand="0" w:noVBand="1"/>
      </w:tblPr>
      <w:tblGrid>
        <w:gridCol w:w="5166"/>
        <w:gridCol w:w="15765"/>
      </w:tblGrid>
      <w:tr w:rsidR="000F441A">
        <w:trPr>
          <w:trHeight w:val="290"/>
        </w:trPr>
        <w:tc>
          <w:tcPr>
            <w:tcW w:w="20931" w:type="dxa"/>
            <w:gridSpan w:val="2"/>
            <w:tcBorders>
              <w:bottom w:val="single" w:sz="4" w:space="0" w:color="000000"/>
            </w:tcBorders>
          </w:tcPr>
          <w:p w:rsidR="000F441A" w:rsidRDefault="000F441A">
            <w:pPr>
              <w:pStyle w:val="Heading2"/>
              <w:snapToGrid w:val="0"/>
              <w:jc w:val="left"/>
              <w:rPr>
                <w:rFonts w:ascii="Arial" w:hAnsi="Arial" w:cs="Arial"/>
                <w:b w:val="0"/>
                <w:bCs w:val="0"/>
                <w:sz w:val="28"/>
                <w:szCs w:val="28"/>
                <w:lang w:val="en-GB"/>
              </w:rPr>
            </w:pPr>
          </w:p>
        </w:tc>
      </w:tr>
      <w:tr w:rsidR="000F441A">
        <w:trPr>
          <w:trHeight w:val="290"/>
        </w:trPr>
        <w:tc>
          <w:tcPr>
            <w:tcW w:w="5166" w:type="dxa"/>
            <w:tcBorders>
              <w:top w:val="single" w:sz="4" w:space="0" w:color="000000"/>
              <w:left w:val="single" w:sz="4" w:space="0" w:color="000000"/>
              <w:bottom w:val="single" w:sz="4" w:space="0" w:color="000000"/>
              <w:right w:val="single" w:sz="4" w:space="0" w:color="000000"/>
            </w:tcBorders>
          </w:tcPr>
          <w:p w:rsidR="000F441A" w:rsidRDefault="000A51D6">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0F441A" w:rsidRDefault="000A51D6">
            <w:pPr>
              <w:rPr>
                <w:rFonts w:ascii="Arial" w:hAnsi="Arial" w:cs="Arial"/>
                <w:b/>
                <w:bCs/>
                <w:color w:val="0000FF"/>
                <w:sz w:val="20"/>
                <w:szCs w:val="20"/>
              </w:rPr>
            </w:pPr>
            <w:hyperlink r:id="rId7">
              <w:r>
                <w:rPr>
                  <w:rStyle w:val="Hyperlink"/>
                  <w:rFonts w:ascii="Arial" w:hAnsi="Arial" w:cs="Arial"/>
                  <w:b/>
                  <w:bCs/>
                  <w:sz w:val="20"/>
                  <w:szCs w:val="20"/>
                </w:rPr>
                <w:t>Journal of Engineering Research and Reports</w:t>
              </w:r>
            </w:hyperlink>
            <w:r>
              <w:rPr>
                <w:rFonts w:ascii="Arial" w:hAnsi="Arial" w:cs="Arial"/>
                <w:b/>
                <w:bCs/>
                <w:color w:val="0000FF"/>
                <w:sz w:val="20"/>
                <w:szCs w:val="20"/>
              </w:rPr>
              <w:t xml:space="preserve"> </w:t>
            </w:r>
          </w:p>
        </w:tc>
      </w:tr>
      <w:tr w:rsidR="000F441A">
        <w:trPr>
          <w:trHeight w:val="290"/>
        </w:trPr>
        <w:tc>
          <w:tcPr>
            <w:tcW w:w="5166" w:type="dxa"/>
            <w:tcBorders>
              <w:top w:val="single" w:sz="4" w:space="0" w:color="000000"/>
              <w:left w:val="single" w:sz="4" w:space="0" w:color="000000"/>
              <w:bottom w:val="single" w:sz="4" w:space="0" w:color="000000"/>
              <w:right w:val="single" w:sz="4" w:space="0" w:color="000000"/>
            </w:tcBorders>
          </w:tcPr>
          <w:p w:rsidR="000F441A" w:rsidRDefault="000A51D6">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0F441A" w:rsidRDefault="000A51D6">
            <w:pPr>
              <w:pStyle w:val="NormalWeb"/>
              <w:spacing w:before="0" w:after="0"/>
              <w:rPr>
                <w:rFonts w:ascii="Arial" w:hAnsi="Arial" w:cs="Arial"/>
                <w:b/>
                <w:bCs/>
                <w:sz w:val="20"/>
                <w:szCs w:val="28"/>
                <w:lang w:val="en-GB"/>
              </w:rPr>
            </w:pPr>
            <w:r>
              <w:rPr>
                <w:rFonts w:ascii="Arial" w:hAnsi="Arial" w:cs="Arial"/>
                <w:b/>
                <w:bCs/>
                <w:sz w:val="20"/>
                <w:szCs w:val="28"/>
                <w:lang w:val="en-GB"/>
              </w:rPr>
              <w:t>Ms_JERR_153023</w:t>
            </w:r>
          </w:p>
        </w:tc>
      </w:tr>
      <w:tr w:rsidR="000F441A">
        <w:trPr>
          <w:trHeight w:val="650"/>
        </w:trPr>
        <w:tc>
          <w:tcPr>
            <w:tcW w:w="5166" w:type="dxa"/>
            <w:tcBorders>
              <w:top w:val="single" w:sz="4" w:space="0" w:color="000000"/>
              <w:left w:val="single" w:sz="4" w:space="0" w:color="000000"/>
              <w:bottom w:val="single" w:sz="4" w:space="0" w:color="000000"/>
              <w:right w:val="single" w:sz="4" w:space="0" w:color="000000"/>
            </w:tcBorders>
          </w:tcPr>
          <w:p w:rsidR="000F441A" w:rsidRDefault="000A51D6">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0F441A" w:rsidRDefault="000A51D6">
            <w:pPr>
              <w:pStyle w:val="NormalWeb"/>
              <w:spacing w:before="0" w:after="0"/>
              <w:rPr>
                <w:rFonts w:ascii="Arial" w:hAnsi="Arial" w:cs="Arial"/>
                <w:b/>
                <w:sz w:val="20"/>
                <w:szCs w:val="28"/>
                <w:lang w:val="en-GB"/>
              </w:rPr>
            </w:pPr>
            <w:r>
              <w:rPr>
                <w:rFonts w:ascii="Arial" w:hAnsi="Arial" w:cs="Arial"/>
                <w:b/>
                <w:sz w:val="20"/>
                <w:szCs w:val="28"/>
                <w:lang w:val="en-GB"/>
              </w:rPr>
              <w:t xml:space="preserve">Solid-Waste </w:t>
            </w:r>
            <w:proofErr w:type="spellStart"/>
            <w:r>
              <w:rPr>
                <w:rFonts w:ascii="Arial" w:hAnsi="Arial" w:cs="Arial"/>
                <w:b/>
                <w:sz w:val="20"/>
                <w:szCs w:val="28"/>
                <w:lang w:val="en-GB"/>
              </w:rPr>
              <w:t>Valorization</w:t>
            </w:r>
            <w:proofErr w:type="spellEnd"/>
            <w:r>
              <w:rPr>
                <w:rFonts w:ascii="Arial" w:hAnsi="Arial" w:cs="Arial"/>
                <w:b/>
                <w:sz w:val="20"/>
                <w:szCs w:val="28"/>
                <w:lang w:val="en-GB"/>
              </w:rPr>
              <w:t xml:space="preserve"> in Cementitious Binders: Feedstocks, Reaction </w:t>
            </w:r>
            <w:r>
              <w:rPr>
                <w:rFonts w:ascii="Arial" w:hAnsi="Arial" w:cs="Arial"/>
                <w:b/>
                <w:sz w:val="20"/>
                <w:szCs w:val="28"/>
                <w:lang w:val="en-GB"/>
              </w:rPr>
              <w:t>Pathways, Performance, and Remaining Barriers — A Civil Engineering Review</w:t>
            </w:r>
          </w:p>
        </w:tc>
      </w:tr>
      <w:tr w:rsidR="000F441A">
        <w:trPr>
          <w:trHeight w:val="332"/>
        </w:trPr>
        <w:tc>
          <w:tcPr>
            <w:tcW w:w="5166" w:type="dxa"/>
            <w:tcBorders>
              <w:top w:val="single" w:sz="4" w:space="0" w:color="000000"/>
              <w:left w:val="single" w:sz="4" w:space="0" w:color="000000"/>
              <w:bottom w:val="single" w:sz="4" w:space="0" w:color="000000"/>
              <w:right w:val="single" w:sz="4" w:space="0" w:color="000000"/>
            </w:tcBorders>
          </w:tcPr>
          <w:p w:rsidR="000F441A" w:rsidRDefault="000A51D6">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15765"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0F441A" w:rsidRDefault="000A51D6">
            <w:pPr>
              <w:pStyle w:val="NormalWeb"/>
              <w:spacing w:before="0" w:after="0"/>
              <w:rPr>
                <w:rFonts w:ascii="Arial" w:hAnsi="Arial" w:cs="Arial"/>
                <w:b/>
                <w:sz w:val="20"/>
                <w:szCs w:val="28"/>
                <w:lang w:val="en-GB"/>
              </w:rPr>
            </w:pPr>
            <w:r>
              <w:rPr>
                <w:rFonts w:ascii="Arial" w:hAnsi="Arial" w:cs="Arial"/>
                <w:b/>
                <w:sz w:val="20"/>
                <w:szCs w:val="28"/>
                <w:lang w:val="en-GB"/>
              </w:rPr>
              <w:t>Review Article</w:t>
            </w:r>
          </w:p>
        </w:tc>
      </w:tr>
    </w:tbl>
    <w:p w:rsidR="000F441A" w:rsidRDefault="000F441A">
      <w:pPr>
        <w:pStyle w:val="BodyText"/>
        <w:rPr>
          <w:rFonts w:ascii="Arial" w:hAnsi="Arial" w:cs="Arial"/>
          <w:b/>
          <w:bCs/>
          <w:sz w:val="20"/>
          <w:szCs w:val="20"/>
          <w:u w:val="single"/>
          <w:lang w:val="en-GB"/>
        </w:rPr>
      </w:pPr>
    </w:p>
    <w:p w:rsidR="000F441A" w:rsidRDefault="000F441A">
      <w:pPr>
        <w:rPr>
          <w:rFonts w:ascii="Arial" w:hAnsi="Arial" w:cs="Arial"/>
          <w:b/>
          <w:bCs/>
          <w:sz w:val="20"/>
          <w:szCs w:val="20"/>
          <w:u w:val="single"/>
          <w:lang w:val="en-GB"/>
        </w:rPr>
      </w:pPr>
    </w:p>
    <w:tbl>
      <w:tblPr>
        <w:tblW w:w="5000" w:type="pct"/>
        <w:tblLayout w:type="fixed"/>
        <w:tblLook w:val="04A0" w:firstRow="1" w:lastRow="0" w:firstColumn="1" w:lastColumn="0" w:noHBand="0" w:noVBand="1"/>
      </w:tblPr>
      <w:tblGrid>
        <w:gridCol w:w="5349"/>
        <w:gridCol w:w="9356"/>
        <w:gridCol w:w="6442"/>
      </w:tblGrid>
      <w:tr w:rsidR="000F441A">
        <w:tc>
          <w:tcPr>
            <w:tcW w:w="20931" w:type="dxa"/>
            <w:gridSpan w:val="3"/>
            <w:tcBorders>
              <w:bottom w:val="single" w:sz="4" w:space="0" w:color="000000"/>
            </w:tcBorders>
          </w:tcPr>
          <w:p w:rsidR="000F441A" w:rsidRDefault="000A51D6">
            <w:pPr>
              <w:pStyle w:val="Heading2"/>
              <w:jc w:val="left"/>
            </w:pPr>
            <w:r>
              <w:rPr>
                <w:rFonts w:ascii="Times New Roman" w:hAnsi="Times New Roman" w:cs="Times New Roman"/>
                <w:highlight w:val="yellow"/>
                <w:lang w:val="en-GB"/>
              </w:rPr>
              <w:t>PART  1:</w:t>
            </w:r>
            <w:r>
              <w:rPr>
                <w:rFonts w:ascii="Times New Roman" w:hAnsi="Times New Roman" w:cs="Times New Roman"/>
                <w:lang w:val="en-GB"/>
              </w:rPr>
              <w:t xml:space="preserve"> Comments</w:t>
            </w:r>
          </w:p>
          <w:p w:rsidR="000F441A" w:rsidRDefault="000F441A">
            <w:pPr>
              <w:rPr>
                <w:sz w:val="20"/>
                <w:szCs w:val="20"/>
                <w:lang w:val="en-GB"/>
              </w:rPr>
            </w:pPr>
          </w:p>
        </w:tc>
      </w:tr>
      <w:tr w:rsidR="000F441A">
        <w:tc>
          <w:tcPr>
            <w:tcW w:w="5295" w:type="dxa"/>
            <w:tcBorders>
              <w:top w:val="single" w:sz="4" w:space="0" w:color="000000"/>
              <w:left w:val="single" w:sz="4" w:space="0" w:color="000000"/>
              <w:bottom w:val="single" w:sz="4" w:space="0" w:color="000000"/>
              <w:right w:val="single" w:sz="4" w:space="0" w:color="000000"/>
            </w:tcBorders>
          </w:tcPr>
          <w:p w:rsidR="000F441A" w:rsidRDefault="000F441A">
            <w:pPr>
              <w:pStyle w:val="Heading2"/>
              <w:snapToGrid w:val="0"/>
              <w:jc w:val="left"/>
              <w:rPr>
                <w:rFonts w:ascii="Times New Roman" w:hAnsi="Times New Roman" w:cs="Times New Roman"/>
                <w:lang w:val="en-GB"/>
              </w:rPr>
            </w:pP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pStyle w:val="Heading2"/>
              <w:jc w:val="left"/>
              <w:rPr>
                <w:rFonts w:ascii="Times New Roman" w:hAnsi="Times New Roman" w:cs="Times New Roman"/>
                <w:lang w:val="en-GB"/>
              </w:rPr>
            </w:pPr>
            <w:r>
              <w:rPr>
                <w:rFonts w:ascii="Times New Roman" w:hAnsi="Times New Roman" w:cs="Times New Roman"/>
                <w:lang w:val="en-GB"/>
              </w:rPr>
              <w:t>Reviewer’s comment</w:t>
            </w:r>
          </w:p>
          <w:p w:rsidR="000F441A" w:rsidRDefault="000F441A">
            <w:pPr>
              <w:rPr>
                <w:b/>
                <w:bCs/>
                <w:sz w:val="20"/>
                <w:szCs w:val="20"/>
                <w:lang w:val="en-GB"/>
              </w:rPr>
            </w:pPr>
          </w:p>
          <w:p w:rsidR="000F441A" w:rsidRDefault="000F441A">
            <w:pPr>
              <w:rPr>
                <w:b/>
                <w:bCs/>
                <w:sz w:val="20"/>
                <w:szCs w:val="20"/>
                <w:lang w:val="en-GB"/>
              </w:rPr>
            </w:pP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F441A" w:rsidRDefault="000F441A">
            <w:pPr>
              <w:pStyle w:val="Heading2"/>
              <w:jc w:val="left"/>
              <w:rPr>
                <w:rFonts w:ascii="Times New Roman" w:eastAsia="Calibri" w:hAnsi="Times New Roman" w:cs="Times New Roman"/>
                <w:b w:val="0"/>
                <w:kern w:val="2"/>
                <w:lang w:val="en-GB"/>
              </w:rPr>
            </w:pPr>
          </w:p>
        </w:tc>
      </w:tr>
      <w:tr w:rsidR="000F441A">
        <w:trPr>
          <w:trHeight w:val="1264"/>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ind w:left="360"/>
            </w:pPr>
            <w:r>
              <w:rPr>
                <w:b/>
                <w:bCs/>
                <w:sz w:val="20"/>
                <w:szCs w:val="20"/>
                <w:lang w:val="en-GB"/>
              </w:rPr>
              <w:t>Please write a</w:t>
            </w:r>
            <w:r>
              <w:rPr>
                <w:b/>
                <w:bCs/>
                <w:sz w:val="20"/>
                <w:szCs w:val="20"/>
                <w:lang w:val="en-GB"/>
              </w:rPr>
              <w:t xml:space="preserve"> few sentences regarding the importance of this manuscript for the scientific community. A minimum of 3-4 sentences may be required for this part.</w:t>
            </w:r>
          </w:p>
          <w:p w:rsidR="000F441A" w:rsidRDefault="000F441A">
            <w:pPr>
              <w:ind w:left="360"/>
              <w:rPr>
                <w:rFonts w:eastAsia="MS Mincho;Yu Gothic UI"/>
                <w:b/>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pStyle w:val="ListParagraph"/>
              <w:ind w:left="0"/>
              <w:jc w:val="both"/>
              <w:rPr>
                <w:sz w:val="22"/>
                <w:szCs w:val="22"/>
                <w:lang w:val="en-GB"/>
              </w:rPr>
            </w:pPr>
            <w:r>
              <w:rPr>
                <w:sz w:val="22"/>
                <w:szCs w:val="22"/>
                <w:lang w:val="en-GB"/>
              </w:rPr>
              <w:t xml:space="preserve">This manuscript is significant to the scientific and engineering community as it consolidates dispersed </w:t>
            </w:r>
            <w:r>
              <w:rPr>
                <w:sz w:val="22"/>
                <w:szCs w:val="22"/>
                <w:lang w:val="en-GB"/>
              </w:rPr>
              <w:t>research on solid-waste-derived cementitious binders into a unified, performance-oriented framework. It clarifies how feedstock chemistry and processing govern reaction pathways and durability-relevant properties. By emphasizing realistic service exposures</w:t>
            </w:r>
            <w:r>
              <w:rPr>
                <w:sz w:val="22"/>
                <w:szCs w:val="22"/>
                <w:lang w:val="en-GB"/>
              </w:rPr>
              <w:t xml:space="preserve"> and quality-control challenges, the review addresses key barriers to practical implementation. The integration of structural performance, durability, and environmental assessment strengthens the relevance for infrastructure applications. Overall, it provi</w:t>
            </w:r>
            <w:r>
              <w:rPr>
                <w:sz w:val="22"/>
                <w:szCs w:val="22"/>
                <w:lang w:val="en-GB"/>
              </w:rPr>
              <w:t>des a clear roadmap for advancing low-carbon, waste-</w:t>
            </w:r>
            <w:proofErr w:type="spellStart"/>
            <w:r>
              <w:rPr>
                <w:sz w:val="22"/>
                <w:szCs w:val="22"/>
                <w:lang w:val="en-GB"/>
              </w:rPr>
              <w:t>valorized</w:t>
            </w:r>
            <w:proofErr w:type="spellEnd"/>
            <w:r>
              <w:rPr>
                <w:sz w:val="22"/>
                <w:szCs w:val="22"/>
                <w:lang w:val="en-GB"/>
              </w:rPr>
              <w:t xml:space="preserve"> construction materials.</w:t>
            </w: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 for the constructive assessment. The revised review consolidates recent advances on solid-waste-derived cementitious binders into a coherent, civil-engineering–</w:t>
            </w:r>
            <w:r>
              <w:rPr>
                <w:sz w:val="22"/>
              </w:rPr>
              <w:t>focused narrative. It links feedstock chemistry and processing to reaction products, cracking/shrinkage risks, and durability-relevant transport indicators under realistic service exposures. The manuscript also highlights practical barriers—variability con</w:t>
            </w:r>
            <w:r>
              <w:rPr>
                <w:sz w:val="22"/>
              </w:rPr>
              <w:t>trol, curing requirements, testing standardization, and environmental safety—providing a roadmap for performance-based adoption in infrastructure.</w:t>
            </w:r>
          </w:p>
        </w:tc>
      </w:tr>
      <w:tr w:rsidR="000F441A">
        <w:trPr>
          <w:trHeight w:val="1262"/>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ind w:left="360"/>
              <w:rPr>
                <w:b/>
                <w:bCs/>
                <w:sz w:val="20"/>
                <w:szCs w:val="20"/>
                <w:lang w:val="en-GB"/>
              </w:rPr>
            </w:pPr>
            <w:r>
              <w:rPr>
                <w:b/>
                <w:bCs/>
                <w:sz w:val="20"/>
                <w:szCs w:val="20"/>
                <w:lang w:val="en-GB"/>
              </w:rPr>
              <w:t>Is the title of the article suitable?</w:t>
            </w:r>
          </w:p>
          <w:p w:rsidR="000F441A" w:rsidRDefault="000A51D6">
            <w:pPr>
              <w:ind w:left="360"/>
              <w:rPr>
                <w:b/>
                <w:bCs/>
                <w:sz w:val="20"/>
                <w:szCs w:val="20"/>
                <w:lang w:val="en-GB"/>
              </w:rPr>
            </w:pPr>
            <w:r>
              <w:rPr>
                <w:b/>
                <w:bCs/>
                <w:sz w:val="20"/>
                <w:szCs w:val="20"/>
                <w:lang w:val="en-GB"/>
              </w:rPr>
              <w:t>(If not please suggest an alternative title)</w:t>
            </w: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jc w:val="both"/>
              <w:rPr>
                <w:sz w:val="22"/>
                <w:szCs w:val="22"/>
                <w:lang w:val="en-GB"/>
              </w:rPr>
            </w:pPr>
            <w:r>
              <w:rPr>
                <w:sz w:val="22"/>
                <w:szCs w:val="22"/>
                <w:lang w:val="en-GB"/>
              </w:rPr>
              <w:t>The title is largely suit</w:t>
            </w:r>
            <w:r>
              <w:rPr>
                <w:sz w:val="22"/>
                <w:szCs w:val="22"/>
                <w:lang w:val="en-GB"/>
              </w:rPr>
              <w:t>able: it is clear, technically accurate, and signals both the materials scope and the civil-engineering perspective.</w:t>
            </w: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 We agree the title is suitable and reflects the scope accurately; it has been kept unchanged.</w:t>
            </w:r>
          </w:p>
        </w:tc>
      </w:tr>
      <w:tr w:rsidR="000F441A">
        <w:trPr>
          <w:trHeight w:val="1262"/>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pStyle w:val="Heading2"/>
              <w:ind w:left="360"/>
              <w:jc w:val="left"/>
            </w:pPr>
            <w:r>
              <w:rPr>
                <w:rFonts w:ascii="Times New Roman" w:hAnsi="Times New Roman" w:cs="Times New Roman"/>
                <w:lang w:val="en-GB"/>
              </w:rPr>
              <w:t xml:space="preserve">Is the abstract of the article </w:t>
            </w:r>
            <w:r>
              <w:rPr>
                <w:rFonts w:ascii="Times New Roman" w:hAnsi="Times New Roman" w:cs="Times New Roman"/>
                <w:lang w:val="en-GB"/>
              </w:rPr>
              <w:t>comprehensive? Do you suggest the addition (or deletion) of some points in this section? Please write your suggestions here.</w:t>
            </w:r>
          </w:p>
          <w:p w:rsidR="000F441A" w:rsidRDefault="000F441A">
            <w:pPr>
              <w:pStyle w:val="Heading2"/>
              <w:jc w:val="left"/>
              <w:rPr>
                <w:rFonts w:ascii="Times New Roman" w:hAnsi="Times New Roman" w:cs="Times New Roman"/>
                <w:u w:val="single"/>
                <w:lang w:val="en-GB"/>
              </w:rPr>
            </w:pP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jc w:val="both"/>
              <w:rPr>
                <w:sz w:val="22"/>
                <w:szCs w:val="22"/>
                <w:lang w:val="en-GB"/>
              </w:rPr>
            </w:pPr>
            <w:r>
              <w:rPr>
                <w:sz w:val="22"/>
                <w:szCs w:val="22"/>
                <w:lang w:val="en-GB"/>
              </w:rPr>
              <w:t>The abstract is comprehensive, well structured, and appropriate for a high-quality review article.</w:t>
            </w:r>
          </w:p>
          <w:p w:rsidR="000F441A" w:rsidRDefault="000A51D6">
            <w:pPr>
              <w:numPr>
                <w:ilvl w:val="0"/>
                <w:numId w:val="2"/>
              </w:numPr>
              <w:jc w:val="both"/>
              <w:rPr>
                <w:sz w:val="22"/>
                <w:szCs w:val="22"/>
                <w:lang w:val="en-GB"/>
              </w:rPr>
            </w:pPr>
            <w:r>
              <w:rPr>
                <w:sz w:val="22"/>
                <w:szCs w:val="22"/>
                <w:lang w:val="en-GB"/>
              </w:rPr>
              <w:t>Minor deletion/condensation.</w:t>
            </w:r>
          </w:p>
          <w:p w:rsidR="000F441A" w:rsidRDefault="000A51D6">
            <w:pPr>
              <w:jc w:val="both"/>
              <w:rPr>
                <w:sz w:val="22"/>
                <w:szCs w:val="22"/>
                <w:lang w:val="en-GB"/>
              </w:rPr>
            </w:pPr>
            <w:r>
              <w:rPr>
                <w:sz w:val="22"/>
                <w:szCs w:val="22"/>
                <w:lang w:val="en-GB"/>
              </w:rPr>
              <w:t>Th</w:t>
            </w:r>
            <w:r>
              <w:rPr>
                <w:sz w:val="22"/>
                <w:szCs w:val="22"/>
                <w:lang w:val="en-GB"/>
              </w:rPr>
              <w:t xml:space="preserve">e sentence on “practical strategies” is strong but could be slightly condensed to avoid repetition with the barrier discussion </w:t>
            </w:r>
            <w:proofErr w:type="gramStart"/>
            <w:r>
              <w:rPr>
                <w:sz w:val="22"/>
                <w:szCs w:val="22"/>
                <w:lang w:val="en-GB"/>
              </w:rPr>
              <w:t>( merging</w:t>
            </w:r>
            <w:proofErr w:type="gramEnd"/>
            <w:r>
              <w:rPr>
                <w:sz w:val="22"/>
                <w:szCs w:val="22"/>
                <w:lang w:val="en-GB"/>
              </w:rPr>
              <w:t xml:space="preserve"> variability and quality control concepts).</w:t>
            </w: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 We slightly condensed and streamlined the abstract to reduce repe</w:t>
            </w:r>
            <w:r>
              <w:rPr>
                <w:sz w:val="22"/>
              </w:rPr>
              <w:t>tition and improve readability while retaining all key messages.</w:t>
            </w:r>
          </w:p>
        </w:tc>
      </w:tr>
      <w:tr w:rsidR="000F441A">
        <w:trPr>
          <w:trHeight w:val="704"/>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pStyle w:val="Heading2"/>
              <w:ind w:left="360"/>
              <w:jc w:val="left"/>
              <w:rPr>
                <w:b w:val="0"/>
                <w:bCs w:val="0"/>
                <w:u w:val="single"/>
                <w:lang w:val="en-GB"/>
              </w:rPr>
            </w:pPr>
            <w:r>
              <w:rPr>
                <w:rFonts w:ascii="Times New Roman" w:hAnsi="Times New Roman" w:cs="Times New Roman"/>
                <w:lang w:val="en-GB"/>
              </w:rPr>
              <w:t>Is the manuscript scientifically, correct? Please write here.</w:t>
            </w: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pStyle w:val="ListParagraph"/>
              <w:ind w:left="0"/>
              <w:jc w:val="both"/>
              <w:rPr>
                <w:sz w:val="22"/>
                <w:szCs w:val="22"/>
                <w:lang w:val="en-GB"/>
              </w:rPr>
            </w:pPr>
            <w:r>
              <w:rPr>
                <w:sz w:val="22"/>
                <w:szCs w:val="22"/>
                <w:lang w:val="en-GB"/>
              </w:rPr>
              <w:t>The manuscript is scientifically correct, balanced, and rigorous, with no substantive errors identified. It meets the expectatio</w:t>
            </w:r>
            <w:r>
              <w:rPr>
                <w:sz w:val="22"/>
                <w:szCs w:val="22"/>
                <w:lang w:val="en-GB"/>
              </w:rPr>
              <w:t>ns of a high-quality review article for the civil engineering and cementitious materials research community</w:t>
            </w: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 We re-checked the scientific content and improved wording where needed for precision. The technical statements and interpretations remain</w:t>
            </w:r>
            <w:r>
              <w:rPr>
                <w:sz w:val="22"/>
              </w:rPr>
              <w:t xml:space="preserve"> accurate and balanced.</w:t>
            </w:r>
          </w:p>
        </w:tc>
      </w:tr>
      <w:tr w:rsidR="000F441A">
        <w:trPr>
          <w:trHeight w:val="703"/>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pStyle w:val="ListParagraph"/>
              <w:ind w:left="0"/>
              <w:jc w:val="both"/>
              <w:rPr>
                <w:sz w:val="22"/>
                <w:szCs w:val="22"/>
                <w:lang w:val="en-GB"/>
              </w:rPr>
            </w:pPr>
            <w:r>
              <w:rPr>
                <w:sz w:val="22"/>
                <w:szCs w:val="22"/>
                <w:lang w:val="en-GB"/>
              </w:rPr>
              <w:t xml:space="preserve">The current reference list is broadly relevant and historically strong, but it could be </w:t>
            </w:r>
            <w:r>
              <w:rPr>
                <w:sz w:val="22"/>
                <w:szCs w:val="22"/>
                <w:lang w:val="en-GB"/>
              </w:rPr>
              <w:t xml:space="preserve">strengthened further with more recent, high-impact reviews and studies (2024–2025) that align closely with the manuscript’s focus on feedstock </w:t>
            </w:r>
            <w:proofErr w:type="spellStart"/>
            <w:r>
              <w:rPr>
                <w:sz w:val="22"/>
                <w:szCs w:val="22"/>
                <w:lang w:val="en-GB"/>
              </w:rPr>
              <w:t>valorization</w:t>
            </w:r>
            <w:proofErr w:type="spellEnd"/>
            <w:r>
              <w:rPr>
                <w:sz w:val="22"/>
                <w:szCs w:val="22"/>
                <w:lang w:val="en-GB"/>
              </w:rPr>
              <w:t>, alkali-activated materials, durability, and sustainability metrics.</w:t>
            </w:r>
          </w:p>
          <w:p w:rsidR="000F441A" w:rsidRDefault="000A51D6">
            <w:pPr>
              <w:pStyle w:val="ListParagraph"/>
              <w:ind w:left="0"/>
              <w:jc w:val="both"/>
              <w:rPr>
                <w:sz w:val="22"/>
                <w:szCs w:val="22"/>
                <w:lang w:val="en-GB"/>
              </w:rPr>
            </w:pPr>
            <w:r>
              <w:rPr>
                <w:sz w:val="22"/>
                <w:szCs w:val="22"/>
                <w:lang w:val="en-GB"/>
              </w:rPr>
              <w:t>I suggest the following referen</w:t>
            </w:r>
            <w:r>
              <w:rPr>
                <w:sz w:val="22"/>
                <w:szCs w:val="22"/>
                <w:lang w:val="en-GB"/>
              </w:rPr>
              <w:t xml:space="preserve">ce: </w:t>
            </w:r>
            <w:r>
              <w:rPr>
                <w:color w:val="00B0F0"/>
                <w:sz w:val="22"/>
                <w:szCs w:val="22"/>
                <w:lang w:val="en-GB"/>
              </w:rPr>
              <w:t>https://doi.org/10.5599/jese.2449</w:t>
            </w:r>
            <w:r>
              <w:rPr>
                <w:sz w:val="22"/>
                <w:szCs w:val="22"/>
                <w:lang w:val="en-GB"/>
              </w:rPr>
              <w:t>.</w:t>
            </w:r>
          </w:p>
          <w:p w:rsidR="000F441A" w:rsidRDefault="000F441A">
            <w:pPr>
              <w:pStyle w:val="ListParagraph"/>
              <w:ind w:left="0"/>
              <w:jc w:val="both"/>
              <w:rPr>
                <w:sz w:val="22"/>
                <w:szCs w:val="22"/>
                <w:lang w:val="en-GB"/>
              </w:rPr>
            </w:pP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 for the suggestion. We added additional recent (2024–2025) peer-reviewed journal studies relevant to waste valorization, low-carbon binders, and durability performance, and ensured DOI information is includ</w:t>
            </w:r>
            <w:r>
              <w:rPr>
                <w:sz w:val="22"/>
              </w:rPr>
              <w:t>ed wherever available. The new references have been integrated into the in-text citations. Regarding the suggested DOI (10.5599/jese.2449), we will include and cite it if it is fully aligned with the manuscript scope and journal requirements.</w:t>
            </w:r>
          </w:p>
        </w:tc>
      </w:tr>
      <w:tr w:rsidR="000F441A">
        <w:trPr>
          <w:trHeight w:val="386"/>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pStyle w:val="Heading2"/>
              <w:ind w:left="360"/>
              <w:jc w:val="left"/>
            </w:pPr>
            <w:r>
              <w:rPr>
                <w:rFonts w:ascii="Times New Roman" w:hAnsi="Times New Roman" w:cs="Times New Roman"/>
                <w:bCs w:val="0"/>
                <w:lang w:val="en-GB"/>
              </w:rPr>
              <w:t>Is the langu</w:t>
            </w:r>
            <w:r>
              <w:rPr>
                <w:rFonts w:ascii="Times New Roman" w:hAnsi="Times New Roman" w:cs="Times New Roman"/>
                <w:bCs w:val="0"/>
                <w:lang w:val="en-GB"/>
              </w:rPr>
              <w:t>age/English quality of the article suitable for scholarly communications?</w:t>
            </w:r>
          </w:p>
          <w:p w:rsidR="000F441A" w:rsidRDefault="000F441A">
            <w:pPr>
              <w:rPr>
                <w:bCs/>
                <w:sz w:val="20"/>
                <w:szCs w:val="20"/>
                <w:lang w:val="en-GB"/>
              </w:rPr>
            </w:pP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jc w:val="both"/>
              <w:rPr>
                <w:sz w:val="22"/>
                <w:szCs w:val="22"/>
                <w:lang w:val="en-GB"/>
              </w:rPr>
            </w:pPr>
            <w:r>
              <w:rPr>
                <w:sz w:val="22"/>
                <w:szCs w:val="22"/>
                <w:lang w:val="en-GB"/>
              </w:rPr>
              <w:t xml:space="preserve">The language and English quality of the article are generally suitable for scholarly communication. It is clear, precise, and uses terminology appropriate for civil engineering and </w:t>
            </w:r>
            <w:r>
              <w:rPr>
                <w:sz w:val="22"/>
                <w:szCs w:val="22"/>
                <w:lang w:val="en-GB"/>
              </w:rPr>
              <w:t>materials science audiences.</w:t>
            </w: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 We improved readability by simplifying several long sentences, removing occasional repetition, and polishing grammar while preserving technical meaning.</w:t>
            </w:r>
          </w:p>
        </w:tc>
      </w:tr>
      <w:tr w:rsidR="000F441A">
        <w:trPr>
          <w:trHeight w:val="1178"/>
        </w:trPr>
        <w:tc>
          <w:tcPr>
            <w:tcW w:w="5295" w:type="dxa"/>
            <w:tcBorders>
              <w:top w:val="single" w:sz="4" w:space="0" w:color="000000"/>
              <w:left w:val="single" w:sz="4" w:space="0" w:color="000000"/>
              <w:bottom w:val="single" w:sz="4" w:space="0" w:color="000000"/>
              <w:right w:val="single" w:sz="4" w:space="0" w:color="000000"/>
            </w:tcBorders>
          </w:tcPr>
          <w:p w:rsidR="000F441A" w:rsidRDefault="000A51D6">
            <w:pPr>
              <w:pStyle w:val="Heading2"/>
              <w:jc w:val="left"/>
            </w:pPr>
            <w:r>
              <w:rPr>
                <w:rFonts w:ascii="Times New Roman" w:hAnsi="Times New Roman" w:cs="Times New Roman"/>
                <w:bCs w:val="0"/>
                <w:u w:val="single"/>
                <w:lang w:val="en-GB"/>
              </w:rPr>
              <w:t>Optional/General</w:t>
            </w:r>
            <w:r>
              <w:rPr>
                <w:rFonts w:ascii="Times New Roman" w:hAnsi="Times New Roman" w:cs="Times New Roman"/>
                <w:bCs w:val="0"/>
                <w:lang w:val="en-GB"/>
              </w:rPr>
              <w:t xml:space="preserve"> </w:t>
            </w:r>
            <w:r>
              <w:rPr>
                <w:rFonts w:ascii="Times New Roman" w:hAnsi="Times New Roman" w:cs="Times New Roman"/>
                <w:b w:val="0"/>
                <w:bCs w:val="0"/>
                <w:lang w:val="en-GB"/>
              </w:rPr>
              <w:t>comments</w:t>
            </w:r>
          </w:p>
          <w:p w:rsidR="000F441A" w:rsidRDefault="000F441A">
            <w:pPr>
              <w:pStyle w:val="Heading2"/>
              <w:jc w:val="left"/>
              <w:rPr>
                <w:rFonts w:ascii="Times New Roman" w:hAnsi="Times New Roman" w:cs="Times New Roman"/>
                <w:b w:val="0"/>
                <w:bCs w:val="0"/>
                <w:lang w:val="en-GB"/>
              </w:rPr>
            </w:pPr>
          </w:p>
        </w:tc>
        <w:tc>
          <w:tcPr>
            <w:tcW w:w="9260" w:type="dxa"/>
            <w:tcBorders>
              <w:top w:val="single" w:sz="4" w:space="0" w:color="000000"/>
              <w:left w:val="single" w:sz="4" w:space="0" w:color="000000"/>
              <w:bottom w:val="single" w:sz="4" w:space="0" w:color="000000"/>
              <w:right w:val="single" w:sz="4" w:space="0" w:color="000000"/>
            </w:tcBorders>
          </w:tcPr>
          <w:p w:rsidR="000F441A" w:rsidRDefault="000A51D6">
            <w:pPr>
              <w:pStyle w:val="NormalWeb"/>
              <w:spacing w:before="0" w:after="0"/>
              <w:jc w:val="both"/>
              <w:rPr>
                <w:rFonts w:ascii="Times New Roman" w:hAnsi="Times New Roman" w:cs="Times New Roman"/>
                <w:sz w:val="22"/>
                <w:szCs w:val="22"/>
                <w:lang w:val="en-GB"/>
              </w:rPr>
            </w:pPr>
            <w:r>
              <w:rPr>
                <w:rFonts w:ascii="Times New Roman" w:hAnsi="Times New Roman" w:cs="Times New Roman"/>
                <w:sz w:val="22"/>
                <w:szCs w:val="22"/>
                <w:lang w:val="en-GB"/>
              </w:rPr>
              <w:t xml:space="preserve">The article successfully bridges </w:t>
            </w:r>
            <w:r>
              <w:rPr>
                <w:rFonts w:ascii="Times New Roman" w:hAnsi="Times New Roman" w:cs="Times New Roman"/>
                <w:sz w:val="22"/>
                <w:szCs w:val="22"/>
                <w:lang w:val="en-GB"/>
              </w:rPr>
              <w:t>the gap between materials science and structural engineering, providing actionable insights for practitioners and researchers alike. Minor improvements could further enhance clarity, such as breaking down long sentences, reducing occasional repetition, and</w:t>
            </w:r>
            <w:r>
              <w:rPr>
                <w:rFonts w:ascii="Times New Roman" w:hAnsi="Times New Roman" w:cs="Times New Roman"/>
                <w:sz w:val="22"/>
                <w:szCs w:val="22"/>
                <w:lang w:val="en-GB"/>
              </w:rPr>
              <w:t xml:space="preserve"> slightly simplifying complex phrasing for readability.</w:t>
            </w:r>
          </w:p>
        </w:tc>
        <w:tc>
          <w:tcPr>
            <w:tcW w:w="6376" w:type="dxa"/>
            <w:tcBorders>
              <w:top w:val="single" w:sz="4" w:space="0" w:color="000000"/>
              <w:left w:val="single" w:sz="4" w:space="0" w:color="000000"/>
              <w:bottom w:val="single" w:sz="4" w:space="0" w:color="000000"/>
              <w:right w:val="single" w:sz="4" w:space="0" w:color="000000"/>
            </w:tcBorders>
          </w:tcPr>
          <w:p w:rsidR="000F441A" w:rsidRDefault="000A51D6">
            <w:r>
              <w:rPr>
                <w:sz w:val="22"/>
              </w:rPr>
              <w:t>Thank you.</w:t>
            </w:r>
          </w:p>
        </w:tc>
      </w:tr>
    </w:tbl>
    <w:p w:rsidR="000F441A" w:rsidRDefault="000F441A">
      <w:pPr>
        <w:pStyle w:val="BodyText"/>
        <w:rPr>
          <w:rFonts w:ascii="Times New Roman" w:hAnsi="Times New Roman" w:cs="Times New Roman"/>
          <w:b/>
          <w:bCs/>
          <w:sz w:val="20"/>
          <w:szCs w:val="20"/>
          <w:u w:val="single"/>
          <w:lang w:val="en-GB"/>
        </w:rPr>
      </w:pPr>
    </w:p>
    <w:p w:rsidR="000F441A" w:rsidRDefault="000F441A">
      <w:pPr>
        <w:pStyle w:val="BodyText"/>
        <w:rPr>
          <w:rFonts w:ascii="Times New Roman" w:hAnsi="Times New Roman" w:cs="Times New Roman"/>
          <w:b/>
          <w:bCs/>
          <w:sz w:val="20"/>
          <w:szCs w:val="20"/>
          <w:u w:val="single"/>
          <w:lang w:val="en-GB"/>
        </w:rPr>
      </w:pPr>
    </w:p>
    <w:p w:rsidR="000F441A" w:rsidRDefault="000F441A">
      <w:pPr>
        <w:pStyle w:val="BodyText"/>
        <w:rPr>
          <w:rFonts w:ascii="Times New Roman" w:hAnsi="Times New Roman" w:cs="Times New Roman"/>
          <w:b/>
          <w:bCs/>
          <w:sz w:val="20"/>
          <w:szCs w:val="20"/>
          <w:u w:val="single"/>
          <w:lang w:val="en-GB"/>
        </w:rPr>
      </w:pPr>
      <w:bookmarkStart w:id="0" w:name="_GoBack"/>
      <w:bookmarkEnd w:id="0"/>
    </w:p>
    <w:tbl>
      <w:tblPr>
        <w:tblW w:w="5000" w:type="pct"/>
        <w:tblLayout w:type="fixed"/>
        <w:tblLook w:val="04A0" w:firstRow="1" w:lastRow="0" w:firstColumn="1" w:lastColumn="0" w:noHBand="0" w:noVBand="1"/>
      </w:tblPr>
      <w:tblGrid>
        <w:gridCol w:w="6830"/>
        <w:gridCol w:w="8640"/>
        <w:gridCol w:w="5677"/>
      </w:tblGrid>
      <w:tr w:rsidR="000F441A">
        <w:trPr>
          <w:trHeight w:val="237"/>
        </w:trPr>
        <w:tc>
          <w:tcPr>
            <w:tcW w:w="20931" w:type="dxa"/>
            <w:gridSpan w:val="3"/>
            <w:tcBorders>
              <w:bottom w:val="single" w:sz="4" w:space="0" w:color="000000"/>
            </w:tcBorders>
            <w:vAlign w:val="center"/>
          </w:tcPr>
          <w:p w:rsidR="000F441A" w:rsidRDefault="000A51D6">
            <w:pPr>
              <w:pStyle w:val="NormalWeb"/>
              <w:spacing w:before="0" w:after="0"/>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rsidR="000F441A" w:rsidRDefault="000F441A">
            <w:pPr>
              <w:pStyle w:val="NormalWeb"/>
              <w:spacing w:before="0" w:after="0"/>
              <w:rPr>
                <w:rFonts w:ascii="Times New Roman" w:hAnsi="Times New Roman" w:cs="Times New Roman"/>
                <w:b/>
                <w:sz w:val="20"/>
                <w:szCs w:val="20"/>
                <w:u w:val="single"/>
                <w:lang w:val="en-GB"/>
              </w:rPr>
            </w:pPr>
          </w:p>
        </w:tc>
      </w:tr>
      <w:tr w:rsidR="000F441A">
        <w:trPr>
          <w:trHeight w:val="935"/>
        </w:trPr>
        <w:tc>
          <w:tcPr>
            <w:tcW w:w="6760" w:type="dxa"/>
            <w:tcBorders>
              <w:top w:val="single" w:sz="4" w:space="0" w:color="000000"/>
              <w:left w:val="single" w:sz="4" w:space="0" w:color="000000"/>
              <w:bottom w:val="single" w:sz="4" w:space="0" w:color="000000"/>
              <w:right w:val="single" w:sz="4" w:space="0" w:color="000000"/>
            </w:tcBorders>
            <w:vAlign w:val="center"/>
          </w:tcPr>
          <w:p w:rsidR="000F441A" w:rsidRDefault="000F441A">
            <w:pPr>
              <w:pStyle w:val="NormalWeb"/>
              <w:snapToGrid w:val="0"/>
              <w:spacing w:before="0" w:after="0"/>
              <w:rPr>
                <w:rFonts w:ascii="Times New Roman" w:hAnsi="Times New Roman" w:cs="Times New Roman"/>
                <w:b/>
                <w:sz w:val="20"/>
                <w:szCs w:val="20"/>
                <w:u w:val="single"/>
                <w:lang w:val="en-GB"/>
              </w:rPr>
            </w:pPr>
          </w:p>
        </w:tc>
        <w:tc>
          <w:tcPr>
            <w:tcW w:w="8552" w:type="dxa"/>
            <w:tcBorders>
              <w:top w:val="single" w:sz="4" w:space="0" w:color="000000"/>
              <w:left w:val="single" w:sz="4" w:space="0" w:color="000000"/>
              <w:bottom w:val="single" w:sz="4" w:space="0" w:color="000000"/>
              <w:right w:val="single" w:sz="4" w:space="0" w:color="000000"/>
            </w:tcBorders>
          </w:tcPr>
          <w:p w:rsidR="000F441A" w:rsidRDefault="000A51D6">
            <w:pPr>
              <w:pStyle w:val="Heading2"/>
              <w:jc w:val="left"/>
              <w:rPr>
                <w:rFonts w:ascii="Times New Roman" w:hAnsi="Times New Roman" w:cs="Times New Roman"/>
                <w:lang w:val="en-GB"/>
              </w:rPr>
            </w:pPr>
            <w:r>
              <w:rPr>
                <w:rFonts w:ascii="Times New Roman" w:hAnsi="Times New Roman" w:cs="Times New Roman"/>
                <w:lang w:val="en-GB"/>
              </w:rPr>
              <w:t>Reviewer’s comment</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tcPr>
          <w:p w:rsidR="000F441A" w:rsidRDefault="000A51D6">
            <w:pPr>
              <w:spacing w:after="160" w:line="254" w:lineRule="auto"/>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0F441A" w:rsidRDefault="000F441A">
            <w:pPr>
              <w:pStyle w:val="Heading2"/>
              <w:jc w:val="left"/>
              <w:rPr>
                <w:rFonts w:ascii="Times New Roman" w:eastAsia="Calibri" w:hAnsi="Times New Roman" w:cs="Times New Roman"/>
                <w:b w:val="0"/>
                <w:kern w:val="2"/>
                <w:lang w:val="en-GB"/>
              </w:rPr>
            </w:pPr>
          </w:p>
        </w:tc>
      </w:tr>
      <w:tr w:rsidR="000F441A">
        <w:trPr>
          <w:trHeight w:val="697"/>
        </w:trPr>
        <w:tc>
          <w:tcPr>
            <w:tcW w:w="6760" w:type="dxa"/>
            <w:tcBorders>
              <w:top w:val="single" w:sz="4" w:space="0" w:color="000000"/>
              <w:left w:val="single" w:sz="4" w:space="0" w:color="000000"/>
              <w:bottom w:val="single" w:sz="4" w:space="0" w:color="000000"/>
              <w:right w:val="single" w:sz="4" w:space="0" w:color="000000"/>
            </w:tcBorders>
            <w:vAlign w:val="center"/>
          </w:tcPr>
          <w:p w:rsidR="000F441A" w:rsidRDefault="000A51D6">
            <w:pPr>
              <w:pStyle w:val="NormalWeb"/>
              <w:spacing w:before="0" w:after="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rsidR="000F441A" w:rsidRDefault="000F441A">
            <w:pPr>
              <w:pStyle w:val="NormalWeb"/>
              <w:spacing w:before="0" w:after="0"/>
              <w:rPr>
                <w:rFonts w:ascii="Times New Roman" w:hAnsi="Times New Roman" w:cs="Times New Roman"/>
                <w:b/>
                <w:sz w:val="20"/>
                <w:szCs w:val="20"/>
                <w:lang w:val="en-GB"/>
              </w:rPr>
            </w:pPr>
          </w:p>
        </w:tc>
        <w:tc>
          <w:tcPr>
            <w:tcW w:w="8552" w:type="dxa"/>
            <w:tcBorders>
              <w:top w:val="single" w:sz="4" w:space="0" w:color="000000"/>
              <w:left w:val="single" w:sz="4" w:space="0" w:color="000000"/>
              <w:bottom w:val="single" w:sz="4" w:space="0" w:color="000000"/>
              <w:right w:val="single" w:sz="4" w:space="0" w:color="000000"/>
            </w:tcBorders>
            <w:vAlign w:val="center"/>
          </w:tcPr>
          <w:p w:rsidR="000F441A" w:rsidRDefault="000A51D6">
            <w:pPr>
              <w:pStyle w:val="NormalWeb"/>
              <w:spacing w:before="0" w:after="0"/>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rsidR="000F441A" w:rsidRDefault="000F441A">
            <w:pPr>
              <w:pStyle w:val="NormalWeb"/>
              <w:spacing w:before="0" w:after="0"/>
              <w:rPr>
                <w:rFonts w:ascii="Times New Roman" w:hAnsi="Times New Roman" w:cs="Times New Roman"/>
                <w:i/>
                <w:iCs/>
                <w:sz w:val="20"/>
                <w:szCs w:val="20"/>
                <w:u w:val="single"/>
                <w:lang w:val="en-GB"/>
              </w:rPr>
            </w:pPr>
          </w:p>
          <w:p w:rsidR="000F441A" w:rsidRDefault="000A51D6">
            <w:pPr>
              <w:pStyle w:val="NormalWeb"/>
              <w:spacing w:before="0" w:after="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5619"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0F441A" w:rsidRDefault="000A51D6">
            <w:r>
              <w:rPr>
                <w:sz w:val="22"/>
              </w:rPr>
              <w:t>No ethical issues. This is a review article based solely on published literature; all sources are properly acknowledged.</w:t>
            </w:r>
          </w:p>
        </w:tc>
      </w:tr>
    </w:tbl>
    <w:p w:rsidR="000F441A" w:rsidRDefault="000F441A">
      <w:pPr>
        <w:pStyle w:val="BodyText"/>
        <w:outlineLvl w:val="0"/>
        <w:rPr>
          <w:rFonts w:ascii="Arial" w:hAnsi="Arial" w:cs="Arial"/>
          <w:sz w:val="20"/>
          <w:szCs w:val="20"/>
          <w:lang w:val="en-GB"/>
        </w:rPr>
      </w:pPr>
      <w:bookmarkStart w:id="1" w:name="_Hlk170903434"/>
      <w:bookmarkStart w:id="2" w:name="_Hlk171324449"/>
      <w:bookmarkEnd w:id="1"/>
      <w:bookmarkEnd w:id="2"/>
    </w:p>
    <w:sectPr w:rsidR="000F441A">
      <w:headerReference w:type="default" r:id="rId8"/>
      <w:footerReference w:type="default" r:id="rId9"/>
      <w:pgSz w:w="23811" w:h="16838" w:orient="landscape"/>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51D6" w:rsidRDefault="000A51D6">
      <w:r>
        <w:separator/>
      </w:r>
    </w:p>
  </w:endnote>
  <w:endnote w:type="continuationSeparator" w:id="0">
    <w:p w:rsidR="000A51D6" w:rsidRDefault="000A5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MS Mincho;Yu Gothic UI">
    <w:panose1 w:val="00000000000000000000"/>
    <w:charset w:val="00"/>
    <w:family w:val="roman"/>
    <w:notTrueType/>
    <w:pitch w:val="default"/>
  </w:font>
  <w:font w:name="Arial Unicode MS;Arial">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1"/>
    <w:family w:val="swiss"/>
    <w:pitch w:val="variable"/>
  </w:font>
  <w:font w:name="Noto Sans CJK SC">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41A" w:rsidRDefault="000A51D6">
    <w:pPr>
      <w:pStyle w:val="Foote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51D6" w:rsidRDefault="000A51D6">
      <w:r>
        <w:separator/>
      </w:r>
    </w:p>
  </w:footnote>
  <w:footnote w:type="continuationSeparator" w:id="0">
    <w:p w:rsidR="000A51D6" w:rsidRDefault="000A5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F441A" w:rsidRDefault="000F441A">
    <w:pPr>
      <w:jc w:val="center"/>
      <w:rPr>
        <w:rFonts w:ascii="Arial" w:hAnsi="Arial" w:cs="Arial"/>
        <w:b/>
        <w:bCs/>
        <w:color w:val="003399"/>
        <w:szCs w:val="20"/>
        <w:u w:val="single"/>
        <w:lang w:val="en-GB"/>
      </w:rPr>
    </w:pPr>
  </w:p>
  <w:p w:rsidR="000F441A" w:rsidRDefault="000A51D6">
    <w:pPr>
      <w:spacing w:before="280" w:after="280"/>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D731B7"/>
    <w:multiLevelType w:val="multilevel"/>
    <w:tmpl w:val="D8E8B4C8"/>
    <w:lvl w:ilvl="0">
      <w:start w:val="1"/>
      <w:numFmt w:val="none"/>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79476C60"/>
    <w:multiLevelType w:val="multilevel"/>
    <w:tmpl w:val="F390854E"/>
    <w:lvl w:ilvl="0">
      <w:numFmt w:val="bullet"/>
      <w:lvlText w:val="-"/>
      <w:lvlJc w:val="left"/>
      <w:pPr>
        <w:tabs>
          <w:tab w:val="num" w:pos="0"/>
        </w:tabs>
        <w:ind w:left="720"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441A"/>
    <w:rsid w:val="000A51D6"/>
    <w:rsid w:val="000F441A"/>
    <w:rsid w:val="00930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A9D23"/>
  <w15:docId w15:val="{891267A6-1056-4D15-B5B0-327FA4B8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oto Serif CJK SC" w:hAnsi="Liberation Serif" w:cs="Lohit Devanagar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rFonts w:ascii="Times New Roman" w:eastAsia="Times New Roman" w:hAnsi="Times New Roman" w:cs="Times New Roman"/>
      <w:sz w:val="24"/>
      <w:szCs w:val="24"/>
      <w:lang w:eastAsia="zh-CN"/>
    </w:rPr>
  </w:style>
  <w:style w:type="paragraph" w:styleId="Heading2">
    <w:name w:val="heading 2"/>
    <w:basedOn w:val="Normal"/>
    <w:next w:val="Normal"/>
    <w:uiPriority w:val="9"/>
    <w:unhideWhenUsed/>
    <w:qFormat/>
    <w:pPr>
      <w:keepNext/>
      <w:numPr>
        <w:ilvl w:val="1"/>
        <w:numId w:val="1"/>
      </w:numPr>
      <w:jc w:val="both"/>
      <w:outlineLvl w:val="1"/>
    </w:pPr>
    <w:rPr>
      <w:rFonts w:ascii="Helvetica" w:eastAsia="MS Mincho;Yu Gothic UI" w:hAnsi="Helvetica" w:cs="Helvetica"/>
      <w:b/>
      <w:bCs/>
      <w:sz w:val="20"/>
      <w:szCs w:val="20"/>
      <w:lang w:val="fr-FR"/>
    </w:rPr>
  </w:style>
  <w:style w:type="paragraph" w:styleId="Heading4">
    <w:name w:val="heading 4"/>
    <w:basedOn w:val="Normal"/>
    <w:next w:val="BodyText"/>
    <w:uiPriority w:val="9"/>
    <w:semiHidden/>
    <w:unhideWhenUsed/>
    <w:qFormat/>
    <w:pPr>
      <w:numPr>
        <w:ilvl w:val="3"/>
        <w:numId w:val="1"/>
      </w:numPr>
      <w:spacing w:before="280" w:after="280"/>
      <w:outlineLvl w:val="3"/>
    </w:pPr>
    <w:rPr>
      <w:rFonts w:ascii="Arial Unicode MS;Arial" w:eastAsia="Arial Unicode MS;Arial" w:hAnsi="Arial Unicode MS;Arial" w:cs="Arial Unicode M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qFormat/>
  </w:style>
  <w:style w:type="character" w:customStyle="1" w:styleId="WW8Num3z0">
    <w:name w:val="WW8Num3z0"/>
    <w:qFormat/>
  </w:style>
  <w:style w:type="character" w:customStyle="1" w:styleId="WW8Num5z0">
    <w:name w:val="WW8Num5z0"/>
    <w:qFormat/>
    <w:rPr>
      <w:b w:val="0"/>
    </w:rPr>
  </w:style>
  <w:style w:type="character" w:customStyle="1" w:styleId="WW8Num6z0">
    <w:name w:val="WW8Num6z0"/>
    <w:qFormat/>
    <w:rPr>
      <w:rFonts w:ascii="Arial" w:hAnsi="Arial" w:cs="Aria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rPr>
      <w:rFonts w:ascii="Symbol" w:hAnsi="Symbol" w:cs="Symbol"/>
    </w:rPr>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10z0">
    <w:name w:val="WW8Num10z0"/>
    <w:qFormat/>
  </w:style>
  <w:style w:type="character" w:customStyle="1" w:styleId="WW8Num12z0">
    <w:name w:val="WW8Num12z0"/>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3z0">
    <w:name w:val="WW8Num13z0"/>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Heading2Char">
    <w:name w:val="Heading 2 Char"/>
    <w:qFormat/>
    <w:rPr>
      <w:rFonts w:ascii="Helvetica" w:eastAsia="MS Mincho;Yu Gothic UI" w:hAnsi="Helvetica" w:cs="Helvetica"/>
      <w:b/>
      <w:bCs/>
      <w:sz w:val="20"/>
      <w:szCs w:val="20"/>
      <w:lang w:val="fr-FR"/>
    </w:rPr>
  </w:style>
  <w:style w:type="character" w:customStyle="1" w:styleId="Heading4Char">
    <w:name w:val="Heading 4 Char"/>
    <w:qFormat/>
    <w:rPr>
      <w:rFonts w:ascii="Arial Unicode MS;Arial" w:eastAsia="Arial Unicode MS;Arial" w:hAnsi="Arial Unicode MS;Arial" w:cs="Arial Unicode MS;Arial"/>
      <w:b/>
      <w:bCs/>
      <w:sz w:val="24"/>
      <w:szCs w:val="24"/>
      <w:lang w:val="en-US"/>
    </w:rPr>
  </w:style>
  <w:style w:type="character" w:customStyle="1" w:styleId="BodyTextChar">
    <w:name w:val="Body Text Char"/>
    <w:qFormat/>
    <w:rPr>
      <w:rFonts w:ascii="Helvetica" w:eastAsia="MS Mincho;Yu Gothic UI" w:hAnsi="Helvetica" w:cs="Helvetica"/>
      <w:sz w:val="24"/>
      <w:szCs w:val="24"/>
      <w:lang w:val="fr-FR"/>
    </w:rPr>
  </w:style>
  <w:style w:type="character" w:customStyle="1" w:styleId="HeaderChar">
    <w:name w:val="Header Char"/>
    <w:qFormat/>
    <w:rPr>
      <w:rFonts w:ascii="Times New Roman" w:eastAsia="Times New Roman" w:hAnsi="Times New Roman" w:cs="Times New Roman"/>
      <w:sz w:val="24"/>
      <w:szCs w:val="24"/>
      <w:lang w:val="en-US"/>
    </w:rPr>
  </w:style>
  <w:style w:type="character" w:customStyle="1" w:styleId="FooterChar">
    <w:name w:val="Footer Char"/>
    <w:qFormat/>
    <w:rPr>
      <w:rFonts w:ascii="Times New Roman" w:eastAsia="Times New Roman" w:hAnsi="Times New Roman" w:cs="Times New Roman"/>
      <w:sz w:val="24"/>
      <w:szCs w:val="24"/>
      <w:lang w:val="en-US"/>
    </w:rPr>
  </w:style>
  <w:style w:type="character" w:styleId="Hyperlink">
    <w:name w:val="Hyperlink"/>
    <w:rPr>
      <w:color w:val="0000FF"/>
      <w:u w:val="single"/>
    </w:rPr>
  </w:style>
  <w:style w:type="character" w:styleId="FollowedHyperlink">
    <w:name w:val="FollowedHyperlink"/>
    <w:rPr>
      <w:color w:val="800080"/>
      <w:u w:val="single"/>
    </w:rPr>
  </w:style>
  <w:style w:type="character" w:styleId="UnresolvedMention">
    <w:name w:val="Unresolved Mention"/>
    <w:qFormat/>
    <w:rPr>
      <w:color w:val="605E5C"/>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jc w:val="both"/>
    </w:pPr>
    <w:rPr>
      <w:rFonts w:ascii="Helvetica" w:eastAsia="MS Mincho;Yu Gothic UI" w:hAnsi="Helvetica" w:cs="Helvetica"/>
      <w:lang w:val="fr-FR"/>
    </w:r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NormalWeb">
    <w:name w:val="Normal (Web)"/>
    <w:basedOn w:val="Normal"/>
    <w:qFormat/>
    <w:pPr>
      <w:spacing w:before="280" w:after="280"/>
    </w:pPr>
    <w:rPr>
      <w:rFonts w:ascii="Arial Unicode MS;Arial" w:eastAsia="Arial Unicode MS;Arial" w:hAnsi="Arial Unicode MS;Arial" w:cs="Arial Unicode MS;Arial"/>
    </w:r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basedOn w:val="Normal"/>
  </w:style>
  <w:style w:type="paragraph" w:styleId="Footer">
    <w:name w:val="footer"/>
    <w:basedOn w:val="Normal"/>
  </w:style>
  <w:style w:type="paragraph" w:styleId="ListParagraph">
    <w:name w:val="List Paragraph"/>
    <w:basedOn w:val="Normal"/>
    <w:qFormat/>
    <w:pPr>
      <w:ind w:left="720"/>
      <w:contextualSpacing/>
    </w:pPr>
  </w:style>
  <w:style w:type="paragraph" w:styleId="Revision">
    <w:name w:val="Revision"/>
    <w:qFormat/>
    <w:pPr>
      <w:suppressAutoHyphens/>
    </w:pPr>
    <w:rPr>
      <w:rFonts w:ascii="Calibri" w:eastAsia="Calibri" w:hAnsi="Calibri" w:cs="Times New Roman"/>
      <w:sz w:val="22"/>
      <w:szCs w:val="22"/>
      <w:lang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rr.com/index.php/JE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960</TotalTime>
  <Pages>2</Pages>
  <Words>825</Words>
  <Characters>4704</Characters>
  <Application>Microsoft Office Word</Application>
  <DocSecurity>0</DocSecurity>
  <Lines>39</Lines>
  <Paragraphs>11</Paragraphs>
  <ScaleCrop>false</ScaleCrop>
  <Company/>
  <LinksUpToDate>false</LinksUpToDate>
  <CharactersWithSpaces>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122</cp:revision>
  <dcterms:created xsi:type="dcterms:W3CDTF">2011-08-01T09:21:00Z</dcterms:created>
  <dcterms:modified xsi:type="dcterms:W3CDTF">2026-02-10T09:53:00Z</dcterms:modified>
  <dc:language>en-US</dc:language>
</cp:coreProperties>
</file>