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A337A0" w14:textId="77777777" w:rsidR="00654932" w:rsidRDefault="006549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54932" w14:paraId="0FF6534B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D99CA64" w14:textId="77777777" w:rsidR="00654932" w:rsidRDefault="0065493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654932" w14:paraId="697EBFBB" w14:textId="77777777">
        <w:trPr>
          <w:trHeight w:val="290"/>
        </w:trPr>
        <w:tc>
          <w:tcPr>
            <w:tcW w:w="5167" w:type="dxa"/>
          </w:tcPr>
          <w:p w14:paraId="77E62C8C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801ED" w14:textId="77777777" w:rsidR="00654932" w:rsidRDefault="007E606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5759C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Neuropsychiatric Disease Journal</w:t>
              </w:r>
            </w:hyperlink>
            <w:r w:rsidR="005759C2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654932" w14:paraId="0E966F45" w14:textId="77777777">
        <w:trPr>
          <w:trHeight w:val="290"/>
        </w:trPr>
        <w:tc>
          <w:tcPr>
            <w:tcW w:w="5167" w:type="dxa"/>
          </w:tcPr>
          <w:p w14:paraId="3E8E5295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02FC50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Ms_INDJ_153546</w:t>
            </w:r>
          </w:p>
        </w:tc>
      </w:tr>
      <w:tr w:rsidR="00654932" w14:paraId="14F65392" w14:textId="77777777">
        <w:trPr>
          <w:trHeight w:val="650"/>
        </w:trPr>
        <w:tc>
          <w:tcPr>
            <w:tcW w:w="5167" w:type="dxa"/>
          </w:tcPr>
          <w:p w14:paraId="3C375440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7FF35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Salivary MicroRNAs as Non-Invasive Epigenetic Biomarkers for Early Detection of Autism Spectrum Disorder: A Systematic Review</w:t>
            </w:r>
          </w:p>
        </w:tc>
      </w:tr>
      <w:tr w:rsidR="00654932" w14:paraId="13413A4B" w14:textId="77777777">
        <w:trPr>
          <w:trHeight w:val="332"/>
        </w:trPr>
        <w:tc>
          <w:tcPr>
            <w:tcW w:w="5167" w:type="dxa"/>
          </w:tcPr>
          <w:p w14:paraId="48F0CE2C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2486C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Systematic Review Article</w:t>
            </w:r>
          </w:p>
        </w:tc>
      </w:tr>
    </w:tbl>
    <w:p w14:paraId="486607AB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0D40FC59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31762682" w14:textId="642CA362" w:rsidR="00654932" w:rsidRDefault="00654932">
      <w:pPr>
        <w:rPr>
          <w:sz w:val="20"/>
          <w:szCs w:val="20"/>
        </w:rPr>
      </w:pPr>
      <w:bookmarkStart w:id="0" w:name="_o9snthdmfedc" w:colFirst="0" w:colLast="0"/>
      <w:bookmarkStart w:id="1" w:name="_rb0lwcz4pb3r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54932" w14:paraId="31E93863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CB01282" w14:textId="77777777" w:rsidR="00654932" w:rsidRDefault="005759C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29C2D16E" w14:textId="77777777" w:rsidR="00654932" w:rsidRDefault="00654932">
            <w:pPr>
              <w:rPr>
                <w:sz w:val="20"/>
                <w:szCs w:val="20"/>
              </w:rPr>
            </w:pPr>
          </w:p>
        </w:tc>
      </w:tr>
      <w:tr w:rsidR="00654932" w14:paraId="4E1DC8CC" w14:textId="77777777">
        <w:tc>
          <w:tcPr>
            <w:tcW w:w="5351" w:type="dxa"/>
          </w:tcPr>
          <w:p w14:paraId="5B24F61F" w14:textId="77777777" w:rsidR="00654932" w:rsidRDefault="0065493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3402DA08" w14:textId="77777777" w:rsidR="00654932" w:rsidRDefault="005759C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C73256B" w14:textId="77777777" w:rsidR="00654932" w:rsidRDefault="00654932" w:rsidP="000B07BD"/>
        </w:tc>
        <w:tc>
          <w:tcPr>
            <w:tcW w:w="6442" w:type="dxa"/>
          </w:tcPr>
          <w:p w14:paraId="186F62C6" w14:textId="77777777" w:rsidR="00654932" w:rsidRDefault="005759C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42D04CC" w14:textId="77777777" w:rsidR="00654932" w:rsidRDefault="0065493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4932" w14:paraId="4860204E" w14:textId="77777777">
        <w:trPr>
          <w:trHeight w:val="1264"/>
        </w:trPr>
        <w:tc>
          <w:tcPr>
            <w:tcW w:w="5351" w:type="dxa"/>
          </w:tcPr>
          <w:p w14:paraId="67AD06E9" w14:textId="77777777" w:rsidR="00654932" w:rsidRDefault="005759C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3EEF973" w14:textId="77777777" w:rsidR="00654932" w:rsidRDefault="0065493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31E4A4B1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manuscript addresses a highly relevant and rapidly evolving area: the use of salivary microRNAs as non-invasive biomarkers for early ASD detection. The clinical gap is real — </w:t>
            </w:r>
            <w:proofErr w:type="spellStart"/>
            <w:r>
              <w:rPr>
                <w:sz w:val="20"/>
                <w:szCs w:val="20"/>
              </w:rPr>
              <w:t>behavioral</w:t>
            </w:r>
            <w:proofErr w:type="spellEnd"/>
            <w:r>
              <w:rPr>
                <w:sz w:val="20"/>
                <w:szCs w:val="20"/>
              </w:rPr>
              <w:t xml:space="preserve"> diagnosis occurs late, often around 4–5 years of age, and this delay significantly reduces the benefit of early neuroplastic intervention. </w:t>
            </w:r>
          </w:p>
          <w:p w14:paraId="2B8EF424" w14:textId="77777777" w:rsidR="00654932" w:rsidRDefault="00654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  <w:p w14:paraId="2638DAC0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paper is important for three reasons: It consolidates salivary miRNA literature in ASD, which is currently fragmented. It introduces the concept of </w:t>
            </w:r>
            <w:proofErr w:type="spellStart"/>
            <w:r>
              <w:rPr>
                <w:sz w:val="20"/>
                <w:szCs w:val="20"/>
              </w:rPr>
              <w:t>polyomics</w:t>
            </w:r>
            <w:proofErr w:type="spellEnd"/>
            <w:r>
              <w:rPr>
                <w:sz w:val="20"/>
                <w:szCs w:val="20"/>
              </w:rPr>
              <w:t xml:space="preserve"> (host + microbiome RNA integration), which is innovative. It discusses translational implications, including phase 2–4 validation.</w:t>
            </w:r>
          </w:p>
        </w:tc>
        <w:tc>
          <w:tcPr>
            <w:tcW w:w="6442" w:type="dxa"/>
          </w:tcPr>
          <w:p w14:paraId="6E2CD123" w14:textId="6369FC1B" w:rsidR="00654932" w:rsidRDefault="00CD637F" w:rsidP="00CD637F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AE0831">
              <w:rPr>
                <w:rFonts w:ascii="Times New Roman" w:hAnsi="Times New Roman"/>
                <w:b w:val="0"/>
              </w:rPr>
              <w:t>We appreciate the reviewer's positive assessment</w:t>
            </w:r>
            <w:r>
              <w:rPr>
                <w:rFonts w:ascii="Times New Roman" w:hAnsi="Times New Roman"/>
                <w:b w:val="0"/>
              </w:rPr>
              <w:t xml:space="preserve">. </w:t>
            </w:r>
            <w:r w:rsidR="00931A7E" w:rsidRPr="00C11C5D">
              <w:rPr>
                <w:rFonts w:ascii="Times New Roman" w:hAnsi="Times New Roman"/>
                <w:b w:val="0"/>
              </w:rPr>
              <w:t xml:space="preserve">This systematic review synthesizes current evidence on salivary microRNAs as non-invasive epigenetic biomarkers for ASD detection. By identifying consistent molecular signatures, this work provides a foundation for objective diagnostic tools that are less stressful for </w:t>
            </w:r>
            <w:proofErr w:type="spellStart"/>
            <w:r w:rsidR="00931A7E" w:rsidRPr="00C11C5D">
              <w:rPr>
                <w:rFonts w:ascii="Times New Roman" w:hAnsi="Times New Roman"/>
                <w:b w:val="0"/>
              </w:rPr>
              <w:t>pediatric</w:t>
            </w:r>
            <w:proofErr w:type="spellEnd"/>
            <w:r w:rsidR="00931A7E" w:rsidRPr="00C11C5D">
              <w:rPr>
                <w:rFonts w:ascii="Times New Roman" w:hAnsi="Times New Roman"/>
                <w:b w:val="0"/>
              </w:rPr>
              <w:t xml:space="preserve"> patients than blood-based tests. Our analysis bridges the gap between epigenetic research and clinical implementation, highlighting the </w:t>
            </w:r>
            <w:proofErr w:type="spellStart"/>
            <w:r w:rsidR="00931A7E" w:rsidRPr="00C11C5D">
              <w:rPr>
                <w:rFonts w:ascii="Times New Roman" w:hAnsi="Times New Roman"/>
                <w:b w:val="0"/>
              </w:rPr>
              <w:t>polyomic</w:t>
            </w:r>
            <w:proofErr w:type="spellEnd"/>
            <w:r w:rsidR="00931A7E" w:rsidRPr="00C11C5D">
              <w:rPr>
                <w:rFonts w:ascii="Times New Roman" w:hAnsi="Times New Roman"/>
                <w:b w:val="0"/>
              </w:rPr>
              <w:t xml:space="preserve"> potential of integrating host and microbial data. Ultimately, this manuscript guides the development of early intervention protocols within the critical neuroplasticity window</w:t>
            </w:r>
            <w:r w:rsidR="00931A7E">
              <w:rPr>
                <w:rFonts w:ascii="Times New Roman" w:hAnsi="Times New Roman"/>
                <w:b w:val="0"/>
              </w:rPr>
              <w:t>.</w:t>
            </w:r>
          </w:p>
        </w:tc>
      </w:tr>
      <w:tr w:rsidR="00654932" w14:paraId="706CEA40" w14:textId="77777777">
        <w:trPr>
          <w:trHeight w:val="1262"/>
        </w:trPr>
        <w:tc>
          <w:tcPr>
            <w:tcW w:w="5351" w:type="dxa"/>
          </w:tcPr>
          <w:p w14:paraId="2AC41C17" w14:textId="77777777" w:rsidR="00654932" w:rsidRDefault="005759C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0766A55" w14:textId="77777777" w:rsidR="00654932" w:rsidRDefault="005759C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19DA1FC4" w14:textId="77777777" w:rsidR="00654932" w:rsidRDefault="0065493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001505B" w14:textId="77777777" w:rsidR="00654932" w:rsidRDefault="005759C2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 it is</w:t>
            </w:r>
            <w:proofErr w:type="gramEnd"/>
            <w:r>
              <w:rPr>
                <w:sz w:val="20"/>
                <w:szCs w:val="20"/>
              </w:rPr>
              <w:t xml:space="preserve"> suitable.</w:t>
            </w:r>
          </w:p>
        </w:tc>
        <w:tc>
          <w:tcPr>
            <w:tcW w:w="6442" w:type="dxa"/>
          </w:tcPr>
          <w:p w14:paraId="2D74AF11" w14:textId="674E0541" w:rsidR="00654932" w:rsidRDefault="00B55D9B" w:rsidP="00CD637F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B55D9B">
              <w:rPr>
                <w:rFonts w:ascii="Times New Roman" w:eastAsia="Times New Roman" w:hAnsi="Times New Roman" w:cs="Times New Roman"/>
                <w:b w:val="0"/>
                <w:bCs w:val="0"/>
              </w:rPr>
              <w:t>Yes, the title is suitable as it clearly defines the target molecules, the non-invasive nature of the methodology, and the study design.</w:t>
            </w:r>
          </w:p>
        </w:tc>
      </w:tr>
      <w:tr w:rsidR="00654932" w14:paraId="0A704158" w14:textId="77777777">
        <w:trPr>
          <w:trHeight w:val="1262"/>
        </w:trPr>
        <w:tc>
          <w:tcPr>
            <w:tcW w:w="5351" w:type="dxa"/>
          </w:tcPr>
          <w:p w14:paraId="1D63999B" w14:textId="77777777" w:rsidR="00654932" w:rsidRDefault="005759C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110888A2" w14:textId="77777777" w:rsidR="00654932" w:rsidRDefault="0065493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F6E609B" w14:textId="77777777" w:rsidR="00654932" w:rsidRDefault="005759C2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key sentence that needs tempering is the conclusion-style claim that salivary miRNAs show “high diagnostic accuracy for early ASD screening”. Because authors included studies are case-control and not population screening, “screening” is too strong. Authors could rewrite that portion to something like: “Salivary miRNA panels demonstrate promising diagnostic discrimination in case-control settings, but prospective screening validation remains needed.”</w:t>
            </w:r>
          </w:p>
        </w:tc>
        <w:tc>
          <w:tcPr>
            <w:tcW w:w="6442" w:type="dxa"/>
          </w:tcPr>
          <w:p w14:paraId="187CE52A" w14:textId="1F9C0B64" w:rsidR="00654932" w:rsidRDefault="006D4BA3" w:rsidP="00CD637F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6D4BA3">
              <w:rPr>
                <w:rFonts w:ascii="Times New Roman" w:eastAsia="Times New Roman" w:hAnsi="Times New Roman" w:cs="Times New Roman"/>
                <w:b w:val="0"/>
                <w:bCs w:val="0"/>
              </w:rPr>
              <w:t>We have followed the reviewer's suggestion to moderate the clinical claims. The abstract has been revised to indicate that salivary miRNA panels demonstrate promising diagnostic discrimination in case-control settings, while acknowledging that prospective population screening remains a necessary step for full clinical validation.</w:t>
            </w:r>
          </w:p>
        </w:tc>
      </w:tr>
      <w:tr w:rsidR="00654932" w14:paraId="54459EE5" w14:textId="77777777">
        <w:trPr>
          <w:trHeight w:val="704"/>
        </w:trPr>
        <w:tc>
          <w:tcPr>
            <w:tcW w:w="5351" w:type="dxa"/>
          </w:tcPr>
          <w:p w14:paraId="0F879295" w14:textId="77777777" w:rsidR="00654932" w:rsidRDefault="005759C2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F0F07CA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EAAA9EC" w14:textId="751B7020" w:rsidR="00654932" w:rsidRDefault="00A81DDC" w:rsidP="00CD637F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, t</w:t>
            </w:r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he manuscript accurately reflects the current state of research, including the technical discordances observed between high-throughput discovery (RNA-</w:t>
            </w:r>
            <w:proofErr w:type="spellStart"/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Seq</w:t>
            </w:r>
            <w:proofErr w:type="spellEnd"/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) and targeted validation (RT-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q</w:t>
            </w:r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PCR) across different ethnic cohorts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.</w:t>
            </w:r>
          </w:p>
        </w:tc>
      </w:tr>
      <w:tr w:rsidR="00654932" w14:paraId="60825C39" w14:textId="77777777">
        <w:trPr>
          <w:trHeight w:val="703"/>
        </w:trPr>
        <w:tc>
          <w:tcPr>
            <w:tcW w:w="5351" w:type="dxa"/>
          </w:tcPr>
          <w:p w14:paraId="0DEDA112" w14:textId="77777777" w:rsidR="00654932" w:rsidRDefault="005759C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048D5E6" w14:textId="77777777" w:rsidR="00654932" w:rsidRDefault="005759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542D8C2" w14:textId="513754CF" w:rsidR="00654932" w:rsidRDefault="00A81DDC" w:rsidP="00CD637F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A81DDC">
              <w:rPr>
                <w:rFonts w:ascii="Times New Roman" w:eastAsia="Times New Roman" w:hAnsi="Times New Roman" w:cs="Times New Roman"/>
                <w:b w:val="0"/>
                <w:bCs w:val="0"/>
              </w:rPr>
              <w:t>Yes, we use enough high-quality studies that reflect the current landscape of our study, and we also use solid references for the concepts.</w:t>
            </w:r>
          </w:p>
        </w:tc>
      </w:tr>
      <w:tr w:rsidR="00654932" w14:paraId="2CA81619" w14:textId="77777777">
        <w:trPr>
          <w:trHeight w:val="386"/>
        </w:trPr>
        <w:tc>
          <w:tcPr>
            <w:tcW w:w="5351" w:type="dxa"/>
          </w:tcPr>
          <w:p w14:paraId="0418D712" w14:textId="77777777" w:rsidR="00654932" w:rsidRDefault="005759C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47FF7148" w14:textId="77777777" w:rsidR="00654932" w:rsidRDefault="00654932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DA9A349" w14:textId="77777777" w:rsidR="00654932" w:rsidRDefault="005759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FE9EFF9" w14:textId="7F58A9EF" w:rsidR="00654932" w:rsidRDefault="00A81DDC" w:rsidP="00CD637F">
            <w:pPr>
              <w:jc w:val="both"/>
              <w:rPr>
                <w:sz w:val="20"/>
                <w:szCs w:val="20"/>
              </w:rPr>
            </w:pPr>
            <w:r w:rsidRPr="00A81DDC">
              <w:rPr>
                <w:sz w:val="20"/>
                <w:szCs w:val="20"/>
              </w:rPr>
              <w:t>Yes, the manuscript has been reviewed for technical and academic English clarity.</w:t>
            </w:r>
          </w:p>
        </w:tc>
      </w:tr>
      <w:tr w:rsidR="00654932" w14:paraId="24C8A645" w14:textId="77777777">
        <w:trPr>
          <w:trHeight w:val="1178"/>
        </w:trPr>
        <w:tc>
          <w:tcPr>
            <w:tcW w:w="5351" w:type="dxa"/>
          </w:tcPr>
          <w:p w14:paraId="47649379" w14:textId="77777777" w:rsidR="00654932" w:rsidRDefault="005759C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787A735A" w14:textId="77777777" w:rsidR="00654932" w:rsidRDefault="0065493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CA84134" w14:textId="77777777" w:rsidR="00654932" w:rsidRDefault="006549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DDA24F5" w14:textId="6BA1EA68" w:rsidR="00654932" w:rsidRDefault="00654932" w:rsidP="00CD637F">
            <w:pPr>
              <w:jc w:val="both"/>
              <w:rPr>
                <w:sz w:val="20"/>
                <w:szCs w:val="20"/>
              </w:rPr>
            </w:pPr>
          </w:p>
        </w:tc>
      </w:tr>
    </w:tbl>
    <w:p w14:paraId="409F61AF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D734E64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F6E30A9" w14:textId="1F84D114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555A403" w14:textId="0181E654" w:rsidR="000D2C35" w:rsidRDefault="000D2C3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F6DD2D2" w14:textId="633DA5DE" w:rsidR="000D2C35" w:rsidRDefault="000D2C3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F112A76" w14:textId="6096D186" w:rsidR="000D2C35" w:rsidRDefault="000D2C3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4F0E7A9" w14:textId="78F3FA09" w:rsidR="000D2C35" w:rsidRDefault="000D2C3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2CC1B96" w14:textId="77777777" w:rsidR="000D2C35" w:rsidRDefault="000D2C3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p w14:paraId="214DBE6E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E8F3F2E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2D36F7" w:rsidRPr="00340561" w14:paraId="68C98125" w14:textId="77777777" w:rsidTr="0098320E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778A8D" w14:textId="77777777" w:rsidR="002D36F7" w:rsidRPr="00340561" w:rsidRDefault="002D36F7" w:rsidP="0098320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3D0AF799" w14:textId="77777777" w:rsidR="002D36F7" w:rsidRPr="00340561" w:rsidRDefault="002D36F7" w:rsidP="0098320E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2D36F7" w:rsidRPr="00340561" w14:paraId="1E517174" w14:textId="77777777" w:rsidTr="0098320E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6C5D1C" w14:textId="77777777" w:rsidR="002D36F7" w:rsidRPr="00340561" w:rsidRDefault="002D36F7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CA787" w14:textId="77777777" w:rsidR="002D36F7" w:rsidRPr="00340561" w:rsidRDefault="002D36F7" w:rsidP="0098320E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26F3D444" w14:textId="77777777" w:rsidR="002D36F7" w:rsidRPr="008608EB" w:rsidRDefault="002D36F7" w:rsidP="0098320E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7322EFAB" w14:textId="77777777" w:rsidR="002D36F7" w:rsidRPr="00340561" w:rsidRDefault="002D36F7" w:rsidP="0098320E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2D36F7" w:rsidRPr="00340561" w14:paraId="45B6F451" w14:textId="77777777" w:rsidTr="0098320E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7A2C0F" w14:textId="77777777" w:rsidR="002D36F7" w:rsidRPr="00340561" w:rsidRDefault="002D36F7" w:rsidP="0098320E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AF908C7" w14:textId="77777777" w:rsidR="002D36F7" w:rsidRPr="00340561" w:rsidRDefault="002D36F7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D27F27" w14:textId="77777777" w:rsidR="002D36F7" w:rsidRPr="00340561" w:rsidRDefault="002D36F7" w:rsidP="0098320E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5C64D23C" w14:textId="77777777" w:rsidR="002D36F7" w:rsidRPr="00340561" w:rsidRDefault="002D36F7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22E22430" w14:textId="77777777" w:rsidR="002D36F7" w:rsidRPr="00340561" w:rsidRDefault="002D36F7" w:rsidP="0098320E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7C5AE2AD" w14:textId="486DDCFA" w:rsidR="002D36F7" w:rsidRPr="00CD637F" w:rsidRDefault="006D4BA3" w:rsidP="00CD637F">
            <w:pPr>
              <w:jc w:val="both"/>
              <w:rPr>
                <w:rFonts w:eastAsia="Arial Unicode MS"/>
                <w:sz w:val="20"/>
                <w:szCs w:val="20"/>
              </w:rPr>
            </w:pPr>
            <w:r>
              <w:rPr>
                <w:rFonts w:eastAsia="Arial Unicode MS"/>
                <w:sz w:val="20"/>
                <w:szCs w:val="20"/>
              </w:rPr>
              <w:t>T</w:t>
            </w:r>
            <w:r w:rsidRPr="006D4BA3">
              <w:rPr>
                <w:rFonts w:eastAsia="Arial Unicode MS"/>
                <w:sz w:val="20"/>
                <w:szCs w:val="20"/>
              </w:rPr>
              <w:t>here are no ethical issues. As this is a systematic review of existing literature, it does not involve direct human or animal experimentation by the authors. All original studies cited were verified for ethical compliance.</w:t>
            </w:r>
          </w:p>
        </w:tc>
      </w:tr>
      <w:bookmarkEnd w:id="3"/>
    </w:tbl>
    <w:p w14:paraId="16C7AFCE" w14:textId="77777777" w:rsidR="002D36F7" w:rsidRDefault="002D36F7" w:rsidP="002D36F7"/>
    <w:p w14:paraId="05B0264A" w14:textId="77777777" w:rsidR="002D36F7" w:rsidRDefault="002D36F7" w:rsidP="002D36F7"/>
    <w:p w14:paraId="51B99E0D" w14:textId="77777777" w:rsidR="002D36F7" w:rsidRPr="00375011" w:rsidRDefault="002D36F7" w:rsidP="002D36F7">
      <w:pPr>
        <w:rPr>
          <w:bCs/>
          <w:u w:val="single"/>
        </w:rPr>
      </w:pPr>
    </w:p>
    <w:bookmarkEnd w:id="4"/>
    <w:p w14:paraId="58F14944" w14:textId="77777777" w:rsidR="002D36F7" w:rsidRDefault="002D36F7" w:rsidP="002D36F7"/>
    <w:p w14:paraId="3B9488CD" w14:textId="77777777" w:rsidR="00654932" w:rsidRDefault="0065493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654932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090CE1" w14:textId="77777777" w:rsidR="007E606F" w:rsidRDefault="007E606F">
      <w:r>
        <w:separator/>
      </w:r>
    </w:p>
  </w:endnote>
  <w:endnote w:type="continuationSeparator" w:id="0">
    <w:p w14:paraId="3EB5E48A" w14:textId="77777777" w:rsidR="007E606F" w:rsidRDefault="007E60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4E30B1F-57C1-4271-A9DB-F3EF604F46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5442666-A275-4916-8785-AE6E94926433}"/>
    <w:embedBold r:id="rId3" w:fontKey="{64D4E61E-3CF0-4902-AD03-953EA13C237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B6BA73F-A467-43F7-8BA9-A6C65DA823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0BE9F5" w14:textId="77777777" w:rsidR="00654932" w:rsidRDefault="005759C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FFF211" w14:textId="77777777" w:rsidR="007E606F" w:rsidRDefault="007E606F">
      <w:r>
        <w:separator/>
      </w:r>
    </w:p>
  </w:footnote>
  <w:footnote w:type="continuationSeparator" w:id="0">
    <w:p w14:paraId="0C96A492" w14:textId="77777777" w:rsidR="007E606F" w:rsidRDefault="007E60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4DD14C" w14:textId="77777777" w:rsidR="00654932" w:rsidRDefault="0065493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4631CE2" w14:textId="77777777" w:rsidR="00654932" w:rsidRDefault="005759C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932"/>
    <w:rsid w:val="00011690"/>
    <w:rsid w:val="00073742"/>
    <w:rsid w:val="000B07BD"/>
    <w:rsid w:val="000D2C35"/>
    <w:rsid w:val="001621C3"/>
    <w:rsid w:val="002D36F7"/>
    <w:rsid w:val="0037162D"/>
    <w:rsid w:val="005759C2"/>
    <w:rsid w:val="00654932"/>
    <w:rsid w:val="006B6ACB"/>
    <w:rsid w:val="006D4BA3"/>
    <w:rsid w:val="00770DEF"/>
    <w:rsid w:val="007E606F"/>
    <w:rsid w:val="0083037D"/>
    <w:rsid w:val="00931A7E"/>
    <w:rsid w:val="009D5FFA"/>
    <w:rsid w:val="00A81DDC"/>
    <w:rsid w:val="00B55D9B"/>
    <w:rsid w:val="00CD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12C185"/>
  <w15:docId w15:val="{470AE9AB-893D-439D-8B83-CF36B4997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770DE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0D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ndj.com/index.php/INDJ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652</Words>
  <Characters>3720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4</cp:revision>
  <dcterms:created xsi:type="dcterms:W3CDTF">2026-02-20T00:41:00Z</dcterms:created>
  <dcterms:modified xsi:type="dcterms:W3CDTF">2026-02-23T09:08:00Z</dcterms:modified>
</cp:coreProperties>
</file>