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A1155" w:rsidRDefault="00EA115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A1155">
        <w:trPr>
          <w:trHeight w:val="290"/>
        </w:trPr>
        <w:tc>
          <w:tcPr>
            <w:tcW w:w="20934" w:type="dxa"/>
            <w:gridSpan w:val="2"/>
            <w:tcBorders>
              <w:top w:val="nil"/>
              <w:left w:val="nil"/>
              <w:right w:val="nil"/>
            </w:tcBorders>
          </w:tcPr>
          <w:p w:rsidR="00EA1155" w:rsidRDefault="00EA1155">
            <w:pPr>
              <w:pStyle w:val="Heading2"/>
              <w:jc w:val="left"/>
              <w:rPr>
                <w:rFonts w:ascii="Arial" w:eastAsia="Arial" w:hAnsi="Arial" w:cs="Arial"/>
                <w:b w:val="0"/>
                <w:bCs w:val="0"/>
                <w:sz w:val="28"/>
                <w:szCs w:val="28"/>
              </w:rPr>
            </w:pPr>
          </w:p>
        </w:tc>
      </w:tr>
      <w:tr w:rsidR="00EA1155">
        <w:trPr>
          <w:trHeight w:val="290"/>
        </w:trPr>
        <w:tc>
          <w:tcPr>
            <w:tcW w:w="5167" w:type="dxa"/>
          </w:tcPr>
          <w:p w:rsidR="00EA1155" w:rsidRDefault="006C5A2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EA1155" w:rsidRDefault="006C5A24">
            <w:pPr>
              <w:rPr>
                <w:rFonts w:ascii="Arial" w:eastAsia="Arial" w:hAnsi="Arial" w:cs="Arial"/>
                <w:color w:val="0000FF"/>
                <w:sz w:val="20"/>
                <w:szCs w:val="20"/>
              </w:rPr>
            </w:pPr>
            <w:hyperlink r:id="rId7">
              <w:r>
                <w:rPr>
                  <w:rFonts w:ascii="Arial" w:eastAsia="Arial" w:hAnsi="Arial" w:cs="Arial"/>
                  <w:b/>
                  <w:bCs/>
                  <w:color w:val="0000FF"/>
                  <w:sz w:val="20"/>
                  <w:szCs w:val="20"/>
                  <w:u w:val="single"/>
                </w:rPr>
                <w:t xml:space="preserve">Asian Research Journal of </w:t>
              </w:r>
              <w:proofErr w:type="spellStart"/>
              <w:r>
                <w:rPr>
                  <w:rFonts w:ascii="Arial" w:eastAsia="Arial" w:hAnsi="Arial" w:cs="Arial"/>
                  <w:b/>
                  <w:bCs/>
                  <w:color w:val="0000FF"/>
                  <w:sz w:val="20"/>
                  <w:szCs w:val="20"/>
                  <w:u w:val="single"/>
                </w:rPr>
                <w:t>Gynaecology</w:t>
              </w:r>
              <w:proofErr w:type="spellEnd"/>
              <w:r>
                <w:rPr>
                  <w:rFonts w:ascii="Arial" w:eastAsia="Arial" w:hAnsi="Arial" w:cs="Arial"/>
                  <w:b/>
                  <w:bCs/>
                  <w:color w:val="0000FF"/>
                  <w:sz w:val="20"/>
                  <w:szCs w:val="20"/>
                  <w:u w:val="single"/>
                </w:rPr>
                <w:t xml:space="preserve"> and Obstetrics</w:t>
              </w:r>
            </w:hyperlink>
          </w:p>
        </w:tc>
      </w:tr>
      <w:tr w:rsidR="00EA1155">
        <w:trPr>
          <w:trHeight w:val="290"/>
        </w:trPr>
        <w:tc>
          <w:tcPr>
            <w:tcW w:w="5167" w:type="dxa"/>
          </w:tcPr>
          <w:p w:rsidR="00EA1155" w:rsidRDefault="006C5A2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EA1155" w:rsidRDefault="006C5A2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Ms_ARJGO_152446</w:t>
            </w:r>
          </w:p>
        </w:tc>
      </w:tr>
      <w:tr w:rsidR="00EA1155">
        <w:trPr>
          <w:trHeight w:val="650"/>
        </w:trPr>
        <w:tc>
          <w:tcPr>
            <w:tcW w:w="5167" w:type="dxa"/>
          </w:tcPr>
          <w:p w:rsidR="00EA1155" w:rsidRDefault="006C5A2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EA1155" w:rsidRDefault="006C5A2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Intrauterine Death Secondary to HELLP Syndrome with Placental Calcification in a Patient with Chronic Hypertension superimposed Preeclampsia and Gestational Thrombocytopenia</w:t>
            </w:r>
          </w:p>
        </w:tc>
      </w:tr>
      <w:tr w:rsidR="00EA1155">
        <w:trPr>
          <w:trHeight w:val="332"/>
        </w:trPr>
        <w:tc>
          <w:tcPr>
            <w:tcW w:w="5167" w:type="dxa"/>
          </w:tcPr>
          <w:p w:rsidR="00EA1155" w:rsidRDefault="006C5A2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EA1155" w:rsidRDefault="006C5A2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Study</w:t>
            </w:r>
          </w:p>
        </w:tc>
      </w:tr>
    </w:tbl>
    <w:p w:rsidR="00EA1155" w:rsidRDefault="00EA1155">
      <w:pPr>
        <w:rPr>
          <w:sz w:val="20"/>
          <w:szCs w:val="20"/>
        </w:rPr>
      </w:pPr>
      <w:bookmarkStart w:id="0" w:name="_heading=h.hi0gd5olaifw" w:colFirst="0" w:colLast="0"/>
      <w:bookmarkStart w:id="1" w:name="_heading=h.i5psgckepujp" w:colFirst="0" w:colLast="0"/>
      <w:bookmarkStart w:id="2" w:name="_GoBack"/>
      <w:bookmarkEnd w:id="0"/>
      <w:bookmarkEnd w:id="1"/>
      <w:bookmarkEnd w:id="2"/>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EA1155">
        <w:tc>
          <w:tcPr>
            <w:tcW w:w="21150" w:type="dxa"/>
            <w:gridSpan w:val="3"/>
            <w:tcBorders>
              <w:top w:val="nil"/>
              <w:left w:val="nil"/>
              <w:right w:val="nil"/>
            </w:tcBorders>
          </w:tcPr>
          <w:p w:rsidR="00EA1155" w:rsidRDefault="006C5A24">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EA1155" w:rsidRDefault="00EA1155">
            <w:pPr>
              <w:rPr>
                <w:sz w:val="20"/>
                <w:szCs w:val="20"/>
              </w:rPr>
            </w:pPr>
          </w:p>
        </w:tc>
      </w:tr>
      <w:tr w:rsidR="00EA1155">
        <w:tc>
          <w:tcPr>
            <w:tcW w:w="5351" w:type="dxa"/>
          </w:tcPr>
          <w:p w:rsidR="00EA1155" w:rsidRDefault="00EA1155">
            <w:pPr>
              <w:pStyle w:val="Heading2"/>
              <w:jc w:val="left"/>
              <w:rPr>
                <w:rFonts w:ascii="Times New Roman" w:eastAsia="Times New Roman" w:hAnsi="Times New Roman" w:cs="Times New Roman"/>
              </w:rPr>
            </w:pPr>
          </w:p>
        </w:tc>
        <w:tc>
          <w:tcPr>
            <w:tcW w:w="9357" w:type="dxa"/>
          </w:tcPr>
          <w:p w:rsidR="00EA1155" w:rsidRDefault="006C5A24">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EA1155" w:rsidRDefault="006C5A24">
            <w:pPr>
              <w:rPr>
                <w:sz w:val="20"/>
                <w:szCs w:val="20"/>
              </w:rPr>
            </w:pPr>
            <w:r>
              <w:rPr>
                <w:b/>
                <w:bCs/>
                <w:sz w:val="20"/>
                <w:szCs w:val="20"/>
                <w:highlight w:val="yellow"/>
              </w:rPr>
              <w:t>Artificial Intelligence (AI) generated or assisted review comments are strictly prohibited during peer review.</w:t>
            </w:r>
          </w:p>
          <w:p w:rsidR="00EA1155" w:rsidRDefault="00EA1155"/>
        </w:tc>
        <w:tc>
          <w:tcPr>
            <w:tcW w:w="6442" w:type="dxa"/>
          </w:tcPr>
          <w:p w:rsidR="00EA1155" w:rsidRDefault="006C5A24">
            <w:pPr>
              <w:spacing w:after="160" w:line="253" w:lineRule="auto"/>
              <w:rPr>
                <w:sz w:val="20"/>
                <w:szCs w:val="20"/>
              </w:rPr>
            </w:pPr>
            <w:r>
              <w:rPr>
                <w:b/>
                <w:bCs/>
                <w:sz w:val="20"/>
                <w:szCs w:val="20"/>
              </w:rPr>
              <w:t>Author’s Feedback</w:t>
            </w:r>
            <w:r>
              <w:rPr>
                <w:sz w:val="20"/>
                <w:szCs w:val="20"/>
              </w:rPr>
              <w:t xml:space="preserve"> (It is mandatory that authors should write his/her feedback here)</w:t>
            </w:r>
          </w:p>
          <w:p w:rsidR="00EA1155" w:rsidRDefault="00EA1155">
            <w:pPr>
              <w:pStyle w:val="Heading2"/>
              <w:jc w:val="left"/>
              <w:rPr>
                <w:rFonts w:ascii="Times New Roman" w:eastAsia="Times New Roman" w:hAnsi="Times New Roman" w:cs="Times New Roman"/>
                <w:b w:val="0"/>
                <w:bCs w:val="0"/>
              </w:rPr>
            </w:pPr>
          </w:p>
        </w:tc>
      </w:tr>
      <w:tr w:rsidR="00EA1155">
        <w:trPr>
          <w:trHeight w:val="1264"/>
        </w:trPr>
        <w:tc>
          <w:tcPr>
            <w:tcW w:w="5351" w:type="dxa"/>
          </w:tcPr>
          <w:p w:rsidR="00EA1155" w:rsidRDefault="006C5A24">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EA1155" w:rsidRDefault="00EA1155">
            <w:pPr>
              <w:ind w:left="360"/>
              <w:rPr>
                <w:sz w:val="20"/>
                <w:szCs w:val="20"/>
              </w:rPr>
            </w:pPr>
          </w:p>
        </w:tc>
        <w:tc>
          <w:tcPr>
            <w:tcW w:w="9357" w:type="dxa"/>
          </w:tcPr>
          <w:p w:rsidR="00EA1155" w:rsidRDefault="006C5A24">
            <w:pPr>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b/>
                <w:bCs/>
                <w:color w:val="000000"/>
                <w:sz w:val="20"/>
                <w:szCs w:val="20"/>
              </w:rPr>
              <w:t xml:space="preserve">Preeclampsia and </w:t>
            </w:r>
            <w:proofErr w:type="spellStart"/>
            <w:proofErr w:type="gramStart"/>
            <w:r>
              <w:rPr>
                <w:rFonts w:ascii="Calibri" w:eastAsia="Calibri" w:hAnsi="Calibri" w:cs="Calibri"/>
                <w:b/>
                <w:bCs/>
                <w:color w:val="000000"/>
                <w:sz w:val="20"/>
                <w:szCs w:val="20"/>
              </w:rPr>
              <w:t>it's</w:t>
            </w:r>
            <w:proofErr w:type="spellEnd"/>
            <w:proofErr w:type="gramEnd"/>
            <w:r>
              <w:rPr>
                <w:rFonts w:ascii="Calibri" w:eastAsia="Calibri" w:hAnsi="Calibri" w:cs="Calibri"/>
                <w:b/>
                <w:bCs/>
                <w:color w:val="000000"/>
                <w:sz w:val="20"/>
                <w:szCs w:val="20"/>
              </w:rPr>
              <w:t xml:space="preserve"> associated complications are always a challenge to treat. This is a good</w:t>
            </w:r>
            <w:r>
              <w:rPr>
                <w:rFonts w:ascii="Calibri" w:eastAsia="Calibri" w:hAnsi="Calibri" w:cs="Calibri"/>
                <w:b/>
                <w:bCs/>
                <w:color w:val="000000"/>
                <w:sz w:val="20"/>
                <w:szCs w:val="20"/>
              </w:rPr>
              <w:t xml:space="preserve"> topic to discuss one of the important complications which is HELLP syndrome.</w:t>
            </w:r>
          </w:p>
        </w:tc>
        <w:tc>
          <w:tcPr>
            <w:tcW w:w="6442" w:type="dxa"/>
          </w:tcPr>
          <w:p w:rsidR="00EA1155" w:rsidRDefault="006C5A24">
            <w:pPr>
              <w:pStyle w:val="Heading2"/>
              <w:jc w:val="left"/>
              <w:rPr>
                <w:rFonts w:ascii="Times New Roman" w:eastAsia="Times New Roman" w:hAnsi="Times New Roman" w:cs="Times New Roman"/>
                <w:b w:val="0"/>
                <w:bCs w:val="0"/>
                <w:highlight w:val="cyan"/>
              </w:rPr>
            </w:pPr>
            <w:r>
              <w:rPr>
                <w:rFonts w:ascii="Times New Roman" w:eastAsia="Times New Roman" w:hAnsi="Times New Roman" w:cs="Times New Roman"/>
                <w:b w:val="0"/>
                <w:bCs w:val="0"/>
                <w:highlight w:val="cyan"/>
              </w:rPr>
              <w:t xml:space="preserve">Yes, indeed a wonderful topic to discuss and publish. </w:t>
            </w:r>
          </w:p>
        </w:tc>
      </w:tr>
      <w:tr w:rsidR="00EA1155">
        <w:trPr>
          <w:trHeight w:val="1262"/>
        </w:trPr>
        <w:tc>
          <w:tcPr>
            <w:tcW w:w="5351" w:type="dxa"/>
          </w:tcPr>
          <w:p w:rsidR="00EA1155" w:rsidRDefault="006C5A24">
            <w:pPr>
              <w:ind w:left="360"/>
              <w:rPr>
                <w:sz w:val="20"/>
                <w:szCs w:val="20"/>
              </w:rPr>
            </w:pPr>
            <w:r>
              <w:rPr>
                <w:b/>
                <w:bCs/>
                <w:sz w:val="20"/>
                <w:szCs w:val="20"/>
              </w:rPr>
              <w:t>Is the title of the article suitable?</w:t>
            </w:r>
          </w:p>
          <w:p w:rsidR="00EA1155" w:rsidRDefault="006C5A24">
            <w:pPr>
              <w:ind w:left="360"/>
              <w:rPr>
                <w:sz w:val="20"/>
                <w:szCs w:val="20"/>
              </w:rPr>
            </w:pPr>
            <w:r>
              <w:rPr>
                <w:b/>
                <w:bCs/>
                <w:sz w:val="20"/>
                <w:szCs w:val="20"/>
              </w:rPr>
              <w:t>(If not please suggest an alternative title)</w:t>
            </w:r>
          </w:p>
          <w:p w:rsidR="00EA1155" w:rsidRDefault="00EA1155">
            <w:pPr>
              <w:pStyle w:val="Heading2"/>
              <w:jc w:val="left"/>
              <w:rPr>
                <w:rFonts w:ascii="Times New Roman" w:eastAsia="Times New Roman" w:hAnsi="Times New Roman" w:cs="Times New Roman"/>
                <w:u w:val="single"/>
              </w:rPr>
            </w:pPr>
          </w:p>
        </w:tc>
        <w:tc>
          <w:tcPr>
            <w:tcW w:w="9357" w:type="dxa"/>
          </w:tcPr>
          <w:p w:rsidR="00EA1155" w:rsidRDefault="006C5A24">
            <w:pPr>
              <w:ind w:left="360"/>
              <w:rPr>
                <w:sz w:val="20"/>
                <w:szCs w:val="20"/>
              </w:rPr>
            </w:pPr>
            <w:r>
              <w:rPr>
                <w:b/>
                <w:bCs/>
                <w:sz w:val="20"/>
                <w:szCs w:val="20"/>
              </w:rPr>
              <w:t>Intrauterine fetal demise in a patient with chronic hypertension superimposed preeclampsia with HELLP syndrome and placental calcification - a case report</w:t>
            </w:r>
          </w:p>
        </w:tc>
        <w:tc>
          <w:tcPr>
            <w:tcW w:w="6442" w:type="dxa"/>
          </w:tcPr>
          <w:p w:rsidR="00EA1155" w:rsidRDefault="006C5A24">
            <w:pPr>
              <w:pStyle w:val="Heading2"/>
              <w:jc w:val="left"/>
              <w:rPr>
                <w:rFonts w:ascii="Times New Roman" w:eastAsia="Times New Roman" w:hAnsi="Times New Roman" w:cs="Times New Roman"/>
                <w:b w:val="0"/>
                <w:bCs w:val="0"/>
                <w:highlight w:val="cyan"/>
              </w:rPr>
            </w:pPr>
            <w:r>
              <w:rPr>
                <w:rFonts w:ascii="Times New Roman" w:eastAsia="Times New Roman" w:hAnsi="Times New Roman" w:cs="Times New Roman"/>
                <w:b w:val="0"/>
                <w:bCs w:val="0"/>
                <w:highlight w:val="cyan"/>
              </w:rPr>
              <w:t xml:space="preserve">Title recommendation accepted and revised in the main article. </w:t>
            </w:r>
          </w:p>
        </w:tc>
      </w:tr>
      <w:tr w:rsidR="00EA1155">
        <w:trPr>
          <w:trHeight w:val="1262"/>
        </w:trPr>
        <w:tc>
          <w:tcPr>
            <w:tcW w:w="5351" w:type="dxa"/>
          </w:tcPr>
          <w:p w:rsidR="00EA1155" w:rsidRDefault="006C5A24">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EA1155" w:rsidRDefault="00EA1155">
            <w:pPr>
              <w:pStyle w:val="Heading2"/>
              <w:jc w:val="left"/>
              <w:rPr>
                <w:rFonts w:ascii="Times New Roman" w:eastAsia="Times New Roman" w:hAnsi="Times New Roman" w:cs="Times New Roman"/>
                <w:u w:val="single"/>
              </w:rPr>
            </w:pPr>
          </w:p>
        </w:tc>
        <w:tc>
          <w:tcPr>
            <w:tcW w:w="9357" w:type="dxa"/>
          </w:tcPr>
          <w:p w:rsidR="00EA1155" w:rsidRDefault="006C5A24">
            <w:pPr>
              <w:ind w:left="360"/>
              <w:rPr>
                <w:sz w:val="20"/>
                <w:szCs w:val="20"/>
              </w:rPr>
            </w:pPr>
            <w:r>
              <w:rPr>
                <w:b/>
                <w:bCs/>
                <w:sz w:val="20"/>
                <w:szCs w:val="20"/>
              </w:rPr>
              <w:t>Gestational thrombocytopenia can be removed as it is a part of hello syndrome. Previous preeclampsi</w:t>
            </w:r>
            <w:r>
              <w:rPr>
                <w:b/>
                <w:bCs/>
                <w:sz w:val="20"/>
                <w:szCs w:val="20"/>
              </w:rPr>
              <w:t>a can be elaborated how severe it was, whether it needed preterm delivery and how is the baby now.</w:t>
            </w:r>
          </w:p>
        </w:tc>
        <w:tc>
          <w:tcPr>
            <w:tcW w:w="6442" w:type="dxa"/>
          </w:tcPr>
          <w:p w:rsidR="00EA1155" w:rsidRDefault="006C5A24">
            <w:pPr>
              <w:pStyle w:val="Heading2"/>
              <w:jc w:val="left"/>
              <w:rPr>
                <w:rFonts w:ascii="Times New Roman" w:eastAsia="Times New Roman" w:hAnsi="Times New Roman" w:cs="Times New Roman"/>
                <w:b w:val="0"/>
                <w:bCs w:val="0"/>
                <w:highlight w:val="cyan"/>
              </w:rPr>
            </w:pPr>
            <w:r>
              <w:rPr>
                <w:rFonts w:ascii="Times New Roman" w:eastAsia="Times New Roman" w:hAnsi="Times New Roman" w:cs="Times New Roman"/>
                <w:b w:val="0"/>
                <w:bCs w:val="0"/>
                <w:highlight w:val="cyan"/>
              </w:rPr>
              <w:t>Included in the revised article.</w:t>
            </w:r>
          </w:p>
        </w:tc>
      </w:tr>
      <w:tr w:rsidR="00EA1155">
        <w:trPr>
          <w:trHeight w:val="704"/>
        </w:trPr>
        <w:tc>
          <w:tcPr>
            <w:tcW w:w="5351" w:type="dxa"/>
          </w:tcPr>
          <w:p w:rsidR="00EA1155" w:rsidRDefault="006C5A24">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EA1155" w:rsidRDefault="006C5A24">
            <w:pPr>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The introduction part can elaborate more about the maternal a</w:t>
            </w:r>
            <w:r>
              <w:rPr>
                <w:rFonts w:ascii="Calibri" w:eastAsia="Calibri" w:hAnsi="Calibri" w:cs="Calibri"/>
                <w:color w:val="000000"/>
                <w:sz w:val="20"/>
                <w:szCs w:val="20"/>
              </w:rPr>
              <w:t xml:space="preserve">nd fetal component in preeclampsia. The fetal part involves placental hypoperfusion and is more associated with Fetal growth restriction, </w:t>
            </w:r>
            <w:proofErr w:type="spellStart"/>
            <w:r>
              <w:rPr>
                <w:rFonts w:ascii="Calibri" w:eastAsia="Calibri" w:hAnsi="Calibri" w:cs="Calibri"/>
                <w:color w:val="000000"/>
                <w:sz w:val="20"/>
                <w:szCs w:val="20"/>
              </w:rPr>
              <w:t>oligohydromnios</w:t>
            </w:r>
            <w:proofErr w:type="spellEnd"/>
            <w:r>
              <w:rPr>
                <w:rFonts w:ascii="Calibri" w:eastAsia="Calibri" w:hAnsi="Calibri" w:cs="Calibri"/>
                <w:color w:val="000000"/>
                <w:sz w:val="20"/>
                <w:szCs w:val="20"/>
              </w:rPr>
              <w:t>, IUFD. The maternal part involves the endothelial dysfunction and associated with systemic features li</w:t>
            </w:r>
            <w:r>
              <w:rPr>
                <w:rFonts w:ascii="Calibri" w:eastAsia="Calibri" w:hAnsi="Calibri" w:cs="Calibri"/>
                <w:color w:val="000000"/>
                <w:sz w:val="20"/>
                <w:szCs w:val="20"/>
              </w:rPr>
              <w:t xml:space="preserve">ke hemolysis, glomerular endotheliosis, HELLP syndrome, pulmonary edema. In patients with risk factors like maternal age more than 35 </w:t>
            </w:r>
            <w:proofErr w:type="spellStart"/>
            <w:r>
              <w:rPr>
                <w:rFonts w:ascii="Calibri" w:eastAsia="Calibri" w:hAnsi="Calibri" w:cs="Calibri"/>
                <w:color w:val="000000"/>
                <w:sz w:val="20"/>
                <w:szCs w:val="20"/>
              </w:rPr>
              <w:t>years</w:t>
            </w:r>
            <w:proofErr w:type="gramStart"/>
            <w:r>
              <w:rPr>
                <w:rFonts w:ascii="Calibri" w:eastAsia="Calibri" w:hAnsi="Calibri" w:cs="Calibri"/>
                <w:color w:val="000000"/>
                <w:sz w:val="20"/>
                <w:szCs w:val="20"/>
              </w:rPr>
              <w:t>,.previous</w:t>
            </w:r>
            <w:proofErr w:type="spellEnd"/>
            <w:proofErr w:type="gramEnd"/>
            <w:r>
              <w:rPr>
                <w:rFonts w:ascii="Calibri" w:eastAsia="Calibri" w:hAnsi="Calibri" w:cs="Calibri"/>
                <w:color w:val="000000"/>
                <w:sz w:val="20"/>
                <w:szCs w:val="20"/>
              </w:rPr>
              <w:t xml:space="preserve"> preeclampsia, chronic hypertension where both maternal and fetal part can get affected.</w:t>
            </w:r>
          </w:p>
          <w:p w:rsidR="00EA1155" w:rsidRDefault="006C5A24">
            <w:pPr>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Risk factors for preeclampsia in this patient can be highlighted clearly including family history and how did blood pressure maintain after the previous delivery. Previous delivery at 28 weeks due to fetal distress needs to be elaborated whether abnormal d</w:t>
            </w:r>
            <w:r>
              <w:rPr>
                <w:rFonts w:ascii="Calibri" w:eastAsia="Calibri" w:hAnsi="Calibri" w:cs="Calibri"/>
                <w:color w:val="000000"/>
                <w:sz w:val="20"/>
                <w:szCs w:val="20"/>
              </w:rPr>
              <w:t xml:space="preserve">opplers, </w:t>
            </w:r>
            <w:proofErr w:type="spellStart"/>
            <w:r>
              <w:rPr>
                <w:rFonts w:ascii="Calibri" w:eastAsia="Calibri" w:hAnsi="Calibri" w:cs="Calibri"/>
                <w:color w:val="000000"/>
                <w:sz w:val="20"/>
                <w:szCs w:val="20"/>
              </w:rPr>
              <w:t>oligohydromnios</w:t>
            </w:r>
            <w:proofErr w:type="spellEnd"/>
            <w:r>
              <w:rPr>
                <w:rFonts w:ascii="Calibri" w:eastAsia="Calibri" w:hAnsi="Calibri" w:cs="Calibri"/>
                <w:color w:val="000000"/>
                <w:sz w:val="20"/>
                <w:szCs w:val="20"/>
              </w:rPr>
              <w:t xml:space="preserve"> was there. Why was cesarean section done whether any obstetric indication was </w:t>
            </w:r>
            <w:proofErr w:type="gramStart"/>
            <w:r>
              <w:rPr>
                <w:rFonts w:ascii="Calibri" w:eastAsia="Calibri" w:hAnsi="Calibri" w:cs="Calibri"/>
                <w:color w:val="000000"/>
                <w:sz w:val="20"/>
                <w:szCs w:val="20"/>
              </w:rPr>
              <w:t>there.</w:t>
            </w:r>
            <w:proofErr w:type="gramEnd"/>
            <w:r>
              <w:rPr>
                <w:rFonts w:ascii="Calibri" w:eastAsia="Calibri" w:hAnsi="Calibri" w:cs="Calibri"/>
                <w:color w:val="000000"/>
                <w:sz w:val="20"/>
                <w:szCs w:val="20"/>
              </w:rPr>
              <w:t xml:space="preserve"> A Gestational weight gain and </w:t>
            </w:r>
            <w:proofErr w:type="spellStart"/>
            <w:r>
              <w:rPr>
                <w:rFonts w:ascii="Calibri" w:eastAsia="Calibri" w:hAnsi="Calibri" w:cs="Calibri"/>
                <w:color w:val="000000"/>
                <w:sz w:val="20"/>
                <w:szCs w:val="20"/>
              </w:rPr>
              <w:t>bmi</w:t>
            </w:r>
            <w:proofErr w:type="spellEnd"/>
            <w:r>
              <w:rPr>
                <w:rFonts w:ascii="Calibri" w:eastAsia="Calibri" w:hAnsi="Calibri" w:cs="Calibri"/>
                <w:color w:val="000000"/>
                <w:sz w:val="20"/>
                <w:szCs w:val="20"/>
              </w:rPr>
              <w:t xml:space="preserve"> at the start of pregnancy can be mentioned separately rather than obesity. Chronic hypertension before pregnancy</w:t>
            </w:r>
            <w:r>
              <w:rPr>
                <w:rFonts w:ascii="Calibri" w:eastAsia="Calibri" w:hAnsi="Calibri" w:cs="Calibri"/>
                <w:color w:val="000000"/>
                <w:sz w:val="20"/>
                <w:szCs w:val="20"/>
              </w:rPr>
              <w:t xml:space="preserve"> whether it was well controlled and what medications she was taking, whether cardiac status was assessed as she is also at risk for cardiomyopathy. Reason for starting methyldopa as the first line should be stated like it's a centrally acting sympatholytic</w:t>
            </w:r>
            <w:r>
              <w:rPr>
                <w:rFonts w:ascii="Calibri" w:eastAsia="Calibri" w:hAnsi="Calibri" w:cs="Calibri"/>
                <w:color w:val="000000"/>
                <w:sz w:val="20"/>
                <w:szCs w:val="20"/>
              </w:rPr>
              <w:t xml:space="preserve">. Reason for starting only 100mg Aspirin instead of 150mg when she had the risk factors for preeclampsia and when it was started. When thrombocytopenia of less than one lakh is present with preeclampsia, reason for calling it gestational thrombocytopenia? </w:t>
            </w:r>
            <w:r>
              <w:rPr>
                <w:rFonts w:ascii="Calibri" w:eastAsia="Calibri" w:hAnsi="Calibri" w:cs="Calibri"/>
                <w:color w:val="000000"/>
                <w:sz w:val="20"/>
                <w:szCs w:val="20"/>
              </w:rPr>
              <w:t xml:space="preserve">How were her obstetric scans? Any </w:t>
            </w:r>
            <w:proofErr w:type="gramStart"/>
            <w:r>
              <w:rPr>
                <w:rFonts w:ascii="Calibri" w:eastAsia="Calibri" w:hAnsi="Calibri" w:cs="Calibri"/>
                <w:color w:val="000000"/>
                <w:sz w:val="20"/>
                <w:szCs w:val="20"/>
              </w:rPr>
              <w:t>anomalies ,</w:t>
            </w:r>
            <w:proofErr w:type="gramEnd"/>
            <w:r>
              <w:rPr>
                <w:rFonts w:ascii="Calibri" w:eastAsia="Calibri" w:hAnsi="Calibri" w:cs="Calibri"/>
                <w:color w:val="000000"/>
                <w:sz w:val="20"/>
                <w:szCs w:val="20"/>
              </w:rPr>
              <w:t xml:space="preserve"> high uterine artery pi, </w:t>
            </w:r>
            <w:proofErr w:type="spellStart"/>
            <w:r>
              <w:rPr>
                <w:rFonts w:ascii="Calibri" w:eastAsia="Calibri" w:hAnsi="Calibri" w:cs="Calibri"/>
                <w:color w:val="000000"/>
                <w:sz w:val="20"/>
                <w:szCs w:val="20"/>
              </w:rPr>
              <w:t>fgr</w:t>
            </w:r>
            <w:proofErr w:type="spellEnd"/>
            <w:r>
              <w:rPr>
                <w:rFonts w:ascii="Calibri" w:eastAsia="Calibri" w:hAnsi="Calibri" w:cs="Calibri"/>
                <w:color w:val="000000"/>
                <w:sz w:val="20"/>
                <w:szCs w:val="20"/>
              </w:rPr>
              <w:t>? How frequently she was being followed up? Other causes for elevated bilirubin was ruled out? Viral serology? Bile acids? Abdominal ultrasound? Gastroenterology opinion? Any imminent</w:t>
            </w:r>
            <w:r>
              <w:rPr>
                <w:rFonts w:ascii="Calibri" w:eastAsia="Calibri" w:hAnsi="Calibri" w:cs="Calibri"/>
                <w:color w:val="000000"/>
                <w:sz w:val="20"/>
                <w:szCs w:val="20"/>
              </w:rPr>
              <w:t xml:space="preserve"> symptoms like headache, blurring of vision or epigastric pain on admission? Reason for </w:t>
            </w:r>
            <w:proofErr w:type="spellStart"/>
            <w:r>
              <w:rPr>
                <w:rFonts w:ascii="Calibri" w:eastAsia="Calibri" w:hAnsi="Calibri" w:cs="Calibri"/>
                <w:color w:val="000000"/>
                <w:sz w:val="20"/>
                <w:szCs w:val="20"/>
              </w:rPr>
              <w:t>lscs</w:t>
            </w:r>
            <w:proofErr w:type="spellEnd"/>
            <w:r>
              <w:rPr>
                <w:rFonts w:ascii="Calibri" w:eastAsia="Calibri" w:hAnsi="Calibri" w:cs="Calibri"/>
                <w:color w:val="000000"/>
                <w:sz w:val="20"/>
                <w:szCs w:val="20"/>
              </w:rPr>
              <w:t xml:space="preserve"> in </w:t>
            </w:r>
            <w:proofErr w:type="gramStart"/>
            <w:r>
              <w:rPr>
                <w:rFonts w:ascii="Calibri" w:eastAsia="Calibri" w:hAnsi="Calibri" w:cs="Calibri"/>
                <w:color w:val="000000"/>
                <w:sz w:val="20"/>
                <w:szCs w:val="20"/>
              </w:rPr>
              <w:t>a</w:t>
            </w:r>
            <w:proofErr w:type="gram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iufd</w:t>
            </w:r>
            <w:proofErr w:type="spellEnd"/>
            <w:r>
              <w:rPr>
                <w:rFonts w:ascii="Calibri" w:eastAsia="Calibri" w:hAnsi="Calibri" w:cs="Calibri"/>
                <w:color w:val="000000"/>
                <w:sz w:val="20"/>
                <w:szCs w:val="20"/>
              </w:rPr>
              <w:t xml:space="preserve">? Whether vaginal delivery could not be tried due to unfavorable cervix? Because previous </w:t>
            </w:r>
            <w:proofErr w:type="spellStart"/>
            <w:r>
              <w:rPr>
                <w:rFonts w:ascii="Calibri" w:eastAsia="Calibri" w:hAnsi="Calibri" w:cs="Calibri"/>
                <w:color w:val="000000"/>
                <w:sz w:val="20"/>
                <w:szCs w:val="20"/>
              </w:rPr>
              <w:t>lscs</w:t>
            </w:r>
            <w:proofErr w:type="spellEnd"/>
            <w:r>
              <w:rPr>
                <w:rFonts w:ascii="Calibri" w:eastAsia="Calibri" w:hAnsi="Calibri" w:cs="Calibri"/>
                <w:color w:val="000000"/>
                <w:sz w:val="20"/>
                <w:szCs w:val="20"/>
              </w:rPr>
              <w:t xml:space="preserve"> is not an absolute indication. Any </w:t>
            </w:r>
            <w:proofErr w:type="spellStart"/>
            <w:r>
              <w:rPr>
                <w:rFonts w:ascii="Calibri" w:eastAsia="Calibri" w:hAnsi="Calibri" w:cs="Calibri"/>
                <w:color w:val="000000"/>
                <w:sz w:val="20"/>
                <w:szCs w:val="20"/>
              </w:rPr>
              <w:t>pph</w:t>
            </w:r>
            <w:proofErr w:type="spellEnd"/>
            <w:r>
              <w:rPr>
                <w:rFonts w:ascii="Calibri" w:eastAsia="Calibri" w:hAnsi="Calibri" w:cs="Calibri"/>
                <w:color w:val="000000"/>
                <w:sz w:val="20"/>
                <w:szCs w:val="20"/>
              </w:rPr>
              <w:t xml:space="preserve"> was there? Whether s</w:t>
            </w:r>
            <w:r>
              <w:rPr>
                <w:rFonts w:ascii="Calibri" w:eastAsia="Calibri" w:hAnsi="Calibri" w:cs="Calibri"/>
                <w:color w:val="000000"/>
                <w:sz w:val="20"/>
                <w:szCs w:val="20"/>
              </w:rPr>
              <w:t xml:space="preserve">he was tested for APLA antibodies in the inter pregnancy period due to previous losses and preeclampsia? Whether she would have benefited with low molecular weight heparin? </w:t>
            </w:r>
          </w:p>
        </w:tc>
        <w:tc>
          <w:tcPr>
            <w:tcW w:w="6442" w:type="dxa"/>
          </w:tcPr>
          <w:p w:rsidR="00EA1155" w:rsidRDefault="006C5A24">
            <w:pPr>
              <w:pStyle w:val="Heading2"/>
              <w:jc w:val="left"/>
            </w:pPr>
            <w:bookmarkStart w:id="3" w:name="_heading=h.4mqr9hqtm4c1" w:colFirst="0" w:colLast="0"/>
            <w:bookmarkEnd w:id="3"/>
            <w:r>
              <w:rPr>
                <w:rFonts w:ascii="Times New Roman" w:eastAsia="Times New Roman" w:hAnsi="Times New Roman" w:cs="Times New Roman"/>
                <w:b w:val="0"/>
                <w:bCs w:val="0"/>
                <w:highlight w:val="cyan"/>
              </w:rPr>
              <w:t>Included in the revised article. The part where low molecular weight heparin was n</w:t>
            </w:r>
            <w:r>
              <w:rPr>
                <w:rFonts w:ascii="Times New Roman" w:eastAsia="Times New Roman" w:hAnsi="Times New Roman" w:cs="Times New Roman"/>
                <w:b w:val="0"/>
                <w:bCs w:val="0"/>
                <w:highlight w:val="cyan"/>
              </w:rPr>
              <w:t xml:space="preserve">ot explained further as no APLA screening done in this patient. And based on our local guideline- with only previous history of preeclampsia, no routine low molecular weight heparin given </w:t>
            </w:r>
            <w:proofErr w:type="spellStart"/>
            <w:r>
              <w:rPr>
                <w:rFonts w:ascii="Times New Roman" w:eastAsia="Times New Roman" w:hAnsi="Times New Roman" w:cs="Times New Roman"/>
                <w:b w:val="0"/>
                <w:bCs w:val="0"/>
                <w:highlight w:val="cyan"/>
              </w:rPr>
              <w:t>antenatallly</w:t>
            </w:r>
            <w:proofErr w:type="spellEnd"/>
            <w:r>
              <w:rPr>
                <w:rFonts w:ascii="Times New Roman" w:eastAsia="Times New Roman" w:hAnsi="Times New Roman" w:cs="Times New Roman"/>
                <w:b w:val="0"/>
                <w:bCs w:val="0"/>
                <w:highlight w:val="cyan"/>
              </w:rPr>
              <w:t>. The rest of the questions/feedback answered appropriat</w:t>
            </w:r>
            <w:r>
              <w:rPr>
                <w:rFonts w:ascii="Times New Roman" w:eastAsia="Times New Roman" w:hAnsi="Times New Roman" w:cs="Times New Roman"/>
                <w:b w:val="0"/>
                <w:bCs w:val="0"/>
                <w:highlight w:val="cyan"/>
              </w:rPr>
              <w:t xml:space="preserve">ely in the revised article. </w:t>
            </w:r>
          </w:p>
        </w:tc>
      </w:tr>
      <w:tr w:rsidR="00EA1155">
        <w:trPr>
          <w:trHeight w:val="703"/>
        </w:trPr>
        <w:tc>
          <w:tcPr>
            <w:tcW w:w="5351" w:type="dxa"/>
          </w:tcPr>
          <w:p w:rsidR="00EA1155" w:rsidRDefault="006C5A24">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EA1155" w:rsidRDefault="006C5A24">
            <w:pPr>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 xml:space="preserve">References can be arranged in the order of recent to oldest if possible </w:t>
            </w:r>
          </w:p>
        </w:tc>
        <w:tc>
          <w:tcPr>
            <w:tcW w:w="6442" w:type="dxa"/>
          </w:tcPr>
          <w:p w:rsidR="00EA1155" w:rsidRDefault="006C5A24">
            <w:pPr>
              <w:pStyle w:val="Heading2"/>
              <w:jc w:val="left"/>
              <w:rPr>
                <w:rFonts w:ascii="Times New Roman" w:eastAsia="Times New Roman" w:hAnsi="Times New Roman" w:cs="Times New Roman"/>
                <w:b w:val="0"/>
                <w:bCs w:val="0"/>
                <w:highlight w:val="cyan"/>
              </w:rPr>
            </w:pPr>
            <w:r>
              <w:rPr>
                <w:rFonts w:ascii="Times New Roman" w:eastAsia="Times New Roman" w:hAnsi="Times New Roman" w:cs="Times New Roman"/>
                <w:b w:val="0"/>
                <w:bCs w:val="0"/>
                <w:highlight w:val="cyan"/>
              </w:rPr>
              <w:t>References arranged in the orderly manner of paper.</w:t>
            </w:r>
          </w:p>
        </w:tc>
      </w:tr>
      <w:tr w:rsidR="00EA1155">
        <w:trPr>
          <w:trHeight w:val="386"/>
        </w:trPr>
        <w:tc>
          <w:tcPr>
            <w:tcW w:w="5351" w:type="dxa"/>
          </w:tcPr>
          <w:p w:rsidR="00EA1155" w:rsidRDefault="006C5A24">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EA1155" w:rsidRDefault="00EA1155">
            <w:pPr>
              <w:rPr>
                <w:sz w:val="20"/>
                <w:szCs w:val="20"/>
              </w:rPr>
            </w:pPr>
          </w:p>
        </w:tc>
        <w:tc>
          <w:tcPr>
            <w:tcW w:w="9357" w:type="dxa"/>
          </w:tcPr>
          <w:p w:rsidR="00EA1155" w:rsidRDefault="006C5A24">
            <w:pPr>
              <w:rPr>
                <w:sz w:val="20"/>
                <w:szCs w:val="20"/>
              </w:rPr>
            </w:pPr>
            <w:r>
              <w:rPr>
                <w:sz w:val="20"/>
                <w:szCs w:val="20"/>
              </w:rPr>
              <w:t>Yes</w:t>
            </w:r>
          </w:p>
        </w:tc>
        <w:tc>
          <w:tcPr>
            <w:tcW w:w="6442" w:type="dxa"/>
          </w:tcPr>
          <w:p w:rsidR="00EA1155" w:rsidRDefault="006C5A24">
            <w:pPr>
              <w:rPr>
                <w:sz w:val="20"/>
                <w:szCs w:val="20"/>
                <w:highlight w:val="cyan"/>
              </w:rPr>
            </w:pPr>
            <w:r>
              <w:rPr>
                <w:sz w:val="20"/>
                <w:szCs w:val="20"/>
                <w:highlight w:val="cyan"/>
              </w:rPr>
              <w:t>Thank you.</w:t>
            </w:r>
          </w:p>
        </w:tc>
      </w:tr>
      <w:tr w:rsidR="00EA1155">
        <w:trPr>
          <w:trHeight w:val="1178"/>
        </w:trPr>
        <w:tc>
          <w:tcPr>
            <w:tcW w:w="5351" w:type="dxa"/>
          </w:tcPr>
          <w:p w:rsidR="00EA1155" w:rsidRDefault="006C5A24">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EA1155" w:rsidRDefault="00EA1155">
            <w:pPr>
              <w:pStyle w:val="Heading2"/>
              <w:jc w:val="left"/>
              <w:rPr>
                <w:rFonts w:ascii="Times New Roman" w:eastAsia="Times New Roman" w:hAnsi="Times New Roman" w:cs="Times New Roman"/>
                <w:b w:val="0"/>
                <w:bCs w:val="0"/>
              </w:rPr>
            </w:pPr>
          </w:p>
        </w:tc>
        <w:tc>
          <w:tcPr>
            <w:tcW w:w="9357" w:type="dxa"/>
          </w:tcPr>
          <w:p w:rsidR="00EA1155" w:rsidRDefault="006C5A24">
            <w:pPr>
              <w:pBdr>
                <w:top w:val="nil"/>
                <w:left w:val="nil"/>
                <w:bottom w:val="nil"/>
                <w:right w:val="nil"/>
                <w:between w:val="nil"/>
              </w:pBdr>
              <w:rPr>
                <w:color w:val="000000"/>
                <w:sz w:val="20"/>
                <w:szCs w:val="20"/>
              </w:rPr>
            </w:pPr>
            <w:r>
              <w:rPr>
                <w:b/>
                <w:bCs/>
                <w:color w:val="000000"/>
                <w:sz w:val="20"/>
                <w:szCs w:val="20"/>
              </w:rPr>
              <w:t>As this is an important topic, mentioning the above points can help clinicians manage such cases in a better way.</w:t>
            </w:r>
          </w:p>
        </w:tc>
        <w:tc>
          <w:tcPr>
            <w:tcW w:w="6442" w:type="dxa"/>
          </w:tcPr>
          <w:p w:rsidR="00EA1155" w:rsidRDefault="006C5A24">
            <w:pPr>
              <w:rPr>
                <w:sz w:val="20"/>
                <w:szCs w:val="20"/>
              </w:rPr>
            </w:pPr>
            <w:r>
              <w:rPr>
                <w:sz w:val="20"/>
                <w:szCs w:val="20"/>
                <w:highlight w:val="cyan"/>
              </w:rPr>
              <w:t>Agreeable and</w:t>
            </w:r>
            <w:r>
              <w:rPr>
                <w:sz w:val="20"/>
                <w:szCs w:val="20"/>
              </w:rPr>
              <w:t xml:space="preserve"> </w:t>
            </w:r>
            <w:r>
              <w:rPr>
                <w:sz w:val="20"/>
                <w:szCs w:val="20"/>
                <w:highlight w:val="cyan"/>
              </w:rPr>
              <w:t>Included in the revised article.</w:t>
            </w:r>
          </w:p>
        </w:tc>
      </w:tr>
    </w:tbl>
    <w:p w:rsidR="00EA1155" w:rsidRDefault="00EA1155">
      <w:pPr>
        <w:pBdr>
          <w:top w:val="nil"/>
          <w:left w:val="nil"/>
          <w:bottom w:val="nil"/>
          <w:right w:val="nil"/>
          <w:between w:val="nil"/>
        </w:pBdr>
        <w:jc w:val="both"/>
        <w:rPr>
          <w:color w:val="000000"/>
          <w:sz w:val="20"/>
          <w:szCs w:val="20"/>
          <w:u w:val="single"/>
        </w:rPr>
      </w:pPr>
    </w:p>
    <w:p w:rsidR="00EA1155" w:rsidRDefault="00EA1155">
      <w:pPr>
        <w:pBdr>
          <w:top w:val="nil"/>
          <w:left w:val="nil"/>
          <w:bottom w:val="nil"/>
          <w:right w:val="nil"/>
          <w:between w:val="nil"/>
        </w:pBdr>
        <w:jc w:val="both"/>
        <w:rPr>
          <w:color w:val="000000"/>
          <w:sz w:val="20"/>
          <w:szCs w:val="20"/>
          <w:u w:val="single"/>
        </w:rPr>
      </w:pPr>
    </w:p>
    <w:p w:rsidR="00EA1155" w:rsidRDefault="00EA1155">
      <w:pPr>
        <w:pBdr>
          <w:top w:val="nil"/>
          <w:left w:val="nil"/>
          <w:bottom w:val="nil"/>
          <w:right w:val="nil"/>
          <w:between w:val="nil"/>
        </w:pBdr>
        <w:jc w:val="both"/>
        <w:rPr>
          <w:color w:val="000000"/>
          <w:sz w:val="20"/>
          <w:szCs w:val="20"/>
          <w:u w:val="single"/>
        </w:rPr>
      </w:pPr>
    </w:p>
    <w:p w:rsidR="00EA1155" w:rsidRDefault="00EA1155">
      <w:pPr>
        <w:pBdr>
          <w:top w:val="nil"/>
          <w:left w:val="nil"/>
          <w:bottom w:val="nil"/>
          <w:right w:val="nil"/>
          <w:between w:val="nil"/>
        </w:pBdr>
        <w:jc w:val="both"/>
        <w:rPr>
          <w:color w:val="000000"/>
          <w:sz w:val="20"/>
          <w:szCs w:val="20"/>
          <w:u w:val="single"/>
        </w:rPr>
      </w:pPr>
    </w:p>
    <w:p w:rsidR="00EA1155" w:rsidRDefault="00EA1155">
      <w:pPr>
        <w:pBdr>
          <w:top w:val="nil"/>
          <w:left w:val="nil"/>
          <w:bottom w:val="nil"/>
          <w:right w:val="nil"/>
          <w:between w:val="nil"/>
        </w:pBdr>
        <w:jc w:val="both"/>
        <w:rPr>
          <w:color w:val="000000"/>
          <w:sz w:val="20"/>
          <w:szCs w:val="20"/>
          <w:u w:val="single"/>
        </w:rPr>
      </w:pPr>
    </w:p>
    <w:p w:rsidR="00EA1155" w:rsidRDefault="00EA1155">
      <w:pPr>
        <w:pBdr>
          <w:top w:val="nil"/>
          <w:left w:val="nil"/>
          <w:bottom w:val="nil"/>
          <w:right w:val="nil"/>
          <w:between w:val="nil"/>
        </w:pBdr>
        <w:jc w:val="both"/>
        <w:rPr>
          <w:color w:val="000000"/>
          <w:sz w:val="20"/>
          <w:szCs w:val="20"/>
          <w:u w:val="single"/>
        </w:rPr>
      </w:pPr>
      <w:bookmarkStart w:id="4" w:name="_heading=h.gfj8jxytldqq" w:colFirst="0" w:colLast="0"/>
      <w:bookmarkEnd w:id="4"/>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EA1155">
        <w:tc>
          <w:tcPr>
            <w:tcW w:w="21150" w:type="dxa"/>
            <w:gridSpan w:val="3"/>
            <w:tcBorders>
              <w:top w:val="nil"/>
              <w:left w:val="nil"/>
              <w:right w:val="nil"/>
            </w:tcBorders>
            <w:tcMar>
              <w:top w:w="0" w:type="dxa"/>
              <w:left w:w="108" w:type="dxa"/>
              <w:bottom w:w="0" w:type="dxa"/>
              <w:right w:w="108" w:type="dxa"/>
            </w:tcMar>
            <w:vAlign w:val="center"/>
          </w:tcPr>
          <w:p w:rsidR="00EA1155" w:rsidRDefault="006C5A24">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EA1155" w:rsidRDefault="00EA1155">
            <w:pPr>
              <w:rPr>
                <w:rFonts w:ascii="Arial" w:eastAsia="Arial" w:hAnsi="Arial" w:cs="Arial"/>
                <w:sz w:val="20"/>
                <w:szCs w:val="20"/>
                <w:u w:val="single"/>
              </w:rPr>
            </w:pPr>
          </w:p>
        </w:tc>
      </w:tr>
      <w:tr w:rsidR="00EA1155">
        <w:tc>
          <w:tcPr>
            <w:tcW w:w="6831" w:type="dxa"/>
            <w:tcMar>
              <w:top w:w="0" w:type="dxa"/>
              <w:left w:w="108" w:type="dxa"/>
              <w:bottom w:w="0" w:type="dxa"/>
              <w:right w:w="108" w:type="dxa"/>
            </w:tcMar>
            <w:vAlign w:val="center"/>
          </w:tcPr>
          <w:p w:rsidR="00EA1155" w:rsidRDefault="00EA1155">
            <w:pPr>
              <w:rPr>
                <w:rFonts w:ascii="Arial" w:eastAsia="Arial" w:hAnsi="Arial" w:cs="Arial"/>
                <w:sz w:val="20"/>
                <w:szCs w:val="20"/>
              </w:rPr>
            </w:pPr>
          </w:p>
        </w:tc>
        <w:tc>
          <w:tcPr>
            <w:tcW w:w="7166" w:type="dxa"/>
            <w:tcMar>
              <w:top w:w="0" w:type="dxa"/>
              <w:left w:w="108" w:type="dxa"/>
              <w:bottom w:w="0" w:type="dxa"/>
              <w:right w:w="108" w:type="dxa"/>
            </w:tcMar>
          </w:tcPr>
          <w:p w:rsidR="00EA1155" w:rsidRDefault="006C5A24">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EA1155" w:rsidRDefault="006C5A24">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EA1155" w:rsidRDefault="00EA1155">
            <w:pPr>
              <w:keepNext/>
              <w:rPr>
                <w:rFonts w:ascii="Arial" w:eastAsia="Arial" w:hAnsi="Arial" w:cs="Arial"/>
                <w:sz w:val="20"/>
                <w:szCs w:val="20"/>
              </w:rPr>
            </w:pPr>
          </w:p>
        </w:tc>
      </w:tr>
      <w:tr w:rsidR="00EA1155">
        <w:trPr>
          <w:trHeight w:val="890"/>
        </w:trPr>
        <w:tc>
          <w:tcPr>
            <w:tcW w:w="6831" w:type="dxa"/>
            <w:tcMar>
              <w:top w:w="0" w:type="dxa"/>
              <w:left w:w="108" w:type="dxa"/>
              <w:bottom w:w="0" w:type="dxa"/>
              <w:right w:w="108" w:type="dxa"/>
            </w:tcMar>
            <w:vAlign w:val="center"/>
          </w:tcPr>
          <w:p w:rsidR="00EA1155" w:rsidRDefault="006C5A24">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EA1155" w:rsidRDefault="00EA1155">
            <w:pPr>
              <w:rPr>
                <w:rFonts w:ascii="Arial" w:eastAsia="Arial" w:hAnsi="Arial" w:cs="Arial"/>
                <w:sz w:val="20"/>
                <w:szCs w:val="20"/>
              </w:rPr>
            </w:pPr>
          </w:p>
        </w:tc>
        <w:tc>
          <w:tcPr>
            <w:tcW w:w="7166" w:type="dxa"/>
            <w:tcMar>
              <w:top w:w="0" w:type="dxa"/>
              <w:left w:w="108" w:type="dxa"/>
              <w:bottom w:w="0" w:type="dxa"/>
              <w:right w:w="108" w:type="dxa"/>
            </w:tcMar>
            <w:vAlign w:val="center"/>
          </w:tcPr>
          <w:p w:rsidR="00EA1155" w:rsidRDefault="006C5A24">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EA1155" w:rsidRDefault="00EA1155">
            <w:pPr>
              <w:rPr>
                <w:rFonts w:ascii="Arial" w:eastAsia="Arial" w:hAnsi="Arial" w:cs="Arial"/>
                <w:sz w:val="20"/>
                <w:szCs w:val="20"/>
              </w:rPr>
            </w:pPr>
          </w:p>
          <w:p w:rsidR="00EA1155" w:rsidRDefault="00EA1155">
            <w:pPr>
              <w:rPr>
                <w:rFonts w:ascii="Arial" w:eastAsia="Arial" w:hAnsi="Arial" w:cs="Arial"/>
                <w:sz w:val="20"/>
                <w:szCs w:val="20"/>
              </w:rPr>
            </w:pPr>
          </w:p>
        </w:tc>
        <w:tc>
          <w:tcPr>
            <w:tcW w:w="7153" w:type="dxa"/>
            <w:vAlign w:val="center"/>
          </w:tcPr>
          <w:p w:rsidR="00EA1155" w:rsidRDefault="006C5A24">
            <w:pPr>
              <w:rPr>
                <w:rFonts w:ascii="Arial" w:eastAsia="Arial" w:hAnsi="Arial" w:cs="Arial"/>
                <w:sz w:val="20"/>
                <w:szCs w:val="20"/>
                <w:highlight w:val="cyan"/>
              </w:rPr>
            </w:pPr>
            <w:r>
              <w:rPr>
                <w:rFonts w:ascii="Arial" w:eastAsia="Arial" w:hAnsi="Arial" w:cs="Arial"/>
                <w:sz w:val="20"/>
                <w:szCs w:val="20"/>
                <w:highlight w:val="cyan"/>
              </w:rPr>
              <w:t xml:space="preserve">No ethical issues identified. </w:t>
            </w:r>
          </w:p>
          <w:p w:rsidR="00EA1155" w:rsidRDefault="00EA1155">
            <w:pPr>
              <w:rPr>
                <w:rFonts w:ascii="Arial" w:eastAsia="Arial" w:hAnsi="Arial" w:cs="Arial"/>
                <w:sz w:val="20"/>
                <w:szCs w:val="20"/>
              </w:rPr>
            </w:pPr>
          </w:p>
        </w:tc>
      </w:tr>
    </w:tbl>
    <w:p w:rsidR="00EA1155" w:rsidRDefault="00EA1155"/>
    <w:p w:rsidR="00EA1155" w:rsidRDefault="00EA1155"/>
    <w:p w:rsidR="00EA1155" w:rsidRDefault="00EA1155">
      <w:pPr>
        <w:rPr>
          <w:u w:val="single"/>
        </w:rPr>
      </w:pPr>
    </w:p>
    <w:p w:rsidR="00EA1155" w:rsidRDefault="00EA1155"/>
    <w:p w:rsidR="00EA1155" w:rsidRDefault="00EA1155">
      <w:pPr>
        <w:pBdr>
          <w:top w:val="nil"/>
          <w:left w:val="nil"/>
          <w:bottom w:val="nil"/>
          <w:right w:val="nil"/>
          <w:between w:val="nil"/>
        </w:pBdr>
        <w:jc w:val="both"/>
        <w:rPr>
          <w:color w:val="000000"/>
          <w:sz w:val="20"/>
          <w:szCs w:val="20"/>
          <w:u w:val="single"/>
        </w:rPr>
      </w:pPr>
    </w:p>
    <w:sectPr w:rsidR="00EA1155">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5A24" w:rsidRDefault="006C5A24">
      <w:r>
        <w:separator/>
      </w:r>
    </w:p>
  </w:endnote>
  <w:endnote w:type="continuationSeparator" w:id="0">
    <w:p w:rsidR="006C5A24" w:rsidRDefault="006C5A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BBCA4571-145A-4C4F-9A73-B7BE3700B77A}"/>
    <w:embedBold r:id="rId2" w:fontKey="{3DA2AC2C-0FAD-4506-9953-D10121438ED9}"/>
  </w:font>
  <w:font w:name="Arimo">
    <w:charset w:val="00"/>
    <w:family w:val="auto"/>
    <w:pitch w:val="default"/>
    <w:embedBold r:id="rId3" w:fontKey="{E720013B-A6E1-4526-B68D-1CC442B750A7}"/>
  </w:font>
  <w:font w:name="Calibri">
    <w:panose1 w:val="020F0502020204030204"/>
    <w:charset w:val="00"/>
    <w:family w:val="swiss"/>
    <w:pitch w:val="variable"/>
    <w:sig w:usb0="E4002EFF" w:usb1="C200247B" w:usb2="00000009" w:usb3="00000000" w:csb0="000001FF" w:csb1="00000000"/>
    <w:embedRegular r:id="rId4" w:fontKey="{337E26CA-4256-4478-AE47-970D2576DE67}"/>
    <w:embedBold r:id="rId5" w:fontKey="{5CE6C4A9-ABA6-4C59-BF78-5AD5A81B9895}"/>
  </w:font>
  <w:font w:name="Helvetica">
    <w:panose1 w:val="020B0604020202020204"/>
    <w:charset w:val="00"/>
    <w:family w:val="swiss"/>
    <w:pitch w:val="variable"/>
    <w:sig w:usb0="00000003" w:usb1="00000000" w:usb2="00000000" w:usb3="00000000" w:csb0="00000001" w:csb1="00000000"/>
    <w:embedRegular r:id="rId6" w:fontKey="{D3A893B7-168D-4C91-9E8A-DA66803DD9DA}"/>
    <w:embedBold r:id="rId7" w:fontKey="{2609D5D8-96E9-47B7-9C6B-D1F89B7CAE13}"/>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auto"/>
    <w:pitch w:val="default"/>
    <w:embedItalic r:id="rId8" w:fontKey="{F638E9FC-7EEA-4EEE-B0ED-2AA4FA54D38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49D3B529-4374-4362-84D6-1B024A078A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1155" w:rsidRDefault="006C5A24">
    <w:pPr>
      <w:pBdr>
        <w:top w:val="nil"/>
        <w:left w:val="nil"/>
        <w:bottom w:val="nil"/>
        <w:right w:val="nil"/>
        <w:between w:val="nil"/>
      </w:pBdr>
      <w:tabs>
        <w:tab w:val="center" w:pos="4513"/>
        <w:tab w:val="right" w:pos="9026"/>
      </w:tabs>
      <w:rPr>
        <w:rFonts w:ascii="Calibri" w:eastAsia="Calibri" w:hAnsi="Calibri" w:cs="Calibri"/>
        <w:color w:val="000000"/>
        <w:sz w:val="16"/>
        <w:szCs w:val="16"/>
      </w:rPr>
    </w:pPr>
    <w:r>
      <w:rPr>
        <w:rFonts w:ascii="Calibri" w:eastAsia="Calibri" w:hAnsi="Calibri" w:cs="Calibri"/>
        <w:color w:val="000000"/>
        <w:sz w:val="16"/>
        <w:szCs w:val="16"/>
      </w:rPr>
      <w:t>Created by: DR</w:t>
    </w:r>
    <w:r>
      <w:rPr>
        <w:rFonts w:ascii="Calibri" w:eastAsia="Calibri" w:hAnsi="Calibri" w:cs="Calibri"/>
        <w:color w:val="000000"/>
        <w:sz w:val="16"/>
        <w:szCs w:val="16"/>
      </w:rPr>
      <w:tab/>
      <w:t xml:space="preserve">              Checked by: PM                                           Approved by: MBM</w:t>
    </w:r>
    <w:r>
      <w:rPr>
        <w:rFonts w:ascii="Calibri" w:eastAsia="Calibri" w:hAnsi="Calibri" w:cs="Calibri"/>
        <w:color w:val="000000"/>
        <w:sz w:val="16"/>
        <w:szCs w:val="16"/>
      </w:rPr>
      <w:tab/>
      <w:t xml:space="preserve">   </w:t>
    </w:r>
    <w:r>
      <w:rPr>
        <w:rFonts w:ascii="Calibri" w:eastAsia="Calibri" w:hAnsi="Calibri" w:cs="Calibri"/>
        <w:color w:val="000000"/>
        <w:sz w:val="16"/>
        <w:szCs w:val="16"/>
      </w:rPr>
      <w:tab/>
      <w:t>Version: 3 (07-07-2024)</w:t>
    </w:r>
    <w:r>
      <w:rPr>
        <w:rFonts w:ascii="Calibri" w:eastAsia="Calibri" w:hAnsi="Calibri" w:cs="Calibri"/>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5A24" w:rsidRDefault="006C5A24">
      <w:r>
        <w:separator/>
      </w:r>
    </w:p>
  </w:footnote>
  <w:footnote w:type="continuationSeparator" w:id="0">
    <w:p w:rsidR="006C5A24" w:rsidRDefault="006C5A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1155" w:rsidRDefault="00EA1155">
    <w:pPr>
      <w:spacing w:after="280"/>
      <w:jc w:val="center"/>
      <w:rPr>
        <w:rFonts w:ascii="Arial" w:eastAsia="Arial" w:hAnsi="Arial" w:cs="Arial"/>
        <w:color w:val="003399"/>
        <w:u w:val="single"/>
      </w:rPr>
    </w:pPr>
  </w:p>
  <w:p w:rsidR="00EA1155" w:rsidRDefault="006C5A24">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1155"/>
    <w:rsid w:val="006C5A24"/>
    <w:rsid w:val="00863D5F"/>
    <w:rsid w:val="00EA115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A6D3241-7C24-4FE5-87C6-C6E04C8EE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pPr>
      <w:tabs>
        <w:tab w:val="center" w:pos="4513"/>
        <w:tab w:val="right" w:pos="9026"/>
      </w:tabs>
      <w:suppressAutoHyphens/>
      <w:spacing w:line="1" w:lineRule="atLeast"/>
      <w:ind w:leftChars="-1" w:left="-1" w:hangingChars="1" w:hanging="1"/>
      <w:textDirection w:val="btLr"/>
      <w:textAlignment w:val="top"/>
      <w:outlineLvl w:val="0"/>
    </w:pPr>
    <w:rPr>
      <w:rFonts w:ascii="Calibri" w:eastAsia="Calibri" w:hAnsi="Calibri"/>
      <w:position w:val="-1"/>
      <w:lang w:val="en-US" w:eastAsia="en-US"/>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styleId="Hyperlink">
    <w:name w:val="Hyperlink"/>
    <w:rPr>
      <w:rFonts w:ascii="Calibri" w:eastAsia="Calibri" w:hAnsi="Calibri" w:cs="Times New Roman"/>
      <w:color w:val="0000FF"/>
      <w:w w:val="100"/>
      <w:position w:val="-1"/>
      <w:u w:val="single"/>
      <w:effect w:val="none"/>
      <w:vertAlign w:val="baseline"/>
      <w:cs w:val="0"/>
      <w:em w:val="none"/>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rFonts w:ascii="Calibri" w:eastAsia="Calibri" w:hAnsi="Calibri"/>
      <w:position w:val="-1"/>
      <w:lang w:val="en-US" w:eastAsia="en-US"/>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Header">
    <w:name w:val="header"/>
    <w:basedOn w:val="Normal"/>
    <w:pPr>
      <w:tabs>
        <w:tab w:val="center" w:pos="4680"/>
        <w:tab w:val="right" w:pos="9360"/>
      </w:tabs>
      <w:suppressAutoHyphens/>
      <w:spacing w:line="1" w:lineRule="atLeast"/>
      <w:ind w:leftChars="-1" w:left="-1" w:hangingChars="1" w:hanging="1"/>
      <w:textDirection w:val="btLr"/>
      <w:textAlignment w:val="top"/>
      <w:outlineLvl w:val="0"/>
    </w:pPr>
    <w:rPr>
      <w:rFonts w:ascii="Calibri" w:eastAsia="Calibri" w:hAnsi="Calibri"/>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rPr>
      <w:rFonts w:ascii="Calibri" w:eastAsia="Calibri" w:hAnsi="Calibri" w:cs="Times New Roman"/>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rPr>
      <w:rFonts w:ascii="Calibri" w:eastAsia="Calibri" w:hAnsi="Calibri" w:cs="Times New Roman"/>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rjgo.com/index.php/ARJGO"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AiyIwRaRlJfERePZc57w+x/gIA==">CgMxLjAyDmguaGkwZ2Q1b2xhaWZ3Mg5oLmk1cHNnY2tlcHVqcDIOaC40bXFyOWhxdG00YzEyDmguZ2ZqOGp4eXRsZHFxOAByITExalJSWUIwWkVqTkJjd2x6TnBqNDk0bWZ2NVg2bnhhUQ==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783</Words>
  <Characters>4465</Characters>
  <Application>Microsoft Office Word</Application>
  <DocSecurity>0</DocSecurity>
  <Lines>37</Lines>
  <Paragraphs>10</Paragraphs>
  <ScaleCrop>false</ScaleCrop>
  <Company/>
  <LinksUpToDate>false</LinksUpToDate>
  <CharactersWithSpaces>5238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2026-02-02T09:17:00Z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bb15756bd13d4023984594b0174c8088</vt:lpwstr>
  </property>
</Properties>
</file>