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83F8D" w:rsidRDefault="00D83F8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83F8D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83F8D" w:rsidRDefault="00D83F8D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D83F8D">
        <w:trPr>
          <w:trHeight w:val="290"/>
        </w:trPr>
        <w:tc>
          <w:tcPr>
            <w:tcW w:w="516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Research Journal of Gynaecology and Obstetrics</w:t>
              </w:r>
            </w:hyperlink>
          </w:p>
        </w:tc>
      </w:tr>
      <w:tr w:rsidR="00D83F8D">
        <w:trPr>
          <w:trHeight w:val="290"/>
        </w:trPr>
        <w:tc>
          <w:tcPr>
            <w:tcW w:w="516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Ms_ARJGO_152446</w:t>
            </w:r>
          </w:p>
        </w:tc>
      </w:tr>
      <w:tr w:rsidR="00D83F8D">
        <w:trPr>
          <w:trHeight w:val="650"/>
        </w:trPr>
        <w:tc>
          <w:tcPr>
            <w:tcW w:w="516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Intrauterine Death Secondary to HELLP Syndrome with Placental Calcification in a Patient with Chronic Hypertension superimposed Preeclampsia and Gestational Thrombocytopenia</w:t>
            </w:r>
          </w:p>
        </w:tc>
      </w:tr>
      <w:tr w:rsidR="00D83F8D">
        <w:trPr>
          <w:trHeight w:val="332"/>
        </w:trPr>
        <w:tc>
          <w:tcPr>
            <w:tcW w:w="516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Study</w:t>
            </w:r>
          </w:p>
        </w:tc>
      </w:tr>
    </w:tbl>
    <w:p w:rsidR="00D83F8D" w:rsidRDefault="00D83F8D">
      <w:pPr>
        <w:rPr>
          <w:sz w:val="20"/>
          <w:szCs w:val="20"/>
        </w:rPr>
      </w:pPr>
      <w:bookmarkStart w:id="0" w:name="_heading=h.cj4ahtwxep89" w:colFirst="0" w:colLast="0"/>
      <w:bookmarkStart w:id="1" w:name="_heading=h.2vd18uvwiqvd" w:colFirst="0" w:colLast="0"/>
      <w:bookmarkStart w:id="2" w:name="_GoBack"/>
      <w:bookmarkEnd w:id="0"/>
      <w:bookmarkEnd w:id="1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83F8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D83F8D" w:rsidRDefault="00D83F8D">
            <w:pPr>
              <w:rPr>
                <w:sz w:val="20"/>
                <w:szCs w:val="20"/>
              </w:rPr>
            </w:pPr>
          </w:p>
        </w:tc>
      </w:tr>
      <w:tr w:rsidR="00D83F8D">
        <w:tc>
          <w:tcPr>
            <w:tcW w:w="5351" w:type="dxa"/>
          </w:tcPr>
          <w:p w:rsidR="00D83F8D" w:rsidRDefault="00D83F8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D83F8D" w:rsidRDefault="00D83F8D"/>
        </w:tc>
        <w:tc>
          <w:tcPr>
            <w:tcW w:w="6442" w:type="dxa"/>
          </w:tcPr>
          <w:p w:rsidR="00D83F8D" w:rsidRDefault="00B6344C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D83F8D" w:rsidRDefault="00D83F8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83F8D">
        <w:trPr>
          <w:trHeight w:val="1264"/>
        </w:trPr>
        <w:tc>
          <w:tcPr>
            <w:tcW w:w="5351" w:type="dxa"/>
          </w:tcPr>
          <w:p w:rsidR="00D83F8D" w:rsidRDefault="00B6344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83F8D" w:rsidRDefault="00D83F8D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This manuscript describes a case of intrauterine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fetal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death caused by HELLP syndrome in a pat</w:t>
            </w:r>
            <w:r>
              <w:rPr>
                <w:b/>
                <w:bCs/>
                <w:color w:val="000000"/>
                <w:sz w:val="20"/>
                <w:szCs w:val="20"/>
              </w:rPr>
              <w:t>ient with several high-risk comorbidities that is both clinically relevant and well-documented. The example illustrates the intricate relationship between placental disease, thrombocytopenia, superimposed preeclampsia, and persistent hypertension. It serve</w:t>
            </w:r>
            <w:r>
              <w:rPr>
                <w:b/>
                <w:bCs/>
                <w:color w:val="000000"/>
                <w:sz w:val="20"/>
                <w:szCs w:val="20"/>
              </w:rPr>
              <w:t>s as a crucial clinical reminder that high-risk pregnancies require constant monitoring and interdisciplinary care. The discussion highlights both immediate and long-term maternal consequences and is backed by recent research.</w:t>
            </w:r>
          </w:p>
          <w:p w:rsidR="00D83F8D" w:rsidRDefault="00D83F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Agreeable</w:t>
            </w:r>
          </w:p>
        </w:tc>
      </w:tr>
      <w:tr w:rsidR="00D83F8D">
        <w:trPr>
          <w:trHeight w:val="1262"/>
        </w:trPr>
        <w:tc>
          <w:tcPr>
            <w:tcW w:w="5351" w:type="dxa"/>
          </w:tcPr>
          <w:p w:rsidR="00D83F8D" w:rsidRDefault="00B6344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D83F8D" w:rsidRDefault="00B6344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D83F8D" w:rsidRDefault="00D83F8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Yes, the title accurately conveys the information included in the paper. It may be made shorter to make it easier to read, though.</w:t>
            </w:r>
          </w:p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Suggested alternative title:</w:t>
            </w:r>
          </w:p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Intrauterine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Fetal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Demise in a Patient with HELLP Syndrome, Superimposed Preeclampsia, and Placental Calcification: A Case Report</w:t>
            </w: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jwtgf7em2nyv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Understood and Included in the revised article</w:t>
            </w:r>
          </w:p>
        </w:tc>
      </w:tr>
      <w:tr w:rsidR="00D83F8D">
        <w:trPr>
          <w:trHeight w:val="1262"/>
        </w:trPr>
        <w:tc>
          <w:tcPr>
            <w:tcW w:w="5351" w:type="dxa"/>
          </w:tcPr>
          <w:p w:rsidR="00D83F8D" w:rsidRDefault="00B6344C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D83F8D" w:rsidRDefault="00D83F8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abstract is generally clear and provides an appropriate summary of the case. However, it could </w:t>
            </w:r>
            <w:r>
              <w:rPr>
                <w:b/>
                <w:bCs/>
                <w:sz w:val="20"/>
                <w:szCs w:val="20"/>
              </w:rPr>
              <w:t>benefit from a quick statement of management and outcome.</w:t>
            </w:r>
          </w:p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abstract could be somewhat condensed to emphasize the clinical value and learning elements.</w:t>
            </w: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ledi4pfu7fjm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Understood and Included in the revised article</w:t>
            </w:r>
          </w:p>
        </w:tc>
      </w:tr>
      <w:tr w:rsidR="00D83F8D">
        <w:trPr>
          <w:trHeight w:val="704"/>
        </w:trPr>
        <w:tc>
          <w:tcPr>
            <w:tcW w:w="5351" w:type="dxa"/>
          </w:tcPr>
          <w:p w:rsidR="00D83F8D" w:rsidRDefault="00B6344C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</w:t>
            </w:r>
            <w:r>
              <w:rPr>
                <w:rFonts w:ascii="Times New Roman" w:eastAsia="Times New Roman" w:hAnsi="Times New Roman" w:cs="Times New Roman"/>
              </w:rPr>
              <w:t>e here.</w:t>
            </w:r>
          </w:p>
        </w:tc>
        <w:tc>
          <w:tcPr>
            <w:tcW w:w="935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Overall, the manuscript is scientifically sound, with good clinical reasoning. The diagnosis of HELLP syndrome is supported by test data and clinical information. The debate accurately connects placental pathology, preeclampsia, and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fetal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death.How</w:t>
            </w:r>
            <w:r>
              <w:rPr>
                <w:b/>
                <w:bCs/>
                <w:color w:val="000000"/>
                <w:sz w:val="20"/>
                <w:szCs w:val="20"/>
              </w:rPr>
              <w:t>ever</w:t>
            </w:r>
            <w:proofErr w:type="spellEnd"/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>, various laboratory results and units should be defined and standardized, and the LDH value looks to be extremely low and should be examined again.</w:t>
            </w:r>
          </w:p>
          <w:p w:rsidR="00D83F8D" w:rsidRDefault="00D83F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Yes, all lab results unit defined appropriately. </w:t>
            </w:r>
          </w:p>
        </w:tc>
      </w:tr>
      <w:tr w:rsidR="00D83F8D">
        <w:trPr>
          <w:trHeight w:val="703"/>
        </w:trPr>
        <w:tc>
          <w:tcPr>
            <w:tcW w:w="5351" w:type="dxa"/>
          </w:tcPr>
          <w:p w:rsidR="00D83F8D" w:rsidRDefault="00B6344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Yes, the references are generally acceptable and relevant, with several being recent and </w:t>
            </w:r>
            <w:proofErr w:type="spellStart"/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authoritative.Minor</w:t>
            </w:r>
            <w:proofErr w:type="spellEnd"/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suggestions:Ref</w:t>
            </w:r>
            <w:r>
              <w:rPr>
                <w:b/>
                <w:bCs/>
                <w:color w:val="000000"/>
                <w:sz w:val="20"/>
                <w:szCs w:val="20"/>
              </w:rPr>
              <w:t>erence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formatting should be consistent with the journal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style.Some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citations in the text should be reviewed for consistency and accuracy (for example, numbering and bracket format).</w:t>
            </w:r>
          </w:p>
          <w:p w:rsidR="00D83F8D" w:rsidRDefault="00D83F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Feedback appreciated and necessary update done. </w:t>
            </w:r>
          </w:p>
        </w:tc>
      </w:tr>
      <w:tr w:rsidR="00D83F8D">
        <w:trPr>
          <w:trHeight w:val="386"/>
        </w:trPr>
        <w:tc>
          <w:tcPr>
            <w:tcW w:w="5351" w:type="dxa"/>
          </w:tcPr>
          <w:p w:rsidR="00D83F8D" w:rsidRDefault="00B6344C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D83F8D" w:rsidRDefault="00D83F8D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83F8D" w:rsidRDefault="00B6344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manuscript is understandable, although it contains numerous grammatical errors, poor phrasing, and discrepancies in tense and medical </w:t>
            </w:r>
            <w:proofErr w:type="spellStart"/>
            <w:proofErr w:type="gramStart"/>
            <w:r>
              <w:rPr>
                <w:b/>
                <w:bCs/>
                <w:sz w:val="20"/>
                <w:szCs w:val="20"/>
              </w:rPr>
              <w:t>terminology.Professional</w:t>
            </w:r>
            <w:proofErr w:type="spellEnd"/>
            <w:proofErr w:type="gramEnd"/>
            <w:r>
              <w:rPr>
                <w:b/>
                <w:bCs/>
                <w:sz w:val="20"/>
                <w:szCs w:val="20"/>
              </w:rPr>
              <w:t xml:space="preserve"> Englis</w:t>
            </w:r>
            <w:r>
              <w:rPr>
                <w:b/>
                <w:bCs/>
                <w:sz w:val="20"/>
                <w:szCs w:val="20"/>
              </w:rPr>
              <w:t>h language editing is required prior to publication.</w:t>
            </w:r>
          </w:p>
          <w:p w:rsidR="00D83F8D" w:rsidRDefault="00D83F8D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</w:pPr>
            <w:bookmarkStart w:id="5" w:name="_heading=h.7fxvqntp1ajm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Feedback appreciated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. .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</w:t>
            </w:r>
          </w:p>
        </w:tc>
      </w:tr>
      <w:tr w:rsidR="00D83F8D">
        <w:trPr>
          <w:trHeight w:val="1178"/>
        </w:trPr>
        <w:tc>
          <w:tcPr>
            <w:tcW w:w="5351" w:type="dxa"/>
          </w:tcPr>
          <w:p w:rsidR="00D83F8D" w:rsidRDefault="00B6344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D83F8D" w:rsidRDefault="00D83F8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D83F8D" w:rsidRDefault="00B6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The case is instructive and clinically </w:t>
            </w:r>
            <w:proofErr w:type="spellStart"/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fascinating.A</w:t>
            </w:r>
            <w:proofErr w:type="spellEnd"/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 more readable table format should be used for the laboratory results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section.Although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the talk is nice, it might be more succinct and concentrated on the most important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lessons.The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legend and figure qual</w:t>
            </w:r>
            <w:r>
              <w:rPr>
                <w:b/>
                <w:bCs/>
                <w:color w:val="000000"/>
                <w:sz w:val="20"/>
                <w:szCs w:val="20"/>
              </w:rPr>
              <w:t>ity need to be enhanced.</w:t>
            </w:r>
          </w:p>
          <w:p w:rsidR="00D83F8D" w:rsidRDefault="00D83F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D83F8D" w:rsidRDefault="00B6344C">
            <w:pPr>
              <w:pStyle w:val="Heading2"/>
              <w:jc w:val="left"/>
            </w:pPr>
            <w:bookmarkStart w:id="6" w:name="_heading=h.47ix9vp4fmhj" w:colFirst="0" w:colLast="0"/>
            <w:bookmarkEnd w:id="6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Yes, indeed a wonderful topic to discuss and publish. Blood parameters trend updated in form of table. </w:t>
            </w:r>
          </w:p>
        </w:tc>
      </w:tr>
    </w:tbl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7" w:name="_heading=h.euqelxa02923" w:colFirst="0" w:colLast="0"/>
      <w:bookmarkEnd w:id="7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D83F8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D83F8D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3F8D" w:rsidRDefault="00B6344C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D83F8D" w:rsidRDefault="00B6344C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83F8D" w:rsidRDefault="00D83F8D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83F8D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83F8D" w:rsidRDefault="00B6344C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D83F8D" w:rsidRDefault="00B634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  <w:highlight w:val="cyan"/>
              </w:rPr>
              <w:t xml:space="preserve">No ethical issues identified. </w:t>
            </w:r>
          </w:p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D83F8D" w:rsidRDefault="00D83F8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D83F8D" w:rsidRDefault="00D83F8D"/>
    <w:p w:rsidR="00D83F8D" w:rsidRDefault="00D83F8D"/>
    <w:p w:rsidR="00D83F8D" w:rsidRDefault="00D83F8D">
      <w:pPr>
        <w:rPr>
          <w:u w:val="single"/>
        </w:rPr>
      </w:pPr>
    </w:p>
    <w:p w:rsidR="00D83F8D" w:rsidRDefault="00D83F8D"/>
    <w:p w:rsidR="00D83F8D" w:rsidRDefault="00D83F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D83F8D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6344C" w:rsidRDefault="00B6344C">
      <w:r>
        <w:separator/>
      </w:r>
    </w:p>
  </w:endnote>
  <w:endnote w:type="continuationSeparator" w:id="0">
    <w:p w:rsidR="00B6344C" w:rsidRDefault="00B634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1D38D9A-A6CE-4000-96AD-F7EEE672F6C5}"/>
    <w:embedBold r:id="rId2" w:fontKey="{1113CBCE-317D-4F96-9CE9-086E697A07F6}"/>
  </w:font>
  <w:font w:name="Arimo">
    <w:charset w:val="00"/>
    <w:family w:val="auto"/>
    <w:pitch w:val="default"/>
    <w:embedBold r:id="rId3" w:fontKey="{7A251619-F70E-4E95-ACE0-1F97C4BE0D72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DE109F42-F599-4FF4-8072-75A168194291}"/>
    <w:embedBold r:id="rId5" w:fontKey="{7C0D7B49-E891-4C5E-A404-7C09C08F69A2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EE1EF6C-9F41-4455-ACE0-2F7073A4D2A6}"/>
  </w:font>
  <w:font w:name="Georgia">
    <w:panose1 w:val="02040502050405020303"/>
    <w:charset w:val="00"/>
    <w:family w:val="auto"/>
    <w:pitch w:val="default"/>
    <w:embedItalic r:id="rId7" w:fontKey="{35B8D2F6-8683-4690-AEAB-83E777E65E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C867F33-7FDA-48D6-AA6E-AE409A8B59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3F8D" w:rsidRDefault="00B6344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6344C" w:rsidRDefault="00B6344C">
      <w:r>
        <w:separator/>
      </w:r>
    </w:p>
  </w:footnote>
  <w:footnote w:type="continuationSeparator" w:id="0">
    <w:p w:rsidR="00B6344C" w:rsidRDefault="00B634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3F8D" w:rsidRDefault="00D83F8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83F8D" w:rsidRDefault="00B6344C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3F8D"/>
    <w:rsid w:val="00B6344C"/>
    <w:rsid w:val="00D83F8D"/>
    <w:rsid w:val="00E74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84ED784-5140-42C4-A54A-D5DDF771B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rjgo.com/index.php/ARJGO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SeECbehbSoG+S+S86GCdkD0rPA==">CgMxLjAyDmguY2o0YWh0d3hlcDg5Mg5oLjJ2ZDE4dXZ3aXF2ZDIOaC5qd3RnZjdlbTJueXYyDmgubGVkaTRwZnU3ZmptMg5oLjdmeHZxbnRwMWFqbTIOaC40N2l4OXZwNGZtaGoyDmguZXVxZWx4YTAyOTIzOAByITFicEdraWVSTEIzRVlfbUpVMXFnTkZtUTVvNlVkSGRVbQ==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643</Words>
  <Characters>3668</Characters>
  <Application>Microsoft Office Word</Application>
  <DocSecurity>0</DocSecurity>
  <Lines>30</Lines>
  <Paragraphs>8</Paragraphs>
  <ScaleCrop>false</ScaleCrop>
  <Company/>
  <LinksUpToDate>false</LinksUpToDate>
  <CharactersWithSpaces>4303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2011-08-01T11:51:00Z</dcterms:created>
  <dcterms:modified xsi:type="dcterms:W3CDTF">2026-02-02T09:17:00Z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1033-12.1.23155.23155</vt:lpwstr>
  </property>
  <property fmtid="{D5CDD505-2E9C-101B-9397-08002B2CF9AE}" pid="3" name="ICV">
    <vt:lpwstr>63CE38CE966D664D51E27A698EBDE87D_42</vt:lpwstr>
  </property>
</Properties>
</file>