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FD5519B">
      <w:pPr>
        <w:widowControl w:val="0"/>
        <w:pBdr>
          <w:top w:val="none" w:color="auto" w:sz="0" w:space="0"/>
          <w:left w:val="none" w:color="auto" w:sz="0" w:space="0"/>
          <w:bottom w:val="none" w:color="auto" w:sz="0" w:space="0"/>
          <w:right w:val="none" w:color="auto" w:sz="0" w:space="0"/>
          <w:between w:val="none" w:color="auto" w:sz="0" w:space="0"/>
        </w:pBdr>
        <w:spacing w:line="276" w:lineRule="auto"/>
        <w:rPr>
          <w:rFonts w:ascii="Arial" w:hAnsi="Arial" w:eastAsia="Arial" w:cs="Arial"/>
          <w:color w:val="000000"/>
          <w:sz w:val="22"/>
          <w:szCs w:val="22"/>
        </w:rPr>
      </w:pPr>
    </w:p>
    <w:tbl>
      <w:tblPr>
        <w:tblStyle w:val="14"/>
        <w:tblW w:w="20934"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5167"/>
        <w:gridCol w:w="15767"/>
      </w:tblGrid>
      <w:tr w14:paraId="5540F0C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0" w:hRule="atLeast"/>
        </w:trPr>
        <w:tc>
          <w:tcPr>
            <w:tcW w:w="20934" w:type="dxa"/>
            <w:gridSpan w:val="2"/>
            <w:tcBorders>
              <w:top w:val="nil"/>
              <w:left w:val="nil"/>
              <w:right w:val="nil"/>
            </w:tcBorders>
          </w:tcPr>
          <w:p w14:paraId="5AF470D4">
            <w:pPr>
              <w:pStyle w:val="3"/>
              <w:jc w:val="left"/>
              <w:rPr>
                <w:rFonts w:ascii="Arial" w:hAnsi="Arial" w:eastAsia="Arial" w:cs="Arial"/>
                <w:b w:val="0"/>
                <w:bCs w:val="0"/>
                <w:sz w:val="28"/>
                <w:szCs w:val="28"/>
              </w:rPr>
            </w:pPr>
          </w:p>
        </w:tc>
      </w:tr>
      <w:tr w14:paraId="1363175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0" w:hRule="atLeast"/>
        </w:trPr>
        <w:tc>
          <w:tcPr>
            <w:tcW w:w="5167" w:type="dxa"/>
          </w:tcPr>
          <w:p w14:paraId="24FD556C">
            <w:pPr>
              <w:pBdr>
                <w:top w:val="none" w:color="auto" w:sz="0" w:space="0"/>
                <w:left w:val="none" w:color="auto" w:sz="0" w:space="0"/>
                <w:bottom w:val="none" w:color="auto" w:sz="0" w:space="0"/>
                <w:right w:val="none" w:color="auto" w:sz="0" w:space="0"/>
                <w:between w:val="none" w:color="auto" w:sz="0" w:space="0"/>
              </w:pBdr>
              <w:ind w:left="90"/>
              <w:rPr>
                <w:rFonts w:ascii="Arial" w:hAnsi="Arial" w:eastAsia="Arial" w:cs="Arial"/>
                <w:color w:val="000000"/>
                <w:sz w:val="20"/>
                <w:szCs w:val="20"/>
              </w:rPr>
            </w:pPr>
            <w:r>
              <w:rPr>
                <w:rFonts w:ascii="Arial" w:hAnsi="Arial" w:eastAsia="Arial" w:cs="Arial"/>
                <w:color w:val="000000"/>
                <w:sz w:val="20"/>
                <w:szCs w:val="20"/>
              </w:rPr>
              <w:t>Journal Name:</w:t>
            </w:r>
          </w:p>
        </w:tc>
        <w:tc>
          <w:tcPr>
            <w:tcW w:w="15767" w:type="dxa"/>
            <w:tcMar>
              <w:top w:w="0" w:type="dxa"/>
              <w:left w:w="108" w:type="dxa"/>
              <w:bottom w:w="0" w:type="dxa"/>
              <w:right w:w="108" w:type="dxa"/>
            </w:tcMar>
            <w:vAlign w:val="center"/>
          </w:tcPr>
          <w:p w14:paraId="72C1F6FC">
            <w:pPr>
              <w:rPr>
                <w:rFonts w:ascii="Arial" w:hAnsi="Arial" w:eastAsia="Arial" w:cs="Arial"/>
                <w:color w:val="0000FF"/>
                <w:sz w:val="20"/>
                <w:szCs w:val="20"/>
              </w:rPr>
            </w:pPr>
            <w:r>
              <w:fldChar w:fldCharType="begin"/>
            </w:r>
            <w:r>
              <w:instrText xml:space="preserve"> HYPERLINK "https://journalarjass.com/index.php/ARJASS" \h </w:instrText>
            </w:r>
            <w:r>
              <w:fldChar w:fldCharType="separate"/>
            </w:r>
            <w:r>
              <w:rPr>
                <w:rFonts w:ascii="Arial" w:hAnsi="Arial" w:eastAsia="Arial" w:cs="Arial"/>
                <w:b/>
                <w:bCs/>
                <w:color w:val="0000FF"/>
                <w:sz w:val="20"/>
                <w:szCs w:val="20"/>
                <w:u w:val="single"/>
              </w:rPr>
              <w:t>Asian Research Journal of Arts &amp; Social Sciences</w:t>
            </w:r>
            <w:r>
              <w:rPr>
                <w:rFonts w:ascii="Arial" w:hAnsi="Arial" w:eastAsia="Arial" w:cs="Arial"/>
                <w:b/>
                <w:bCs/>
                <w:color w:val="0000FF"/>
                <w:sz w:val="20"/>
                <w:szCs w:val="20"/>
                <w:u w:val="single"/>
              </w:rPr>
              <w:fldChar w:fldCharType="end"/>
            </w:r>
            <w:r>
              <w:rPr>
                <w:rFonts w:ascii="Arial" w:hAnsi="Arial" w:eastAsia="Arial" w:cs="Arial"/>
                <w:b/>
                <w:bCs/>
                <w:color w:val="0000FF"/>
                <w:sz w:val="20"/>
                <w:szCs w:val="20"/>
              </w:rPr>
              <w:t xml:space="preserve"> </w:t>
            </w:r>
          </w:p>
        </w:tc>
      </w:tr>
      <w:tr w14:paraId="721D136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0" w:hRule="atLeast"/>
        </w:trPr>
        <w:tc>
          <w:tcPr>
            <w:tcW w:w="5167" w:type="dxa"/>
          </w:tcPr>
          <w:p w14:paraId="3D5574E5">
            <w:pPr>
              <w:pBdr>
                <w:top w:val="none" w:color="auto" w:sz="0" w:space="0"/>
                <w:left w:val="none" w:color="auto" w:sz="0" w:space="0"/>
                <w:bottom w:val="none" w:color="auto" w:sz="0" w:space="0"/>
                <w:right w:val="none" w:color="auto" w:sz="0" w:space="0"/>
                <w:between w:val="none" w:color="auto" w:sz="0" w:space="0"/>
              </w:pBdr>
              <w:ind w:left="90"/>
              <w:rPr>
                <w:rFonts w:ascii="Arial" w:hAnsi="Arial" w:eastAsia="Arial" w:cs="Arial"/>
                <w:color w:val="000000"/>
                <w:sz w:val="20"/>
                <w:szCs w:val="20"/>
              </w:rPr>
            </w:pPr>
            <w:r>
              <w:rPr>
                <w:rFonts w:ascii="Arial" w:hAnsi="Arial" w:eastAsia="Arial" w:cs="Arial"/>
                <w:color w:val="000000"/>
                <w:sz w:val="20"/>
                <w:szCs w:val="20"/>
              </w:rPr>
              <w:t>Manuscript Number:</w:t>
            </w:r>
          </w:p>
        </w:tc>
        <w:tc>
          <w:tcPr>
            <w:tcW w:w="15767" w:type="dxa"/>
            <w:tcMar>
              <w:top w:w="0" w:type="dxa"/>
              <w:left w:w="108" w:type="dxa"/>
              <w:bottom w:w="0" w:type="dxa"/>
              <w:right w:w="108" w:type="dxa"/>
            </w:tcMar>
            <w:vAlign w:val="center"/>
          </w:tcPr>
          <w:p w14:paraId="1B58B2FE">
            <w:pPr>
              <w:pBdr>
                <w:top w:val="none" w:color="auto" w:sz="0" w:space="0"/>
                <w:left w:val="none" w:color="auto" w:sz="0" w:space="0"/>
                <w:bottom w:val="none" w:color="auto" w:sz="0" w:space="0"/>
                <w:right w:val="none" w:color="auto" w:sz="0" w:space="0"/>
                <w:between w:val="none" w:color="auto" w:sz="0" w:space="0"/>
              </w:pBdr>
              <w:rPr>
                <w:rFonts w:ascii="Arial" w:hAnsi="Arial" w:eastAsia="Arial" w:cs="Arial"/>
                <w:color w:val="000000"/>
                <w:sz w:val="20"/>
                <w:szCs w:val="20"/>
              </w:rPr>
            </w:pPr>
            <w:r>
              <w:rPr>
                <w:rFonts w:ascii="Arial" w:hAnsi="Arial" w:eastAsia="Arial" w:cs="Arial"/>
                <w:b/>
                <w:bCs/>
                <w:color w:val="000000"/>
                <w:sz w:val="20"/>
                <w:szCs w:val="20"/>
              </w:rPr>
              <w:t>Ms_ARJASS_152884</w:t>
            </w:r>
          </w:p>
        </w:tc>
      </w:tr>
      <w:tr w14:paraId="091B9B6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50" w:hRule="atLeast"/>
        </w:trPr>
        <w:tc>
          <w:tcPr>
            <w:tcW w:w="5167" w:type="dxa"/>
          </w:tcPr>
          <w:p w14:paraId="4E36EDD5">
            <w:pPr>
              <w:pBdr>
                <w:top w:val="none" w:color="auto" w:sz="0" w:space="0"/>
                <w:left w:val="none" w:color="auto" w:sz="0" w:space="0"/>
                <w:bottom w:val="none" w:color="auto" w:sz="0" w:space="0"/>
                <w:right w:val="none" w:color="auto" w:sz="0" w:space="0"/>
                <w:between w:val="none" w:color="auto" w:sz="0" w:space="0"/>
              </w:pBdr>
              <w:ind w:left="90"/>
              <w:rPr>
                <w:rFonts w:ascii="Arial" w:hAnsi="Arial" w:eastAsia="Arial" w:cs="Arial"/>
                <w:color w:val="000000"/>
                <w:sz w:val="20"/>
                <w:szCs w:val="20"/>
              </w:rPr>
            </w:pPr>
            <w:r>
              <w:rPr>
                <w:rFonts w:ascii="Arial" w:hAnsi="Arial" w:eastAsia="Arial" w:cs="Arial"/>
                <w:color w:val="000000"/>
                <w:sz w:val="20"/>
                <w:szCs w:val="20"/>
              </w:rPr>
              <w:t xml:space="preserve">Title of the Manuscript: </w:t>
            </w:r>
          </w:p>
        </w:tc>
        <w:tc>
          <w:tcPr>
            <w:tcW w:w="15767" w:type="dxa"/>
            <w:tcMar>
              <w:top w:w="0" w:type="dxa"/>
              <w:left w:w="108" w:type="dxa"/>
              <w:bottom w:w="0" w:type="dxa"/>
              <w:right w:w="108" w:type="dxa"/>
            </w:tcMar>
            <w:vAlign w:val="center"/>
          </w:tcPr>
          <w:p w14:paraId="7F7F70C3">
            <w:pPr>
              <w:pBdr>
                <w:top w:val="none" w:color="auto" w:sz="0" w:space="0"/>
                <w:left w:val="none" w:color="auto" w:sz="0" w:space="0"/>
                <w:bottom w:val="none" w:color="auto" w:sz="0" w:space="0"/>
                <w:right w:val="none" w:color="auto" w:sz="0" w:space="0"/>
                <w:between w:val="none" w:color="auto" w:sz="0" w:space="0"/>
              </w:pBdr>
              <w:rPr>
                <w:rFonts w:ascii="Arial" w:hAnsi="Arial" w:eastAsia="Arial" w:cs="Arial"/>
                <w:color w:val="000000"/>
                <w:sz w:val="20"/>
                <w:szCs w:val="20"/>
              </w:rPr>
            </w:pPr>
            <w:r>
              <w:rPr>
                <w:rFonts w:ascii="Arial" w:hAnsi="Arial" w:eastAsia="Arial" w:cs="Arial"/>
                <w:b/>
                <w:bCs/>
                <w:color w:val="000000"/>
                <w:sz w:val="20"/>
                <w:szCs w:val="20"/>
              </w:rPr>
              <w:t>Giovanni Bononcini's Vocal Art: A Study of His Life, Output, and Stylistic Profile</w:t>
            </w:r>
          </w:p>
        </w:tc>
      </w:tr>
      <w:tr w14:paraId="5FB365A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2" w:hRule="atLeast"/>
        </w:trPr>
        <w:tc>
          <w:tcPr>
            <w:tcW w:w="5167" w:type="dxa"/>
          </w:tcPr>
          <w:p w14:paraId="4821D149">
            <w:pPr>
              <w:pBdr>
                <w:top w:val="none" w:color="auto" w:sz="0" w:space="0"/>
                <w:left w:val="none" w:color="auto" w:sz="0" w:space="0"/>
                <w:bottom w:val="none" w:color="auto" w:sz="0" w:space="0"/>
                <w:right w:val="none" w:color="auto" w:sz="0" w:space="0"/>
                <w:between w:val="none" w:color="auto" w:sz="0" w:space="0"/>
              </w:pBdr>
              <w:ind w:left="90"/>
              <w:rPr>
                <w:rFonts w:ascii="Arial" w:hAnsi="Arial" w:eastAsia="Arial" w:cs="Arial"/>
                <w:color w:val="000000"/>
                <w:sz w:val="20"/>
                <w:szCs w:val="20"/>
              </w:rPr>
            </w:pPr>
            <w:r>
              <w:rPr>
                <w:rFonts w:ascii="Arial" w:hAnsi="Arial" w:eastAsia="Arial" w:cs="Arial"/>
                <w:color w:val="000000"/>
                <w:sz w:val="20"/>
                <w:szCs w:val="20"/>
              </w:rPr>
              <w:t>Type of the Article</w:t>
            </w:r>
          </w:p>
        </w:tc>
        <w:tc>
          <w:tcPr>
            <w:tcW w:w="15767" w:type="dxa"/>
            <w:tcMar>
              <w:top w:w="0" w:type="dxa"/>
              <w:left w:w="108" w:type="dxa"/>
              <w:bottom w:w="0" w:type="dxa"/>
              <w:right w:w="108" w:type="dxa"/>
            </w:tcMar>
            <w:vAlign w:val="center"/>
          </w:tcPr>
          <w:p w14:paraId="1FF9D6BA">
            <w:pPr>
              <w:pBdr>
                <w:top w:val="none" w:color="auto" w:sz="0" w:space="0"/>
                <w:left w:val="none" w:color="auto" w:sz="0" w:space="0"/>
                <w:bottom w:val="none" w:color="auto" w:sz="0" w:space="0"/>
                <w:right w:val="none" w:color="auto" w:sz="0" w:space="0"/>
                <w:between w:val="none" w:color="auto" w:sz="0" w:space="0"/>
              </w:pBdr>
              <w:rPr>
                <w:rFonts w:ascii="Arial" w:hAnsi="Arial" w:eastAsia="Arial" w:cs="Arial"/>
                <w:color w:val="000000"/>
                <w:sz w:val="20"/>
                <w:szCs w:val="20"/>
              </w:rPr>
            </w:pPr>
          </w:p>
        </w:tc>
      </w:tr>
    </w:tbl>
    <w:p w14:paraId="1AB0A6E1">
      <w:pPr>
        <w:pBdr>
          <w:top w:val="none" w:color="auto" w:sz="0" w:space="0"/>
          <w:left w:val="none" w:color="auto" w:sz="0" w:space="0"/>
          <w:bottom w:val="none" w:color="auto" w:sz="0" w:space="0"/>
          <w:right w:val="none" w:color="auto" w:sz="0" w:space="0"/>
          <w:between w:val="none" w:color="auto" w:sz="0" w:space="0"/>
        </w:pBdr>
        <w:jc w:val="both"/>
        <w:rPr>
          <w:rFonts w:ascii="Arial" w:hAnsi="Arial" w:eastAsia="Arial" w:cs="Arial"/>
          <w:color w:val="000000"/>
          <w:sz w:val="20"/>
          <w:szCs w:val="20"/>
          <w:u w:val="single"/>
        </w:rPr>
      </w:pPr>
    </w:p>
    <w:p w14:paraId="20DA6D28">
      <w:pPr>
        <w:rPr>
          <w:sz w:val="20"/>
          <w:szCs w:val="20"/>
        </w:rPr>
      </w:pPr>
    </w:p>
    <w:tbl>
      <w:tblPr>
        <w:tblStyle w:val="15"/>
        <w:tblW w:w="21150" w:type="dxa"/>
        <w:tblInd w:w="-10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5351"/>
        <w:gridCol w:w="9357"/>
        <w:gridCol w:w="6442"/>
      </w:tblGrid>
      <w:tr w14:paraId="5AB211A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1150" w:type="dxa"/>
            <w:gridSpan w:val="3"/>
            <w:tcBorders>
              <w:top w:val="nil"/>
              <w:left w:val="nil"/>
              <w:right w:val="nil"/>
            </w:tcBorders>
          </w:tcPr>
          <w:p w14:paraId="1F0EEE25">
            <w:pPr>
              <w:pStyle w:val="3"/>
              <w:jc w:val="left"/>
              <w:rPr>
                <w:rFonts w:ascii="Times New Roman" w:hAnsi="Times New Roman" w:eastAsia="Times New Roman" w:cs="Times New Roman"/>
              </w:rPr>
            </w:pPr>
            <w:r>
              <w:rPr>
                <w:rFonts w:ascii="Times New Roman" w:hAnsi="Times New Roman" w:eastAsia="Times New Roman" w:cs="Times New Roman"/>
                <w:highlight w:val="yellow"/>
              </w:rPr>
              <w:t>PART  1:</w:t>
            </w:r>
            <w:r>
              <w:rPr>
                <w:rFonts w:ascii="Times New Roman" w:hAnsi="Times New Roman" w:eastAsia="Times New Roman" w:cs="Times New Roman"/>
              </w:rPr>
              <w:t xml:space="preserve"> Comments</w:t>
            </w:r>
          </w:p>
          <w:p w14:paraId="4DA60AD4">
            <w:pPr>
              <w:rPr>
                <w:sz w:val="20"/>
                <w:szCs w:val="20"/>
              </w:rPr>
            </w:pPr>
          </w:p>
        </w:tc>
      </w:tr>
      <w:tr w14:paraId="480ADE9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5351" w:type="dxa"/>
          </w:tcPr>
          <w:p w14:paraId="35DED324">
            <w:pPr>
              <w:pStyle w:val="3"/>
              <w:jc w:val="left"/>
              <w:rPr>
                <w:rFonts w:ascii="Times New Roman" w:hAnsi="Times New Roman" w:eastAsia="Times New Roman" w:cs="Times New Roman"/>
              </w:rPr>
            </w:pPr>
          </w:p>
        </w:tc>
        <w:tc>
          <w:tcPr>
            <w:tcW w:w="9357" w:type="dxa"/>
          </w:tcPr>
          <w:p w14:paraId="42BE04B0">
            <w:pPr>
              <w:pStyle w:val="3"/>
              <w:jc w:val="left"/>
              <w:rPr>
                <w:rFonts w:ascii="Times New Roman" w:hAnsi="Times New Roman" w:eastAsia="Times New Roman" w:cs="Times New Roman"/>
              </w:rPr>
            </w:pPr>
            <w:r>
              <w:rPr>
                <w:rFonts w:ascii="Times New Roman" w:hAnsi="Times New Roman" w:eastAsia="Times New Roman" w:cs="Times New Roman"/>
              </w:rPr>
              <w:t>Reviewer’s comment</w:t>
            </w:r>
          </w:p>
          <w:p w14:paraId="754C2427">
            <w:pPr>
              <w:rPr>
                <w:sz w:val="20"/>
                <w:szCs w:val="20"/>
              </w:rPr>
            </w:pPr>
          </w:p>
          <w:p w14:paraId="372DBD55"/>
        </w:tc>
        <w:tc>
          <w:tcPr>
            <w:tcW w:w="6442" w:type="dxa"/>
          </w:tcPr>
          <w:p w14:paraId="2AEBAC1A">
            <w:pPr>
              <w:spacing w:after="160" w:line="254" w:lineRule="auto"/>
              <w:rPr>
                <w:sz w:val="20"/>
                <w:szCs w:val="20"/>
              </w:rPr>
            </w:pPr>
            <w:r>
              <w:rPr>
                <w:b/>
                <w:bCs/>
                <w:sz w:val="20"/>
                <w:szCs w:val="20"/>
              </w:rPr>
              <w:t>Author’s Feedback</w:t>
            </w:r>
            <w:r>
              <w:rPr>
                <w:sz w:val="20"/>
                <w:szCs w:val="20"/>
              </w:rPr>
              <w:t xml:space="preserve"> (It is mandatory that authors should write his/her feedback here)</w:t>
            </w:r>
          </w:p>
          <w:p w14:paraId="4E749D83">
            <w:pPr>
              <w:pStyle w:val="3"/>
              <w:jc w:val="left"/>
              <w:rPr>
                <w:rFonts w:ascii="Times New Roman" w:hAnsi="Times New Roman" w:eastAsia="Times New Roman" w:cs="Times New Roman"/>
                <w:b w:val="0"/>
                <w:bCs w:val="0"/>
              </w:rPr>
            </w:pPr>
          </w:p>
        </w:tc>
      </w:tr>
      <w:tr w14:paraId="696A85F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264" w:hRule="atLeast"/>
        </w:trPr>
        <w:tc>
          <w:tcPr>
            <w:tcW w:w="5351" w:type="dxa"/>
          </w:tcPr>
          <w:p w14:paraId="51D2D618">
            <w:pPr>
              <w:ind w:left="360"/>
              <w:rPr>
                <w:sz w:val="20"/>
                <w:szCs w:val="20"/>
              </w:rPr>
            </w:pPr>
            <w:r>
              <w:rPr>
                <w:b/>
                <w:bCs/>
                <w:sz w:val="20"/>
                <w:szCs w:val="20"/>
              </w:rPr>
              <w:t>Please write a few sentences regarding the importance of this manuscript for the scientific community. A minimum of 3-4 sentences may be required for this part.</w:t>
            </w:r>
          </w:p>
          <w:p w14:paraId="1EB2FA68">
            <w:pPr>
              <w:ind w:left="360"/>
              <w:rPr>
                <w:sz w:val="20"/>
                <w:szCs w:val="20"/>
              </w:rPr>
            </w:pPr>
          </w:p>
        </w:tc>
        <w:tc>
          <w:tcPr>
            <w:tcW w:w="9357" w:type="dxa"/>
          </w:tcPr>
          <w:p w14:paraId="1B6FF9F2">
            <w:pPr>
              <w:spacing w:before="240" w:after="240" w:line="276" w:lineRule="auto"/>
              <w:rPr>
                <w:color w:val="000000"/>
                <w:sz w:val="20"/>
                <w:szCs w:val="20"/>
              </w:rPr>
            </w:pPr>
            <w:r>
              <w:rPr>
                <w:rFonts w:ascii="Arial" w:hAnsi="Arial" w:eastAsia="Arial" w:cs="Arial"/>
                <w:sz w:val="22"/>
                <w:szCs w:val="22"/>
              </w:rPr>
              <w:t xml:space="preserve">This manuscript is an important  contribution to Baroque music scholarship by offering a sustained, analytically grounded reassessment of Giovanni Bononcini’s vocal oeuvre, a figure whose historical reputation has long been overshadowed by a predominantly Handel-centred narrative. </w:t>
            </w:r>
          </w:p>
        </w:tc>
        <w:tc>
          <w:tcPr>
            <w:tcW w:w="6442" w:type="dxa"/>
          </w:tcPr>
          <w:p w14:paraId="415D1724">
            <w:pPr>
              <w:pStyle w:val="3"/>
              <w:jc w:val="left"/>
              <w:rPr>
                <w:rFonts w:ascii="Times New Roman" w:hAnsi="Times New Roman" w:eastAsia="Times New Roman" w:cs="Times New Roman"/>
                <w:b w:val="0"/>
                <w:bCs w:val="0"/>
              </w:rPr>
            </w:pPr>
            <w:r>
              <w:rPr>
                <w:rFonts w:hint="eastAsia" w:ascii="Times New Roman" w:hAnsi="Times New Roman" w:eastAsia="Times New Roman" w:cs="Times New Roman"/>
                <w:b w:val="0"/>
                <w:bCs w:val="0"/>
                <w:color w:val="0000FF"/>
              </w:rPr>
              <w:t>Thank you for your positive assessment of the manuscript’s contribution. In the revised version, we further clarify our analytical approach and the rationale for the case-study design so the paper’s intervention—reassessing Bononcini beyond a Handel-centric narrative—is even more explicit.</w:t>
            </w:r>
          </w:p>
        </w:tc>
      </w:tr>
      <w:tr w14:paraId="0FA0310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262" w:hRule="atLeast"/>
        </w:trPr>
        <w:tc>
          <w:tcPr>
            <w:tcW w:w="5351" w:type="dxa"/>
          </w:tcPr>
          <w:p w14:paraId="56CD367C">
            <w:pPr>
              <w:ind w:left="360"/>
              <w:rPr>
                <w:sz w:val="20"/>
                <w:szCs w:val="20"/>
              </w:rPr>
            </w:pPr>
            <w:r>
              <w:rPr>
                <w:b/>
                <w:bCs/>
                <w:sz w:val="20"/>
                <w:szCs w:val="20"/>
              </w:rPr>
              <w:t>Is the title of the article suitable?</w:t>
            </w:r>
          </w:p>
          <w:p w14:paraId="259A5B40">
            <w:pPr>
              <w:ind w:left="360"/>
              <w:rPr>
                <w:sz w:val="20"/>
                <w:szCs w:val="20"/>
              </w:rPr>
            </w:pPr>
            <w:r>
              <w:rPr>
                <w:b/>
                <w:bCs/>
                <w:sz w:val="20"/>
                <w:szCs w:val="20"/>
              </w:rPr>
              <w:t>(If not please suggest an alternative title)</w:t>
            </w:r>
          </w:p>
          <w:p w14:paraId="4B7B27C8">
            <w:pPr>
              <w:pStyle w:val="3"/>
              <w:jc w:val="left"/>
              <w:rPr>
                <w:rFonts w:ascii="Times New Roman" w:hAnsi="Times New Roman" w:eastAsia="Times New Roman" w:cs="Times New Roman"/>
                <w:u w:val="single"/>
              </w:rPr>
            </w:pPr>
          </w:p>
        </w:tc>
        <w:tc>
          <w:tcPr>
            <w:tcW w:w="9357" w:type="dxa"/>
          </w:tcPr>
          <w:p w14:paraId="008E7D14">
            <w:pPr>
              <w:spacing w:before="240" w:after="240" w:line="276" w:lineRule="auto"/>
              <w:rPr>
                <w:rFonts w:ascii="Arial" w:hAnsi="Arial" w:eastAsia="Arial" w:cs="Arial"/>
                <w:sz w:val="22"/>
                <w:szCs w:val="22"/>
              </w:rPr>
            </w:pPr>
            <w:r>
              <w:rPr>
                <w:rFonts w:ascii="Arial" w:hAnsi="Arial" w:eastAsia="Arial" w:cs="Arial"/>
                <w:sz w:val="22"/>
                <w:szCs w:val="22"/>
              </w:rPr>
              <w:t>Yes, the title “Giovanni Bononcini’s Vocal Art: A Study of His Life, Output, and Stylistic Profile” is appropriate and accurately reflects the scope and structure of the manuscript. It clearly signals the tripartite focus on biography, repertoire, and stylistic analysis, which is consistently sustained throughout the article.</w:t>
            </w:r>
          </w:p>
        </w:tc>
        <w:tc>
          <w:tcPr>
            <w:tcW w:w="6442" w:type="dxa"/>
          </w:tcPr>
          <w:p w14:paraId="506E3510">
            <w:pPr>
              <w:pStyle w:val="3"/>
              <w:jc w:val="left"/>
              <w:rPr>
                <w:rFonts w:ascii="Times New Roman" w:hAnsi="Times New Roman" w:eastAsia="Times New Roman" w:cs="Times New Roman"/>
                <w:b w:val="0"/>
                <w:bCs w:val="0"/>
              </w:rPr>
            </w:pPr>
            <w:r>
              <w:rPr>
                <w:rFonts w:hint="eastAsia" w:ascii="Times New Roman" w:hAnsi="Times New Roman" w:eastAsia="Times New Roman" w:cs="Times New Roman"/>
                <w:b w:val="0"/>
                <w:bCs w:val="0"/>
                <w:color w:val="0000FF"/>
              </w:rPr>
              <w:t>Thank you. Following another reviewer’s suggestion, we slightly refined the title to foreground the manuscript’s key intervention (a reassessment beyond a Handel-centric narrative) while retaining clarity for a broad readership.</w:t>
            </w:r>
          </w:p>
        </w:tc>
      </w:tr>
      <w:tr w14:paraId="743E8C6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262" w:hRule="atLeast"/>
        </w:trPr>
        <w:tc>
          <w:tcPr>
            <w:tcW w:w="5351" w:type="dxa"/>
          </w:tcPr>
          <w:p w14:paraId="04166C42">
            <w:pPr>
              <w:pStyle w:val="3"/>
              <w:ind w:left="360"/>
              <w:jc w:val="left"/>
              <w:rPr>
                <w:rFonts w:ascii="Times New Roman" w:hAnsi="Times New Roman" w:eastAsia="Times New Roman" w:cs="Times New Roman"/>
              </w:rPr>
            </w:pPr>
            <w:r>
              <w:rPr>
                <w:rFonts w:ascii="Times New Roman" w:hAnsi="Times New Roman" w:eastAsia="Times New Roman" w:cs="Times New Roman"/>
              </w:rPr>
              <w:t>Is the abstract of the article comprehensive? Do you suggest the addition (or deletion) of some points in this section? Please write your suggestions here.</w:t>
            </w:r>
          </w:p>
          <w:p w14:paraId="4C445C7B">
            <w:pPr>
              <w:pStyle w:val="3"/>
              <w:jc w:val="left"/>
              <w:rPr>
                <w:rFonts w:ascii="Times New Roman" w:hAnsi="Times New Roman" w:eastAsia="Times New Roman" w:cs="Times New Roman"/>
                <w:u w:val="single"/>
              </w:rPr>
            </w:pPr>
          </w:p>
        </w:tc>
        <w:tc>
          <w:tcPr>
            <w:tcW w:w="9357" w:type="dxa"/>
          </w:tcPr>
          <w:p w14:paraId="64D8F2D2">
            <w:pPr>
              <w:spacing w:before="240" w:after="240" w:line="276" w:lineRule="auto"/>
              <w:rPr>
                <w:rFonts w:ascii="Arial" w:hAnsi="Arial" w:eastAsia="Arial" w:cs="Arial"/>
                <w:sz w:val="22"/>
                <w:szCs w:val="22"/>
              </w:rPr>
            </w:pPr>
            <w:r>
              <w:rPr>
                <w:rFonts w:ascii="Arial" w:hAnsi="Arial" w:eastAsia="Arial" w:cs="Arial"/>
                <w:sz w:val="22"/>
                <w:szCs w:val="22"/>
              </w:rPr>
              <w:t>The abstract is comprehensive, well-structured, and effectively outlines the article’s objectives, methodology, case studies, and conclusions. It successfully situates the study within current scholarly debates, particularly regarding Handel-centric historiography, and clearly identifies the analytical focus on opera, cantata, and oratorio.</w:t>
            </w:r>
          </w:p>
          <w:p w14:paraId="21FF25FF">
            <w:pPr>
              <w:ind w:left="360"/>
              <w:rPr>
                <w:sz w:val="20"/>
                <w:szCs w:val="20"/>
              </w:rPr>
            </w:pPr>
          </w:p>
        </w:tc>
        <w:tc>
          <w:tcPr>
            <w:tcW w:w="6442" w:type="dxa"/>
          </w:tcPr>
          <w:p w14:paraId="6B1325C0">
            <w:pPr>
              <w:pStyle w:val="3"/>
              <w:jc w:val="left"/>
              <w:rPr>
                <w:rFonts w:ascii="Times New Roman" w:hAnsi="Times New Roman" w:eastAsia="Times New Roman" w:cs="Times New Roman"/>
                <w:b w:val="0"/>
                <w:bCs w:val="0"/>
              </w:rPr>
            </w:pPr>
            <w:r>
              <w:rPr>
                <w:rFonts w:hint="eastAsia" w:ascii="Times New Roman" w:hAnsi="Times New Roman" w:eastAsia="Times New Roman" w:cs="Times New Roman"/>
                <w:b w:val="0"/>
                <w:bCs w:val="0"/>
                <w:color w:val="0000FF"/>
              </w:rPr>
              <w:t xml:space="preserve">Thank you for the positive evaluation. </w:t>
            </w:r>
          </w:p>
        </w:tc>
      </w:tr>
      <w:tr w14:paraId="13FD3EF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04" w:hRule="atLeast"/>
        </w:trPr>
        <w:tc>
          <w:tcPr>
            <w:tcW w:w="5351" w:type="dxa"/>
          </w:tcPr>
          <w:p w14:paraId="5985BD8F">
            <w:pPr>
              <w:pStyle w:val="3"/>
              <w:ind w:left="360"/>
              <w:jc w:val="left"/>
              <w:rPr>
                <w:b w:val="0"/>
                <w:bCs w:val="0"/>
                <w:u w:val="single"/>
              </w:rPr>
            </w:pPr>
            <w:r>
              <w:rPr>
                <w:rFonts w:ascii="Times New Roman" w:hAnsi="Times New Roman" w:eastAsia="Times New Roman" w:cs="Times New Roman"/>
              </w:rPr>
              <w:t>Is the manuscript scientifically, correct? Please write here.</w:t>
            </w:r>
          </w:p>
        </w:tc>
        <w:tc>
          <w:tcPr>
            <w:tcW w:w="9357" w:type="dxa"/>
          </w:tcPr>
          <w:p w14:paraId="3309B561">
            <w:pPr>
              <w:spacing w:before="240" w:after="240" w:line="276" w:lineRule="auto"/>
              <w:rPr>
                <w:color w:val="000000"/>
                <w:sz w:val="20"/>
                <w:szCs w:val="20"/>
              </w:rPr>
            </w:pPr>
            <w:r>
              <w:rPr>
                <w:rFonts w:ascii="Arial" w:hAnsi="Arial" w:eastAsia="Arial" w:cs="Arial"/>
                <w:sz w:val="22"/>
                <w:szCs w:val="22"/>
              </w:rPr>
              <w:t xml:space="preserve">Yes, the manuscript is scholarly, sound and methodologically rigorous. The historical claims are well contextualized, the analytical readings are coherent and grounded in musical evidence, and the interpretive arguments are framed with appropriate caution, especially where affective or dramaturgical inference is involved. </w:t>
            </w:r>
          </w:p>
        </w:tc>
        <w:tc>
          <w:tcPr>
            <w:tcW w:w="6442" w:type="dxa"/>
          </w:tcPr>
          <w:p w14:paraId="57A27856">
            <w:pPr>
              <w:pStyle w:val="3"/>
              <w:jc w:val="left"/>
              <w:rPr>
                <w:rFonts w:ascii="Times New Roman" w:hAnsi="Times New Roman" w:eastAsia="Times New Roman" w:cs="Times New Roman"/>
                <w:b w:val="0"/>
                <w:bCs w:val="0"/>
              </w:rPr>
            </w:pPr>
            <w:r>
              <w:rPr>
                <w:rFonts w:hint="eastAsia" w:ascii="Times New Roman" w:hAnsi="Times New Roman" w:eastAsia="Times New Roman" w:cs="Times New Roman"/>
                <w:b w:val="0"/>
                <w:bCs w:val="0"/>
                <w:color w:val="0000FF"/>
              </w:rPr>
              <w:t>Thank you. We carefully reviewed the manuscript for accuracy and consistency and made minor clarifications where needed, without changing the core argument.</w:t>
            </w:r>
          </w:p>
        </w:tc>
      </w:tr>
      <w:tr w14:paraId="65FC7EF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03" w:hRule="atLeast"/>
        </w:trPr>
        <w:tc>
          <w:tcPr>
            <w:tcW w:w="5351" w:type="dxa"/>
          </w:tcPr>
          <w:p w14:paraId="520E3EFA">
            <w:pPr>
              <w:ind w:left="360"/>
              <w:rPr>
                <w:sz w:val="20"/>
                <w:szCs w:val="20"/>
              </w:rPr>
            </w:pPr>
            <w:r>
              <w:rPr>
                <w:b/>
                <w:bCs/>
                <w:sz w:val="20"/>
                <w:szCs w:val="20"/>
              </w:rPr>
              <w:t>Are the references sufficient and recent? If you have suggestions of additional references, please mention them in the review form.</w:t>
            </w:r>
          </w:p>
        </w:tc>
        <w:tc>
          <w:tcPr>
            <w:tcW w:w="9357" w:type="dxa"/>
          </w:tcPr>
          <w:p w14:paraId="07E81FFF">
            <w:pPr>
              <w:spacing w:before="240" w:after="240" w:line="276" w:lineRule="auto"/>
              <w:rPr>
                <w:rFonts w:ascii="Arial" w:hAnsi="Arial" w:eastAsia="Arial" w:cs="Arial"/>
                <w:sz w:val="22"/>
                <w:szCs w:val="22"/>
              </w:rPr>
            </w:pPr>
            <w:r>
              <w:rPr>
                <w:rFonts w:ascii="Arial" w:hAnsi="Arial" w:eastAsia="Arial" w:cs="Arial"/>
                <w:sz w:val="22"/>
                <w:szCs w:val="22"/>
              </w:rPr>
              <w:t>The reference list is extensive, relevant, and balanced between primary sources, critical editions, and modern scholarship. It includes authoritative works by Strohm, Ford, Aspden, Talbot, and recent contributions up to 2024, demonstrating strong engagement with current research.</w:t>
            </w:r>
          </w:p>
          <w:p w14:paraId="033D9EE8">
            <w:pPr>
              <w:pBdr>
                <w:top w:val="none" w:color="auto" w:sz="0" w:space="0"/>
                <w:left w:val="none" w:color="auto" w:sz="0" w:space="0"/>
                <w:bottom w:val="none" w:color="auto" w:sz="0" w:space="0"/>
                <w:right w:val="none" w:color="auto" w:sz="0" w:space="0"/>
                <w:between w:val="none" w:color="auto" w:sz="0" w:space="0"/>
              </w:pBdr>
              <w:rPr>
                <w:sz w:val="20"/>
                <w:szCs w:val="20"/>
              </w:rPr>
            </w:pPr>
          </w:p>
        </w:tc>
        <w:tc>
          <w:tcPr>
            <w:tcW w:w="6442" w:type="dxa"/>
          </w:tcPr>
          <w:p w14:paraId="73C45926">
            <w:pPr>
              <w:pStyle w:val="3"/>
              <w:jc w:val="left"/>
              <w:rPr>
                <w:rFonts w:ascii="Times New Roman" w:hAnsi="Times New Roman" w:eastAsia="Times New Roman" w:cs="Times New Roman"/>
                <w:b w:val="0"/>
                <w:bCs w:val="0"/>
              </w:rPr>
            </w:pPr>
            <w:r>
              <w:rPr>
                <w:rFonts w:hint="eastAsia" w:ascii="Times New Roman" w:hAnsi="Times New Roman" w:eastAsia="Times New Roman" w:cs="Times New Roman"/>
                <w:b w:val="0"/>
                <w:bCs w:val="0"/>
                <w:color w:val="0000FF"/>
              </w:rPr>
              <w:t>Thank you. We performed a final bibliography check and added a small number of additional recent reference points (including relevant digital-source cataloguing resources) to strengthen historiographical currency.</w:t>
            </w:r>
          </w:p>
        </w:tc>
      </w:tr>
      <w:tr w14:paraId="42B2B1B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86" w:hRule="atLeast"/>
        </w:trPr>
        <w:tc>
          <w:tcPr>
            <w:tcW w:w="5351" w:type="dxa"/>
          </w:tcPr>
          <w:p w14:paraId="75313F0D">
            <w:pPr>
              <w:pStyle w:val="3"/>
              <w:ind w:left="360"/>
              <w:jc w:val="left"/>
              <w:rPr>
                <w:rFonts w:ascii="Times New Roman" w:hAnsi="Times New Roman" w:eastAsia="Times New Roman" w:cs="Times New Roman"/>
              </w:rPr>
            </w:pPr>
            <w:r>
              <w:rPr>
                <w:rFonts w:ascii="Times New Roman" w:hAnsi="Times New Roman" w:eastAsia="Times New Roman" w:cs="Times New Roman"/>
              </w:rPr>
              <w:t>Is the language/English quality of the article suitable for scholarly communications?</w:t>
            </w:r>
          </w:p>
          <w:p w14:paraId="6169F4FD">
            <w:pPr>
              <w:rPr>
                <w:sz w:val="20"/>
                <w:szCs w:val="20"/>
              </w:rPr>
            </w:pPr>
          </w:p>
        </w:tc>
        <w:tc>
          <w:tcPr>
            <w:tcW w:w="9357" w:type="dxa"/>
          </w:tcPr>
          <w:p w14:paraId="0CFCE7E6">
            <w:pPr>
              <w:spacing w:before="240" w:after="240" w:line="276" w:lineRule="auto"/>
              <w:rPr>
                <w:sz w:val="20"/>
                <w:szCs w:val="20"/>
              </w:rPr>
            </w:pPr>
            <w:r>
              <w:rPr>
                <w:rFonts w:ascii="Arial" w:hAnsi="Arial" w:eastAsia="Arial" w:cs="Arial"/>
                <w:sz w:val="22"/>
                <w:szCs w:val="22"/>
              </w:rPr>
              <w:t>Yes, the language is clear, formal, and consistently academic. The prose demonstrates a high level of stylistic control, with precise terminology, coherent argumentation, and effective transitions between sections.</w:t>
            </w:r>
          </w:p>
        </w:tc>
        <w:tc>
          <w:tcPr>
            <w:tcW w:w="6442" w:type="dxa"/>
          </w:tcPr>
          <w:p w14:paraId="7C610CAC">
            <w:pPr>
              <w:rPr>
                <w:sz w:val="20"/>
                <w:szCs w:val="20"/>
              </w:rPr>
            </w:pPr>
            <w:r>
              <w:rPr>
                <w:rFonts w:hint="eastAsia"/>
                <w:color w:val="0000FF"/>
                <w:sz w:val="20"/>
                <w:szCs w:val="20"/>
              </w:rPr>
              <w:t>Thank you. We carried out a careful proofread and made minor stylistic edits to improve clarity and consistency.</w:t>
            </w:r>
          </w:p>
        </w:tc>
      </w:tr>
      <w:tr w14:paraId="44241EB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178" w:hRule="atLeast"/>
        </w:trPr>
        <w:tc>
          <w:tcPr>
            <w:tcW w:w="5351" w:type="dxa"/>
          </w:tcPr>
          <w:p w14:paraId="09A1584A">
            <w:pPr>
              <w:pStyle w:val="3"/>
              <w:jc w:val="left"/>
              <w:rPr>
                <w:rFonts w:ascii="Times New Roman" w:hAnsi="Times New Roman" w:eastAsia="Times New Roman" w:cs="Times New Roman"/>
                <w:b w:val="0"/>
                <w:bCs w:val="0"/>
              </w:rPr>
            </w:pPr>
            <w:r>
              <w:rPr>
                <w:rFonts w:ascii="Times New Roman" w:hAnsi="Times New Roman" w:eastAsia="Times New Roman" w:cs="Times New Roman"/>
                <w:u w:val="single"/>
              </w:rPr>
              <w:t>Optional/General</w:t>
            </w:r>
            <w:r>
              <w:rPr>
                <w:rFonts w:ascii="Times New Roman" w:hAnsi="Times New Roman" w:eastAsia="Times New Roman" w:cs="Times New Roman"/>
              </w:rPr>
              <w:t xml:space="preserve"> </w:t>
            </w:r>
            <w:r>
              <w:rPr>
                <w:rFonts w:ascii="Times New Roman" w:hAnsi="Times New Roman" w:eastAsia="Times New Roman" w:cs="Times New Roman"/>
                <w:b w:val="0"/>
                <w:bCs w:val="0"/>
              </w:rPr>
              <w:t>comments</w:t>
            </w:r>
          </w:p>
          <w:p w14:paraId="78C68F20">
            <w:pPr>
              <w:pStyle w:val="3"/>
              <w:jc w:val="left"/>
              <w:rPr>
                <w:rFonts w:ascii="Times New Roman" w:hAnsi="Times New Roman" w:eastAsia="Times New Roman" w:cs="Times New Roman"/>
                <w:b w:val="0"/>
                <w:bCs w:val="0"/>
              </w:rPr>
            </w:pPr>
          </w:p>
        </w:tc>
        <w:tc>
          <w:tcPr>
            <w:tcW w:w="9357" w:type="dxa"/>
          </w:tcPr>
          <w:p w14:paraId="5969FEE1">
            <w:pPr>
              <w:spacing w:before="240" w:after="240" w:line="276" w:lineRule="auto"/>
              <w:rPr>
                <w:color w:val="000000"/>
                <w:sz w:val="20"/>
                <w:szCs w:val="20"/>
              </w:rPr>
            </w:pPr>
            <w:r>
              <w:rPr>
                <w:rFonts w:ascii="Arial" w:hAnsi="Arial" w:eastAsia="Arial" w:cs="Arial"/>
                <w:sz w:val="22"/>
                <w:szCs w:val="22"/>
              </w:rPr>
              <w:t xml:space="preserve">This is a carefully researched and well-argued manuscript that succeeds in repositioning Giovanni Bononcini as a major creative voice within Baroque vocal music rather than merely a historical rival to Handel. The integration of genre analysis, stylistic detail, and reception history is particularly effective, as is the attention to instrumental agency within vocal forms. The article will be of interest not only to specialists in Baroque opera but also to scholars of music historiography, performance studies, and eighteenth-century cultural history. </w:t>
            </w:r>
          </w:p>
        </w:tc>
        <w:tc>
          <w:tcPr>
            <w:tcW w:w="6442" w:type="dxa"/>
          </w:tcPr>
          <w:p w14:paraId="2FDE98B2">
            <w:pPr>
              <w:rPr>
                <w:sz w:val="20"/>
                <w:szCs w:val="20"/>
              </w:rPr>
            </w:pPr>
            <w:r>
              <w:rPr>
                <w:rFonts w:hint="eastAsia"/>
                <w:color w:val="0000FF"/>
                <w:sz w:val="20"/>
                <w:szCs w:val="20"/>
              </w:rPr>
              <w:t>Thank you for the encouraging overall evaluation. We have implemented the targeted revisions suggested across the review reports (method statement in the abstract; clearer article type and structure signposting) to strengthen readability and contribution.</w:t>
            </w:r>
          </w:p>
        </w:tc>
      </w:tr>
    </w:tbl>
    <w:p w14:paraId="7DD767E0">
      <w:pPr>
        <w:pBdr>
          <w:top w:val="none" w:color="auto" w:sz="0" w:space="0"/>
          <w:left w:val="none" w:color="auto" w:sz="0" w:space="0"/>
          <w:bottom w:val="none" w:color="auto" w:sz="0" w:space="0"/>
          <w:right w:val="none" w:color="auto" w:sz="0" w:space="0"/>
          <w:between w:val="none" w:color="auto" w:sz="0" w:space="0"/>
        </w:pBdr>
        <w:jc w:val="both"/>
        <w:rPr>
          <w:color w:val="000000"/>
          <w:sz w:val="20"/>
          <w:szCs w:val="20"/>
          <w:u w:val="single"/>
        </w:rPr>
      </w:pPr>
    </w:p>
    <w:p w14:paraId="1C5660C2">
      <w:pPr>
        <w:pBdr>
          <w:top w:val="none" w:color="auto" w:sz="0" w:space="0"/>
          <w:left w:val="none" w:color="auto" w:sz="0" w:space="0"/>
          <w:bottom w:val="none" w:color="auto" w:sz="0" w:space="0"/>
          <w:right w:val="none" w:color="auto" w:sz="0" w:space="0"/>
          <w:between w:val="none" w:color="auto" w:sz="0" w:space="0"/>
        </w:pBdr>
        <w:jc w:val="both"/>
        <w:rPr>
          <w:color w:val="000000"/>
          <w:sz w:val="20"/>
          <w:szCs w:val="20"/>
          <w:u w:val="single"/>
        </w:rPr>
      </w:pPr>
    </w:p>
    <w:tbl>
      <w:tblPr>
        <w:tblStyle w:val="16"/>
        <w:tblW w:w="21150" w:type="dxa"/>
        <w:tblInd w:w="-10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6831"/>
        <w:gridCol w:w="8642"/>
        <w:gridCol w:w="5677"/>
      </w:tblGrid>
      <w:tr w14:paraId="1962C2D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37" w:hRule="atLeast"/>
        </w:trPr>
        <w:tc>
          <w:tcPr>
            <w:tcW w:w="21150" w:type="dxa"/>
            <w:gridSpan w:val="3"/>
            <w:tcBorders>
              <w:top w:val="nil"/>
              <w:left w:val="nil"/>
              <w:right w:val="nil"/>
            </w:tcBorders>
            <w:tcMar>
              <w:top w:w="0" w:type="dxa"/>
              <w:left w:w="108" w:type="dxa"/>
              <w:bottom w:w="0" w:type="dxa"/>
              <w:right w:w="108" w:type="dxa"/>
            </w:tcMar>
            <w:vAlign w:val="center"/>
          </w:tcPr>
          <w:p w14:paraId="26920CA6">
            <w:pPr>
              <w:pBdr>
                <w:top w:val="none" w:color="auto" w:sz="0" w:space="0"/>
                <w:left w:val="none" w:color="auto" w:sz="0" w:space="0"/>
                <w:bottom w:val="none" w:color="auto" w:sz="0" w:space="0"/>
                <w:right w:val="none" w:color="auto" w:sz="0" w:space="0"/>
                <w:between w:val="none" w:color="auto" w:sz="0" w:space="0"/>
              </w:pBdr>
              <w:rPr>
                <w:color w:val="000000"/>
                <w:sz w:val="20"/>
                <w:szCs w:val="20"/>
                <w:u w:val="single"/>
              </w:rPr>
            </w:pPr>
            <w:r>
              <w:rPr>
                <w:b/>
                <w:bCs/>
                <w:color w:val="000000"/>
                <w:sz w:val="20"/>
                <w:szCs w:val="20"/>
                <w:highlight w:val="yellow"/>
                <w:u w:val="single"/>
              </w:rPr>
              <w:t>PART  2:</w:t>
            </w:r>
            <w:r>
              <w:rPr>
                <w:b/>
                <w:bCs/>
                <w:color w:val="000000"/>
                <w:sz w:val="20"/>
                <w:szCs w:val="20"/>
                <w:u w:val="single"/>
              </w:rPr>
              <w:t xml:space="preserve"> </w:t>
            </w:r>
          </w:p>
          <w:p w14:paraId="7841FA0F">
            <w:pPr>
              <w:pBdr>
                <w:top w:val="none" w:color="auto" w:sz="0" w:space="0"/>
                <w:left w:val="none" w:color="auto" w:sz="0" w:space="0"/>
                <w:bottom w:val="none" w:color="auto" w:sz="0" w:space="0"/>
                <w:right w:val="none" w:color="auto" w:sz="0" w:space="0"/>
                <w:between w:val="none" w:color="auto" w:sz="0" w:space="0"/>
              </w:pBdr>
              <w:rPr>
                <w:color w:val="000000"/>
                <w:sz w:val="20"/>
                <w:szCs w:val="20"/>
                <w:u w:val="single"/>
              </w:rPr>
            </w:pPr>
          </w:p>
        </w:tc>
      </w:tr>
      <w:tr w14:paraId="689389D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35" w:hRule="atLeast"/>
        </w:trPr>
        <w:tc>
          <w:tcPr>
            <w:tcW w:w="6831" w:type="dxa"/>
            <w:tcMar>
              <w:top w:w="0" w:type="dxa"/>
              <w:left w:w="108" w:type="dxa"/>
              <w:bottom w:w="0" w:type="dxa"/>
              <w:right w:w="108" w:type="dxa"/>
            </w:tcMar>
            <w:vAlign w:val="center"/>
          </w:tcPr>
          <w:p w14:paraId="6E1D146B">
            <w:pPr>
              <w:pBdr>
                <w:top w:val="none" w:color="auto" w:sz="0" w:space="0"/>
                <w:left w:val="none" w:color="auto" w:sz="0" w:space="0"/>
                <w:bottom w:val="none" w:color="auto" w:sz="0" w:space="0"/>
                <w:right w:val="none" w:color="auto" w:sz="0" w:space="0"/>
                <w:between w:val="none" w:color="auto" w:sz="0" w:space="0"/>
              </w:pBdr>
              <w:rPr>
                <w:color w:val="000000"/>
                <w:sz w:val="20"/>
                <w:szCs w:val="20"/>
              </w:rPr>
            </w:pPr>
          </w:p>
        </w:tc>
        <w:tc>
          <w:tcPr>
            <w:tcW w:w="8642" w:type="dxa"/>
            <w:tcMar>
              <w:top w:w="0" w:type="dxa"/>
              <w:left w:w="108" w:type="dxa"/>
              <w:bottom w:w="0" w:type="dxa"/>
              <w:right w:w="108" w:type="dxa"/>
            </w:tcMar>
          </w:tcPr>
          <w:p w14:paraId="4F292656">
            <w:pPr>
              <w:pStyle w:val="3"/>
              <w:jc w:val="left"/>
              <w:rPr>
                <w:rFonts w:ascii="Times New Roman" w:hAnsi="Times New Roman" w:eastAsia="Times New Roman" w:cs="Times New Roman"/>
              </w:rPr>
            </w:pPr>
            <w:r>
              <w:rPr>
                <w:rFonts w:ascii="Times New Roman" w:hAnsi="Times New Roman" w:eastAsia="Times New Roman" w:cs="Times New Roman"/>
              </w:rPr>
              <w:t>Reviewer’s comment</w:t>
            </w:r>
          </w:p>
        </w:tc>
        <w:tc>
          <w:tcPr>
            <w:tcW w:w="5677" w:type="dxa"/>
          </w:tcPr>
          <w:p w14:paraId="1A4A4FFA">
            <w:pPr>
              <w:spacing w:after="160" w:line="254" w:lineRule="auto"/>
              <w:rPr>
                <w:sz w:val="20"/>
                <w:szCs w:val="20"/>
              </w:rPr>
            </w:pPr>
            <w:r>
              <w:rPr>
                <w:b/>
                <w:bCs/>
                <w:sz w:val="20"/>
                <w:szCs w:val="20"/>
              </w:rPr>
              <w:t>Author’s Feedback</w:t>
            </w:r>
            <w:r>
              <w:rPr>
                <w:sz w:val="20"/>
                <w:szCs w:val="20"/>
              </w:rPr>
              <w:t xml:space="preserve"> (It is mandatory that authors should write his/her feedback here)</w:t>
            </w:r>
          </w:p>
          <w:p w14:paraId="7959D8B9">
            <w:pPr>
              <w:pStyle w:val="3"/>
              <w:jc w:val="left"/>
              <w:rPr>
                <w:rFonts w:ascii="Times New Roman" w:hAnsi="Times New Roman" w:eastAsia="Times New Roman" w:cs="Times New Roman"/>
                <w:b w:val="0"/>
                <w:bCs w:val="0"/>
              </w:rPr>
            </w:pPr>
          </w:p>
        </w:tc>
      </w:tr>
      <w:tr w14:paraId="27F1C86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97" w:hRule="atLeast"/>
        </w:trPr>
        <w:tc>
          <w:tcPr>
            <w:tcW w:w="6831" w:type="dxa"/>
            <w:tcMar>
              <w:top w:w="0" w:type="dxa"/>
              <w:left w:w="108" w:type="dxa"/>
              <w:bottom w:w="0" w:type="dxa"/>
              <w:right w:w="108" w:type="dxa"/>
            </w:tcMar>
            <w:vAlign w:val="center"/>
          </w:tcPr>
          <w:p w14:paraId="2F6AB32C">
            <w:pPr>
              <w:pBdr>
                <w:top w:val="none" w:color="auto" w:sz="0" w:space="0"/>
                <w:left w:val="none" w:color="auto" w:sz="0" w:space="0"/>
                <w:bottom w:val="none" w:color="auto" w:sz="0" w:space="0"/>
                <w:right w:val="none" w:color="auto" w:sz="0" w:space="0"/>
                <w:between w:val="none" w:color="auto" w:sz="0" w:space="0"/>
              </w:pBdr>
              <w:rPr>
                <w:color w:val="000000"/>
                <w:sz w:val="20"/>
                <w:szCs w:val="20"/>
              </w:rPr>
            </w:pPr>
            <w:r>
              <w:rPr>
                <w:b/>
                <w:bCs/>
                <w:color w:val="000000"/>
                <w:sz w:val="20"/>
                <w:szCs w:val="20"/>
              </w:rPr>
              <w:t xml:space="preserve">Are there ethical issues in this manuscript? </w:t>
            </w:r>
          </w:p>
          <w:p w14:paraId="2E958035">
            <w:pPr>
              <w:pBdr>
                <w:top w:val="none" w:color="auto" w:sz="0" w:space="0"/>
                <w:left w:val="none" w:color="auto" w:sz="0" w:space="0"/>
                <w:bottom w:val="none" w:color="auto" w:sz="0" w:space="0"/>
                <w:right w:val="none" w:color="auto" w:sz="0" w:space="0"/>
                <w:between w:val="none" w:color="auto" w:sz="0" w:space="0"/>
              </w:pBdr>
              <w:rPr>
                <w:color w:val="000000"/>
                <w:sz w:val="20"/>
                <w:szCs w:val="20"/>
              </w:rPr>
            </w:pPr>
          </w:p>
        </w:tc>
        <w:tc>
          <w:tcPr>
            <w:tcW w:w="8642" w:type="dxa"/>
            <w:tcMar>
              <w:top w:w="0" w:type="dxa"/>
              <w:left w:w="108" w:type="dxa"/>
              <w:bottom w:w="0" w:type="dxa"/>
              <w:right w:w="108" w:type="dxa"/>
            </w:tcMar>
            <w:vAlign w:val="center"/>
          </w:tcPr>
          <w:p w14:paraId="0B59E05E">
            <w:pPr>
              <w:pBdr>
                <w:top w:val="none" w:color="auto" w:sz="0" w:space="0"/>
                <w:left w:val="none" w:color="auto" w:sz="0" w:space="0"/>
                <w:bottom w:val="none" w:color="auto" w:sz="0" w:space="0"/>
                <w:right w:val="none" w:color="auto" w:sz="0" w:space="0"/>
                <w:between w:val="none" w:color="auto" w:sz="0" w:space="0"/>
              </w:pBdr>
              <w:rPr>
                <w:color w:val="000000"/>
                <w:sz w:val="20"/>
                <w:szCs w:val="20"/>
                <w:u w:val="single"/>
              </w:rPr>
            </w:pPr>
          </w:p>
          <w:p w14:paraId="551427E2">
            <w:pPr>
              <w:pBdr>
                <w:top w:val="none" w:color="auto" w:sz="0" w:space="0"/>
                <w:left w:val="none" w:color="auto" w:sz="0" w:space="0"/>
                <w:bottom w:val="none" w:color="auto" w:sz="0" w:space="0"/>
                <w:right w:val="none" w:color="auto" w:sz="0" w:space="0"/>
                <w:between w:val="none" w:color="auto" w:sz="0" w:space="0"/>
              </w:pBdr>
              <w:rPr>
                <w:color w:val="000000"/>
                <w:sz w:val="20"/>
                <w:szCs w:val="20"/>
              </w:rPr>
            </w:pPr>
            <w:r>
              <w:rPr>
                <w:sz w:val="20"/>
                <w:szCs w:val="20"/>
              </w:rPr>
              <w:t>No</w:t>
            </w:r>
          </w:p>
          <w:p w14:paraId="762DB923">
            <w:pPr>
              <w:pBdr>
                <w:top w:val="none" w:color="auto" w:sz="0" w:space="0"/>
                <w:left w:val="none" w:color="auto" w:sz="0" w:space="0"/>
                <w:bottom w:val="none" w:color="auto" w:sz="0" w:space="0"/>
                <w:right w:val="none" w:color="auto" w:sz="0" w:space="0"/>
                <w:between w:val="none" w:color="auto" w:sz="0" w:space="0"/>
              </w:pBdr>
              <w:rPr>
                <w:color w:val="000000"/>
                <w:sz w:val="20"/>
                <w:szCs w:val="20"/>
              </w:rPr>
            </w:pPr>
          </w:p>
        </w:tc>
        <w:tc>
          <w:tcPr>
            <w:tcW w:w="5677" w:type="dxa"/>
            <w:vAlign w:val="center"/>
          </w:tcPr>
          <w:p w14:paraId="4D80A635">
            <w:pPr>
              <w:rPr>
                <w:sz w:val="20"/>
                <w:szCs w:val="20"/>
              </w:rPr>
            </w:pPr>
          </w:p>
          <w:p w14:paraId="489AB208">
            <w:pPr>
              <w:rPr>
                <w:rFonts w:hint="default" w:eastAsia="宋体"/>
                <w:color w:val="0000FF"/>
                <w:sz w:val="20"/>
                <w:szCs w:val="20"/>
                <w:lang w:val="en-US" w:eastAsia="zh-CN"/>
              </w:rPr>
            </w:pPr>
            <w:bookmarkStart w:id="0" w:name="_GoBack"/>
            <w:r>
              <w:rPr>
                <w:rFonts w:hint="eastAsia" w:eastAsia="宋体"/>
                <w:color w:val="0000FF"/>
                <w:sz w:val="20"/>
                <w:szCs w:val="20"/>
                <w:lang w:val="en-US" w:eastAsia="zh-CN"/>
              </w:rPr>
              <w:t>Thank you for confirming.</w:t>
            </w:r>
          </w:p>
          <w:bookmarkEnd w:id="0"/>
          <w:p w14:paraId="71A415BE">
            <w:pPr>
              <w:rPr>
                <w:sz w:val="20"/>
                <w:szCs w:val="20"/>
              </w:rPr>
            </w:pPr>
          </w:p>
          <w:p w14:paraId="680267C4">
            <w:pPr>
              <w:pBdr>
                <w:top w:val="none" w:color="auto" w:sz="0" w:space="0"/>
                <w:left w:val="none" w:color="auto" w:sz="0" w:space="0"/>
                <w:bottom w:val="none" w:color="auto" w:sz="0" w:space="0"/>
                <w:right w:val="none" w:color="auto" w:sz="0" w:space="0"/>
                <w:between w:val="none" w:color="auto" w:sz="0" w:space="0"/>
              </w:pBdr>
              <w:rPr>
                <w:color w:val="000000"/>
                <w:sz w:val="20"/>
                <w:szCs w:val="20"/>
              </w:rPr>
            </w:pPr>
          </w:p>
        </w:tc>
      </w:tr>
    </w:tbl>
    <w:p w14:paraId="0EC1A5CC">
      <w:pPr>
        <w:pBdr>
          <w:top w:val="none" w:color="auto" w:sz="0" w:space="0"/>
          <w:left w:val="none" w:color="auto" w:sz="0" w:space="0"/>
          <w:bottom w:val="none" w:color="auto" w:sz="0" w:space="0"/>
          <w:right w:val="none" w:color="auto" w:sz="0" w:space="0"/>
          <w:between w:val="none" w:color="auto" w:sz="0" w:space="0"/>
        </w:pBdr>
        <w:jc w:val="both"/>
        <w:rPr>
          <w:rFonts w:ascii="Arial" w:hAnsi="Arial" w:eastAsia="Arial" w:cs="Arial"/>
          <w:color w:val="000000"/>
          <w:sz w:val="20"/>
          <w:szCs w:val="20"/>
        </w:rPr>
      </w:pPr>
    </w:p>
    <w:sectPr>
      <w:headerReference r:id="rId3" w:type="default"/>
      <w:footerReference r:id="rId4" w:type="default"/>
      <w:pgSz w:w="23814" w:h="16839" w:orient="landscape"/>
      <w:pgMar w:top="1440" w:right="1440" w:bottom="1440" w:left="1440" w:header="720" w:footer="720" w:gutter="0"/>
      <w:pgNumType w:start="1"/>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52CAED43-DF66-41AD-9CAF-480DDCF38766}"/>
  </w:font>
  <w:font w:name="Arial">
    <w:panose1 w:val="020B0604020202020204"/>
    <w:charset w:val="01"/>
    <w:family w:val="swiss"/>
    <w:pitch w:val="default"/>
    <w:sig w:usb0="E0002EFF" w:usb1="C000785B" w:usb2="00000009" w:usb3="00000000" w:csb0="400001FF" w:csb1="FFFF0000"/>
    <w:embedRegular r:id="rId2" w:fontKey="{6FA37400-86E3-4A58-91F8-E72DAAF85DC1}"/>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embedRegular r:id="rId3" w:fontKey="{FFCDCADA-7179-404A-83C5-F3D0D67570AF}"/>
  </w:font>
  <w:font w:name="Symbol">
    <w:panose1 w:val="05050102010706020507"/>
    <w:charset w:val="02"/>
    <w:family w:val="roman"/>
    <w:pitch w:val="default"/>
    <w:sig w:usb0="00000000" w:usb1="00000000" w:usb2="00000000" w:usb3="00000000" w:csb0="80000000" w:csb1="00000000"/>
    <w:embedRegular r:id="rId4" w:fontKey="{DD441C08-9C6D-4138-8DC5-77282BA9CB92}"/>
  </w:font>
  <w:font w:name="Calibri">
    <w:panose1 w:val="020F0502020204030204"/>
    <w:charset w:val="00"/>
    <w:family w:val="swiss"/>
    <w:pitch w:val="default"/>
    <w:sig w:usb0="E4002EFF" w:usb1="C200247B" w:usb2="00000009" w:usb3="00000000" w:csb0="200001FF" w:csb1="00000000"/>
    <w:embedRegular r:id="rId5" w:fontKey="{3A235829-A6E8-40E9-8336-F26139530C29}"/>
  </w:font>
  <w:font w:name="Helvetica Neue">
    <w:altName w:val="Arial"/>
    <w:panose1 w:val="00000000000000000000"/>
    <w:charset w:val="00"/>
    <w:family w:val="auto"/>
    <w:pitch w:val="default"/>
    <w:sig w:usb0="00000000" w:usb1="00000000" w:usb2="00000000" w:usb3="00000000" w:csb0="00000000" w:csb1="00000000"/>
    <w:embedRegular r:id="rId6" w:fontKey="{FB382179-F805-4BBC-8705-A11969138C22}"/>
  </w:font>
  <w:font w:name="Arial">
    <w:panose1 w:val="020B0604020202020204"/>
    <w:charset w:val="00"/>
    <w:family w:val="swiss"/>
    <w:pitch w:val="default"/>
    <w:sig w:usb0="E0002EFF" w:usb1="C000785B" w:usb2="00000009" w:usb3="00000000" w:csb0="400001FF" w:csb1="FFFF0000"/>
    <w:embedRegular r:id="rId7" w:fontKey="{DB26147F-3D27-4185-ADEA-3213DF2C1FD5}"/>
  </w:font>
  <w:font w:name="Arimo">
    <w:altName w:val="ZWSimpleStroke"/>
    <w:panose1 w:val="00000000000000000000"/>
    <w:charset w:val="00"/>
    <w:family w:val="auto"/>
    <w:pitch w:val="default"/>
    <w:sig w:usb0="00000000" w:usb1="00000000" w:usb2="00000000" w:usb3="00000000" w:csb0="00000000" w:csb1="00000000"/>
    <w:embedRegular r:id="rId8" w:fontKey="{7A832630-CE23-4B1B-9DE1-029DA6FE41F2}"/>
  </w:font>
  <w:font w:name="Georgia">
    <w:panose1 w:val="02040502050405020303"/>
    <w:charset w:val="00"/>
    <w:family w:val="roman"/>
    <w:pitch w:val="default"/>
    <w:sig w:usb0="00000287" w:usb1="00000000" w:usb2="00000000" w:usb3="00000000" w:csb0="2000009F" w:csb1="00000000"/>
    <w:embedRegular r:id="rId9" w:fontKey="{38A9F368-236C-4AF3-BCB5-3142C612DC73}"/>
  </w:font>
  <w:font w:name="ZWSimpleStroke">
    <w:panose1 w:val="02000500000000000000"/>
    <w:charset w:val="00"/>
    <w:family w:val="auto"/>
    <w:pitch w:val="default"/>
    <w:sig w:usb0="800000A7" w:usb1="5000004A" w:usb2="00000000" w:usb3="00000000" w:csb0="20000111" w:csb1="41000000"/>
    <w:embedRegular r:id="rId10" w:fontKey="{83DC7B1F-69C9-4DD7-BFE2-89EEDE0802CA}"/>
  </w:font>
  <w:font w:name="KSOF058909F0">
    <w:panose1 w:val="020B0704020202020204"/>
    <w:charset w:val="00"/>
    <w:family w:val="auto"/>
    <w:pitch w:val="default"/>
    <w:sig w:usb0="00000001" w:usb1="00000000" w:usb2="00000000" w:usb3="00000000" w:csb0="00000001" w:csb1="00000000"/>
    <w:embedRegular r:id="rId11" w:fontKey="{66CF81D4-2993-42A1-BE5F-7471491D43E1}"/>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04B68E">
    <w:pPr>
      <w:pBdr>
        <w:top w:val="none" w:color="auto" w:sz="0" w:space="0"/>
        <w:left w:val="none" w:color="auto" w:sz="0" w:space="0"/>
        <w:bottom w:val="none" w:color="auto" w:sz="0" w:space="0"/>
        <w:right w:val="none" w:color="auto" w:sz="0" w:space="0"/>
        <w:between w:val="none" w:color="auto" w:sz="0" w:space="0"/>
      </w:pBdr>
      <w:rPr>
        <w:color w:val="000000"/>
        <w:sz w:val="16"/>
        <w:szCs w:val="16"/>
      </w:rPr>
    </w:pPr>
    <w:r>
      <w:rPr>
        <w:color w:val="000000"/>
        <w:sz w:val="16"/>
        <w:szCs w:val="16"/>
      </w:rPr>
      <w:t>Created by: DR</w:t>
    </w:r>
    <w:r>
      <w:rPr>
        <w:color w:val="000000"/>
        <w:sz w:val="16"/>
        <w:szCs w:val="16"/>
      </w:rPr>
      <w:tab/>
    </w:r>
    <w:r>
      <w:rPr>
        <w:color w:val="000000"/>
        <w:sz w:val="16"/>
        <w:szCs w:val="16"/>
      </w:rPr>
      <w:t xml:space="preserve">              Checked by: PM                                           Approved by: MBM</w:t>
    </w:r>
    <w:r>
      <w:rPr>
        <w:color w:val="000000"/>
        <w:sz w:val="16"/>
        <w:szCs w:val="16"/>
      </w:rPr>
      <w:tab/>
    </w:r>
    <w:r>
      <w:rPr>
        <w:color w:val="000000"/>
        <w:sz w:val="16"/>
        <w:szCs w:val="16"/>
      </w:rPr>
      <w:t xml:space="preserve">   </w:t>
    </w:r>
    <w:r>
      <w:rPr>
        <w:color w:val="000000"/>
        <w:sz w:val="16"/>
        <w:szCs w:val="16"/>
      </w:rPr>
      <w:tab/>
    </w:r>
    <w:r>
      <w:rPr>
        <w:color w:val="000000"/>
        <w:sz w:val="16"/>
        <w:szCs w:val="16"/>
      </w:rPr>
      <w:t>Version: 3 (07-07-2024)</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914A85">
    <w:pPr>
      <w:spacing w:after="280"/>
      <w:jc w:val="center"/>
      <w:rPr>
        <w:rFonts w:ascii="Arial" w:hAnsi="Arial" w:eastAsia="Arial" w:cs="Arial"/>
        <w:color w:val="003399"/>
        <w:u w:val="single"/>
      </w:rPr>
    </w:pPr>
  </w:p>
  <w:p w14:paraId="4E2E2FD1">
    <w:pPr>
      <w:spacing w:before="280"/>
    </w:pPr>
    <w:r>
      <w:rPr>
        <w:rFonts w:ascii="Arial" w:hAnsi="Arial" w:eastAsia="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1"/>
  <w:doNotDisplayPageBoundaries w:val="1"/>
  <w:embedTrueTypeFonts/>
  <w:documentProtection w:enforcement="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0000"/>
    <w:rsid w:val="13F21929"/>
    <w:rsid w:val="58D940D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Times New Roman"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Times New Roman" w:hAnsi="Times New Roman" w:eastAsia="Times New Roman" w:cs="Times New Roman"/>
      <w:sz w:val="24"/>
      <w:szCs w:val="24"/>
      <w:lang w:val="en-GB" w:eastAsia="en-US" w:bidi="ar-SA"/>
    </w:rPr>
  </w:style>
  <w:style w:type="paragraph" w:styleId="2">
    <w:name w:val="heading 1"/>
    <w:basedOn w:val="1"/>
    <w:next w:val="1"/>
    <w:qFormat/>
    <w:uiPriority w:val="9"/>
    <w:pPr>
      <w:keepNext/>
      <w:keepLines/>
      <w:spacing w:before="480" w:after="120"/>
      <w:outlineLvl w:val="0"/>
    </w:pPr>
    <w:rPr>
      <w:b/>
      <w:bCs/>
      <w:sz w:val="48"/>
      <w:szCs w:val="48"/>
    </w:rPr>
  </w:style>
  <w:style w:type="paragraph" w:styleId="3">
    <w:name w:val="heading 2"/>
    <w:basedOn w:val="1"/>
    <w:next w:val="1"/>
    <w:unhideWhenUsed/>
    <w:qFormat/>
    <w:uiPriority w:val="9"/>
    <w:pPr>
      <w:keepNext/>
      <w:jc w:val="both"/>
      <w:outlineLvl w:val="1"/>
    </w:pPr>
    <w:rPr>
      <w:rFonts w:ascii="Helvetica Neue" w:hAnsi="Helvetica Neue" w:eastAsia="Helvetica Neue" w:cs="Helvetica Neue"/>
      <w:b/>
      <w:bCs/>
      <w:sz w:val="20"/>
      <w:szCs w:val="20"/>
    </w:rPr>
  </w:style>
  <w:style w:type="paragraph" w:styleId="4">
    <w:name w:val="heading 3"/>
    <w:basedOn w:val="1"/>
    <w:next w:val="1"/>
    <w:semiHidden/>
    <w:unhideWhenUsed/>
    <w:qFormat/>
    <w:uiPriority w:val="9"/>
    <w:pPr>
      <w:keepNext/>
      <w:keepLines/>
      <w:spacing w:before="280" w:after="80"/>
      <w:outlineLvl w:val="2"/>
    </w:pPr>
    <w:rPr>
      <w:b/>
      <w:bCs/>
      <w:sz w:val="28"/>
      <w:szCs w:val="28"/>
    </w:rPr>
  </w:style>
  <w:style w:type="paragraph" w:styleId="5">
    <w:name w:val="heading 4"/>
    <w:basedOn w:val="1"/>
    <w:next w:val="1"/>
    <w:semiHidden/>
    <w:unhideWhenUsed/>
    <w:qFormat/>
    <w:uiPriority w:val="9"/>
    <w:pPr>
      <w:outlineLvl w:val="3"/>
    </w:pPr>
    <w:rPr>
      <w:rFonts w:ascii="Arimo" w:hAnsi="Arimo" w:eastAsia="Arimo" w:cs="Arimo"/>
      <w:b/>
      <w:bCs/>
    </w:rPr>
  </w:style>
  <w:style w:type="paragraph" w:styleId="6">
    <w:name w:val="heading 5"/>
    <w:basedOn w:val="1"/>
    <w:next w:val="1"/>
    <w:semiHidden/>
    <w:unhideWhenUsed/>
    <w:qFormat/>
    <w:uiPriority w:val="9"/>
    <w:pPr>
      <w:keepNext/>
      <w:keepLines/>
      <w:spacing w:before="220" w:after="40"/>
      <w:outlineLvl w:val="4"/>
    </w:pPr>
    <w:rPr>
      <w:b/>
      <w:bCs/>
      <w:sz w:val="22"/>
      <w:szCs w:val="22"/>
    </w:rPr>
  </w:style>
  <w:style w:type="paragraph" w:styleId="7">
    <w:name w:val="heading 6"/>
    <w:basedOn w:val="1"/>
    <w:next w:val="1"/>
    <w:semiHidden/>
    <w:unhideWhenUsed/>
    <w:qFormat/>
    <w:uiPriority w:val="9"/>
    <w:pPr>
      <w:keepNext/>
      <w:keepLines/>
      <w:spacing w:before="200" w:after="40"/>
      <w:outlineLvl w:val="5"/>
    </w:pPr>
    <w:rPr>
      <w:b/>
      <w:bCs/>
      <w:sz w:val="20"/>
      <w:szCs w:val="20"/>
    </w:rPr>
  </w:style>
  <w:style w:type="character" w:default="1" w:styleId="11">
    <w:name w:val="Default Paragraph Font"/>
    <w:semiHidden/>
    <w:unhideWhenUsed/>
    <w:uiPriority w:val="1"/>
  </w:style>
  <w:style w:type="table" w:default="1" w:styleId="10">
    <w:name w:val="Normal Table"/>
    <w:semiHidden/>
    <w:unhideWhenUsed/>
    <w:qFormat/>
    <w:uiPriority w:val="99"/>
    <w:tblPr>
      <w:tblCellMar>
        <w:top w:w="0" w:type="dxa"/>
        <w:left w:w="108" w:type="dxa"/>
        <w:bottom w:w="0" w:type="dxa"/>
        <w:right w:w="108" w:type="dxa"/>
      </w:tblCellMar>
    </w:tblPr>
  </w:style>
  <w:style w:type="paragraph" w:styleId="8">
    <w:name w:val="Subtitle"/>
    <w:basedOn w:val="1"/>
    <w:next w:val="1"/>
    <w:qFormat/>
    <w:uiPriority w:val="11"/>
    <w:pPr>
      <w:keepNext/>
      <w:keepLines/>
      <w:spacing w:before="360" w:after="80"/>
    </w:pPr>
    <w:rPr>
      <w:rFonts w:ascii="Georgia" w:hAnsi="Georgia" w:eastAsia="Georgia" w:cs="Georgia"/>
      <w:i/>
      <w:iCs/>
      <w:color w:val="666666"/>
      <w:sz w:val="48"/>
      <w:szCs w:val="48"/>
    </w:rPr>
  </w:style>
  <w:style w:type="paragraph" w:styleId="9">
    <w:name w:val="Title"/>
    <w:basedOn w:val="1"/>
    <w:next w:val="1"/>
    <w:qFormat/>
    <w:uiPriority w:val="10"/>
    <w:pPr>
      <w:keepNext/>
      <w:keepLines/>
      <w:spacing w:before="480" w:after="120"/>
    </w:pPr>
    <w:rPr>
      <w:b/>
      <w:bCs/>
      <w:sz w:val="72"/>
      <w:szCs w:val="72"/>
    </w:rPr>
  </w:style>
  <w:style w:type="character" w:styleId="12">
    <w:name w:val="Hyperlink"/>
    <w:basedOn w:val="11"/>
    <w:unhideWhenUsed/>
    <w:qFormat/>
    <w:uiPriority w:val="99"/>
    <w:rPr>
      <w:color w:val="0000FF" w:themeColor="hyperlink"/>
      <w:u w:val="single"/>
      <w14:textFill>
        <w14:solidFill>
          <w14:schemeClr w14:val="hlink"/>
        </w14:solidFill>
      </w14:textFill>
    </w:rPr>
  </w:style>
  <w:style w:type="table" w:customStyle="1" w:styleId="13">
    <w:name w:val="TableNormal"/>
    <w:qFormat/>
    <w:uiPriority w:val="0"/>
    <w:tblPr>
      <w:tblCellMar>
        <w:top w:w="100" w:type="dxa"/>
        <w:left w:w="100" w:type="dxa"/>
        <w:bottom w:w="100" w:type="dxa"/>
        <w:right w:w="100" w:type="dxa"/>
      </w:tblCellMar>
    </w:tblPr>
  </w:style>
  <w:style w:type="table" w:customStyle="1" w:styleId="14">
    <w:name w:val="_Style 12"/>
    <w:basedOn w:val="13"/>
    <w:uiPriority w:val="0"/>
    <w:tblPr>
      <w:tblCellMar>
        <w:top w:w="0" w:type="dxa"/>
        <w:left w:w="0" w:type="dxa"/>
        <w:bottom w:w="0" w:type="dxa"/>
        <w:right w:w="0" w:type="dxa"/>
      </w:tblCellMar>
    </w:tblPr>
  </w:style>
  <w:style w:type="table" w:customStyle="1" w:styleId="15">
    <w:name w:val="_Style 13"/>
    <w:basedOn w:val="13"/>
    <w:qFormat/>
    <w:uiPriority w:val="0"/>
    <w:tblPr>
      <w:tblCellMar>
        <w:top w:w="0" w:type="dxa"/>
        <w:left w:w="108" w:type="dxa"/>
        <w:bottom w:w="0" w:type="dxa"/>
        <w:right w:w="108" w:type="dxa"/>
      </w:tblCellMar>
    </w:tblPr>
  </w:style>
  <w:style w:type="table" w:customStyle="1" w:styleId="16">
    <w:name w:val="_Style 14"/>
    <w:basedOn w:val="13"/>
    <w:uiPriority w:val="0"/>
    <w:tblPr>
      <w:tblCellMar>
        <w:top w:w="0" w:type="dxa"/>
        <w:left w:w="0" w:type="dxa"/>
        <w:bottom w:w="0" w:type="dxa"/>
        <w:right w:w="0" w:type="dxa"/>
      </w:tblCellMar>
    </w:tblPr>
  </w:style>
  <w:style w:type="table" w:customStyle="1" w:styleId="17">
    <w:name w:val="_Style 15"/>
    <w:basedOn w:val="13"/>
    <w:qFormat/>
    <w:uiPriority w:val="0"/>
    <w:tblPr>
      <w:tblCellMar>
        <w:top w:w="0" w:type="dxa"/>
        <w:left w:w="0" w:type="dxa"/>
        <w:bottom w:w="0" w:type="dxa"/>
        <w:right w:w="0" w:type="dxa"/>
      </w:tblCellMar>
    </w:tblPr>
  </w:style>
  <w:style w:type="table" w:customStyle="1" w:styleId="18">
    <w:name w:val="_Style 16"/>
    <w:basedOn w:val="13"/>
    <w:qFormat/>
    <w:uiPriority w:val="0"/>
    <w:tblPr>
      <w:tblCellMar>
        <w:top w:w="0" w:type="dxa"/>
        <w:left w:w="0" w:type="dxa"/>
        <w:bottom w:w="0" w:type="dxa"/>
        <w:right w:w="0" w:type="dxa"/>
      </w:tblCellMar>
    </w:tblPr>
  </w:style>
  <w:style w:type="table" w:customStyle="1" w:styleId="19">
    <w:name w:val="_Style 17"/>
    <w:basedOn w:val="13"/>
    <w:qFormat/>
    <w:uiPriority w:val="0"/>
    <w:tblPr>
      <w:tblCellMar>
        <w:top w:w="0" w:type="dxa"/>
        <w:left w:w="0" w:type="dxa"/>
        <w:bottom w:w="0" w:type="dxa"/>
        <w:right w:w="0" w:type="dxa"/>
      </w:tblCellMar>
    </w:tblPr>
  </w:style>
  <w:style w:type="table" w:customStyle="1" w:styleId="20">
    <w:name w:val="_Style 18"/>
    <w:basedOn w:val="13"/>
    <w:uiPriority w:val="0"/>
    <w:tblPr>
      <w:tblCellMar>
        <w:top w:w="0" w:type="dxa"/>
        <w:left w:w="108" w:type="dxa"/>
        <w:bottom w:w="0" w:type="dxa"/>
        <w:right w:w="108" w:type="dxa"/>
      </w:tblCellMar>
    </w:tblPr>
  </w:style>
  <w:style w:type="character" w:customStyle="1" w:styleId="21">
    <w:name w:val="Unresolved Mention"/>
    <w:basedOn w:val="11"/>
    <w:semiHidden/>
    <w:unhideWhenUsed/>
    <w:qFormat/>
    <w:uiPriority w:val="99"/>
    <w:rPr>
      <w:color w:val="605E5C"/>
      <w:shd w:val="clear" w:color="auto" w:fill="E1DFDD"/>
    </w:rPr>
  </w:style>
</w:styles>
</file>

<file path=word/_rels/document.xml.rels><?xml version="1.0" encoding="UTF-8" standalone="yes"?>
<Relationships xmlns="http://schemas.openxmlformats.org/package/2006/relationships"><Relationship Id="rId7" Type="http://schemas.openxmlformats.org/officeDocument/2006/relationships/fontTable" Target="fontTable.xml"/><Relationship Id="rId6" Type="http://schemas.openxmlformats.org/officeDocument/2006/relationships/customXml" Target="../customXml/item1.xml"/><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3D6E2D7-7828-4926-B217-3CF042E684E0}">
  <ds:schemaRefs/>
</ds:datastoreItem>
</file>

<file path=docProps/app.xml><?xml version="1.0" encoding="utf-8"?>
<Properties xmlns="http://schemas.openxmlformats.org/officeDocument/2006/extended-properties" xmlns:vt="http://schemas.openxmlformats.org/officeDocument/2006/docPropsVTypes">
  <Template>Normal</Template>
  <Pages>2</Pages>
  <Words>491</Words>
  <Characters>3049</Characters>
  <Lines>25</Lines>
  <Paragraphs>7</Paragraphs>
  <TotalTime>4</TotalTime>
  <ScaleCrop>false</ScaleCrop>
  <LinksUpToDate>false</LinksUpToDate>
  <CharactersWithSpaces>3520</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2026-02-06T07:40:00Z</dcterms:created>
  <dc:creator>zxppl</dc:creator>
  <cp:lastModifiedBy>Apeng</cp:lastModifiedBy>
  <dcterms:modified xsi:type="dcterms:W3CDTF">2026-02-12T00:53:46Z</dcterms:modified>
  <cp:revision>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eyJoZGlkIjoiZmY1OWZiNmJiNWQ4NDZlZjgxY2JiOWYwMTQyYWUwZjkiLCJ1c2VySWQiOiI0OTcxNDg1MjgifQ==</vt:lpwstr>
  </property>
  <property fmtid="{D5CDD505-2E9C-101B-9397-08002B2CF9AE}" pid="3" name="KSOProductBuildVer">
    <vt:lpwstr>2052-12.1.0.25225</vt:lpwstr>
  </property>
  <property fmtid="{D5CDD505-2E9C-101B-9397-08002B2CF9AE}" pid="4" name="ICV">
    <vt:lpwstr>2751B4F2D6874CAFA82656E23369259E_12</vt:lpwstr>
  </property>
</Properties>
</file>