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59B8F6" w14:textId="2E33EFDC" w:rsidR="005658E2" w:rsidRDefault="005658E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658E2" w14:paraId="7A04179C" w14:textId="77777777">
        <w:trPr>
          <w:trHeight w:val="290"/>
        </w:trPr>
        <w:tc>
          <w:tcPr>
            <w:tcW w:w="20934" w:type="dxa"/>
            <w:gridSpan w:val="2"/>
            <w:tcBorders>
              <w:top w:val="nil"/>
              <w:left w:val="nil"/>
              <w:right w:val="nil"/>
            </w:tcBorders>
          </w:tcPr>
          <w:p w14:paraId="4919B365" w14:textId="77777777" w:rsidR="005658E2" w:rsidRDefault="005658E2">
            <w:pPr>
              <w:pStyle w:val="Titre2"/>
              <w:jc w:val="left"/>
              <w:rPr>
                <w:rFonts w:ascii="Arial" w:eastAsia="Arial" w:hAnsi="Arial" w:cs="Arial"/>
                <w:b w:val="0"/>
                <w:bCs w:val="0"/>
                <w:sz w:val="28"/>
                <w:szCs w:val="28"/>
              </w:rPr>
            </w:pPr>
          </w:p>
        </w:tc>
      </w:tr>
      <w:tr w:rsidR="005658E2" w14:paraId="18054358" w14:textId="77777777">
        <w:trPr>
          <w:trHeight w:val="290"/>
        </w:trPr>
        <w:tc>
          <w:tcPr>
            <w:tcW w:w="5167" w:type="dxa"/>
          </w:tcPr>
          <w:p w14:paraId="0A0AA76C" w14:textId="77777777" w:rsidR="005658E2" w:rsidRDefault="000F485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5C59580" w14:textId="77777777" w:rsidR="005658E2" w:rsidRDefault="000F485B">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Research and Reports in Gastroenterology</w:t>
              </w:r>
            </w:hyperlink>
          </w:p>
        </w:tc>
      </w:tr>
      <w:tr w:rsidR="005658E2" w14:paraId="75B8B8A8" w14:textId="77777777">
        <w:trPr>
          <w:trHeight w:val="290"/>
        </w:trPr>
        <w:tc>
          <w:tcPr>
            <w:tcW w:w="5167" w:type="dxa"/>
          </w:tcPr>
          <w:p w14:paraId="1CF53367" w14:textId="77777777" w:rsidR="005658E2" w:rsidRDefault="000F485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5C1C53F" w14:textId="77777777" w:rsidR="005658E2" w:rsidRDefault="000F485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Ms_AJRRGA_153296</w:t>
            </w:r>
          </w:p>
        </w:tc>
      </w:tr>
      <w:tr w:rsidR="005658E2" w14:paraId="5943F714" w14:textId="77777777">
        <w:trPr>
          <w:trHeight w:val="650"/>
        </w:trPr>
        <w:tc>
          <w:tcPr>
            <w:tcW w:w="5167" w:type="dxa"/>
          </w:tcPr>
          <w:p w14:paraId="4A90FCC4" w14:textId="77777777" w:rsidR="005658E2" w:rsidRDefault="000F485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73DCF3C" w14:textId="77777777" w:rsidR="005658E2" w:rsidRDefault="000F485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Recurrent Dysphagia Beyond the Usual Diagnoses: A Case of </w:t>
            </w:r>
            <w:proofErr w:type="spellStart"/>
            <w:r>
              <w:rPr>
                <w:rFonts w:ascii="Arial" w:eastAsia="Arial" w:hAnsi="Arial" w:cs="Arial"/>
                <w:b/>
                <w:bCs/>
                <w:color w:val="000000"/>
                <w:sz w:val="20"/>
                <w:szCs w:val="20"/>
              </w:rPr>
              <w:t>Fibrostenotic</w:t>
            </w:r>
            <w:proofErr w:type="spellEnd"/>
            <w:r>
              <w:rPr>
                <w:rFonts w:ascii="Arial" w:eastAsia="Arial" w:hAnsi="Arial" w:cs="Arial"/>
                <w:b/>
                <w:bCs/>
                <w:color w:val="000000"/>
                <w:sz w:val="20"/>
                <w:szCs w:val="20"/>
              </w:rPr>
              <w:t xml:space="preserve"> Eosinophilic Esophagitis in an Adult</w:t>
            </w:r>
          </w:p>
        </w:tc>
      </w:tr>
      <w:tr w:rsidR="005658E2" w14:paraId="485C03DD" w14:textId="77777777">
        <w:trPr>
          <w:trHeight w:val="332"/>
        </w:trPr>
        <w:tc>
          <w:tcPr>
            <w:tcW w:w="5167" w:type="dxa"/>
          </w:tcPr>
          <w:p w14:paraId="1F6AA2A5" w14:textId="77777777" w:rsidR="005658E2" w:rsidRDefault="000F485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8EE4864" w14:textId="77777777" w:rsidR="005658E2" w:rsidRDefault="005658E2">
            <w:pPr>
              <w:pBdr>
                <w:top w:val="nil"/>
                <w:left w:val="nil"/>
                <w:bottom w:val="nil"/>
                <w:right w:val="nil"/>
                <w:between w:val="nil"/>
              </w:pBdr>
              <w:rPr>
                <w:rFonts w:ascii="Arial" w:eastAsia="Arial" w:hAnsi="Arial" w:cs="Arial"/>
                <w:color w:val="000000"/>
                <w:sz w:val="20"/>
                <w:szCs w:val="20"/>
              </w:rPr>
            </w:pPr>
          </w:p>
        </w:tc>
      </w:tr>
    </w:tbl>
    <w:p w14:paraId="0D0CFF78" w14:textId="77777777" w:rsidR="005658E2" w:rsidRDefault="005658E2">
      <w:pPr>
        <w:pBdr>
          <w:top w:val="nil"/>
          <w:left w:val="nil"/>
          <w:bottom w:val="nil"/>
          <w:right w:val="nil"/>
          <w:between w:val="nil"/>
        </w:pBdr>
        <w:jc w:val="both"/>
        <w:rPr>
          <w:rFonts w:ascii="Arial" w:eastAsia="Arial" w:hAnsi="Arial" w:cs="Arial"/>
          <w:color w:val="000000"/>
          <w:sz w:val="20"/>
          <w:szCs w:val="20"/>
          <w:u w:val="single"/>
        </w:rPr>
      </w:pPr>
    </w:p>
    <w:p w14:paraId="46B14B53" w14:textId="77777777" w:rsidR="005658E2" w:rsidRDefault="005658E2">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658E2" w14:paraId="13C3B3B5" w14:textId="77777777">
        <w:tc>
          <w:tcPr>
            <w:tcW w:w="21150" w:type="dxa"/>
            <w:gridSpan w:val="3"/>
            <w:tcBorders>
              <w:top w:val="nil"/>
              <w:left w:val="nil"/>
              <w:right w:val="nil"/>
            </w:tcBorders>
          </w:tcPr>
          <w:p w14:paraId="1AA399DA" w14:textId="77777777" w:rsidR="005658E2" w:rsidRDefault="000F485B">
            <w:pPr>
              <w:pStyle w:val="Titre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11520CDA" w14:textId="77777777" w:rsidR="005658E2" w:rsidRDefault="005658E2">
            <w:pPr>
              <w:rPr>
                <w:sz w:val="20"/>
                <w:szCs w:val="20"/>
              </w:rPr>
            </w:pPr>
          </w:p>
        </w:tc>
      </w:tr>
      <w:tr w:rsidR="005658E2" w14:paraId="00340FE0" w14:textId="77777777">
        <w:tc>
          <w:tcPr>
            <w:tcW w:w="5351" w:type="dxa"/>
          </w:tcPr>
          <w:p w14:paraId="55D1D62F" w14:textId="77777777" w:rsidR="005658E2" w:rsidRDefault="005658E2">
            <w:pPr>
              <w:pStyle w:val="Titre2"/>
              <w:jc w:val="left"/>
              <w:rPr>
                <w:rFonts w:ascii="Times New Roman" w:eastAsia="Times New Roman" w:hAnsi="Times New Roman" w:cs="Times New Roman"/>
              </w:rPr>
            </w:pPr>
          </w:p>
        </w:tc>
        <w:tc>
          <w:tcPr>
            <w:tcW w:w="9357" w:type="dxa"/>
          </w:tcPr>
          <w:p w14:paraId="6E12A216" w14:textId="77777777" w:rsidR="005658E2" w:rsidRDefault="000F485B">
            <w:pPr>
              <w:pStyle w:val="Titre2"/>
              <w:jc w:val="left"/>
              <w:rPr>
                <w:rFonts w:ascii="Times New Roman" w:eastAsia="Times New Roman" w:hAnsi="Times New Roman" w:cs="Times New Roman"/>
              </w:rPr>
            </w:pPr>
            <w:r>
              <w:rPr>
                <w:rFonts w:ascii="Times New Roman" w:eastAsia="Times New Roman" w:hAnsi="Times New Roman" w:cs="Times New Roman"/>
              </w:rPr>
              <w:t>Reviewer’s comment</w:t>
            </w:r>
          </w:p>
          <w:p w14:paraId="5BE11E1A" w14:textId="77777777" w:rsidR="005658E2" w:rsidRDefault="000F485B">
            <w:pPr>
              <w:rPr>
                <w:sz w:val="20"/>
                <w:szCs w:val="20"/>
              </w:rPr>
            </w:pPr>
            <w:r>
              <w:rPr>
                <w:b/>
                <w:bCs/>
                <w:sz w:val="20"/>
                <w:szCs w:val="20"/>
                <w:highlight w:val="yellow"/>
              </w:rPr>
              <w:t>Artificial Intelligence (AI) generated or assisted review comments are strictly prohibited during peer review.</w:t>
            </w:r>
          </w:p>
          <w:p w14:paraId="664CABE0" w14:textId="77777777" w:rsidR="005658E2" w:rsidRDefault="005658E2"/>
        </w:tc>
        <w:tc>
          <w:tcPr>
            <w:tcW w:w="6442" w:type="dxa"/>
          </w:tcPr>
          <w:p w14:paraId="266AA7D0" w14:textId="77777777" w:rsidR="005658E2" w:rsidRDefault="000F485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64B49E91" w14:textId="77777777" w:rsidR="005658E2" w:rsidRDefault="005658E2">
            <w:pPr>
              <w:pStyle w:val="Titre2"/>
              <w:jc w:val="left"/>
              <w:rPr>
                <w:rFonts w:ascii="Times New Roman" w:eastAsia="Times New Roman" w:hAnsi="Times New Roman" w:cs="Times New Roman"/>
                <w:b w:val="0"/>
                <w:bCs w:val="0"/>
              </w:rPr>
            </w:pPr>
          </w:p>
        </w:tc>
      </w:tr>
      <w:tr w:rsidR="005658E2" w14:paraId="51D3B88D" w14:textId="77777777">
        <w:trPr>
          <w:trHeight w:val="1264"/>
        </w:trPr>
        <w:tc>
          <w:tcPr>
            <w:tcW w:w="5351" w:type="dxa"/>
          </w:tcPr>
          <w:p w14:paraId="6851A6C4" w14:textId="77777777" w:rsidR="005658E2" w:rsidRDefault="000F485B">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1F77955B" w14:textId="77777777" w:rsidR="005658E2" w:rsidRDefault="005658E2">
            <w:pPr>
              <w:ind w:left="360"/>
              <w:rPr>
                <w:sz w:val="20"/>
                <w:szCs w:val="20"/>
              </w:rPr>
            </w:pPr>
          </w:p>
        </w:tc>
        <w:tc>
          <w:tcPr>
            <w:tcW w:w="9357" w:type="dxa"/>
          </w:tcPr>
          <w:p w14:paraId="49A9985A" w14:textId="77777777" w:rsidR="005658E2" w:rsidRDefault="000F485B">
            <w:pPr>
              <w:pBdr>
                <w:top w:val="nil"/>
                <w:left w:val="nil"/>
                <w:bottom w:val="nil"/>
                <w:right w:val="nil"/>
                <w:between w:val="nil"/>
              </w:pBdr>
              <w:rPr>
                <w:sz w:val="20"/>
                <w:szCs w:val="20"/>
              </w:rPr>
            </w:pPr>
            <w:r>
              <w:rPr>
                <w:sz w:val="20"/>
                <w:szCs w:val="20"/>
              </w:rPr>
              <w:t xml:space="preserve">It underscores </w:t>
            </w:r>
            <w:proofErr w:type="spellStart"/>
            <w:r>
              <w:rPr>
                <w:sz w:val="20"/>
                <w:szCs w:val="20"/>
              </w:rPr>
              <w:t>fibrostenotic</w:t>
            </w:r>
            <w:proofErr w:type="spellEnd"/>
            <w:r>
              <w:rPr>
                <w:sz w:val="20"/>
                <w:szCs w:val="20"/>
              </w:rPr>
              <w:t xml:space="preserve"> eosinophilic esophagitis as an often overlooked cause of progressive dysphagia in adults, particularly when diagnosis is delayed . It reinforces the importance of systematic </w:t>
            </w:r>
            <w:proofErr w:type="spellStart"/>
            <w:r>
              <w:rPr>
                <w:sz w:val="20"/>
                <w:szCs w:val="20"/>
              </w:rPr>
              <w:t>esophageal</w:t>
            </w:r>
            <w:proofErr w:type="spellEnd"/>
            <w:r>
              <w:rPr>
                <w:sz w:val="20"/>
                <w:szCs w:val="20"/>
              </w:rPr>
              <w:t xml:space="preserve"> biopsies regardless of endoscopic appearance to avoid missed diagnoses. Moreover, it provides practical clinical evidence supporting combined anti-inflammatory therapy and endoscopic dilation as the optimal strategy for achieving durable remission and preventing disease progression.</w:t>
            </w:r>
          </w:p>
        </w:tc>
        <w:tc>
          <w:tcPr>
            <w:tcW w:w="6442" w:type="dxa"/>
          </w:tcPr>
          <w:p w14:paraId="0A469BCD" w14:textId="19F1CF3C" w:rsidR="005658E2" w:rsidRDefault="00922293">
            <w:pPr>
              <w:pStyle w:val="Titre2"/>
              <w:jc w:val="left"/>
              <w:rPr>
                <w:rFonts w:ascii="Times New Roman" w:eastAsia="Times New Roman" w:hAnsi="Times New Roman" w:cs="Times New Roman"/>
                <w:b w:val="0"/>
                <w:bCs w:val="0"/>
              </w:rPr>
            </w:pPr>
            <w:r w:rsidRPr="00922293">
              <w:rPr>
                <w:rFonts w:ascii="Times New Roman" w:eastAsia="Times New Roman" w:hAnsi="Times New Roman" w:cs="Times New Roman"/>
                <w:b w:val="0"/>
                <w:bCs w:val="0"/>
              </w:rPr>
              <w:t xml:space="preserve">This manuscript highlights the clinical importance of considering eosinophilic esophagitis in adults presenting with recurrent dysphagia, particularly when initial investigations suggest more common diagnoses. The reported case illustrates the </w:t>
            </w:r>
            <w:proofErr w:type="spellStart"/>
            <w:r w:rsidRPr="00922293">
              <w:rPr>
                <w:rFonts w:ascii="Times New Roman" w:eastAsia="Times New Roman" w:hAnsi="Times New Roman" w:cs="Times New Roman"/>
                <w:b w:val="0"/>
                <w:bCs w:val="0"/>
              </w:rPr>
              <w:t>fibrostenotic</w:t>
            </w:r>
            <w:proofErr w:type="spellEnd"/>
            <w:r w:rsidRPr="00922293">
              <w:rPr>
                <w:rFonts w:ascii="Times New Roman" w:eastAsia="Times New Roman" w:hAnsi="Times New Roman" w:cs="Times New Roman"/>
                <w:b w:val="0"/>
                <w:bCs w:val="0"/>
              </w:rPr>
              <w:t xml:space="preserve"> phenotype, which remains under-recognized and may lead to delayed diagnosis and inappropriate management. By emphasizing the diagnostic challenges, endoscopic findings, histological confirmation, and therapeutic implications, this report contributes to improving clinical awareness among gastroenterologists and general practitioners. Ultimately, it reinforces the need for early recognition and appropriate management to prevent long-term </w:t>
            </w:r>
            <w:proofErr w:type="spellStart"/>
            <w:r w:rsidRPr="00922293">
              <w:rPr>
                <w:rFonts w:ascii="Times New Roman" w:eastAsia="Times New Roman" w:hAnsi="Times New Roman" w:cs="Times New Roman"/>
                <w:b w:val="0"/>
                <w:bCs w:val="0"/>
              </w:rPr>
              <w:t>esophageal</w:t>
            </w:r>
            <w:proofErr w:type="spellEnd"/>
            <w:r w:rsidRPr="00922293">
              <w:rPr>
                <w:rFonts w:ascii="Times New Roman" w:eastAsia="Times New Roman" w:hAnsi="Times New Roman" w:cs="Times New Roman"/>
                <w:b w:val="0"/>
                <w:bCs w:val="0"/>
              </w:rPr>
              <w:t xml:space="preserve"> </w:t>
            </w:r>
            <w:proofErr w:type="spellStart"/>
            <w:r w:rsidRPr="00922293">
              <w:rPr>
                <w:rFonts w:ascii="Times New Roman" w:eastAsia="Times New Roman" w:hAnsi="Times New Roman" w:cs="Times New Roman"/>
                <w:b w:val="0"/>
                <w:bCs w:val="0"/>
              </w:rPr>
              <w:t>remodeling</w:t>
            </w:r>
            <w:proofErr w:type="spellEnd"/>
            <w:r w:rsidRPr="00922293">
              <w:rPr>
                <w:rFonts w:ascii="Times New Roman" w:eastAsia="Times New Roman" w:hAnsi="Times New Roman" w:cs="Times New Roman"/>
                <w:b w:val="0"/>
                <w:bCs w:val="0"/>
              </w:rPr>
              <w:t xml:space="preserve"> and complications.</w:t>
            </w:r>
          </w:p>
        </w:tc>
      </w:tr>
      <w:tr w:rsidR="005658E2" w14:paraId="130CB509" w14:textId="77777777">
        <w:trPr>
          <w:trHeight w:val="1262"/>
        </w:trPr>
        <w:tc>
          <w:tcPr>
            <w:tcW w:w="5351" w:type="dxa"/>
          </w:tcPr>
          <w:p w14:paraId="425BD216" w14:textId="77777777" w:rsidR="005658E2" w:rsidRDefault="000F485B">
            <w:pPr>
              <w:ind w:left="360"/>
              <w:rPr>
                <w:sz w:val="20"/>
                <w:szCs w:val="20"/>
              </w:rPr>
            </w:pPr>
            <w:r>
              <w:rPr>
                <w:b/>
                <w:bCs/>
                <w:sz w:val="20"/>
                <w:szCs w:val="20"/>
              </w:rPr>
              <w:t>Is the title of the article suitable?</w:t>
            </w:r>
          </w:p>
          <w:p w14:paraId="5797802A" w14:textId="77777777" w:rsidR="005658E2" w:rsidRDefault="000F485B">
            <w:pPr>
              <w:ind w:left="360"/>
              <w:rPr>
                <w:sz w:val="20"/>
                <w:szCs w:val="20"/>
              </w:rPr>
            </w:pPr>
            <w:r>
              <w:rPr>
                <w:b/>
                <w:bCs/>
                <w:sz w:val="20"/>
                <w:szCs w:val="20"/>
              </w:rPr>
              <w:t>(If not please suggest an alternative title)</w:t>
            </w:r>
          </w:p>
          <w:p w14:paraId="6A1CB3DB" w14:textId="77777777" w:rsidR="005658E2" w:rsidRDefault="005658E2">
            <w:pPr>
              <w:pStyle w:val="Titre2"/>
              <w:jc w:val="left"/>
              <w:rPr>
                <w:rFonts w:ascii="Times New Roman" w:eastAsia="Times New Roman" w:hAnsi="Times New Roman" w:cs="Times New Roman"/>
                <w:u w:val="single"/>
              </w:rPr>
            </w:pPr>
          </w:p>
        </w:tc>
        <w:tc>
          <w:tcPr>
            <w:tcW w:w="9357" w:type="dxa"/>
          </w:tcPr>
          <w:p w14:paraId="6A2CC846" w14:textId="77777777" w:rsidR="005658E2" w:rsidRDefault="000F485B">
            <w:pPr>
              <w:ind w:left="360"/>
              <w:rPr>
                <w:sz w:val="20"/>
                <w:szCs w:val="20"/>
              </w:rPr>
            </w:pPr>
            <w:r>
              <w:rPr>
                <w:sz w:val="20"/>
                <w:szCs w:val="20"/>
              </w:rPr>
              <w:t xml:space="preserve">The title is suitable. It is clear, specific, and accurately reflects the clinical focus and educational value of the case, particularly the diagnostic challenge and </w:t>
            </w:r>
            <w:proofErr w:type="spellStart"/>
            <w:r>
              <w:rPr>
                <w:sz w:val="20"/>
                <w:szCs w:val="20"/>
              </w:rPr>
              <w:t>fibrostenotic</w:t>
            </w:r>
            <w:proofErr w:type="spellEnd"/>
            <w:r>
              <w:rPr>
                <w:sz w:val="20"/>
                <w:szCs w:val="20"/>
              </w:rPr>
              <w:t xml:space="preserve"> phenotype of adult eosinophilic esophagitis</w:t>
            </w:r>
          </w:p>
        </w:tc>
        <w:tc>
          <w:tcPr>
            <w:tcW w:w="6442" w:type="dxa"/>
          </w:tcPr>
          <w:p w14:paraId="530C1EF6" w14:textId="5CA252D3" w:rsidR="005658E2" w:rsidRDefault="00922293">
            <w:pPr>
              <w:pStyle w:val="Titre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5658E2" w14:paraId="01898753" w14:textId="77777777">
        <w:trPr>
          <w:trHeight w:val="1262"/>
        </w:trPr>
        <w:tc>
          <w:tcPr>
            <w:tcW w:w="5351" w:type="dxa"/>
          </w:tcPr>
          <w:p w14:paraId="6989E2CC" w14:textId="77777777" w:rsidR="005658E2" w:rsidRDefault="000F485B">
            <w:pPr>
              <w:pStyle w:val="Titre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9CEA5B7" w14:textId="77777777" w:rsidR="005658E2" w:rsidRDefault="005658E2">
            <w:pPr>
              <w:pStyle w:val="Titre2"/>
              <w:jc w:val="left"/>
              <w:rPr>
                <w:rFonts w:ascii="Times New Roman" w:eastAsia="Times New Roman" w:hAnsi="Times New Roman" w:cs="Times New Roman"/>
                <w:u w:val="single"/>
              </w:rPr>
            </w:pPr>
          </w:p>
        </w:tc>
        <w:tc>
          <w:tcPr>
            <w:tcW w:w="9357" w:type="dxa"/>
          </w:tcPr>
          <w:p w14:paraId="37B8561E" w14:textId="77777777" w:rsidR="005658E2" w:rsidRDefault="000F485B">
            <w:pPr>
              <w:ind w:left="360"/>
              <w:rPr>
                <w:sz w:val="20"/>
                <w:szCs w:val="20"/>
              </w:rPr>
            </w:pPr>
            <w:r>
              <w:rPr>
                <w:sz w:val="20"/>
                <w:szCs w:val="20"/>
              </w:rPr>
              <w:t xml:space="preserve">As a minor suggestion, the abstract could be further strengthened by briefly emphasizing the clinical implication for practice, such as the need for systematic </w:t>
            </w:r>
            <w:proofErr w:type="spellStart"/>
            <w:r>
              <w:rPr>
                <w:sz w:val="20"/>
                <w:szCs w:val="20"/>
              </w:rPr>
              <w:t>esophageal</w:t>
            </w:r>
            <w:proofErr w:type="spellEnd"/>
            <w:r>
              <w:rPr>
                <w:sz w:val="20"/>
                <w:szCs w:val="20"/>
              </w:rPr>
              <w:t xml:space="preserve"> biopsies in adults with unexplained dysphagia, even when initial biopsies or endoscopic findings are non-diagnostic. No major deletions are necessary, as all included elements are relevant and appropriately concise.</w:t>
            </w:r>
          </w:p>
        </w:tc>
        <w:tc>
          <w:tcPr>
            <w:tcW w:w="6442" w:type="dxa"/>
          </w:tcPr>
          <w:p w14:paraId="35CC814F" w14:textId="1F90B93A" w:rsidR="005658E2" w:rsidRDefault="00922293">
            <w:pPr>
              <w:pStyle w:val="Titre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Yes it is. </w:t>
            </w:r>
          </w:p>
        </w:tc>
      </w:tr>
      <w:tr w:rsidR="005658E2" w14:paraId="7B66CAE1" w14:textId="77777777">
        <w:trPr>
          <w:trHeight w:val="704"/>
        </w:trPr>
        <w:tc>
          <w:tcPr>
            <w:tcW w:w="5351" w:type="dxa"/>
          </w:tcPr>
          <w:p w14:paraId="1419238B" w14:textId="77777777" w:rsidR="005658E2" w:rsidRDefault="000F485B">
            <w:pPr>
              <w:pStyle w:val="Titre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23753B4E" w14:textId="77777777" w:rsidR="005658E2" w:rsidRDefault="000F485B">
            <w:pPr>
              <w:pBdr>
                <w:top w:val="nil"/>
                <w:left w:val="nil"/>
                <w:bottom w:val="nil"/>
                <w:right w:val="nil"/>
                <w:between w:val="nil"/>
              </w:pBdr>
              <w:rPr>
                <w:sz w:val="20"/>
                <w:szCs w:val="20"/>
              </w:rPr>
            </w:pPr>
            <w:r>
              <w:rPr>
                <w:sz w:val="20"/>
                <w:szCs w:val="20"/>
              </w:rPr>
              <w:t xml:space="preserve">Yes, the manuscript is scientifically sound and consistent with current evidence and international guidelines on eosinophilic esophagitis. The clinical presentation, diagnostic approach, histopathological criteria, and therapeutic strategy are accurately described and appropriately interpreted. The discussion correctly reflects the natural history of </w:t>
            </w:r>
            <w:proofErr w:type="spellStart"/>
            <w:r>
              <w:rPr>
                <w:sz w:val="20"/>
                <w:szCs w:val="20"/>
              </w:rPr>
              <w:t>EoE</w:t>
            </w:r>
            <w:proofErr w:type="spellEnd"/>
            <w:r>
              <w:rPr>
                <w:sz w:val="20"/>
                <w:szCs w:val="20"/>
              </w:rPr>
              <w:t xml:space="preserve">, the impact of diagnostic delay on </w:t>
            </w:r>
            <w:proofErr w:type="spellStart"/>
            <w:r>
              <w:rPr>
                <w:sz w:val="20"/>
                <w:szCs w:val="20"/>
              </w:rPr>
              <w:t>fibrostenotic</w:t>
            </w:r>
            <w:proofErr w:type="spellEnd"/>
            <w:r>
              <w:rPr>
                <w:sz w:val="20"/>
                <w:szCs w:val="20"/>
              </w:rPr>
              <w:t xml:space="preserve"> progression, and the rationale for combining anti-inflammatory therapy with endoscopic dilation. Overall, the scientific content is accurate, up to date, and well supported by relevant literature.</w:t>
            </w:r>
          </w:p>
        </w:tc>
        <w:tc>
          <w:tcPr>
            <w:tcW w:w="6442" w:type="dxa"/>
          </w:tcPr>
          <w:p w14:paraId="6370D9F7" w14:textId="69C3EF72" w:rsidR="005658E2" w:rsidRDefault="00922293">
            <w:pPr>
              <w:pStyle w:val="Titre2"/>
              <w:jc w:val="left"/>
              <w:rPr>
                <w:rFonts w:ascii="Times New Roman" w:eastAsia="Times New Roman" w:hAnsi="Times New Roman" w:cs="Times New Roman"/>
                <w:b w:val="0"/>
                <w:bCs w:val="0"/>
              </w:rPr>
            </w:pPr>
            <w:r w:rsidRPr="00922293">
              <w:rPr>
                <w:rFonts w:ascii="Times New Roman" w:eastAsia="Times New Roman" w:hAnsi="Times New Roman" w:cs="Times New Roman"/>
                <w:b w:val="0"/>
                <w:bCs w:val="0"/>
              </w:rPr>
              <w:t>Yes, the manuscript is scientifically accurate and consistent with current evidence and international guidelines.</w:t>
            </w:r>
          </w:p>
        </w:tc>
      </w:tr>
      <w:tr w:rsidR="005658E2" w14:paraId="2765892C" w14:textId="77777777">
        <w:trPr>
          <w:trHeight w:val="703"/>
        </w:trPr>
        <w:tc>
          <w:tcPr>
            <w:tcW w:w="5351" w:type="dxa"/>
          </w:tcPr>
          <w:p w14:paraId="318222B5" w14:textId="77777777" w:rsidR="005658E2" w:rsidRDefault="000F485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687A5517" w14:textId="77777777" w:rsidR="005658E2" w:rsidRDefault="000F485B">
            <w:pPr>
              <w:pBdr>
                <w:top w:val="nil"/>
                <w:left w:val="nil"/>
                <w:bottom w:val="nil"/>
                <w:right w:val="nil"/>
                <w:between w:val="nil"/>
              </w:pBdr>
              <w:rPr>
                <w:sz w:val="20"/>
                <w:szCs w:val="20"/>
              </w:rPr>
            </w:pPr>
            <w:r>
              <w:rPr>
                <w:sz w:val="20"/>
                <w:szCs w:val="20"/>
              </w:rPr>
              <w:t>Yes, the references are sufficient, relevant, and up to date, covering key aspects of eosinophilic esophagitis including epidemiology, diagnostic criteria, endoscopic assessment, natural history, and management strategies. The inclusion of recent consensus statements and national and international guidelines (up to 2024) strengthens the scientific validity of the manuscript.</w:t>
            </w:r>
          </w:p>
          <w:p w14:paraId="381F3D4E" w14:textId="77777777" w:rsidR="005658E2" w:rsidRDefault="005658E2">
            <w:pPr>
              <w:pBdr>
                <w:top w:val="nil"/>
                <w:left w:val="nil"/>
                <w:bottom w:val="nil"/>
                <w:right w:val="nil"/>
                <w:between w:val="nil"/>
              </w:pBdr>
              <w:rPr>
                <w:sz w:val="20"/>
                <w:szCs w:val="20"/>
              </w:rPr>
            </w:pPr>
          </w:p>
          <w:p w14:paraId="217FAD08" w14:textId="77777777" w:rsidR="005658E2" w:rsidRDefault="000F485B">
            <w:pPr>
              <w:pBdr>
                <w:top w:val="nil"/>
                <w:left w:val="nil"/>
                <w:bottom w:val="nil"/>
                <w:right w:val="nil"/>
                <w:between w:val="nil"/>
              </w:pBdr>
              <w:rPr>
                <w:sz w:val="20"/>
                <w:szCs w:val="20"/>
              </w:rPr>
            </w:pPr>
            <w:r>
              <w:rPr>
                <w:sz w:val="20"/>
                <w:szCs w:val="20"/>
              </w:rPr>
              <w:t xml:space="preserve">As an optional suggestion, the authors may consider adding a recent review focusing specifically on phenotype-driven management or long-term outcomes in </w:t>
            </w:r>
            <w:proofErr w:type="spellStart"/>
            <w:r>
              <w:rPr>
                <w:sz w:val="20"/>
                <w:szCs w:val="20"/>
              </w:rPr>
              <w:t>fibrostenotic</w:t>
            </w:r>
            <w:proofErr w:type="spellEnd"/>
            <w:r>
              <w:rPr>
                <w:sz w:val="20"/>
                <w:szCs w:val="20"/>
              </w:rPr>
              <w:t xml:space="preserve"> </w:t>
            </w:r>
            <w:proofErr w:type="spellStart"/>
            <w:r>
              <w:rPr>
                <w:sz w:val="20"/>
                <w:szCs w:val="20"/>
              </w:rPr>
              <w:t>EoE</w:t>
            </w:r>
            <w:proofErr w:type="spellEnd"/>
            <w:r>
              <w:rPr>
                <w:sz w:val="20"/>
                <w:szCs w:val="20"/>
              </w:rPr>
              <w:t xml:space="preserve"> to further reinforce the discussion on disease progression and maintenance therapy. However, this is not essential, and the current reference list is adequate to support the manuscript’s conclusions.</w:t>
            </w:r>
          </w:p>
        </w:tc>
        <w:tc>
          <w:tcPr>
            <w:tcW w:w="6442" w:type="dxa"/>
          </w:tcPr>
          <w:p w14:paraId="1E2FDF49" w14:textId="77777777" w:rsidR="00922293" w:rsidRPr="00922293" w:rsidRDefault="00922293" w:rsidP="00922293">
            <w:pPr>
              <w:pStyle w:val="Titre2"/>
              <w:rPr>
                <w:rFonts w:ascii="Times New Roman" w:eastAsia="Times New Roman" w:hAnsi="Times New Roman" w:cs="Times New Roman"/>
                <w:b w:val="0"/>
                <w:bCs w:val="0"/>
              </w:rPr>
            </w:pPr>
            <w:r w:rsidRPr="00922293">
              <w:rPr>
                <w:rFonts w:ascii="Times New Roman" w:eastAsia="Times New Roman" w:hAnsi="Times New Roman" w:cs="Times New Roman"/>
                <w:b w:val="0"/>
                <w:bCs w:val="0"/>
              </w:rPr>
              <w:t xml:space="preserve">The references are generally sufficient and up to date. However, we have added an additional relevant reference to further strengthen the discussion on </w:t>
            </w:r>
            <w:proofErr w:type="spellStart"/>
            <w:r w:rsidRPr="00922293">
              <w:rPr>
                <w:rFonts w:ascii="Times New Roman" w:eastAsia="Times New Roman" w:hAnsi="Times New Roman" w:cs="Times New Roman"/>
                <w:b w:val="0"/>
                <w:bCs w:val="0"/>
              </w:rPr>
              <w:t>fibrostenotic</w:t>
            </w:r>
            <w:proofErr w:type="spellEnd"/>
            <w:r w:rsidRPr="00922293">
              <w:rPr>
                <w:rFonts w:ascii="Times New Roman" w:eastAsia="Times New Roman" w:hAnsi="Times New Roman" w:cs="Times New Roman"/>
                <w:b w:val="0"/>
                <w:bCs w:val="0"/>
              </w:rPr>
              <w:t xml:space="preserve"> disease and severe strictures in adult eosinophilic esophagitis:</w:t>
            </w:r>
          </w:p>
          <w:p w14:paraId="2D95B9A7" w14:textId="77777777" w:rsidR="00922293" w:rsidRPr="00922293" w:rsidRDefault="00922293" w:rsidP="00922293">
            <w:pPr>
              <w:pStyle w:val="Titre2"/>
              <w:rPr>
                <w:rFonts w:ascii="Times New Roman" w:eastAsia="Times New Roman" w:hAnsi="Times New Roman" w:cs="Times New Roman"/>
                <w:b w:val="0"/>
                <w:bCs w:val="0"/>
              </w:rPr>
            </w:pPr>
          </w:p>
          <w:p w14:paraId="3A1DE1A0" w14:textId="6400161B" w:rsidR="005658E2" w:rsidRDefault="00922293" w:rsidP="00922293">
            <w:pPr>
              <w:pStyle w:val="Titre2"/>
              <w:jc w:val="left"/>
              <w:rPr>
                <w:rFonts w:ascii="Times New Roman" w:eastAsia="Times New Roman" w:hAnsi="Times New Roman" w:cs="Times New Roman"/>
                <w:b w:val="0"/>
                <w:bCs w:val="0"/>
              </w:rPr>
            </w:pPr>
            <w:r w:rsidRPr="00922293">
              <w:rPr>
                <w:rFonts w:ascii="Times New Roman" w:eastAsia="Times New Roman" w:hAnsi="Times New Roman" w:cs="Times New Roman"/>
                <w:b w:val="0"/>
                <w:bCs w:val="0"/>
              </w:rPr>
              <w:t xml:space="preserve">Kim JP, Weingart G, Hiramoto B, Gregory DL, Gonsalves N, Hirano I. Clinical outcomes of adults with eosinophilic esophagitis with severe stricture. </w:t>
            </w:r>
            <w:proofErr w:type="spellStart"/>
            <w:r w:rsidRPr="00922293">
              <w:rPr>
                <w:rFonts w:ascii="Times New Roman" w:eastAsia="Times New Roman" w:hAnsi="Times New Roman" w:cs="Times New Roman"/>
                <w:b w:val="0"/>
                <w:bCs w:val="0"/>
              </w:rPr>
              <w:t>Gastrointest</w:t>
            </w:r>
            <w:proofErr w:type="spellEnd"/>
            <w:r w:rsidRPr="00922293">
              <w:rPr>
                <w:rFonts w:ascii="Times New Roman" w:eastAsia="Times New Roman" w:hAnsi="Times New Roman" w:cs="Times New Roman"/>
                <w:b w:val="0"/>
                <w:bCs w:val="0"/>
              </w:rPr>
              <w:t xml:space="preserve"> </w:t>
            </w:r>
            <w:proofErr w:type="spellStart"/>
            <w:r w:rsidRPr="00922293">
              <w:rPr>
                <w:rFonts w:ascii="Times New Roman" w:eastAsia="Times New Roman" w:hAnsi="Times New Roman" w:cs="Times New Roman"/>
                <w:b w:val="0"/>
                <w:bCs w:val="0"/>
              </w:rPr>
              <w:t>Endosc</w:t>
            </w:r>
            <w:proofErr w:type="spellEnd"/>
            <w:r w:rsidRPr="00922293">
              <w:rPr>
                <w:rFonts w:ascii="Times New Roman" w:eastAsia="Times New Roman" w:hAnsi="Times New Roman" w:cs="Times New Roman"/>
                <w:b w:val="0"/>
                <w:bCs w:val="0"/>
              </w:rPr>
              <w:t>. 2020;92(1):44–53.</w:t>
            </w:r>
          </w:p>
        </w:tc>
      </w:tr>
      <w:tr w:rsidR="005658E2" w14:paraId="3078A92A" w14:textId="77777777">
        <w:trPr>
          <w:trHeight w:val="386"/>
        </w:trPr>
        <w:tc>
          <w:tcPr>
            <w:tcW w:w="5351" w:type="dxa"/>
          </w:tcPr>
          <w:p w14:paraId="7D4C32D9" w14:textId="77777777" w:rsidR="005658E2" w:rsidRDefault="000F485B">
            <w:pPr>
              <w:pStyle w:val="Titre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6F47B52D" w14:textId="77777777" w:rsidR="005658E2" w:rsidRDefault="005658E2">
            <w:pPr>
              <w:rPr>
                <w:sz w:val="20"/>
                <w:szCs w:val="20"/>
              </w:rPr>
            </w:pPr>
          </w:p>
        </w:tc>
        <w:tc>
          <w:tcPr>
            <w:tcW w:w="9357" w:type="dxa"/>
          </w:tcPr>
          <w:p w14:paraId="2CFE736A" w14:textId="77777777" w:rsidR="005658E2" w:rsidRDefault="000F485B">
            <w:pPr>
              <w:rPr>
                <w:sz w:val="20"/>
                <w:szCs w:val="20"/>
              </w:rPr>
            </w:pPr>
            <w:r>
              <w:rPr>
                <w:sz w:val="20"/>
                <w:szCs w:val="20"/>
              </w:rPr>
              <w:t>Only minor, optional language polishing could be considered (e.g., shortening a few long sentences or ensuring stylistic consistency), but no major grammatical or linguistic revisions are required.</w:t>
            </w:r>
          </w:p>
        </w:tc>
        <w:tc>
          <w:tcPr>
            <w:tcW w:w="6442" w:type="dxa"/>
          </w:tcPr>
          <w:p w14:paraId="389E6AEC" w14:textId="2A00B374" w:rsidR="005658E2" w:rsidRDefault="00922293">
            <w:pPr>
              <w:rPr>
                <w:sz w:val="20"/>
                <w:szCs w:val="20"/>
              </w:rPr>
            </w:pPr>
            <w:r>
              <w:rPr>
                <w:sz w:val="20"/>
                <w:szCs w:val="20"/>
              </w:rPr>
              <w:t>Yes it is</w:t>
            </w:r>
          </w:p>
        </w:tc>
      </w:tr>
      <w:tr w:rsidR="005658E2" w14:paraId="344854E7" w14:textId="77777777">
        <w:trPr>
          <w:trHeight w:val="1178"/>
        </w:trPr>
        <w:tc>
          <w:tcPr>
            <w:tcW w:w="5351" w:type="dxa"/>
          </w:tcPr>
          <w:p w14:paraId="1FFE8A66" w14:textId="77777777" w:rsidR="005658E2" w:rsidRDefault="000F485B">
            <w:pPr>
              <w:pStyle w:val="Titre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0310323E" w14:textId="77777777" w:rsidR="005658E2" w:rsidRDefault="005658E2">
            <w:pPr>
              <w:pStyle w:val="Titre2"/>
              <w:jc w:val="left"/>
              <w:rPr>
                <w:rFonts w:ascii="Times New Roman" w:eastAsia="Times New Roman" w:hAnsi="Times New Roman" w:cs="Times New Roman"/>
                <w:b w:val="0"/>
                <w:bCs w:val="0"/>
              </w:rPr>
            </w:pPr>
          </w:p>
        </w:tc>
        <w:tc>
          <w:tcPr>
            <w:tcW w:w="9357" w:type="dxa"/>
          </w:tcPr>
          <w:p w14:paraId="1F641711" w14:textId="77777777" w:rsidR="005658E2" w:rsidRDefault="000F485B">
            <w:pPr>
              <w:pBdr>
                <w:top w:val="nil"/>
                <w:left w:val="nil"/>
                <w:bottom w:val="nil"/>
                <w:right w:val="nil"/>
                <w:between w:val="nil"/>
              </w:pBdr>
              <w:rPr>
                <w:sz w:val="20"/>
                <w:szCs w:val="20"/>
              </w:rPr>
            </w:pPr>
            <w:r>
              <w:rPr>
                <w:sz w:val="20"/>
                <w:szCs w:val="20"/>
              </w:rPr>
              <w:t xml:space="preserve">The manuscript could be further strengthened by including a more detailed description of the histopathological images, ideally with a brief commentary from a pathologist highlighting the key microscopic features (eosinophilic infiltration, architectural changes, and fibrosis). </w:t>
            </w:r>
          </w:p>
          <w:p w14:paraId="5DD5B6E6" w14:textId="77777777" w:rsidR="005658E2" w:rsidRDefault="005658E2">
            <w:pPr>
              <w:pBdr>
                <w:top w:val="nil"/>
                <w:left w:val="nil"/>
                <w:bottom w:val="nil"/>
                <w:right w:val="nil"/>
                <w:between w:val="nil"/>
              </w:pBdr>
              <w:rPr>
                <w:sz w:val="20"/>
                <w:szCs w:val="20"/>
              </w:rPr>
            </w:pPr>
          </w:p>
          <w:p w14:paraId="6AD69096" w14:textId="77777777" w:rsidR="005658E2" w:rsidRDefault="000F485B">
            <w:pPr>
              <w:pBdr>
                <w:top w:val="nil"/>
                <w:left w:val="nil"/>
                <w:bottom w:val="nil"/>
                <w:right w:val="nil"/>
                <w:between w:val="nil"/>
              </w:pBdr>
              <w:rPr>
                <w:sz w:val="20"/>
                <w:szCs w:val="20"/>
              </w:rPr>
            </w:pPr>
            <w:r>
              <w:rPr>
                <w:sz w:val="20"/>
                <w:szCs w:val="20"/>
              </w:rPr>
              <w:t>Consider adding a brief timeline summarizing symptom onset, diagnostic steps, and therapeutic interventions to clearly illustrate the diagnostic delay and disease progression.</w:t>
            </w:r>
          </w:p>
          <w:p w14:paraId="4475AE12" w14:textId="77777777" w:rsidR="005658E2" w:rsidRDefault="005658E2">
            <w:pPr>
              <w:pBdr>
                <w:top w:val="nil"/>
                <w:left w:val="nil"/>
                <w:bottom w:val="nil"/>
                <w:right w:val="nil"/>
                <w:between w:val="nil"/>
              </w:pBdr>
              <w:rPr>
                <w:sz w:val="20"/>
                <w:szCs w:val="20"/>
              </w:rPr>
            </w:pPr>
          </w:p>
          <w:p w14:paraId="71A3D1D0" w14:textId="77777777" w:rsidR="005658E2" w:rsidRDefault="000F485B">
            <w:pPr>
              <w:pBdr>
                <w:top w:val="nil"/>
                <w:left w:val="nil"/>
                <w:bottom w:val="nil"/>
                <w:right w:val="nil"/>
                <w:between w:val="nil"/>
              </w:pBdr>
              <w:rPr>
                <w:sz w:val="20"/>
                <w:szCs w:val="20"/>
              </w:rPr>
            </w:pPr>
            <w:r>
              <w:rPr>
                <w:sz w:val="20"/>
                <w:szCs w:val="20"/>
              </w:rPr>
              <w:t>A short statement on differential diagnoses initially considered (e.g., peptic stricture, malignancy, infectious or drug-induced esophagitis) could reinforce the diagnostic challenge.</w:t>
            </w:r>
          </w:p>
          <w:p w14:paraId="34B4FA45" w14:textId="77777777" w:rsidR="005658E2" w:rsidRDefault="005658E2">
            <w:pPr>
              <w:pBdr>
                <w:top w:val="nil"/>
                <w:left w:val="nil"/>
                <w:bottom w:val="nil"/>
                <w:right w:val="nil"/>
                <w:between w:val="nil"/>
              </w:pBdr>
              <w:rPr>
                <w:sz w:val="20"/>
                <w:szCs w:val="20"/>
              </w:rPr>
            </w:pPr>
          </w:p>
          <w:p w14:paraId="1DF1FD83" w14:textId="77777777" w:rsidR="005658E2" w:rsidRDefault="000F485B">
            <w:pPr>
              <w:pBdr>
                <w:top w:val="nil"/>
                <w:left w:val="nil"/>
                <w:bottom w:val="nil"/>
                <w:right w:val="nil"/>
                <w:between w:val="nil"/>
              </w:pBdr>
              <w:rPr>
                <w:sz w:val="20"/>
                <w:szCs w:val="20"/>
              </w:rPr>
            </w:pPr>
            <w:r>
              <w:rPr>
                <w:sz w:val="20"/>
                <w:szCs w:val="20"/>
              </w:rPr>
              <w:t>Including a brief note on follow-up duration and long-term outcomes would add value regarding disease monitoring and maintenance therapy.</w:t>
            </w:r>
          </w:p>
        </w:tc>
        <w:tc>
          <w:tcPr>
            <w:tcW w:w="6442" w:type="dxa"/>
          </w:tcPr>
          <w:p w14:paraId="37F21919" w14:textId="77777777" w:rsidR="00922293" w:rsidRPr="00922293" w:rsidRDefault="00922293" w:rsidP="00922293">
            <w:pPr>
              <w:rPr>
                <w:sz w:val="20"/>
                <w:szCs w:val="20"/>
                <w:lang w:val="en-US"/>
              </w:rPr>
            </w:pPr>
            <w:r w:rsidRPr="00922293">
              <w:rPr>
                <w:sz w:val="20"/>
                <w:szCs w:val="20"/>
                <w:lang w:val="en-US"/>
              </w:rPr>
              <w:t>We sincerely thank the reviewers for their thoughtful and constructive comments. Their valuable suggestions have significantly contributed to improving the clarity, scientific quality, and overall educational value of our manuscript. We greatly appreciate the time and expertise invested in reviewing our work.</w:t>
            </w:r>
          </w:p>
          <w:p w14:paraId="67975943" w14:textId="77777777" w:rsidR="005658E2" w:rsidRPr="00922293" w:rsidRDefault="005658E2">
            <w:pPr>
              <w:rPr>
                <w:sz w:val="20"/>
                <w:szCs w:val="20"/>
                <w:lang w:val="en-US"/>
              </w:rPr>
            </w:pPr>
          </w:p>
        </w:tc>
      </w:tr>
    </w:tbl>
    <w:p w14:paraId="55EDFB88" w14:textId="77777777" w:rsidR="005658E2" w:rsidRDefault="005658E2">
      <w:pPr>
        <w:pBdr>
          <w:top w:val="nil"/>
          <w:left w:val="nil"/>
          <w:bottom w:val="nil"/>
          <w:right w:val="nil"/>
          <w:between w:val="nil"/>
        </w:pBdr>
        <w:jc w:val="both"/>
        <w:rPr>
          <w:color w:val="000000"/>
          <w:sz w:val="20"/>
          <w:szCs w:val="20"/>
          <w:u w:val="single"/>
        </w:rPr>
      </w:pPr>
    </w:p>
    <w:p w14:paraId="25D7738A" w14:textId="77777777" w:rsidR="005658E2" w:rsidRDefault="005658E2">
      <w:pPr>
        <w:pBdr>
          <w:top w:val="nil"/>
          <w:left w:val="nil"/>
          <w:bottom w:val="nil"/>
          <w:right w:val="nil"/>
          <w:between w:val="nil"/>
        </w:pBdr>
        <w:jc w:val="both"/>
        <w:rPr>
          <w:color w:val="000000"/>
          <w:sz w:val="20"/>
          <w:szCs w:val="20"/>
          <w:u w:val="single"/>
        </w:rPr>
      </w:pPr>
    </w:p>
    <w:p w14:paraId="55783485" w14:textId="77777777" w:rsidR="005658E2" w:rsidRDefault="005658E2">
      <w:pPr>
        <w:pBdr>
          <w:top w:val="nil"/>
          <w:left w:val="nil"/>
          <w:bottom w:val="nil"/>
          <w:right w:val="nil"/>
          <w:between w:val="nil"/>
        </w:pBdr>
        <w:jc w:val="both"/>
        <w:rPr>
          <w:color w:val="000000"/>
          <w:sz w:val="20"/>
          <w:szCs w:val="20"/>
          <w:u w:val="single"/>
        </w:rPr>
      </w:pPr>
    </w:p>
    <w:p w14:paraId="7F83C5C7" w14:textId="77777777" w:rsidR="005658E2" w:rsidRDefault="005658E2">
      <w:pPr>
        <w:pBdr>
          <w:top w:val="nil"/>
          <w:left w:val="nil"/>
          <w:bottom w:val="nil"/>
          <w:right w:val="nil"/>
          <w:between w:val="nil"/>
        </w:pBdr>
        <w:jc w:val="both"/>
        <w:rPr>
          <w:color w:val="000000"/>
          <w:sz w:val="20"/>
          <w:szCs w:val="20"/>
          <w:u w:val="single"/>
        </w:rPr>
      </w:pPr>
    </w:p>
    <w:p w14:paraId="7D475FF8" w14:textId="77777777" w:rsidR="005658E2" w:rsidRDefault="005658E2">
      <w:pPr>
        <w:pBdr>
          <w:top w:val="nil"/>
          <w:left w:val="nil"/>
          <w:bottom w:val="nil"/>
          <w:right w:val="nil"/>
          <w:between w:val="nil"/>
        </w:pBdr>
        <w:jc w:val="both"/>
        <w:rPr>
          <w:color w:val="000000"/>
          <w:sz w:val="20"/>
          <w:szCs w:val="20"/>
          <w:u w:val="single"/>
        </w:rPr>
      </w:pPr>
    </w:p>
    <w:p w14:paraId="3639B6E3" w14:textId="77777777" w:rsidR="005658E2" w:rsidRDefault="005658E2">
      <w:pPr>
        <w:pBdr>
          <w:top w:val="nil"/>
          <w:left w:val="nil"/>
          <w:bottom w:val="nil"/>
          <w:right w:val="nil"/>
          <w:between w:val="nil"/>
        </w:pBdr>
        <w:jc w:val="both"/>
        <w:rPr>
          <w:color w:val="000000"/>
          <w:sz w:val="20"/>
          <w:szCs w:val="20"/>
          <w:u w:val="single"/>
        </w:rPr>
      </w:pPr>
    </w:p>
    <w:p w14:paraId="5F29FDCD" w14:textId="77777777" w:rsidR="005658E2" w:rsidRDefault="005658E2">
      <w:pPr>
        <w:pBdr>
          <w:top w:val="nil"/>
          <w:left w:val="nil"/>
          <w:bottom w:val="nil"/>
          <w:right w:val="nil"/>
          <w:between w:val="nil"/>
        </w:pBdr>
        <w:jc w:val="both"/>
        <w:rPr>
          <w:color w:val="000000"/>
          <w:sz w:val="20"/>
          <w:szCs w:val="20"/>
          <w:u w:val="single"/>
        </w:rPr>
      </w:pPr>
    </w:p>
    <w:p w14:paraId="68FA8B6B" w14:textId="77777777" w:rsidR="005658E2" w:rsidRDefault="005658E2">
      <w:pPr>
        <w:pBdr>
          <w:top w:val="nil"/>
          <w:left w:val="nil"/>
          <w:bottom w:val="nil"/>
          <w:right w:val="nil"/>
          <w:between w:val="nil"/>
        </w:pBdr>
        <w:jc w:val="both"/>
        <w:rPr>
          <w:color w:val="000000"/>
          <w:sz w:val="20"/>
          <w:szCs w:val="20"/>
          <w:u w:val="single"/>
        </w:rPr>
      </w:pPr>
    </w:p>
    <w:p w14:paraId="6EC381ED" w14:textId="77777777" w:rsidR="005658E2" w:rsidRDefault="005658E2">
      <w:pPr>
        <w:pBdr>
          <w:top w:val="nil"/>
          <w:left w:val="nil"/>
          <w:bottom w:val="nil"/>
          <w:right w:val="nil"/>
          <w:between w:val="nil"/>
        </w:pBdr>
        <w:jc w:val="both"/>
        <w:rPr>
          <w:color w:val="000000"/>
          <w:sz w:val="20"/>
          <w:szCs w:val="20"/>
          <w:u w:val="single"/>
        </w:rPr>
      </w:pPr>
    </w:p>
    <w:p w14:paraId="5D5C5D2D" w14:textId="77777777" w:rsidR="005658E2" w:rsidRDefault="005658E2">
      <w:pPr>
        <w:pBdr>
          <w:top w:val="nil"/>
          <w:left w:val="nil"/>
          <w:bottom w:val="nil"/>
          <w:right w:val="nil"/>
          <w:between w:val="nil"/>
        </w:pBdr>
        <w:jc w:val="both"/>
        <w:rPr>
          <w:color w:val="000000"/>
          <w:sz w:val="20"/>
          <w:szCs w:val="20"/>
          <w:u w:val="single"/>
        </w:rPr>
      </w:pPr>
    </w:p>
    <w:p w14:paraId="3B6F7FC2" w14:textId="77777777" w:rsidR="005658E2" w:rsidRDefault="005658E2">
      <w:pPr>
        <w:pBdr>
          <w:top w:val="nil"/>
          <w:left w:val="nil"/>
          <w:bottom w:val="nil"/>
          <w:right w:val="nil"/>
          <w:between w:val="nil"/>
        </w:pBdr>
        <w:jc w:val="both"/>
        <w:rPr>
          <w:color w:val="000000"/>
          <w:sz w:val="20"/>
          <w:szCs w:val="20"/>
          <w:u w:val="single"/>
        </w:rPr>
      </w:pPr>
    </w:p>
    <w:p w14:paraId="3F850B58" w14:textId="77777777" w:rsidR="005658E2" w:rsidRDefault="005658E2">
      <w:pPr>
        <w:pBdr>
          <w:top w:val="nil"/>
          <w:left w:val="nil"/>
          <w:bottom w:val="nil"/>
          <w:right w:val="nil"/>
          <w:between w:val="nil"/>
        </w:pBdr>
        <w:jc w:val="both"/>
        <w:rPr>
          <w:color w:val="000000"/>
          <w:sz w:val="20"/>
          <w:szCs w:val="20"/>
          <w:u w:val="single"/>
        </w:rPr>
      </w:pPr>
    </w:p>
    <w:p w14:paraId="6E110EF3" w14:textId="77777777" w:rsidR="005658E2" w:rsidRDefault="005658E2">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658E2" w14:paraId="5072D045"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F777445" w14:textId="77777777" w:rsidR="005658E2" w:rsidRDefault="000F485B">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44B43570" w14:textId="77777777" w:rsidR="005658E2" w:rsidRDefault="005658E2">
            <w:pPr>
              <w:pBdr>
                <w:top w:val="nil"/>
                <w:left w:val="nil"/>
                <w:bottom w:val="nil"/>
                <w:right w:val="nil"/>
                <w:between w:val="nil"/>
              </w:pBdr>
              <w:rPr>
                <w:color w:val="000000"/>
                <w:sz w:val="20"/>
                <w:szCs w:val="20"/>
                <w:u w:val="single"/>
              </w:rPr>
            </w:pPr>
          </w:p>
        </w:tc>
      </w:tr>
      <w:tr w:rsidR="005658E2" w14:paraId="74E8A908" w14:textId="77777777">
        <w:trPr>
          <w:trHeight w:val="935"/>
        </w:trPr>
        <w:tc>
          <w:tcPr>
            <w:tcW w:w="6831" w:type="dxa"/>
            <w:tcMar>
              <w:top w:w="0" w:type="dxa"/>
              <w:left w:w="108" w:type="dxa"/>
              <w:bottom w:w="0" w:type="dxa"/>
              <w:right w:w="108" w:type="dxa"/>
            </w:tcMar>
            <w:vAlign w:val="center"/>
          </w:tcPr>
          <w:p w14:paraId="5FACC4F3" w14:textId="77777777" w:rsidR="005658E2" w:rsidRDefault="005658E2">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020C8EF9" w14:textId="77777777" w:rsidR="005658E2" w:rsidRDefault="000F485B">
            <w:pPr>
              <w:pStyle w:val="Titre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36D5A120" w14:textId="77777777" w:rsidR="005658E2" w:rsidRDefault="000F485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3C932B15" w14:textId="77777777" w:rsidR="005658E2" w:rsidRDefault="005658E2">
            <w:pPr>
              <w:pStyle w:val="Titre2"/>
              <w:jc w:val="left"/>
              <w:rPr>
                <w:rFonts w:ascii="Times New Roman" w:eastAsia="Times New Roman" w:hAnsi="Times New Roman" w:cs="Times New Roman"/>
                <w:b w:val="0"/>
                <w:bCs w:val="0"/>
              </w:rPr>
            </w:pPr>
          </w:p>
        </w:tc>
      </w:tr>
      <w:tr w:rsidR="005658E2" w14:paraId="30A96DEC" w14:textId="77777777">
        <w:trPr>
          <w:trHeight w:val="697"/>
        </w:trPr>
        <w:tc>
          <w:tcPr>
            <w:tcW w:w="6831" w:type="dxa"/>
            <w:tcMar>
              <w:top w:w="0" w:type="dxa"/>
              <w:left w:w="108" w:type="dxa"/>
              <w:bottom w:w="0" w:type="dxa"/>
              <w:right w:w="108" w:type="dxa"/>
            </w:tcMar>
            <w:vAlign w:val="center"/>
          </w:tcPr>
          <w:p w14:paraId="1CA98108" w14:textId="77777777" w:rsidR="005658E2" w:rsidRDefault="000F485B">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2DC7E3C1" w14:textId="77777777" w:rsidR="005658E2" w:rsidRDefault="005658E2">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68792067" w14:textId="77777777" w:rsidR="005658E2" w:rsidRDefault="000F485B">
            <w:pPr>
              <w:pBdr>
                <w:top w:val="nil"/>
                <w:left w:val="nil"/>
                <w:bottom w:val="nil"/>
                <w:right w:val="nil"/>
                <w:between w:val="nil"/>
              </w:pBdr>
              <w:rPr>
                <w:color w:val="000000"/>
                <w:sz w:val="20"/>
                <w:szCs w:val="20"/>
                <w:u w:val="single"/>
              </w:rPr>
            </w:pPr>
            <w:r>
              <w:rPr>
                <w:i/>
                <w:iCs/>
                <w:sz w:val="20"/>
                <w:szCs w:val="20"/>
                <w:u w:val="single"/>
              </w:rPr>
              <w:t>No</w:t>
            </w:r>
          </w:p>
          <w:p w14:paraId="09DCFF97" w14:textId="77777777" w:rsidR="005658E2" w:rsidRDefault="005658E2">
            <w:pPr>
              <w:pBdr>
                <w:top w:val="nil"/>
                <w:left w:val="nil"/>
                <w:bottom w:val="nil"/>
                <w:right w:val="nil"/>
                <w:between w:val="nil"/>
              </w:pBdr>
              <w:rPr>
                <w:color w:val="000000"/>
                <w:sz w:val="20"/>
                <w:szCs w:val="20"/>
              </w:rPr>
            </w:pPr>
          </w:p>
          <w:p w14:paraId="7E45F41B" w14:textId="77777777" w:rsidR="005658E2" w:rsidRDefault="005658E2">
            <w:pPr>
              <w:pBdr>
                <w:top w:val="nil"/>
                <w:left w:val="nil"/>
                <w:bottom w:val="nil"/>
                <w:right w:val="nil"/>
                <w:between w:val="nil"/>
              </w:pBdr>
              <w:rPr>
                <w:color w:val="000000"/>
                <w:sz w:val="20"/>
                <w:szCs w:val="20"/>
              </w:rPr>
            </w:pPr>
          </w:p>
        </w:tc>
        <w:tc>
          <w:tcPr>
            <w:tcW w:w="5677" w:type="dxa"/>
            <w:vAlign w:val="center"/>
          </w:tcPr>
          <w:p w14:paraId="5CB2AF1C" w14:textId="77777777" w:rsidR="005658E2" w:rsidRDefault="005658E2">
            <w:pPr>
              <w:rPr>
                <w:sz w:val="20"/>
                <w:szCs w:val="20"/>
              </w:rPr>
            </w:pPr>
          </w:p>
          <w:p w14:paraId="4DF4B663" w14:textId="77777777" w:rsidR="005658E2" w:rsidRDefault="005658E2">
            <w:pPr>
              <w:rPr>
                <w:sz w:val="20"/>
                <w:szCs w:val="20"/>
              </w:rPr>
            </w:pPr>
          </w:p>
          <w:p w14:paraId="4005DF6A" w14:textId="77777777" w:rsidR="005658E2" w:rsidRDefault="005658E2">
            <w:pPr>
              <w:rPr>
                <w:sz w:val="20"/>
                <w:szCs w:val="20"/>
              </w:rPr>
            </w:pPr>
          </w:p>
          <w:p w14:paraId="3C58AB1E" w14:textId="77777777" w:rsidR="005658E2" w:rsidRDefault="005658E2">
            <w:pPr>
              <w:pBdr>
                <w:top w:val="nil"/>
                <w:left w:val="nil"/>
                <w:bottom w:val="nil"/>
                <w:right w:val="nil"/>
                <w:between w:val="nil"/>
              </w:pBdr>
              <w:rPr>
                <w:color w:val="000000"/>
                <w:sz w:val="20"/>
                <w:szCs w:val="20"/>
              </w:rPr>
            </w:pPr>
          </w:p>
        </w:tc>
      </w:tr>
    </w:tbl>
    <w:p w14:paraId="6EEAD045" w14:textId="77777777" w:rsidR="005658E2" w:rsidRDefault="005658E2">
      <w:pPr>
        <w:pBdr>
          <w:top w:val="nil"/>
          <w:left w:val="nil"/>
          <w:bottom w:val="nil"/>
          <w:right w:val="nil"/>
          <w:between w:val="nil"/>
        </w:pBdr>
        <w:jc w:val="both"/>
        <w:rPr>
          <w:rFonts w:ascii="Arial" w:eastAsia="Arial" w:hAnsi="Arial" w:cs="Arial"/>
          <w:color w:val="000000"/>
          <w:sz w:val="20"/>
          <w:szCs w:val="20"/>
        </w:rPr>
      </w:pPr>
    </w:p>
    <w:sectPr w:rsidR="005658E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2A70EF" w14:textId="77777777" w:rsidR="003118AD" w:rsidRDefault="003118AD">
      <w:r>
        <w:separator/>
      </w:r>
    </w:p>
  </w:endnote>
  <w:endnote w:type="continuationSeparator" w:id="0">
    <w:p w14:paraId="0B506130" w14:textId="77777777" w:rsidR="003118AD" w:rsidRDefault="00311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6D1EDEC-1875-4037-B90A-0474E6EC8609}"/>
    <w:embedBold r:id="rId2" w:fontKey="{41A3F9FA-6931-4E22-BF13-F82A9919370B}"/>
  </w:font>
  <w:font w:name="Arimo">
    <w:charset w:val="00"/>
    <w:family w:val="auto"/>
    <w:pitch w:val="default"/>
    <w:embedBold r:id="rId3" w:fontKey="{5FD2401A-94D8-42A8-9B93-CFC2CDE9DE43}"/>
  </w:font>
  <w:font w:name="Helvetica">
    <w:panose1 w:val="020B0604020202020204"/>
    <w:charset w:val="00"/>
    <w:family w:val="swiss"/>
    <w:pitch w:val="variable"/>
    <w:sig w:usb0="E0002EFF" w:usb1="C000785B" w:usb2="00000009" w:usb3="00000000" w:csb0="000001FF" w:csb1="00000000"/>
    <w:embedRegular r:id="rId4" w:fontKey="{10B24A7A-8222-4340-B16B-087F87186A85}"/>
    <w:embedBold r:id="rId5" w:fontKey="{CE88241B-E2B7-42B0-99ED-95F54F639D41}"/>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6A3623FA-50FB-44AB-B85F-A4A6CDF0CF2E}"/>
  </w:font>
  <w:font w:name="Georgia">
    <w:panose1 w:val="02040502050405020303"/>
    <w:charset w:val="00"/>
    <w:family w:val="roman"/>
    <w:pitch w:val="variable"/>
    <w:sig w:usb0="00000287" w:usb1="00000000" w:usb2="00000000" w:usb3="00000000" w:csb0="0000009F" w:csb1="00000000"/>
    <w:embedItalic r:id="rId7" w:fontKey="{6CB420FC-8284-481D-B7B6-2E769234D93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003DC760-60FA-46F9-86D7-8F088FB43A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1044F" w14:textId="77777777" w:rsidR="005658E2" w:rsidRDefault="000F485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A8711" w14:textId="77777777" w:rsidR="003118AD" w:rsidRDefault="003118AD">
      <w:r>
        <w:separator/>
      </w:r>
    </w:p>
  </w:footnote>
  <w:footnote w:type="continuationSeparator" w:id="0">
    <w:p w14:paraId="7D14636E" w14:textId="77777777" w:rsidR="003118AD" w:rsidRDefault="003118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12CDA" w14:textId="77777777" w:rsidR="005658E2" w:rsidRDefault="005658E2">
    <w:pPr>
      <w:spacing w:after="280"/>
      <w:jc w:val="center"/>
      <w:rPr>
        <w:rFonts w:ascii="Arial" w:eastAsia="Arial" w:hAnsi="Arial" w:cs="Arial"/>
        <w:color w:val="003399"/>
        <w:u w:val="single"/>
      </w:rPr>
    </w:pPr>
  </w:p>
  <w:p w14:paraId="65627472" w14:textId="77777777" w:rsidR="005658E2" w:rsidRDefault="000F485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8E2"/>
    <w:rsid w:val="000F485B"/>
    <w:rsid w:val="00192C22"/>
    <w:rsid w:val="003118AD"/>
    <w:rsid w:val="00534625"/>
    <w:rsid w:val="005658E2"/>
    <w:rsid w:val="006A6F8A"/>
    <w:rsid w:val="00922293"/>
    <w:rsid w:val="00F04F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07B50D"/>
  <w15:docId w15:val="{6E29A0F9-1C5F-4AC1-BA45-E6F504244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outlineLvl w:val="3"/>
    </w:pPr>
    <w:rPr>
      <w:rFonts w:ascii="Arimo" w:eastAsia="Arimo" w:hAnsi="Arimo" w:cs="Arimo"/>
      <w:b/>
      <w:bCs/>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Corpsdetexte">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En-tte">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Pieddepage">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Lienhypertexte">
    <w:name w:val="Hyperlink"/>
    <w:qFormat/>
    <w:rPr>
      <w:color w:val="0000FF"/>
      <w:w w:val="100"/>
      <w:position w:val="-1"/>
      <w:u w:val="single"/>
      <w:effect w:val="none"/>
      <w:vertAlign w:val="baseline"/>
      <w:cs w:val="0"/>
      <w:em w:val="none"/>
    </w:rPr>
  </w:style>
  <w:style w:type="paragraph" w:styleId="Paragraphedeliste">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Lienhypertextesuivivisit">
    <w:name w:val="FollowedHyperlink"/>
    <w:qFormat/>
    <w:rPr>
      <w:color w:val="800080"/>
      <w:w w:val="100"/>
      <w:position w:val="-1"/>
      <w:u w:val="single"/>
      <w:effect w:val="none"/>
      <w:vertAlign w:val="baseline"/>
      <w:cs w:val="0"/>
      <w:em w:val="none"/>
    </w:rPr>
  </w:style>
  <w:style w:type="table" w:styleId="Grilledutableau">
    <w:name w:val="Table Grid"/>
    <w:basedOn w:val="Tableau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tionnonrsolue1">
    <w:name w:val="Mention non résolue1"/>
    <w:qFormat/>
    <w:rPr>
      <w:color w:val="605E5C"/>
      <w:w w:val="100"/>
      <w:position w:val="-1"/>
      <w:effect w:val="none"/>
      <w:shd w:val="clear" w:color="auto" w:fill="E1DFDD"/>
      <w:vertAlign w:val="baseline"/>
      <w:cs w:val="0"/>
      <w:em w:val="none"/>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auNormal"/>
    <w:tblPr>
      <w:tblStyleRowBandSize w:val="1"/>
      <w:tblStyleColBandSize w:val="1"/>
      <w:tblCellMar>
        <w:left w:w="0" w:type="dxa"/>
        <w:right w:w="0" w:type="dxa"/>
      </w:tblCellMar>
    </w:tblPr>
  </w:style>
  <w:style w:type="table" w:customStyle="1" w:styleId="a0">
    <w:basedOn w:val="TableauNormal"/>
    <w:tblPr>
      <w:tblStyleRowBandSize w:val="1"/>
      <w:tblStyleColBandSize w:val="1"/>
    </w:tblPr>
  </w:style>
  <w:style w:type="table" w:customStyle="1" w:styleId="a1">
    <w:basedOn w:val="TableauNormal"/>
    <w:tblPr>
      <w:tblStyleRowBandSize w:val="1"/>
      <w:tblStyleColBandSize w:val="1"/>
      <w:tblCellMar>
        <w:left w:w="0" w:type="dxa"/>
        <w:right w:w="0" w:type="dxa"/>
      </w:tblCellMar>
    </w:tblPr>
  </w:style>
  <w:style w:type="table" w:customStyle="1" w:styleId="a2">
    <w:basedOn w:val="TableauNormal"/>
    <w:tblPr>
      <w:tblStyleRowBandSize w:val="1"/>
      <w:tblStyleColBandSize w:val="1"/>
      <w:tblCellMar>
        <w:left w:w="0" w:type="dxa"/>
        <w:right w:w="0" w:type="dxa"/>
      </w:tblCellMar>
    </w:tblPr>
  </w:style>
  <w:style w:type="table" w:customStyle="1" w:styleId="a3">
    <w:basedOn w:val="TableauNormal"/>
    <w:tblPr>
      <w:tblStyleRowBandSize w:val="1"/>
      <w:tblStyleColBandSize w:val="1"/>
      <w:tblCellMar>
        <w:left w:w="0" w:type="dxa"/>
        <w:right w:w="0" w:type="dxa"/>
      </w:tblCellMar>
    </w:tblPr>
  </w:style>
  <w:style w:type="table" w:customStyle="1" w:styleId="a4">
    <w:basedOn w:val="TableauNormal"/>
    <w:tblPr>
      <w:tblStyleRowBandSize w:val="1"/>
      <w:tblStyleColBandSize w:val="1"/>
      <w:tblCellMar>
        <w:left w:w="0" w:type="dxa"/>
        <w:right w:w="0" w:type="dxa"/>
      </w:tblCellMar>
    </w:tblPr>
  </w:style>
  <w:style w:type="table" w:customStyle="1" w:styleId="a5">
    <w:basedOn w:val="Tableau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6940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rga.com/index.php/AJRRGA"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JP5evQhXlU4c+nKbTl1ryhpl4g==">CgMxLjAyDmgudWt0cXN6NGZpZDBzMg5oLnc2d2t6ZWVqODhweDgAciExM2tHb2Uyd3pGMmFlVUxJeTU4ajZFZUZJV3FUa0xQMWU=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1004</Words>
  <Characters>5525</Characters>
  <Application>Microsoft Office Word</Application>
  <DocSecurity>0</DocSecurity>
  <Lines>46</Lines>
  <Paragraphs>13</Paragraphs>
  <ScaleCrop>false</ScaleCrop>
  <Company/>
  <LinksUpToDate>false</LinksUpToDate>
  <CharactersWithSpaces>6516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Sanaa Berrag</cp:lastModifiedBy>
  <cp:revision>2</cp:revision>
  <dcterms:created xsi:type="dcterms:W3CDTF">2026-02-11T13:14:00Z</dcterms:created>
  <dcterms:modified xsi:type="dcterms:W3CDTF">2026-02-11T13:14:00Z</dcterms:modified>
</cp:coreProperties>
</file>