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6">
              <w:r w:rsidDel="00000000" w:rsidR="00000000" w:rsidRPr="00000000">
                <w:rPr>
                  <w:rFonts w:ascii="Arial" w:cs="Arial" w:eastAsia="Arial" w:hAnsi="Arial"/>
                  <w:b w:val="1"/>
                  <w:bCs w:val="1"/>
                  <w:color w:val="0000ff"/>
                  <w:sz w:val="20"/>
                  <w:szCs w:val="20"/>
                  <w:u w:val="single"/>
                  <w:vertAlign w:val="baseline"/>
                  <w:rtl w:val="0"/>
                </w:rPr>
                <w:t xml:space="preserve">Asian Journal of Research and Reports in Gastroenterology</w:t>
              </w:r>
            </w:hyperlink>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Ms_AJRRGA_152049</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Ascites as the Presenting Sign of Systemic Lupus Erythematosus</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Case report</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56agw8d4ikdg" w:id="0"/>
      <w:bookmarkEnd w:id="0"/>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10">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11">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4">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5">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6">
            <w:pPr>
              <w:rPr>
                <w:b w:val="0"/>
                <w:bCs w:val="0"/>
                <w:sz w:val="20"/>
                <w:szCs w:val="20"/>
                <w:vertAlign w:val="baseline"/>
              </w:rPr>
            </w:pPr>
            <w:r w:rsidDel="00000000" w:rsidR="00000000" w:rsidRPr="00000000">
              <w:rPr>
                <w:b w:val="1"/>
                <w:bCs w:val="1"/>
                <w:sz w:val="20"/>
                <w:szCs w:val="20"/>
                <w:highlight w:val="yellow"/>
                <w:vertAlign w:val="baseline"/>
                <w:rtl w:val="0"/>
              </w:rPr>
              <w:t xml:space="preserve">Artificial Intelligence (AI) generated or assisted review comments are strictly prohibited during peer review.</w:t>
            </w:r>
            <w:r w:rsidDel="00000000" w:rsidR="00000000" w:rsidRPr="00000000">
              <w:rPr>
                <w:rtl w:val="0"/>
              </w:rPr>
            </w:r>
          </w:p>
          <w:p w:rsidR="00000000" w:rsidDel="00000000" w:rsidP="00000000" w:rsidRDefault="00000000" w:rsidRPr="00000000" w14:paraId="00000017">
            <w:pPr>
              <w:rPr>
                <w:vertAlign w:val="baseline"/>
              </w:rPr>
            </w:pPr>
            <w:r w:rsidDel="00000000" w:rsidR="00000000" w:rsidRPr="00000000">
              <w:rPr>
                <w:rtl w:val="0"/>
              </w:rPr>
            </w:r>
          </w:p>
        </w:tc>
        <w:tc>
          <w:tcPr>
            <w:vAlign w:val="top"/>
          </w:tcPr>
          <w:p w:rsidR="00000000" w:rsidDel="00000000" w:rsidP="00000000" w:rsidRDefault="00000000" w:rsidRPr="00000000" w14:paraId="00000018">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9">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A">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B">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manuscript highlights a rare and clinically significant presentation of systemic lupus erythematosus, where massive ascites and lupus peritonitis represent the initial manifestation. Such atypical presentations are diagnostically challenging and often lead to delays in appropriate management. By systematically excluding more common etiologies of ascites and correlating clinical, laboratory, and imaging findings, the authors provide valuable insight for clinicians managing unexplained ascites, particularly in young women. The case contributes to existing literature by reinforcing the need to consider autoimmune causes in serosal effusions of unclear origin.</w:t>
            </w:r>
          </w:p>
        </w:tc>
        <w:tc>
          <w:tcPr>
            <w:vAlign w:val="top"/>
          </w:tcPr>
          <w:p w:rsidR="00000000" w:rsidDel="00000000" w:rsidP="00000000" w:rsidRDefault="00000000" w:rsidRPr="00000000" w14:paraId="0000001D">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This manuscript highlights a rare and underrecognized initial presentation of systemic lupus erythematosus where massive ascites and lupus peritonitis represent the initial manifestation .By documenting this unusual clinical case, it underscores the need to consider SLE in the differential diagnosis of unexplained ascites even in the absence of significant renal or hepatic involvement. Early recognition of this entity can prevent diagnostic delays, avoid unnecessary invasive procedures, and allow prompt initiation of immunosuppressive therapy, leading to favorable outcomes.</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F">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20">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1">
            <w:pPr>
              <w:rPr>
                <w:sz w:val="20"/>
                <w:szCs w:val="20"/>
                <w:vertAlign w:val="baseline"/>
              </w:rPr>
            </w:pPr>
            <w:r w:rsidDel="00000000" w:rsidR="00000000" w:rsidRPr="00000000">
              <w:rPr>
                <w:sz w:val="20"/>
                <w:szCs w:val="20"/>
                <w:vertAlign w:val="baseline"/>
                <w:rtl w:val="0"/>
              </w:rPr>
              <w:t xml:space="preserve">Yes, the title is appropriate and accurately reflects the content of the manuscript.</w:t>
              <w:br w:type="textWrapping"/>
              <w:t xml:space="preserve">It is concise, specific, and clinically informative.</w:t>
            </w:r>
          </w:p>
          <w:p w:rsidR="00000000" w:rsidDel="00000000" w:rsidP="00000000" w:rsidRDefault="00000000" w:rsidRPr="00000000" w14:paraId="00000022">
            <w:pPr>
              <w:rPr>
                <w:sz w:val="20"/>
                <w:szCs w:val="20"/>
                <w:vertAlign w:val="baseline"/>
              </w:rPr>
            </w:pPr>
            <w:r w:rsidDel="00000000" w:rsidR="00000000" w:rsidRPr="00000000">
              <w:rPr>
                <w:sz w:val="20"/>
                <w:szCs w:val="20"/>
                <w:vertAlign w:val="baseline"/>
                <w:rtl w:val="0"/>
              </w:rPr>
              <w:t xml:space="preserve">“Massive Ascites as the Initial Manifestation of Systemic Lupus Erythematosus: A Case Report”</w:t>
            </w:r>
          </w:p>
        </w:tc>
        <w:tc>
          <w:tcPr>
            <w:vAlign w:val="top"/>
          </w:tcPr>
          <w:p w:rsidR="00000000" w:rsidDel="00000000" w:rsidP="00000000" w:rsidRDefault="00000000" w:rsidRPr="00000000" w14:paraId="00000023">
            <w:pPr>
              <w:rPr>
                <w:rFonts w:ascii="Times New Roman" w:cs="Times New Roman" w:eastAsia="Times New Roman" w:hAnsi="Times New Roman"/>
                <w:b w:val="0"/>
                <w:bCs w:val="0"/>
                <w:vertAlign w:val="baseline"/>
              </w:rPr>
            </w:pPr>
            <w:r w:rsidDel="00000000" w:rsidR="00000000" w:rsidRPr="00000000">
              <w:rPr>
                <w:sz w:val="20"/>
                <w:szCs w:val="20"/>
                <w:rtl w:val="0"/>
              </w:rPr>
              <w:t xml:space="preserve">“Massive Ascites as the Initial Manifestation of Systemic Lupus Erythematosus: A Case Report”</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4">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5">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6">
            <w:pPr>
              <w:rPr>
                <w:sz w:val="20"/>
                <w:szCs w:val="20"/>
                <w:vertAlign w:val="baseline"/>
              </w:rPr>
            </w:pPr>
            <w:r w:rsidDel="00000000" w:rsidR="00000000" w:rsidRPr="00000000">
              <w:rPr>
                <w:sz w:val="20"/>
                <w:szCs w:val="20"/>
                <w:vertAlign w:val="baseline"/>
                <w:rtl w:val="0"/>
              </w:rPr>
              <w:t xml:space="preserve">The abstract is generally comprehensive and summarizes the background, clinical presentation, diagnostic reasoning, and treatment outcome. However, it requires minor revision for clarity and language accuracy.</w:t>
            </w:r>
          </w:p>
          <w:p w:rsidR="00000000" w:rsidDel="00000000" w:rsidP="00000000" w:rsidRDefault="00000000" w:rsidRPr="00000000" w14:paraId="00000027">
            <w:pPr>
              <w:rPr>
                <w:sz w:val="20"/>
                <w:szCs w:val="20"/>
                <w:vertAlign w:val="baseline"/>
              </w:rPr>
            </w:pPr>
            <w:r w:rsidDel="00000000" w:rsidR="00000000" w:rsidRPr="00000000">
              <w:rPr>
                <w:sz w:val="20"/>
                <w:szCs w:val="20"/>
                <w:vertAlign w:val="baseline"/>
                <w:rtl w:val="0"/>
              </w:rPr>
              <w:t xml:space="preserve">Suggestions:</w:t>
            </w:r>
          </w:p>
          <w:p w:rsidR="00000000" w:rsidDel="00000000" w:rsidP="00000000" w:rsidRDefault="00000000" w:rsidRPr="00000000" w14:paraId="00000028">
            <w:pPr>
              <w:numPr>
                <w:ilvl w:val="0"/>
                <w:numId w:val="1"/>
              </w:numPr>
              <w:ind w:left="720" w:hanging="360"/>
              <w:rPr>
                <w:sz w:val="20"/>
                <w:szCs w:val="20"/>
                <w:vertAlign w:val="baseline"/>
              </w:rPr>
            </w:pPr>
            <w:r w:rsidDel="00000000" w:rsidR="00000000" w:rsidRPr="00000000">
              <w:rPr>
                <w:sz w:val="20"/>
                <w:szCs w:val="20"/>
                <w:vertAlign w:val="baseline"/>
                <w:rtl w:val="0"/>
              </w:rPr>
              <w:t xml:space="preserve">Reduce repetitive general statements about SLE.</w:t>
            </w:r>
          </w:p>
          <w:p w:rsidR="00000000" w:rsidDel="00000000" w:rsidP="00000000" w:rsidRDefault="00000000" w:rsidRPr="00000000" w14:paraId="00000029">
            <w:pPr>
              <w:numPr>
                <w:ilvl w:val="0"/>
                <w:numId w:val="1"/>
              </w:numPr>
              <w:ind w:left="720" w:hanging="360"/>
              <w:rPr>
                <w:sz w:val="20"/>
                <w:szCs w:val="20"/>
                <w:vertAlign w:val="baseline"/>
              </w:rPr>
            </w:pPr>
            <w:r w:rsidDel="00000000" w:rsidR="00000000" w:rsidRPr="00000000">
              <w:rPr>
                <w:sz w:val="20"/>
                <w:szCs w:val="20"/>
                <w:vertAlign w:val="baseline"/>
                <w:rtl w:val="0"/>
              </w:rPr>
              <w:t xml:space="preserve">Improve grammatical accuracy and sentence structure.</w:t>
            </w:r>
          </w:p>
          <w:p w:rsidR="00000000" w:rsidDel="00000000" w:rsidP="00000000" w:rsidRDefault="00000000" w:rsidRPr="00000000" w14:paraId="0000002A">
            <w:pPr>
              <w:numPr>
                <w:ilvl w:val="0"/>
                <w:numId w:val="1"/>
              </w:numPr>
              <w:ind w:left="720" w:hanging="360"/>
              <w:rPr>
                <w:sz w:val="20"/>
                <w:szCs w:val="20"/>
                <w:vertAlign w:val="baseline"/>
              </w:rPr>
            </w:pPr>
            <w:r w:rsidDel="00000000" w:rsidR="00000000" w:rsidRPr="00000000">
              <w:rPr>
                <w:sz w:val="20"/>
                <w:szCs w:val="20"/>
                <w:vertAlign w:val="baseline"/>
                <w:rtl w:val="0"/>
              </w:rPr>
              <w:t xml:space="preserve">Clearly state the diagnostic criteria used (2019 EULAR/ACR) in one sentence.</w:t>
            </w:r>
          </w:p>
          <w:p w:rsidR="00000000" w:rsidDel="00000000" w:rsidP="00000000" w:rsidRDefault="00000000" w:rsidRPr="00000000" w14:paraId="0000002B">
            <w:pPr>
              <w:numPr>
                <w:ilvl w:val="0"/>
                <w:numId w:val="1"/>
              </w:numPr>
              <w:ind w:left="720" w:hanging="360"/>
              <w:rPr>
                <w:sz w:val="20"/>
                <w:szCs w:val="20"/>
                <w:vertAlign w:val="baseline"/>
              </w:rPr>
            </w:pPr>
            <w:r w:rsidDel="00000000" w:rsidR="00000000" w:rsidRPr="00000000">
              <w:rPr>
                <w:sz w:val="20"/>
                <w:szCs w:val="20"/>
                <w:vertAlign w:val="baseline"/>
                <w:rtl w:val="0"/>
              </w:rPr>
              <w:t xml:space="preserve">Replace unclear phrases such as </w:t>
            </w:r>
            <w:r w:rsidDel="00000000" w:rsidR="00000000" w:rsidRPr="00000000">
              <w:rPr>
                <w:i w:val="1"/>
                <w:iCs w:val="1"/>
                <w:sz w:val="20"/>
                <w:szCs w:val="20"/>
                <w:vertAlign w:val="baseline"/>
                <w:rtl w:val="0"/>
              </w:rPr>
              <w:t xml:space="preserve">“still had be reported”</w:t>
            </w:r>
            <w:r w:rsidDel="00000000" w:rsidR="00000000" w:rsidRPr="00000000">
              <w:rPr>
                <w:sz w:val="20"/>
                <w:szCs w:val="20"/>
                <w:vertAlign w:val="baseline"/>
                <w:rtl w:val="0"/>
              </w:rPr>
              <w:t xml:space="preserve"> with grammatically correct alternatives.</w:t>
            </w:r>
          </w:p>
          <w:p w:rsidR="00000000" w:rsidDel="00000000" w:rsidP="00000000" w:rsidRDefault="00000000" w:rsidRPr="00000000" w14:paraId="0000002C">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2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Due to positive antinuclear antibodies (1/640 Ui/ml) and anti-dsDNA &gt; 380, as well as low levels of complement C3 and C4, the presence of non-scarring alopecia, positive proteinuria, and suspected autoimmune hemolytic anemia, a lupus peritonitis diagnosis was made according to the 2019 EULAR ACR criteria with a score of 20.</w:t>
            </w:r>
          </w:p>
          <w:p w:rsidR="00000000" w:rsidDel="00000000" w:rsidP="00000000" w:rsidRDefault="00000000" w:rsidRPr="00000000" w14:paraId="0000002E">
            <w:pPr>
              <w:rPr>
                <w:vertAlign w:val="baseline"/>
              </w:rPr>
            </w:pP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F">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manuscript is scientifically sound and the diagnostic approach is appropriate. The authors correctly excluded infectious, malignant, hepatic, cardiac, and renal causes of ascites before concluding lupus peritonitis. Use of immunological markers (ANA, anti-dsDNA, complement levels) and application of the 2019 EULAR/ACR classification criteria strengthen the diagnosis.</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However, some points require clarification:</w:t>
            </w:r>
          </w:p>
          <w:p w:rsidR="00000000" w:rsidDel="00000000" w:rsidP="00000000" w:rsidRDefault="00000000" w:rsidRPr="00000000" w14:paraId="0000003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Units and terminology should be standardized (e.g., eGFR instead of “DFG”).</w:t>
            </w:r>
          </w:p>
          <w:p w:rsidR="00000000" w:rsidDel="00000000" w:rsidP="00000000" w:rsidRDefault="00000000" w:rsidRPr="00000000" w14:paraId="0000003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Proteinuria values are inconsistently reported (g/L vs mg/24 h).</w:t>
            </w:r>
          </w:p>
          <w:p w:rsidR="00000000" w:rsidDel="00000000" w:rsidP="00000000" w:rsidRDefault="00000000" w:rsidRPr="00000000" w14:paraId="0000003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Macrocytic anemia and folate deficiency are mentioned but not adequately discussed.</w:t>
            </w:r>
          </w:p>
          <w:p w:rsidR="00000000" w:rsidDel="00000000" w:rsidP="00000000" w:rsidRDefault="00000000" w:rsidRPr="00000000" w14:paraId="0000003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SAAG value is discussed theoretically but not reported for the patient.</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37">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THIS IS ALL THE INFORMATIONS I HAVE</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38">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references are relevant, appropriate, and largely up to date, including recent review articles and classical case reports. The total number of references is sufficient for a case report.</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Minor suggestions:</w:t>
            </w:r>
          </w:p>
          <w:p w:rsidR="00000000" w:rsidDel="00000000" w:rsidP="00000000" w:rsidRDefault="00000000" w:rsidRPr="00000000" w14:paraId="0000003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Ensure uniform formatting of references.</w:t>
            </w:r>
          </w:p>
          <w:p w:rsidR="00000000" w:rsidDel="00000000" w:rsidP="00000000" w:rsidRDefault="00000000" w:rsidRPr="00000000" w14:paraId="0000003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Complete truncated references</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3E">
            <w:pPr>
              <w:rPr>
                <w:rFonts w:ascii="Times New Roman" w:cs="Times New Roman" w:eastAsia="Times New Roman" w:hAnsi="Times New Roman"/>
                <w:b w:val="0"/>
                <w:bCs w:val="0"/>
                <w:vertAlign w:val="baseline"/>
              </w:rPr>
            </w:pPr>
            <w:r w:rsidDel="00000000" w:rsidR="00000000" w:rsidRPr="00000000">
              <w:rPr>
                <w:sz w:val="20"/>
                <w:szCs w:val="20"/>
                <w:rtl w:val="0"/>
              </w:rPr>
              <w:t xml:space="preserve">The references are relevant, appropriate, and largely up to date, including recent review articles and classical case reports</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3F">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40">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41">
            <w:pPr>
              <w:rPr>
                <w:sz w:val="20"/>
                <w:szCs w:val="20"/>
                <w:vertAlign w:val="baseline"/>
              </w:rPr>
            </w:pPr>
            <w:r w:rsidDel="00000000" w:rsidR="00000000" w:rsidRPr="00000000">
              <w:rPr>
                <w:sz w:val="20"/>
                <w:szCs w:val="20"/>
                <w:vertAlign w:val="baseline"/>
                <w:rtl w:val="0"/>
              </w:rPr>
              <w:t xml:space="preserve">The manuscript requires moderate language revision. While the scientific content is understandable, there are frequent grammatical errors, awkward phrasing, and typographical issues that reduce readability.</w:t>
            </w:r>
          </w:p>
          <w:p w:rsidR="00000000" w:rsidDel="00000000" w:rsidP="00000000" w:rsidRDefault="00000000" w:rsidRPr="00000000" w14:paraId="00000042">
            <w:pPr>
              <w:rPr>
                <w:sz w:val="20"/>
                <w:szCs w:val="20"/>
                <w:vertAlign w:val="baseline"/>
              </w:rPr>
            </w:pPr>
            <w:r w:rsidDel="00000000" w:rsidR="00000000" w:rsidRPr="00000000">
              <w:rPr>
                <w:sz w:val="20"/>
                <w:szCs w:val="20"/>
                <w:vertAlign w:val="baseline"/>
                <w:rtl w:val="0"/>
              </w:rPr>
              <w:t xml:space="preserve">Examples:</w:t>
            </w:r>
          </w:p>
          <w:p w:rsidR="00000000" w:rsidDel="00000000" w:rsidP="00000000" w:rsidRDefault="00000000" w:rsidRPr="00000000" w14:paraId="00000043">
            <w:pPr>
              <w:numPr>
                <w:ilvl w:val="0"/>
                <w:numId w:val="4"/>
              </w:numPr>
              <w:ind w:left="720" w:hanging="360"/>
              <w:rPr>
                <w:sz w:val="20"/>
                <w:szCs w:val="20"/>
                <w:vertAlign w:val="baseline"/>
              </w:rPr>
            </w:pPr>
            <w:r w:rsidDel="00000000" w:rsidR="00000000" w:rsidRPr="00000000">
              <w:rPr>
                <w:rFonts w:ascii="Cardo" w:cs="Cardo" w:eastAsia="Cardo" w:hAnsi="Cardo"/>
                <w:sz w:val="20"/>
                <w:szCs w:val="20"/>
                <w:vertAlign w:val="baseline"/>
                <w:rtl w:val="0"/>
              </w:rPr>
              <w:t xml:space="preserve">“tow thirds” → </w:t>
            </w:r>
            <w:r w:rsidDel="00000000" w:rsidR="00000000" w:rsidRPr="00000000">
              <w:rPr>
                <w:i w:val="1"/>
                <w:iCs w:val="1"/>
                <w:sz w:val="20"/>
                <w:szCs w:val="20"/>
                <w:vertAlign w:val="baseline"/>
                <w:rtl w:val="0"/>
              </w:rPr>
              <w:t xml:space="preserve">two-thirds</w:t>
            </w:r>
            <w:r w:rsidDel="00000000" w:rsidR="00000000" w:rsidRPr="00000000">
              <w:rPr>
                <w:rtl w:val="0"/>
              </w:rPr>
            </w:r>
          </w:p>
          <w:p w:rsidR="00000000" w:rsidDel="00000000" w:rsidP="00000000" w:rsidRDefault="00000000" w:rsidRPr="00000000" w14:paraId="00000044">
            <w:pPr>
              <w:numPr>
                <w:ilvl w:val="0"/>
                <w:numId w:val="4"/>
              </w:numPr>
              <w:ind w:left="720" w:hanging="360"/>
              <w:rPr>
                <w:sz w:val="20"/>
                <w:szCs w:val="20"/>
                <w:vertAlign w:val="baseline"/>
              </w:rPr>
            </w:pPr>
            <w:r w:rsidDel="00000000" w:rsidR="00000000" w:rsidRPr="00000000">
              <w:rPr>
                <w:rFonts w:ascii="Cardo" w:cs="Cardo" w:eastAsia="Cardo" w:hAnsi="Cardo"/>
                <w:sz w:val="20"/>
                <w:szCs w:val="20"/>
                <w:vertAlign w:val="baseline"/>
                <w:rtl w:val="0"/>
              </w:rPr>
              <w:t xml:space="preserve">“cutaneouss” → </w:t>
            </w:r>
            <w:r w:rsidDel="00000000" w:rsidR="00000000" w:rsidRPr="00000000">
              <w:rPr>
                <w:i w:val="1"/>
                <w:iCs w:val="1"/>
                <w:sz w:val="20"/>
                <w:szCs w:val="20"/>
                <w:vertAlign w:val="baseline"/>
                <w:rtl w:val="0"/>
              </w:rPr>
              <w:t xml:space="preserve">cutaneous</w:t>
            </w:r>
            <w:r w:rsidDel="00000000" w:rsidR="00000000" w:rsidRPr="00000000">
              <w:rPr>
                <w:rtl w:val="0"/>
              </w:rPr>
            </w:r>
          </w:p>
          <w:p w:rsidR="00000000" w:rsidDel="00000000" w:rsidP="00000000" w:rsidRDefault="00000000" w:rsidRPr="00000000" w14:paraId="00000045">
            <w:pPr>
              <w:numPr>
                <w:ilvl w:val="0"/>
                <w:numId w:val="4"/>
              </w:numPr>
              <w:ind w:left="720" w:hanging="360"/>
              <w:rPr>
                <w:sz w:val="20"/>
                <w:szCs w:val="20"/>
                <w:vertAlign w:val="baseline"/>
              </w:rPr>
            </w:pPr>
            <w:r w:rsidDel="00000000" w:rsidR="00000000" w:rsidRPr="00000000">
              <w:rPr>
                <w:rFonts w:ascii="Cardo" w:cs="Cardo" w:eastAsia="Cardo" w:hAnsi="Cardo"/>
                <w:sz w:val="20"/>
                <w:szCs w:val="20"/>
                <w:vertAlign w:val="baseline"/>
                <w:rtl w:val="0"/>
              </w:rPr>
              <w:t xml:space="preserve">“had be reported” → </w:t>
            </w:r>
            <w:r w:rsidDel="00000000" w:rsidR="00000000" w:rsidRPr="00000000">
              <w:rPr>
                <w:i w:val="1"/>
                <w:iCs w:val="1"/>
                <w:sz w:val="20"/>
                <w:szCs w:val="20"/>
                <w:vertAlign w:val="baseline"/>
                <w:rtl w:val="0"/>
              </w:rPr>
              <w:t xml:space="preserve">have been reported</w:t>
            </w:r>
            <w:r w:rsidDel="00000000" w:rsidR="00000000" w:rsidRPr="00000000">
              <w:rPr>
                <w:rtl w:val="0"/>
              </w:rPr>
            </w:r>
          </w:p>
          <w:p w:rsidR="00000000" w:rsidDel="00000000" w:rsidP="00000000" w:rsidRDefault="00000000" w:rsidRPr="00000000" w14:paraId="00000046">
            <w:pPr>
              <w:rPr>
                <w:sz w:val="20"/>
                <w:szCs w:val="20"/>
                <w:vertAlign w:val="baseline"/>
              </w:rPr>
            </w:pPr>
            <w:r w:rsidDel="00000000" w:rsidR="00000000" w:rsidRPr="00000000">
              <w:rPr>
                <w:sz w:val="20"/>
                <w:szCs w:val="20"/>
                <w:vertAlign w:val="baseline"/>
                <w:rtl w:val="0"/>
              </w:rPr>
              <w:t xml:space="preserve">Professional English editing is strongly recommended before acceptance.</w:t>
            </w:r>
          </w:p>
          <w:p w:rsidR="00000000" w:rsidDel="00000000" w:rsidP="00000000" w:rsidRDefault="00000000" w:rsidRPr="00000000" w14:paraId="00000047">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48">
            <w:pPr>
              <w:spacing w:after="240" w:before="240" w:lineRule="auto"/>
              <w:rPr/>
            </w:pPr>
            <w:r w:rsidDel="00000000" w:rsidR="00000000" w:rsidRPr="00000000">
              <w:rPr>
                <w:rtl w:val="0"/>
              </w:rPr>
              <w:t xml:space="preserve">Clinicians should consider SLE in the differential diagnosis of unexplained ascites, particularly in young women, even in the absence of renal or cutaneous findings.      </w:t>
            </w:r>
          </w:p>
          <w:p w:rsidR="00000000" w:rsidDel="00000000" w:rsidP="00000000" w:rsidRDefault="00000000" w:rsidRPr="00000000" w14:paraId="00000049">
            <w:pPr>
              <w:spacing w:after="240" w:before="240" w:lineRule="auto"/>
              <w:rPr/>
            </w:pPr>
            <w:r w:rsidDel="00000000" w:rsidR="00000000" w:rsidRPr="00000000">
              <w:rPr>
                <w:rtl w:val="0"/>
              </w:rPr>
              <w:t xml:space="preserve"> Ascites may present with or without pain, and may be due to lupus peritonitis. In post mortem study, peritoneal involvement has been found in two-thirds of patients [6]. While, peritoneal serositis with ascites in clinical practice is extremely rare [7].                            </w:t>
            </w:r>
          </w:p>
          <w:p w:rsidR="00000000" w:rsidDel="00000000" w:rsidP="00000000" w:rsidRDefault="00000000" w:rsidRPr="00000000" w14:paraId="0000004A">
            <w:pPr>
              <w:spacing w:after="240" w:before="240" w:lineRule="auto"/>
              <w:rPr/>
            </w:pPr>
            <w:r w:rsidDel="00000000" w:rsidR="00000000" w:rsidRPr="00000000">
              <w:rPr>
                <w:rFonts w:ascii="Arial" w:cs="Arial" w:eastAsia="Arial" w:hAnsi="Arial"/>
                <w:rtl w:val="0"/>
              </w:rPr>
              <w:t xml:space="preserve">However refractory cases continue to be reported.</w:t>
            </w:r>
            <w:r w:rsidDel="00000000" w:rsidR="00000000" w:rsidRPr="00000000">
              <w:rPr>
                <w:rtl w:val="0"/>
              </w:rPr>
            </w:r>
          </w:p>
          <w:p w:rsidR="00000000" w:rsidDel="00000000" w:rsidP="00000000" w:rsidRDefault="00000000" w:rsidRPr="00000000" w14:paraId="0000004B">
            <w:pPr>
              <w:rPr>
                <w:sz w:val="20"/>
                <w:szCs w:val="20"/>
              </w:rPr>
            </w:pP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4C">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4D">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0"/>
                <w:szCs w:val="20"/>
                <w:u w:val="none"/>
                <w:shd w:fill="auto" w:val="clear"/>
                <w:vertAlign w:val="baseline"/>
              </w:rPr>
            </w:pPr>
            <w:r w:rsidDel="00000000" w:rsidR="00000000" w:rsidRPr="00000000">
              <w:rPr>
                <w:rFonts w:ascii="Arimo" w:cs="Arimo" w:eastAsia="Arimo" w:hAnsi="Arimo"/>
                <w:b w:val="0"/>
                <w:bCs w:val="0"/>
                <w:i w:val="0"/>
                <w:iCs w:val="0"/>
                <w:smallCaps w:val="0"/>
                <w:strike w:val="0"/>
                <w:color w:val="000000"/>
                <w:sz w:val="20"/>
                <w:szCs w:val="20"/>
                <w:u w:val="none"/>
                <w:shd w:fill="auto" w:val="clear"/>
                <w:vertAlign w:val="baseline"/>
                <w:rtl w:val="0"/>
              </w:rPr>
              <w:t xml:space="preserve">The case is relevant and educational but would benefit from clearer structure and tighter language.</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0"/>
                <w:szCs w:val="20"/>
                <w:u w:val="none"/>
                <w:shd w:fill="auto" w:val="clear"/>
                <w:vertAlign w:val="baseline"/>
              </w:rPr>
            </w:pPr>
            <w:r w:rsidDel="00000000" w:rsidR="00000000" w:rsidRPr="00000000">
              <w:rPr>
                <w:rFonts w:ascii="Arimo" w:cs="Arimo" w:eastAsia="Arimo" w:hAnsi="Arimo"/>
                <w:b w:val="0"/>
                <w:bCs w:val="0"/>
                <w:i w:val="0"/>
                <w:iCs w:val="0"/>
                <w:smallCaps w:val="0"/>
                <w:strike w:val="0"/>
                <w:color w:val="000000"/>
                <w:sz w:val="20"/>
                <w:szCs w:val="20"/>
                <w:u w:val="none"/>
                <w:shd w:fill="auto" w:val="clear"/>
                <w:vertAlign w:val="baseline"/>
                <w:rtl w:val="0"/>
              </w:rPr>
              <w:t xml:space="preserve">Figures should be referenced more precisely in the text.</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0"/>
                <w:szCs w:val="20"/>
                <w:u w:val="none"/>
                <w:shd w:fill="auto" w:val="clear"/>
                <w:vertAlign w:val="baseline"/>
              </w:rPr>
            </w:pPr>
            <w:r w:rsidDel="00000000" w:rsidR="00000000" w:rsidRPr="00000000">
              <w:rPr>
                <w:rFonts w:ascii="Arimo" w:cs="Arimo" w:eastAsia="Arimo" w:hAnsi="Arimo"/>
                <w:b w:val="0"/>
                <w:bCs w:val="0"/>
                <w:i w:val="0"/>
                <w:iCs w:val="0"/>
                <w:smallCaps w:val="0"/>
                <w:strike w:val="0"/>
                <w:color w:val="000000"/>
                <w:sz w:val="20"/>
                <w:szCs w:val="20"/>
                <w:u w:val="none"/>
                <w:shd w:fill="auto" w:val="clear"/>
                <w:vertAlign w:val="baseline"/>
                <w:rtl w:val="0"/>
              </w:rPr>
              <w:t xml:space="preserve">Ethical approval and informed consent should be explicitly stated, even for a case report.</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52">
            <w:pPr>
              <w:rPr>
                <w:sz w:val="20"/>
                <w:szCs w:val="20"/>
                <w:vertAlign w:val="baseline"/>
              </w:rPr>
            </w:pPr>
            <w:r w:rsidDel="00000000" w:rsidR="00000000" w:rsidRPr="00000000">
              <w:rPr>
                <w:rFonts w:ascii="Arimo" w:cs="Arimo" w:eastAsia="Arimo" w:hAnsi="Arimo"/>
                <w:sz w:val="20"/>
                <w:szCs w:val="20"/>
                <w:rtl w:val="0"/>
              </w:rPr>
              <w:t xml:space="preserve">WE HAVE Ethical approval and informed consent</w:t>
            </w:r>
            <w:r w:rsidDel="00000000" w:rsidR="00000000" w:rsidRPr="00000000">
              <w:rPr>
                <w:rtl w:val="0"/>
              </w:rPr>
            </w:r>
          </w:p>
        </w:tc>
      </w:tr>
    </w:tbl>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8642"/>
        <w:gridCol w:w="5677"/>
        <w:tblGridChange w:id="0">
          <w:tblGrid>
            <w:gridCol w:w="6831"/>
            <w:gridCol w:w="8642"/>
            <w:gridCol w:w="5677"/>
          </w:tblGrid>
        </w:tblGridChange>
      </w:tblGrid>
      <w:tr>
        <w:trPr>
          <w:cantSplit w:val="0"/>
          <w:trHeight w:val="237" w:hRule="atLeast"/>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2:</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521" w:hRule="atLeast"/>
          <w:tblHeader w:val="0"/>
        </w:trPr>
        <w:tc>
          <w:tcPr>
            <w:tcMar>
              <w:top w:w="0.0" w:type="dxa"/>
              <w:left w:w="108.0" w:type="dxa"/>
              <w:bottom w:w="0.0" w:type="dxa"/>
              <w:right w:w="108.0" w:type="dxa"/>
            </w:tcMar>
            <w:vAlign w:val="center"/>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65">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tc>
        <w:tc>
          <w:tcPr>
            <w:vAlign w:val="top"/>
          </w:tcPr>
          <w:p w:rsidR="00000000" w:rsidDel="00000000" w:rsidP="00000000" w:rsidRDefault="00000000" w:rsidRPr="00000000" w14:paraId="00000066">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6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697" w:hRule="atLeast"/>
          <w:tblHeader w:val="0"/>
        </w:trPr>
        <w:tc>
          <w:tcPr>
            <w:tcMar>
              <w:top w:w="0.0" w:type="dxa"/>
              <w:left w:w="108.0" w:type="dxa"/>
              <w:bottom w:w="0.0" w:type="dxa"/>
              <w:right w:w="108.0" w:type="dxa"/>
            </w:tcMar>
            <w:vAlign w:val="center"/>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major ethical concerns are identified. However, the manuscript should explicitly state that written informed consent was obtained from the patient for publication, including imaging.</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6C">
            <w:pPr>
              <w:rPr>
                <w:sz w:val="20"/>
                <w:szCs w:val="20"/>
                <w:vertAlign w:val="baseline"/>
              </w:rPr>
            </w:pPr>
            <w:r w:rsidDel="00000000" w:rsidR="00000000" w:rsidRPr="00000000">
              <w:rPr>
                <w:rtl w:val="0"/>
              </w:rPr>
            </w:r>
          </w:p>
          <w:p w:rsidR="00000000" w:rsidDel="00000000" w:rsidP="00000000" w:rsidRDefault="00000000" w:rsidRPr="00000000" w14:paraId="0000006D">
            <w:pPr>
              <w:rPr>
                <w:sz w:val="20"/>
                <w:szCs w:val="20"/>
              </w:rPr>
            </w:pPr>
            <w:r w:rsidDel="00000000" w:rsidR="00000000" w:rsidRPr="00000000">
              <w:rPr>
                <w:sz w:val="20"/>
                <w:szCs w:val="20"/>
                <w:rtl w:val="0"/>
              </w:rPr>
              <w:t xml:space="preserve">Written informed consent was obtained from the patient for publication, including imaging.</w:t>
            </w:r>
          </w:p>
          <w:p w:rsidR="00000000" w:rsidDel="00000000" w:rsidP="00000000" w:rsidRDefault="00000000" w:rsidRPr="00000000" w14:paraId="0000006E">
            <w:pPr>
              <w:rPr>
                <w:sz w:val="20"/>
                <w:szCs w:val="20"/>
              </w:rPr>
            </w:pPr>
            <w:r w:rsidDel="00000000" w:rsidR="00000000" w:rsidRPr="00000000">
              <w:rPr>
                <w:rtl w:val="0"/>
              </w:rPr>
            </w:r>
          </w:p>
          <w:p w:rsidR="00000000" w:rsidDel="00000000" w:rsidP="00000000" w:rsidRDefault="00000000" w:rsidRPr="00000000" w14:paraId="0000006F">
            <w:pPr>
              <w:rPr>
                <w:sz w:val="20"/>
                <w:szCs w:val="20"/>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7" w:type="default"/>
      <w:footerReference r:id="rId8"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Courier New"/>
  <w:font w:name="Cardo">
    <w:embedRegular w:fontKey="{00000000-0000-0000-0000-000000000000}" r:id="rId1" w:subsetted="0"/>
    <w:embedBold w:fontKey="{00000000-0000-0000-0000-000000000000}" r:id="rId2" w:subsetted="0"/>
    <w:embedItalic w:fontKey="{00000000-0000-0000-0000-000000000000}" r:id="rId3" w:subsetted="0"/>
  </w:font>
  <w:font w:name="Arimo">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Helvetica Neue">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 w:name="Noto Sans Symbols">
    <w:embedRegular w:fontKey="{00000000-0000-0000-0000-000000000000}" r:id="rId12" w:subsetted="0"/>
    <w:embedBold w:fontKey="{00000000-0000-0000-0000-000000000000}" r:id="rId1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2">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73">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I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spacing w:after="60" w:before="240" w:lineRule="auto"/>
    </w:pPr>
    <w:rPr>
      <w:rFonts w:ascii="Calibri" w:cs="Calibri" w:eastAsia="Calibri" w:hAnsi="Calibri"/>
      <w:b w:val="1"/>
      <w:bCs w:val="1"/>
      <w:sz w:val="26"/>
      <w:szCs w:val="26"/>
      <w:vertAlign w:val="baseline"/>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yperlink" Target="https://journalajrrga.com/index.php/AJRRGA" TargetMode="Externa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HelveticaNeue-boldItalic.ttf"/><Relationship Id="rId10" Type="http://schemas.openxmlformats.org/officeDocument/2006/relationships/font" Target="fonts/HelveticaNeue-italic.ttf"/><Relationship Id="rId13" Type="http://schemas.openxmlformats.org/officeDocument/2006/relationships/font" Target="fonts/NotoSansSymbols-bold.ttf"/><Relationship Id="rId12" Type="http://schemas.openxmlformats.org/officeDocument/2006/relationships/font" Target="fonts/NotoSansSymbols-regular.ttf"/><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Arimo-regular.ttf"/><Relationship Id="rId9" Type="http://schemas.openxmlformats.org/officeDocument/2006/relationships/font" Target="fonts/HelveticaNeue-bold.ttf"/><Relationship Id="rId5" Type="http://schemas.openxmlformats.org/officeDocument/2006/relationships/font" Target="fonts/Arimo-bold.ttf"/><Relationship Id="rId6" Type="http://schemas.openxmlformats.org/officeDocument/2006/relationships/font" Target="fonts/Arimo-italic.ttf"/><Relationship Id="rId7" Type="http://schemas.openxmlformats.org/officeDocument/2006/relationships/font" Target="fonts/Arimo-boldItalic.ttf"/><Relationship Id="rId8" Type="http://schemas.openxmlformats.org/officeDocument/2006/relationships/font" Target="fonts/HelveticaNeue-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