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146C8" w:rsidRDefault="00D146C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D146C8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D146C8" w:rsidRDefault="00D146C8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D146C8">
        <w:trPr>
          <w:trHeight w:val="290"/>
        </w:trPr>
        <w:tc>
          <w:tcPr>
            <w:tcW w:w="5167" w:type="dxa"/>
          </w:tcPr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46C8" w:rsidRDefault="00DA7F08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Pediatric Research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D146C8">
        <w:trPr>
          <w:trHeight w:val="290"/>
        </w:trPr>
        <w:tc>
          <w:tcPr>
            <w:tcW w:w="5167" w:type="dxa"/>
          </w:tcPr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Ms_AJPR_153257</w:t>
            </w:r>
          </w:p>
        </w:tc>
      </w:tr>
      <w:tr w:rsidR="00D146C8">
        <w:trPr>
          <w:trHeight w:val="650"/>
        </w:trPr>
        <w:tc>
          <w:tcPr>
            <w:tcW w:w="5167" w:type="dxa"/>
          </w:tcPr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D146C8" w:rsidRDefault="00DA7F08">
            <w:pPr>
              <w:spacing w:before="240" w:after="24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Geroderma</w:t>
            </w:r>
            <w:proofErr w:type="spell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Osteodysplasticum</w:t>
            </w:r>
            <w:proofErr w:type="spell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Associated with Severe Factor V Deficiency in a Pediatric Patient: A Case Report</w:t>
            </w:r>
          </w:p>
        </w:tc>
      </w:tr>
      <w:tr w:rsidR="00D146C8">
        <w:trPr>
          <w:trHeight w:val="332"/>
        </w:trPr>
        <w:tc>
          <w:tcPr>
            <w:tcW w:w="5167" w:type="dxa"/>
          </w:tcPr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 case report</w:t>
            </w:r>
          </w:p>
        </w:tc>
      </w:tr>
    </w:tbl>
    <w:p w:rsidR="00D146C8" w:rsidRDefault="00D146C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D146C8" w:rsidRDefault="00D146C8">
      <w:pPr>
        <w:rPr>
          <w:sz w:val="20"/>
          <w:szCs w:val="20"/>
        </w:rPr>
      </w:pPr>
      <w:bookmarkStart w:id="0" w:name="_heading=h.l5wdhw754wbn" w:colFirst="0" w:colLast="0"/>
      <w:bookmarkStart w:id="1" w:name="_heading=h.zawigf4o5cgh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D146C8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D146C8" w:rsidRDefault="00DA7F0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D146C8" w:rsidRDefault="00D146C8">
            <w:pPr>
              <w:rPr>
                <w:sz w:val="20"/>
                <w:szCs w:val="20"/>
              </w:rPr>
            </w:pPr>
          </w:p>
        </w:tc>
      </w:tr>
      <w:tr w:rsidR="00D146C8">
        <w:tc>
          <w:tcPr>
            <w:tcW w:w="5351" w:type="dxa"/>
          </w:tcPr>
          <w:p w:rsidR="00D146C8" w:rsidRDefault="00D146C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D146C8" w:rsidRDefault="00DA7F0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D146C8" w:rsidRDefault="00D146C8"/>
        </w:tc>
        <w:tc>
          <w:tcPr>
            <w:tcW w:w="6442" w:type="dxa"/>
          </w:tcPr>
          <w:p w:rsidR="00D146C8" w:rsidRDefault="00DA7F08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D146C8" w:rsidRDefault="00D146C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146C8">
        <w:trPr>
          <w:trHeight w:val="1264"/>
        </w:trPr>
        <w:tc>
          <w:tcPr>
            <w:tcW w:w="5351" w:type="dxa"/>
          </w:tcPr>
          <w:p w:rsidR="00D146C8" w:rsidRDefault="00DA7F0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D146C8" w:rsidRDefault="00D146C8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This manuscript is important for the scientific community because it expands the phenotypic spectrum of </w:t>
            </w:r>
            <w:proofErr w:type="spellStart"/>
            <w:r>
              <w:rPr>
                <w:color w:val="000000"/>
                <w:sz w:val="20"/>
                <w:szCs w:val="20"/>
              </w:rPr>
              <w:t>geroderma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osteodysplasticum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(GO) by documenting its association with severe factor V deficiency, a combination that has not been well characterized in t</w:t>
            </w:r>
            <w:r>
              <w:rPr>
                <w:color w:val="000000"/>
                <w:sz w:val="20"/>
                <w:szCs w:val="20"/>
              </w:rPr>
              <w:t>he literature. By integrating detailed clinical, radiologic, and molecular findings, the report underscores the value of comprehensive genomic testing in patients presenting with EDS-like phenotypes and consanguinity. Furthermore, the identification of a s</w:t>
            </w:r>
            <w:r>
              <w:rPr>
                <w:color w:val="000000"/>
                <w:sz w:val="20"/>
                <w:szCs w:val="20"/>
              </w:rPr>
              <w:t xml:space="preserve">evere coagulation disorder in this context highlights the need for systematic hemostatic evaluation in connective tissue disorders, as unrecognized bleeding risk may significantly impact procedural management and </w:t>
            </w:r>
            <w:proofErr w:type="gramStart"/>
            <w:r>
              <w:rPr>
                <w:color w:val="000000"/>
                <w:sz w:val="20"/>
                <w:szCs w:val="20"/>
              </w:rPr>
              <w:t>long term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outcomes. Finally, this case stim</w:t>
            </w:r>
            <w:r>
              <w:rPr>
                <w:color w:val="000000"/>
                <w:sz w:val="20"/>
                <w:szCs w:val="20"/>
              </w:rPr>
              <w:t>ulates discussion regarding potential shared mechanisms involving Golgi trafficking and protein processing, encouraging further research into the interplay between secretory pathway dysfunction and coagulation factor biology.</w:t>
            </w:r>
          </w:p>
        </w:tc>
        <w:tc>
          <w:tcPr>
            <w:tcW w:w="6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D146C8" w:rsidRDefault="00DA7F08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1vg1j6pevn8x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you. We added a 4-senten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ce statement highlighting: (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) the expansion of the GO phenotype with severe factor V deficiency, (ii) the value of genomic testing in EDS-like presentations with consanguinity, (iii) the need for systematic hemostasis screening when mucocutaneous bleeding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is present, and (iv) the practical peri-procedural implications for pediatric care.</w:t>
            </w:r>
          </w:p>
        </w:tc>
      </w:tr>
      <w:tr w:rsidR="00D146C8">
        <w:trPr>
          <w:trHeight w:val="1262"/>
        </w:trPr>
        <w:tc>
          <w:tcPr>
            <w:tcW w:w="5351" w:type="dxa"/>
          </w:tcPr>
          <w:p w:rsidR="00D146C8" w:rsidRDefault="00DA7F0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D146C8" w:rsidRDefault="00DA7F0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D146C8" w:rsidRDefault="00D146C8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D146C8" w:rsidRDefault="00DA7F08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Title is scientifically accurate and clearly reflects the content of the manuscript. However, it is somewhat long and overly detailed for a title. Including terms such as “pathogenic” and “confirmed by” adds technical precision but reduces readability. </w:t>
            </w:r>
          </w:p>
          <w:p w:rsidR="00D146C8" w:rsidRDefault="00DA7F08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Su</w:t>
            </w:r>
            <w:r>
              <w:rPr>
                <w:sz w:val="20"/>
                <w:szCs w:val="20"/>
              </w:rPr>
              <w:t xml:space="preserve">ggested </w:t>
            </w:r>
            <w:proofErr w:type="spellStart"/>
            <w:r>
              <w:t>Geroderma</w:t>
            </w:r>
            <w:proofErr w:type="spellEnd"/>
            <w:r>
              <w:t xml:space="preserve"> </w:t>
            </w:r>
            <w:proofErr w:type="spellStart"/>
            <w:r>
              <w:t>Osteodysplasticum</w:t>
            </w:r>
            <w:proofErr w:type="spellEnd"/>
            <w:r>
              <w:t xml:space="preserve"> Associated with Severe Factor V Deficiency in a Pediatric Patient: A Case Report</w:t>
            </w:r>
          </w:p>
        </w:tc>
        <w:tc>
          <w:tcPr>
            <w:tcW w:w="6442" w:type="dxa"/>
          </w:tcPr>
          <w:p w:rsidR="00D146C8" w:rsidRDefault="00DA7F08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helpful suggestion. We agree that the original title was overly long, and we have revised it accordingly.</w:t>
            </w:r>
          </w:p>
          <w:p w:rsidR="00D146C8" w:rsidRDefault="00DA7F08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i/>
                <w:iCs/>
              </w:rPr>
            </w:pPr>
            <w:bookmarkStart w:id="3" w:name="_heading=h.s3xnul16q2f2" w:colFirst="0" w:colLast="0"/>
            <w:bookmarkEnd w:id="3"/>
            <w:r>
              <w:rPr>
                <w:rFonts w:ascii="Times New Roman" w:eastAsia="Times New Roman" w:hAnsi="Times New Roman" w:cs="Times New Roman"/>
              </w:rPr>
              <w:t xml:space="preserve">Revised title </w:t>
            </w:r>
            <w:r>
              <w:rPr>
                <w:rFonts w:ascii="Times New Roman" w:eastAsia="Times New Roman" w:hAnsi="Times New Roman" w:cs="Times New Roman"/>
              </w:rPr>
              <w:t>(accepted):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i/>
                <w:iCs/>
              </w:rPr>
              <w:t>Geroderma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i/>
                <w:iCs/>
              </w:rPr>
              <w:t>Osteodysplasticum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i/>
                <w:iCs/>
              </w:rPr>
              <w:t xml:space="preserve"> Associated with Severe Factor V Deficiency in a Pediatric Patient: A Case Report.</w:t>
            </w:r>
          </w:p>
        </w:tc>
      </w:tr>
      <w:tr w:rsidR="00D146C8">
        <w:trPr>
          <w:trHeight w:val="1262"/>
        </w:trPr>
        <w:tc>
          <w:tcPr>
            <w:tcW w:w="5351" w:type="dxa"/>
          </w:tcPr>
          <w:p w:rsidR="00D146C8" w:rsidRDefault="00DA7F08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:rsidR="00D146C8" w:rsidRDefault="00D146C8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D146C8" w:rsidRDefault="00DA7F08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abstract is generally comprehensive and scientifically sound. It clearly introduces </w:t>
            </w:r>
            <w:proofErr w:type="spellStart"/>
            <w:r>
              <w:rPr>
                <w:sz w:val="20"/>
                <w:szCs w:val="20"/>
              </w:rPr>
              <w:t>geroderma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</w:t>
            </w:r>
            <w:r>
              <w:rPr>
                <w:sz w:val="20"/>
                <w:szCs w:val="20"/>
              </w:rPr>
              <w:t>steodysplasticum</w:t>
            </w:r>
            <w:proofErr w:type="spellEnd"/>
            <w:r>
              <w:rPr>
                <w:sz w:val="20"/>
                <w:szCs w:val="20"/>
              </w:rPr>
              <w:t xml:space="preserve"> (GO), outlines the molecular basis (GORAB mutation), and highlights the clinically significant finding of severe factor V deficiency. It appropriately conveys the diagnostic and management implications. However, a few refinements could imp</w:t>
            </w:r>
            <w:r>
              <w:rPr>
                <w:sz w:val="20"/>
                <w:szCs w:val="20"/>
              </w:rPr>
              <w:t>rove clarity, focus, and impact.</w:t>
            </w:r>
          </w:p>
        </w:tc>
        <w:tc>
          <w:tcPr>
            <w:tcW w:w="6442" w:type="dxa"/>
          </w:tcPr>
          <w:p w:rsidR="00D146C8" w:rsidRDefault="00D146C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146C8">
        <w:trPr>
          <w:trHeight w:val="704"/>
        </w:trPr>
        <w:tc>
          <w:tcPr>
            <w:tcW w:w="5351" w:type="dxa"/>
          </w:tcPr>
          <w:p w:rsidR="00D146C8" w:rsidRDefault="00DA7F08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The manuscript is scientifically sound overall, and the clinical reasoning is coherent. The diagnosis of </w:t>
            </w:r>
            <w:proofErr w:type="spellStart"/>
            <w:r>
              <w:rPr>
                <w:color w:val="000000"/>
                <w:sz w:val="20"/>
                <w:szCs w:val="20"/>
              </w:rPr>
              <w:t>geroderma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osteodysplasticum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(GO) is appropriately supported by phenotypic findings and molecular confirmation of a homozygous truncating GORAB variant.</w:t>
            </w:r>
            <w:r>
              <w:rPr>
                <w:color w:val="000000"/>
                <w:sz w:val="20"/>
                <w:szCs w:val="20"/>
              </w:rPr>
              <w:t xml:space="preserve"> The description of severe factor V deficiency and its clinical implications is also consistent with current hematologic knowledge. However, several points require clarification to ensure full scientific robustness.</w:t>
            </w:r>
          </w:p>
          <w:p w:rsidR="00D146C8" w:rsidRDefault="00D146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First, the diagnosis of severe factor V</w:t>
            </w:r>
            <w:r>
              <w:rPr>
                <w:color w:val="000000"/>
                <w:sz w:val="20"/>
                <w:szCs w:val="20"/>
              </w:rPr>
              <w:t xml:space="preserve"> deficiency (&lt;1%) is plausible, but the manuscript should explicitly document global coagulation test results (PT, </w:t>
            </w:r>
            <w:proofErr w:type="spellStart"/>
            <w:r>
              <w:rPr>
                <w:color w:val="000000"/>
                <w:sz w:val="20"/>
                <w:szCs w:val="20"/>
              </w:rPr>
              <w:t>aPTT</w:t>
            </w:r>
            <w:proofErr w:type="spellEnd"/>
            <w:r>
              <w:rPr>
                <w:color w:val="000000"/>
                <w:sz w:val="20"/>
                <w:szCs w:val="20"/>
              </w:rPr>
              <w:t>), mixing studies, and if performed. Without these data, the distinction between congenital and acquired factor V deficiency remains inco</w:t>
            </w:r>
            <w:r>
              <w:rPr>
                <w:color w:val="000000"/>
                <w:sz w:val="20"/>
                <w:szCs w:val="20"/>
              </w:rPr>
              <w:t>mplete. If genetic testing of the F5 gene was not performed, this should be acknowledged as a limitation.</w:t>
            </w:r>
          </w:p>
          <w:p w:rsidR="00D146C8" w:rsidRDefault="00D146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Second, while the discussion of GORAB function and Golgi trafficking is scientifically accurate, the manuscript should avoid implying a proven mechan</w:t>
            </w:r>
            <w:r>
              <w:rPr>
                <w:color w:val="000000"/>
                <w:sz w:val="20"/>
                <w:szCs w:val="20"/>
              </w:rPr>
              <w:t>istic link between GORAB dysfunction and factor V deficiency unless supportive evidence exists. Any suggested connection should be clearly presented as hypothetical.</w:t>
            </w:r>
          </w:p>
          <w:p w:rsidR="00D146C8" w:rsidRDefault="00D146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color w:val="000000"/>
                <w:sz w:val="20"/>
                <w:szCs w:val="20"/>
              </w:rPr>
            </w:pPr>
          </w:p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Third, the manuscript would benefit from clearer phenotypic detail (e.g., bone density </w:t>
            </w:r>
            <w:proofErr w:type="gramStart"/>
            <w:r>
              <w:rPr>
                <w:color w:val="000000"/>
                <w:sz w:val="20"/>
                <w:szCs w:val="20"/>
              </w:rPr>
              <w:t>as</w:t>
            </w:r>
            <w:r>
              <w:rPr>
                <w:color w:val="000000"/>
                <w:sz w:val="20"/>
                <w:szCs w:val="20"/>
              </w:rPr>
              <w:t>sessment,  growth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parameters), as comprehensive phenotyping strengthens genotype phenotype correlation.</w:t>
            </w:r>
          </w:p>
          <w:p w:rsidR="00D146C8" w:rsidRDefault="00D146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In summary, the manuscript is scientifically correct in its core conclusions, but it would be strengthened by more complete hemostatic documentation, c</w:t>
            </w:r>
            <w:r>
              <w:rPr>
                <w:color w:val="000000"/>
                <w:sz w:val="20"/>
                <w:szCs w:val="20"/>
              </w:rPr>
              <w:t>learer distinction between established facts and hypotheses, and slightly more detailed clinical characterization.</w:t>
            </w:r>
          </w:p>
          <w:p w:rsidR="00D146C8" w:rsidRDefault="00D146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D146C8" w:rsidRDefault="00DA7F08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de8ccyw4dfqk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We addressed the points raised by: (1) adding the available global coagulation results (PT/INR,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aPTT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) and, when applicable, the mixing study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; (2) clarifying that congenital vs acquired factor V deficiency requires complete hemostasis evaluation and stating this as a limitation if data are unavailable; (3) avoiding causal statements regarding a GORAB–factor V mechanistic link and presenting thi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s only as a hypothesis; and (4) adding/clarifying clinical details (growth parameters and skeletal assessment where available).</w:t>
            </w:r>
          </w:p>
        </w:tc>
      </w:tr>
      <w:tr w:rsidR="00D146C8">
        <w:trPr>
          <w:trHeight w:val="703"/>
        </w:trPr>
        <w:tc>
          <w:tcPr>
            <w:tcW w:w="5351" w:type="dxa"/>
          </w:tcPr>
          <w:p w:rsidR="00D146C8" w:rsidRDefault="00DA7F0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D146C8" w:rsidRDefault="00DA7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>Overall, the current references are relevant but</w:t>
            </w:r>
            <w:r>
              <w:rPr>
                <w:b/>
                <w:bCs/>
                <w:color w:val="000000"/>
              </w:rPr>
              <w:t xml:space="preserve"> </w:t>
            </w:r>
            <w:r>
              <w:rPr>
                <w:color w:val="000000"/>
              </w:rPr>
              <w:t>not fully sufficient or optimally recent</w:t>
            </w:r>
            <w:r>
              <w:rPr>
                <w:b/>
                <w:bCs/>
                <w:color w:val="000000"/>
              </w:rPr>
              <w:t>,</w:t>
            </w:r>
            <w:r>
              <w:rPr>
                <w:color w:val="000000"/>
              </w:rPr>
              <w:t xml:space="preserve"> especially given the rarity of both </w:t>
            </w:r>
            <w:proofErr w:type="spellStart"/>
            <w:r>
              <w:rPr>
                <w:color w:val="000000"/>
              </w:rPr>
              <w:t>geroderma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osteodysplasticum</w:t>
            </w:r>
            <w:proofErr w:type="spellEnd"/>
            <w:r>
              <w:rPr>
                <w:color w:val="000000"/>
              </w:rPr>
              <w:t xml:space="preserve"> (GO) and congenital factor V deficiency.</w:t>
            </w:r>
          </w:p>
        </w:tc>
        <w:tc>
          <w:tcPr>
            <w:tcW w:w="6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D146C8" w:rsidRDefault="00DA7F08">
            <w:pPr>
              <w:pStyle w:val="Heading2"/>
              <w:spacing w:before="240" w:after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5" w:name="_heading=h.cv8mmcrd6wzt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We updated and expanded the reference list by adding recent and relevant sources for both GO and factor V deficiency, including updated rare disease r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esources and recent reviews/guidelines on diagnosis and peri-procedural management.</w:t>
            </w:r>
          </w:p>
        </w:tc>
      </w:tr>
      <w:tr w:rsidR="00D146C8">
        <w:trPr>
          <w:trHeight w:val="386"/>
        </w:trPr>
        <w:tc>
          <w:tcPr>
            <w:tcW w:w="5351" w:type="dxa"/>
          </w:tcPr>
          <w:p w:rsidR="00D146C8" w:rsidRDefault="00DA7F08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D146C8" w:rsidRDefault="00D146C8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D146C8" w:rsidRDefault="00DA7F08">
            <w:pPr>
              <w:rPr>
                <w:sz w:val="20"/>
                <w:szCs w:val="20"/>
              </w:rPr>
            </w:pPr>
            <w:r>
              <w:t>The language of the manuscript is generally clear and understandable, and the scientific content is communicated effectively. The terminology is appropriate for a medical audience, and the overall structure follows scholarly conventions. Therefore, the Eng</w:t>
            </w:r>
            <w:r>
              <w:t xml:space="preserve">lish quality is </w:t>
            </w:r>
            <w:r>
              <w:t>acceptable for submission</w:t>
            </w:r>
            <w:r>
              <w:t xml:space="preserve"> in its current form.</w:t>
            </w:r>
          </w:p>
        </w:tc>
        <w:tc>
          <w:tcPr>
            <w:tcW w:w="6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D146C8" w:rsidRDefault="00DA7F08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 performed a full English-language revision (grammar, style, and scientific wording) to improve readability and consistency throughout the manuscript.</w:t>
            </w:r>
          </w:p>
        </w:tc>
      </w:tr>
      <w:tr w:rsidR="00D146C8">
        <w:trPr>
          <w:trHeight w:val="1178"/>
        </w:trPr>
        <w:tc>
          <w:tcPr>
            <w:tcW w:w="5351" w:type="dxa"/>
          </w:tcPr>
          <w:p w:rsidR="00D146C8" w:rsidRDefault="00DA7F0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D146C8" w:rsidRDefault="00D146C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D146C8" w:rsidRDefault="00D146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D146C8" w:rsidRDefault="00DA7F08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you. All comments have been addressed in the revised manuscript and tracked accordingly.</w:t>
            </w:r>
          </w:p>
        </w:tc>
      </w:tr>
    </w:tbl>
    <w:p w:rsidR="00D146C8" w:rsidRDefault="00D146C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D146C8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46C8" w:rsidRDefault="00DA7F08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bookmarkStart w:id="6" w:name="_heading=h.dvkrrhg0tkqn" w:colFirst="0" w:colLast="0"/>
            <w:bookmarkEnd w:id="6"/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D146C8" w:rsidRDefault="00D146C8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D146C8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46C8" w:rsidRDefault="00D146C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146C8" w:rsidRDefault="00DA7F08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D146C8" w:rsidRDefault="00DA7F08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D146C8" w:rsidRDefault="00D146C8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146C8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46C8" w:rsidRDefault="00DA7F08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D146C8" w:rsidRDefault="00D146C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46C8" w:rsidRDefault="00DA7F08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D146C8" w:rsidRDefault="00D146C8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D146C8" w:rsidRDefault="00D146C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D146C8" w:rsidRDefault="00D146C8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D146C8" w:rsidRDefault="00D146C8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D146C8" w:rsidRDefault="00D146C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D146C8" w:rsidRDefault="00D146C8">
      <w:bookmarkStart w:id="7" w:name="_GoBack"/>
      <w:bookmarkEnd w:id="7"/>
    </w:p>
    <w:sectPr w:rsidR="00D146C8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A7F08" w:rsidRDefault="00DA7F08">
      <w:r>
        <w:separator/>
      </w:r>
    </w:p>
  </w:endnote>
  <w:endnote w:type="continuationSeparator" w:id="0">
    <w:p w:rsidR="00DA7F08" w:rsidRDefault="00DA7F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E9B6B61D-D25D-4EAC-9A29-5E5AD8502466}"/>
    <w:embedBold r:id="rId2" w:fontKey="{BF3BAE6D-62ED-4938-8B21-4874E2440642}"/>
  </w:font>
  <w:font w:name="Arimo">
    <w:charset w:val="00"/>
    <w:family w:val="auto"/>
    <w:pitch w:val="default"/>
    <w:embedBold r:id="rId3" w:fontKey="{20C630BC-55E8-4179-9E22-45C377DB92C5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08F1A842-F1E9-4EC8-A993-32BA4226777D}"/>
    <w:embedBold r:id="rId5" w:fontKey="{7D8A68E6-F564-409D-B8F9-ABB1BB68C137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226FBC59-D71B-410A-A991-4DD635A7CA3E}"/>
  </w:font>
  <w:font w:name="Georgia">
    <w:panose1 w:val="02040502050405020303"/>
    <w:charset w:val="00"/>
    <w:family w:val="auto"/>
    <w:pitch w:val="default"/>
    <w:embedItalic r:id="rId7" w:fontKey="{B28A3E53-8D70-44CD-A226-51B93F052FF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16E7C0D3-D578-42AF-BE6D-2C3146CC06B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146C8" w:rsidRDefault="00DA7F08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A7F08" w:rsidRDefault="00DA7F08">
      <w:r>
        <w:separator/>
      </w:r>
    </w:p>
  </w:footnote>
  <w:footnote w:type="continuationSeparator" w:id="0">
    <w:p w:rsidR="00DA7F08" w:rsidRDefault="00DA7F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146C8" w:rsidRDefault="00D146C8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D146C8" w:rsidRDefault="00DA7F08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46C8"/>
    <w:rsid w:val="007C2F67"/>
    <w:rsid w:val="00D146C8"/>
    <w:rsid w:val="00DA7F08"/>
    <w:rsid w:val="00F84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BAAB11B-F9BA-48BB-B73F-8D6A6D7DC1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pr.com/index.php/AJP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3BrSe2LNj4MNtMhNo4FEjbGnrRg==">CgMxLjAyDmgubDV3ZGh3NzU0d2JuMg5oLnphd2lnZjRvNWNnaDIOaC4xdmcxajZwZXZuOHgyDmguczN4bnVsMTZxMmYyMg5oLmRlOGNjeXc0ZGZxazIOaC5jdjhtbWNyZDZ3enQyDmguZHZrcnJoZzB0a3FuOAByITE4d3gzNHV1dkh5QTdOYXlLU2RRWjhTbGxjd256ME9scA==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1040</Words>
  <Characters>5931</Characters>
  <Application>Microsoft Office Word</Application>
  <DocSecurity>0</DocSecurity>
  <Lines>49</Lines>
  <Paragraphs>13</Paragraphs>
  <ScaleCrop>false</ScaleCrop>
  <Company/>
  <LinksUpToDate>false</LinksUpToDate>
  <CharactersWithSpaces>6958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3</cp:revision>
  <dcterms:created xsi:type="dcterms:W3CDTF">2011-08-01T09:21:00Z</dcterms:created>
  <dcterms:modified xsi:type="dcterms:W3CDTF">2026-02-16T09:06:00Z</dcterms:modified>
</cp:coreProperties>
</file>