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A4C" w:rsidRDefault="00B02A4C">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02A4C">
        <w:trPr>
          <w:trHeight w:val="290"/>
        </w:trPr>
        <w:tc>
          <w:tcPr>
            <w:tcW w:w="5168" w:type="dxa"/>
          </w:tcPr>
          <w:p w:rsidR="00B02A4C" w:rsidRDefault="00563557">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B02A4C" w:rsidRDefault="000B4B71">
            <w:pPr>
              <w:pStyle w:val="TableParagraph"/>
              <w:spacing w:before="26"/>
              <w:rPr>
                <w:rFonts w:ascii="Arial"/>
                <w:b/>
                <w:sz w:val="20"/>
              </w:rPr>
            </w:pPr>
            <w:hyperlink r:id="rId6">
              <w:r w:rsidR="00563557">
                <w:rPr>
                  <w:rFonts w:ascii="Arial"/>
                  <w:b/>
                  <w:color w:val="0000FF"/>
                  <w:sz w:val="20"/>
                  <w:u w:val="single" w:color="0000FF"/>
                </w:rPr>
                <w:t>Asian</w:t>
              </w:r>
              <w:r w:rsidR="00563557">
                <w:rPr>
                  <w:rFonts w:ascii="Arial"/>
                  <w:b/>
                  <w:color w:val="0000FF"/>
                  <w:spacing w:val="-7"/>
                  <w:sz w:val="20"/>
                  <w:u w:val="single" w:color="0000FF"/>
                </w:rPr>
                <w:t xml:space="preserve"> </w:t>
              </w:r>
              <w:r w:rsidR="00563557">
                <w:rPr>
                  <w:rFonts w:ascii="Arial"/>
                  <w:b/>
                  <w:color w:val="0000FF"/>
                  <w:sz w:val="20"/>
                  <w:u w:val="single" w:color="0000FF"/>
                </w:rPr>
                <w:t>Journal</w:t>
              </w:r>
              <w:r w:rsidR="00563557">
                <w:rPr>
                  <w:rFonts w:ascii="Arial"/>
                  <w:b/>
                  <w:color w:val="0000FF"/>
                  <w:spacing w:val="-7"/>
                  <w:sz w:val="20"/>
                  <w:u w:val="single" w:color="0000FF"/>
                </w:rPr>
                <w:t xml:space="preserve"> </w:t>
              </w:r>
              <w:r w:rsidR="00563557">
                <w:rPr>
                  <w:rFonts w:ascii="Arial"/>
                  <w:b/>
                  <w:color w:val="0000FF"/>
                  <w:sz w:val="20"/>
                  <w:u w:val="single" w:color="0000FF"/>
                </w:rPr>
                <w:t>of</w:t>
              </w:r>
              <w:r w:rsidR="00563557">
                <w:rPr>
                  <w:rFonts w:ascii="Arial"/>
                  <w:b/>
                  <w:color w:val="0000FF"/>
                  <w:spacing w:val="-6"/>
                  <w:sz w:val="20"/>
                  <w:u w:val="single" w:color="0000FF"/>
                </w:rPr>
                <w:t xml:space="preserve"> </w:t>
              </w:r>
              <w:r w:rsidR="00563557">
                <w:rPr>
                  <w:rFonts w:ascii="Arial"/>
                  <w:b/>
                  <w:color w:val="0000FF"/>
                  <w:sz w:val="20"/>
                  <w:u w:val="single" w:color="0000FF"/>
                </w:rPr>
                <w:t>Fisheries</w:t>
              </w:r>
              <w:r w:rsidR="00563557">
                <w:rPr>
                  <w:rFonts w:ascii="Arial"/>
                  <w:b/>
                  <w:color w:val="0000FF"/>
                  <w:spacing w:val="-7"/>
                  <w:sz w:val="20"/>
                  <w:u w:val="single" w:color="0000FF"/>
                </w:rPr>
                <w:t xml:space="preserve"> </w:t>
              </w:r>
              <w:r w:rsidR="00563557">
                <w:rPr>
                  <w:rFonts w:ascii="Arial"/>
                  <w:b/>
                  <w:color w:val="0000FF"/>
                  <w:sz w:val="20"/>
                  <w:u w:val="single" w:color="0000FF"/>
                </w:rPr>
                <w:t>and</w:t>
              </w:r>
              <w:r w:rsidR="00563557">
                <w:rPr>
                  <w:rFonts w:ascii="Arial"/>
                  <w:b/>
                  <w:color w:val="0000FF"/>
                  <w:spacing w:val="-3"/>
                  <w:sz w:val="20"/>
                  <w:u w:val="single" w:color="0000FF"/>
                </w:rPr>
                <w:t xml:space="preserve"> </w:t>
              </w:r>
              <w:r w:rsidR="00563557">
                <w:rPr>
                  <w:rFonts w:ascii="Arial"/>
                  <w:b/>
                  <w:color w:val="0000FF"/>
                  <w:sz w:val="20"/>
                  <w:u w:val="single" w:color="0000FF"/>
                </w:rPr>
                <w:t>Aquatic</w:t>
              </w:r>
              <w:r w:rsidR="00563557">
                <w:rPr>
                  <w:rFonts w:ascii="Arial"/>
                  <w:b/>
                  <w:color w:val="0000FF"/>
                  <w:spacing w:val="-4"/>
                  <w:sz w:val="20"/>
                  <w:u w:val="single" w:color="0000FF"/>
                </w:rPr>
                <w:t xml:space="preserve"> </w:t>
              </w:r>
              <w:r w:rsidR="00563557">
                <w:rPr>
                  <w:rFonts w:ascii="Arial"/>
                  <w:b/>
                  <w:color w:val="0000FF"/>
                  <w:spacing w:val="-2"/>
                  <w:sz w:val="20"/>
                  <w:u w:val="single" w:color="0000FF"/>
                </w:rPr>
                <w:t>Research</w:t>
              </w:r>
            </w:hyperlink>
          </w:p>
        </w:tc>
      </w:tr>
      <w:tr w:rsidR="00B02A4C">
        <w:trPr>
          <w:trHeight w:val="290"/>
        </w:trPr>
        <w:tc>
          <w:tcPr>
            <w:tcW w:w="5168" w:type="dxa"/>
          </w:tcPr>
          <w:p w:rsidR="00B02A4C" w:rsidRDefault="00563557">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B02A4C" w:rsidRDefault="00563557">
            <w:pPr>
              <w:pStyle w:val="TableParagraph"/>
              <w:spacing w:before="26"/>
              <w:rPr>
                <w:rFonts w:ascii="Arial"/>
                <w:b/>
                <w:sz w:val="20"/>
              </w:rPr>
            </w:pPr>
            <w:r>
              <w:rPr>
                <w:rFonts w:ascii="Arial"/>
                <w:b/>
                <w:spacing w:val="-2"/>
                <w:sz w:val="20"/>
              </w:rPr>
              <w:t>Ms_AJFAR_151915</w:t>
            </w:r>
          </w:p>
        </w:tc>
      </w:tr>
      <w:tr w:rsidR="00B02A4C">
        <w:trPr>
          <w:trHeight w:val="650"/>
        </w:trPr>
        <w:tc>
          <w:tcPr>
            <w:tcW w:w="5168" w:type="dxa"/>
          </w:tcPr>
          <w:p w:rsidR="00B02A4C" w:rsidRDefault="00563557">
            <w:pPr>
              <w:pStyle w:val="TableParagraph"/>
              <w:spacing w:line="229" w:lineRule="exact"/>
              <w:ind w:left="95"/>
              <w:rPr>
                <w:rFonts w:ascii="Arial"/>
                <w:sz w:val="20"/>
              </w:rPr>
            </w:pPr>
            <w:r>
              <w:rPr>
                <w:rFonts w:ascii="Arial"/>
                <w:sz w:val="20"/>
              </w:rPr>
              <w:t>Title</w:t>
            </w:r>
            <w:r>
              <w:rPr>
                <w:rFonts w:ascii="Arial"/>
                <w:spacing w:val="-6"/>
                <w:sz w:val="20"/>
              </w:rPr>
              <w:t xml:space="preserve"> </w:t>
            </w:r>
            <w:r>
              <w:rPr>
                <w:rFonts w:ascii="Arial"/>
                <w:sz w:val="20"/>
              </w:rPr>
              <w:t>of</w:t>
            </w:r>
            <w:r>
              <w:rPr>
                <w:rFonts w:ascii="Arial"/>
                <w:spacing w:val="-4"/>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70" w:type="dxa"/>
          </w:tcPr>
          <w:p w:rsidR="00B02A4C" w:rsidRDefault="00563557">
            <w:pPr>
              <w:pStyle w:val="TableParagraph"/>
              <w:spacing w:before="206"/>
              <w:rPr>
                <w:rFonts w:ascii="Arial"/>
                <w:b/>
                <w:sz w:val="20"/>
              </w:rPr>
            </w:pPr>
            <w:r>
              <w:rPr>
                <w:rFonts w:ascii="Arial"/>
                <w:b/>
                <w:sz w:val="20"/>
              </w:rPr>
              <w:t>Bioaccumulation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Total</w:t>
            </w:r>
            <w:r>
              <w:rPr>
                <w:rFonts w:ascii="Arial"/>
                <w:b/>
                <w:spacing w:val="-7"/>
                <w:sz w:val="20"/>
              </w:rPr>
              <w:t xml:space="preserve"> </w:t>
            </w:r>
            <w:r>
              <w:rPr>
                <w:rFonts w:ascii="Arial"/>
                <w:b/>
                <w:sz w:val="20"/>
              </w:rPr>
              <w:t>Petroleum</w:t>
            </w:r>
            <w:r>
              <w:rPr>
                <w:rFonts w:ascii="Arial"/>
                <w:b/>
                <w:spacing w:val="-5"/>
                <w:sz w:val="20"/>
              </w:rPr>
              <w:t xml:space="preserve"> </w:t>
            </w:r>
            <w:r>
              <w:rPr>
                <w:rFonts w:ascii="Arial"/>
                <w:b/>
                <w:sz w:val="20"/>
              </w:rPr>
              <w:t>Hydrocarbon</w:t>
            </w:r>
            <w:r>
              <w:rPr>
                <w:rFonts w:ascii="Arial"/>
                <w:b/>
                <w:spacing w:val="-6"/>
                <w:sz w:val="20"/>
              </w:rPr>
              <w:t xml:space="preserve"> </w:t>
            </w:r>
            <w:r>
              <w:rPr>
                <w:rFonts w:ascii="Arial"/>
                <w:b/>
                <w:sz w:val="20"/>
              </w:rPr>
              <w:t>in</w:t>
            </w:r>
            <w:r>
              <w:rPr>
                <w:rFonts w:ascii="Arial"/>
                <w:b/>
                <w:spacing w:val="-6"/>
                <w:sz w:val="20"/>
              </w:rPr>
              <w:t xml:space="preserve"> </w:t>
            </w:r>
            <w:proofErr w:type="spellStart"/>
            <w:r>
              <w:rPr>
                <w:rFonts w:ascii="Arial"/>
                <w:b/>
                <w:sz w:val="20"/>
              </w:rPr>
              <w:t>Tympanotonos</w:t>
            </w:r>
            <w:proofErr w:type="spellEnd"/>
            <w:r>
              <w:rPr>
                <w:rFonts w:ascii="Arial"/>
                <w:b/>
                <w:spacing w:val="-6"/>
                <w:sz w:val="20"/>
              </w:rPr>
              <w:t xml:space="preserve"> </w:t>
            </w:r>
            <w:proofErr w:type="spellStart"/>
            <w:r>
              <w:rPr>
                <w:rFonts w:ascii="Arial"/>
                <w:b/>
                <w:sz w:val="20"/>
              </w:rPr>
              <w:t>fuscatus</w:t>
            </w:r>
            <w:proofErr w:type="spellEnd"/>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Crassostrea</w:t>
            </w:r>
            <w:r>
              <w:rPr>
                <w:rFonts w:ascii="Arial"/>
                <w:b/>
                <w:spacing w:val="-6"/>
                <w:sz w:val="20"/>
              </w:rPr>
              <w:t xml:space="preserve"> </w:t>
            </w:r>
            <w:proofErr w:type="spellStart"/>
            <w:r>
              <w:rPr>
                <w:rFonts w:ascii="Arial"/>
                <w:b/>
                <w:sz w:val="20"/>
              </w:rPr>
              <w:t>gasar</w:t>
            </w:r>
            <w:proofErr w:type="spellEnd"/>
            <w:r>
              <w:rPr>
                <w:rFonts w:ascii="Arial"/>
                <w:b/>
                <w:spacing w:val="-8"/>
                <w:sz w:val="20"/>
              </w:rPr>
              <w:t xml:space="preserve"> </w:t>
            </w:r>
            <w:r>
              <w:rPr>
                <w:rFonts w:ascii="Arial"/>
                <w:b/>
                <w:sz w:val="20"/>
              </w:rPr>
              <w:t>from</w:t>
            </w:r>
            <w:r>
              <w:rPr>
                <w:rFonts w:ascii="Arial"/>
                <w:b/>
                <w:spacing w:val="-6"/>
                <w:sz w:val="20"/>
              </w:rPr>
              <w:t xml:space="preserve"> </w:t>
            </w:r>
            <w:r>
              <w:rPr>
                <w:rFonts w:ascii="Arial"/>
                <w:b/>
                <w:sz w:val="20"/>
              </w:rPr>
              <w:t>the</w:t>
            </w:r>
            <w:r>
              <w:rPr>
                <w:rFonts w:ascii="Arial"/>
                <w:b/>
                <w:spacing w:val="-7"/>
                <w:sz w:val="20"/>
              </w:rPr>
              <w:t xml:space="preserve"> </w:t>
            </w:r>
            <w:r>
              <w:rPr>
                <w:rFonts w:ascii="Arial"/>
                <w:b/>
                <w:sz w:val="20"/>
              </w:rPr>
              <w:t>upper</w:t>
            </w:r>
            <w:r>
              <w:rPr>
                <w:rFonts w:ascii="Arial"/>
                <w:b/>
                <w:spacing w:val="-5"/>
                <w:sz w:val="20"/>
              </w:rPr>
              <w:t xml:space="preserve"> </w:t>
            </w:r>
            <w:r>
              <w:rPr>
                <w:rFonts w:ascii="Arial"/>
                <w:b/>
                <w:sz w:val="20"/>
              </w:rPr>
              <w:t>reaches</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the</w:t>
            </w:r>
            <w:r>
              <w:rPr>
                <w:rFonts w:ascii="Arial"/>
                <w:b/>
                <w:spacing w:val="-6"/>
                <w:sz w:val="20"/>
              </w:rPr>
              <w:t xml:space="preserve"> </w:t>
            </w:r>
            <w:r>
              <w:rPr>
                <w:rFonts w:ascii="Arial"/>
                <w:b/>
                <w:sz w:val="20"/>
              </w:rPr>
              <w:t>Bonny</w:t>
            </w:r>
            <w:r>
              <w:rPr>
                <w:rFonts w:ascii="Arial"/>
                <w:b/>
                <w:spacing w:val="-7"/>
                <w:sz w:val="20"/>
              </w:rPr>
              <w:t xml:space="preserve"> </w:t>
            </w:r>
            <w:r>
              <w:rPr>
                <w:rFonts w:ascii="Arial"/>
                <w:b/>
                <w:spacing w:val="-2"/>
                <w:sz w:val="20"/>
              </w:rPr>
              <w:t>Estuary</w:t>
            </w:r>
          </w:p>
        </w:tc>
      </w:tr>
      <w:tr w:rsidR="00B02A4C">
        <w:trPr>
          <w:trHeight w:val="333"/>
        </w:trPr>
        <w:tc>
          <w:tcPr>
            <w:tcW w:w="5168" w:type="dxa"/>
          </w:tcPr>
          <w:p w:rsidR="00B02A4C" w:rsidRDefault="00563557">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3"/>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B02A4C" w:rsidRDefault="00B02A4C">
            <w:pPr>
              <w:pStyle w:val="TableParagraph"/>
              <w:ind w:left="0"/>
              <w:rPr>
                <w:sz w:val="18"/>
              </w:rPr>
            </w:pPr>
          </w:p>
        </w:tc>
      </w:tr>
    </w:tbl>
    <w:p w:rsidR="00B02A4C" w:rsidRDefault="00B02A4C">
      <w:pPr>
        <w:pStyle w:val="BodyText"/>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02A4C">
        <w:trPr>
          <w:trHeight w:val="453"/>
        </w:trPr>
        <w:tc>
          <w:tcPr>
            <w:tcW w:w="21153" w:type="dxa"/>
            <w:gridSpan w:val="3"/>
            <w:tcBorders>
              <w:top w:val="nil"/>
              <w:left w:val="nil"/>
              <w:right w:val="nil"/>
            </w:tcBorders>
          </w:tcPr>
          <w:p w:rsidR="00B02A4C" w:rsidRDefault="0056355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B02A4C">
        <w:trPr>
          <w:trHeight w:val="964"/>
        </w:trPr>
        <w:tc>
          <w:tcPr>
            <w:tcW w:w="5352" w:type="dxa"/>
          </w:tcPr>
          <w:p w:rsidR="00B02A4C" w:rsidRDefault="00B02A4C">
            <w:pPr>
              <w:pStyle w:val="TableParagraph"/>
              <w:ind w:left="0"/>
              <w:rPr>
                <w:sz w:val="18"/>
              </w:rPr>
            </w:pPr>
          </w:p>
        </w:tc>
        <w:tc>
          <w:tcPr>
            <w:tcW w:w="9356" w:type="dxa"/>
          </w:tcPr>
          <w:p w:rsidR="00B02A4C" w:rsidRDefault="00563557">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B02A4C" w:rsidRDefault="00563557">
            <w:pPr>
              <w:pStyle w:val="TableParagraph"/>
              <w:ind w:left="108" w:right="15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B02A4C" w:rsidRDefault="00563557">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B02A4C">
        <w:trPr>
          <w:trHeight w:val="2071"/>
        </w:trPr>
        <w:tc>
          <w:tcPr>
            <w:tcW w:w="5352" w:type="dxa"/>
          </w:tcPr>
          <w:p w:rsidR="00B02A4C" w:rsidRDefault="00563557">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B02A4C" w:rsidRDefault="00563557">
            <w:pPr>
              <w:pStyle w:val="TableParagraph"/>
              <w:ind w:left="108" w:right="157"/>
              <w:rPr>
                <w:b/>
                <w:sz w:val="20"/>
              </w:rPr>
            </w:pPr>
            <w:r>
              <w:rPr>
                <w:b/>
                <w:sz w:val="20"/>
              </w:rPr>
              <w:t>This manuscript provides valuable insight into the environmental fate and bioaccumulation patterns of total petroleum hydrocarbons in a chronically oil-impacted estuarine system of the Niger Delta. By simultaneously evaluating water, sediment, and two ecologically and economically important benthic species,</w:t>
            </w:r>
            <w:r>
              <w:rPr>
                <w:b/>
                <w:spacing w:val="-4"/>
                <w:sz w:val="20"/>
              </w:rPr>
              <w:t xml:space="preserve"> </w:t>
            </w:r>
            <w:r>
              <w:rPr>
                <w:b/>
                <w:sz w:val="20"/>
              </w:rPr>
              <w:t>the</w:t>
            </w:r>
            <w:r>
              <w:rPr>
                <w:b/>
                <w:spacing w:val="-4"/>
                <w:sz w:val="20"/>
              </w:rPr>
              <w:t xml:space="preserve"> </w:t>
            </w:r>
            <w:r>
              <w:rPr>
                <w:b/>
                <w:sz w:val="20"/>
              </w:rPr>
              <w:t>study</w:t>
            </w:r>
            <w:r>
              <w:rPr>
                <w:b/>
                <w:spacing w:val="-4"/>
                <w:sz w:val="20"/>
              </w:rPr>
              <w:t xml:space="preserve"> </w:t>
            </w:r>
            <w:r>
              <w:rPr>
                <w:b/>
                <w:sz w:val="20"/>
              </w:rPr>
              <w:t>strengthens</w:t>
            </w:r>
            <w:r>
              <w:rPr>
                <w:b/>
                <w:spacing w:val="-5"/>
                <w:sz w:val="20"/>
              </w:rPr>
              <w:t xml:space="preserve"> </w:t>
            </w:r>
            <w:r>
              <w:rPr>
                <w:b/>
                <w:sz w:val="20"/>
              </w:rPr>
              <w:t>the</w:t>
            </w:r>
            <w:r>
              <w:rPr>
                <w:b/>
                <w:spacing w:val="-4"/>
                <w:sz w:val="20"/>
              </w:rPr>
              <w:t xml:space="preserve"> </w:t>
            </w:r>
            <w:r>
              <w:rPr>
                <w:b/>
                <w:sz w:val="20"/>
              </w:rPr>
              <w:t>scientific</w:t>
            </w:r>
            <w:r>
              <w:rPr>
                <w:b/>
                <w:spacing w:val="-4"/>
                <w:sz w:val="20"/>
              </w:rPr>
              <w:t xml:space="preserve"> </w:t>
            </w:r>
            <w:r>
              <w:rPr>
                <w:b/>
                <w:sz w:val="20"/>
              </w:rPr>
              <w:t>understanding</w:t>
            </w:r>
            <w:r>
              <w:rPr>
                <w:b/>
                <w:spacing w:val="-3"/>
                <w:sz w:val="20"/>
              </w:rPr>
              <w:t xml:space="preserve"> </w:t>
            </w:r>
            <w:r>
              <w:rPr>
                <w:b/>
                <w:sz w:val="20"/>
              </w:rPr>
              <w:t>of</w:t>
            </w:r>
            <w:r>
              <w:rPr>
                <w:b/>
                <w:spacing w:val="-4"/>
                <w:sz w:val="20"/>
              </w:rPr>
              <w:t xml:space="preserve"> </w:t>
            </w:r>
            <w:r>
              <w:rPr>
                <w:b/>
                <w:sz w:val="20"/>
              </w:rPr>
              <w:t>matrix-specific</w:t>
            </w:r>
            <w:r>
              <w:rPr>
                <w:b/>
                <w:spacing w:val="-4"/>
                <w:sz w:val="20"/>
              </w:rPr>
              <w:t xml:space="preserve"> </w:t>
            </w:r>
            <w:r>
              <w:rPr>
                <w:b/>
                <w:sz w:val="20"/>
              </w:rPr>
              <w:t>hydrocarbon</w:t>
            </w:r>
            <w:r>
              <w:rPr>
                <w:b/>
                <w:spacing w:val="-5"/>
                <w:sz w:val="20"/>
              </w:rPr>
              <w:t xml:space="preserve"> </w:t>
            </w:r>
            <w:r>
              <w:rPr>
                <w:b/>
                <w:sz w:val="20"/>
              </w:rPr>
              <w:t>partitioning</w:t>
            </w:r>
            <w:r>
              <w:rPr>
                <w:b/>
                <w:spacing w:val="-3"/>
                <w:sz w:val="20"/>
              </w:rPr>
              <w:t xml:space="preserve"> </w:t>
            </w:r>
            <w:r>
              <w:rPr>
                <w:b/>
                <w:sz w:val="20"/>
              </w:rPr>
              <w:t>and species-dependent bioaccumulation. The clear demonstration of sediments and oysters as sensitive indicators of petroleum contamination offers practical relevance for long-term monitoring and risk assessment in coastal ecosystems. Additionally, the findings contribute region-specific baseline data that are essential for environmental management, seafood safety evaluation, and the development of effective</w:t>
            </w:r>
          </w:p>
          <w:p w:rsidR="00B02A4C" w:rsidRDefault="00563557">
            <w:pPr>
              <w:pStyle w:val="TableParagraph"/>
              <w:spacing w:line="211" w:lineRule="exact"/>
              <w:ind w:left="108"/>
              <w:rPr>
                <w:b/>
                <w:sz w:val="20"/>
              </w:rPr>
            </w:pPr>
            <w:r>
              <w:rPr>
                <w:b/>
                <w:sz w:val="20"/>
              </w:rPr>
              <w:t>pollution</w:t>
            </w:r>
            <w:r>
              <w:rPr>
                <w:b/>
                <w:spacing w:val="-6"/>
                <w:sz w:val="20"/>
              </w:rPr>
              <w:t xml:space="preserve"> </w:t>
            </w:r>
            <w:r>
              <w:rPr>
                <w:b/>
                <w:sz w:val="20"/>
              </w:rPr>
              <w:t>mitigation</w:t>
            </w:r>
            <w:r>
              <w:rPr>
                <w:b/>
                <w:spacing w:val="-8"/>
                <w:sz w:val="20"/>
              </w:rPr>
              <w:t xml:space="preserve"> </w:t>
            </w:r>
            <w:r>
              <w:rPr>
                <w:b/>
                <w:sz w:val="20"/>
              </w:rPr>
              <w:t>strategies</w:t>
            </w:r>
            <w:r>
              <w:rPr>
                <w:b/>
                <w:spacing w:val="-8"/>
                <w:sz w:val="20"/>
              </w:rPr>
              <w:t xml:space="preserve"> </w:t>
            </w:r>
            <w:r>
              <w:rPr>
                <w:b/>
                <w:sz w:val="20"/>
              </w:rPr>
              <w:t>in</w:t>
            </w:r>
            <w:r>
              <w:rPr>
                <w:b/>
                <w:spacing w:val="-8"/>
                <w:sz w:val="20"/>
              </w:rPr>
              <w:t xml:space="preserve"> </w:t>
            </w:r>
            <w:r>
              <w:rPr>
                <w:b/>
                <w:sz w:val="20"/>
              </w:rPr>
              <w:t>oil-producing</w:t>
            </w:r>
            <w:r>
              <w:rPr>
                <w:b/>
                <w:spacing w:val="-7"/>
                <w:sz w:val="20"/>
              </w:rPr>
              <w:t xml:space="preserve"> </w:t>
            </w:r>
            <w:r>
              <w:rPr>
                <w:b/>
                <w:spacing w:val="-2"/>
                <w:sz w:val="20"/>
              </w:rPr>
              <w:t>regions.</w:t>
            </w:r>
          </w:p>
        </w:tc>
        <w:tc>
          <w:tcPr>
            <w:tcW w:w="6445" w:type="dxa"/>
          </w:tcPr>
          <w:p w:rsidR="00B02A4C" w:rsidRDefault="00B02A4C">
            <w:pPr>
              <w:pStyle w:val="TableParagraph"/>
              <w:ind w:left="0"/>
              <w:rPr>
                <w:sz w:val="18"/>
              </w:rPr>
            </w:pPr>
          </w:p>
        </w:tc>
      </w:tr>
      <w:tr w:rsidR="00B02A4C">
        <w:trPr>
          <w:trHeight w:val="1262"/>
        </w:trPr>
        <w:tc>
          <w:tcPr>
            <w:tcW w:w="5352" w:type="dxa"/>
          </w:tcPr>
          <w:p w:rsidR="00B02A4C" w:rsidRDefault="00563557">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B02A4C" w:rsidRDefault="00563557">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B02A4C" w:rsidRDefault="00563557">
            <w:pPr>
              <w:pStyle w:val="TableParagraph"/>
              <w:spacing w:line="228" w:lineRule="exact"/>
              <w:ind w:left="468"/>
              <w:rPr>
                <w:b/>
                <w:sz w:val="20"/>
              </w:rPr>
            </w:pPr>
            <w:r>
              <w:rPr>
                <w:b/>
                <w:sz w:val="20"/>
              </w:rPr>
              <w:t>The</w:t>
            </w:r>
            <w:r>
              <w:rPr>
                <w:b/>
                <w:spacing w:val="-4"/>
                <w:sz w:val="20"/>
              </w:rPr>
              <w:t xml:space="preserve"> </w:t>
            </w:r>
            <w:r>
              <w:rPr>
                <w:b/>
                <w:sz w:val="20"/>
              </w:rPr>
              <w:t>current</w:t>
            </w:r>
            <w:r>
              <w:rPr>
                <w:b/>
                <w:spacing w:val="-4"/>
                <w:sz w:val="20"/>
              </w:rPr>
              <w:t xml:space="preserve"> </w:t>
            </w:r>
            <w:r>
              <w:rPr>
                <w:b/>
                <w:sz w:val="20"/>
              </w:rPr>
              <w:t>title</w:t>
            </w:r>
            <w:r>
              <w:rPr>
                <w:b/>
                <w:spacing w:val="-4"/>
                <w:sz w:val="20"/>
              </w:rPr>
              <w:t xml:space="preserve"> </w:t>
            </w:r>
            <w:r>
              <w:rPr>
                <w:b/>
                <w:sz w:val="20"/>
              </w:rPr>
              <w:t>is</w:t>
            </w:r>
            <w:r>
              <w:rPr>
                <w:b/>
                <w:spacing w:val="-1"/>
                <w:sz w:val="20"/>
              </w:rPr>
              <w:t xml:space="preserve"> </w:t>
            </w:r>
            <w:r>
              <w:rPr>
                <w:b/>
                <w:sz w:val="20"/>
              </w:rPr>
              <w:t>suitable</w:t>
            </w:r>
            <w:r>
              <w:rPr>
                <w:b/>
                <w:spacing w:val="-2"/>
                <w:sz w:val="20"/>
              </w:rPr>
              <w:t xml:space="preserve"> </w:t>
            </w:r>
            <w:r>
              <w:rPr>
                <w:b/>
                <w:sz w:val="20"/>
              </w:rPr>
              <w:t>and</w:t>
            </w:r>
            <w:r>
              <w:rPr>
                <w:b/>
                <w:spacing w:val="-5"/>
                <w:sz w:val="20"/>
              </w:rPr>
              <w:t xml:space="preserve"> </w:t>
            </w:r>
            <w:r>
              <w:rPr>
                <w:b/>
                <w:sz w:val="20"/>
              </w:rPr>
              <w:t>accurately</w:t>
            </w:r>
            <w:r>
              <w:rPr>
                <w:b/>
                <w:spacing w:val="-3"/>
                <w:sz w:val="20"/>
              </w:rPr>
              <w:t xml:space="preserve"> </w:t>
            </w:r>
            <w:r>
              <w:rPr>
                <w:b/>
                <w:sz w:val="20"/>
              </w:rPr>
              <w:t>reflects</w:t>
            </w:r>
            <w:r>
              <w:rPr>
                <w:b/>
                <w:spacing w:val="-5"/>
                <w:sz w:val="20"/>
              </w:rPr>
              <w:t xml:space="preserve"> </w:t>
            </w:r>
            <w:r>
              <w:rPr>
                <w:b/>
                <w:sz w:val="20"/>
              </w:rPr>
              <w:t>the</w:t>
            </w:r>
            <w:r>
              <w:rPr>
                <w:b/>
                <w:spacing w:val="-4"/>
                <w:sz w:val="20"/>
              </w:rPr>
              <w:t xml:space="preserve"> </w:t>
            </w:r>
            <w:r>
              <w:rPr>
                <w:b/>
                <w:sz w:val="20"/>
              </w:rPr>
              <w:t>core</w:t>
            </w:r>
            <w:r>
              <w:rPr>
                <w:b/>
                <w:spacing w:val="-3"/>
                <w:sz w:val="20"/>
              </w:rPr>
              <w:t xml:space="preserve"> </w:t>
            </w:r>
            <w:r>
              <w:rPr>
                <w:b/>
                <w:sz w:val="20"/>
              </w:rPr>
              <w:t>focus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study.</w:t>
            </w:r>
          </w:p>
        </w:tc>
        <w:tc>
          <w:tcPr>
            <w:tcW w:w="6445" w:type="dxa"/>
          </w:tcPr>
          <w:p w:rsidR="00B02A4C" w:rsidRDefault="00834756">
            <w:pPr>
              <w:pStyle w:val="TableParagraph"/>
              <w:ind w:left="0"/>
              <w:rPr>
                <w:sz w:val="18"/>
              </w:rPr>
            </w:pPr>
            <w:r>
              <w:rPr>
                <w:sz w:val="18"/>
              </w:rPr>
              <w:t>Ok</w:t>
            </w:r>
          </w:p>
          <w:p w:rsidR="00834756" w:rsidRDefault="00834756">
            <w:pPr>
              <w:pStyle w:val="TableParagraph"/>
              <w:ind w:left="0"/>
              <w:rPr>
                <w:sz w:val="18"/>
              </w:rPr>
            </w:pPr>
          </w:p>
        </w:tc>
      </w:tr>
      <w:tr w:rsidR="00B02A4C">
        <w:trPr>
          <w:trHeight w:val="1261"/>
        </w:trPr>
        <w:tc>
          <w:tcPr>
            <w:tcW w:w="5352" w:type="dxa"/>
          </w:tcPr>
          <w:p w:rsidR="00B02A4C" w:rsidRDefault="00563557">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B02A4C" w:rsidRDefault="00563557">
            <w:pPr>
              <w:pStyle w:val="TableParagraph"/>
              <w:ind w:left="468" w:right="157"/>
              <w:rPr>
                <w:b/>
                <w:sz w:val="20"/>
              </w:rPr>
            </w:pPr>
            <w:r>
              <w:rPr>
                <w:b/>
                <w:sz w:val="20"/>
              </w:rPr>
              <w:t>The</w:t>
            </w:r>
            <w:r>
              <w:rPr>
                <w:b/>
                <w:spacing w:val="-4"/>
                <w:sz w:val="20"/>
              </w:rPr>
              <w:t xml:space="preserve"> </w:t>
            </w:r>
            <w:r>
              <w:rPr>
                <w:b/>
                <w:sz w:val="20"/>
              </w:rPr>
              <w:t>abstract</w:t>
            </w:r>
            <w:r>
              <w:rPr>
                <w:b/>
                <w:spacing w:val="-3"/>
                <w:sz w:val="20"/>
              </w:rPr>
              <w:t xml:space="preserve"> </w:t>
            </w:r>
            <w:r>
              <w:rPr>
                <w:b/>
                <w:sz w:val="20"/>
              </w:rPr>
              <w:t>is</w:t>
            </w:r>
            <w:r>
              <w:rPr>
                <w:b/>
                <w:spacing w:val="-5"/>
                <w:sz w:val="20"/>
              </w:rPr>
              <w:t xml:space="preserve"> </w:t>
            </w:r>
            <w:r>
              <w:rPr>
                <w:b/>
                <w:sz w:val="20"/>
              </w:rPr>
              <w:t>largely</w:t>
            </w:r>
            <w:r>
              <w:rPr>
                <w:b/>
                <w:spacing w:val="-1"/>
                <w:sz w:val="20"/>
              </w:rPr>
              <w:t xml:space="preserve"> </w:t>
            </w:r>
            <w:r>
              <w:rPr>
                <w:b/>
                <w:sz w:val="20"/>
              </w:rPr>
              <w:t>comprehensive,</w:t>
            </w:r>
            <w:r>
              <w:rPr>
                <w:b/>
                <w:spacing w:val="-3"/>
                <w:sz w:val="20"/>
              </w:rPr>
              <w:t xml:space="preserve"> </w:t>
            </w:r>
            <w:r>
              <w:rPr>
                <w:b/>
                <w:sz w:val="20"/>
              </w:rPr>
              <w:t>well-structured,</w:t>
            </w:r>
            <w:r>
              <w:rPr>
                <w:b/>
                <w:spacing w:val="-4"/>
                <w:sz w:val="20"/>
              </w:rPr>
              <w:t xml:space="preserve"> </w:t>
            </w:r>
            <w:r>
              <w:rPr>
                <w:b/>
                <w:sz w:val="20"/>
              </w:rPr>
              <w:t>and</w:t>
            </w:r>
            <w:r>
              <w:rPr>
                <w:b/>
                <w:spacing w:val="-5"/>
                <w:sz w:val="20"/>
              </w:rPr>
              <w:t xml:space="preserve"> </w:t>
            </w:r>
            <w:r>
              <w:rPr>
                <w:b/>
                <w:sz w:val="20"/>
              </w:rPr>
              <w:t>scientifically</w:t>
            </w:r>
            <w:r>
              <w:rPr>
                <w:b/>
                <w:spacing w:val="-4"/>
                <w:sz w:val="20"/>
              </w:rPr>
              <w:t xml:space="preserve"> </w:t>
            </w:r>
            <w:r>
              <w:rPr>
                <w:b/>
                <w:sz w:val="20"/>
              </w:rPr>
              <w:t>sound,</w:t>
            </w:r>
            <w:r>
              <w:rPr>
                <w:b/>
                <w:spacing w:val="-4"/>
                <w:sz w:val="20"/>
              </w:rPr>
              <w:t xml:space="preserve"> </w:t>
            </w:r>
            <w:r>
              <w:rPr>
                <w:b/>
                <w:sz w:val="20"/>
              </w:rPr>
              <w:t>as</w:t>
            </w:r>
            <w:r>
              <w:rPr>
                <w:b/>
                <w:spacing w:val="-5"/>
                <w:sz w:val="20"/>
              </w:rPr>
              <w:t xml:space="preserve"> </w:t>
            </w:r>
            <w:r>
              <w:rPr>
                <w:b/>
                <w:sz w:val="20"/>
              </w:rPr>
              <w:t>it</w:t>
            </w:r>
            <w:r>
              <w:rPr>
                <w:b/>
                <w:spacing w:val="-4"/>
                <w:sz w:val="20"/>
              </w:rPr>
              <w:t xml:space="preserve"> </w:t>
            </w:r>
            <w:r>
              <w:rPr>
                <w:b/>
                <w:sz w:val="20"/>
              </w:rPr>
              <w:t>clearly</w:t>
            </w:r>
            <w:r>
              <w:rPr>
                <w:b/>
                <w:spacing w:val="-3"/>
                <w:sz w:val="20"/>
              </w:rPr>
              <w:t xml:space="preserve"> </w:t>
            </w:r>
            <w:r>
              <w:rPr>
                <w:b/>
                <w:sz w:val="20"/>
              </w:rPr>
              <w:t>states</w:t>
            </w:r>
            <w:r>
              <w:rPr>
                <w:b/>
                <w:spacing w:val="-5"/>
                <w:sz w:val="20"/>
              </w:rPr>
              <w:t xml:space="preserve"> </w:t>
            </w:r>
            <w:r>
              <w:rPr>
                <w:b/>
                <w:sz w:val="20"/>
              </w:rPr>
              <w:t>the study objective, sampling design, analytical approach, key results, and the main conclusion. It effectively summarizes the comparative distribution of TPH across water, sediment, and biota, and highlights the bioindicator relevance of oysters and periwinkles.</w:t>
            </w:r>
          </w:p>
        </w:tc>
        <w:tc>
          <w:tcPr>
            <w:tcW w:w="6445" w:type="dxa"/>
          </w:tcPr>
          <w:p w:rsidR="00B02A4C" w:rsidRDefault="0093668F">
            <w:pPr>
              <w:pStyle w:val="TableParagraph"/>
              <w:ind w:left="0"/>
              <w:rPr>
                <w:sz w:val="18"/>
              </w:rPr>
            </w:pPr>
            <w:r>
              <w:rPr>
                <w:sz w:val="18"/>
              </w:rPr>
              <w:t>Thank you</w:t>
            </w:r>
          </w:p>
        </w:tc>
      </w:tr>
      <w:tr w:rsidR="00B02A4C">
        <w:trPr>
          <w:trHeight w:val="919"/>
        </w:trPr>
        <w:tc>
          <w:tcPr>
            <w:tcW w:w="5352" w:type="dxa"/>
          </w:tcPr>
          <w:p w:rsidR="00B02A4C" w:rsidRDefault="00563557">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B02A4C" w:rsidRDefault="00563557">
            <w:pPr>
              <w:pStyle w:val="TableParagraph"/>
              <w:ind w:left="108"/>
              <w:rPr>
                <w:b/>
                <w:sz w:val="20"/>
              </w:rPr>
            </w:pPr>
            <w:r>
              <w:rPr>
                <w:b/>
                <w:sz w:val="20"/>
              </w:rPr>
              <w:t>Yes, the manuscript is scientifically sound and methodologically correct, and the interpretations are generally</w:t>
            </w:r>
            <w:r>
              <w:rPr>
                <w:b/>
                <w:spacing w:val="-4"/>
                <w:sz w:val="20"/>
              </w:rPr>
              <w:t xml:space="preserve"> </w:t>
            </w:r>
            <w:r>
              <w:rPr>
                <w:b/>
                <w:sz w:val="20"/>
              </w:rPr>
              <w:t>consistent</w:t>
            </w:r>
            <w:r>
              <w:rPr>
                <w:b/>
                <w:spacing w:val="-4"/>
                <w:sz w:val="20"/>
              </w:rPr>
              <w:t xml:space="preserve"> </w:t>
            </w:r>
            <w:r>
              <w:rPr>
                <w:b/>
                <w:sz w:val="20"/>
              </w:rPr>
              <w:t>with</w:t>
            </w:r>
            <w:r>
              <w:rPr>
                <w:b/>
                <w:spacing w:val="-4"/>
                <w:sz w:val="20"/>
              </w:rPr>
              <w:t xml:space="preserve"> </w:t>
            </w:r>
            <w:r>
              <w:rPr>
                <w:b/>
                <w:sz w:val="20"/>
              </w:rPr>
              <w:t>the</w:t>
            </w:r>
            <w:r>
              <w:rPr>
                <w:b/>
                <w:spacing w:val="-4"/>
                <w:sz w:val="20"/>
              </w:rPr>
              <w:t xml:space="preserve"> </w:t>
            </w:r>
            <w:r>
              <w:rPr>
                <w:b/>
                <w:sz w:val="20"/>
              </w:rPr>
              <w:t>data</w:t>
            </w:r>
            <w:r>
              <w:rPr>
                <w:b/>
                <w:spacing w:val="-3"/>
                <w:sz w:val="20"/>
              </w:rPr>
              <w:t xml:space="preserve"> </w:t>
            </w:r>
            <w:r>
              <w:rPr>
                <w:b/>
                <w:sz w:val="20"/>
              </w:rPr>
              <w:t>presented. Minor</w:t>
            </w:r>
            <w:r>
              <w:rPr>
                <w:b/>
                <w:spacing w:val="-4"/>
                <w:sz w:val="20"/>
              </w:rPr>
              <w:t xml:space="preserve"> </w:t>
            </w:r>
            <w:r>
              <w:rPr>
                <w:b/>
                <w:sz w:val="20"/>
              </w:rPr>
              <w:t>issues</w:t>
            </w:r>
            <w:r>
              <w:rPr>
                <w:b/>
                <w:spacing w:val="-4"/>
                <w:sz w:val="20"/>
              </w:rPr>
              <w:t xml:space="preserve"> </w:t>
            </w:r>
            <w:r>
              <w:rPr>
                <w:b/>
                <w:sz w:val="20"/>
              </w:rPr>
              <w:t>are</w:t>
            </w:r>
            <w:r>
              <w:rPr>
                <w:b/>
                <w:spacing w:val="-4"/>
                <w:sz w:val="20"/>
              </w:rPr>
              <w:t xml:space="preserve"> </w:t>
            </w:r>
            <w:r>
              <w:rPr>
                <w:b/>
                <w:sz w:val="20"/>
              </w:rPr>
              <w:t>largely</w:t>
            </w:r>
            <w:r>
              <w:rPr>
                <w:b/>
                <w:spacing w:val="-3"/>
                <w:sz w:val="20"/>
              </w:rPr>
              <w:t xml:space="preserve"> </w:t>
            </w:r>
            <w:r>
              <w:rPr>
                <w:b/>
                <w:sz w:val="20"/>
              </w:rPr>
              <w:t>editorial</w:t>
            </w:r>
            <w:r>
              <w:rPr>
                <w:b/>
                <w:spacing w:val="-6"/>
                <w:sz w:val="20"/>
              </w:rPr>
              <w:t xml:space="preserve"> </w:t>
            </w:r>
            <w:r>
              <w:rPr>
                <w:b/>
                <w:sz w:val="20"/>
              </w:rPr>
              <w:t>or</w:t>
            </w:r>
            <w:r>
              <w:rPr>
                <w:b/>
                <w:spacing w:val="-4"/>
                <w:sz w:val="20"/>
              </w:rPr>
              <w:t xml:space="preserve"> </w:t>
            </w:r>
            <w:r>
              <w:rPr>
                <w:b/>
                <w:sz w:val="20"/>
              </w:rPr>
              <w:t>clarificatory</w:t>
            </w:r>
            <w:r>
              <w:rPr>
                <w:b/>
                <w:spacing w:val="-3"/>
                <w:sz w:val="20"/>
              </w:rPr>
              <w:t xml:space="preserve"> </w:t>
            </w:r>
            <w:r>
              <w:rPr>
                <w:b/>
                <w:sz w:val="20"/>
              </w:rPr>
              <w:t>rather</w:t>
            </w:r>
            <w:r>
              <w:rPr>
                <w:b/>
                <w:spacing w:val="-4"/>
                <w:sz w:val="20"/>
              </w:rPr>
              <w:t xml:space="preserve"> </w:t>
            </w:r>
            <w:r>
              <w:rPr>
                <w:b/>
                <w:sz w:val="20"/>
              </w:rPr>
              <w:t>than scientific, such as clearer justification for organism selection, minor inconsistencies in species mention in</w:t>
            </w:r>
          </w:p>
          <w:p w:rsidR="00B02A4C" w:rsidRDefault="00563557">
            <w:pPr>
              <w:pStyle w:val="TableParagraph"/>
              <w:spacing w:line="210" w:lineRule="exact"/>
              <w:ind w:left="108"/>
              <w:rPr>
                <w:b/>
                <w:sz w:val="20"/>
              </w:rPr>
            </w:pPr>
            <w:r>
              <w:rPr>
                <w:b/>
                <w:sz w:val="20"/>
              </w:rPr>
              <w:t>the</w:t>
            </w:r>
            <w:r>
              <w:rPr>
                <w:b/>
                <w:spacing w:val="-5"/>
                <w:sz w:val="20"/>
              </w:rPr>
              <w:t xml:space="preserve"> </w:t>
            </w:r>
            <w:r>
              <w:rPr>
                <w:b/>
                <w:sz w:val="20"/>
              </w:rPr>
              <w:t>methods,</w:t>
            </w:r>
            <w:r>
              <w:rPr>
                <w:b/>
                <w:spacing w:val="-6"/>
                <w:sz w:val="20"/>
              </w:rPr>
              <w:t xml:space="preserve"> </w:t>
            </w:r>
            <w:r>
              <w:rPr>
                <w:b/>
                <w:sz w:val="20"/>
              </w:rPr>
              <w:t>and</w:t>
            </w:r>
            <w:r>
              <w:rPr>
                <w:b/>
                <w:spacing w:val="-7"/>
                <w:sz w:val="20"/>
              </w:rPr>
              <w:t xml:space="preserve"> </w:t>
            </w:r>
            <w:r>
              <w:rPr>
                <w:b/>
                <w:sz w:val="20"/>
              </w:rPr>
              <w:t>improved</w:t>
            </w:r>
            <w:r>
              <w:rPr>
                <w:b/>
                <w:spacing w:val="-6"/>
                <w:sz w:val="20"/>
              </w:rPr>
              <w:t xml:space="preserve"> </w:t>
            </w:r>
            <w:r>
              <w:rPr>
                <w:b/>
                <w:sz w:val="20"/>
              </w:rPr>
              <w:t>precision</w:t>
            </w:r>
            <w:r>
              <w:rPr>
                <w:b/>
                <w:spacing w:val="-7"/>
                <w:sz w:val="20"/>
              </w:rPr>
              <w:t xml:space="preserve"> </w:t>
            </w:r>
            <w:r>
              <w:rPr>
                <w:b/>
                <w:sz w:val="20"/>
              </w:rPr>
              <w:t>in</w:t>
            </w:r>
            <w:r>
              <w:rPr>
                <w:b/>
                <w:spacing w:val="-4"/>
                <w:sz w:val="20"/>
              </w:rPr>
              <w:t xml:space="preserve"> </w:t>
            </w:r>
            <w:r>
              <w:rPr>
                <w:b/>
                <w:sz w:val="20"/>
              </w:rPr>
              <w:t>statistical</w:t>
            </w:r>
            <w:r>
              <w:rPr>
                <w:b/>
                <w:spacing w:val="-7"/>
                <w:sz w:val="20"/>
              </w:rPr>
              <w:t xml:space="preserve"> </w:t>
            </w:r>
            <w:r>
              <w:rPr>
                <w:b/>
                <w:spacing w:val="-2"/>
                <w:sz w:val="20"/>
              </w:rPr>
              <w:t>reporting.</w:t>
            </w:r>
          </w:p>
        </w:tc>
        <w:tc>
          <w:tcPr>
            <w:tcW w:w="6445" w:type="dxa"/>
          </w:tcPr>
          <w:p w:rsidR="00B02A4C" w:rsidRDefault="005349D8">
            <w:pPr>
              <w:pStyle w:val="TableParagraph"/>
              <w:ind w:left="0"/>
              <w:rPr>
                <w:sz w:val="18"/>
              </w:rPr>
            </w:pPr>
            <w:r>
              <w:rPr>
                <w:sz w:val="18"/>
              </w:rPr>
              <w:t>Correction done</w:t>
            </w:r>
            <w:bookmarkStart w:id="0" w:name="_GoBack"/>
            <w:bookmarkEnd w:id="0"/>
          </w:p>
        </w:tc>
      </w:tr>
      <w:tr w:rsidR="00B02A4C">
        <w:trPr>
          <w:trHeight w:val="705"/>
        </w:trPr>
        <w:tc>
          <w:tcPr>
            <w:tcW w:w="5352" w:type="dxa"/>
          </w:tcPr>
          <w:p w:rsidR="00B02A4C" w:rsidRDefault="00563557">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4"/>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p>
          <w:p w:rsidR="00B02A4C" w:rsidRDefault="00563557">
            <w:pPr>
              <w:pStyle w:val="TableParagraph"/>
              <w:spacing w:line="225" w:lineRule="exact"/>
              <w:ind w:left="467"/>
              <w:rPr>
                <w:b/>
                <w:sz w:val="20"/>
              </w:rPr>
            </w:pPr>
            <w:r>
              <w:rPr>
                <w:b/>
                <w:sz w:val="20"/>
              </w:rPr>
              <w:t>them</w:t>
            </w:r>
            <w:r>
              <w:rPr>
                <w:b/>
                <w:spacing w:val="-5"/>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review</w:t>
            </w:r>
            <w:r>
              <w:rPr>
                <w:b/>
                <w:spacing w:val="-1"/>
                <w:sz w:val="20"/>
              </w:rPr>
              <w:t xml:space="preserve"> </w:t>
            </w:r>
            <w:r>
              <w:rPr>
                <w:b/>
                <w:spacing w:val="-4"/>
                <w:sz w:val="20"/>
              </w:rPr>
              <w:t>form.</w:t>
            </w:r>
          </w:p>
        </w:tc>
        <w:tc>
          <w:tcPr>
            <w:tcW w:w="9356" w:type="dxa"/>
          </w:tcPr>
          <w:p w:rsidR="00B02A4C" w:rsidRDefault="00563557">
            <w:pPr>
              <w:pStyle w:val="TableParagraph"/>
              <w:ind w:left="108" w:right="159"/>
              <w:rPr>
                <w:b/>
                <w:sz w:val="20"/>
              </w:rPr>
            </w:pPr>
            <w:r>
              <w:rPr>
                <w:b/>
                <w:sz w:val="20"/>
              </w:rPr>
              <w:t>The referenced literature appears relevant and foundational; however, I recommend including more recent</w:t>
            </w:r>
            <w:r>
              <w:rPr>
                <w:b/>
                <w:spacing w:val="-3"/>
                <w:sz w:val="20"/>
              </w:rPr>
              <w:t xml:space="preserve"> </w:t>
            </w:r>
            <w:r>
              <w:rPr>
                <w:b/>
                <w:sz w:val="20"/>
              </w:rPr>
              <w:t>(2023–2025)</w:t>
            </w:r>
            <w:r>
              <w:rPr>
                <w:b/>
                <w:spacing w:val="-3"/>
                <w:sz w:val="20"/>
              </w:rPr>
              <w:t xml:space="preserve"> </w:t>
            </w:r>
            <w:r>
              <w:rPr>
                <w:b/>
                <w:sz w:val="20"/>
              </w:rPr>
              <w:t>studies</w:t>
            </w:r>
            <w:r>
              <w:rPr>
                <w:b/>
                <w:spacing w:val="-4"/>
                <w:sz w:val="20"/>
              </w:rPr>
              <w:t xml:space="preserve"> </w:t>
            </w:r>
            <w:r>
              <w:rPr>
                <w:b/>
                <w:sz w:val="20"/>
              </w:rPr>
              <w:t>on</w:t>
            </w:r>
            <w:r>
              <w:rPr>
                <w:b/>
                <w:spacing w:val="-4"/>
                <w:sz w:val="20"/>
              </w:rPr>
              <w:t xml:space="preserve"> </w:t>
            </w:r>
            <w:r>
              <w:rPr>
                <w:b/>
                <w:sz w:val="20"/>
              </w:rPr>
              <w:t>TPH</w:t>
            </w:r>
            <w:r>
              <w:rPr>
                <w:b/>
                <w:spacing w:val="-2"/>
                <w:sz w:val="20"/>
              </w:rPr>
              <w:t xml:space="preserve"> </w:t>
            </w:r>
            <w:r>
              <w:rPr>
                <w:b/>
                <w:sz w:val="20"/>
              </w:rPr>
              <w:t>pollution</w:t>
            </w:r>
            <w:r>
              <w:rPr>
                <w:b/>
                <w:spacing w:val="-4"/>
                <w:sz w:val="20"/>
              </w:rPr>
              <w:t xml:space="preserve"> </w:t>
            </w:r>
            <w:r>
              <w:rPr>
                <w:b/>
                <w:sz w:val="20"/>
              </w:rPr>
              <w:t>and</w:t>
            </w:r>
            <w:r>
              <w:rPr>
                <w:b/>
                <w:spacing w:val="-4"/>
                <w:sz w:val="20"/>
              </w:rPr>
              <w:t xml:space="preserve"> </w:t>
            </w:r>
            <w:r>
              <w:rPr>
                <w:b/>
                <w:sz w:val="20"/>
              </w:rPr>
              <w:t>bioaccumulation,</w:t>
            </w:r>
            <w:r>
              <w:rPr>
                <w:b/>
                <w:spacing w:val="-3"/>
                <w:sz w:val="20"/>
              </w:rPr>
              <w:t xml:space="preserve"> </w:t>
            </w:r>
            <w:r>
              <w:rPr>
                <w:b/>
                <w:sz w:val="20"/>
              </w:rPr>
              <w:t>especially</w:t>
            </w:r>
            <w:r>
              <w:rPr>
                <w:b/>
                <w:spacing w:val="-3"/>
                <w:sz w:val="20"/>
              </w:rPr>
              <w:t xml:space="preserve"> </w:t>
            </w:r>
            <w:r>
              <w:rPr>
                <w:b/>
                <w:sz w:val="20"/>
              </w:rPr>
              <w:t>those</w:t>
            </w:r>
            <w:r>
              <w:rPr>
                <w:b/>
                <w:spacing w:val="-3"/>
                <w:sz w:val="20"/>
              </w:rPr>
              <w:t xml:space="preserve"> </w:t>
            </w:r>
            <w:proofErr w:type="gramStart"/>
            <w:r>
              <w:rPr>
                <w:b/>
                <w:sz w:val="20"/>
              </w:rPr>
              <w:t>focused</w:t>
            </w:r>
            <w:r>
              <w:rPr>
                <w:b/>
                <w:spacing w:val="-3"/>
                <w:sz w:val="20"/>
              </w:rPr>
              <w:t xml:space="preserve"> </w:t>
            </w:r>
            <w:r>
              <w:rPr>
                <w:b/>
                <w:sz w:val="20"/>
              </w:rPr>
              <w:t>on</w:t>
            </w:r>
            <w:proofErr w:type="gramEnd"/>
            <w:r>
              <w:rPr>
                <w:b/>
                <w:spacing w:val="-4"/>
                <w:sz w:val="20"/>
              </w:rPr>
              <w:t xml:space="preserve"> </w:t>
            </w:r>
            <w:r>
              <w:rPr>
                <w:b/>
                <w:sz w:val="20"/>
              </w:rPr>
              <w:t>Niger</w:t>
            </w:r>
            <w:r>
              <w:rPr>
                <w:b/>
                <w:spacing w:val="-3"/>
                <w:sz w:val="20"/>
              </w:rPr>
              <w:t xml:space="preserve"> </w:t>
            </w:r>
            <w:r>
              <w:rPr>
                <w:b/>
                <w:sz w:val="20"/>
              </w:rPr>
              <w:t>Delta</w:t>
            </w:r>
          </w:p>
          <w:p w:rsidR="00B02A4C" w:rsidRDefault="00563557">
            <w:pPr>
              <w:pStyle w:val="TableParagraph"/>
              <w:spacing w:line="225" w:lineRule="exact"/>
              <w:ind w:left="108"/>
              <w:rPr>
                <w:b/>
                <w:sz w:val="20"/>
              </w:rPr>
            </w:pPr>
            <w:r>
              <w:rPr>
                <w:b/>
                <w:sz w:val="20"/>
              </w:rPr>
              <w:t>conditions</w:t>
            </w:r>
            <w:r>
              <w:rPr>
                <w:b/>
                <w:spacing w:val="-9"/>
                <w:sz w:val="20"/>
              </w:rPr>
              <w:t xml:space="preserve"> </w:t>
            </w:r>
            <w:r>
              <w:rPr>
                <w:b/>
                <w:sz w:val="20"/>
              </w:rPr>
              <w:t>and</w:t>
            </w:r>
            <w:r>
              <w:rPr>
                <w:b/>
                <w:spacing w:val="-6"/>
                <w:sz w:val="20"/>
              </w:rPr>
              <w:t xml:space="preserve"> </w:t>
            </w:r>
            <w:r>
              <w:rPr>
                <w:b/>
                <w:sz w:val="20"/>
              </w:rPr>
              <w:t>similar</w:t>
            </w:r>
            <w:r>
              <w:rPr>
                <w:b/>
                <w:spacing w:val="-6"/>
                <w:sz w:val="20"/>
              </w:rPr>
              <w:t xml:space="preserve"> </w:t>
            </w:r>
            <w:r>
              <w:rPr>
                <w:b/>
                <w:sz w:val="20"/>
              </w:rPr>
              <w:t>estuarine</w:t>
            </w:r>
            <w:r>
              <w:rPr>
                <w:b/>
                <w:spacing w:val="-5"/>
                <w:sz w:val="20"/>
              </w:rPr>
              <w:t xml:space="preserve"> </w:t>
            </w:r>
            <w:r>
              <w:rPr>
                <w:b/>
                <w:sz w:val="20"/>
              </w:rPr>
              <w:t>bivalve</w:t>
            </w:r>
            <w:r>
              <w:rPr>
                <w:b/>
                <w:spacing w:val="-5"/>
                <w:sz w:val="20"/>
              </w:rPr>
              <w:t xml:space="preserve"> </w:t>
            </w:r>
            <w:r>
              <w:rPr>
                <w:b/>
                <w:spacing w:val="-2"/>
                <w:sz w:val="20"/>
              </w:rPr>
              <w:t>systems.</w:t>
            </w:r>
          </w:p>
        </w:tc>
        <w:tc>
          <w:tcPr>
            <w:tcW w:w="6445" w:type="dxa"/>
          </w:tcPr>
          <w:p w:rsidR="00B02A4C" w:rsidRDefault="00B02A4C">
            <w:pPr>
              <w:pStyle w:val="TableParagraph"/>
              <w:ind w:left="0"/>
              <w:rPr>
                <w:sz w:val="18"/>
              </w:rPr>
            </w:pPr>
          </w:p>
        </w:tc>
      </w:tr>
      <w:tr w:rsidR="00B02A4C">
        <w:trPr>
          <w:trHeight w:val="688"/>
        </w:trPr>
        <w:tc>
          <w:tcPr>
            <w:tcW w:w="5352" w:type="dxa"/>
          </w:tcPr>
          <w:p w:rsidR="00B02A4C" w:rsidRDefault="00563557">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B02A4C" w:rsidRDefault="00563557">
            <w:pPr>
              <w:pStyle w:val="TableParagraph"/>
              <w:ind w:left="108"/>
              <w:rPr>
                <w:b/>
                <w:sz w:val="20"/>
              </w:rPr>
            </w:pPr>
            <w:r>
              <w:rPr>
                <w:b/>
                <w:sz w:val="20"/>
              </w:rPr>
              <w:t>The</w:t>
            </w:r>
            <w:r>
              <w:rPr>
                <w:b/>
                <w:spacing w:val="-4"/>
                <w:sz w:val="20"/>
              </w:rPr>
              <w:t xml:space="preserve"> </w:t>
            </w:r>
            <w:r>
              <w:rPr>
                <w:b/>
                <w:sz w:val="20"/>
              </w:rPr>
              <w:t>language</w:t>
            </w:r>
            <w:r>
              <w:rPr>
                <w:b/>
                <w:spacing w:val="-4"/>
                <w:sz w:val="20"/>
              </w:rPr>
              <w:t xml:space="preserve"> </w:t>
            </w:r>
            <w:r>
              <w:rPr>
                <w:b/>
                <w:sz w:val="20"/>
              </w:rPr>
              <w:t>and</w:t>
            </w:r>
            <w:r>
              <w:rPr>
                <w:b/>
                <w:spacing w:val="-5"/>
                <w:sz w:val="20"/>
              </w:rPr>
              <w:t xml:space="preserve"> </w:t>
            </w:r>
            <w:r>
              <w:rPr>
                <w:b/>
                <w:sz w:val="20"/>
              </w:rPr>
              <w:t>overall</w:t>
            </w:r>
            <w:r>
              <w:rPr>
                <w:b/>
                <w:spacing w:val="-5"/>
                <w:sz w:val="20"/>
              </w:rPr>
              <w:t xml:space="preserve"> </w:t>
            </w:r>
            <w:r>
              <w:rPr>
                <w:b/>
                <w:sz w:val="20"/>
              </w:rPr>
              <w:t>English</w:t>
            </w:r>
            <w:r>
              <w:rPr>
                <w:b/>
                <w:spacing w:val="-1"/>
                <w:sz w:val="20"/>
              </w:rPr>
              <w:t xml:space="preserve"> </w:t>
            </w:r>
            <w:r>
              <w:rPr>
                <w:b/>
                <w:sz w:val="20"/>
              </w:rPr>
              <w:t>quality</w:t>
            </w:r>
            <w:r>
              <w:rPr>
                <w:b/>
                <w:spacing w:val="-3"/>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manuscript</w:t>
            </w:r>
            <w:r>
              <w:rPr>
                <w:b/>
                <w:spacing w:val="-4"/>
                <w:sz w:val="20"/>
              </w:rPr>
              <w:t xml:space="preserve"> </w:t>
            </w:r>
            <w:r>
              <w:rPr>
                <w:b/>
                <w:sz w:val="20"/>
              </w:rPr>
              <w:t>are</w:t>
            </w:r>
            <w:r>
              <w:rPr>
                <w:b/>
                <w:spacing w:val="-4"/>
                <w:sz w:val="20"/>
              </w:rPr>
              <w:t xml:space="preserve"> </w:t>
            </w:r>
            <w:r>
              <w:rPr>
                <w:b/>
                <w:sz w:val="20"/>
              </w:rPr>
              <w:t>generally</w:t>
            </w:r>
            <w:r>
              <w:rPr>
                <w:b/>
                <w:spacing w:val="-4"/>
                <w:sz w:val="20"/>
              </w:rPr>
              <w:t xml:space="preserve"> </w:t>
            </w:r>
            <w:r>
              <w:rPr>
                <w:b/>
                <w:sz w:val="20"/>
              </w:rPr>
              <w:t>suitable</w:t>
            </w:r>
            <w:r>
              <w:rPr>
                <w:b/>
                <w:spacing w:val="-5"/>
                <w:sz w:val="20"/>
              </w:rPr>
              <w:t xml:space="preserve"> </w:t>
            </w:r>
            <w:r>
              <w:rPr>
                <w:b/>
                <w:sz w:val="20"/>
              </w:rPr>
              <w:t>for</w:t>
            </w:r>
            <w:r>
              <w:rPr>
                <w:b/>
                <w:spacing w:val="-6"/>
                <w:sz w:val="20"/>
              </w:rPr>
              <w:t xml:space="preserve"> </w:t>
            </w:r>
            <w:r>
              <w:rPr>
                <w:b/>
                <w:sz w:val="20"/>
              </w:rPr>
              <w:t>scholarly communication, and the scientific arguments are clearly conveyed.</w:t>
            </w:r>
          </w:p>
        </w:tc>
        <w:tc>
          <w:tcPr>
            <w:tcW w:w="6445" w:type="dxa"/>
          </w:tcPr>
          <w:p w:rsidR="00B02A4C" w:rsidRDefault="00B02A4C">
            <w:pPr>
              <w:pStyle w:val="TableParagraph"/>
              <w:ind w:left="0"/>
              <w:rPr>
                <w:sz w:val="18"/>
              </w:rPr>
            </w:pPr>
          </w:p>
        </w:tc>
      </w:tr>
      <w:tr w:rsidR="00B02A4C">
        <w:trPr>
          <w:trHeight w:val="1177"/>
        </w:trPr>
        <w:tc>
          <w:tcPr>
            <w:tcW w:w="5352" w:type="dxa"/>
          </w:tcPr>
          <w:p w:rsidR="00B02A4C" w:rsidRDefault="00563557">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B02A4C" w:rsidRDefault="00563557">
            <w:pPr>
              <w:pStyle w:val="TableParagraph"/>
              <w:spacing w:line="228" w:lineRule="exact"/>
              <w:ind w:left="108"/>
              <w:rPr>
                <w:b/>
                <w:sz w:val="20"/>
              </w:rPr>
            </w:pPr>
            <w:r>
              <w:rPr>
                <w:b/>
                <w:spacing w:val="-4"/>
                <w:sz w:val="20"/>
              </w:rPr>
              <w:t>None</w:t>
            </w:r>
          </w:p>
        </w:tc>
        <w:tc>
          <w:tcPr>
            <w:tcW w:w="6445" w:type="dxa"/>
          </w:tcPr>
          <w:p w:rsidR="00B02A4C" w:rsidRDefault="00B02A4C">
            <w:pPr>
              <w:pStyle w:val="TableParagraph"/>
              <w:ind w:left="0"/>
              <w:rPr>
                <w:sz w:val="18"/>
              </w:rPr>
            </w:pPr>
          </w:p>
        </w:tc>
      </w:tr>
    </w:tbl>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rPr>
          <w:b w:val="0"/>
        </w:rPr>
      </w:pPr>
    </w:p>
    <w:p w:rsidR="00B02A4C" w:rsidRDefault="00B02A4C">
      <w:pPr>
        <w:pStyle w:val="BodyText"/>
        <w:spacing w:before="7"/>
        <w:rPr>
          <w:b w:val="0"/>
        </w:rPr>
      </w:pPr>
    </w:p>
    <w:p w:rsidR="00B02A4C" w:rsidRDefault="00563557">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B02A4C" w:rsidRDefault="00563557">
      <w:pPr>
        <w:pStyle w:val="BodyText"/>
        <w:spacing w:before="2"/>
        <w:rPr>
          <w:sz w:val="18"/>
        </w:rPr>
      </w:pPr>
      <w:r>
        <w:rPr>
          <w:noProof/>
          <w:sz w:val="18"/>
        </w:rPr>
        <mc:AlternateContent>
          <mc:Choice Requires="wps">
            <w:drawing>
              <wp:anchor distT="0" distB="0" distL="0" distR="0" simplePos="0" relativeHeight="487587840" behindDoc="1" locked="0" layoutInCell="1" allowOverlap="1">
                <wp:simplePos x="0" y="0"/>
                <wp:positionH relativeFrom="page">
                  <wp:posOffset>836675</wp:posOffset>
                </wp:positionH>
                <wp:positionV relativeFrom="paragraph">
                  <wp:posOffset>147943</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EF8A93" id="Graphic 6" o:spid="_x0000_s1026" style="position:absolute;margin-left:65.9pt;margin-top:11.6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" path="m13441680,l,,,6095r13441680,l13441680,xe" fillcolor="black" stroked="f">
                <v:path arrowok="t"/>
                <w10:wrap type="topAndBottom" anchorx="page"/>
              </v:shape>
            </w:pict>
          </mc:Fallback>
        </mc:AlternateContent>
      </w:r>
    </w:p>
    <w:p w:rsidR="00B02A4C" w:rsidRDefault="00B02A4C">
      <w:pPr>
        <w:pStyle w:val="BodyText"/>
        <w:rPr>
          <w:sz w:val="18"/>
        </w:rPr>
        <w:sectPr w:rsidR="00B02A4C">
          <w:headerReference w:type="default" r:id="rId7"/>
          <w:footerReference w:type="default" r:id="rId8"/>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B02A4C">
        <w:trPr>
          <w:trHeight w:val="935"/>
        </w:trPr>
        <w:tc>
          <w:tcPr>
            <w:tcW w:w="6831" w:type="dxa"/>
          </w:tcPr>
          <w:p w:rsidR="00B02A4C" w:rsidRDefault="00B02A4C">
            <w:pPr>
              <w:pStyle w:val="TableParagraph"/>
              <w:ind w:left="0"/>
              <w:rPr>
                <w:sz w:val="18"/>
              </w:rPr>
            </w:pPr>
          </w:p>
        </w:tc>
        <w:tc>
          <w:tcPr>
            <w:tcW w:w="8643" w:type="dxa"/>
          </w:tcPr>
          <w:p w:rsidR="00B02A4C" w:rsidRDefault="00563557">
            <w:pPr>
              <w:pStyle w:val="TableParagraph"/>
              <w:spacing w:line="228" w:lineRule="exact"/>
              <w:ind w:left="108"/>
              <w:rPr>
                <w:b/>
                <w:sz w:val="20"/>
              </w:rPr>
            </w:pPr>
            <w:r>
              <w:rPr>
                <w:b/>
                <w:sz w:val="20"/>
              </w:rPr>
              <w:t>Reviewer’s</w:t>
            </w:r>
            <w:r>
              <w:rPr>
                <w:b/>
                <w:spacing w:val="-7"/>
                <w:sz w:val="20"/>
              </w:rPr>
              <w:t xml:space="preserve"> </w:t>
            </w:r>
            <w:r>
              <w:rPr>
                <w:b/>
                <w:spacing w:val="-2"/>
                <w:sz w:val="20"/>
              </w:rPr>
              <w:t>comment</w:t>
            </w:r>
          </w:p>
        </w:tc>
        <w:tc>
          <w:tcPr>
            <w:tcW w:w="5678" w:type="dxa"/>
          </w:tcPr>
          <w:p w:rsidR="00B02A4C" w:rsidRDefault="00563557">
            <w:pPr>
              <w:pStyle w:val="TableParagraph"/>
              <w:spacing w:line="254" w:lineRule="auto"/>
              <w:ind w:left="5" w:right="7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B02A4C">
        <w:trPr>
          <w:trHeight w:val="921"/>
        </w:trPr>
        <w:tc>
          <w:tcPr>
            <w:tcW w:w="6831" w:type="dxa"/>
          </w:tcPr>
          <w:p w:rsidR="00B02A4C" w:rsidRDefault="00563557">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rsidR="00B02A4C" w:rsidRDefault="00563557">
            <w:pPr>
              <w:pStyle w:val="TableParagraph"/>
              <w:spacing w:before="108"/>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rsidR="00B02A4C" w:rsidRDefault="00B02A4C">
            <w:pPr>
              <w:pStyle w:val="TableParagraph"/>
              <w:spacing w:before="1"/>
              <w:ind w:left="0"/>
              <w:rPr>
                <w:b/>
                <w:sz w:val="20"/>
              </w:rPr>
            </w:pPr>
          </w:p>
          <w:p w:rsidR="00B02A4C" w:rsidRDefault="00563557">
            <w:pPr>
              <w:pStyle w:val="TableParagraph"/>
              <w:ind w:left="108"/>
              <w:rPr>
                <w:sz w:val="20"/>
              </w:rPr>
            </w:pPr>
            <w:r>
              <w:rPr>
                <w:spacing w:val="-5"/>
                <w:sz w:val="20"/>
              </w:rPr>
              <w:t>No</w:t>
            </w:r>
          </w:p>
        </w:tc>
        <w:tc>
          <w:tcPr>
            <w:tcW w:w="5678" w:type="dxa"/>
          </w:tcPr>
          <w:p w:rsidR="00B02A4C" w:rsidRDefault="00B02A4C">
            <w:pPr>
              <w:pStyle w:val="TableParagraph"/>
              <w:ind w:left="0"/>
              <w:rPr>
                <w:sz w:val="18"/>
              </w:rPr>
            </w:pPr>
          </w:p>
        </w:tc>
      </w:tr>
    </w:tbl>
    <w:p w:rsidR="00563557" w:rsidRDefault="00563557"/>
    <w:sectPr w:rsidR="00563557">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B71" w:rsidRDefault="000B4B71">
      <w:r>
        <w:separator/>
      </w:r>
    </w:p>
  </w:endnote>
  <w:endnote w:type="continuationSeparator" w:id="0">
    <w:p w:rsidR="000B4B71" w:rsidRDefault="000B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A4C" w:rsidRDefault="00563557">
    <w:pPr>
      <w:pStyle w:val="BodyText"/>
      <w:spacing w:line="14" w:lineRule="auto"/>
      <w:rPr>
        <w:b w:val="0"/>
      </w:rPr>
    </w:pPr>
    <w:r>
      <w:rPr>
        <w:b w:val="0"/>
        <w:noProof/>
      </w:rPr>
      <mc:AlternateContent>
        <mc:Choice Requires="wps">
          <w:drawing>
            <wp:anchor distT="0" distB="0" distL="0" distR="0" simplePos="0" relativeHeight="487408128"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B02A4C" w:rsidRDefault="0056355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B02A4C" w:rsidRDefault="00563557">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B02A4C" w:rsidRDefault="0056355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B02A4C" w:rsidRDefault="00563557">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B02A4C" w:rsidRDefault="0056355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B02A4C" w:rsidRDefault="00563557">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B02A4C" w:rsidRDefault="0056355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B02A4C" w:rsidRDefault="00563557">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B71" w:rsidRDefault="000B4B71">
      <w:r>
        <w:separator/>
      </w:r>
    </w:p>
  </w:footnote>
  <w:footnote w:type="continuationSeparator" w:id="0">
    <w:p w:rsidR="000B4B71" w:rsidRDefault="000B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A4C" w:rsidRDefault="00563557">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02A4C" w:rsidRDefault="0056355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B02A4C" w:rsidRDefault="00563557">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02A4C"/>
    <w:rsid w:val="00013356"/>
    <w:rsid w:val="000B4B71"/>
    <w:rsid w:val="001F5494"/>
    <w:rsid w:val="00221C55"/>
    <w:rsid w:val="005349D8"/>
    <w:rsid w:val="00563557"/>
    <w:rsid w:val="006A6AE8"/>
    <w:rsid w:val="00834756"/>
    <w:rsid w:val="0093668F"/>
    <w:rsid w:val="00B02A4C"/>
    <w:rsid w:val="00C66FA3"/>
    <w:rsid w:val="00E25443"/>
    <w:rsid w:val="00F04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47C21"/>
  <w15:docId w15:val="{8A2E4431-ABB3-4A36-9AC5-834ED35E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A6A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far.com/index.php/AJFA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552</Words>
  <Characters>3152</Characters>
  <Application>Microsoft Office Word</Application>
  <DocSecurity>0</DocSecurity>
  <Lines>26</Lines>
  <Paragraphs>7</Paragraphs>
  <ScaleCrop>false</ScaleCrop>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10</cp:revision>
  <dcterms:created xsi:type="dcterms:W3CDTF">2026-01-22T06:18:00Z</dcterms:created>
  <dcterms:modified xsi:type="dcterms:W3CDTF">2026-02-06T05:58:00Z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Microsoft® Word 2016</vt:lpwstr>
  </property>
  <property fmtid="{D5CDD505-2E9C-101B-9397-08002B2CF9AE}" pid="4" name="LastSaved">
    <vt:filetime>2026-01-22T00:00:00Z</vt:filetime>
  </property>
  <property fmtid="{D5CDD505-2E9C-101B-9397-08002B2CF9AE}" pid="5" name="Producer">
    <vt:lpwstr>3-Heights(TM) PDF Security Shell 4.8.25.2 (http://www.pdf-tools.com)</vt:lpwstr>
  </property>
</Properties>
</file>