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000000" w14:paraId="10887390" w14:textId="77777777">
        <w:trPr>
          <w:trHeight w:val="290"/>
        </w:trPr>
        <w:tc>
          <w:tcPr>
            <w:tcW w:w="5000" w:type="pct"/>
            <w:gridSpan w:val="2"/>
            <w:tcBorders>
              <w:top w:val="nil"/>
              <w:left w:val="nil"/>
              <w:right w:val="nil"/>
            </w:tcBorders>
          </w:tcPr>
          <w:p w14:paraId="41024E73" w14:textId="77777777" w:rsidR="00A57F67" w:rsidRDefault="00A57F67">
            <w:pPr>
              <w:pStyle w:val="Heading2"/>
              <w:jc w:val="left"/>
              <w:rPr>
                <w:rFonts w:ascii="Arial" w:hAnsi="Arial" w:cs="Arial"/>
                <w:b w:val="0"/>
                <w:bCs w:val="0"/>
                <w:sz w:val="28"/>
                <w:szCs w:val="28"/>
                <w:lang w:val="en-GB"/>
              </w:rPr>
            </w:pPr>
          </w:p>
        </w:tc>
      </w:tr>
      <w:tr w:rsidR="00000000" w14:paraId="35BDFB2E" w14:textId="77777777">
        <w:trPr>
          <w:trHeight w:val="290"/>
        </w:trPr>
        <w:tc>
          <w:tcPr>
            <w:tcW w:w="1234" w:type="pct"/>
          </w:tcPr>
          <w:p w14:paraId="5DC6105C" w14:textId="77777777" w:rsidR="00A57F67" w:rsidRDefault="00A57F67">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126E8A58" w14:textId="77777777" w:rsidR="00A57F67" w:rsidRDefault="00A57F67">
            <w:pPr>
              <w:rPr>
                <w:rFonts w:ascii="Arial" w:hAnsi="Arial" w:cs="Arial"/>
                <w:b/>
                <w:bCs/>
                <w:color w:val="0000FF"/>
                <w:sz w:val="20"/>
                <w:szCs w:val="20"/>
              </w:rPr>
            </w:pPr>
            <w:hyperlink r:id="rId8" w:history="1">
              <w:r>
                <w:rPr>
                  <w:rStyle w:val="Hyperlink"/>
                  <w:rFonts w:ascii="Arial" w:hAnsi="Arial" w:cs="Arial"/>
                  <w:b/>
                  <w:bCs/>
                  <w:sz w:val="20"/>
                  <w:szCs w:val="20"/>
                </w:rPr>
                <w:t xml:space="preserve">Asian Journal of Dental Sciences </w:t>
              </w:r>
            </w:hyperlink>
            <w:r>
              <w:rPr>
                <w:rFonts w:ascii="Arial" w:hAnsi="Arial" w:cs="Arial"/>
                <w:b/>
                <w:bCs/>
                <w:color w:val="0000FF"/>
                <w:sz w:val="20"/>
                <w:szCs w:val="20"/>
              </w:rPr>
              <w:t xml:space="preserve"> </w:t>
            </w:r>
          </w:p>
        </w:tc>
      </w:tr>
      <w:tr w:rsidR="00000000" w14:paraId="68437B0C" w14:textId="77777777">
        <w:trPr>
          <w:trHeight w:val="290"/>
        </w:trPr>
        <w:tc>
          <w:tcPr>
            <w:tcW w:w="1234" w:type="pct"/>
          </w:tcPr>
          <w:p w14:paraId="5459E9CD" w14:textId="77777777" w:rsidR="00A57F67" w:rsidRDefault="00A57F67">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186B525D" w14:textId="77777777" w:rsidR="00A57F67" w:rsidRDefault="00A57F67">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Ms_AJDS_152726</w:t>
            </w:r>
          </w:p>
        </w:tc>
      </w:tr>
      <w:tr w:rsidR="00000000" w14:paraId="1DED5B4C" w14:textId="77777777">
        <w:trPr>
          <w:trHeight w:val="650"/>
        </w:trPr>
        <w:tc>
          <w:tcPr>
            <w:tcW w:w="1234" w:type="pct"/>
          </w:tcPr>
          <w:p w14:paraId="7FD45D36" w14:textId="77777777" w:rsidR="00A57F67" w:rsidRDefault="00A57F67">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1108E95D" w14:textId="77777777" w:rsidR="00A57F67" w:rsidRDefault="00A57F67">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Soft Tissue Calcifications in the Orofacial Region - A Review</w:t>
            </w:r>
          </w:p>
        </w:tc>
      </w:tr>
      <w:tr w:rsidR="00000000" w14:paraId="45349069" w14:textId="77777777">
        <w:trPr>
          <w:trHeight w:val="332"/>
        </w:trPr>
        <w:tc>
          <w:tcPr>
            <w:tcW w:w="1234" w:type="pct"/>
          </w:tcPr>
          <w:p w14:paraId="35D4232A" w14:textId="77777777" w:rsidR="00A57F67" w:rsidRDefault="00A57F67">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2655D0B6" w14:textId="77777777" w:rsidR="00A57F67" w:rsidRDefault="00A57F67">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Minireview Article</w:t>
            </w:r>
          </w:p>
        </w:tc>
      </w:tr>
    </w:tbl>
    <w:p w14:paraId="0C94F220" w14:textId="77777777" w:rsidR="00A57F67" w:rsidRDefault="00A57F67">
      <w:pPr>
        <w:pStyle w:val="BodyText"/>
        <w:rPr>
          <w:rFonts w:ascii="Arial" w:hAnsi="Arial" w:cs="Arial"/>
          <w:b/>
          <w:bCs/>
          <w:sz w:val="20"/>
          <w:szCs w:val="20"/>
          <w:u w:val="single"/>
          <w:lang w:val="en-GB"/>
        </w:rPr>
      </w:pPr>
    </w:p>
    <w:p w14:paraId="49197145" w14:textId="77777777" w:rsidR="00A57F67" w:rsidRDefault="00A57F67">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000000" w14:paraId="5DB4BF35" w14:textId="77777777">
        <w:tc>
          <w:tcPr>
            <w:tcW w:w="5000" w:type="pct"/>
            <w:gridSpan w:val="3"/>
            <w:tcBorders>
              <w:top w:val="nil"/>
              <w:left w:val="nil"/>
              <w:right w:val="nil"/>
            </w:tcBorders>
            <w:noWrap/>
          </w:tcPr>
          <w:p w14:paraId="701B2E05" w14:textId="77777777" w:rsidR="00A57F67" w:rsidRDefault="00A57F67">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5DC15A5E" w14:textId="77777777" w:rsidR="00A57F67" w:rsidRDefault="00A57F67">
            <w:pPr>
              <w:rPr>
                <w:sz w:val="20"/>
                <w:szCs w:val="20"/>
                <w:lang w:val="en-GB"/>
              </w:rPr>
            </w:pPr>
          </w:p>
        </w:tc>
      </w:tr>
      <w:tr w:rsidR="00000000" w14:paraId="2BC0D18A" w14:textId="77777777">
        <w:tc>
          <w:tcPr>
            <w:tcW w:w="1265" w:type="pct"/>
            <w:noWrap/>
          </w:tcPr>
          <w:p w14:paraId="7A184624" w14:textId="77777777" w:rsidR="00A57F67" w:rsidRDefault="00A57F67">
            <w:pPr>
              <w:pStyle w:val="Heading2"/>
              <w:jc w:val="left"/>
              <w:rPr>
                <w:rFonts w:ascii="Times New Roman" w:hAnsi="Times New Roman"/>
                <w:lang w:val="en-GB"/>
              </w:rPr>
            </w:pPr>
          </w:p>
        </w:tc>
        <w:tc>
          <w:tcPr>
            <w:tcW w:w="2212" w:type="pct"/>
          </w:tcPr>
          <w:p w14:paraId="1047D6E1" w14:textId="77777777" w:rsidR="00A57F67" w:rsidRDefault="00A57F67">
            <w:pPr>
              <w:pStyle w:val="Heading2"/>
              <w:jc w:val="left"/>
              <w:rPr>
                <w:rFonts w:ascii="Times New Roman" w:hAnsi="Times New Roman"/>
                <w:lang w:val="en-GB"/>
              </w:rPr>
            </w:pPr>
            <w:r>
              <w:rPr>
                <w:rFonts w:ascii="Times New Roman" w:hAnsi="Times New Roman"/>
                <w:lang w:val="en-GB"/>
              </w:rPr>
              <w:t>Reviewer’s comment</w:t>
            </w:r>
          </w:p>
          <w:p w14:paraId="2F0B3CB2" w14:textId="77777777" w:rsidR="00A57F67" w:rsidRDefault="00A57F67">
            <w:pPr>
              <w:rPr>
                <w:b/>
                <w:bCs/>
                <w:sz w:val="20"/>
                <w:szCs w:val="20"/>
              </w:rPr>
            </w:pPr>
          </w:p>
          <w:p w14:paraId="5D245307" w14:textId="77777777" w:rsidR="00A57F67" w:rsidRDefault="00A57F67">
            <w:pPr>
              <w:rPr>
                <w:lang w:val="en-GB"/>
              </w:rPr>
            </w:pPr>
          </w:p>
        </w:tc>
        <w:tc>
          <w:tcPr>
            <w:tcW w:w="1523" w:type="pct"/>
          </w:tcPr>
          <w:p w14:paraId="55920FA1" w14:textId="77777777" w:rsidR="00A57F67" w:rsidRDefault="00A57F67">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F6E7664" w14:textId="77777777" w:rsidR="00A57F67" w:rsidRDefault="00A57F67">
            <w:pPr>
              <w:pStyle w:val="Heading2"/>
              <w:jc w:val="left"/>
              <w:rPr>
                <w:rFonts w:ascii="Times New Roman" w:hAnsi="Times New Roman"/>
                <w:b w:val="0"/>
                <w:lang w:val="en-GB"/>
              </w:rPr>
            </w:pPr>
          </w:p>
        </w:tc>
      </w:tr>
      <w:tr w:rsidR="00000000" w14:paraId="1FE2C824" w14:textId="77777777">
        <w:trPr>
          <w:trHeight w:val="1264"/>
        </w:trPr>
        <w:tc>
          <w:tcPr>
            <w:tcW w:w="1265" w:type="pct"/>
            <w:noWrap/>
          </w:tcPr>
          <w:p w14:paraId="1F337499" w14:textId="77777777" w:rsidR="00A57F67" w:rsidRDefault="00A57F67">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140CE6C7" w14:textId="77777777" w:rsidR="00A57F67" w:rsidRDefault="00A57F67">
            <w:pPr>
              <w:ind w:left="360"/>
              <w:rPr>
                <w:rFonts w:eastAsia="MS Mincho"/>
                <w:b/>
                <w:bCs/>
                <w:sz w:val="20"/>
                <w:szCs w:val="20"/>
                <w:lang w:val="en-GB"/>
              </w:rPr>
            </w:pPr>
          </w:p>
        </w:tc>
        <w:tc>
          <w:tcPr>
            <w:tcW w:w="2212" w:type="pct"/>
          </w:tcPr>
          <w:p w14:paraId="4DFE27ED" w14:textId="77777777" w:rsidR="00A57F67" w:rsidRDefault="00A57F67">
            <w:pPr>
              <w:pStyle w:val="ListParagraph"/>
              <w:ind w:left="0"/>
              <w:rPr>
                <w:b/>
                <w:bCs/>
                <w:sz w:val="20"/>
                <w:szCs w:val="20"/>
              </w:rPr>
            </w:pPr>
            <w:r>
              <w:rPr>
                <w:b/>
                <w:bCs/>
                <w:sz w:val="20"/>
                <w:szCs w:val="20"/>
              </w:rPr>
              <w:t>This manuscript provides a crucial and systematic synthesis of knowledge on soft tissue calcifications in the orofacial region, a common yet diagnostically challenging radiographic finding. By clearly categorizing these entities and detailing their radiographic signatures, it serves as an essential diagnostic guide for clinicians and radiologists, helping to distinguish incidental benign findings from indicators of serious local or systemic pathology. Furthermore, it underscores the critical role of routine</w:t>
            </w:r>
            <w:r>
              <w:rPr>
                <w:b/>
                <w:bCs/>
                <w:sz w:val="20"/>
                <w:szCs w:val="20"/>
              </w:rPr>
              <w:t xml:space="preserve"> dental imaging not just in oral health, but as a potential window to broader patient health, thereby promoting interdisciplinary vigilance and improving patient management outcomes.</w:t>
            </w:r>
          </w:p>
        </w:tc>
        <w:tc>
          <w:tcPr>
            <w:tcW w:w="1523" w:type="pct"/>
          </w:tcPr>
          <w:p w14:paraId="1AF59CD3" w14:textId="77777777" w:rsidR="005F3847" w:rsidRDefault="005F3847">
            <w:pPr>
              <w:pStyle w:val="NormalWeb"/>
              <w:rPr>
                <w:color w:val="000000"/>
              </w:rPr>
            </w:pPr>
            <w:r>
              <w:rPr>
                <w:color w:val="000000"/>
              </w:rPr>
              <w:t>We thank the reviewer for this valuable suggestion. As recommended, we have expanded the section highlighting the importance of the manuscript for the scientific community. The revised text now clearly emphasizes the diagnostic relevance of soft tissue calcifications in the orofacial region, their clinical implications, and their role in identifying potential systemic conditions. This addition strengthens the academic and clinical significance of the review.</w:t>
            </w:r>
          </w:p>
          <w:p w14:paraId="2A4E7B74" w14:textId="77777777" w:rsidR="00A57F67" w:rsidRDefault="00A57F67">
            <w:pPr>
              <w:pStyle w:val="Heading2"/>
              <w:jc w:val="left"/>
              <w:rPr>
                <w:rFonts w:ascii="Times New Roman" w:hAnsi="Times New Roman"/>
                <w:b w:val="0"/>
                <w:lang w:val="en-GB"/>
              </w:rPr>
            </w:pPr>
          </w:p>
        </w:tc>
      </w:tr>
      <w:tr w:rsidR="00000000" w14:paraId="2F9DE2F0" w14:textId="77777777">
        <w:trPr>
          <w:trHeight w:val="1262"/>
        </w:trPr>
        <w:tc>
          <w:tcPr>
            <w:tcW w:w="1265" w:type="pct"/>
            <w:noWrap/>
          </w:tcPr>
          <w:p w14:paraId="5A24CCFE" w14:textId="77777777" w:rsidR="00A57F67" w:rsidRDefault="00A57F67">
            <w:pPr>
              <w:ind w:left="360"/>
              <w:rPr>
                <w:b/>
                <w:bCs/>
                <w:sz w:val="20"/>
                <w:szCs w:val="20"/>
                <w:lang w:val="en-GB"/>
              </w:rPr>
            </w:pPr>
            <w:r>
              <w:rPr>
                <w:b/>
                <w:bCs/>
                <w:sz w:val="20"/>
                <w:szCs w:val="20"/>
                <w:lang w:val="en-GB"/>
              </w:rPr>
              <w:t>Is the title of the article suitable?</w:t>
            </w:r>
          </w:p>
          <w:p w14:paraId="50D903CA" w14:textId="77777777" w:rsidR="00A57F67" w:rsidRDefault="00A57F67">
            <w:pPr>
              <w:ind w:left="360"/>
              <w:rPr>
                <w:b/>
                <w:bCs/>
                <w:sz w:val="20"/>
                <w:szCs w:val="20"/>
                <w:lang w:val="en-GB"/>
              </w:rPr>
            </w:pPr>
            <w:r>
              <w:rPr>
                <w:b/>
                <w:bCs/>
                <w:sz w:val="20"/>
                <w:szCs w:val="20"/>
                <w:lang w:val="en-GB"/>
              </w:rPr>
              <w:t>(If not please suggest an alternative title)</w:t>
            </w:r>
          </w:p>
          <w:p w14:paraId="30733C38" w14:textId="77777777" w:rsidR="00A57F67" w:rsidRDefault="00A57F67">
            <w:pPr>
              <w:pStyle w:val="Heading2"/>
              <w:jc w:val="left"/>
              <w:rPr>
                <w:rFonts w:ascii="Times New Roman" w:hAnsi="Times New Roman"/>
                <w:u w:val="single"/>
                <w:lang w:val="en-GB"/>
              </w:rPr>
            </w:pPr>
          </w:p>
        </w:tc>
        <w:tc>
          <w:tcPr>
            <w:tcW w:w="2212" w:type="pct"/>
          </w:tcPr>
          <w:p w14:paraId="4FD9F008" w14:textId="77777777" w:rsidR="00A57F67" w:rsidRDefault="00A57F67">
            <w:pPr>
              <w:ind w:left="360"/>
              <w:rPr>
                <w:b/>
                <w:bCs/>
                <w:sz w:val="20"/>
                <w:szCs w:val="20"/>
                <w:lang w:val="en-GB"/>
              </w:rPr>
            </w:pPr>
            <w:r>
              <w:rPr>
                <w:b/>
                <w:bCs/>
                <w:sz w:val="20"/>
                <w:szCs w:val="20"/>
                <w:lang w:val="en-GB"/>
              </w:rPr>
              <w:t>This title is suitable and accurate</w:t>
            </w:r>
          </w:p>
        </w:tc>
        <w:tc>
          <w:tcPr>
            <w:tcW w:w="1523" w:type="pct"/>
          </w:tcPr>
          <w:p w14:paraId="76DA4BE1" w14:textId="7702A307" w:rsidR="00A57F67" w:rsidRDefault="00B63416">
            <w:pPr>
              <w:pStyle w:val="Heading2"/>
              <w:jc w:val="left"/>
              <w:rPr>
                <w:rFonts w:ascii="Times New Roman" w:hAnsi="Times New Roman"/>
                <w:b w:val="0"/>
                <w:lang w:val="en-GB"/>
              </w:rPr>
            </w:pPr>
            <w:r>
              <w:rPr>
                <w:rFonts w:ascii="-webkit-standard" w:eastAsia="Times New Roman" w:hAnsi="-webkit-standard"/>
                <w:color w:val="000000"/>
                <w:sz w:val="27"/>
                <w:szCs w:val="27"/>
              </w:rPr>
              <w:t xml:space="preserve">We </w:t>
            </w:r>
            <w:proofErr w:type="spellStart"/>
            <w:r>
              <w:rPr>
                <w:rFonts w:ascii="-webkit-standard" w:eastAsia="Times New Roman" w:hAnsi="-webkit-standard"/>
                <w:color w:val="000000"/>
                <w:sz w:val="27"/>
                <w:szCs w:val="27"/>
              </w:rPr>
              <w:t>appreciate</w:t>
            </w:r>
            <w:proofErr w:type="spellEnd"/>
            <w:r>
              <w:rPr>
                <w:rFonts w:ascii="-webkit-standard" w:eastAsia="Times New Roman" w:hAnsi="-webkit-standard"/>
                <w:color w:val="000000"/>
                <w:sz w:val="27"/>
                <w:szCs w:val="27"/>
              </w:rPr>
              <w:t xml:space="preserve"> the </w:t>
            </w:r>
            <w:proofErr w:type="spellStart"/>
            <w:r>
              <w:rPr>
                <w:rFonts w:ascii="-webkit-standard" w:eastAsia="Times New Roman" w:hAnsi="-webkit-standard"/>
                <w:color w:val="000000"/>
                <w:sz w:val="27"/>
                <w:szCs w:val="27"/>
              </w:rPr>
              <w:t>reviewer’s</w:t>
            </w:r>
            <w:proofErr w:type="spellEnd"/>
            <w:r>
              <w:rPr>
                <w:rFonts w:ascii="-webkit-standard" w:eastAsia="Times New Roman" w:hAnsi="-webkit-standard"/>
                <w:color w:val="000000"/>
                <w:sz w:val="27"/>
                <w:szCs w:val="27"/>
              </w:rPr>
              <w:t xml:space="preserve"> positive comment </w:t>
            </w:r>
            <w:proofErr w:type="spellStart"/>
            <w:r>
              <w:rPr>
                <w:rFonts w:ascii="-webkit-standard" w:eastAsia="Times New Roman" w:hAnsi="-webkit-standard"/>
                <w:color w:val="000000"/>
                <w:sz w:val="27"/>
                <w:szCs w:val="27"/>
              </w:rPr>
              <w:t>regarding</w:t>
            </w:r>
            <w:proofErr w:type="spellEnd"/>
            <w:r>
              <w:rPr>
                <w:rFonts w:ascii="-webkit-standard" w:eastAsia="Times New Roman" w:hAnsi="-webkit-standard"/>
                <w:color w:val="000000"/>
                <w:sz w:val="27"/>
                <w:szCs w:val="27"/>
              </w:rPr>
              <w:t xml:space="preserve"> the </w:t>
            </w:r>
            <w:proofErr w:type="spellStart"/>
            <w:r>
              <w:rPr>
                <w:rFonts w:ascii="-webkit-standard" w:eastAsia="Times New Roman" w:hAnsi="-webkit-standard"/>
                <w:color w:val="000000"/>
                <w:sz w:val="27"/>
                <w:szCs w:val="27"/>
              </w:rPr>
              <w:t>suitability</w:t>
            </w:r>
            <w:proofErr w:type="spellEnd"/>
            <w:r>
              <w:rPr>
                <w:rFonts w:ascii="-webkit-standard" w:eastAsia="Times New Roman" w:hAnsi="-webkit-standard"/>
                <w:color w:val="000000"/>
                <w:sz w:val="27"/>
                <w:szCs w:val="27"/>
              </w:rPr>
              <w:t xml:space="preserve"> of the </w:t>
            </w:r>
            <w:proofErr w:type="spellStart"/>
            <w:r>
              <w:rPr>
                <w:rFonts w:ascii="-webkit-standard" w:eastAsia="Times New Roman" w:hAnsi="-webkit-standard"/>
                <w:color w:val="000000"/>
                <w:sz w:val="27"/>
                <w:szCs w:val="27"/>
              </w:rPr>
              <w:t>title</w:t>
            </w:r>
            <w:proofErr w:type="spellEnd"/>
            <w:r>
              <w:rPr>
                <w:rFonts w:ascii="-webkit-standard" w:eastAsia="Times New Roman" w:hAnsi="-webkit-standard"/>
                <w:color w:val="000000"/>
                <w:sz w:val="27"/>
                <w:szCs w:val="27"/>
              </w:rPr>
              <w:t xml:space="preserve">. No changes </w:t>
            </w:r>
            <w:proofErr w:type="spellStart"/>
            <w:r>
              <w:rPr>
                <w:rFonts w:ascii="-webkit-standard" w:eastAsia="Times New Roman" w:hAnsi="-webkit-standard"/>
                <w:color w:val="000000"/>
                <w:sz w:val="27"/>
                <w:szCs w:val="27"/>
              </w:rPr>
              <w:t>were</w:t>
            </w:r>
            <w:proofErr w:type="spellEnd"/>
            <w:r>
              <w:rPr>
                <w:rFonts w:ascii="-webkit-standard" w:eastAsia="Times New Roman" w:hAnsi="-webkit-standard"/>
                <w:color w:val="000000"/>
                <w:sz w:val="27"/>
                <w:szCs w:val="27"/>
              </w:rPr>
              <w:t xml:space="preserve"> </w:t>
            </w:r>
            <w:proofErr w:type="spellStart"/>
            <w:r>
              <w:rPr>
                <w:rFonts w:ascii="-webkit-standard" w:eastAsia="Times New Roman" w:hAnsi="-webkit-standard"/>
                <w:color w:val="000000"/>
                <w:sz w:val="27"/>
                <w:szCs w:val="27"/>
              </w:rPr>
              <w:t>required</w:t>
            </w:r>
            <w:proofErr w:type="spellEnd"/>
            <w:r>
              <w:rPr>
                <w:rFonts w:ascii="-webkit-standard" w:eastAsia="Times New Roman" w:hAnsi="-webkit-standard"/>
                <w:color w:val="000000"/>
                <w:sz w:val="27"/>
                <w:szCs w:val="27"/>
              </w:rPr>
              <w:t>.</w:t>
            </w:r>
          </w:p>
        </w:tc>
      </w:tr>
      <w:tr w:rsidR="00000000" w14:paraId="7A18C618" w14:textId="77777777">
        <w:trPr>
          <w:trHeight w:val="1262"/>
        </w:trPr>
        <w:tc>
          <w:tcPr>
            <w:tcW w:w="1265" w:type="pct"/>
            <w:noWrap/>
          </w:tcPr>
          <w:p w14:paraId="5717CFC0" w14:textId="77777777" w:rsidR="00A57F67" w:rsidRDefault="00A57F67">
            <w:pPr>
              <w:pStyle w:val="Heading2"/>
              <w:ind w:left="360"/>
              <w:jc w:val="left"/>
              <w:rPr>
                <w:rFonts w:ascii="Times New Roman" w:hAnsi="Times New Roman"/>
                <w:lang w:val="en-GB"/>
              </w:rPr>
            </w:pPr>
            <w:r>
              <w:rPr>
                <w:rFonts w:ascii="Times New Roman" w:hAnsi="Times New Roman"/>
                <w:lang w:val="en-GB"/>
              </w:rPr>
              <w:lastRenderedPageBreak/>
              <w:t>Is the abstract of the article comprehensive? Do you suggest the addition (or deletion) of some points in this section? Please write your suggestions here.</w:t>
            </w:r>
          </w:p>
          <w:p w14:paraId="4789EC4A" w14:textId="77777777" w:rsidR="00A57F67" w:rsidRDefault="00A57F67">
            <w:pPr>
              <w:pStyle w:val="Heading2"/>
              <w:jc w:val="left"/>
              <w:rPr>
                <w:rFonts w:ascii="Times New Roman" w:hAnsi="Times New Roman"/>
                <w:u w:val="single"/>
                <w:lang w:val="en-GB"/>
              </w:rPr>
            </w:pPr>
          </w:p>
        </w:tc>
        <w:tc>
          <w:tcPr>
            <w:tcW w:w="2212" w:type="pct"/>
          </w:tcPr>
          <w:p w14:paraId="113AB02C" w14:textId="77777777" w:rsidR="00A57F67" w:rsidRDefault="00A57F67">
            <w:pPr>
              <w:ind w:left="360"/>
              <w:rPr>
                <w:b/>
                <w:bCs/>
                <w:sz w:val="20"/>
                <w:szCs w:val="20"/>
                <w:lang w:val="en-GB"/>
              </w:rPr>
            </w:pPr>
            <w:r>
              <w:rPr>
                <w:b/>
                <w:bCs/>
                <w:sz w:val="20"/>
                <w:szCs w:val="20"/>
                <w:lang w:val="en-GB"/>
              </w:rPr>
              <w:t>Yes. It is</w:t>
            </w:r>
          </w:p>
        </w:tc>
        <w:tc>
          <w:tcPr>
            <w:tcW w:w="1523" w:type="pct"/>
          </w:tcPr>
          <w:p w14:paraId="138540EF" w14:textId="53285D5B" w:rsidR="00A57F67" w:rsidRDefault="00A018F3">
            <w:pPr>
              <w:pStyle w:val="Heading2"/>
              <w:jc w:val="left"/>
              <w:rPr>
                <w:rFonts w:ascii="Times New Roman" w:hAnsi="Times New Roman"/>
                <w:b w:val="0"/>
                <w:lang w:val="en-GB"/>
              </w:rPr>
            </w:pPr>
            <w:r>
              <w:rPr>
                <w:rFonts w:ascii="-webkit-standard" w:eastAsia="Times New Roman" w:hAnsi="-webkit-standard"/>
                <w:color w:val="000000"/>
                <w:sz w:val="27"/>
                <w:szCs w:val="27"/>
              </w:rPr>
              <w:t xml:space="preserve">We thank the </w:t>
            </w:r>
            <w:proofErr w:type="spellStart"/>
            <w:r>
              <w:rPr>
                <w:rFonts w:ascii="-webkit-standard" w:eastAsia="Times New Roman" w:hAnsi="-webkit-standard"/>
                <w:color w:val="000000"/>
                <w:sz w:val="27"/>
                <w:szCs w:val="27"/>
              </w:rPr>
              <w:t>reviewer</w:t>
            </w:r>
            <w:proofErr w:type="spellEnd"/>
            <w:r>
              <w:rPr>
                <w:rFonts w:ascii="-webkit-standard" w:eastAsia="Times New Roman" w:hAnsi="-webkit-standard"/>
                <w:color w:val="000000"/>
                <w:sz w:val="27"/>
                <w:szCs w:val="27"/>
              </w:rPr>
              <w:t xml:space="preserve"> for </w:t>
            </w:r>
            <w:proofErr w:type="spellStart"/>
            <w:r>
              <w:rPr>
                <w:rFonts w:ascii="-webkit-standard" w:eastAsia="Times New Roman" w:hAnsi="-webkit-standard"/>
                <w:color w:val="000000"/>
                <w:sz w:val="27"/>
                <w:szCs w:val="27"/>
              </w:rPr>
              <w:t>confirming</w:t>
            </w:r>
            <w:proofErr w:type="spellEnd"/>
            <w:r>
              <w:rPr>
                <w:rFonts w:ascii="-webkit-standard" w:eastAsia="Times New Roman" w:hAnsi="-webkit-standard"/>
                <w:color w:val="000000"/>
                <w:sz w:val="27"/>
                <w:szCs w:val="27"/>
              </w:rPr>
              <w:t xml:space="preserve"> the </w:t>
            </w:r>
            <w:proofErr w:type="spellStart"/>
            <w:r>
              <w:rPr>
                <w:rFonts w:ascii="-webkit-standard" w:eastAsia="Times New Roman" w:hAnsi="-webkit-standard"/>
                <w:color w:val="000000"/>
                <w:sz w:val="27"/>
                <w:szCs w:val="27"/>
              </w:rPr>
              <w:t>adequacy</w:t>
            </w:r>
            <w:proofErr w:type="spellEnd"/>
            <w:r>
              <w:rPr>
                <w:rFonts w:ascii="-webkit-standard" w:eastAsia="Times New Roman" w:hAnsi="-webkit-standard"/>
                <w:color w:val="000000"/>
                <w:sz w:val="27"/>
                <w:szCs w:val="27"/>
              </w:rPr>
              <w:t xml:space="preserve"> of the </w:t>
            </w:r>
            <w:proofErr w:type="spellStart"/>
            <w:r>
              <w:rPr>
                <w:rFonts w:ascii="-webkit-standard" w:eastAsia="Times New Roman" w:hAnsi="-webkit-standard"/>
                <w:color w:val="000000"/>
                <w:sz w:val="27"/>
                <w:szCs w:val="27"/>
              </w:rPr>
              <w:t>abstract</w:t>
            </w:r>
            <w:proofErr w:type="spellEnd"/>
            <w:r>
              <w:rPr>
                <w:rFonts w:ascii="-webkit-standard" w:eastAsia="Times New Roman" w:hAnsi="-webkit-standard"/>
                <w:color w:val="000000"/>
                <w:sz w:val="27"/>
                <w:szCs w:val="27"/>
              </w:rPr>
              <w:t xml:space="preserve">. No modifications </w:t>
            </w:r>
            <w:proofErr w:type="spellStart"/>
            <w:r>
              <w:rPr>
                <w:rFonts w:ascii="-webkit-standard" w:eastAsia="Times New Roman" w:hAnsi="-webkit-standard"/>
                <w:color w:val="000000"/>
                <w:sz w:val="27"/>
                <w:szCs w:val="27"/>
              </w:rPr>
              <w:t>were</w:t>
            </w:r>
            <w:proofErr w:type="spellEnd"/>
            <w:r>
              <w:rPr>
                <w:rFonts w:ascii="-webkit-standard" w:eastAsia="Times New Roman" w:hAnsi="-webkit-standard"/>
                <w:color w:val="000000"/>
                <w:sz w:val="27"/>
                <w:szCs w:val="27"/>
              </w:rPr>
              <w:t xml:space="preserve"> </w:t>
            </w:r>
            <w:proofErr w:type="spellStart"/>
            <w:r>
              <w:rPr>
                <w:rFonts w:ascii="-webkit-standard" w:eastAsia="Times New Roman" w:hAnsi="-webkit-standard"/>
                <w:color w:val="000000"/>
                <w:sz w:val="27"/>
                <w:szCs w:val="27"/>
              </w:rPr>
              <w:t>necessary</w:t>
            </w:r>
            <w:proofErr w:type="spellEnd"/>
            <w:r>
              <w:rPr>
                <w:rFonts w:ascii="-webkit-standard" w:eastAsia="Times New Roman" w:hAnsi="-webkit-standard"/>
                <w:color w:val="000000"/>
                <w:sz w:val="27"/>
                <w:szCs w:val="27"/>
              </w:rPr>
              <w:t xml:space="preserve"> in this section.</w:t>
            </w:r>
          </w:p>
        </w:tc>
      </w:tr>
      <w:tr w:rsidR="00000000" w14:paraId="19AFC77A" w14:textId="77777777">
        <w:trPr>
          <w:trHeight w:val="704"/>
        </w:trPr>
        <w:tc>
          <w:tcPr>
            <w:tcW w:w="1265" w:type="pct"/>
            <w:noWrap/>
          </w:tcPr>
          <w:p w14:paraId="23748C8B" w14:textId="77777777" w:rsidR="00A57F67" w:rsidRDefault="00A57F67">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14:paraId="494073B5" w14:textId="77777777" w:rsidR="00A57F67" w:rsidRDefault="00A57F67">
            <w:pPr>
              <w:pStyle w:val="ListParagraph"/>
              <w:rPr>
                <w:bCs/>
                <w:sz w:val="20"/>
                <w:szCs w:val="20"/>
              </w:rPr>
            </w:pPr>
            <w:r>
              <w:rPr>
                <w:bCs/>
                <w:sz w:val="20"/>
                <w:szCs w:val="20"/>
              </w:rPr>
              <w:t xml:space="preserve">In general, the text has a scientific structure. But instead of Styloid Ligament, the full name Stylohyoid Ligament should be used. In the section  HETEROTROPHIC OSSIFICATION, also in the paragraph </w:t>
            </w:r>
            <w:proofErr w:type="spellStart"/>
            <w:r>
              <w:rPr>
                <w:bCs/>
                <w:sz w:val="20"/>
                <w:szCs w:val="20"/>
              </w:rPr>
              <w:t>Egle</w:t>
            </w:r>
            <w:proofErr w:type="spellEnd"/>
            <w:r>
              <w:rPr>
                <w:bCs/>
                <w:sz w:val="20"/>
                <w:szCs w:val="20"/>
              </w:rPr>
              <w:t xml:space="preserve"> syndrome, it is better to mention </w:t>
            </w:r>
            <w:proofErr w:type="spellStart"/>
            <w:r>
              <w:rPr>
                <w:bCs/>
                <w:sz w:val="20"/>
                <w:szCs w:val="20"/>
              </w:rPr>
              <w:t>Ossifcation</w:t>
            </w:r>
            <w:proofErr w:type="spellEnd"/>
            <w:r>
              <w:rPr>
                <w:bCs/>
                <w:sz w:val="20"/>
                <w:szCs w:val="20"/>
              </w:rPr>
              <w:t xml:space="preserve"> of the Stylohyoid Ligament and mention the syndrome in the explanation.</w:t>
            </w:r>
          </w:p>
          <w:p w14:paraId="48A3BDF8" w14:textId="77777777" w:rsidR="00A57F67" w:rsidRDefault="00A57F67">
            <w:pPr>
              <w:pStyle w:val="ListParagraph"/>
              <w:ind w:left="0"/>
              <w:rPr>
                <w:rFonts w:hint="cs"/>
                <w:bCs/>
                <w:sz w:val="20"/>
                <w:szCs w:val="20"/>
                <w:rtl/>
                <w:lang w:bidi="fa-IR"/>
              </w:rPr>
            </w:pPr>
          </w:p>
          <w:p w14:paraId="4CBBBD6B" w14:textId="77777777" w:rsidR="00A57F67" w:rsidRDefault="00A57F67">
            <w:pPr>
              <w:pStyle w:val="ListParagraph"/>
              <w:ind w:left="0"/>
              <w:rPr>
                <w:bCs/>
                <w:sz w:val="20"/>
                <w:szCs w:val="20"/>
              </w:rPr>
            </w:pPr>
            <w:r>
              <w:t xml:space="preserve"> </w:t>
            </w:r>
            <w:r>
              <w:rPr>
                <w:bCs/>
                <w:sz w:val="20"/>
                <w:szCs w:val="20"/>
              </w:rPr>
              <w:t>Also, radiographic images related to all cases should be added.</w:t>
            </w:r>
          </w:p>
        </w:tc>
        <w:tc>
          <w:tcPr>
            <w:tcW w:w="1523" w:type="pct"/>
          </w:tcPr>
          <w:p w14:paraId="315863B0" w14:textId="77777777" w:rsidR="00AA5D1E" w:rsidRDefault="00AA5D1E">
            <w:pPr>
              <w:pStyle w:val="NormalWeb"/>
              <w:rPr>
                <w:color w:val="000000"/>
              </w:rPr>
            </w:pPr>
            <w:r>
              <w:rPr>
                <w:color w:val="000000"/>
              </w:rPr>
              <w:t>We sincerely thank the reviewer for these constructive suggestions. The terminology has been corrected throughout the manuscript, and the full term “</w:t>
            </w:r>
            <w:proofErr w:type="spellStart"/>
            <w:r>
              <w:rPr>
                <w:color w:val="000000"/>
              </w:rPr>
              <w:t>Stylohyoid</w:t>
            </w:r>
            <w:proofErr w:type="spellEnd"/>
            <w:r>
              <w:rPr>
                <w:color w:val="000000"/>
              </w:rPr>
              <w:t xml:space="preserve"> Ligament” has been used consistently. In the section on Heterotrophic Ossification and Eagle syndrome, the text has been revised to specifically mention ossification of the </w:t>
            </w:r>
            <w:proofErr w:type="spellStart"/>
            <w:r>
              <w:rPr>
                <w:color w:val="000000"/>
              </w:rPr>
              <w:t>Stylohyoid</w:t>
            </w:r>
            <w:proofErr w:type="spellEnd"/>
            <w:r>
              <w:rPr>
                <w:color w:val="000000"/>
              </w:rPr>
              <w:t xml:space="preserve"> Ligament, followed by a detailed explanation of Eagle syndrome for improved clarity and scientific accuracy.</w:t>
            </w:r>
          </w:p>
          <w:p w14:paraId="26F52F6E" w14:textId="77777777" w:rsidR="00AA5D1E" w:rsidRDefault="00AA5D1E">
            <w:pPr>
              <w:pStyle w:val="NormalWeb"/>
              <w:rPr>
                <w:color w:val="000000"/>
              </w:rPr>
            </w:pPr>
            <w:r>
              <w:rPr>
                <w:color w:val="000000"/>
              </w:rPr>
              <w:t>Additionally, relevant radiographic images have been incorporated to better illustrate the discussed entities and enhance the educational and diagnostic value of the manuscript.</w:t>
            </w:r>
          </w:p>
          <w:p w14:paraId="595E820B" w14:textId="77777777" w:rsidR="00A57F67" w:rsidRDefault="00A57F67">
            <w:pPr>
              <w:pStyle w:val="Heading2"/>
              <w:jc w:val="left"/>
              <w:rPr>
                <w:rFonts w:ascii="Times New Roman" w:hAnsi="Times New Roman"/>
                <w:b w:val="0"/>
                <w:lang w:val="en-GB"/>
              </w:rPr>
            </w:pPr>
          </w:p>
        </w:tc>
      </w:tr>
      <w:tr w:rsidR="00000000" w14:paraId="38A93D91" w14:textId="77777777">
        <w:trPr>
          <w:trHeight w:val="703"/>
        </w:trPr>
        <w:tc>
          <w:tcPr>
            <w:tcW w:w="1265" w:type="pct"/>
            <w:noWrap/>
          </w:tcPr>
          <w:p w14:paraId="078440E1" w14:textId="77777777" w:rsidR="00A57F67" w:rsidRDefault="00A57F67">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14:paraId="77B9BBFF" w14:textId="77777777" w:rsidR="00A57F67" w:rsidRDefault="00A57F67">
            <w:pPr>
              <w:pStyle w:val="ListParagraph"/>
              <w:ind w:left="0"/>
              <w:rPr>
                <w:bCs/>
                <w:sz w:val="20"/>
                <w:szCs w:val="20"/>
                <w:lang w:val="en-GB"/>
              </w:rPr>
            </w:pPr>
            <w:r>
              <w:rPr>
                <w:bCs/>
                <w:sz w:val="20"/>
                <w:szCs w:val="20"/>
                <w:lang w:val="en-GB"/>
              </w:rPr>
              <w:t>References are appropriate. Use of the book WHITE AND PHAROAH’S ORAL RADIOLOGY: PRINCIPLES AND INTERPRETATION, NINTH EDITION is also recommended.</w:t>
            </w:r>
          </w:p>
        </w:tc>
        <w:tc>
          <w:tcPr>
            <w:tcW w:w="1523" w:type="pct"/>
          </w:tcPr>
          <w:p w14:paraId="2B6E11AF" w14:textId="3FC0CCA2" w:rsidR="00A57F67" w:rsidRDefault="007A44D4">
            <w:pPr>
              <w:pStyle w:val="Heading2"/>
              <w:jc w:val="left"/>
              <w:rPr>
                <w:rFonts w:ascii="Times New Roman" w:hAnsi="Times New Roman"/>
                <w:b w:val="0"/>
                <w:lang w:val="en-GB"/>
              </w:rPr>
            </w:pPr>
            <w:r>
              <w:rPr>
                <w:rFonts w:ascii="-webkit-standard" w:eastAsia="Times New Roman" w:hAnsi="-webkit-standard"/>
                <w:color w:val="000000"/>
                <w:sz w:val="27"/>
                <w:szCs w:val="27"/>
              </w:rPr>
              <w:t xml:space="preserve">We </w:t>
            </w:r>
            <w:proofErr w:type="spellStart"/>
            <w:r>
              <w:rPr>
                <w:rFonts w:ascii="-webkit-standard" w:eastAsia="Times New Roman" w:hAnsi="-webkit-standard"/>
                <w:color w:val="000000"/>
                <w:sz w:val="27"/>
                <w:szCs w:val="27"/>
              </w:rPr>
              <w:t>appreciate</w:t>
            </w:r>
            <w:proofErr w:type="spellEnd"/>
            <w:r>
              <w:rPr>
                <w:rFonts w:ascii="-webkit-standard" w:eastAsia="Times New Roman" w:hAnsi="-webkit-standard"/>
                <w:color w:val="000000"/>
                <w:sz w:val="27"/>
                <w:szCs w:val="27"/>
              </w:rPr>
              <w:t xml:space="preserve"> this </w:t>
            </w:r>
            <w:proofErr w:type="spellStart"/>
            <w:r>
              <w:rPr>
                <w:rFonts w:ascii="-webkit-standard" w:eastAsia="Times New Roman" w:hAnsi="-webkit-standard"/>
                <w:color w:val="000000"/>
                <w:sz w:val="27"/>
                <w:szCs w:val="27"/>
              </w:rPr>
              <w:t>valuable</w:t>
            </w:r>
            <w:proofErr w:type="spellEnd"/>
            <w:r>
              <w:rPr>
                <w:rFonts w:ascii="-webkit-standard" w:eastAsia="Times New Roman" w:hAnsi="-webkit-standard"/>
                <w:color w:val="000000"/>
                <w:sz w:val="27"/>
                <w:szCs w:val="27"/>
              </w:rPr>
              <w:t xml:space="preserve"> </w:t>
            </w:r>
            <w:proofErr w:type="spellStart"/>
            <w:r>
              <w:rPr>
                <w:rFonts w:ascii="-webkit-standard" w:eastAsia="Times New Roman" w:hAnsi="-webkit-standard"/>
                <w:color w:val="000000"/>
                <w:sz w:val="27"/>
                <w:szCs w:val="27"/>
              </w:rPr>
              <w:t>recommendation</w:t>
            </w:r>
            <w:proofErr w:type="spellEnd"/>
            <w:r>
              <w:rPr>
                <w:rFonts w:ascii="-webkit-standard" w:eastAsia="Times New Roman" w:hAnsi="-webkit-standard"/>
                <w:color w:val="000000"/>
                <w:sz w:val="27"/>
                <w:szCs w:val="27"/>
              </w:rPr>
              <w:t xml:space="preserve">. The </w:t>
            </w:r>
            <w:proofErr w:type="spellStart"/>
            <w:r>
              <w:rPr>
                <w:rFonts w:ascii="-webkit-standard" w:eastAsia="Times New Roman" w:hAnsi="-webkit-standard"/>
                <w:color w:val="000000"/>
                <w:sz w:val="27"/>
                <w:szCs w:val="27"/>
              </w:rPr>
              <w:t>suggested</w:t>
            </w:r>
            <w:proofErr w:type="spellEnd"/>
            <w:r>
              <w:rPr>
                <w:rFonts w:ascii="-webkit-standard" w:eastAsia="Times New Roman" w:hAnsi="-webkit-standard"/>
                <w:color w:val="000000"/>
                <w:sz w:val="27"/>
                <w:szCs w:val="27"/>
              </w:rPr>
              <w:t xml:space="preserve"> </w:t>
            </w:r>
            <w:proofErr w:type="spellStart"/>
            <w:r>
              <w:rPr>
                <w:rFonts w:ascii="-webkit-standard" w:eastAsia="Times New Roman" w:hAnsi="-webkit-standard"/>
                <w:color w:val="000000"/>
                <w:sz w:val="27"/>
                <w:szCs w:val="27"/>
              </w:rPr>
              <w:t>textbook</w:t>
            </w:r>
            <w:proofErr w:type="spellEnd"/>
            <w:r>
              <w:rPr>
                <w:rFonts w:ascii="-webkit-standard" w:eastAsia="Times New Roman" w:hAnsi="-webkit-standard"/>
                <w:color w:val="000000"/>
                <w:sz w:val="27"/>
                <w:szCs w:val="27"/>
              </w:rPr>
              <w:t>,</w:t>
            </w:r>
            <w:r>
              <w:rPr>
                <w:rStyle w:val="apple-converted-space"/>
                <w:rFonts w:ascii="-webkit-standard" w:eastAsia="Times New Roman" w:hAnsi="-webkit-standard"/>
                <w:color w:val="000000"/>
                <w:sz w:val="27"/>
                <w:szCs w:val="27"/>
              </w:rPr>
              <w:t> </w:t>
            </w:r>
            <w:r>
              <w:rPr>
                <w:rStyle w:val="Emphasis"/>
                <w:rFonts w:eastAsia="Times New Roman"/>
                <w:color w:val="000000"/>
              </w:rPr>
              <w:t xml:space="preserve">White and </w:t>
            </w:r>
            <w:proofErr w:type="spellStart"/>
            <w:r>
              <w:rPr>
                <w:rStyle w:val="Emphasis"/>
                <w:rFonts w:eastAsia="Times New Roman"/>
                <w:color w:val="000000"/>
              </w:rPr>
              <w:t>Pharoah’s</w:t>
            </w:r>
            <w:proofErr w:type="spellEnd"/>
            <w:r>
              <w:rPr>
                <w:rStyle w:val="Emphasis"/>
                <w:rFonts w:eastAsia="Times New Roman"/>
                <w:color w:val="000000"/>
              </w:rPr>
              <w:t xml:space="preserve"> Oral </w:t>
            </w:r>
            <w:proofErr w:type="spellStart"/>
            <w:r>
              <w:rPr>
                <w:rStyle w:val="Emphasis"/>
                <w:rFonts w:eastAsia="Times New Roman"/>
                <w:color w:val="000000"/>
              </w:rPr>
              <w:t>Radiology</w:t>
            </w:r>
            <w:proofErr w:type="spellEnd"/>
            <w:r>
              <w:rPr>
                <w:rStyle w:val="Emphasis"/>
                <w:rFonts w:eastAsia="Times New Roman"/>
                <w:color w:val="000000"/>
              </w:rPr>
              <w:t xml:space="preserve">: </w:t>
            </w:r>
            <w:proofErr w:type="spellStart"/>
            <w:r>
              <w:rPr>
                <w:rStyle w:val="Emphasis"/>
                <w:rFonts w:eastAsia="Times New Roman"/>
                <w:color w:val="000000"/>
              </w:rPr>
              <w:t>Principles</w:t>
            </w:r>
            <w:proofErr w:type="spellEnd"/>
            <w:r>
              <w:rPr>
                <w:rStyle w:val="Emphasis"/>
                <w:rFonts w:eastAsia="Times New Roman"/>
                <w:color w:val="000000"/>
              </w:rPr>
              <w:t xml:space="preserve"> and </w:t>
            </w:r>
            <w:proofErr w:type="spellStart"/>
            <w:r>
              <w:rPr>
                <w:rStyle w:val="Emphasis"/>
                <w:rFonts w:eastAsia="Times New Roman"/>
                <w:color w:val="000000"/>
              </w:rPr>
              <w:t>Interpretation</w:t>
            </w:r>
            <w:proofErr w:type="spellEnd"/>
            <w:r>
              <w:rPr>
                <w:rStyle w:val="Emphasis"/>
                <w:rFonts w:eastAsia="Times New Roman"/>
                <w:color w:val="000000"/>
              </w:rPr>
              <w:t xml:space="preserve">, </w:t>
            </w:r>
            <w:proofErr w:type="spellStart"/>
            <w:r>
              <w:rPr>
                <w:rStyle w:val="Emphasis"/>
                <w:rFonts w:eastAsia="Times New Roman"/>
                <w:color w:val="000000"/>
              </w:rPr>
              <w:t>Ninth</w:t>
            </w:r>
            <w:proofErr w:type="spellEnd"/>
            <w:r>
              <w:rPr>
                <w:rStyle w:val="Emphasis"/>
                <w:rFonts w:eastAsia="Times New Roman"/>
                <w:color w:val="000000"/>
              </w:rPr>
              <w:t xml:space="preserve"> Edition</w:t>
            </w:r>
            <w:r>
              <w:rPr>
                <w:rFonts w:ascii="-webkit-standard" w:eastAsia="Times New Roman" w:hAnsi="-webkit-standard"/>
                <w:color w:val="000000"/>
                <w:sz w:val="27"/>
                <w:szCs w:val="27"/>
              </w:rPr>
              <w:t xml:space="preserve">, has been </w:t>
            </w:r>
            <w:proofErr w:type="spellStart"/>
            <w:r>
              <w:rPr>
                <w:rFonts w:ascii="-webkit-standard" w:eastAsia="Times New Roman" w:hAnsi="-webkit-standard"/>
                <w:color w:val="000000"/>
                <w:sz w:val="27"/>
                <w:szCs w:val="27"/>
              </w:rPr>
              <w:t>reviewed</w:t>
            </w:r>
            <w:proofErr w:type="spellEnd"/>
            <w:r>
              <w:rPr>
                <w:rFonts w:ascii="-webkit-standard" w:eastAsia="Times New Roman" w:hAnsi="-webkit-standard"/>
                <w:color w:val="000000"/>
                <w:sz w:val="27"/>
                <w:szCs w:val="27"/>
              </w:rPr>
              <w:t xml:space="preserve"> and </w:t>
            </w:r>
            <w:proofErr w:type="spellStart"/>
            <w:r>
              <w:rPr>
                <w:rFonts w:ascii="-webkit-standard" w:eastAsia="Times New Roman" w:hAnsi="-webkit-standard"/>
                <w:color w:val="000000"/>
                <w:sz w:val="27"/>
                <w:szCs w:val="27"/>
              </w:rPr>
              <w:t>appropriately</w:t>
            </w:r>
            <w:proofErr w:type="spellEnd"/>
            <w:r>
              <w:rPr>
                <w:rFonts w:ascii="-webkit-standard" w:eastAsia="Times New Roman" w:hAnsi="-webkit-standard"/>
                <w:color w:val="000000"/>
                <w:sz w:val="27"/>
                <w:szCs w:val="27"/>
              </w:rPr>
              <w:t xml:space="preserve"> </w:t>
            </w:r>
            <w:proofErr w:type="spellStart"/>
            <w:r>
              <w:rPr>
                <w:rFonts w:ascii="-webkit-standard" w:eastAsia="Times New Roman" w:hAnsi="-webkit-standard"/>
                <w:color w:val="000000"/>
                <w:sz w:val="27"/>
                <w:szCs w:val="27"/>
              </w:rPr>
              <w:t>cited</w:t>
            </w:r>
            <w:proofErr w:type="spellEnd"/>
            <w:r>
              <w:rPr>
                <w:rFonts w:ascii="-webkit-standard" w:eastAsia="Times New Roman" w:hAnsi="-webkit-standard"/>
                <w:color w:val="000000"/>
                <w:sz w:val="27"/>
                <w:szCs w:val="27"/>
              </w:rPr>
              <w:t xml:space="preserve"> </w:t>
            </w:r>
            <w:proofErr w:type="spellStart"/>
            <w:r>
              <w:rPr>
                <w:rFonts w:ascii="-webkit-standard" w:eastAsia="Times New Roman" w:hAnsi="-webkit-standard"/>
                <w:color w:val="000000"/>
                <w:sz w:val="27"/>
                <w:szCs w:val="27"/>
              </w:rPr>
              <w:t>where</w:t>
            </w:r>
            <w:proofErr w:type="spellEnd"/>
            <w:r>
              <w:rPr>
                <w:rFonts w:ascii="-webkit-standard" w:eastAsia="Times New Roman" w:hAnsi="-webkit-standard"/>
                <w:color w:val="000000"/>
                <w:sz w:val="27"/>
                <w:szCs w:val="27"/>
              </w:rPr>
              <w:t xml:space="preserve"> relevant to </w:t>
            </w:r>
            <w:proofErr w:type="spellStart"/>
            <w:r>
              <w:rPr>
                <w:rFonts w:ascii="-webkit-standard" w:eastAsia="Times New Roman" w:hAnsi="-webkit-standard"/>
                <w:color w:val="000000"/>
                <w:sz w:val="27"/>
                <w:szCs w:val="27"/>
              </w:rPr>
              <w:t>strengthen</w:t>
            </w:r>
            <w:proofErr w:type="spellEnd"/>
            <w:r>
              <w:rPr>
                <w:rFonts w:ascii="-webkit-standard" w:eastAsia="Times New Roman" w:hAnsi="-webkit-standard"/>
                <w:color w:val="000000"/>
                <w:sz w:val="27"/>
                <w:szCs w:val="27"/>
              </w:rPr>
              <w:t xml:space="preserve"> the </w:t>
            </w:r>
            <w:proofErr w:type="spellStart"/>
            <w:r>
              <w:rPr>
                <w:rFonts w:ascii="-webkit-standard" w:eastAsia="Times New Roman" w:hAnsi="-webkit-standard"/>
                <w:color w:val="000000"/>
                <w:sz w:val="27"/>
                <w:szCs w:val="27"/>
              </w:rPr>
              <w:t>academic</w:t>
            </w:r>
            <w:proofErr w:type="spellEnd"/>
            <w:r>
              <w:rPr>
                <w:rFonts w:ascii="-webkit-standard" w:eastAsia="Times New Roman" w:hAnsi="-webkit-standard"/>
                <w:color w:val="000000"/>
                <w:sz w:val="27"/>
                <w:szCs w:val="27"/>
              </w:rPr>
              <w:t xml:space="preserve"> </w:t>
            </w:r>
            <w:proofErr w:type="spellStart"/>
            <w:r>
              <w:rPr>
                <w:rFonts w:ascii="-webkit-standard" w:eastAsia="Times New Roman" w:hAnsi="-webkit-standard"/>
                <w:color w:val="000000"/>
                <w:sz w:val="27"/>
                <w:szCs w:val="27"/>
              </w:rPr>
              <w:t>rigor</w:t>
            </w:r>
            <w:proofErr w:type="spellEnd"/>
            <w:r>
              <w:rPr>
                <w:rFonts w:ascii="-webkit-standard" w:eastAsia="Times New Roman" w:hAnsi="-webkit-standard"/>
                <w:color w:val="000000"/>
                <w:sz w:val="27"/>
                <w:szCs w:val="27"/>
              </w:rPr>
              <w:t xml:space="preserve"> and </w:t>
            </w:r>
            <w:proofErr w:type="spellStart"/>
            <w:r>
              <w:rPr>
                <w:rFonts w:ascii="-webkit-standard" w:eastAsia="Times New Roman" w:hAnsi="-webkit-standard"/>
                <w:color w:val="000000"/>
                <w:sz w:val="27"/>
                <w:szCs w:val="27"/>
              </w:rPr>
              <w:t>authority</w:t>
            </w:r>
            <w:proofErr w:type="spellEnd"/>
            <w:r>
              <w:rPr>
                <w:rFonts w:ascii="-webkit-standard" w:eastAsia="Times New Roman" w:hAnsi="-webkit-standard"/>
                <w:color w:val="000000"/>
                <w:sz w:val="27"/>
                <w:szCs w:val="27"/>
              </w:rPr>
              <w:t xml:space="preserve"> of the </w:t>
            </w:r>
            <w:proofErr w:type="spellStart"/>
            <w:r>
              <w:rPr>
                <w:rFonts w:ascii="-webkit-standard" w:eastAsia="Times New Roman" w:hAnsi="-webkit-standard"/>
                <w:color w:val="000000"/>
                <w:sz w:val="27"/>
                <w:szCs w:val="27"/>
              </w:rPr>
              <w:t>manuscript</w:t>
            </w:r>
            <w:proofErr w:type="spellEnd"/>
            <w:r>
              <w:rPr>
                <w:rFonts w:ascii="-webkit-standard" w:eastAsia="Times New Roman" w:hAnsi="-webkit-standard"/>
                <w:color w:val="000000"/>
                <w:sz w:val="27"/>
                <w:szCs w:val="27"/>
              </w:rPr>
              <w:t>.</w:t>
            </w:r>
          </w:p>
        </w:tc>
      </w:tr>
      <w:tr w:rsidR="00000000" w14:paraId="103880B2" w14:textId="77777777">
        <w:trPr>
          <w:trHeight w:val="386"/>
        </w:trPr>
        <w:tc>
          <w:tcPr>
            <w:tcW w:w="1265" w:type="pct"/>
            <w:noWrap/>
          </w:tcPr>
          <w:p w14:paraId="4FABB918" w14:textId="77777777" w:rsidR="00A57F67" w:rsidRDefault="00A57F67">
            <w:pPr>
              <w:pStyle w:val="Heading2"/>
              <w:ind w:left="360"/>
              <w:jc w:val="left"/>
              <w:rPr>
                <w:rFonts w:ascii="Times New Roman" w:hAnsi="Times New Roman"/>
                <w:bCs w:val="0"/>
                <w:lang w:val="en-GB"/>
              </w:rPr>
            </w:pPr>
            <w:r>
              <w:rPr>
                <w:rFonts w:ascii="Times New Roman" w:hAnsi="Times New Roman"/>
                <w:bCs w:val="0"/>
                <w:lang w:val="en-GB"/>
              </w:rPr>
              <w:t>Is the language/English quality of the article suitable for scholarly communications?</w:t>
            </w:r>
          </w:p>
          <w:p w14:paraId="09E8AA42" w14:textId="77777777" w:rsidR="00A57F67" w:rsidRDefault="00A57F67">
            <w:pPr>
              <w:rPr>
                <w:sz w:val="20"/>
                <w:szCs w:val="20"/>
                <w:lang w:val="en-GB"/>
              </w:rPr>
            </w:pPr>
          </w:p>
        </w:tc>
        <w:tc>
          <w:tcPr>
            <w:tcW w:w="2212" w:type="pct"/>
          </w:tcPr>
          <w:p w14:paraId="3DD865F7" w14:textId="77777777" w:rsidR="00A57F67" w:rsidRDefault="00A57F67">
            <w:pPr>
              <w:rPr>
                <w:sz w:val="20"/>
                <w:szCs w:val="20"/>
                <w:lang w:val="en-GB"/>
              </w:rPr>
            </w:pPr>
            <w:r>
              <w:rPr>
                <w:sz w:val="20"/>
                <w:szCs w:val="20"/>
                <w:lang w:val="en-GB"/>
              </w:rPr>
              <w:t>Its suitable</w:t>
            </w:r>
          </w:p>
        </w:tc>
        <w:tc>
          <w:tcPr>
            <w:tcW w:w="1523" w:type="pct"/>
          </w:tcPr>
          <w:p w14:paraId="31CC9337" w14:textId="1BDC3655" w:rsidR="00A57F67" w:rsidRDefault="001C7812">
            <w:pPr>
              <w:rPr>
                <w:sz w:val="20"/>
                <w:szCs w:val="20"/>
                <w:lang w:val="en-GB"/>
              </w:rPr>
            </w:pPr>
            <w:r>
              <w:rPr>
                <w:rFonts w:ascii="-webkit-standard" w:hAnsi="-webkit-standard"/>
                <w:color w:val="000000"/>
                <w:sz w:val="27"/>
                <w:szCs w:val="27"/>
              </w:rPr>
              <w:t>We thank the reviewer for the positive evaluation of the language quality. The manuscript has been carefully proofread once again to ensure clarity and scholarly standard.</w:t>
            </w:r>
          </w:p>
        </w:tc>
      </w:tr>
      <w:tr w:rsidR="00000000" w14:paraId="6882CE9D" w14:textId="77777777">
        <w:trPr>
          <w:trHeight w:val="1178"/>
        </w:trPr>
        <w:tc>
          <w:tcPr>
            <w:tcW w:w="1265" w:type="pct"/>
            <w:noWrap/>
          </w:tcPr>
          <w:p w14:paraId="62ADECBA" w14:textId="77777777" w:rsidR="00A57F67" w:rsidRDefault="00A57F67">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455F8106" w14:textId="77777777" w:rsidR="00A57F67" w:rsidRDefault="00A57F67">
            <w:pPr>
              <w:pStyle w:val="Heading2"/>
              <w:jc w:val="left"/>
              <w:rPr>
                <w:rFonts w:ascii="Times New Roman" w:hAnsi="Times New Roman"/>
                <w:b w:val="0"/>
                <w:lang w:val="en-GB"/>
              </w:rPr>
            </w:pPr>
          </w:p>
        </w:tc>
        <w:tc>
          <w:tcPr>
            <w:tcW w:w="2212" w:type="pct"/>
          </w:tcPr>
          <w:p w14:paraId="7BE59AC4" w14:textId="77777777" w:rsidR="00A57F67" w:rsidRDefault="00A57F67">
            <w:pPr>
              <w:pStyle w:val="NormalWeb"/>
              <w:rPr>
                <w:rFonts w:ascii="Times New Roman" w:hAnsi="Times New Roman" w:cs="Times New Roman"/>
                <w:b/>
                <w:sz w:val="20"/>
                <w:szCs w:val="20"/>
                <w:lang w:bidi="fa-IR"/>
              </w:rPr>
            </w:pPr>
            <w:r>
              <w:rPr>
                <w:rFonts w:ascii="Times New Roman" w:hAnsi="Times New Roman" w:cs="Times New Roman"/>
                <w:b/>
                <w:sz w:val="20"/>
                <w:szCs w:val="20"/>
                <w:lang w:bidi="fa-IR"/>
              </w:rPr>
              <w:t>The article has educational content for students</w:t>
            </w:r>
          </w:p>
          <w:p w14:paraId="326F5E5F" w14:textId="77777777" w:rsidR="00A57F67" w:rsidRDefault="00A57F67">
            <w:pPr>
              <w:pStyle w:val="NormalWeb"/>
              <w:spacing w:before="0" w:beforeAutospacing="0" w:after="0" w:afterAutospacing="0"/>
              <w:rPr>
                <w:rFonts w:ascii="Times New Roman" w:hAnsi="Times New Roman" w:cs="Times New Roman"/>
                <w:b/>
                <w:sz w:val="20"/>
                <w:szCs w:val="20"/>
                <w:lang w:bidi="fa-IR"/>
              </w:rPr>
            </w:pPr>
            <w:r>
              <w:rPr>
                <w:rFonts w:ascii="Times New Roman" w:hAnsi="Times New Roman" w:cs="Times New Roman"/>
                <w:b/>
                <w:sz w:val="20"/>
                <w:szCs w:val="20"/>
                <w:lang w:bidi="fa-IR"/>
              </w:rPr>
              <w:t>It is suggested that more diagnostic information be added to the text for better efficiency</w:t>
            </w:r>
          </w:p>
        </w:tc>
        <w:tc>
          <w:tcPr>
            <w:tcW w:w="1523" w:type="pct"/>
          </w:tcPr>
          <w:p w14:paraId="75841E14" w14:textId="4F2D4B66" w:rsidR="00A57F67" w:rsidRDefault="0093687D">
            <w:pPr>
              <w:rPr>
                <w:sz w:val="20"/>
                <w:szCs w:val="20"/>
                <w:lang w:val="en-GB"/>
              </w:rPr>
            </w:pPr>
            <w:r>
              <w:rPr>
                <w:rFonts w:ascii="-webkit-standard" w:hAnsi="-webkit-standard"/>
                <w:color w:val="000000"/>
                <w:sz w:val="27"/>
                <w:szCs w:val="27"/>
              </w:rPr>
              <w:t>We appreciate this important suggestion. Additional diagnostic details, including distinguishing radiographic features, differential diagnostic considerations, and clinical correlations, have been incorporated into the relevant sections. These revisions enhance the practical applicability and educational value of the review.</w:t>
            </w:r>
          </w:p>
        </w:tc>
      </w:tr>
    </w:tbl>
    <w:p w14:paraId="7D3D45B5" w14:textId="77777777" w:rsidR="00A57F67" w:rsidRDefault="00A57F67">
      <w:pPr>
        <w:pStyle w:val="BodyText"/>
        <w:rPr>
          <w:rFonts w:ascii="Times New Roman" w:hAnsi="Times New Roman"/>
          <w:b/>
          <w:bCs/>
          <w:sz w:val="20"/>
          <w:szCs w:val="20"/>
          <w:u w:val="single"/>
          <w:lang w:val="en-GB"/>
        </w:rPr>
      </w:pPr>
    </w:p>
    <w:p w14:paraId="32A82771" w14:textId="77777777" w:rsidR="00A57F67" w:rsidRDefault="00A57F67">
      <w:pPr>
        <w:pStyle w:val="BodyText"/>
        <w:rPr>
          <w:rFonts w:ascii="Times New Roman" w:hAnsi="Times New Roman"/>
          <w:b/>
          <w:bCs/>
          <w:sz w:val="20"/>
          <w:szCs w:val="20"/>
          <w:u w:val="single"/>
          <w:lang w:val="en-GB"/>
        </w:rPr>
      </w:pPr>
    </w:p>
    <w:p w14:paraId="77FDE919" w14:textId="77777777" w:rsidR="00A57F67" w:rsidRDefault="00A57F67">
      <w:pPr>
        <w:pStyle w:val="BodyText"/>
        <w:rPr>
          <w:rFonts w:ascii="Times New Roman" w:hAnsi="Times New Roman"/>
          <w:b/>
          <w:bCs/>
          <w:sz w:val="20"/>
          <w:szCs w:val="20"/>
          <w:u w:val="single"/>
          <w:lang w:val="en-GB"/>
        </w:rPr>
      </w:pPr>
    </w:p>
    <w:p w14:paraId="62E4561F" w14:textId="77777777" w:rsidR="00A57F67" w:rsidRDefault="00A57F67">
      <w:pPr>
        <w:pStyle w:val="BodyText"/>
        <w:rPr>
          <w:rFonts w:ascii="Times New Roman" w:hAnsi="Times New Roman"/>
          <w:b/>
          <w:bCs/>
          <w:sz w:val="20"/>
          <w:szCs w:val="20"/>
          <w:u w:val="single"/>
          <w:lang w:val="en-GB"/>
        </w:rPr>
      </w:pPr>
    </w:p>
    <w:p w14:paraId="6CC8CEA2" w14:textId="77777777" w:rsidR="00A57F67" w:rsidRDefault="00A57F67">
      <w:pPr>
        <w:pStyle w:val="BodyText"/>
        <w:rPr>
          <w:rFonts w:ascii="Times New Roman" w:hAnsi="Times New Roman"/>
          <w:b/>
          <w:bCs/>
          <w:sz w:val="20"/>
          <w:szCs w:val="20"/>
          <w:u w:val="single"/>
          <w:lang w:val="en-GB"/>
        </w:rPr>
      </w:pPr>
    </w:p>
    <w:p w14:paraId="6EAC01DA" w14:textId="77777777" w:rsidR="00A57F67" w:rsidRDefault="00A57F67">
      <w:pPr>
        <w:pStyle w:val="BodyText"/>
        <w:rPr>
          <w:rFonts w:ascii="Times New Roman" w:hAnsi="Times New Roman"/>
          <w:b/>
          <w:bCs/>
          <w:sz w:val="20"/>
          <w:szCs w:val="20"/>
          <w:u w:val="single"/>
          <w:lang w:val="en-GB"/>
        </w:rPr>
      </w:pPr>
    </w:p>
    <w:p w14:paraId="57D002B4" w14:textId="77777777" w:rsidR="00A57F67" w:rsidRDefault="00A57F67">
      <w:pPr>
        <w:pStyle w:val="BodyText"/>
        <w:rPr>
          <w:rFonts w:ascii="Times New Roman" w:hAnsi="Times New Roman"/>
          <w:b/>
          <w:bCs/>
          <w:sz w:val="20"/>
          <w:szCs w:val="20"/>
          <w:u w:val="single"/>
          <w:lang w:val="en-GB"/>
        </w:rPr>
      </w:pPr>
    </w:p>
    <w:p w14:paraId="62048CA1" w14:textId="77777777" w:rsidR="00A57F67" w:rsidRDefault="00A57F67">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000000" w14:paraId="5FD89421"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6393E323" w14:textId="77777777" w:rsidR="00A57F67" w:rsidRDefault="00A57F67">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14:paraId="3B7DB013" w14:textId="77777777" w:rsidR="00A57F67" w:rsidRDefault="00A57F67">
            <w:pPr>
              <w:pStyle w:val="NormalWeb"/>
              <w:spacing w:before="0" w:beforeAutospacing="0" w:after="0" w:afterAutospacing="0"/>
              <w:rPr>
                <w:rFonts w:ascii="Times New Roman" w:hAnsi="Times New Roman" w:cs="Times New Roman"/>
                <w:b/>
                <w:sz w:val="20"/>
                <w:szCs w:val="20"/>
                <w:u w:val="single"/>
                <w:lang w:val="en-GB"/>
              </w:rPr>
            </w:pPr>
          </w:p>
        </w:tc>
      </w:tr>
      <w:tr w:rsidR="00000000" w14:paraId="65AD3025" w14:textId="77777777">
        <w:trPr>
          <w:trHeight w:val="935"/>
        </w:trPr>
        <w:tc>
          <w:tcPr>
            <w:tcW w:w="1615" w:type="pct"/>
            <w:noWrap/>
            <w:tcMar>
              <w:top w:w="0" w:type="dxa"/>
              <w:left w:w="108" w:type="dxa"/>
              <w:bottom w:w="0" w:type="dxa"/>
              <w:right w:w="108" w:type="dxa"/>
            </w:tcMar>
            <w:vAlign w:val="center"/>
          </w:tcPr>
          <w:p w14:paraId="12B79DEB" w14:textId="77777777" w:rsidR="00A57F67" w:rsidRDefault="00A57F67">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2931F160" w14:textId="77777777" w:rsidR="00A57F67" w:rsidRDefault="00A57F67">
            <w:pPr>
              <w:pStyle w:val="Heading2"/>
              <w:jc w:val="left"/>
              <w:rPr>
                <w:rFonts w:ascii="Times New Roman" w:hAnsi="Times New Roman"/>
                <w:lang w:val="en-GB"/>
              </w:rPr>
            </w:pPr>
            <w:r>
              <w:rPr>
                <w:rFonts w:ascii="Times New Roman" w:hAnsi="Times New Roman"/>
                <w:lang w:val="en-GB"/>
              </w:rPr>
              <w:t>Reviewer’s comment</w:t>
            </w:r>
          </w:p>
        </w:tc>
        <w:tc>
          <w:tcPr>
            <w:tcW w:w="1342" w:type="pct"/>
          </w:tcPr>
          <w:p w14:paraId="7C05C1C5" w14:textId="77777777" w:rsidR="00A57F67" w:rsidRDefault="00A57F67">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3E790DD" w14:textId="77777777" w:rsidR="00A57F67" w:rsidRDefault="00A57F67">
            <w:pPr>
              <w:pStyle w:val="Heading2"/>
              <w:jc w:val="left"/>
              <w:rPr>
                <w:rFonts w:ascii="Times New Roman" w:hAnsi="Times New Roman"/>
                <w:b w:val="0"/>
                <w:lang w:val="en-GB"/>
              </w:rPr>
            </w:pPr>
            <w:r>
              <w:rPr>
                <w:rFonts w:ascii="Times New Roman" w:hAnsi="Times New Roman"/>
                <w:b w:val="0"/>
                <w:i/>
                <w:lang w:val="en-GB"/>
              </w:rPr>
              <w:t>)</w:t>
            </w:r>
          </w:p>
        </w:tc>
      </w:tr>
      <w:tr w:rsidR="00000000" w14:paraId="352E0B2A" w14:textId="77777777">
        <w:trPr>
          <w:trHeight w:val="697"/>
        </w:trPr>
        <w:tc>
          <w:tcPr>
            <w:tcW w:w="1615" w:type="pct"/>
            <w:noWrap/>
            <w:tcMar>
              <w:top w:w="0" w:type="dxa"/>
              <w:left w:w="108" w:type="dxa"/>
              <w:bottom w:w="0" w:type="dxa"/>
              <w:right w:w="108" w:type="dxa"/>
            </w:tcMar>
            <w:vAlign w:val="center"/>
          </w:tcPr>
          <w:p w14:paraId="401CEEAE" w14:textId="77777777" w:rsidR="00A57F67" w:rsidRDefault="00A57F67">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14:paraId="30FD70FD" w14:textId="77777777" w:rsidR="00A57F67" w:rsidRDefault="00A57F67">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05E46358" w14:textId="77777777" w:rsidR="00A57F67" w:rsidRDefault="00A57F67">
            <w:pPr>
              <w:pStyle w:val="NormalWeb"/>
              <w:spacing w:before="0" w:beforeAutospacing="0" w:after="0" w:afterAutospacing="0"/>
              <w:rPr>
                <w:rFonts w:ascii="Times New Roman" w:hAnsi="Times New Roman" w:cs="Times New Roman" w:hint="cs"/>
                <w:sz w:val="20"/>
                <w:szCs w:val="20"/>
                <w:rtl/>
                <w:lang w:bidi="fa-IR"/>
              </w:rPr>
            </w:pPr>
            <w:r>
              <w:rPr>
                <w:rFonts w:ascii="Times New Roman" w:hAnsi="Times New Roman" w:cs="Times New Roman"/>
                <w:sz w:val="20"/>
                <w:szCs w:val="20"/>
                <w:lang w:bidi="fa-IR"/>
              </w:rPr>
              <w:t>No, it doesn't matter. It would just be more appropriate to mention the reference of the images used.</w:t>
            </w:r>
          </w:p>
          <w:p w14:paraId="25C3DABF" w14:textId="77777777" w:rsidR="00A57F67" w:rsidRDefault="00A57F67">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65AB9891" w14:textId="749B6471" w:rsidR="00A57F67" w:rsidRDefault="00E43FE8">
            <w:pPr>
              <w:rPr>
                <w:rFonts w:eastAsia="Arial Unicode MS"/>
                <w:sz w:val="20"/>
                <w:szCs w:val="20"/>
                <w:lang w:val="en-GB"/>
              </w:rPr>
            </w:pPr>
            <w:r>
              <w:rPr>
                <w:rFonts w:ascii="-webkit-standard" w:hAnsi="-webkit-standard"/>
                <w:color w:val="000000"/>
                <w:sz w:val="27"/>
                <w:szCs w:val="27"/>
              </w:rPr>
              <w:t>We thank the reviewer for this observation. Proper references and attributions for all included images have now been clearly provided in the figure legends and reference section, ensuring transparency and adherence to ethical publication standards.</w:t>
            </w:r>
          </w:p>
          <w:p w14:paraId="0308E1F3" w14:textId="77777777" w:rsidR="00A57F67" w:rsidRDefault="00A57F67">
            <w:pPr>
              <w:rPr>
                <w:rFonts w:eastAsia="Arial Unicode MS"/>
                <w:sz w:val="20"/>
                <w:szCs w:val="20"/>
                <w:lang w:val="en-GB"/>
              </w:rPr>
            </w:pPr>
          </w:p>
          <w:p w14:paraId="06D0D0A4" w14:textId="77777777" w:rsidR="00A57F67" w:rsidRDefault="00A57F67">
            <w:pPr>
              <w:rPr>
                <w:rFonts w:eastAsia="Arial Unicode MS"/>
                <w:sz w:val="20"/>
                <w:szCs w:val="20"/>
                <w:lang w:val="en-GB"/>
              </w:rPr>
            </w:pPr>
          </w:p>
          <w:p w14:paraId="13E0E140" w14:textId="77777777" w:rsidR="00A57F67" w:rsidRDefault="00A57F67">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426F1A52" w14:textId="77777777" w:rsidR="00A57F67" w:rsidRDefault="00A57F67">
      <w:pPr>
        <w:pStyle w:val="BodyText"/>
        <w:outlineLvl w:val="0"/>
        <w:rPr>
          <w:rFonts w:ascii="Arial" w:hAnsi="Arial" w:cs="Arial"/>
          <w:sz w:val="20"/>
          <w:szCs w:val="20"/>
          <w:lang w:val="en-GB"/>
        </w:rPr>
      </w:pPr>
    </w:p>
    <w:sectPr w:rsidR="0000000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DBF56" w14:textId="77777777" w:rsidR="00A57F67" w:rsidRDefault="00A57F67">
      <w:r>
        <w:separator/>
      </w:r>
    </w:p>
  </w:endnote>
  <w:endnote w:type="continuationSeparator" w:id="0">
    <w:p w14:paraId="3141BEAC" w14:textId="77777777" w:rsidR="00A57F67" w:rsidRDefault="00A57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webkit-standard">
    <w:altName w:val="Cambria"/>
    <w:panose1 w:val="020B0604020202020204"/>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3717E" w14:textId="77777777" w:rsidR="00A57F67" w:rsidRDefault="00A57F67">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2058F" w14:textId="77777777" w:rsidR="00A57F67" w:rsidRDefault="00A57F67">
      <w:r>
        <w:separator/>
      </w:r>
    </w:p>
  </w:footnote>
  <w:footnote w:type="continuationSeparator" w:id="0">
    <w:p w14:paraId="3845C909" w14:textId="77777777" w:rsidR="00A57F67" w:rsidRDefault="00A57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96874" w14:textId="77777777" w:rsidR="00A57F67" w:rsidRDefault="00A57F67">
    <w:pPr>
      <w:spacing w:before="100" w:beforeAutospacing="1" w:after="100" w:afterAutospacing="1"/>
      <w:jc w:val="center"/>
      <w:rPr>
        <w:rFonts w:ascii="Arial" w:hAnsi="Arial" w:cs="Arial"/>
        <w:b/>
        <w:bCs/>
        <w:color w:val="003399"/>
        <w:szCs w:val="20"/>
        <w:u w:val="single"/>
        <w:lang w:val="en-GB"/>
      </w:rPr>
    </w:pPr>
  </w:p>
  <w:p w14:paraId="62D8FECF" w14:textId="77777777" w:rsidR="00A57F67" w:rsidRDefault="00A57F67">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5417675">
    <w:abstractNumId w:val="4"/>
  </w:num>
  <w:num w:numId="2" w16cid:durableId="209077591">
    <w:abstractNumId w:val="8"/>
  </w:num>
  <w:num w:numId="3" w16cid:durableId="1841768442">
    <w:abstractNumId w:val="7"/>
  </w:num>
  <w:num w:numId="4" w16cid:durableId="1789350666">
    <w:abstractNumId w:val="9"/>
  </w:num>
  <w:num w:numId="5" w16cid:durableId="1628851946">
    <w:abstractNumId w:val="6"/>
  </w:num>
  <w:num w:numId="6" w16cid:durableId="779496863">
    <w:abstractNumId w:val="0"/>
  </w:num>
  <w:num w:numId="7" w16cid:durableId="1634559204">
    <w:abstractNumId w:val="3"/>
  </w:num>
  <w:num w:numId="8" w16cid:durableId="1094547129">
    <w:abstractNumId w:val="11"/>
  </w:num>
  <w:num w:numId="9" w16cid:durableId="1674070816">
    <w:abstractNumId w:val="10"/>
  </w:num>
  <w:num w:numId="10" w16cid:durableId="1466239026">
    <w:abstractNumId w:val="2"/>
  </w:num>
  <w:num w:numId="11" w16cid:durableId="589582797">
    <w:abstractNumId w:val="1"/>
  </w:num>
  <w:num w:numId="12" w16cid:durableId="15770841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0"/>
    <w:rsid w:val="001C7812"/>
    <w:rsid w:val="005F3847"/>
    <w:rsid w:val="007A44D4"/>
    <w:rsid w:val="008052E7"/>
    <w:rsid w:val="008C13A0"/>
    <w:rsid w:val="0093687D"/>
    <w:rsid w:val="00A018F3"/>
    <w:rsid w:val="00A57F67"/>
    <w:rsid w:val="00AA5D1E"/>
    <w:rsid w:val="00B63416"/>
    <w:rsid w:val="00E43FE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6A1B1D3A"/>
  <w15:chartTrackingRefBased/>
  <w15:docId w15:val="{15171F21-89D3-7142-BAB4-8CA024614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Pr>
      <w:color w:val="605E5C"/>
      <w:shd w:val="clear" w:color="auto" w:fill="E1DFDD"/>
    </w:rPr>
  </w:style>
  <w:style w:type="character" w:customStyle="1" w:styleId="apple-converted-space">
    <w:name w:val="apple-converted-space"/>
    <w:basedOn w:val="DefaultParagraphFont"/>
    <w:rsid w:val="007A44D4"/>
  </w:style>
  <w:style w:type="character" w:styleId="Emphasis">
    <w:name w:val="Emphasis"/>
    <w:basedOn w:val="DefaultParagraphFont"/>
    <w:uiPriority w:val="20"/>
    <w:qFormat/>
    <w:rsid w:val="007A44D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656973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590862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22698643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29584874">
      <w:bodyDiv w:val="1"/>
      <w:marLeft w:val="0"/>
      <w:marRight w:val="0"/>
      <w:marTop w:val="0"/>
      <w:marBottom w:val="0"/>
      <w:divBdr>
        <w:top w:val="none" w:sz="0" w:space="0" w:color="auto"/>
        <w:left w:val="none" w:sz="0" w:space="0" w:color="auto"/>
        <w:bottom w:val="none" w:sz="0" w:space="0" w:color="auto"/>
        <w:right w:val="none" w:sz="0" w:space="0" w:color="auto"/>
      </w:divBdr>
    </w:div>
    <w:div w:id="1763138606">
      <w:bodyDiv w:val="1"/>
      <w:marLeft w:val="0"/>
      <w:marRight w:val="0"/>
      <w:marTop w:val="0"/>
      <w:marBottom w:val="0"/>
      <w:divBdr>
        <w:top w:val="none" w:sz="0" w:space="0" w:color="auto"/>
        <w:left w:val="none" w:sz="0" w:space="0" w:color="auto"/>
        <w:bottom w:val="none" w:sz="0" w:space="0" w:color="auto"/>
        <w:right w:val="none" w:sz="0" w:space="0" w:color="auto"/>
      </w:divBdr>
    </w:div>
    <w:div w:id="1924682436">
      <w:bodyDiv w:val="1"/>
      <w:marLeft w:val="0"/>
      <w:marRight w:val="0"/>
      <w:marTop w:val="0"/>
      <w:marBottom w:val="0"/>
      <w:divBdr>
        <w:top w:val="none" w:sz="0" w:space="0" w:color="auto"/>
        <w:left w:val="none" w:sz="0" w:space="0" w:color="auto"/>
        <w:bottom w:val="none" w:sz="0" w:space="0" w:color="auto"/>
        <w:right w:val="none" w:sz="0" w:space="0" w:color="auto"/>
      </w:divBdr>
    </w:div>
    <w:div w:id="20566616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journalajds.com/index.php/AJD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754B2-692C-499B-83C4-31C77BEAEDED}">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772</Words>
  <Characters>4402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5164</CharactersWithSpaces>
  <SharedDoc>false</SharedDoc>
  <HLinks>
    <vt:vector size="6" baseType="variant">
      <vt:variant>
        <vt:i4>8192058</vt:i4>
      </vt:variant>
      <vt:variant>
        <vt:i4>0</vt:i4>
      </vt:variant>
      <vt:variant>
        <vt:i4>0</vt:i4>
      </vt:variant>
      <vt:variant>
        <vt:i4>5</vt:i4>
      </vt:variant>
      <vt:variant>
        <vt:lpwstr>https://journalajds.com/index.php/AJDS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ganapathi palaniappan</cp:lastModifiedBy>
  <cp:revision>2</cp:revision>
  <dcterms:created xsi:type="dcterms:W3CDTF">2026-02-11T03:23:00Z</dcterms:created>
  <dcterms:modified xsi:type="dcterms:W3CDTF">2026-02-11T03:23:00Z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e1ce9392-f570-4d19-a82a-1bb2c30c2f3b</vt:lpwstr>
  </property>
</Properties>
</file>