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Asian Journal of Biochemistry, Genetics and Molecular Biology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Ms_AJBGMB_152036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Biologic and molecular integrative approach for the diagnosis of hemoglobinopathies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sz w:val="20"/>
          <w:szCs w:val="20"/>
          <w:vertAlign w:val="baseline"/>
        </w:rPr>
      </w:pPr>
      <w:bookmarkStart w:colFirst="0" w:colLast="0" w:name="_heading=h.aj3272n7svu3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highlight w:val="yellow"/>
                <w:vertAlign w:val="baseline"/>
                <w:rtl w:val="0"/>
              </w:rPr>
              <w:t xml:space="preserve">Artificial Intelligence (AI) generated or assisted review comments are strictly prohibited during peer review.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160" w:line="256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manuscript demonstrates that integrating genetic sequencing into hemoglobinopathy diagnosis is essential to correct phenotypic misinterpretations and enable accurate genetic counseling.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after="1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To our knowledge and to date, this study is the first in Morocco to discuss discrepancies between phenotypic findings and genotype results following hemoglobin electrophoresis requests.</w:t>
            </w:r>
          </w:p>
          <w:p w:rsidR="00000000" w:rsidDel="00000000" w:rsidP="00000000" w:rsidRDefault="00000000" w:rsidRPr="00000000" w14:paraId="0000001C">
            <w:pPr>
              <w:spacing w:after="1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Laboratories equipped with molecular diagnosis and sequencing technologies can perform hemoglobin genotyping whenever the electrophoresis identifies an abnormality. Molecular test prescriptions should be enforced .</w:t>
            </w:r>
          </w:p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ind w:left="360" w:firstLine="0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BETTER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scientifically correct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Good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manuscript presents a valuable argument for integrating molecular diagnostics into hemoglobinopathy screening and is scientifically sound. I recommend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acceptance with minor revisions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contingent on the authors addressing the following specific points to ensure full compliance and clarity prior to publication: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Critical Corrections: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The authors must provide the correct, verified study period (replacing the future-dated 2025), correct the HbC mutation nomenclature from c.19G&gt; to the standard c.19G&gt;A, and resolve the duplication between Figure 2 and Figure 3.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Mandatory Ethical Statement: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A statement confirming ethical approval, including the name of the Institutional Review Board/Ethics Committee and the approval number, must be added to the "Materials and Methods" section.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Data Clarification: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The authors should verify and provide a brief note, if necessary, on the notably high HbA2+C value (46.3%) reported for Case 5 in Table 1.</w:t>
            </w:r>
          </w:p>
          <w:p w:rsidR="00000000" w:rsidDel="00000000" w:rsidP="00000000" w:rsidRDefault="00000000" w:rsidRPr="00000000" w14:paraId="0000003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Ethical Compliance is Non-Negotiable:</w:t>
            </w:r>
            <w:r w:rsidDel="00000000" w:rsidR="00000000" w:rsidRPr="00000000">
              <w:rPr>
                <w:vertAlign w:val="baseline"/>
                <w:rtl w:val="0"/>
              </w:rPr>
              <w:t xml:space="preserve"> A statement of ethical approval from a named Institutional Review Board/Ethics Committee, including the approval number and date, is 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absolutely required</w:t>
            </w:r>
            <w:r w:rsidDel="00000000" w:rsidR="00000000" w:rsidRPr="00000000">
              <w:rPr>
                <w:vertAlign w:val="baseline"/>
                <w:rtl w:val="0"/>
              </w:rPr>
              <w:t xml:space="preserve"> for this human subjects research and must be added to the Methods. Submission without this is a serious oversight.</w:t>
            </w:r>
          </w:p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bookmarkStart w:colFirst="0" w:colLast="0" w:name="_heading=h.y9bwtxw1aikx" w:id="1"/>
            <w:bookmarkEnd w:id="1"/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Professional Editorial Overhaul:</w:t>
            </w:r>
            <w:r w:rsidDel="00000000" w:rsidR="00000000" w:rsidRPr="00000000">
              <w:rPr>
                <w:vertAlign w:val="baseline"/>
                <w:rtl w:val="0"/>
              </w:rPr>
              <w:t xml:space="preserve"> The text requires stringent copyediting to enforce consistent spelling (Hemoglobinopathies), formatting (β⁰, HbS), and grammatical clarity. The abstract and discussion, in particular, need refinement for precision.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1)P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atients were prospectively included on a 3-month-period (from July 2025 to September 2025)</w:t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2) Ethical approval pending 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3)Clarification of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HbA2+C value (46.3%) provided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1"/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9">
            <w:pPr>
              <w:keepNext w:val="1"/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jbgmb.com/index.php/AJBGMB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mxb7j73gH+/hXZpTmI4z2+0coQ==">CgMxLjAyDmguYWozMjcybjdzdnUzMg5oLnk5Ynd0eHcxYWlreDgAciExd2ptRlpoQVpDb1NuLUdyYTQwQnJKQnVVMnROVHVYZ2c=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